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0AA43" w14:textId="241B7D4E" w:rsidR="00296F94" w:rsidRPr="00AE4DBA" w:rsidRDefault="00CA0C05">
      <w:pPr>
        <w:pStyle w:val="NoSpacing"/>
        <w:spacing w:before="1540" w:after="240"/>
        <w:jc w:val="center"/>
        <w:rPr>
          <w:color w:val="4D2379" w:themeColor="accent1"/>
        </w:rPr>
      </w:pPr>
      <w:r w:rsidRPr="00AE4DBA">
        <w:rPr>
          <w:noProof/>
        </w:rPr>
        <w:drawing>
          <wp:anchor distT="0" distB="0" distL="114300" distR="114300" simplePos="0" relativeHeight="251658240" behindDoc="1" locked="0" layoutInCell="1" allowOverlap="1" wp14:anchorId="0814F019" wp14:editId="46C114AA">
            <wp:simplePos x="0" y="0"/>
            <wp:positionH relativeFrom="page">
              <wp:align>right</wp:align>
            </wp:positionH>
            <wp:positionV relativeFrom="paragraph">
              <wp:posOffset>-969484</wp:posOffset>
            </wp:positionV>
            <wp:extent cx="7566742" cy="10735294"/>
            <wp:effectExtent l="0" t="0" r="9525" b="8890"/>
            <wp:wrapNone/>
            <wp:docPr id="1766005911" name="Picture 1" descr="A close-up of a blue and purple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05911" name="Picture 1" descr="A close-up of a blue and purple gradie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6742" cy="10735294"/>
                    </a:xfrm>
                    <a:prstGeom prst="rect">
                      <a:avLst/>
                    </a:prstGeom>
                  </pic:spPr>
                </pic:pic>
              </a:graphicData>
            </a:graphic>
            <wp14:sizeRelH relativeFrom="margin">
              <wp14:pctWidth>0</wp14:pctWidth>
            </wp14:sizeRelH>
            <wp14:sizeRelV relativeFrom="margin">
              <wp14:pctHeight>0</wp14:pctHeight>
            </wp14:sizeRelV>
          </wp:anchor>
        </w:drawing>
      </w:r>
    </w:p>
    <w:p w14:paraId="796A2C13" w14:textId="77777777" w:rsidR="00874134" w:rsidRPr="00AE4DBA" w:rsidRDefault="00874134">
      <w:pPr>
        <w:pStyle w:val="NoSpacing"/>
        <w:spacing w:before="1540" w:after="240"/>
        <w:jc w:val="center"/>
        <w:rPr>
          <w:color w:val="4D2379" w:themeColor="accent1"/>
        </w:rPr>
      </w:pPr>
    </w:p>
    <w:p w14:paraId="35CE7A2C" w14:textId="77777777" w:rsidR="00A90DAD" w:rsidRPr="00AE4DBA" w:rsidRDefault="00A90DAD" w:rsidP="00A90DAD">
      <w:pPr>
        <w:spacing w:after="200"/>
        <w:rPr>
          <w:rFonts w:eastAsia="Calibri"/>
          <w:b/>
          <w:color w:val="F6F4EC" w:themeColor="background1"/>
          <w:sz w:val="100"/>
          <w:szCs w:val="100"/>
        </w:rPr>
      </w:pPr>
      <w:r w:rsidRPr="00AE4DBA">
        <w:rPr>
          <w:rFonts w:eastAsia="Calibri"/>
          <w:b/>
          <w:color w:val="F6F4EC" w:themeColor="background1"/>
          <w:sz w:val="96"/>
          <w:szCs w:val="96"/>
        </w:rPr>
        <w:t>Greenhouse Gas Emissions Inventory Report</w:t>
      </w:r>
      <w:r w:rsidRPr="00AE4DBA">
        <w:rPr>
          <w:rFonts w:eastAsia="Calibri"/>
          <w:b/>
          <w:color w:val="F6F4EC" w:themeColor="background1"/>
          <w:sz w:val="144"/>
          <w:szCs w:val="100"/>
        </w:rPr>
        <w:t xml:space="preserve"> </w:t>
      </w:r>
      <w:r w:rsidRPr="00AE4DBA">
        <w:rPr>
          <w:rFonts w:eastAsia="Calibri"/>
          <w:color w:val="F6F4EC" w:themeColor="background1"/>
          <w:sz w:val="70"/>
          <w:szCs w:val="70"/>
        </w:rPr>
        <w:t>- FY2023/24</w:t>
      </w:r>
    </w:p>
    <w:p w14:paraId="4D31B3F0" w14:textId="74C34008" w:rsidR="00A90DAD" w:rsidRPr="00AE4DBA" w:rsidRDefault="00A90DAD" w:rsidP="00A90DAD">
      <w:pPr>
        <w:spacing w:after="200"/>
        <w:rPr>
          <w:rFonts w:ascii="Calibri" w:eastAsia="Calibri" w:hAnsi="Calibri"/>
          <w:color w:val="F6F4EC" w:themeColor="background1"/>
          <w:sz w:val="44"/>
          <w:szCs w:val="44"/>
        </w:rPr>
      </w:pPr>
      <w:r w:rsidRPr="00AE4DBA">
        <w:rPr>
          <w:rFonts w:eastAsia="Calibri"/>
          <w:color w:val="F6F4EC" w:themeColor="background1"/>
          <w:sz w:val="40"/>
          <w:szCs w:val="40"/>
        </w:rPr>
        <w:t>Baseline year +</w:t>
      </w:r>
      <w:r w:rsidR="00FE4533">
        <w:rPr>
          <w:rFonts w:eastAsia="Calibri"/>
          <w:color w:val="F6F4EC" w:themeColor="background1"/>
          <w:sz w:val="40"/>
          <w:szCs w:val="40"/>
        </w:rPr>
        <w:t xml:space="preserve"> 1</w:t>
      </w:r>
    </w:p>
    <w:p w14:paraId="34F69B06" w14:textId="6EA5D8F4" w:rsidR="00CA0C05" w:rsidRPr="00AE4DBA" w:rsidRDefault="00CA0C05">
      <w:pPr>
        <w:pStyle w:val="NoSpacing"/>
        <w:spacing w:before="1540" w:after="240"/>
        <w:jc w:val="center"/>
        <w:rPr>
          <w:color w:val="4D2379" w:themeColor="accent1"/>
        </w:rPr>
      </w:pPr>
    </w:p>
    <w:p w14:paraId="4696A9E3" w14:textId="77777777" w:rsidR="00A90DAD" w:rsidRPr="00AE4DBA" w:rsidRDefault="00A90DAD" w:rsidP="00A90DAD">
      <w:pPr>
        <w:jc w:val="center"/>
        <w:rPr>
          <w:color w:val="F6F4EC" w:themeColor="background1"/>
        </w:rPr>
      </w:pPr>
      <w:r w:rsidRPr="00AE4DBA">
        <w:rPr>
          <w:color w:val="F6F4EC" w:themeColor="background1"/>
        </w:rPr>
        <w:t>Prepared in accordance with ISO 14064-1:2018</w:t>
      </w:r>
    </w:p>
    <w:p w14:paraId="1D004674" w14:textId="77777777" w:rsidR="00A90DAD" w:rsidRPr="00AE4DBA" w:rsidRDefault="00A90DAD" w:rsidP="00A90DAD">
      <w:pPr>
        <w:jc w:val="center"/>
      </w:pPr>
    </w:p>
    <w:p w14:paraId="2E9B9394" w14:textId="77777777" w:rsidR="00A90DAD" w:rsidRPr="00AE4DBA" w:rsidRDefault="00A90DAD" w:rsidP="00A90DAD">
      <w:pPr>
        <w:jc w:val="center"/>
      </w:pPr>
    </w:p>
    <w:p w14:paraId="21795A87" w14:textId="77777777" w:rsidR="00A90DAD" w:rsidRPr="00AE4DBA" w:rsidRDefault="00A90DAD" w:rsidP="00A90DAD"/>
    <w:p w14:paraId="4792A4A4" w14:textId="77777777" w:rsidR="00A90DAD" w:rsidRPr="00AE4DBA" w:rsidRDefault="00A90DAD" w:rsidP="00A90DAD">
      <w:pPr>
        <w:jc w:val="center"/>
        <w:rPr>
          <w:rFonts w:eastAsia="Malgun Gothic"/>
          <w:b/>
          <w:color w:val="0C818F"/>
          <w:sz w:val="36"/>
          <w:szCs w:val="36"/>
        </w:rPr>
      </w:pPr>
    </w:p>
    <w:p w14:paraId="5FC2F8E0" w14:textId="77777777" w:rsidR="00A90DAD" w:rsidRPr="00AE4DBA" w:rsidRDefault="00A90DAD" w:rsidP="00A90DAD">
      <w:pPr>
        <w:jc w:val="center"/>
        <w:rPr>
          <w:rFonts w:eastAsia="Malgun Gothic"/>
          <w:b/>
          <w:color w:val="0C818F"/>
          <w:sz w:val="36"/>
          <w:szCs w:val="36"/>
        </w:rPr>
      </w:pPr>
    </w:p>
    <w:p w14:paraId="55D28649" w14:textId="77777777" w:rsidR="00A90DAD" w:rsidRPr="00AE4DBA" w:rsidRDefault="00A90DAD" w:rsidP="00A90DAD">
      <w:pPr>
        <w:pStyle w:val="BodyText1"/>
        <w:rPr>
          <w:lang w:val="en-NZ"/>
        </w:rPr>
      </w:pPr>
    </w:p>
    <w:p w14:paraId="0876815B" w14:textId="2B2BD55A" w:rsidR="00A90DAD" w:rsidRPr="00AE4DBA" w:rsidRDefault="00A90DAD" w:rsidP="00A90DAD">
      <w:pPr>
        <w:pStyle w:val="BodyText1"/>
        <w:rPr>
          <w:lang w:val="en-NZ"/>
        </w:rPr>
      </w:pPr>
      <w:r w:rsidRPr="00AE4DBA">
        <w:rPr>
          <w:lang w:val="en-NZ"/>
        </w:rPr>
        <w:t xml:space="preserve">Prepared by (lead author): </w:t>
      </w:r>
      <w:r w:rsidR="00975440" w:rsidRPr="00AE4DBA">
        <w:rPr>
          <w:lang w:val="en-NZ"/>
        </w:rPr>
        <w:t>Daygan Eagar</w:t>
      </w:r>
      <w:r w:rsidR="008D26D2" w:rsidRPr="00AE4DBA">
        <w:rPr>
          <w:lang w:val="en-NZ"/>
        </w:rPr>
        <w:t>, Senior Advisor – Emissions Reporting Lead</w:t>
      </w:r>
    </w:p>
    <w:p w14:paraId="454D2393" w14:textId="18B6A90B" w:rsidR="00A90DAD" w:rsidRPr="00AE4DBA" w:rsidRDefault="00A90DAD" w:rsidP="00A90DAD">
      <w:pPr>
        <w:pStyle w:val="BodyText1"/>
        <w:rPr>
          <w:lang w:val="en-NZ"/>
        </w:rPr>
      </w:pPr>
      <w:r w:rsidRPr="00AE4DBA">
        <w:rPr>
          <w:lang w:val="en-NZ"/>
        </w:rPr>
        <w:t xml:space="preserve">Approved by: </w:t>
      </w:r>
      <w:r w:rsidR="008D26D2" w:rsidRPr="00AE4DBA">
        <w:rPr>
          <w:lang w:val="en-NZ"/>
        </w:rPr>
        <w:t>Rick Lomax, Head of Sustainability</w:t>
      </w:r>
    </w:p>
    <w:p w14:paraId="3B5A9BFD" w14:textId="77777777" w:rsidR="00A90DAD" w:rsidRPr="00AE4DBA" w:rsidRDefault="00A90DAD" w:rsidP="00A90DAD">
      <w:pPr>
        <w:pStyle w:val="ListParagraph"/>
        <w:ind w:left="0"/>
      </w:pPr>
    </w:p>
    <w:p w14:paraId="1E1F0DBB" w14:textId="77777777" w:rsidR="00A90DAD" w:rsidRPr="00AE4DBA" w:rsidRDefault="00A90DAD" w:rsidP="00A90DAD">
      <w:pPr>
        <w:pStyle w:val="ListParagraph"/>
        <w:ind w:left="0"/>
      </w:pPr>
    </w:p>
    <w:p w14:paraId="285E8A17" w14:textId="1FCA88C1" w:rsidR="00A90DAD" w:rsidRPr="00AE4DBA" w:rsidRDefault="00A90DAD" w:rsidP="00A90DAD">
      <w:pPr>
        <w:pStyle w:val="ListParagraph"/>
        <w:ind w:left="0"/>
      </w:pPr>
      <w:r w:rsidRPr="00AE4DBA">
        <w:t>The Head of Sustainability in the Office of the Chief Executive is responsible for this report. Inquiries on the GHG emissions inventory report can be made to</w:t>
      </w:r>
      <w:r w:rsidR="003E349D" w:rsidRPr="00AE4DBA">
        <w:t xml:space="preserve">: </w:t>
      </w:r>
      <w:r>
        <w:t>hnzsustainability@</w:t>
      </w:r>
      <w:r w:rsidR="00B709C1">
        <w:t>tewhatuora</w:t>
      </w:r>
      <w:r>
        <w:t>.govt.nz.</w:t>
      </w:r>
    </w:p>
    <w:p w14:paraId="4DE44EF3" w14:textId="290E7AAA" w:rsidR="00A90DAD" w:rsidRPr="00AE4DBA" w:rsidRDefault="00A90DAD" w:rsidP="00A90DAD">
      <w:pPr>
        <w:pStyle w:val="BodyText1"/>
        <w:rPr>
          <w:lang w:val="en-NZ"/>
        </w:rPr>
      </w:pPr>
      <w:r w:rsidRPr="00AE4DBA">
        <w:rPr>
          <w:lang w:val="en-NZ"/>
        </w:rPr>
        <w:t xml:space="preserve">Dated: </w:t>
      </w:r>
      <w:r w:rsidR="0078392F">
        <w:rPr>
          <w:lang w:val="en-NZ"/>
        </w:rPr>
        <w:t>23 October 2024</w:t>
      </w:r>
    </w:p>
    <w:p w14:paraId="4AB59BC4" w14:textId="77777777" w:rsidR="00A90DAD" w:rsidRPr="00AE4DBA" w:rsidRDefault="00A90DAD" w:rsidP="00A90DAD">
      <w:pPr>
        <w:pStyle w:val="BodyText1"/>
        <w:rPr>
          <w:lang w:val="en-NZ"/>
        </w:rPr>
      </w:pPr>
    </w:p>
    <w:p w14:paraId="34257FBA" w14:textId="7F78A3EE" w:rsidR="00A90DAD" w:rsidRPr="00AE4DBA" w:rsidRDefault="00A90DAD" w:rsidP="00A90DAD">
      <w:pPr>
        <w:pStyle w:val="BodyText1"/>
        <w:rPr>
          <w:lang w:val="en-NZ"/>
        </w:rPr>
      </w:pPr>
      <w:r w:rsidRPr="00AE4DBA">
        <w:rPr>
          <w:lang w:val="en-NZ"/>
        </w:rPr>
        <w:t xml:space="preserve">Verification status: </w:t>
      </w:r>
      <w:r w:rsidR="00DF5510" w:rsidRPr="00AE4DBA">
        <w:rPr>
          <w:lang w:val="en-NZ"/>
        </w:rPr>
        <w:t>Reasonable for all categories except category 3 CME travel</w:t>
      </w:r>
      <w:r w:rsidR="004729F3">
        <w:rPr>
          <w:lang w:val="en-NZ"/>
        </w:rPr>
        <w:t xml:space="preserve">. </w:t>
      </w:r>
      <w:r w:rsidR="004729F3" w:rsidRPr="00AE4DBA">
        <w:rPr>
          <w:lang w:val="en-NZ"/>
        </w:rPr>
        <w:t>Limited for category 3 CME travel</w:t>
      </w:r>
    </w:p>
    <w:p w14:paraId="1DA1CE07" w14:textId="77777777" w:rsidR="00A90DAD" w:rsidRPr="00AE4DBA" w:rsidRDefault="00A90DAD" w:rsidP="00A90DAD">
      <w:pPr>
        <w:pStyle w:val="BodyText1"/>
        <w:rPr>
          <w:lang w:val="en-NZ"/>
        </w:rPr>
      </w:pPr>
    </w:p>
    <w:p w14:paraId="636992A5" w14:textId="77777777" w:rsidR="00A90DAD" w:rsidRPr="00AE4DBA" w:rsidRDefault="00A90DAD" w:rsidP="00A90DAD">
      <w:pPr>
        <w:pStyle w:val="BodyText1"/>
        <w:rPr>
          <w:lang w:val="en-NZ"/>
        </w:rPr>
      </w:pPr>
    </w:p>
    <w:p w14:paraId="642BB54E" w14:textId="77777777" w:rsidR="00A90DAD" w:rsidRPr="00AE4DBA" w:rsidRDefault="00A90DAD" w:rsidP="00A90DAD">
      <w:pPr>
        <w:pStyle w:val="BodyText1"/>
        <w:rPr>
          <w:lang w:val="en-NZ"/>
        </w:rPr>
      </w:pPr>
      <w:r w:rsidRPr="00AE4DBA">
        <w:rPr>
          <w:lang w:val="en-NZ"/>
        </w:rPr>
        <w:t>Measurement period: 01 July 2023 to 30 June 2024</w:t>
      </w:r>
    </w:p>
    <w:p w14:paraId="7BD76AB7" w14:textId="77777777" w:rsidR="00A90DAD" w:rsidRPr="00AE4DBA" w:rsidRDefault="00A90DAD" w:rsidP="00A90DAD">
      <w:pPr>
        <w:pStyle w:val="BodyText1"/>
        <w:rPr>
          <w:lang w:val="en-NZ"/>
        </w:rPr>
      </w:pPr>
      <w:r w:rsidRPr="00AE4DBA">
        <w:rPr>
          <w:lang w:val="en-NZ"/>
        </w:rPr>
        <w:t>Base year period: 01 July 2022 to 30 June 2023</w:t>
      </w:r>
    </w:p>
    <w:p w14:paraId="1225F894" w14:textId="77777777" w:rsidR="00A90DAD" w:rsidRPr="00AE4DBA" w:rsidRDefault="00A90DAD" w:rsidP="00A90DAD">
      <w:pPr>
        <w:pStyle w:val="BodyText1"/>
        <w:rPr>
          <w:lang w:val="en-NZ"/>
        </w:rPr>
      </w:pPr>
    </w:p>
    <w:p w14:paraId="55BDF040" w14:textId="77777777" w:rsidR="00A90DAD" w:rsidRPr="00AE4DBA" w:rsidRDefault="00A90DAD" w:rsidP="00A90DAD">
      <w:pPr>
        <w:pStyle w:val="BodyText1"/>
        <w:rPr>
          <w:i/>
          <w:iCs/>
          <w:lang w:val="en-NZ"/>
        </w:rPr>
      </w:pPr>
      <w:r w:rsidRPr="00AE4DBA">
        <w:rPr>
          <w:i/>
          <w:iCs/>
          <w:lang w:val="en-NZ"/>
        </w:rPr>
        <w:t xml:space="preserve">Approved for release by: </w:t>
      </w:r>
    </w:p>
    <w:p w14:paraId="634061AC" w14:textId="77777777" w:rsidR="00A90DAD" w:rsidRPr="00AE4DBA" w:rsidRDefault="00A90DAD" w:rsidP="00B709C1">
      <w:bookmarkStart w:id="0" w:name="_Toc146722306"/>
    </w:p>
    <w:p w14:paraId="111CFB6E" w14:textId="6DECCD39" w:rsidR="005E658D" w:rsidRPr="00AE4DBA" w:rsidRDefault="005E658D" w:rsidP="00B709C1">
      <w:r w:rsidRPr="00AE4DBA">
        <w:t>Rick Lomax</w:t>
      </w:r>
    </w:p>
    <w:p w14:paraId="353C6276" w14:textId="734484F1" w:rsidR="005E658D" w:rsidRPr="00AE4DBA" w:rsidRDefault="005E658D" w:rsidP="00B709C1">
      <w:r w:rsidRPr="00AE4DBA">
        <w:t>Head of Sustainability</w:t>
      </w:r>
    </w:p>
    <w:p w14:paraId="148F209D" w14:textId="0864607C" w:rsidR="005E658D" w:rsidRPr="00AE4DBA" w:rsidRDefault="005E658D" w:rsidP="7C571EA4">
      <w:r w:rsidRPr="00AE4DBA">
        <w:t xml:space="preserve">Health New Zealand </w:t>
      </w:r>
      <w:r w:rsidRPr="00AE4DBA">
        <w:rPr>
          <w:rFonts w:cs="Arial"/>
        </w:rPr>
        <w:t>|</w:t>
      </w:r>
      <w:r w:rsidRPr="00AE4DBA">
        <w:t xml:space="preserve"> Te Whatu Ora </w:t>
      </w:r>
    </w:p>
    <w:p w14:paraId="3350C0E0" w14:textId="77777777" w:rsidR="00B27927" w:rsidRPr="00AE4DBA" w:rsidRDefault="00B27927">
      <w:pPr>
        <w:spacing w:after="160" w:line="259" w:lineRule="auto"/>
        <w:rPr>
          <w:rFonts w:eastAsia="Malgun Gothic"/>
          <w:b/>
          <w:color w:val="0C818F"/>
          <w:sz w:val="36"/>
          <w:szCs w:val="36"/>
        </w:rPr>
      </w:pPr>
      <w:bookmarkStart w:id="1" w:name="_Toc173164238"/>
      <w:r w:rsidRPr="00AE4DBA">
        <w:br w:type="page"/>
      </w:r>
    </w:p>
    <w:p w14:paraId="37EFF18E" w14:textId="77777777" w:rsidR="00A90DAD" w:rsidRPr="00AE4DBA" w:rsidRDefault="00A90DAD" w:rsidP="00A90DAD">
      <w:pPr>
        <w:pStyle w:val="Subheading1"/>
      </w:pPr>
      <w:bookmarkStart w:id="2" w:name="_Toc173500593"/>
      <w:bookmarkStart w:id="3" w:name="_Toc176251929"/>
      <w:bookmarkStart w:id="4" w:name="_Toc176345107"/>
      <w:r w:rsidRPr="00AE4DBA">
        <w:lastRenderedPageBreak/>
        <w:t>Availability</w:t>
      </w:r>
      <w:bookmarkEnd w:id="0"/>
      <w:bookmarkEnd w:id="1"/>
      <w:bookmarkEnd w:id="2"/>
      <w:bookmarkEnd w:id="3"/>
      <w:bookmarkEnd w:id="4"/>
    </w:p>
    <w:p w14:paraId="2B7154C4" w14:textId="7E377000" w:rsidR="00A90DAD" w:rsidRPr="00AE4DBA" w:rsidRDefault="00A90DAD" w:rsidP="00B27927">
      <w:pPr>
        <w:pStyle w:val="BodyText1"/>
        <w:rPr>
          <w:lang w:val="en-NZ"/>
        </w:rPr>
      </w:pPr>
      <w:r w:rsidRPr="00AE4DBA">
        <w:rPr>
          <w:lang w:val="en-NZ"/>
        </w:rPr>
        <w:t xml:space="preserve">This report will be used to inform the 1 July 2023 – 30 June 2024 Health New Zealand | Te Whatu Ora </w:t>
      </w:r>
      <w:r w:rsidR="008401C2" w:rsidRPr="00AE4DBA">
        <w:rPr>
          <w:lang w:val="en-NZ"/>
        </w:rPr>
        <w:t xml:space="preserve">(Health NZ) </w:t>
      </w:r>
      <w:r w:rsidRPr="00AE4DBA">
        <w:rPr>
          <w:lang w:val="en-NZ"/>
        </w:rPr>
        <w:t>Annual Report. Reviewed by the Executive Leadership Team, this report will be available to internal and external stakeholders through Health New Zealand’s website. This report's findings will guide the organisation’s sustainability work programme and inform Health New Zealand’s Emissions Reduction Plan.</w:t>
      </w:r>
    </w:p>
    <w:p w14:paraId="1E9B522F" w14:textId="77777777" w:rsidR="00A90DAD" w:rsidRPr="00AE4DBA" w:rsidRDefault="00A90DAD" w:rsidP="00A90DAD">
      <w:pPr>
        <w:pStyle w:val="Subheading1"/>
      </w:pPr>
      <w:bookmarkStart w:id="5" w:name="_Toc173164239"/>
      <w:bookmarkStart w:id="6" w:name="_Toc173500594"/>
      <w:bookmarkStart w:id="7" w:name="_Toc176251930"/>
      <w:bookmarkStart w:id="8" w:name="_Toc176345108"/>
      <w:r w:rsidRPr="00AE4DBA">
        <w:t>Report Content and Structure</w:t>
      </w:r>
      <w:bookmarkEnd w:id="5"/>
      <w:bookmarkEnd w:id="6"/>
      <w:bookmarkEnd w:id="7"/>
      <w:bookmarkEnd w:id="8"/>
    </w:p>
    <w:p w14:paraId="47ACA360" w14:textId="43D544B5" w:rsidR="00A90DAD" w:rsidRPr="00AE4DBA" w:rsidRDefault="00A90DAD" w:rsidP="00A90DAD">
      <w:pPr>
        <w:pStyle w:val="BodyText1"/>
        <w:rPr>
          <w:lang w:val="en-NZ"/>
        </w:rPr>
      </w:pPr>
      <w:r w:rsidRPr="00AE4DBA">
        <w:rPr>
          <w:lang w:val="en-NZ"/>
        </w:rPr>
        <w:t>The Emissions Inventory Report contains a complete and accurate quantification of the amount of GHG emissions and removals that can be directly attributed to the organisation’s operations within the declared boundary and scope for the specified reporting period. This report has been prepared in accordance with</w:t>
      </w:r>
      <w:r w:rsidR="00662919">
        <w:rPr>
          <w:lang w:val="en-NZ"/>
        </w:rPr>
        <w:t xml:space="preserve"> </w:t>
      </w:r>
      <w:r w:rsidR="00662919" w:rsidRPr="00AE4DBA">
        <w:rPr>
          <w:lang w:val="en-NZ"/>
        </w:rPr>
        <w:t>ISO 14064-1:2018 Specification with Guidance at the Organization Level for Quantification and Reporting of Greenhouse Gas Emissions and Removals</w:t>
      </w:r>
      <w:r w:rsidR="00662919">
        <w:rPr>
          <w:lang w:val="en-NZ"/>
        </w:rPr>
        <w:t xml:space="preserve"> and</w:t>
      </w:r>
      <w:r w:rsidRPr="00AE4DBA">
        <w:rPr>
          <w:lang w:val="en-NZ"/>
        </w:rPr>
        <w:t xml:space="preserve"> the Greenhouse Gas Protocol: A Corporate Accounting and Reporting Standard (2004) </w:t>
      </w:r>
      <w:r w:rsidRPr="00AE4DBA">
        <w:rPr>
          <w:rStyle w:val="FootnoteReference"/>
          <w:lang w:val="en-NZ"/>
        </w:rPr>
        <w:footnoteReference w:id="2"/>
      </w:r>
      <w:r w:rsidRPr="00AE4DBA">
        <w:rPr>
          <w:lang w:val="en-NZ"/>
        </w:rPr>
        <w:t>. Where relevant, the inventory reporting aligns with industry or sector best emissions measurement and reporting practices.</w:t>
      </w:r>
    </w:p>
    <w:p w14:paraId="0CCB1C8A" w14:textId="45046C99" w:rsidR="00CA0C05" w:rsidRPr="00AE4DBA" w:rsidRDefault="00A90DAD" w:rsidP="00A90DAD">
      <w:pPr>
        <w:pStyle w:val="BodyText1"/>
        <w:rPr>
          <w:lang w:val="en-NZ"/>
        </w:rPr>
      </w:pPr>
      <w:r w:rsidRPr="00AE4DBA">
        <w:rPr>
          <w:lang w:val="en-NZ"/>
        </w:rPr>
        <w:t>The inventory summary contains a high-level summary of this year’s results. Chapter 1 provides information on the organisation, the organisational boundaries and the sources included and excluded in the inventory, followed by information on the emission sources, data collection and more detailed emission results. Chapter 2 briefly describes initiatives in place to reduce organisational emissions.</w:t>
      </w:r>
    </w:p>
    <w:p w14:paraId="19450F83" w14:textId="0970D9FA" w:rsidR="00A90DAD" w:rsidRPr="00AE4DBA" w:rsidRDefault="00A90DAD">
      <w:pPr>
        <w:spacing w:line="259" w:lineRule="auto"/>
      </w:pPr>
      <w:r w:rsidRPr="00AE4DBA">
        <w:br w:type="page"/>
      </w:r>
    </w:p>
    <w:sdt>
      <w:sdtPr>
        <w:rPr>
          <w:rFonts w:eastAsia="Roboto"/>
          <w:noProof w:val="0"/>
          <w:color w:val="auto"/>
          <w:sz w:val="22"/>
          <w:szCs w:val="22"/>
        </w:rPr>
        <w:id w:val="-1305456428"/>
        <w:docPartObj>
          <w:docPartGallery w:val="Table of Contents"/>
          <w:docPartUnique/>
        </w:docPartObj>
      </w:sdtPr>
      <w:sdtEndPr>
        <w:rPr>
          <w:rFonts w:eastAsia="Times New Roman"/>
          <w:b/>
          <w:bCs/>
        </w:rPr>
      </w:sdtEndPr>
      <w:sdtContent>
        <w:p w14:paraId="25BF0D93" w14:textId="2836F312" w:rsidR="00652BA8" w:rsidRPr="00AE4DBA" w:rsidRDefault="00652BA8">
          <w:pPr>
            <w:pStyle w:val="TOCHeading"/>
            <w:rPr>
              <w:rStyle w:val="Heading2Char"/>
            </w:rPr>
          </w:pPr>
          <w:r w:rsidRPr="00AE4DBA">
            <w:rPr>
              <w:rStyle w:val="Heading2Char"/>
            </w:rPr>
            <w:t>Contents</w:t>
          </w:r>
        </w:p>
        <w:p w14:paraId="00FB57E2" w14:textId="57905039" w:rsidR="003B4543" w:rsidRDefault="00652BA8">
          <w:pPr>
            <w:pStyle w:val="TOC1"/>
            <w:tabs>
              <w:tab w:val="right" w:leader="dot" w:pos="9016"/>
            </w:tabs>
            <w:rPr>
              <w:rFonts w:asciiTheme="minorHAnsi" w:eastAsiaTheme="minorEastAsia" w:hAnsiTheme="minorHAnsi" w:cstheme="minorBidi"/>
              <w:noProof/>
              <w:kern w:val="2"/>
              <w:sz w:val="24"/>
              <w14:ligatures w14:val="standardContextual"/>
            </w:rPr>
          </w:pPr>
          <w:r w:rsidRPr="00AE4DBA">
            <w:fldChar w:fldCharType="begin"/>
          </w:r>
          <w:r w:rsidRPr="00AE4DBA">
            <w:instrText xml:space="preserve"> TOC \o "1-3" \h \z \u </w:instrText>
          </w:r>
          <w:r w:rsidRPr="00AE4DBA">
            <w:fldChar w:fldCharType="separate"/>
          </w:r>
          <w:hyperlink w:anchor="_Toc176345107" w:history="1">
            <w:r w:rsidR="003B4543" w:rsidRPr="00B05CC6">
              <w:rPr>
                <w:rStyle w:val="Hyperlink"/>
                <w:rFonts w:eastAsiaTheme="majorEastAsia"/>
                <w:noProof/>
              </w:rPr>
              <w:t>Availability</w:t>
            </w:r>
            <w:r w:rsidR="003B4543">
              <w:rPr>
                <w:noProof/>
                <w:webHidden/>
              </w:rPr>
              <w:tab/>
            </w:r>
            <w:r w:rsidR="003B4543">
              <w:rPr>
                <w:noProof/>
                <w:webHidden/>
              </w:rPr>
              <w:fldChar w:fldCharType="begin"/>
            </w:r>
            <w:r w:rsidR="003B4543">
              <w:rPr>
                <w:noProof/>
                <w:webHidden/>
              </w:rPr>
              <w:instrText xml:space="preserve"> PAGEREF _Toc176345107 \h </w:instrText>
            </w:r>
            <w:r w:rsidR="003B4543">
              <w:rPr>
                <w:noProof/>
                <w:webHidden/>
              </w:rPr>
            </w:r>
            <w:r w:rsidR="003B4543">
              <w:rPr>
                <w:noProof/>
                <w:webHidden/>
              </w:rPr>
              <w:fldChar w:fldCharType="separate"/>
            </w:r>
            <w:r w:rsidR="003B4543">
              <w:rPr>
                <w:noProof/>
                <w:webHidden/>
              </w:rPr>
              <w:t>2</w:t>
            </w:r>
            <w:r w:rsidR="003B4543">
              <w:rPr>
                <w:noProof/>
                <w:webHidden/>
              </w:rPr>
              <w:fldChar w:fldCharType="end"/>
            </w:r>
          </w:hyperlink>
        </w:p>
        <w:p w14:paraId="45671E0B" w14:textId="2CD65CCD" w:rsidR="003B4543" w:rsidRDefault="003B4543">
          <w:pPr>
            <w:pStyle w:val="TOC1"/>
            <w:tabs>
              <w:tab w:val="right" w:leader="dot" w:pos="9016"/>
            </w:tabs>
            <w:rPr>
              <w:rFonts w:asciiTheme="minorHAnsi" w:eastAsiaTheme="minorEastAsia" w:hAnsiTheme="minorHAnsi" w:cstheme="minorBidi"/>
              <w:noProof/>
              <w:kern w:val="2"/>
              <w:sz w:val="24"/>
              <w14:ligatures w14:val="standardContextual"/>
            </w:rPr>
          </w:pPr>
          <w:hyperlink w:anchor="_Toc176345108" w:history="1">
            <w:r w:rsidRPr="00B05CC6">
              <w:rPr>
                <w:rStyle w:val="Hyperlink"/>
                <w:rFonts w:eastAsiaTheme="majorEastAsia"/>
                <w:noProof/>
              </w:rPr>
              <w:t>Report Content and Structure</w:t>
            </w:r>
            <w:r>
              <w:rPr>
                <w:noProof/>
                <w:webHidden/>
              </w:rPr>
              <w:tab/>
            </w:r>
            <w:r>
              <w:rPr>
                <w:noProof/>
                <w:webHidden/>
              </w:rPr>
              <w:fldChar w:fldCharType="begin"/>
            </w:r>
            <w:r>
              <w:rPr>
                <w:noProof/>
                <w:webHidden/>
              </w:rPr>
              <w:instrText xml:space="preserve"> PAGEREF _Toc176345108 \h </w:instrText>
            </w:r>
            <w:r>
              <w:rPr>
                <w:noProof/>
                <w:webHidden/>
              </w:rPr>
            </w:r>
            <w:r>
              <w:rPr>
                <w:noProof/>
                <w:webHidden/>
              </w:rPr>
              <w:fldChar w:fldCharType="separate"/>
            </w:r>
            <w:r>
              <w:rPr>
                <w:noProof/>
                <w:webHidden/>
              </w:rPr>
              <w:t>2</w:t>
            </w:r>
            <w:r>
              <w:rPr>
                <w:noProof/>
                <w:webHidden/>
              </w:rPr>
              <w:fldChar w:fldCharType="end"/>
            </w:r>
          </w:hyperlink>
        </w:p>
        <w:p w14:paraId="1FF85488" w14:textId="1A621EA4" w:rsidR="003B4543" w:rsidRDefault="003B4543">
          <w:pPr>
            <w:pStyle w:val="TOC1"/>
            <w:tabs>
              <w:tab w:val="right" w:leader="dot" w:pos="9016"/>
            </w:tabs>
            <w:rPr>
              <w:rFonts w:asciiTheme="minorHAnsi" w:eastAsiaTheme="minorEastAsia" w:hAnsiTheme="minorHAnsi" w:cstheme="minorBidi"/>
              <w:noProof/>
              <w:kern w:val="2"/>
              <w:sz w:val="24"/>
              <w14:ligatures w14:val="standardContextual"/>
            </w:rPr>
          </w:pPr>
          <w:hyperlink w:anchor="_Toc176345109" w:history="1">
            <w:r w:rsidRPr="00B05CC6">
              <w:rPr>
                <w:rStyle w:val="Hyperlink"/>
                <w:rFonts w:eastAsiaTheme="majorEastAsia"/>
                <w:noProof/>
              </w:rPr>
              <w:t>Table of Tables</w:t>
            </w:r>
            <w:r>
              <w:rPr>
                <w:noProof/>
                <w:webHidden/>
              </w:rPr>
              <w:tab/>
            </w:r>
            <w:r>
              <w:rPr>
                <w:noProof/>
                <w:webHidden/>
              </w:rPr>
              <w:fldChar w:fldCharType="begin"/>
            </w:r>
            <w:r>
              <w:rPr>
                <w:noProof/>
                <w:webHidden/>
              </w:rPr>
              <w:instrText xml:space="preserve"> PAGEREF _Toc176345109 \h </w:instrText>
            </w:r>
            <w:r>
              <w:rPr>
                <w:noProof/>
                <w:webHidden/>
              </w:rPr>
            </w:r>
            <w:r>
              <w:rPr>
                <w:noProof/>
                <w:webHidden/>
              </w:rPr>
              <w:fldChar w:fldCharType="separate"/>
            </w:r>
            <w:r>
              <w:rPr>
                <w:noProof/>
                <w:webHidden/>
              </w:rPr>
              <w:t>4</w:t>
            </w:r>
            <w:r>
              <w:rPr>
                <w:noProof/>
                <w:webHidden/>
              </w:rPr>
              <w:fldChar w:fldCharType="end"/>
            </w:r>
          </w:hyperlink>
        </w:p>
        <w:p w14:paraId="14CF9DC1" w14:textId="7B6B1697" w:rsidR="003B4543" w:rsidRDefault="003B4543">
          <w:pPr>
            <w:pStyle w:val="TOC1"/>
            <w:tabs>
              <w:tab w:val="right" w:leader="dot" w:pos="9016"/>
            </w:tabs>
            <w:rPr>
              <w:rFonts w:asciiTheme="minorHAnsi" w:eastAsiaTheme="minorEastAsia" w:hAnsiTheme="minorHAnsi" w:cstheme="minorBidi"/>
              <w:noProof/>
              <w:kern w:val="2"/>
              <w:sz w:val="24"/>
              <w14:ligatures w14:val="standardContextual"/>
            </w:rPr>
          </w:pPr>
          <w:hyperlink w:anchor="_Toc176345110" w:history="1">
            <w:r w:rsidRPr="00B05CC6">
              <w:rPr>
                <w:rStyle w:val="Hyperlink"/>
                <w:rFonts w:eastAsiaTheme="majorEastAsia"/>
                <w:noProof/>
              </w:rPr>
              <w:t>Table of Figures</w:t>
            </w:r>
            <w:r>
              <w:rPr>
                <w:noProof/>
                <w:webHidden/>
              </w:rPr>
              <w:tab/>
            </w:r>
            <w:r>
              <w:rPr>
                <w:noProof/>
                <w:webHidden/>
              </w:rPr>
              <w:fldChar w:fldCharType="begin"/>
            </w:r>
            <w:r>
              <w:rPr>
                <w:noProof/>
                <w:webHidden/>
              </w:rPr>
              <w:instrText xml:space="preserve"> PAGEREF _Toc176345110 \h </w:instrText>
            </w:r>
            <w:r>
              <w:rPr>
                <w:noProof/>
                <w:webHidden/>
              </w:rPr>
            </w:r>
            <w:r>
              <w:rPr>
                <w:noProof/>
                <w:webHidden/>
              </w:rPr>
              <w:fldChar w:fldCharType="separate"/>
            </w:r>
            <w:r>
              <w:rPr>
                <w:noProof/>
                <w:webHidden/>
              </w:rPr>
              <w:t>4</w:t>
            </w:r>
            <w:r>
              <w:rPr>
                <w:noProof/>
                <w:webHidden/>
              </w:rPr>
              <w:fldChar w:fldCharType="end"/>
            </w:r>
          </w:hyperlink>
        </w:p>
        <w:p w14:paraId="7BE3BF5D" w14:textId="6339B7EF" w:rsidR="003B4543" w:rsidRDefault="003B4543">
          <w:pPr>
            <w:pStyle w:val="TOC1"/>
            <w:tabs>
              <w:tab w:val="right" w:leader="dot" w:pos="9016"/>
            </w:tabs>
            <w:rPr>
              <w:rFonts w:asciiTheme="minorHAnsi" w:eastAsiaTheme="minorEastAsia" w:hAnsiTheme="minorHAnsi" w:cstheme="minorBidi"/>
              <w:noProof/>
              <w:kern w:val="2"/>
              <w:sz w:val="24"/>
              <w14:ligatures w14:val="standardContextual"/>
            </w:rPr>
          </w:pPr>
          <w:hyperlink w:anchor="_Toc176345111" w:history="1">
            <w:r w:rsidRPr="00B05CC6">
              <w:rPr>
                <w:rStyle w:val="Hyperlink"/>
                <w:rFonts w:eastAsiaTheme="majorEastAsia"/>
                <w:noProof/>
              </w:rPr>
              <w:t>Table of Abbreviations/Glossary</w:t>
            </w:r>
            <w:r>
              <w:rPr>
                <w:noProof/>
                <w:webHidden/>
              </w:rPr>
              <w:tab/>
            </w:r>
            <w:r>
              <w:rPr>
                <w:noProof/>
                <w:webHidden/>
              </w:rPr>
              <w:fldChar w:fldCharType="begin"/>
            </w:r>
            <w:r>
              <w:rPr>
                <w:noProof/>
                <w:webHidden/>
              </w:rPr>
              <w:instrText xml:space="preserve"> PAGEREF _Toc176345111 \h </w:instrText>
            </w:r>
            <w:r>
              <w:rPr>
                <w:noProof/>
                <w:webHidden/>
              </w:rPr>
            </w:r>
            <w:r>
              <w:rPr>
                <w:noProof/>
                <w:webHidden/>
              </w:rPr>
              <w:fldChar w:fldCharType="separate"/>
            </w:r>
            <w:r>
              <w:rPr>
                <w:noProof/>
                <w:webHidden/>
              </w:rPr>
              <w:t>4</w:t>
            </w:r>
            <w:r>
              <w:rPr>
                <w:noProof/>
                <w:webHidden/>
              </w:rPr>
              <w:fldChar w:fldCharType="end"/>
            </w:r>
          </w:hyperlink>
        </w:p>
        <w:p w14:paraId="6B315336" w14:textId="75D7E015" w:rsidR="003B4543" w:rsidRDefault="003B4543">
          <w:pPr>
            <w:pStyle w:val="TOC1"/>
            <w:tabs>
              <w:tab w:val="right" w:leader="dot" w:pos="9016"/>
            </w:tabs>
            <w:rPr>
              <w:rFonts w:asciiTheme="minorHAnsi" w:eastAsiaTheme="minorEastAsia" w:hAnsiTheme="minorHAnsi" w:cstheme="minorBidi"/>
              <w:noProof/>
              <w:kern w:val="2"/>
              <w:sz w:val="24"/>
              <w14:ligatures w14:val="standardContextual"/>
            </w:rPr>
          </w:pPr>
          <w:hyperlink w:anchor="_Toc176345112" w:history="1">
            <w:r w:rsidRPr="00B05CC6">
              <w:rPr>
                <w:rStyle w:val="Hyperlink"/>
                <w:rFonts w:eastAsiaTheme="majorEastAsia"/>
                <w:noProof/>
              </w:rPr>
              <w:t>Executive Summary</w:t>
            </w:r>
            <w:r>
              <w:rPr>
                <w:noProof/>
                <w:webHidden/>
              </w:rPr>
              <w:tab/>
            </w:r>
            <w:r>
              <w:rPr>
                <w:noProof/>
                <w:webHidden/>
              </w:rPr>
              <w:fldChar w:fldCharType="begin"/>
            </w:r>
            <w:r>
              <w:rPr>
                <w:noProof/>
                <w:webHidden/>
              </w:rPr>
              <w:instrText xml:space="preserve"> PAGEREF _Toc176345112 \h </w:instrText>
            </w:r>
            <w:r>
              <w:rPr>
                <w:noProof/>
                <w:webHidden/>
              </w:rPr>
            </w:r>
            <w:r>
              <w:rPr>
                <w:noProof/>
                <w:webHidden/>
              </w:rPr>
              <w:fldChar w:fldCharType="separate"/>
            </w:r>
            <w:r>
              <w:rPr>
                <w:noProof/>
                <w:webHidden/>
              </w:rPr>
              <w:t>5</w:t>
            </w:r>
            <w:r>
              <w:rPr>
                <w:noProof/>
                <w:webHidden/>
              </w:rPr>
              <w:fldChar w:fldCharType="end"/>
            </w:r>
          </w:hyperlink>
        </w:p>
        <w:p w14:paraId="5E522558" w14:textId="2E039E79" w:rsidR="003B4543" w:rsidRDefault="003B4543">
          <w:pPr>
            <w:pStyle w:val="TOC1"/>
            <w:tabs>
              <w:tab w:val="left" w:pos="440"/>
              <w:tab w:val="right" w:leader="dot" w:pos="9016"/>
            </w:tabs>
            <w:rPr>
              <w:rFonts w:asciiTheme="minorHAnsi" w:eastAsiaTheme="minorEastAsia" w:hAnsiTheme="minorHAnsi" w:cstheme="minorBidi"/>
              <w:noProof/>
              <w:kern w:val="2"/>
              <w:sz w:val="24"/>
              <w14:ligatures w14:val="standardContextual"/>
            </w:rPr>
          </w:pPr>
          <w:hyperlink w:anchor="_Toc176345113" w:history="1">
            <w:r w:rsidRPr="00B05CC6">
              <w:rPr>
                <w:rStyle w:val="Hyperlink"/>
                <w:rFonts w:eastAsiaTheme="majorEastAsia" w:cs="Arial"/>
                <w:noProof/>
              </w:rPr>
              <w:t>1.</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Chapter 1: Emissions Inventory Report</w:t>
            </w:r>
            <w:r>
              <w:rPr>
                <w:noProof/>
                <w:webHidden/>
              </w:rPr>
              <w:tab/>
            </w:r>
            <w:r>
              <w:rPr>
                <w:noProof/>
                <w:webHidden/>
              </w:rPr>
              <w:fldChar w:fldCharType="begin"/>
            </w:r>
            <w:r>
              <w:rPr>
                <w:noProof/>
                <w:webHidden/>
              </w:rPr>
              <w:instrText xml:space="preserve"> PAGEREF _Toc176345113 \h </w:instrText>
            </w:r>
            <w:r>
              <w:rPr>
                <w:noProof/>
                <w:webHidden/>
              </w:rPr>
            </w:r>
            <w:r>
              <w:rPr>
                <w:noProof/>
                <w:webHidden/>
              </w:rPr>
              <w:fldChar w:fldCharType="separate"/>
            </w:r>
            <w:r>
              <w:rPr>
                <w:noProof/>
                <w:webHidden/>
              </w:rPr>
              <w:t>8</w:t>
            </w:r>
            <w:r>
              <w:rPr>
                <w:noProof/>
                <w:webHidden/>
              </w:rPr>
              <w:fldChar w:fldCharType="end"/>
            </w:r>
          </w:hyperlink>
        </w:p>
        <w:p w14:paraId="106F7C03" w14:textId="4E5F8394" w:rsidR="003B4543" w:rsidRDefault="003B4543">
          <w:pPr>
            <w:pStyle w:val="TOC2"/>
            <w:tabs>
              <w:tab w:val="left" w:pos="960"/>
              <w:tab w:val="right" w:leader="dot" w:pos="9016"/>
            </w:tabs>
            <w:rPr>
              <w:rFonts w:asciiTheme="minorHAnsi" w:eastAsiaTheme="minorEastAsia" w:hAnsiTheme="minorHAnsi" w:cstheme="minorBidi"/>
              <w:noProof/>
              <w:kern w:val="2"/>
              <w:sz w:val="24"/>
              <w14:ligatures w14:val="standardContextual"/>
            </w:rPr>
          </w:pPr>
          <w:hyperlink w:anchor="_Toc176345114" w:history="1">
            <w:r w:rsidRPr="00B05CC6">
              <w:rPr>
                <w:rStyle w:val="Hyperlink"/>
                <w:rFonts w:eastAsiaTheme="majorEastAsia"/>
                <w:noProof/>
              </w:rPr>
              <w:t>1.1.</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Introduction</w:t>
            </w:r>
            <w:r>
              <w:rPr>
                <w:noProof/>
                <w:webHidden/>
              </w:rPr>
              <w:tab/>
            </w:r>
            <w:r>
              <w:rPr>
                <w:noProof/>
                <w:webHidden/>
              </w:rPr>
              <w:fldChar w:fldCharType="begin"/>
            </w:r>
            <w:r>
              <w:rPr>
                <w:noProof/>
                <w:webHidden/>
              </w:rPr>
              <w:instrText xml:space="preserve"> PAGEREF _Toc176345114 \h </w:instrText>
            </w:r>
            <w:r>
              <w:rPr>
                <w:noProof/>
                <w:webHidden/>
              </w:rPr>
            </w:r>
            <w:r>
              <w:rPr>
                <w:noProof/>
                <w:webHidden/>
              </w:rPr>
              <w:fldChar w:fldCharType="separate"/>
            </w:r>
            <w:r>
              <w:rPr>
                <w:noProof/>
                <w:webHidden/>
              </w:rPr>
              <w:t>8</w:t>
            </w:r>
            <w:r>
              <w:rPr>
                <w:noProof/>
                <w:webHidden/>
              </w:rPr>
              <w:fldChar w:fldCharType="end"/>
            </w:r>
          </w:hyperlink>
        </w:p>
        <w:p w14:paraId="1FF526CE" w14:textId="45845E45" w:rsidR="003B4543" w:rsidRDefault="003B4543">
          <w:pPr>
            <w:pStyle w:val="TOC2"/>
            <w:tabs>
              <w:tab w:val="left" w:pos="960"/>
              <w:tab w:val="right" w:leader="dot" w:pos="9016"/>
            </w:tabs>
            <w:rPr>
              <w:rFonts w:asciiTheme="minorHAnsi" w:eastAsiaTheme="minorEastAsia" w:hAnsiTheme="minorHAnsi" w:cstheme="minorBidi"/>
              <w:noProof/>
              <w:kern w:val="2"/>
              <w:sz w:val="24"/>
              <w14:ligatures w14:val="standardContextual"/>
            </w:rPr>
          </w:pPr>
          <w:hyperlink w:anchor="_Toc176345115" w:history="1">
            <w:r w:rsidRPr="00B05CC6">
              <w:rPr>
                <w:rStyle w:val="Hyperlink"/>
                <w:rFonts w:eastAsiaTheme="majorEastAsia"/>
                <w:noProof/>
              </w:rPr>
              <w:t>1.2.</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Emissions Inventory Results</w:t>
            </w:r>
            <w:r>
              <w:rPr>
                <w:noProof/>
                <w:webHidden/>
              </w:rPr>
              <w:tab/>
            </w:r>
            <w:r>
              <w:rPr>
                <w:noProof/>
                <w:webHidden/>
              </w:rPr>
              <w:fldChar w:fldCharType="begin"/>
            </w:r>
            <w:r>
              <w:rPr>
                <w:noProof/>
                <w:webHidden/>
              </w:rPr>
              <w:instrText xml:space="preserve"> PAGEREF _Toc176345115 \h </w:instrText>
            </w:r>
            <w:r>
              <w:rPr>
                <w:noProof/>
                <w:webHidden/>
              </w:rPr>
            </w:r>
            <w:r>
              <w:rPr>
                <w:noProof/>
                <w:webHidden/>
              </w:rPr>
              <w:fldChar w:fldCharType="separate"/>
            </w:r>
            <w:r>
              <w:rPr>
                <w:noProof/>
                <w:webHidden/>
              </w:rPr>
              <w:t>8</w:t>
            </w:r>
            <w:r>
              <w:rPr>
                <w:noProof/>
                <w:webHidden/>
              </w:rPr>
              <w:fldChar w:fldCharType="end"/>
            </w:r>
          </w:hyperlink>
        </w:p>
        <w:p w14:paraId="1ADE6AA8" w14:textId="46D21352" w:rsidR="003B4543" w:rsidRDefault="003B4543">
          <w:pPr>
            <w:pStyle w:val="TOC2"/>
            <w:tabs>
              <w:tab w:val="left" w:pos="960"/>
              <w:tab w:val="right" w:leader="dot" w:pos="9016"/>
            </w:tabs>
            <w:rPr>
              <w:rFonts w:asciiTheme="minorHAnsi" w:eastAsiaTheme="minorEastAsia" w:hAnsiTheme="minorHAnsi" w:cstheme="minorBidi"/>
              <w:noProof/>
              <w:kern w:val="2"/>
              <w:sz w:val="24"/>
              <w14:ligatures w14:val="standardContextual"/>
            </w:rPr>
          </w:pPr>
          <w:hyperlink w:anchor="_Toc176345116" w:history="1">
            <w:r w:rsidRPr="00B05CC6">
              <w:rPr>
                <w:rStyle w:val="Hyperlink"/>
                <w:rFonts w:eastAsiaTheme="majorEastAsia"/>
                <w:noProof/>
              </w:rPr>
              <w:t>1.3.</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Emissions Inventory Results against baseline</w:t>
            </w:r>
            <w:r>
              <w:rPr>
                <w:noProof/>
                <w:webHidden/>
              </w:rPr>
              <w:tab/>
            </w:r>
            <w:r>
              <w:rPr>
                <w:noProof/>
                <w:webHidden/>
              </w:rPr>
              <w:fldChar w:fldCharType="begin"/>
            </w:r>
            <w:r>
              <w:rPr>
                <w:noProof/>
                <w:webHidden/>
              </w:rPr>
              <w:instrText xml:space="preserve"> PAGEREF _Toc176345116 \h </w:instrText>
            </w:r>
            <w:r>
              <w:rPr>
                <w:noProof/>
                <w:webHidden/>
              </w:rPr>
            </w:r>
            <w:r>
              <w:rPr>
                <w:noProof/>
                <w:webHidden/>
              </w:rPr>
              <w:fldChar w:fldCharType="separate"/>
            </w:r>
            <w:r>
              <w:rPr>
                <w:noProof/>
                <w:webHidden/>
              </w:rPr>
              <w:t>10</w:t>
            </w:r>
            <w:r>
              <w:rPr>
                <w:noProof/>
                <w:webHidden/>
              </w:rPr>
              <w:fldChar w:fldCharType="end"/>
            </w:r>
          </w:hyperlink>
        </w:p>
        <w:p w14:paraId="61AE5CE3" w14:textId="5AE31D10" w:rsidR="003B4543" w:rsidRDefault="003B4543">
          <w:pPr>
            <w:pStyle w:val="TOC2"/>
            <w:tabs>
              <w:tab w:val="left" w:pos="960"/>
              <w:tab w:val="right" w:leader="dot" w:pos="9016"/>
            </w:tabs>
            <w:rPr>
              <w:rFonts w:asciiTheme="minorHAnsi" w:eastAsiaTheme="minorEastAsia" w:hAnsiTheme="minorHAnsi" w:cstheme="minorBidi"/>
              <w:noProof/>
              <w:kern w:val="2"/>
              <w:sz w:val="24"/>
              <w14:ligatures w14:val="standardContextual"/>
            </w:rPr>
          </w:pPr>
          <w:hyperlink w:anchor="_Toc176345117" w:history="1">
            <w:r w:rsidRPr="00B05CC6">
              <w:rPr>
                <w:rStyle w:val="Hyperlink"/>
                <w:rFonts w:eastAsiaTheme="majorEastAsia"/>
                <w:noProof/>
              </w:rPr>
              <w:t>1.4.</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Organisational Context</w:t>
            </w:r>
            <w:r>
              <w:rPr>
                <w:noProof/>
                <w:webHidden/>
              </w:rPr>
              <w:tab/>
            </w:r>
            <w:r>
              <w:rPr>
                <w:noProof/>
                <w:webHidden/>
              </w:rPr>
              <w:fldChar w:fldCharType="begin"/>
            </w:r>
            <w:r>
              <w:rPr>
                <w:noProof/>
                <w:webHidden/>
              </w:rPr>
              <w:instrText xml:space="preserve"> PAGEREF _Toc176345117 \h </w:instrText>
            </w:r>
            <w:r>
              <w:rPr>
                <w:noProof/>
                <w:webHidden/>
              </w:rPr>
            </w:r>
            <w:r>
              <w:rPr>
                <w:noProof/>
                <w:webHidden/>
              </w:rPr>
              <w:fldChar w:fldCharType="separate"/>
            </w:r>
            <w:r>
              <w:rPr>
                <w:noProof/>
                <w:webHidden/>
              </w:rPr>
              <w:t>11</w:t>
            </w:r>
            <w:r>
              <w:rPr>
                <w:noProof/>
                <w:webHidden/>
              </w:rPr>
              <w:fldChar w:fldCharType="end"/>
            </w:r>
          </w:hyperlink>
        </w:p>
        <w:p w14:paraId="792E5098" w14:textId="7269D3DA" w:rsidR="003B4543" w:rsidRDefault="003B4543">
          <w:pPr>
            <w:pStyle w:val="TOC2"/>
            <w:tabs>
              <w:tab w:val="left" w:pos="1200"/>
              <w:tab w:val="right" w:leader="dot" w:pos="9016"/>
            </w:tabs>
            <w:rPr>
              <w:rFonts w:asciiTheme="minorHAnsi" w:eastAsiaTheme="minorEastAsia" w:hAnsiTheme="minorHAnsi" w:cstheme="minorBidi"/>
              <w:noProof/>
              <w:kern w:val="2"/>
              <w:sz w:val="24"/>
              <w14:ligatures w14:val="standardContextual"/>
            </w:rPr>
          </w:pPr>
          <w:hyperlink w:anchor="_Toc176345118" w:history="1">
            <w:r w:rsidRPr="00B05CC6">
              <w:rPr>
                <w:rStyle w:val="Hyperlink"/>
                <w:rFonts w:eastAsiaTheme="majorEastAsia"/>
                <w:noProof/>
              </w:rPr>
              <w:t>1.4.1.</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Organisational Description</w:t>
            </w:r>
            <w:r>
              <w:rPr>
                <w:noProof/>
                <w:webHidden/>
              </w:rPr>
              <w:tab/>
            </w:r>
            <w:r>
              <w:rPr>
                <w:noProof/>
                <w:webHidden/>
              </w:rPr>
              <w:fldChar w:fldCharType="begin"/>
            </w:r>
            <w:r>
              <w:rPr>
                <w:noProof/>
                <w:webHidden/>
              </w:rPr>
              <w:instrText xml:space="preserve"> PAGEREF _Toc176345118 \h </w:instrText>
            </w:r>
            <w:r>
              <w:rPr>
                <w:noProof/>
                <w:webHidden/>
              </w:rPr>
            </w:r>
            <w:r>
              <w:rPr>
                <w:noProof/>
                <w:webHidden/>
              </w:rPr>
              <w:fldChar w:fldCharType="separate"/>
            </w:r>
            <w:r>
              <w:rPr>
                <w:noProof/>
                <w:webHidden/>
              </w:rPr>
              <w:t>11</w:t>
            </w:r>
            <w:r>
              <w:rPr>
                <w:noProof/>
                <w:webHidden/>
              </w:rPr>
              <w:fldChar w:fldCharType="end"/>
            </w:r>
          </w:hyperlink>
        </w:p>
        <w:p w14:paraId="00D6D926" w14:textId="0B418416" w:rsidR="003B4543" w:rsidRDefault="003B4543">
          <w:pPr>
            <w:pStyle w:val="TOC2"/>
            <w:tabs>
              <w:tab w:val="left" w:pos="1200"/>
              <w:tab w:val="right" w:leader="dot" w:pos="9016"/>
            </w:tabs>
            <w:rPr>
              <w:rFonts w:asciiTheme="minorHAnsi" w:eastAsiaTheme="minorEastAsia" w:hAnsiTheme="minorHAnsi" w:cstheme="minorBidi"/>
              <w:noProof/>
              <w:kern w:val="2"/>
              <w:sz w:val="24"/>
              <w14:ligatures w14:val="standardContextual"/>
            </w:rPr>
          </w:pPr>
          <w:hyperlink w:anchor="_Toc176345119" w:history="1">
            <w:r w:rsidRPr="00B05CC6">
              <w:rPr>
                <w:rStyle w:val="Hyperlink"/>
                <w:rFonts w:eastAsiaTheme="majorEastAsia"/>
                <w:noProof/>
              </w:rPr>
              <w:t>1.4.2.</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Statement of intent</w:t>
            </w:r>
            <w:r>
              <w:rPr>
                <w:noProof/>
                <w:webHidden/>
              </w:rPr>
              <w:tab/>
            </w:r>
            <w:r>
              <w:rPr>
                <w:noProof/>
                <w:webHidden/>
              </w:rPr>
              <w:fldChar w:fldCharType="begin"/>
            </w:r>
            <w:r>
              <w:rPr>
                <w:noProof/>
                <w:webHidden/>
              </w:rPr>
              <w:instrText xml:space="preserve"> PAGEREF _Toc176345119 \h </w:instrText>
            </w:r>
            <w:r>
              <w:rPr>
                <w:noProof/>
                <w:webHidden/>
              </w:rPr>
            </w:r>
            <w:r>
              <w:rPr>
                <w:noProof/>
                <w:webHidden/>
              </w:rPr>
              <w:fldChar w:fldCharType="separate"/>
            </w:r>
            <w:r>
              <w:rPr>
                <w:noProof/>
                <w:webHidden/>
              </w:rPr>
              <w:t>13</w:t>
            </w:r>
            <w:r>
              <w:rPr>
                <w:noProof/>
                <w:webHidden/>
              </w:rPr>
              <w:fldChar w:fldCharType="end"/>
            </w:r>
          </w:hyperlink>
        </w:p>
        <w:p w14:paraId="4D553915" w14:textId="6331E551" w:rsidR="003B4543" w:rsidRDefault="003B4543">
          <w:pPr>
            <w:pStyle w:val="TOC2"/>
            <w:tabs>
              <w:tab w:val="left" w:pos="1200"/>
              <w:tab w:val="right" w:leader="dot" w:pos="9016"/>
            </w:tabs>
            <w:rPr>
              <w:rFonts w:asciiTheme="minorHAnsi" w:eastAsiaTheme="minorEastAsia" w:hAnsiTheme="minorHAnsi" w:cstheme="minorBidi"/>
              <w:noProof/>
              <w:kern w:val="2"/>
              <w:sz w:val="24"/>
              <w14:ligatures w14:val="standardContextual"/>
            </w:rPr>
          </w:pPr>
          <w:hyperlink w:anchor="_Toc176345120" w:history="1">
            <w:r w:rsidRPr="00B05CC6">
              <w:rPr>
                <w:rStyle w:val="Hyperlink"/>
                <w:rFonts w:eastAsiaTheme="majorEastAsia"/>
                <w:noProof/>
              </w:rPr>
              <w:t>1.4.3.</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Reporting period</w:t>
            </w:r>
            <w:r>
              <w:rPr>
                <w:noProof/>
                <w:webHidden/>
              </w:rPr>
              <w:tab/>
            </w:r>
            <w:r>
              <w:rPr>
                <w:noProof/>
                <w:webHidden/>
              </w:rPr>
              <w:fldChar w:fldCharType="begin"/>
            </w:r>
            <w:r>
              <w:rPr>
                <w:noProof/>
                <w:webHidden/>
              </w:rPr>
              <w:instrText xml:space="preserve"> PAGEREF _Toc176345120 \h </w:instrText>
            </w:r>
            <w:r>
              <w:rPr>
                <w:noProof/>
                <w:webHidden/>
              </w:rPr>
            </w:r>
            <w:r>
              <w:rPr>
                <w:noProof/>
                <w:webHidden/>
              </w:rPr>
              <w:fldChar w:fldCharType="separate"/>
            </w:r>
            <w:r>
              <w:rPr>
                <w:noProof/>
                <w:webHidden/>
              </w:rPr>
              <w:t>13</w:t>
            </w:r>
            <w:r>
              <w:rPr>
                <w:noProof/>
                <w:webHidden/>
              </w:rPr>
              <w:fldChar w:fldCharType="end"/>
            </w:r>
          </w:hyperlink>
        </w:p>
        <w:p w14:paraId="597BAFE6" w14:textId="6E559B9E" w:rsidR="003B4543" w:rsidRDefault="003B4543">
          <w:pPr>
            <w:pStyle w:val="TOC2"/>
            <w:tabs>
              <w:tab w:val="left" w:pos="1200"/>
              <w:tab w:val="right" w:leader="dot" w:pos="9016"/>
            </w:tabs>
            <w:rPr>
              <w:rFonts w:asciiTheme="minorHAnsi" w:eastAsiaTheme="minorEastAsia" w:hAnsiTheme="minorHAnsi" w:cstheme="minorBidi"/>
              <w:noProof/>
              <w:kern w:val="2"/>
              <w:sz w:val="24"/>
              <w14:ligatures w14:val="standardContextual"/>
            </w:rPr>
          </w:pPr>
          <w:hyperlink w:anchor="_Toc176345121" w:history="1">
            <w:r w:rsidRPr="00B05CC6">
              <w:rPr>
                <w:rStyle w:val="Hyperlink"/>
                <w:rFonts w:eastAsiaTheme="majorEastAsia"/>
                <w:noProof/>
              </w:rPr>
              <w:t>1.4.4.</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Organisational boundary and consolidation approach</w:t>
            </w:r>
            <w:r>
              <w:rPr>
                <w:noProof/>
                <w:webHidden/>
              </w:rPr>
              <w:tab/>
            </w:r>
            <w:r>
              <w:rPr>
                <w:noProof/>
                <w:webHidden/>
              </w:rPr>
              <w:fldChar w:fldCharType="begin"/>
            </w:r>
            <w:r>
              <w:rPr>
                <w:noProof/>
                <w:webHidden/>
              </w:rPr>
              <w:instrText xml:space="preserve"> PAGEREF _Toc176345121 \h </w:instrText>
            </w:r>
            <w:r>
              <w:rPr>
                <w:noProof/>
                <w:webHidden/>
              </w:rPr>
            </w:r>
            <w:r>
              <w:rPr>
                <w:noProof/>
                <w:webHidden/>
              </w:rPr>
              <w:fldChar w:fldCharType="separate"/>
            </w:r>
            <w:r>
              <w:rPr>
                <w:noProof/>
                <w:webHidden/>
              </w:rPr>
              <w:t>13</w:t>
            </w:r>
            <w:r>
              <w:rPr>
                <w:noProof/>
                <w:webHidden/>
              </w:rPr>
              <w:fldChar w:fldCharType="end"/>
            </w:r>
          </w:hyperlink>
        </w:p>
        <w:p w14:paraId="7917E49E" w14:textId="6497B680" w:rsidR="003B4543" w:rsidRDefault="003B4543">
          <w:pPr>
            <w:pStyle w:val="TOC2"/>
            <w:tabs>
              <w:tab w:val="left" w:pos="1200"/>
              <w:tab w:val="right" w:leader="dot" w:pos="9016"/>
            </w:tabs>
            <w:rPr>
              <w:rFonts w:asciiTheme="minorHAnsi" w:eastAsiaTheme="minorEastAsia" w:hAnsiTheme="minorHAnsi" w:cstheme="minorBidi"/>
              <w:noProof/>
              <w:kern w:val="2"/>
              <w:sz w:val="24"/>
              <w14:ligatures w14:val="standardContextual"/>
            </w:rPr>
          </w:pPr>
          <w:hyperlink w:anchor="_Toc176345122" w:history="1">
            <w:r w:rsidRPr="00B05CC6">
              <w:rPr>
                <w:rStyle w:val="Hyperlink"/>
                <w:rFonts w:eastAsiaTheme="majorEastAsia"/>
                <w:noProof/>
              </w:rPr>
              <w:t>1.4.5.</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Business units excluded from inventory</w:t>
            </w:r>
            <w:r>
              <w:rPr>
                <w:noProof/>
                <w:webHidden/>
              </w:rPr>
              <w:tab/>
            </w:r>
            <w:r>
              <w:rPr>
                <w:noProof/>
                <w:webHidden/>
              </w:rPr>
              <w:fldChar w:fldCharType="begin"/>
            </w:r>
            <w:r>
              <w:rPr>
                <w:noProof/>
                <w:webHidden/>
              </w:rPr>
              <w:instrText xml:space="preserve"> PAGEREF _Toc176345122 \h </w:instrText>
            </w:r>
            <w:r>
              <w:rPr>
                <w:noProof/>
                <w:webHidden/>
              </w:rPr>
            </w:r>
            <w:r>
              <w:rPr>
                <w:noProof/>
                <w:webHidden/>
              </w:rPr>
              <w:fldChar w:fldCharType="separate"/>
            </w:r>
            <w:r>
              <w:rPr>
                <w:noProof/>
                <w:webHidden/>
              </w:rPr>
              <w:t>15</w:t>
            </w:r>
            <w:r>
              <w:rPr>
                <w:noProof/>
                <w:webHidden/>
              </w:rPr>
              <w:fldChar w:fldCharType="end"/>
            </w:r>
          </w:hyperlink>
        </w:p>
        <w:p w14:paraId="24AA67FA" w14:textId="7D2C541A" w:rsidR="003B4543" w:rsidRDefault="003B4543">
          <w:pPr>
            <w:pStyle w:val="TOC2"/>
            <w:tabs>
              <w:tab w:val="left" w:pos="960"/>
              <w:tab w:val="right" w:leader="dot" w:pos="9016"/>
            </w:tabs>
            <w:rPr>
              <w:rFonts w:asciiTheme="minorHAnsi" w:eastAsiaTheme="minorEastAsia" w:hAnsiTheme="minorHAnsi" w:cstheme="minorBidi"/>
              <w:noProof/>
              <w:kern w:val="2"/>
              <w:sz w:val="24"/>
              <w14:ligatures w14:val="standardContextual"/>
            </w:rPr>
          </w:pPr>
          <w:hyperlink w:anchor="_Toc176345123" w:history="1">
            <w:r w:rsidRPr="00B05CC6">
              <w:rPr>
                <w:rStyle w:val="Hyperlink"/>
                <w:rFonts w:eastAsiaTheme="majorEastAsia"/>
                <w:noProof/>
              </w:rPr>
              <w:t>1.5.</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GHG Emissions sources</w:t>
            </w:r>
            <w:r>
              <w:rPr>
                <w:noProof/>
                <w:webHidden/>
              </w:rPr>
              <w:tab/>
            </w:r>
            <w:r>
              <w:rPr>
                <w:noProof/>
                <w:webHidden/>
              </w:rPr>
              <w:fldChar w:fldCharType="begin"/>
            </w:r>
            <w:r>
              <w:rPr>
                <w:noProof/>
                <w:webHidden/>
              </w:rPr>
              <w:instrText xml:space="preserve"> PAGEREF _Toc176345123 \h </w:instrText>
            </w:r>
            <w:r>
              <w:rPr>
                <w:noProof/>
                <w:webHidden/>
              </w:rPr>
            </w:r>
            <w:r>
              <w:rPr>
                <w:noProof/>
                <w:webHidden/>
              </w:rPr>
              <w:fldChar w:fldCharType="separate"/>
            </w:r>
            <w:r>
              <w:rPr>
                <w:noProof/>
                <w:webHidden/>
              </w:rPr>
              <w:t>15</w:t>
            </w:r>
            <w:r>
              <w:rPr>
                <w:noProof/>
                <w:webHidden/>
              </w:rPr>
              <w:fldChar w:fldCharType="end"/>
            </w:r>
          </w:hyperlink>
        </w:p>
        <w:p w14:paraId="3863AEEC" w14:textId="715F62DD" w:rsidR="003B4543" w:rsidRDefault="003B4543">
          <w:pPr>
            <w:pStyle w:val="TOC2"/>
            <w:tabs>
              <w:tab w:val="left" w:pos="1200"/>
              <w:tab w:val="right" w:leader="dot" w:pos="9016"/>
            </w:tabs>
            <w:rPr>
              <w:rFonts w:asciiTheme="minorHAnsi" w:eastAsiaTheme="minorEastAsia" w:hAnsiTheme="minorHAnsi" w:cstheme="minorBidi"/>
              <w:noProof/>
              <w:kern w:val="2"/>
              <w:sz w:val="24"/>
              <w14:ligatures w14:val="standardContextual"/>
            </w:rPr>
          </w:pPr>
          <w:hyperlink w:anchor="_Toc176345124" w:history="1">
            <w:r w:rsidRPr="00B05CC6">
              <w:rPr>
                <w:rStyle w:val="Hyperlink"/>
                <w:rFonts w:eastAsiaTheme="majorEastAsia"/>
                <w:noProof/>
              </w:rPr>
              <w:t>1.5.1.</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Significance and Materiality</w:t>
            </w:r>
            <w:r>
              <w:rPr>
                <w:noProof/>
                <w:webHidden/>
              </w:rPr>
              <w:tab/>
            </w:r>
            <w:r>
              <w:rPr>
                <w:noProof/>
                <w:webHidden/>
              </w:rPr>
              <w:fldChar w:fldCharType="begin"/>
            </w:r>
            <w:r>
              <w:rPr>
                <w:noProof/>
                <w:webHidden/>
              </w:rPr>
              <w:instrText xml:space="preserve"> PAGEREF _Toc176345124 \h </w:instrText>
            </w:r>
            <w:r>
              <w:rPr>
                <w:noProof/>
                <w:webHidden/>
              </w:rPr>
            </w:r>
            <w:r>
              <w:rPr>
                <w:noProof/>
                <w:webHidden/>
              </w:rPr>
              <w:fldChar w:fldCharType="separate"/>
            </w:r>
            <w:r>
              <w:rPr>
                <w:noProof/>
                <w:webHidden/>
              </w:rPr>
              <w:t>15</w:t>
            </w:r>
            <w:r>
              <w:rPr>
                <w:noProof/>
                <w:webHidden/>
              </w:rPr>
              <w:fldChar w:fldCharType="end"/>
            </w:r>
          </w:hyperlink>
        </w:p>
        <w:p w14:paraId="633A6A0D" w14:textId="07556625" w:rsidR="003B4543" w:rsidRDefault="003B4543">
          <w:pPr>
            <w:pStyle w:val="TOC2"/>
            <w:tabs>
              <w:tab w:val="left" w:pos="1200"/>
              <w:tab w:val="right" w:leader="dot" w:pos="9016"/>
            </w:tabs>
            <w:rPr>
              <w:rFonts w:asciiTheme="minorHAnsi" w:eastAsiaTheme="minorEastAsia" w:hAnsiTheme="minorHAnsi" w:cstheme="minorBidi"/>
              <w:noProof/>
              <w:kern w:val="2"/>
              <w:sz w:val="24"/>
              <w14:ligatures w14:val="standardContextual"/>
            </w:rPr>
          </w:pPr>
          <w:hyperlink w:anchor="_Toc176345125" w:history="1">
            <w:r w:rsidRPr="00B05CC6">
              <w:rPr>
                <w:rStyle w:val="Hyperlink"/>
                <w:rFonts w:eastAsiaTheme="majorEastAsia"/>
                <w:noProof/>
              </w:rPr>
              <w:t>1.5.2.</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Emissions sources included</w:t>
            </w:r>
            <w:r>
              <w:rPr>
                <w:noProof/>
                <w:webHidden/>
              </w:rPr>
              <w:tab/>
            </w:r>
            <w:r>
              <w:rPr>
                <w:noProof/>
                <w:webHidden/>
              </w:rPr>
              <w:fldChar w:fldCharType="begin"/>
            </w:r>
            <w:r>
              <w:rPr>
                <w:noProof/>
                <w:webHidden/>
              </w:rPr>
              <w:instrText xml:space="preserve"> PAGEREF _Toc176345125 \h </w:instrText>
            </w:r>
            <w:r>
              <w:rPr>
                <w:noProof/>
                <w:webHidden/>
              </w:rPr>
            </w:r>
            <w:r>
              <w:rPr>
                <w:noProof/>
                <w:webHidden/>
              </w:rPr>
              <w:fldChar w:fldCharType="separate"/>
            </w:r>
            <w:r>
              <w:rPr>
                <w:noProof/>
                <w:webHidden/>
              </w:rPr>
              <w:t>16</w:t>
            </w:r>
            <w:r>
              <w:rPr>
                <w:noProof/>
                <w:webHidden/>
              </w:rPr>
              <w:fldChar w:fldCharType="end"/>
            </w:r>
          </w:hyperlink>
        </w:p>
        <w:p w14:paraId="53035827" w14:textId="53059232" w:rsidR="003B4543" w:rsidRDefault="003B4543">
          <w:pPr>
            <w:pStyle w:val="TOC2"/>
            <w:tabs>
              <w:tab w:val="left" w:pos="1200"/>
              <w:tab w:val="right" w:leader="dot" w:pos="9016"/>
            </w:tabs>
            <w:rPr>
              <w:rFonts w:asciiTheme="minorHAnsi" w:eastAsiaTheme="minorEastAsia" w:hAnsiTheme="minorHAnsi" w:cstheme="minorBidi"/>
              <w:noProof/>
              <w:kern w:val="2"/>
              <w:sz w:val="24"/>
              <w14:ligatures w14:val="standardContextual"/>
            </w:rPr>
          </w:pPr>
          <w:hyperlink w:anchor="_Toc176345126" w:history="1">
            <w:r w:rsidRPr="00B05CC6">
              <w:rPr>
                <w:rStyle w:val="Hyperlink"/>
                <w:rFonts w:eastAsiaTheme="majorEastAsia"/>
                <w:noProof/>
              </w:rPr>
              <w:t>1.5.3.</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Emissions sources excluded</w:t>
            </w:r>
            <w:r>
              <w:rPr>
                <w:noProof/>
                <w:webHidden/>
              </w:rPr>
              <w:tab/>
            </w:r>
            <w:r>
              <w:rPr>
                <w:noProof/>
                <w:webHidden/>
              </w:rPr>
              <w:fldChar w:fldCharType="begin"/>
            </w:r>
            <w:r>
              <w:rPr>
                <w:noProof/>
                <w:webHidden/>
              </w:rPr>
              <w:instrText xml:space="preserve"> PAGEREF _Toc176345126 \h </w:instrText>
            </w:r>
            <w:r>
              <w:rPr>
                <w:noProof/>
                <w:webHidden/>
              </w:rPr>
            </w:r>
            <w:r>
              <w:rPr>
                <w:noProof/>
                <w:webHidden/>
              </w:rPr>
              <w:fldChar w:fldCharType="separate"/>
            </w:r>
            <w:r>
              <w:rPr>
                <w:noProof/>
                <w:webHidden/>
              </w:rPr>
              <w:t>17</w:t>
            </w:r>
            <w:r>
              <w:rPr>
                <w:noProof/>
                <w:webHidden/>
              </w:rPr>
              <w:fldChar w:fldCharType="end"/>
            </w:r>
          </w:hyperlink>
        </w:p>
        <w:p w14:paraId="4259AB6E" w14:textId="6546401D" w:rsidR="003B4543" w:rsidRDefault="003B4543">
          <w:pPr>
            <w:pStyle w:val="TOC2"/>
            <w:tabs>
              <w:tab w:val="left" w:pos="1200"/>
              <w:tab w:val="right" w:leader="dot" w:pos="9016"/>
            </w:tabs>
            <w:rPr>
              <w:rFonts w:asciiTheme="minorHAnsi" w:eastAsiaTheme="minorEastAsia" w:hAnsiTheme="minorHAnsi" w:cstheme="minorBidi"/>
              <w:noProof/>
              <w:kern w:val="2"/>
              <w:sz w:val="24"/>
              <w14:ligatures w14:val="standardContextual"/>
            </w:rPr>
          </w:pPr>
          <w:hyperlink w:anchor="_Toc176345127" w:history="1">
            <w:r w:rsidRPr="00B05CC6">
              <w:rPr>
                <w:rStyle w:val="Hyperlink"/>
                <w:rFonts w:eastAsiaTheme="majorEastAsia"/>
                <w:noProof/>
              </w:rPr>
              <w:t>1.5.4.</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Changes to emissions factors</w:t>
            </w:r>
            <w:r>
              <w:rPr>
                <w:noProof/>
                <w:webHidden/>
              </w:rPr>
              <w:tab/>
            </w:r>
            <w:r>
              <w:rPr>
                <w:noProof/>
                <w:webHidden/>
              </w:rPr>
              <w:fldChar w:fldCharType="begin"/>
            </w:r>
            <w:r>
              <w:rPr>
                <w:noProof/>
                <w:webHidden/>
              </w:rPr>
              <w:instrText xml:space="preserve"> PAGEREF _Toc176345127 \h </w:instrText>
            </w:r>
            <w:r>
              <w:rPr>
                <w:noProof/>
                <w:webHidden/>
              </w:rPr>
            </w:r>
            <w:r>
              <w:rPr>
                <w:noProof/>
                <w:webHidden/>
              </w:rPr>
              <w:fldChar w:fldCharType="separate"/>
            </w:r>
            <w:r>
              <w:rPr>
                <w:noProof/>
                <w:webHidden/>
              </w:rPr>
              <w:t>17</w:t>
            </w:r>
            <w:r>
              <w:rPr>
                <w:noProof/>
                <w:webHidden/>
              </w:rPr>
              <w:fldChar w:fldCharType="end"/>
            </w:r>
          </w:hyperlink>
        </w:p>
        <w:p w14:paraId="05127DF2" w14:textId="0ACC2E7E" w:rsidR="003B4543" w:rsidRDefault="003B4543">
          <w:pPr>
            <w:pStyle w:val="TOC2"/>
            <w:tabs>
              <w:tab w:val="left" w:pos="1200"/>
              <w:tab w:val="right" w:leader="dot" w:pos="9016"/>
            </w:tabs>
            <w:rPr>
              <w:rFonts w:asciiTheme="minorHAnsi" w:eastAsiaTheme="minorEastAsia" w:hAnsiTheme="minorHAnsi" w:cstheme="minorBidi"/>
              <w:noProof/>
              <w:kern w:val="2"/>
              <w:sz w:val="24"/>
              <w14:ligatures w14:val="standardContextual"/>
            </w:rPr>
          </w:pPr>
          <w:hyperlink w:anchor="_Toc176345128" w:history="1">
            <w:r w:rsidRPr="00B05CC6">
              <w:rPr>
                <w:rStyle w:val="Hyperlink"/>
                <w:rFonts w:eastAsiaTheme="majorEastAsia"/>
                <w:noProof/>
              </w:rPr>
              <w:t>1.5.5.</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Decision on the restatement of Baseline FY2022/23</w:t>
            </w:r>
            <w:r>
              <w:rPr>
                <w:noProof/>
                <w:webHidden/>
              </w:rPr>
              <w:tab/>
            </w:r>
            <w:r>
              <w:rPr>
                <w:noProof/>
                <w:webHidden/>
              </w:rPr>
              <w:fldChar w:fldCharType="begin"/>
            </w:r>
            <w:r>
              <w:rPr>
                <w:noProof/>
                <w:webHidden/>
              </w:rPr>
              <w:instrText xml:space="preserve"> PAGEREF _Toc176345128 \h </w:instrText>
            </w:r>
            <w:r>
              <w:rPr>
                <w:noProof/>
                <w:webHidden/>
              </w:rPr>
            </w:r>
            <w:r>
              <w:rPr>
                <w:noProof/>
                <w:webHidden/>
              </w:rPr>
              <w:fldChar w:fldCharType="separate"/>
            </w:r>
            <w:r>
              <w:rPr>
                <w:noProof/>
                <w:webHidden/>
              </w:rPr>
              <w:t>18</w:t>
            </w:r>
            <w:r>
              <w:rPr>
                <w:noProof/>
                <w:webHidden/>
              </w:rPr>
              <w:fldChar w:fldCharType="end"/>
            </w:r>
          </w:hyperlink>
        </w:p>
        <w:p w14:paraId="31765E5E" w14:textId="1E1BA22B" w:rsidR="003B4543" w:rsidRDefault="003B4543">
          <w:pPr>
            <w:pStyle w:val="TOC2"/>
            <w:tabs>
              <w:tab w:val="left" w:pos="960"/>
              <w:tab w:val="right" w:leader="dot" w:pos="9016"/>
            </w:tabs>
            <w:rPr>
              <w:rFonts w:asciiTheme="minorHAnsi" w:eastAsiaTheme="minorEastAsia" w:hAnsiTheme="minorHAnsi" w:cstheme="minorBidi"/>
              <w:noProof/>
              <w:kern w:val="2"/>
              <w:sz w:val="24"/>
              <w14:ligatures w14:val="standardContextual"/>
            </w:rPr>
          </w:pPr>
          <w:hyperlink w:anchor="_Toc176345129" w:history="1">
            <w:r w:rsidRPr="00B05CC6">
              <w:rPr>
                <w:rStyle w:val="Hyperlink"/>
                <w:rFonts w:eastAsiaTheme="majorEastAsia"/>
                <w:noProof/>
              </w:rPr>
              <w:t>1.6.</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Liabilities</w:t>
            </w:r>
            <w:r>
              <w:rPr>
                <w:noProof/>
                <w:webHidden/>
              </w:rPr>
              <w:tab/>
            </w:r>
            <w:r>
              <w:rPr>
                <w:noProof/>
                <w:webHidden/>
              </w:rPr>
              <w:fldChar w:fldCharType="begin"/>
            </w:r>
            <w:r>
              <w:rPr>
                <w:noProof/>
                <w:webHidden/>
              </w:rPr>
              <w:instrText xml:space="preserve"> PAGEREF _Toc176345129 \h </w:instrText>
            </w:r>
            <w:r>
              <w:rPr>
                <w:noProof/>
                <w:webHidden/>
              </w:rPr>
            </w:r>
            <w:r>
              <w:rPr>
                <w:noProof/>
                <w:webHidden/>
              </w:rPr>
              <w:fldChar w:fldCharType="separate"/>
            </w:r>
            <w:r>
              <w:rPr>
                <w:noProof/>
                <w:webHidden/>
              </w:rPr>
              <w:t>18</w:t>
            </w:r>
            <w:r>
              <w:rPr>
                <w:noProof/>
                <w:webHidden/>
              </w:rPr>
              <w:fldChar w:fldCharType="end"/>
            </w:r>
          </w:hyperlink>
        </w:p>
        <w:p w14:paraId="250F117E" w14:textId="0C1B7FB2" w:rsidR="003B4543" w:rsidRDefault="003B4543">
          <w:pPr>
            <w:pStyle w:val="TOC2"/>
            <w:tabs>
              <w:tab w:val="left" w:pos="960"/>
              <w:tab w:val="right" w:leader="dot" w:pos="9016"/>
            </w:tabs>
            <w:rPr>
              <w:rFonts w:asciiTheme="minorHAnsi" w:eastAsiaTheme="minorEastAsia" w:hAnsiTheme="minorHAnsi" w:cstheme="minorBidi"/>
              <w:noProof/>
              <w:kern w:val="2"/>
              <w:sz w:val="24"/>
              <w14:ligatures w14:val="standardContextual"/>
            </w:rPr>
          </w:pPr>
          <w:hyperlink w:anchor="_Toc176345130" w:history="1">
            <w:r w:rsidRPr="00B05CC6">
              <w:rPr>
                <w:rStyle w:val="Hyperlink"/>
                <w:rFonts w:eastAsiaTheme="majorEastAsia"/>
                <w:noProof/>
              </w:rPr>
              <w:t>1.7.</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Land-use change</w:t>
            </w:r>
            <w:r>
              <w:rPr>
                <w:noProof/>
                <w:webHidden/>
              </w:rPr>
              <w:tab/>
            </w:r>
            <w:r>
              <w:rPr>
                <w:noProof/>
                <w:webHidden/>
              </w:rPr>
              <w:fldChar w:fldCharType="begin"/>
            </w:r>
            <w:r>
              <w:rPr>
                <w:noProof/>
                <w:webHidden/>
              </w:rPr>
              <w:instrText xml:space="preserve"> PAGEREF _Toc176345130 \h </w:instrText>
            </w:r>
            <w:r>
              <w:rPr>
                <w:noProof/>
                <w:webHidden/>
              </w:rPr>
            </w:r>
            <w:r>
              <w:rPr>
                <w:noProof/>
                <w:webHidden/>
              </w:rPr>
              <w:fldChar w:fldCharType="separate"/>
            </w:r>
            <w:r>
              <w:rPr>
                <w:noProof/>
                <w:webHidden/>
              </w:rPr>
              <w:t>19</w:t>
            </w:r>
            <w:r>
              <w:rPr>
                <w:noProof/>
                <w:webHidden/>
              </w:rPr>
              <w:fldChar w:fldCharType="end"/>
            </w:r>
          </w:hyperlink>
        </w:p>
        <w:p w14:paraId="4E1EE457" w14:textId="0D37FB09" w:rsidR="003B4543" w:rsidRDefault="003B4543">
          <w:pPr>
            <w:pStyle w:val="TOC2"/>
            <w:tabs>
              <w:tab w:val="left" w:pos="960"/>
              <w:tab w:val="right" w:leader="dot" w:pos="9016"/>
            </w:tabs>
            <w:rPr>
              <w:rFonts w:asciiTheme="minorHAnsi" w:eastAsiaTheme="minorEastAsia" w:hAnsiTheme="minorHAnsi" w:cstheme="minorBidi"/>
              <w:noProof/>
              <w:kern w:val="2"/>
              <w:sz w:val="24"/>
              <w14:ligatures w14:val="standardContextual"/>
            </w:rPr>
          </w:pPr>
          <w:hyperlink w:anchor="_Toc176345131" w:history="1">
            <w:r w:rsidRPr="00B05CC6">
              <w:rPr>
                <w:rStyle w:val="Hyperlink"/>
                <w:rFonts w:eastAsiaTheme="majorEastAsia"/>
                <w:noProof/>
              </w:rPr>
              <w:t>1.8.</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Supplementary results</w:t>
            </w:r>
            <w:r>
              <w:rPr>
                <w:noProof/>
                <w:webHidden/>
              </w:rPr>
              <w:tab/>
            </w:r>
            <w:r>
              <w:rPr>
                <w:noProof/>
                <w:webHidden/>
              </w:rPr>
              <w:fldChar w:fldCharType="begin"/>
            </w:r>
            <w:r>
              <w:rPr>
                <w:noProof/>
                <w:webHidden/>
              </w:rPr>
              <w:instrText xml:space="preserve"> PAGEREF _Toc176345131 \h </w:instrText>
            </w:r>
            <w:r>
              <w:rPr>
                <w:noProof/>
                <w:webHidden/>
              </w:rPr>
            </w:r>
            <w:r>
              <w:rPr>
                <w:noProof/>
                <w:webHidden/>
              </w:rPr>
              <w:fldChar w:fldCharType="separate"/>
            </w:r>
            <w:r>
              <w:rPr>
                <w:noProof/>
                <w:webHidden/>
              </w:rPr>
              <w:t>19</w:t>
            </w:r>
            <w:r>
              <w:rPr>
                <w:noProof/>
                <w:webHidden/>
              </w:rPr>
              <w:fldChar w:fldCharType="end"/>
            </w:r>
          </w:hyperlink>
        </w:p>
        <w:p w14:paraId="122AC815" w14:textId="4AB8CA40" w:rsidR="003B4543" w:rsidRDefault="003B4543">
          <w:pPr>
            <w:pStyle w:val="TOC2"/>
            <w:tabs>
              <w:tab w:val="left" w:pos="960"/>
              <w:tab w:val="right" w:leader="dot" w:pos="9016"/>
            </w:tabs>
            <w:rPr>
              <w:rFonts w:asciiTheme="minorHAnsi" w:eastAsiaTheme="minorEastAsia" w:hAnsiTheme="minorHAnsi" w:cstheme="minorBidi"/>
              <w:noProof/>
              <w:kern w:val="2"/>
              <w:sz w:val="24"/>
              <w14:ligatures w14:val="standardContextual"/>
            </w:rPr>
          </w:pPr>
          <w:hyperlink w:anchor="_Toc176345132" w:history="1">
            <w:r w:rsidRPr="00B05CC6">
              <w:rPr>
                <w:rStyle w:val="Hyperlink"/>
                <w:rFonts w:eastAsiaTheme="majorEastAsia"/>
                <w:noProof/>
              </w:rPr>
              <w:t>1.9.</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Data collection and uncertainties</w:t>
            </w:r>
            <w:r>
              <w:rPr>
                <w:noProof/>
                <w:webHidden/>
              </w:rPr>
              <w:tab/>
            </w:r>
            <w:r>
              <w:rPr>
                <w:noProof/>
                <w:webHidden/>
              </w:rPr>
              <w:fldChar w:fldCharType="begin"/>
            </w:r>
            <w:r>
              <w:rPr>
                <w:noProof/>
                <w:webHidden/>
              </w:rPr>
              <w:instrText xml:space="preserve"> PAGEREF _Toc176345132 \h </w:instrText>
            </w:r>
            <w:r>
              <w:rPr>
                <w:noProof/>
                <w:webHidden/>
              </w:rPr>
            </w:r>
            <w:r>
              <w:rPr>
                <w:noProof/>
                <w:webHidden/>
              </w:rPr>
              <w:fldChar w:fldCharType="separate"/>
            </w:r>
            <w:r>
              <w:rPr>
                <w:noProof/>
                <w:webHidden/>
              </w:rPr>
              <w:t>20</w:t>
            </w:r>
            <w:r>
              <w:rPr>
                <w:noProof/>
                <w:webHidden/>
              </w:rPr>
              <w:fldChar w:fldCharType="end"/>
            </w:r>
          </w:hyperlink>
        </w:p>
        <w:p w14:paraId="0E4A8561" w14:textId="2693C324" w:rsidR="003B4543" w:rsidRDefault="003B4543">
          <w:pPr>
            <w:pStyle w:val="TOC2"/>
            <w:tabs>
              <w:tab w:val="left" w:pos="960"/>
              <w:tab w:val="right" w:leader="dot" w:pos="9016"/>
            </w:tabs>
            <w:rPr>
              <w:rFonts w:asciiTheme="minorHAnsi" w:eastAsiaTheme="minorEastAsia" w:hAnsiTheme="minorHAnsi" w:cstheme="minorBidi"/>
              <w:noProof/>
              <w:kern w:val="2"/>
              <w:sz w:val="24"/>
              <w14:ligatures w14:val="standardContextual"/>
            </w:rPr>
          </w:pPr>
          <w:hyperlink w:anchor="_Toc176345133" w:history="1">
            <w:r w:rsidRPr="00B05CC6">
              <w:rPr>
                <w:rStyle w:val="Hyperlink"/>
                <w:rFonts w:eastAsiaTheme="majorEastAsia"/>
                <w:noProof/>
              </w:rPr>
              <w:t xml:space="preserve">1.10 </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 xml:space="preserve"> Engagement and communication</w:t>
            </w:r>
            <w:r>
              <w:rPr>
                <w:noProof/>
                <w:webHidden/>
              </w:rPr>
              <w:tab/>
            </w:r>
            <w:r>
              <w:rPr>
                <w:noProof/>
                <w:webHidden/>
              </w:rPr>
              <w:fldChar w:fldCharType="begin"/>
            </w:r>
            <w:r>
              <w:rPr>
                <w:noProof/>
                <w:webHidden/>
              </w:rPr>
              <w:instrText xml:space="preserve"> PAGEREF _Toc176345133 \h </w:instrText>
            </w:r>
            <w:r>
              <w:rPr>
                <w:noProof/>
                <w:webHidden/>
              </w:rPr>
            </w:r>
            <w:r>
              <w:rPr>
                <w:noProof/>
                <w:webHidden/>
              </w:rPr>
              <w:fldChar w:fldCharType="separate"/>
            </w:r>
            <w:r>
              <w:rPr>
                <w:noProof/>
                <w:webHidden/>
              </w:rPr>
              <w:t>21</w:t>
            </w:r>
            <w:r>
              <w:rPr>
                <w:noProof/>
                <w:webHidden/>
              </w:rPr>
              <w:fldChar w:fldCharType="end"/>
            </w:r>
          </w:hyperlink>
        </w:p>
        <w:p w14:paraId="5BEB931C" w14:textId="3A37D0A2" w:rsidR="003B4543" w:rsidRDefault="003B4543">
          <w:pPr>
            <w:pStyle w:val="TOC2"/>
            <w:tabs>
              <w:tab w:val="left" w:pos="1200"/>
              <w:tab w:val="right" w:leader="dot" w:pos="9016"/>
            </w:tabs>
            <w:rPr>
              <w:rFonts w:asciiTheme="minorHAnsi" w:eastAsiaTheme="minorEastAsia" w:hAnsiTheme="minorHAnsi" w:cstheme="minorBidi"/>
              <w:noProof/>
              <w:kern w:val="2"/>
              <w:sz w:val="24"/>
              <w14:ligatures w14:val="standardContextual"/>
            </w:rPr>
          </w:pPr>
          <w:hyperlink w:anchor="_Toc176345134" w:history="1">
            <w:r w:rsidRPr="00B05CC6">
              <w:rPr>
                <w:rStyle w:val="Hyperlink"/>
                <w:rFonts w:eastAsiaTheme="majorEastAsia"/>
                <w:noProof/>
              </w:rPr>
              <w:t xml:space="preserve">1.11. </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Continuous improvement</w:t>
            </w:r>
            <w:r>
              <w:rPr>
                <w:noProof/>
                <w:webHidden/>
              </w:rPr>
              <w:tab/>
            </w:r>
            <w:r>
              <w:rPr>
                <w:noProof/>
                <w:webHidden/>
              </w:rPr>
              <w:fldChar w:fldCharType="begin"/>
            </w:r>
            <w:r>
              <w:rPr>
                <w:noProof/>
                <w:webHidden/>
              </w:rPr>
              <w:instrText xml:space="preserve"> PAGEREF _Toc176345134 \h </w:instrText>
            </w:r>
            <w:r>
              <w:rPr>
                <w:noProof/>
                <w:webHidden/>
              </w:rPr>
            </w:r>
            <w:r>
              <w:rPr>
                <w:noProof/>
                <w:webHidden/>
              </w:rPr>
              <w:fldChar w:fldCharType="separate"/>
            </w:r>
            <w:r>
              <w:rPr>
                <w:noProof/>
                <w:webHidden/>
              </w:rPr>
              <w:t>22</w:t>
            </w:r>
            <w:r>
              <w:rPr>
                <w:noProof/>
                <w:webHidden/>
              </w:rPr>
              <w:fldChar w:fldCharType="end"/>
            </w:r>
          </w:hyperlink>
        </w:p>
        <w:p w14:paraId="77776DD6" w14:textId="06105FE9" w:rsidR="003B4543" w:rsidRDefault="003B4543">
          <w:pPr>
            <w:pStyle w:val="TOC2"/>
            <w:tabs>
              <w:tab w:val="left" w:pos="960"/>
              <w:tab w:val="right" w:leader="dot" w:pos="9016"/>
            </w:tabs>
            <w:rPr>
              <w:rFonts w:asciiTheme="minorHAnsi" w:eastAsiaTheme="minorEastAsia" w:hAnsiTheme="minorHAnsi" w:cstheme="minorBidi"/>
              <w:noProof/>
              <w:kern w:val="2"/>
              <w:sz w:val="24"/>
              <w14:ligatures w14:val="standardContextual"/>
            </w:rPr>
          </w:pPr>
          <w:hyperlink w:anchor="_Toc176345135" w:history="1">
            <w:r w:rsidRPr="00B05CC6">
              <w:rPr>
                <w:rStyle w:val="Hyperlink"/>
                <w:rFonts w:eastAsiaTheme="majorEastAsia"/>
                <w:noProof/>
              </w:rPr>
              <w:t>1.12.</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Monitoring and reporting</w:t>
            </w:r>
            <w:r>
              <w:rPr>
                <w:noProof/>
                <w:webHidden/>
              </w:rPr>
              <w:tab/>
            </w:r>
            <w:r>
              <w:rPr>
                <w:noProof/>
                <w:webHidden/>
              </w:rPr>
              <w:fldChar w:fldCharType="begin"/>
            </w:r>
            <w:r>
              <w:rPr>
                <w:noProof/>
                <w:webHidden/>
              </w:rPr>
              <w:instrText xml:space="preserve"> PAGEREF _Toc176345135 \h </w:instrText>
            </w:r>
            <w:r>
              <w:rPr>
                <w:noProof/>
                <w:webHidden/>
              </w:rPr>
            </w:r>
            <w:r>
              <w:rPr>
                <w:noProof/>
                <w:webHidden/>
              </w:rPr>
              <w:fldChar w:fldCharType="separate"/>
            </w:r>
            <w:r>
              <w:rPr>
                <w:noProof/>
                <w:webHidden/>
              </w:rPr>
              <w:t>23</w:t>
            </w:r>
            <w:r>
              <w:rPr>
                <w:noProof/>
                <w:webHidden/>
              </w:rPr>
              <w:fldChar w:fldCharType="end"/>
            </w:r>
          </w:hyperlink>
        </w:p>
        <w:p w14:paraId="3BBDB4B0" w14:textId="194F337E" w:rsidR="003B4543" w:rsidRDefault="003B4543">
          <w:pPr>
            <w:pStyle w:val="TOC2"/>
            <w:tabs>
              <w:tab w:val="left" w:pos="960"/>
              <w:tab w:val="right" w:leader="dot" w:pos="9016"/>
            </w:tabs>
            <w:rPr>
              <w:rFonts w:asciiTheme="minorHAnsi" w:eastAsiaTheme="minorEastAsia" w:hAnsiTheme="minorHAnsi" w:cstheme="minorBidi"/>
              <w:noProof/>
              <w:kern w:val="2"/>
              <w:sz w:val="24"/>
              <w14:ligatures w14:val="standardContextual"/>
            </w:rPr>
          </w:pPr>
          <w:hyperlink w:anchor="_Toc176345136" w:history="1">
            <w:r w:rsidRPr="00B05CC6">
              <w:rPr>
                <w:rStyle w:val="Hyperlink"/>
                <w:rFonts w:eastAsiaTheme="majorEastAsia"/>
                <w:noProof/>
              </w:rPr>
              <w:t>1.13.</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Disclosure</w:t>
            </w:r>
            <w:r>
              <w:rPr>
                <w:noProof/>
                <w:webHidden/>
              </w:rPr>
              <w:tab/>
            </w:r>
            <w:r>
              <w:rPr>
                <w:noProof/>
                <w:webHidden/>
              </w:rPr>
              <w:fldChar w:fldCharType="begin"/>
            </w:r>
            <w:r>
              <w:rPr>
                <w:noProof/>
                <w:webHidden/>
              </w:rPr>
              <w:instrText xml:space="preserve"> PAGEREF _Toc176345136 \h </w:instrText>
            </w:r>
            <w:r>
              <w:rPr>
                <w:noProof/>
                <w:webHidden/>
              </w:rPr>
            </w:r>
            <w:r>
              <w:rPr>
                <w:noProof/>
                <w:webHidden/>
              </w:rPr>
              <w:fldChar w:fldCharType="separate"/>
            </w:r>
            <w:r>
              <w:rPr>
                <w:noProof/>
                <w:webHidden/>
              </w:rPr>
              <w:t>23</w:t>
            </w:r>
            <w:r>
              <w:rPr>
                <w:noProof/>
                <w:webHidden/>
              </w:rPr>
              <w:fldChar w:fldCharType="end"/>
            </w:r>
          </w:hyperlink>
        </w:p>
        <w:p w14:paraId="77C986D8" w14:textId="771A1966" w:rsidR="003B4543" w:rsidRDefault="003B4543">
          <w:pPr>
            <w:pStyle w:val="TOC1"/>
            <w:tabs>
              <w:tab w:val="left" w:pos="440"/>
              <w:tab w:val="right" w:leader="dot" w:pos="9016"/>
            </w:tabs>
            <w:rPr>
              <w:rFonts w:asciiTheme="minorHAnsi" w:eastAsiaTheme="minorEastAsia" w:hAnsiTheme="minorHAnsi" w:cstheme="minorBidi"/>
              <w:noProof/>
              <w:kern w:val="2"/>
              <w:sz w:val="24"/>
              <w14:ligatures w14:val="standardContextual"/>
            </w:rPr>
          </w:pPr>
          <w:hyperlink w:anchor="_Toc176345137" w:history="1">
            <w:r w:rsidRPr="00B05CC6">
              <w:rPr>
                <w:rStyle w:val="Hyperlink"/>
                <w:rFonts w:eastAsiaTheme="majorEastAsia" w:cs="Arial"/>
                <w:noProof/>
              </w:rPr>
              <w:t>2.</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Chapter 2: Emissions Management Report</w:t>
            </w:r>
            <w:r>
              <w:rPr>
                <w:noProof/>
                <w:webHidden/>
              </w:rPr>
              <w:tab/>
            </w:r>
            <w:r>
              <w:rPr>
                <w:noProof/>
                <w:webHidden/>
              </w:rPr>
              <w:fldChar w:fldCharType="begin"/>
            </w:r>
            <w:r>
              <w:rPr>
                <w:noProof/>
                <w:webHidden/>
              </w:rPr>
              <w:instrText xml:space="preserve"> PAGEREF _Toc176345137 \h </w:instrText>
            </w:r>
            <w:r>
              <w:rPr>
                <w:noProof/>
                <w:webHidden/>
              </w:rPr>
            </w:r>
            <w:r>
              <w:rPr>
                <w:noProof/>
                <w:webHidden/>
              </w:rPr>
              <w:fldChar w:fldCharType="separate"/>
            </w:r>
            <w:r>
              <w:rPr>
                <w:noProof/>
                <w:webHidden/>
              </w:rPr>
              <w:t>23</w:t>
            </w:r>
            <w:r>
              <w:rPr>
                <w:noProof/>
                <w:webHidden/>
              </w:rPr>
              <w:fldChar w:fldCharType="end"/>
            </w:r>
          </w:hyperlink>
        </w:p>
        <w:p w14:paraId="0947148B" w14:textId="18594ACB" w:rsidR="003B4543" w:rsidRDefault="003B4543">
          <w:pPr>
            <w:pStyle w:val="TOC1"/>
            <w:tabs>
              <w:tab w:val="left" w:pos="720"/>
              <w:tab w:val="right" w:leader="dot" w:pos="9016"/>
            </w:tabs>
            <w:rPr>
              <w:rFonts w:asciiTheme="minorHAnsi" w:eastAsiaTheme="minorEastAsia" w:hAnsiTheme="minorHAnsi" w:cstheme="minorBidi"/>
              <w:noProof/>
              <w:kern w:val="2"/>
              <w:sz w:val="24"/>
              <w14:ligatures w14:val="standardContextual"/>
            </w:rPr>
          </w:pPr>
          <w:hyperlink w:anchor="_Toc176345138" w:history="1">
            <w:r w:rsidRPr="00B05CC6">
              <w:rPr>
                <w:rStyle w:val="Hyperlink"/>
                <w:rFonts w:eastAsiaTheme="majorEastAsia"/>
                <w:noProof/>
              </w:rPr>
              <w:t>2.1.</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Organisational emissions reduction targets</w:t>
            </w:r>
            <w:r>
              <w:rPr>
                <w:noProof/>
                <w:webHidden/>
              </w:rPr>
              <w:tab/>
            </w:r>
            <w:r>
              <w:rPr>
                <w:noProof/>
                <w:webHidden/>
              </w:rPr>
              <w:fldChar w:fldCharType="begin"/>
            </w:r>
            <w:r>
              <w:rPr>
                <w:noProof/>
                <w:webHidden/>
              </w:rPr>
              <w:instrText xml:space="preserve"> PAGEREF _Toc176345138 \h </w:instrText>
            </w:r>
            <w:r>
              <w:rPr>
                <w:noProof/>
                <w:webHidden/>
              </w:rPr>
            </w:r>
            <w:r>
              <w:rPr>
                <w:noProof/>
                <w:webHidden/>
              </w:rPr>
              <w:fldChar w:fldCharType="separate"/>
            </w:r>
            <w:r>
              <w:rPr>
                <w:noProof/>
                <w:webHidden/>
              </w:rPr>
              <w:t>23</w:t>
            </w:r>
            <w:r>
              <w:rPr>
                <w:noProof/>
                <w:webHidden/>
              </w:rPr>
              <w:fldChar w:fldCharType="end"/>
            </w:r>
          </w:hyperlink>
        </w:p>
        <w:p w14:paraId="06EBC695" w14:textId="342ED66B" w:rsidR="003B4543" w:rsidRDefault="003B4543">
          <w:pPr>
            <w:pStyle w:val="TOC1"/>
            <w:tabs>
              <w:tab w:val="left" w:pos="720"/>
              <w:tab w:val="right" w:leader="dot" w:pos="9016"/>
            </w:tabs>
            <w:rPr>
              <w:rFonts w:asciiTheme="minorHAnsi" w:eastAsiaTheme="minorEastAsia" w:hAnsiTheme="minorHAnsi" w:cstheme="minorBidi"/>
              <w:noProof/>
              <w:kern w:val="2"/>
              <w:sz w:val="24"/>
              <w14:ligatures w14:val="standardContextual"/>
            </w:rPr>
          </w:pPr>
          <w:hyperlink w:anchor="_Toc176345139" w:history="1">
            <w:r w:rsidRPr="00B05CC6">
              <w:rPr>
                <w:rStyle w:val="Hyperlink"/>
                <w:rFonts w:eastAsiaTheme="majorEastAsia"/>
                <w:noProof/>
              </w:rPr>
              <w:t>2.2.</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Key performance indicators</w:t>
            </w:r>
            <w:r>
              <w:rPr>
                <w:noProof/>
                <w:webHidden/>
              </w:rPr>
              <w:tab/>
            </w:r>
            <w:r>
              <w:rPr>
                <w:noProof/>
                <w:webHidden/>
              </w:rPr>
              <w:fldChar w:fldCharType="begin"/>
            </w:r>
            <w:r>
              <w:rPr>
                <w:noProof/>
                <w:webHidden/>
              </w:rPr>
              <w:instrText xml:space="preserve"> PAGEREF _Toc176345139 \h </w:instrText>
            </w:r>
            <w:r>
              <w:rPr>
                <w:noProof/>
                <w:webHidden/>
              </w:rPr>
            </w:r>
            <w:r>
              <w:rPr>
                <w:noProof/>
                <w:webHidden/>
              </w:rPr>
              <w:fldChar w:fldCharType="separate"/>
            </w:r>
            <w:r>
              <w:rPr>
                <w:noProof/>
                <w:webHidden/>
              </w:rPr>
              <w:t>24</w:t>
            </w:r>
            <w:r>
              <w:rPr>
                <w:noProof/>
                <w:webHidden/>
              </w:rPr>
              <w:fldChar w:fldCharType="end"/>
            </w:r>
          </w:hyperlink>
        </w:p>
        <w:p w14:paraId="1E2DEA71" w14:textId="1D4AA6A0" w:rsidR="003B4543" w:rsidRDefault="003B4543">
          <w:pPr>
            <w:pStyle w:val="TOC1"/>
            <w:tabs>
              <w:tab w:val="left" w:pos="720"/>
              <w:tab w:val="right" w:leader="dot" w:pos="9016"/>
            </w:tabs>
            <w:rPr>
              <w:rFonts w:asciiTheme="minorHAnsi" w:eastAsiaTheme="minorEastAsia" w:hAnsiTheme="minorHAnsi" w:cstheme="minorBidi"/>
              <w:noProof/>
              <w:kern w:val="2"/>
              <w:sz w:val="24"/>
              <w14:ligatures w14:val="standardContextual"/>
            </w:rPr>
          </w:pPr>
          <w:hyperlink w:anchor="_Toc176345140" w:history="1">
            <w:r w:rsidRPr="00B05CC6">
              <w:rPr>
                <w:rStyle w:val="Hyperlink"/>
                <w:rFonts w:eastAsiaTheme="majorEastAsia"/>
                <w:noProof/>
              </w:rPr>
              <w:t>2.3.</w:t>
            </w:r>
            <w:r>
              <w:rPr>
                <w:rFonts w:asciiTheme="minorHAnsi" w:eastAsiaTheme="minorEastAsia" w:hAnsiTheme="minorHAnsi" w:cstheme="minorBidi"/>
                <w:noProof/>
                <w:kern w:val="2"/>
                <w:sz w:val="24"/>
                <w14:ligatures w14:val="standardContextual"/>
              </w:rPr>
              <w:tab/>
            </w:r>
            <w:r w:rsidRPr="00B05CC6">
              <w:rPr>
                <w:rStyle w:val="Hyperlink"/>
                <w:rFonts w:eastAsiaTheme="majorEastAsia"/>
                <w:noProof/>
              </w:rPr>
              <w:t>Initiatives</w:t>
            </w:r>
            <w:r>
              <w:rPr>
                <w:noProof/>
                <w:webHidden/>
              </w:rPr>
              <w:tab/>
            </w:r>
            <w:r>
              <w:rPr>
                <w:noProof/>
                <w:webHidden/>
              </w:rPr>
              <w:fldChar w:fldCharType="begin"/>
            </w:r>
            <w:r>
              <w:rPr>
                <w:noProof/>
                <w:webHidden/>
              </w:rPr>
              <w:instrText xml:space="preserve"> PAGEREF _Toc176345140 \h </w:instrText>
            </w:r>
            <w:r>
              <w:rPr>
                <w:noProof/>
                <w:webHidden/>
              </w:rPr>
            </w:r>
            <w:r>
              <w:rPr>
                <w:noProof/>
                <w:webHidden/>
              </w:rPr>
              <w:fldChar w:fldCharType="separate"/>
            </w:r>
            <w:r>
              <w:rPr>
                <w:noProof/>
                <w:webHidden/>
              </w:rPr>
              <w:t>24</w:t>
            </w:r>
            <w:r>
              <w:rPr>
                <w:noProof/>
                <w:webHidden/>
              </w:rPr>
              <w:fldChar w:fldCharType="end"/>
            </w:r>
          </w:hyperlink>
        </w:p>
        <w:p w14:paraId="6287C040" w14:textId="3441C60D" w:rsidR="003B4543" w:rsidRDefault="003B4543">
          <w:pPr>
            <w:pStyle w:val="TOC1"/>
            <w:tabs>
              <w:tab w:val="right" w:leader="dot" w:pos="9016"/>
            </w:tabs>
            <w:rPr>
              <w:rFonts w:asciiTheme="minorHAnsi" w:eastAsiaTheme="minorEastAsia" w:hAnsiTheme="minorHAnsi" w:cstheme="minorBidi"/>
              <w:noProof/>
              <w:kern w:val="2"/>
              <w:sz w:val="24"/>
              <w14:ligatures w14:val="standardContextual"/>
            </w:rPr>
          </w:pPr>
          <w:hyperlink w:anchor="_Toc176345141" w:history="1">
            <w:r w:rsidRPr="00B05CC6">
              <w:rPr>
                <w:rStyle w:val="Hyperlink"/>
                <w:rFonts w:eastAsiaTheme="majorEastAsia"/>
                <w:noProof/>
              </w:rPr>
              <w:t>Appendix A emissions inventory and total Units of Measure (UOM)</w:t>
            </w:r>
            <w:r>
              <w:rPr>
                <w:noProof/>
                <w:webHidden/>
              </w:rPr>
              <w:tab/>
            </w:r>
            <w:r>
              <w:rPr>
                <w:noProof/>
                <w:webHidden/>
              </w:rPr>
              <w:fldChar w:fldCharType="begin"/>
            </w:r>
            <w:r>
              <w:rPr>
                <w:noProof/>
                <w:webHidden/>
              </w:rPr>
              <w:instrText xml:space="preserve"> PAGEREF _Toc176345141 \h </w:instrText>
            </w:r>
            <w:r>
              <w:rPr>
                <w:noProof/>
                <w:webHidden/>
              </w:rPr>
            </w:r>
            <w:r>
              <w:rPr>
                <w:noProof/>
                <w:webHidden/>
              </w:rPr>
              <w:fldChar w:fldCharType="separate"/>
            </w:r>
            <w:r>
              <w:rPr>
                <w:noProof/>
                <w:webHidden/>
              </w:rPr>
              <w:t>26</w:t>
            </w:r>
            <w:r>
              <w:rPr>
                <w:noProof/>
                <w:webHidden/>
              </w:rPr>
              <w:fldChar w:fldCharType="end"/>
            </w:r>
          </w:hyperlink>
        </w:p>
        <w:p w14:paraId="0CE730DE" w14:textId="4DDBCB23" w:rsidR="003B4543" w:rsidRDefault="003B4543">
          <w:pPr>
            <w:pStyle w:val="TOC1"/>
            <w:tabs>
              <w:tab w:val="right" w:leader="dot" w:pos="9016"/>
            </w:tabs>
            <w:rPr>
              <w:rFonts w:asciiTheme="minorHAnsi" w:eastAsiaTheme="minorEastAsia" w:hAnsiTheme="minorHAnsi" w:cstheme="minorBidi"/>
              <w:noProof/>
              <w:kern w:val="2"/>
              <w:sz w:val="24"/>
              <w14:ligatures w14:val="standardContextual"/>
            </w:rPr>
          </w:pPr>
          <w:hyperlink w:anchor="_Toc176345142" w:history="1">
            <w:r w:rsidRPr="00B05CC6">
              <w:rPr>
                <w:rStyle w:val="Hyperlink"/>
                <w:rFonts w:eastAsiaTheme="majorEastAsia"/>
                <w:noProof/>
              </w:rPr>
              <w:t>Appendix B Emissions per supplier</w:t>
            </w:r>
            <w:r>
              <w:rPr>
                <w:noProof/>
                <w:webHidden/>
              </w:rPr>
              <w:tab/>
            </w:r>
            <w:r>
              <w:rPr>
                <w:noProof/>
                <w:webHidden/>
              </w:rPr>
              <w:fldChar w:fldCharType="begin"/>
            </w:r>
            <w:r>
              <w:rPr>
                <w:noProof/>
                <w:webHidden/>
              </w:rPr>
              <w:instrText xml:space="preserve"> PAGEREF _Toc176345142 \h </w:instrText>
            </w:r>
            <w:r>
              <w:rPr>
                <w:noProof/>
                <w:webHidden/>
              </w:rPr>
            </w:r>
            <w:r>
              <w:rPr>
                <w:noProof/>
                <w:webHidden/>
              </w:rPr>
              <w:fldChar w:fldCharType="separate"/>
            </w:r>
            <w:r>
              <w:rPr>
                <w:noProof/>
                <w:webHidden/>
              </w:rPr>
              <w:t>29</w:t>
            </w:r>
            <w:r>
              <w:rPr>
                <w:noProof/>
                <w:webHidden/>
              </w:rPr>
              <w:fldChar w:fldCharType="end"/>
            </w:r>
          </w:hyperlink>
        </w:p>
        <w:p w14:paraId="1C4A716B" w14:textId="0B9D6022" w:rsidR="003B4543" w:rsidRDefault="003B4543">
          <w:pPr>
            <w:pStyle w:val="TOC1"/>
            <w:tabs>
              <w:tab w:val="right" w:leader="dot" w:pos="9016"/>
            </w:tabs>
            <w:rPr>
              <w:rFonts w:asciiTheme="minorHAnsi" w:eastAsiaTheme="minorEastAsia" w:hAnsiTheme="minorHAnsi" w:cstheme="minorBidi"/>
              <w:noProof/>
              <w:kern w:val="2"/>
              <w:sz w:val="24"/>
              <w14:ligatures w14:val="standardContextual"/>
            </w:rPr>
          </w:pPr>
          <w:hyperlink w:anchor="_Toc176345143" w:history="1">
            <w:r w:rsidRPr="00B05CC6">
              <w:rPr>
                <w:rStyle w:val="Hyperlink"/>
                <w:rFonts w:eastAsiaTheme="majorEastAsia"/>
                <w:noProof/>
              </w:rPr>
              <w:t>Appendix C Overview per CNGP activity group</w:t>
            </w:r>
            <w:r>
              <w:rPr>
                <w:noProof/>
                <w:webHidden/>
              </w:rPr>
              <w:tab/>
            </w:r>
            <w:r>
              <w:rPr>
                <w:noProof/>
                <w:webHidden/>
              </w:rPr>
              <w:fldChar w:fldCharType="begin"/>
            </w:r>
            <w:r>
              <w:rPr>
                <w:noProof/>
                <w:webHidden/>
              </w:rPr>
              <w:instrText xml:space="preserve"> PAGEREF _Toc176345143 \h </w:instrText>
            </w:r>
            <w:r>
              <w:rPr>
                <w:noProof/>
                <w:webHidden/>
              </w:rPr>
            </w:r>
            <w:r>
              <w:rPr>
                <w:noProof/>
                <w:webHidden/>
              </w:rPr>
              <w:fldChar w:fldCharType="separate"/>
            </w:r>
            <w:r>
              <w:rPr>
                <w:noProof/>
                <w:webHidden/>
              </w:rPr>
              <w:t>31</w:t>
            </w:r>
            <w:r>
              <w:rPr>
                <w:noProof/>
                <w:webHidden/>
              </w:rPr>
              <w:fldChar w:fldCharType="end"/>
            </w:r>
          </w:hyperlink>
        </w:p>
        <w:p w14:paraId="6EEDD542" w14:textId="03C5A8EB" w:rsidR="003B4543" w:rsidRDefault="003B4543">
          <w:pPr>
            <w:pStyle w:val="TOC1"/>
            <w:tabs>
              <w:tab w:val="right" w:leader="dot" w:pos="9016"/>
            </w:tabs>
            <w:rPr>
              <w:rFonts w:asciiTheme="minorHAnsi" w:eastAsiaTheme="minorEastAsia" w:hAnsiTheme="minorHAnsi" w:cstheme="minorBidi"/>
              <w:noProof/>
              <w:kern w:val="2"/>
              <w:sz w:val="24"/>
              <w14:ligatures w14:val="standardContextual"/>
            </w:rPr>
          </w:pPr>
          <w:hyperlink w:anchor="_Toc176345144" w:history="1">
            <w:r w:rsidRPr="00B05CC6">
              <w:rPr>
                <w:rStyle w:val="Hyperlink"/>
                <w:rFonts w:eastAsiaTheme="majorEastAsia"/>
                <w:noProof/>
              </w:rPr>
              <w:t>Appendix D Overview of location/sites</w:t>
            </w:r>
            <w:r>
              <w:rPr>
                <w:noProof/>
                <w:webHidden/>
              </w:rPr>
              <w:tab/>
            </w:r>
            <w:r>
              <w:rPr>
                <w:noProof/>
                <w:webHidden/>
              </w:rPr>
              <w:fldChar w:fldCharType="begin"/>
            </w:r>
            <w:r>
              <w:rPr>
                <w:noProof/>
                <w:webHidden/>
              </w:rPr>
              <w:instrText xml:space="preserve"> PAGEREF _Toc176345144 \h </w:instrText>
            </w:r>
            <w:r>
              <w:rPr>
                <w:noProof/>
                <w:webHidden/>
              </w:rPr>
            </w:r>
            <w:r>
              <w:rPr>
                <w:noProof/>
                <w:webHidden/>
              </w:rPr>
              <w:fldChar w:fldCharType="separate"/>
            </w:r>
            <w:r>
              <w:rPr>
                <w:noProof/>
                <w:webHidden/>
              </w:rPr>
              <w:t>32</w:t>
            </w:r>
            <w:r>
              <w:rPr>
                <w:noProof/>
                <w:webHidden/>
              </w:rPr>
              <w:fldChar w:fldCharType="end"/>
            </w:r>
          </w:hyperlink>
        </w:p>
        <w:p w14:paraId="351B3871" w14:textId="2ACC585B" w:rsidR="003B4543" w:rsidRDefault="003B4543">
          <w:pPr>
            <w:pStyle w:val="TOC1"/>
            <w:tabs>
              <w:tab w:val="right" w:leader="dot" w:pos="9016"/>
            </w:tabs>
            <w:rPr>
              <w:rFonts w:asciiTheme="minorHAnsi" w:eastAsiaTheme="minorEastAsia" w:hAnsiTheme="minorHAnsi" w:cstheme="minorBidi"/>
              <w:noProof/>
              <w:kern w:val="2"/>
              <w:sz w:val="24"/>
              <w14:ligatures w14:val="standardContextual"/>
            </w:rPr>
          </w:pPr>
          <w:hyperlink w:anchor="_Toc176345145" w:history="1">
            <w:r w:rsidRPr="00B05CC6">
              <w:rPr>
                <w:rStyle w:val="Hyperlink"/>
                <w:rFonts w:eastAsiaTheme="majorEastAsia"/>
                <w:noProof/>
              </w:rPr>
              <w:t>Appendix E Emissions sources, data collection and uncertainty per category</w:t>
            </w:r>
            <w:r>
              <w:rPr>
                <w:noProof/>
                <w:webHidden/>
              </w:rPr>
              <w:tab/>
            </w:r>
            <w:r>
              <w:rPr>
                <w:noProof/>
                <w:webHidden/>
              </w:rPr>
              <w:fldChar w:fldCharType="begin"/>
            </w:r>
            <w:r>
              <w:rPr>
                <w:noProof/>
                <w:webHidden/>
              </w:rPr>
              <w:instrText xml:space="preserve"> PAGEREF _Toc176345145 \h </w:instrText>
            </w:r>
            <w:r>
              <w:rPr>
                <w:noProof/>
                <w:webHidden/>
              </w:rPr>
            </w:r>
            <w:r>
              <w:rPr>
                <w:noProof/>
                <w:webHidden/>
              </w:rPr>
              <w:fldChar w:fldCharType="separate"/>
            </w:r>
            <w:r>
              <w:rPr>
                <w:noProof/>
                <w:webHidden/>
              </w:rPr>
              <w:t>35</w:t>
            </w:r>
            <w:r>
              <w:rPr>
                <w:noProof/>
                <w:webHidden/>
              </w:rPr>
              <w:fldChar w:fldCharType="end"/>
            </w:r>
          </w:hyperlink>
        </w:p>
        <w:p w14:paraId="70F98078" w14:textId="70511D71" w:rsidR="00167DCB" w:rsidRPr="00AE4DBA" w:rsidRDefault="00652BA8" w:rsidP="00167DCB">
          <w:r w:rsidRPr="00AE4DBA">
            <w:rPr>
              <w:b/>
              <w:bCs/>
              <w:noProof/>
            </w:rPr>
            <w:fldChar w:fldCharType="end"/>
          </w:r>
        </w:p>
      </w:sdtContent>
    </w:sdt>
    <w:p w14:paraId="0BD6348F" w14:textId="77777777" w:rsidR="00A90DAD" w:rsidRPr="00AE4DBA" w:rsidRDefault="00A90DAD" w:rsidP="00A90DAD">
      <w:pPr>
        <w:pStyle w:val="Subheading1"/>
        <w:spacing w:after="0"/>
      </w:pPr>
      <w:bookmarkStart w:id="9" w:name="_Toc146722309"/>
      <w:bookmarkStart w:id="10" w:name="_Toc173164240"/>
      <w:bookmarkStart w:id="11" w:name="_Toc173500595"/>
      <w:bookmarkStart w:id="12" w:name="_Toc176251931"/>
      <w:bookmarkStart w:id="13" w:name="_Toc176345109"/>
      <w:r w:rsidRPr="00AE4DBA">
        <w:t>Table of Tables</w:t>
      </w:r>
      <w:bookmarkEnd w:id="9"/>
      <w:bookmarkEnd w:id="10"/>
      <w:bookmarkEnd w:id="11"/>
      <w:bookmarkEnd w:id="12"/>
      <w:bookmarkEnd w:id="13"/>
    </w:p>
    <w:bookmarkStart w:id="14" w:name="_Toc146722310"/>
    <w:bookmarkStart w:id="15" w:name="_Toc173164241"/>
    <w:p w14:paraId="7A3E822D" w14:textId="57DB0053" w:rsidR="00294917" w:rsidRDefault="00B70551">
      <w:pPr>
        <w:pStyle w:val="TableofFigures"/>
        <w:tabs>
          <w:tab w:val="right" w:leader="dot" w:pos="9016"/>
        </w:tabs>
        <w:rPr>
          <w:rFonts w:asciiTheme="minorHAnsi" w:eastAsiaTheme="minorEastAsia" w:hAnsiTheme="minorHAnsi" w:cstheme="minorBidi"/>
          <w:noProof/>
          <w:kern w:val="2"/>
          <w:sz w:val="24"/>
          <w14:ligatures w14:val="standardContextual"/>
        </w:rPr>
      </w:pPr>
      <w:r w:rsidRPr="00AE4DBA">
        <w:fldChar w:fldCharType="begin"/>
      </w:r>
      <w:r w:rsidRPr="00AE4DBA">
        <w:instrText xml:space="preserve"> TOC \h \z \c "Table" </w:instrText>
      </w:r>
      <w:r w:rsidRPr="00AE4DBA">
        <w:fldChar w:fldCharType="separate"/>
      </w:r>
      <w:hyperlink w:anchor="_Toc176252079" w:history="1">
        <w:r w:rsidR="00294917" w:rsidRPr="00F12448">
          <w:rPr>
            <w:rStyle w:val="Hyperlink"/>
            <w:noProof/>
          </w:rPr>
          <w:t>Table 1 GHG Emissions by Category</w:t>
        </w:r>
        <w:r w:rsidR="00294917">
          <w:rPr>
            <w:noProof/>
            <w:webHidden/>
          </w:rPr>
          <w:tab/>
        </w:r>
        <w:r w:rsidR="00294917">
          <w:rPr>
            <w:noProof/>
            <w:webHidden/>
          </w:rPr>
          <w:fldChar w:fldCharType="begin"/>
        </w:r>
        <w:r w:rsidR="00294917">
          <w:rPr>
            <w:noProof/>
            <w:webHidden/>
          </w:rPr>
          <w:instrText xml:space="preserve"> PAGEREF _Toc176252079 \h </w:instrText>
        </w:r>
        <w:r w:rsidR="00294917">
          <w:rPr>
            <w:noProof/>
            <w:webHidden/>
          </w:rPr>
        </w:r>
        <w:r w:rsidR="00294917">
          <w:rPr>
            <w:noProof/>
            <w:webHidden/>
          </w:rPr>
          <w:fldChar w:fldCharType="separate"/>
        </w:r>
        <w:r w:rsidR="00294917">
          <w:rPr>
            <w:noProof/>
            <w:webHidden/>
          </w:rPr>
          <w:t>5</w:t>
        </w:r>
        <w:r w:rsidR="00294917">
          <w:rPr>
            <w:noProof/>
            <w:webHidden/>
          </w:rPr>
          <w:fldChar w:fldCharType="end"/>
        </w:r>
      </w:hyperlink>
    </w:p>
    <w:p w14:paraId="4B14EA2A" w14:textId="3C2644E6" w:rsidR="00294917" w:rsidRDefault="00294917">
      <w:pPr>
        <w:pStyle w:val="TableofFigures"/>
        <w:tabs>
          <w:tab w:val="right" w:leader="dot" w:pos="9016"/>
        </w:tabs>
        <w:rPr>
          <w:rFonts w:asciiTheme="minorHAnsi" w:eastAsiaTheme="minorEastAsia" w:hAnsiTheme="minorHAnsi" w:cstheme="minorBidi"/>
          <w:noProof/>
          <w:kern w:val="2"/>
          <w:sz w:val="24"/>
          <w14:ligatures w14:val="standardContextual"/>
        </w:rPr>
      </w:pPr>
      <w:hyperlink w:anchor="_Toc176252080" w:history="1">
        <w:r w:rsidRPr="00F12448">
          <w:rPr>
            <w:rStyle w:val="Hyperlink"/>
            <w:noProof/>
          </w:rPr>
          <w:t>Table 2 Emissions profile by category source</w:t>
        </w:r>
        <w:r>
          <w:rPr>
            <w:noProof/>
            <w:webHidden/>
          </w:rPr>
          <w:tab/>
        </w:r>
        <w:r>
          <w:rPr>
            <w:noProof/>
            <w:webHidden/>
          </w:rPr>
          <w:fldChar w:fldCharType="begin"/>
        </w:r>
        <w:r>
          <w:rPr>
            <w:noProof/>
            <w:webHidden/>
          </w:rPr>
          <w:instrText xml:space="preserve"> PAGEREF _Toc176252080 \h </w:instrText>
        </w:r>
        <w:r>
          <w:rPr>
            <w:noProof/>
            <w:webHidden/>
          </w:rPr>
        </w:r>
        <w:r>
          <w:rPr>
            <w:noProof/>
            <w:webHidden/>
          </w:rPr>
          <w:fldChar w:fldCharType="separate"/>
        </w:r>
        <w:r>
          <w:rPr>
            <w:noProof/>
            <w:webHidden/>
          </w:rPr>
          <w:t>6</w:t>
        </w:r>
        <w:r>
          <w:rPr>
            <w:noProof/>
            <w:webHidden/>
          </w:rPr>
          <w:fldChar w:fldCharType="end"/>
        </w:r>
      </w:hyperlink>
    </w:p>
    <w:p w14:paraId="7C6823CC" w14:textId="0BECBD19" w:rsidR="00294917" w:rsidRDefault="00294917">
      <w:pPr>
        <w:pStyle w:val="TableofFigures"/>
        <w:tabs>
          <w:tab w:val="right" w:leader="dot" w:pos="9016"/>
        </w:tabs>
        <w:rPr>
          <w:rFonts w:asciiTheme="minorHAnsi" w:eastAsiaTheme="minorEastAsia" w:hAnsiTheme="minorHAnsi" w:cstheme="minorBidi"/>
          <w:noProof/>
          <w:kern w:val="2"/>
          <w:sz w:val="24"/>
          <w14:ligatures w14:val="standardContextual"/>
        </w:rPr>
      </w:pPr>
      <w:hyperlink w:anchor="_Toc176252081" w:history="1">
        <w:r w:rsidRPr="00F12448">
          <w:rPr>
            <w:rStyle w:val="Hyperlink"/>
            <w:noProof/>
          </w:rPr>
          <w:t>Table 3 Health New Zealand Top 10 Emissions Sources</w:t>
        </w:r>
        <w:r>
          <w:rPr>
            <w:noProof/>
            <w:webHidden/>
          </w:rPr>
          <w:tab/>
        </w:r>
        <w:r>
          <w:rPr>
            <w:noProof/>
            <w:webHidden/>
          </w:rPr>
          <w:fldChar w:fldCharType="begin"/>
        </w:r>
        <w:r>
          <w:rPr>
            <w:noProof/>
            <w:webHidden/>
          </w:rPr>
          <w:instrText xml:space="preserve"> PAGEREF _Toc176252081 \h </w:instrText>
        </w:r>
        <w:r>
          <w:rPr>
            <w:noProof/>
            <w:webHidden/>
          </w:rPr>
        </w:r>
        <w:r>
          <w:rPr>
            <w:noProof/>
            <w:webHidden/>
          </w:rPr>
          <w:fldChar w:fldCharType="separate"/>
        </w:r>
        <w:r>
          <w:rPr>
            <w:noProof/>
            <w:webHidden/>
          </w:rPr>
          <w:t>8</w:t>
        </w:r>
        <w:r>
          <w:rPr>
            <w:noProof/>
            <w:webHidden/>
          </w:rPr>
          <w:fldChar w:fldCharType="end"/>
        </w:r>
      </w:hyperlink>
    </w:p>
    <w:p w14:paraId="42324172" w14:textId="50995CB8" w:rsidR="00294917" w:rsidRDefault="00294917">
      <w:pPr>
        <w:pStyle w:val="TableofFigures"/>
        <w:tabs>
          <w:tab w:val="right" w:leader="dot" w:pos="9016"/>
        </w:tabs>
        <w:rPr>
          <w:rFonts w:asciiTheme="minorHAnsi" w:eastAsiaTheme="minorEastAsia" w:hAnsiTheme="minorHAnsi" w:cstheme="minorBidi"/>
          <w:noProof/>
          <w:kern w:val="2"/>
          <w:sz w:val="24"/>
          <w14:ligatures w14:val="standardContextual"/>
        </w:rPr>
      </w:pPr>
      <w:hyperlink w:anchor="_Toc176252082" w:history="1">
        <w:r w:rsidRPr="00F12448">
          <w:rPr>
            <w:rStyle w:val="Hyperlink"/>
            <w:noProof/>
          </w:rPr>
          <w:t>Table 4 Direct and Indirect Emissions Sources</w:t>
        </w:r>
        <w:r>
          <w:rPr>
            <w:noProof/>
            <w:webHidden/>
          </w:rPr>
          <w:tab/>
        </w:r>
        <w:r>
          <w:rPr>
            <w:noProof/>
            <w:webHidden/>
          </w:rPr>
          <w:fldChar w:fldCharType="begin"/>
        </w:r>
        <w:r>
          <w:rPr>
            <w:noProof/>
            <w:webHidden/>
          </w:rPr>
          <w:instrText xml:space="preserve"> PAGEREF _Toc176252082 \h </w:instrText>
        </w:r>
        <w:r>
          <w:rPr>
            <w:noProof/>
            <w:webHidden/>
          </w:rPr>
        </w:r>
        <w:r>
          <w:rPr>
            <w:noProof/>
            <w:webHidden/>
          </w:rPr>
          <w:fldChar w:fldCharType="separate"/>
        </w:r>
        <w:r>
          <w:rPr>
            <w:noProof/>
            <w:webHidden/>
          </w:rPr>
          <w:t>9</w:t>
        </w:r>
        <w:r>
          <w:rPr>
            <w:noProof/>
            <w:webHidden/>
          </w:rPr>
          <w:fldChar w:fldCharType="end"/>
        </w:r>
      </w:hyperlink>
    </w:p>
    <w:p w14:paraId="1D058177" w14:textId="3551FC0B" w:rsidR="00294917" w:rsidRDefault="00294917">
      <w:pPr>
        <w:pStyle w:val="TableofFigures"/>
        <w:tabs>
          <w:tab w:val="right" w:leader="dot" w:pos="9016"/>
        </w:tabs>
        <w:rPr>
          <w:rFonts w:asciiTheme="minorHAnsi" w:eastAsiaTheme="minorEastAsia" w:hAnsiTheme="minorHAnsi" w:cstheme="minorBidi"/>
          <w:noProof/>
          <w:kern w:val="2"/>
          <w:sz w:val="24"/>
          <w14:ligatures w14:val="standardContextual"/>
        </w:rPr>
      </w:pPr>
      <w:hyperlink w:anchor="_Toc176252083" w:history="1">
        <w:r w:rsidRPr="00F12448">
          <w:rPr>
            <w:rStyle w:val="Hyperlink"/>
            <w:noProof/>
          </w:rPr>
          <w:t>Table 5 Direct GHG emissions quantified per gas</w:t>
        </w:r>
        <w:r>
          <w:rPr>
            <w:noProof/>
            <w:webHidden/>
          </w:rPr>
          <w:tab/>
        </w:r>
        <w:r>
          <w:rPr>
            <w:noProof/>
            <w:webHidden/>
          </w:rPr>
          <w:fldChar w:fldCharType="begin"/>
        </w:r>
        <w:r>
          <w:rPr>
            <w:noProof/>
            <w:webHidden/>
          </w:rPr>
          <w:instrText xml:space="preserve"> PAGEREF _Toc176252083 \h </w:instrText>
        </w:r>
        <w:r>
          <w:rPr>
            <w:noProof/>
            <w:webHidden/>
          </w:rPr>
        </w:r>
        <w:r>
          <w:rPr>
            <w:noProof/>
            <w:webHidden/>
          </w:rPr>
          <w:fldChar w:fldCharType="separate"/>
        </w:r>
        <w:r>
          <w:rPr>
            <w:noProof/>
            <w:webHidden/>
          </w:rPr>
          <w:t>10</w:t>
        </w:r>
        <w:r>
          <w:rPr>
            <w:noProof/>
            <w:webHidden/>
          </w:rPr>
          <w:fldChar w:fldCharType="end"/>
        </w:r>
      </w:hyperlink>
    </w:p>
    <w:p w14:paraId="77447DE8" w14:textId="4A793EAC" w:rsidR="00294917" w:rsidRDefault="00294917">
      <w:pPr>
        <w:pStyle w:val="TableofFigures"/>
        <w:tabs>
          <w:tab w:val="right" w:leader="dot" w:pos="9016"/>
        </w:tabs>
        <w:rPr>
          <w:rFonts w:asciiTheme="minorHAnsi" w:eastAsiaTheme="minorEastAsia" w:hAnsiTheme="minorHAnsi" w:cstheme="minorBidi"/>
          <w:noProof/>
          <w:kern w:val="2"/>
          <w:sz w:val="24"/>
          <w14:ligatures w14:val="standardContextual"/>
        </w:rPr>
      </w:pPr>
      <w:hyperlink w:anchor="_Toc176252084" w:history="1">
        <w:r w:rsidRPr="00F12448">
          <w:rPr>
            <w:rStyle w:val="Hyperlink"/>
            <w:noProof/>
          </w:rPr>
          <w:t>Table 6 Business Unites Excluded from Inventory</w:t>
        </w:r>
        <w:r>
          <w:rPr>
            <w:noProof/>
            <w:webHidden/>
          </w:rPr>
          <w:tab/>
        </w:r>
        <w:r>
          <w:rPr>
            <w:noProof/>
            <w:webHidden/>
          </w:rPr>
          <w:fldChar w:fldCharType="begin"/>
        </w:r>
        <w:r>
          <w:rPr>
            <w:noProof/>
            <w:webHidden/>
          </w:rPr>
          <w:instrText xml:space="preserve"> PAGEREF _Toc176252084 \h </w:instrText>
        </w:r>
        <w:r>
          <w:rPr>
            <w:noProof/>
            <w:webHidden/>
          </w:rPr>
        </w:r>
        <w:r>
          <w:rPr>
            <w:noProof/>
            <w:webHidden/>
          </w:rPr>
          <w:fldChar w:fldCharType="separate"/>
        </w:r>
        <w:r>
          <w:rPr>
            <w:noProof/>
            <w:webHidden/>
          </w:rPr>
          <w:t>15</w:t>
        </w:r>
        <w:r>
          <w:rPr>
            <w:noProof/>
            <w:webHidden/>
          </w:rPr>
          <w:fldChar w:fldCharType="end"/>
        </w:r>
      </w:hyperlink>
    </w:p>
    <w:p w14:paraId="199F18A8" w14:textId="393FD3CA" w:rsidR="00294917" w:rsidRDefault="00294917">
      <w:pPr>
        <w:pStyle w:val="TableofFigures"/>
        <w:tabs>
          <w:tab w:val="right" w:leader="dot" w:pos="9016"/>
        </w:tabs>
        <w:rPr>
          <w:rFonts w:asciiTheme="minorHAnsi" w:eastAsiaTheme="minorEastAsia" w:hAnsiTheme="minorHAnsi" w:cstheme="minorBidi"/>
          <w:noProof/>
          <w:kern w:val="2"/>
          <w:sz w:val="24"/>
          <w14:ligatures w14:val="standardContextual"/>
        </w:rPr>
      </w:pPr>
      <w:hyperlink w:anchor="_Toc176252085" w:history="1">
        <w:r w:rsidRPr="00F12448">
          <w:rPr>
            <w:rStyle w:val="Hyperlink"/>
            <w:noProof/>
          </w:rPr>
          <w:t>Table 7 Emissions sources included in inventory FY2023/24</w:t>
        </w:r>
        <w:r>
          <w:rPr>
            <w:noProof/>
            <w:webHidden/>
          </w:rPr>
          <w:tab/>
        </w:r>
        <w:r>
          <w:rPr>
            <w:noProof/>
            <w:webHidden/>
          </w:rPr>
          <w:fldChar w:fldCharType="begin"/>
        </w:r>
        <w:r>
          <w:rPr>
            <w:noProof/>
            <w:webHidden/>
          </w:rPr>
          <w:instrText xml:space="preserve"> PAGEREF _Toc176252085 \h </w:instrText>
        </w:r>
        <w:r>
          <w:rPr>
            <w:noProof/>
            <w:webHidden/>
          </w:rPr>
        </w:r>
        <w:r>
          <w:rPr>
            <w:noProof/>
            <w:webHidden/>
          </w:rPr>
          <w:fldChar w:fldCharType="separate"/>
        </w:r>
        <w:r>
          <w:rPr>
            <w:noProof/>
            <w:webHidden/>
          </w:rPr>
          <w:t>16</w:t>
        </w:r>
        <w:r>
          <w:rPr>
            <w:noProof/>
            <w:webHidden/>
          </w:rPr>
          <w:fldChar w:fldCharType="end"/>
        </w:r>
      </w:hyperlink>
    </w:p>
    <w:p w14:paraId="0781A3C0" w14:textId="35CDE539" w:rsidR="00294917" w:rsidRDefault="00294917">
      <w:pPr>
        <w:pStyle w:val="TableofFigures"/>
        <w:tabs>
          <w:tab w:val="right" w:leader="dot" w:pos="9016"/>
        </w:tabs>
        <w:rPr>
          <w:rFonts w:asciiTheme="minorHAnsi" w:eastAsiaTheme="minorEastAsia" w:hAnsiTheme="minorHAnsi" w:cstheme="minorBidi"/>
          <w:noProof/>
          <w:kern w:val="2"/>
          <w:sz w:val="24"/>
          <w14:ligatures w14:val="standardContextual"/>
        </w:rPr>
      </w:pPr>
      <w:hyperlink w:anchor="_Toc176252086" w:history="1">
        <w:r w:rsidRPr="00F12448">
          <w:rPr>
            <w:rStyle w:val="Hyperlink"/>
            <w:noProof/>
          </w:rPr>
          <w:t>Table 8 Health NZ GHG Liabilities</w:t>
        </w:r>
        <w:r>
          <w:rPr>
            <w:noProof/>
            <w:webHidden/>
          </w:rPr>
          <w:tab/>
        </w:r>
        <w:r>
          <w:rPr>
            <w:noProof/>
            <w:webHidden/>
          </w:rPr>
          <w:fldChar w:fldCharType="begin"/>
        </w:r>
        <w:r>
          <w:rPr>
            <w:noProof/>
            <w:webHidden/>
          </w:rPr>
          <w:instrText xml:space="preserve"> PAGEREF _Toc176252086 \h </w:instrText>
        </w:r>
        <w:r>
          <w:rPr>
            <w:noProof/>
            <w:webHidden/>
          </w:rPr>
        </w:r>
        <w:r>
          <w:rPr>
            <w:noProof/>
            <w:webHidden/>
          </w:rPr>
          <w:fldChar w:fldCharType="separate"/>
        </w:r>
        <w:r>
          <w:rPr>
            <w:noProof/>
            <w:webHidden/>
          </w:rPr>
          <w:t>19</w:t>
        </w:r>
        <w:r>
          <w:rPr>
            <w:noProof/>
            <w:webHidden/>
          </w:rPr>
          <w:fldChar w:fldCharType="end"/>
        </w:r>
      </w:hyperlink>
    </w:p>
    <w:p w14:paraId="1373B181" w14:textId="11D859B5" w:rsidR="00294917" w:rsidRDefault="00294917">
      <w:pPr>
        <w:pStyle w:val="TableofFigures"/>
        <w:tabs>
          <w:tab w:val="right" w:leader="dot" w:pos="9016"/>
        </w:tabs>
        <w:rPr>
          <w:rFonts w:asciiTheme="minorHAnsi" w:eastAsiaTheme="minorEastAsia" w:hAnsiTheme="minorHAnsi" w:cstheme="minorBidi"/>
          <w:noProof/>
          <w:kern w:val="2"/>
          <w:sz w:val="24"/>
          <w14:ligatures w14:val="standardContextual"/>
        </w:rPr>
      </w:pPr>
      <w:hyperlink w:anchor="_Toc176252087" w:history="1">
        <w:r w:rsidRPr="00F12448">
          <w:rPr>
            <w:rStyle w:val="Hyperlink"/>
            <w:noProof/>
          </w:rPr>
          <w:t>Table 9 Custom created or derived emissions factors</w:t>
        </w:r>
        <w:r>
          <w:rPr>
            <w:noProof/>
            <w:webHidden/>
          </w:rPr>
          <w:tab/>
        </w:r>
        <w:r>
          <w:rPr>
            <w:noProof/>
            <w:webHidden/>
          </w:rPr>
          <w:fldChar w:fldCharType="begin"/>
        </w:r>
        <w:r>
          <w:rPr>
            <w:noProof/>
            <w:webHidden/>
          </w:rPr>
          <w:instrText xml:space="preserve"> PAGEREF _Toc176252087 \h </w:instrText>
        </w:r>
        <w:r>
          <w:rPr>
            <w:noProof/>
            <w:webHidden/>
          </w:rPr>
        </w:r>
        <w:r>
          <w:rPr>
            <w:noProof/>
            <w:webHidden/>
          </w:rPr>
          <w:fldChar w:fldCharType="separate"/>
        </w:r>
        <w:r>
          <w:rPr>
            <w:noProof/>
            <w:webHidden/>
          </w:rPr>
          <w:t>20</w:t>
        </w:r>
        <w:r>
          <w:rPr>
            <w:noProof/>
            <w:webHidden/>
          </w:rPr>
          <w:fldChar w:fldCharType="end"/>
        </w:r>
      </w:hyperlink>
    </w:p>
    <w:p w14:paraId="586D508B" w14:textId="5386D2C3" w:rsidR="00294917" w:rsidRDefault="00294917">
      <w:pPr>
        <w:pStyle w:val="TableofFigures"/>
        <w:tabs>
          <w:tab w:val="right" w:leader="dot" w:pos="9016"/>
        </w:tabs>
        <w:rPr>
          <w:rFonts w:asciiTheme="minorHAnsi" w:eastAsiaTheme="minorEastAsia" w:hAnsiTheme="minorHAnsi" w:cstheme="minorBidi"/>
          <w:noProof/>
          <w:kern w:val="2"/>
          <w:sz w:val="24"/>
          <w14:ligatures w14:val="standardContextual"/>
        </w:rPr>
      </w:pPr>
      <w:hyperlink w:anchor="_Toc176252088" w:history="1">
        <w:r w:rsidRPr="00F12448">
          <w:rPr>
            <w:rStyle w:val="Hyperlink"/>
            <w:noProof/>
          </w:rPr>
          <w:t>Table 10 Derived emissions factors for aviation</w:t>
        </w:r>
        <w:r>
          <w:rPr>
            <w:noProof/>
            <w:webHidden/>
          </w:rPr>
          <w:tab/>
        </w:r>
        <w:r>
          <w:rPr>
            <w:noProof/>
            <w:webHidden/>
          </w:rPr>
          <w:fldChar w:fldCharType="begin"/>
        </w:r>
        <w:r>
          <w:rPr>
            <w:noProof/>
            <w:webHidden/>
          </w:rPr>
          <w:instrText xml:space="preserve"> PAGEREF _Toc176252088 \h </w:instrText>
        </w:r>
        <w:r>
          <w:rPr>
            <w:noProof/>
            <w:webHidden/>
          </w:rPr>
        </w:r>
        <w:r>
          <w:rPr>
            <w:noProof/>
            <w:webHidden/>
          </w:rPr>
          <w:fldChar w:fldCharType="separate"/>
        </w:r>
        <w:r>
          <w:rPr>
            <w:noProof/>
            <w:webHidden/>
          </w:rPr>
          <w:t>21</w:t>
        </w:r>
        <w:r>
          <w:rPr>
            <w:noProof/>
            <w:webHidden/>
          </w:rPr>
          <w:fldChar w:fldCharType="end"/>
        </w:r>
      </w:hyperlink>
    </w:p>
    <w:p w14:paraId="74B7C48D" w14:textId="4C0E4D57" w:rsidR="00294917" w:rsidRDefault="00294917">
      <w:pPr>
        <w:pStyle w:val="TableofFigures"/>
        <w:tabs>
          <w:tab w:val="right" w:leader="dot" w:pos="9016"/>
        </w:tabs>
        <w:rPr>
          <w:rFonts w:asciiTheme="minorHAnsi" w:eastAsiaTheme="minorEastAsia" w:hAnsiTheme="minorHAnsi" w:cstheme="minorBidi"/>
          <w:noProof/>
          <w:kern w:val="2"/>
          <w:sz w:val="24"/>
          <w14:ligatures w14:val="standardContextual"/>
        </w:rPr>
      </w:pPr>
      <w:hyperlink w:anchor="_Toc176252089" w:history="1">
        <w:r w:rsidRPr="00F12448">
          <w:rPr>
            <w:rStyle w:val="Hyperlink"/>
            <w:noProof/>
          </w:rPr>
          <w:t>Table 11 Refrigerant GWP</w:t>
        </w:r>
        <w:r>
          <w:rPr>
            <w:noProof/>
            <w:webHidden/>
          </w:rPr>
          <w:tab/>
        </w:r>
        <w:r>
          <w:rPr>
            <w:noProof/>
            <w:webHidden/>
          </w:rPr>
          <w:fldChar w:fldCharType="begin"/>
        </w:r>
        <w:r>
          <w:rPr>
            <w:noProof/>
            <w:webHidden/>
          </w:rPr>
          <w:instrText xml:space="preserve"> PAGEREF _Toc176252089 \h </w:instrText>
        </w:r>
        <w:r>
          <w:rPr>
            <w:noProof/>
            <w:webHidden/>
          </w:rPr>
        </w:r>
        <w:r>
          <w:rPr>
            <w:noProof/>
            <w:webHidden/>
          </w:rPr>
          <w:fldChar w:fldCharType="separate"/>
        </w:r>
        <w:r>
          <w:rPr>
            <w:noProof/>
            <w:webHidden/>
          </w:rPr>
          <w:t>21</w:t>
        </w:r>
        <w:r>
          <w:rPr>
            <w:noProof/>
            <w:webHidden/>
          </w:rPr>
          <w:fldChar w:fldCharType="end"/>
        </w:r>
      </w:hyperlink>
    </w:p>
    <w:p w14:paraId="219ADB00" w14:textId="48FC502E" w:rsidR="0026628E" w:rsidRPr="00AE4DBA" w:rsidRDefault="00B70551" w:rsidP="0026628E">
      <w:r w:rsidRPr="00AE4DBA">
        <w:fldChar w:fldCharType="end"/>
      </w:r>
    </w:p>
    <w:p w14:paraId="46827C16" w14:textId="278482CE" w:rsidR="00A90DAD" w:rsidRPr="00AE4DBA" w:rsidRDefault="00A90DAD" w:rsidP="00A90DAD">
      <w:pPr>
        <w:pStyle w:val="Subheading1"/>
        <w:spacing w:before="120"/>
      </w:pPr>
      <w:bookmarkStart w:id="16" w:name="_Toc173500596"/>
      <w:bookmarkStart w:id="17" w:name="_Toc176251932"/>
      <w:bookmarkStart w:id="18" w:name="_Toc176345110"/>
      <w:r w:rsidRPr="00AE4DBA">
        <w:t>Table of Figures</w:t>
      </w:r>
      <w:bookmarkEnd w:id="14"/>
      <w:bookmarkEnd w:id="15"/>
      <w:bookmarkEnd w:id="16"/>
      <w:bookmarkEnd w:id="17"/>
      <w:bookmarkEnd w:id="18"/>
    </w:p>
    <w:bookmarkStart w:id="19" w:name="_Toc146722311"/>
    <w:bookmarkStart w:id="20" w:name="_Toc173164242"/>
    <w:p w14:paraId="54BA05E0" w14:textId="6F1F5363" w:rsidR="00294917" w:rsidRDefault="005115D9">
      <w:pPr>
        <w:pStyle w:val="TableofFigures"/>
        <w:tabs>
          <w:tab w:val="right" w:leader="dot" w:pos="9016"/>
        </w:tabs>
        <w:rPr>
          <w:rFonts w:asciiTheme="minorHAnsi" w:eastAsiaTheme="minorEastAsia" w:hAnsiTheme="minorHAnsi" w:cstheme="minorBidi"/>
          <w:noProof/>
          <w:kern w:val="2"/>
          <w:sz w:val="24"/>
          <w14:ligatures w14:val="standardContextual"/>
        </w:rPr>
      </w:pPr>
      <w:r w:rsidRPr="00AE4DBA">
        <w:fldChar w:fldCharType="begin"/>
      </w:r>
      <w:r w:rsidRPr="00AE4DBA">
        <w:instrText xml:space="preserve"> TOC \h \z \c "Figure" </w:instrText>
      </w:r>
      <w:r w:rsidRPr="00AE4DBA">
        <w:fldChar w:fldCharType="separate"/>
      </w:r>
      <w:hyperlink w:anchor="_Toc176252090" w:history="1">
        <w:r w:rsidR="00294917" w:rsidRPr="00AD1AD9">
          <w:rPr>
            <w:rStyle w:val="Hyperlink"/>
            <w:noProof/>
          </w:rPr>
          <w:t>Figure 1 Emissions by main source (Gas and Electricity inc. T&amp;D losses)</w:t>
        </w:r>
        <w:r w:rsidR="00294917">
          <w:rPr>
            <w:noProof/>
            <w:webHidden/>
          </w:rPr>
          <w:tab/>
        </w:r>
        <w:r w:rsidR="00294917">
          <w:rPr>
            <w:noProof/>
            <w:webHidden/>
          </w:rPr>
          <w:fldChar w:fldCharType="begin"/>
        </w:r>
        <w:r w:rsidR="00294917">
          <w:rPr>
            <w:noProof/>
            <w:webHidden/>
          </w:rPr>
          <w:instrText xml:space="preserve"> PAGEREF _Toc176252090 \h </w:instrText>
        </w:r>
        <w:r w:rsidR="00294917">
          <w:rPr>
            <w:noProof/>
            <w:webHidden/>
          </w:rPr>
        </w:r>
        <w:r w:rsidR="00294917">
          <w:rPr>
            <w:noProof/>
            <w:webHidden/>
          </w:rPr>
          <w:fldChar w:fldCharType="separate"/>
        </w:r>
        <w:r w:rsidR="00294917">
          <w:rPr>
            <w:noProof/>
            <w:webHidden/>
          </w:rPr>
          <w:t>7</w:t>
        </w:r>
        <w:r w:rsidR="00294917">
          <w:rPr>
            <w:noProof/>
            <w:webHidden/>
          </w:rPr>
          <w:fldChar w:fldCharType="end"/>
        </w:r>
      </w:hyperlink>
    </w:p>
    <w:p w14:paraId="7F803E4F" w14:textId="21305034" w:rsidR="00294917" w:rsidRDefault="00294917">
      <w:pPr>
        <w:pStyle w:val="TableofFigures"/>
        <w:tabs>
          <w:tab w:val="right" w:leader="dot" w:pos="9016"/>
        </w:tabs>
        <w:rPr>
          <w:rFonts w:asciiTheme="minorHAnsi" w:eastAsiaTheme="minorEastAsia" w:hAnsiTheme="minorHAnsi" w:cstheme="minorBidi"/>
          <w:noProof/>
          <w:kern w:val="2"/>
          <w:sz w:val="24"/>
          <w14:ligatures w14:val="standardContextual"/>
        </w:rPr>
      </w:pPr>
      <w:hyperlink w:anchor="_Toc176252091" w:history="1">
        <w:r w:rsidRPr="00AD1AD9">
          <w:rPr>
            <w:rStyle w:val="Hyperlink"/>
            <w:noProof/>
          </w:rPr>
          <w:t>Figure 2 Emissions by region</w:t>
        </w:r>
        <w:r>
          <w:rPr>
            <w:noProof/>
            <w:webHidden/>
          </w:rPr>
          <w:tab/>
        </w:r>
        <w:r>
          <w:rPr>
            <w:noProof/>
            <w:webHidden/>
          </w:rPr>
          <w:fldChar w:fldCharType="begin"/>
        </w:r>
        <w:r>
          <w:rPr>
            <w:noProof/>
            <w:webHidden/>
          </w:rPr>
          <w:instrText xml:space="preserve"> PAGEREF _Toc176252091 \h </w:instrText>
        </w:r>
        <w:r>
          <w:rPr>
            <w:noProof/>
            <w:webHidden/>
          </w:rPr>
        </w:r>
        <w:r>
          <w:rPr>
            <w:noProof/>
            <w:webHidden/>
          </w:rPr>
          <w:fldChar w:fldCharType="separate"/>
        </w:r>
        <w:r>
          <w:rPr>
            <w:noProof/>
            <w:webHidden/>
          </w:rPr>
          <w:t>9</w:t>
        </w:r>
        <w:r>
          <w:rPr>
            <w:noProof/>
            <w:webHidden/>
          </w:rPr>
          <w:fldChar w:fldCharType="end"/>
        </w:r>
      </w:hyperlink>
    </w:p>
    <w:p w14:paraId="75E35807" w14:textId="1AF20777" w:rsidR="00294917" w:rsidRDefault="00294917">
      <w:pPr>
        <w:pStyle w:val="TableofFigures"/>
        <w:tabs>
          <w:tab w:val="right" w:leader="dot" w:pos="9016"/>
        </w:tabs>
        <w:rPr>
          <w:rFonts w:asciiTheme="minorHAnsi" w:eastAsiaTheme="minorEastAsia" w:hAnsiTheme="minorHAnsi" w:cstheme="minorBidi"/>
          <w:noProof/>
          <w:kern w:val="2"/>
          <w:sz w:val="24"/>
          <w14:ligatures w14:val="standardContextual"/>
        </w:rPr>
      </w:pPr>
      <w:hyperlink w:anchor="_Toc176252092" w:history="1">
        <w:r w:rsidRPr="00AD1AD9">
          <w:rPr>
            <w:rStyle w:val="Hyperlink"/>
            <w:noProof/>
          </w:rPr>
          <w:t>Figure 3 Health NZ Top 10 Emissions Sources FY2024 vs Baseline FY2023</w:t>
        </w:r>
        <w:r>
          <w:rPr>
            <w:noProof/>
            <w:webHidden/>
          </w:rPr>
          <w:tab/>
        </w:r>
        <w:r>
          <w:rPr>
            <w:noProof/>
            <w:webHidden/>
          </w:rPr>
          <w:fldChar w:fldCharType="begin"/>
        </w:r>
        <w:r>
          <w:rPr>
            <w:noProof/>
            <w:webHidden/>
          </w:rPr>
          <w:instrText xml:space="preserve"> PAGEREF _Toc176252092 \h </w:instrText>
        </w:r>
        <w:r>
          <w:rPr>
            <w:noProof/>
            <w:webHidden/>
          </w:rPr>
        </w:r>
        <w:r>
          <w:rPr>
            <w:noProof/>
            <w:webHidden/>
          </w:rPr>
          <w:fldChar w:fldCharType="separate"/>
        </w:r>
        <w:r>
          <w:rPr>
            <w:noProof/>
            <w:webHidden/>
          </w:rPr>
          <w:t>11</w:t>
        </w:r>
        <w:r>
          <w:rPr>
            <w:noProof/>
            <w:webHidden/>
          </w:rPr>
          <w:fldChar w:fldCharType="end"/>
        </w:r>
      </w:hyperlink>
    </w:p>
    <w:p w14:paraId="2DB50426" w14:textId="771B09DA" w:rsidR="00294917" w:rsidRDefault="00294917">
      <w:pPr>
        <w:pStyle w:val="TableofFigures"/>
        <w:tabs>
          <w:tab w:val="right" w:leader="dot" w:pos="9016"/>
        </w:tabs>
        <w:rPr>
          <w:rFonts w:asciiTheme="minorHAnsi" w:eastAsiaTheme="minorEastAsia" w:hAnsiTheme="minorHAnsi" w:cstheme="minorBidi"/>
          <w:noProof/>
          <w:kern w:val="2"/>
          <w:sz w:val="24"/>
          <w14:ligatures w14:val="standardContextual"/>
        </w:rPr>
      </w:pPr>
      <w:hyperlink w:anchor="_Toc176252093" w:history="1">
        <w:r w:rsidRPr="00AD1AD9">
          <w:rPr>
            <w:rStyle w:val="Hyperlink"/>
            <w:noProof/>
          </w:rPr>
          <w:t>Figure 4 Health NZ Regions</w:t>
        </w:r>
        <w:r>
          <w:rPr>
            <w:noProof/>
            <w:webHidden/>
          </w:rPr>
          <w:tab/>
        </w:r>
        <w:r>
          <w:rPr>
            <w:noProof/>
            <w:webHidden/>
          </w:rPr>
          <w:fldChar w:fldCharType="begin"/>
        </w:r>
        <w:r>
          <w:rPr>
            <w:noProof/>
            <w:webHidden/>
          </w:rPr>
          <w:instrText xml:space="preserve"> PAGEREF _Toc176252093 \h </w:instrText>
        </w:r>
        <w:r>
          <w:rPr>
            <w:noProof/>
            <w:webHidden/>
          </w:rPr>
        </w:r>
        <w:r>
          <w:rPr>
            <w:noProof/>
            <w:webHidden/>
          </w:rPr>
          <w:fldChar w:fldCharType="separate"/>
        </w:r>
        <w:r>
          <w:rPr>
            <w:noProof/>
            <w:webHidden/>
          </w:rPr>
          <w:t>12</w:t>
        </w:r>
        <w:r>
          <w:rPr>
            <w:noProof/>
            <w:webHidden/>
          </w:rPr>
          <w:fldChar w:fldCharType="end"/>
        </w:r>
      </w:hyperlink>
    </w:p>
    <w:p w14:paraId="146CE62C" w14:textId="2D48BC12" w:rsidR="00294917" w:rsidRDefault="00294917">
      <w:pPr>
        <w:pStyle w:val="TableofFigures"/>
        <w:tabs>
          <w:tab w:val="right" w:leader="dot" w:pos="9016"/>
        </w:tabs>
        <w:rPr>
          <w:rFonts w:asciiTheme="minorHAnsi" w:eastAsiaTheme="minorEastAsia" w:hAnsiTheme="minorHAnsi" w:cstheme="minorBidi"/>
          <w:noProof/>
          <w:kern w:val="2"/>
          <w:sz w:val="24"/>
          <w14:ligatures w14:val="standardContextual"/>
        </w:rPr>
      </w:pPr>
      <w:hyperlink w:anchor="_Toc176252094" w:history="1">
        <w:r w:rsidRPr="00AD1AD9">
          <w:rPr>
            <w:rStyle w:val="Hyperlink"/>
            <w:noProof/>
          </w:rPr>
          <w:t>Figure 5 Health New Zealand organisational boundary FY2023/24</w:t>
        </w:r>
        <w:r>
          <w:rPr>
            <w:noProof/>
            <w:webHidden/>
          </w:rPr>
          <w:tab/>
        </w:r>
        <w:r>
          <w:rPr>
            <w:noProof/>
            <w:webHidden/>
          </w:rPr>
          <w:fldChar w:fldCharType="begin"/>
        </w:r>
        <w:r>
          <w:rPr>
            <w:noProof/>
            <w:webHidden/>
          </w:rPr>
          <w:instrText xml:space="preserve"> PAGEREF _Toc176252094 \h </w:instrText>
        </w:r>
        <w:r>
          <w:rPr>
            <w:noProof/>
            <w:webHidden/>
          </w:rPr>
        </w:r>
        <w:r>
          <w:rPr>
            <w:noProof/>
            <w:webHidden/>
          </w:rPr>
          <w:fldChar w:fldCharType="separate"/>
        </w:r>
        <w:r>
          <w:rPr>
            <w:noProof/>
            <w:webHidden/>
          </w:rPr>
          <w:t>14</w:t>
        </w:r>
        <w:r>
          <w:rPr>
            <w:noProof/>
            <w:webHidden/>
          </w:rPr>
          <w:fldChar w:fldCharType="end"/>
        </w:r>
      </w:hyperlink>
    </w:p>
    <w:p w14:paraId="50B004E5" w14:textId="30C6DA96" w:rsidR="0026628E" w:rsidRPr="00AE4DBA" w:rsidRDefault="005115D9" w:rsidP="0026628E">
      <w:r w:rsidRPr="00AE4DBA">
        <w:fldChar w:fldCharType="end"/>
      </w:r>
    </w:p>
    <w:p w14:paraId="78D90639" w14:textId="5B651A55" w:rsidR="00A90DAD" w:rsidRPr="00AE4DBA" w:rsidRDefault="00A90DAD" w:rsidP="00A90DAD">
      <w:pPr>
        <w:pStyle w:val="Subheading1"/>
        <w:spacing w:before="120"/>
      </w:pPr>
      <w:bookmarkStart w:id="21" w:name="_Toc173500597"/>
      <w:bookmarkStart w:id="22" w:name="_Toc176251933"/>
      <w:bookmarkStart w:id="23" w:name="_Toc176345111"/>
      <w:r w:rsidRPr="00AE4DBA">
        <w:t>Table of Abbreviations/Glossary</w:t>
      </w:r>
      <w:bookmarkEnd w:id="19"/>
      <w:bookmarkEnd w:id="20"/>
      <w:bookmarkEnd w:id="21"/>
      <w:bookmarkEnd w:id="22"/>
      <w:bookmarkEnd w:id="23"/>
    </w:p>
    <w:tbl>
      <w:tblPr>
        <w:tblStyle w:val="TableGrid"/>
        <w:tblW w:w="0" w:type="auto"/>
        <w:tblBorders>
          <w:top w:val="single" w:sz="4" w:space="0" w:color="CFC499" w:themeColor="background1" w:themeShade="BF"/>
          <w:left w:val="single" w:sz="4" w:space="0" w:color="CFC499" w:themeColor="background1" w:themeShade="BF"/>
          <w:bottom w:val="single" w:sz="4" w:space="0" w:color="CFC499" w:themeColor="background1" w:themeShade="BF"/>
          <w:right w:val="single" w:sz="4" w:space="0" w:color="CFC499" w:themeColor="background1" w:themeShade="BF"/>
          <w:insideH w:val="single" w:sz="4" w:space="0" w:color="CFC499" w:themeColor="background1" w:themeShade="BF"/>
          <w:insideV w:val="single" w:sz="4" w:space="0" w:color="CFC499" w:themeColor="background1" w:themeShade="BF"/>
        </w:tblBorders>
        <w:tblLook w:val="04A0" w:firstRow="1" w:lastRow="0" w:firstColumn="1" w:lastColumn="0" w:noHBand="0" w:noVBand="1"/>
      </w:tblPr>
      <w:tblGrid>
        <w:gridCol w:w="2046"/>
        <w:gridCol w:w="6970"/>
      </w:tblGrid>
      <w:tr w:rsidR="00A90DAD" w:rsidRPr="00AE4DBA" w14:paraId="7218B057" w14:textId="77777777" w:rsidTr="009EB3A7">
        <w:trPr>
          <w:cnfStyle w:val="100000000000" w:firstRow="1" w:lastRow="0" w:firstColumn="0" w:lastColumn="0" w:oddVBand="0" w:evenVBand="0" w:oddHBand="0" w:evenHBand="0" w:firstRowFirstColumn="0" w:firstRowLastColumn="0" w:lastRowFirstColumn="0" w:lastRowLastColumn="0"/>
        </w:trPr>
        <w:tc>
          <w:tcPr>
            <w:tcW w:w="2046" w:type="dxa"/>
          </w:tcPr>
          <w:p w14:paraId="38D0A1C2" w14:textId="77777777" w:rsidR="00A90DAD" w:rsidRPr="00AE4DBA" w:rsidRDefault="00A90DAD" w:rsidP="004A080C">
            <w:pPr>
              <w:pStyle w:val="BodyText1"/>
              <w:rPr>
                <w:b w:val="0"/>
                <w:lang w:val="en-NZ"/>
              </w:rPr>
            </w:pPr>
            <w:r w:rsidRPr="00AE4DBA">
              <w:rPr>
                <w:lang w:val="en-NZ"/>
              </w:rPr>
              <w:t>CNGP</w:t>
            </w:r>
          </w:p>
        </w:tc>
        <w:tc>
          <w:tcPr>
            <w:tcW w:w="6970" w:type="dxa"/>
          </w:tcPr>
          <w:p w14:paraId="36DA5C6E" w14:textId="77777777" w:rsidR="00A90DAD" w:rsidRPr="00AE4DBA" w:rsidRDefault="00A90DAD" w:rsidP="004A080C">
            <w:pPr>
              <w:pStyle w:val="BodyText1"/>
              <w:rPr>
                <w:b w:val="0"/>
                <w:lang w:val="en-NZ"/>
              </w:rPr>
            </w:pPr>
            <w:r w:rsidRPr="00AE4DBA">
              <w:rPr>
                <w:lang w:val="en-NZ"/>
              </w:rPr>
              <w:t>Carbon Neutral Government Programme</w:t>
            </w:r>
          </w:p>
        </w:tc>
      </w:tr>
      <w:tr w:rsidR="00A90DAD" w:rsidRPr="00AE4DBA" w14:paraId="3F960D3B" w14:textId="77777777" w:rsidTr="009EB3A7">
        <w:tc>
          <w:tcPr>
            <w:tcW w:w="2046" w:type="dxa"/>
          </w:tcPr>
          <w:p w14:paraId="3831E547" w14:textId="77777777" w:rsidR="00A90DAD" w:rsidRPr="00AE4DBA" w:rsidRDefault="00A90DAD" w:rsidP="004A080C">
            <w:pPr>
              <w:pStyle w:val="BodyText1"/>
              <w:rPr>
                <w:lang w:val="en-NZ"/>
              </w:rPr>
            </w:pPr>
            <w:r w:rsidRPr="00AE4DBA">
              <w:rPr>
                <w:lang w:val="en-NZ"/>
              </w:rPr>
              <w:t>CME</w:t>
            </w:r>
          </w:p>
        </w:tc>
        <w:tc>
          <w:tcPr>
            <w:tcW w:w="6970" w:type="dxa"/>
          </w:tcPr>
          <w:p w14:paraId="6D35AF61" w14:textId="77777777" w:rsidR="00A90DAD" w:rsidRPr="00AE4DBA" w:rsidRDefault="00A90DAD" w:rsidP="00294917">
            <w:pPr>
              <w:pStyle w:val="BodyText1"/>
              <w:ind w:left="109" w:firstLine="0"/>
              <w:rPr>
                <w:lang w:val="en-NZ"/>
              </w:rPr>
            </w:pPr>
            <w:r w:rsidRPr="00AE4DBA">
              <w:rPr>
                <w:lang w:val="en-NZ"/>
              </w:rPr>
              <w:t>Continuing Medical Education</w:t>
            </w:r>
          </w:p>
        </w:tc>
      </w:tr>
      <w:tr w:rsidR="00A90DAD" w:rsidRPr="00AE4DBA" w14:paraId="79F378CB" w14:textId="77777777" w:rsidTr="009EB3A7">
        <w:tc>
          <w:tcPr>
            <w:tcW w:w="2046" w:type="dxa"/>
          </w:tcPr>
          <w:p w14:paraId="7A8666F9" w14:textId="77777777" w:rsidR="00A90DAD" w:rsidRPr="00AE4DBA" w:rsidRDefault="00A90DAD" w:rsidP="004A080C">
            <w:pPr>
              <w:pStyle w:val="BodyText1"/>
              <w:rPr>
                <w:lang w:val="en-NZ"/>
              </w:rPr>
            </w:pPr>
            <w:r w:rsidRPr="00AE4DBA">
              <w:rPr>
                <w:lang w:val="en-NZ"/>
              </w:rPr>
              <w:t>DHBs</w:t>
            </w:r>
          </w:p>
        </w:tc>
        <w:tc>
          <w:tcPr>
            <w:tcW w:w="6970" w:type="dxa"/>
          </w:tcPr>
          <w:p w14:paraId="112956CC" w14:textId="77777777" w:rsidR="00A90DAD" w:rsidRPr="00AE4DBA" w:rsidRDefault="00A90DAD" w:rsidP="00294917">
            <w:pPr>
              <w:pStyle w:val="BodyText1"/>
              <w:ind w:left="109" w:firstLine="0"/>
              <w:rPr>
                <w:lang w:val="en-NZ"/>
              </w:rPr>
            </w:pPr>
            <w:r w:rsidRPr="00AE4DBA">
              <w:rPr>
                <w:lang w:val="en-NZ"/>
              </w:rPr>
              <w:t>District Health Boards</w:t>
            </w:r>
          </w:p>
        </w:tc>
      </w:tr>
      <w:tr w:rsidR="00A90DAD" w:rsidRPr="00AE4DBA" w14:paraId="1876A013" w14:textId="77777777" w:rsidTr="009EB3A7">
        <w:tc>
          <w:tcPr>
            <w:tcW w:w="2046" w:type="dxa"/>
          </w:tcPr>
          <w:p w14:paraId="0C6DF5CA" w14:textId="77777777" w:rsidR="00A90DAD" w:rsidRPr="00AE4DBA" w:rsidRDefault="00A90DAD" w:rsidP="004A080C">
            <w:pPr>
              <w:pStyle w:val="BodyText1"/>
              <w:rPr>
                <w:lang w:val="en-NZ"/>
              </w:rPr>
            </w:pPr>
            <w:r w:rsidRPr="00AE4DBA">
              <w:rPr>
                <w:lang w:val="en-NZ"/>
              </w:rPr>
              <w:t>EECA</w:t>
            </w:r>
          </w:p>
        </w:tc>
        <w:tc>
          <w:tcPr>
            <w:tcW w:w="6970" w:type="dxa"/>
          </w:tcPr>
          <w:p w14:paraId="717B0B8A" w14:textId="77777777" w:rsidR="00A90DAD" w:rsidRPr="00AE4DBA" w:rsidRDefault="00A90DAD" w:rsidP="00294917">
            <w:pPr>
              <w:pStyle w:val="BodyText1"/>
              <w:ind w:left="109" w:firstLine="0"/>
              <w:rPr>
                <w:lang w:val="en-NZ"/>
              </w:rPr>
            </w:pPr>
            <w:r w:rsidRPr="00AE4DBA">
              <w:rPr>
                <w:lang w:val="en-NZ"/>
              </w:rPr>
              <w:t>Energy Efficiency and Conservation Authority</w:t>
            </w:r>
          </w:p>
        </w:tc>
      </w:tr>
      <w:tr w:rsidR="00A90DAD" w:rsidRPr="00AE4DBA" w14:paraId="02952E2D" w14:textId="77777777" w:rsidTr="009EB3A7">
        <w:tc>
          <w:tcPr>
            <w:tcW w:w="2046" w:type="dxa"/>
          </w:tcPr>
          <w:p w14:paraId="19E7C4F5" w14:textId="77777777" w:rsidR="00A90DAD" w:rsidRPr="00AE4DBA" w:rsidRDefault="00A90DAD" w:rsidP="004A080C">
            <w:pPr>
              <w:pStyle w:val="BodyText1"/>
              <w:rPr>
                <w:lang w:val="en-NZ"/>
              </w:rPr>
            </w:pPr>
            <w:r w:rsidRPr="00AE4DBA">
              <w:rPr>
                <w:lang w:val="en-NZ"/>
              </w:rPr>
              <w:t>GHG</w:t>
            </w:r>
          </w:p>
        </w:tc>
        <w:tc>
          <w:tcPr>
            <w:tcW w:w="6970" w:type="dxa"/>
          </w:tcPr>
          <w:p w14:paraId="6B7BAC7D" w14:textId="77777777" w:rsidR="00A90DAD" w:rsidRPr="00AE4DBA" w:rsidRDefault="00A90DAD" w:rsidP="00294917">
            <w:pPr>
              <w:pStyle w:val="BodyText1"/>
              <w:ind w:left="109" w:firstLine="0"/>
              <w:rPr>
                <w:lang w:val="en-NZ"/>
              </w:rPr>
            </w:pPr>
            <w:r w:rsidRPr="00AE4DBA">
              <w:rPr>
                <w:lang w:val="en-NZ"/>
              </w:rPr>
              <w:t>Greenhouse Gas</w:t>
            </w:r>
          </w:p>
        </w:tc>
      </w:tr>
      <w:tr w:rsidR="00A90DAD" w:rsidRPr="00AE4DBA" w14:paraId="77A80102" w14:textId="77777777" w:rsidTr="009EB3A7">
        <w:tc>
          <w:tcPr>
            <w:tcW w:w="2046" w:type="dxa"/>
          </w:tcPr>
          <w:p w14:paraId="30192414" w14:textId="77777777" w:rsidR="00A90DAD" w:rsidRPr="00AE4DBA" w:rsidRDefault="00A90DAD" w:rsidP="004A080C">
            <w:pPr>
              <w:pStyle w:val="BodyText1"/>
              <w:rPr>
                <w:lang w:val="en-NZ"/>
              </w:rPr>
            </w:pPr>
            <w:r w:rsidRPr="00AE4DBA">
              <w:rPr>
                <w:lang w:val="en-NZ"/>
              </w:rPr>
              <w:t>GJ</w:t>
            </w:r>
          </w:p>
        </w:tc>
        <w:tc>
          <w:tcPr>
            <w:tcW w:w="6970" w:type="dxa"/>
          </w:tcPr>
          <w:p w14:paraId="4F89E1CB" w14:textId="77777777" w:rsidR="00A90DAD" w:rsidRPr="00AE4DBA" w:rsidRDefault="00A90DAD" w:rsidP="00294917">
            <w:pPr>
              <w:pStyle w:val="BodyText1"/>
              <w:ind w:left="109" w:firstLine="0"/>
              <w:rPr>
                <w:lang w:val="en-NZ"/>
              </w:rPr>
            </w:pPr>
            <w:r w:rsidRPr="00AE4DBA">
              <w:rPr>
                <w:lang w:val="en-NZ"/>
              </w:rPr>
              <w:t>Gigajoule</w:t>
            </w:r>
          </w:p>
        </w:tc>
      </w:tr>
      <w:tr w:rsidR="00A90DAD" w:rsidRPr="00AE4DBA" w14:paraId="52DCC425" w14:textId="77777777" w:rsidTr="009EB3A7">
        <w:tc>
          <w:tcPr>
            <w:tcW w:w="2046" w:type="dxa"/>
          </w:tcPr>
          <w:p w14:paraId="033BA8E2" w14:textId="77777777" w:rsidR="00A90DAD" w:rsidRPr="00AE4DBA" w:rsidRDefault="00A90DAD" w:rsidP="004A080C">
            <w:pPr>
              <w:pStyle w:val="BodyText1"/>
              <w:rPr>
                <w:lang w:val="en-NZ"/>
              </w:rPr>
            </w:pPr>
            <w:r w:rsidRPr="00AE4DBA">
              <w:rPr>
                <w:lang w:val="en-NZ"/>
              </w:rPr>
              <w:t>GWP</w:t>
            </w:r>
          </w:p>
        </w:tc>
        <w:tc>
          <w:tcPr>
            <w:tcW w:w="6970" w:type="dxa"/>
          </w:tcPr>
          <w:p w14:paraId="22CAA305" w14:textId="77777777" w:rsidR="00A90DAD" w:rsidRPr="00AE4DBA" w:rsidRDefault="00A90DAD" w:rsidP="00294917">
            <w:pPr>
              <w:pStyle w:val="BodyText1"/>
              <w:ind w:left="109" w:firstLine="0"/>
              <w:rPr>
                <w:lang w:val="en-NZ"/>
              </w:rPr>
            </w:pPr>
            <w:r w:rsidRPr="00AE4DBA">
              <w:rPr>
                <w:lang w:val="en-NZ"/>
              </w:rPr>
              <w:t>Global Warming Potential</w:t>
            </w:r>
          </w:p>
        </w:tc>
      </w:tr>
      <w:tr w:rsidR="00A90DAD" w:rsidRPr="00AE4DBA" w14:paraId="69A13987" w14:textId="77777777" w:rsidTr="009EB3A7">
        <w:tc>
          <w:tcPr>
            <w:tcW w:w="2046" w:type="dxa"/>
          </w:tcPr>
          <w:p w14:paraId="7A5D9B4D" w14:textId="77777777" w:rsidR="00A90DAD" w:rsidRPr="00AE4DBA" w:rsidRDefault="00A90DAD" w:rsidP="004A080C">
            <w:pPr>
              <w:pStyle w:val="BodyText1"/>
              <w:rPr>
                <w:lang w:val="en-NZ"/>
              </w:rPr>
            </w:pPr>
            <w:r w:rsidRPr="00AE4DBA">
              <w:rPr>
                <w:lang w:val="en-NZ"/>
              </w:rPr>
              <w:t>kWh</w:t>
            </w:r>
          </w:p>
        </w:tc>
        <w:tc>
          <w:tcPr>
            <w:tcW w:w="6970" w:type="dxa"/>
          </w:tcPr>
          <w:p w14:paraId="741BCD55" w14:textId="77777777" w:rsidR="00A90DAD" w:rsidRPr="00AE4DBA" w:rsidRDefault="00A90DAD" w:rsidP="00294917">
            <w:pPr>
              <w:pStyle w:val="BodyText1"/>
              <w:ind w:left="109" w:firstLine="0"/>
              <w:rPr>
                <w:lang w:val="en-NZ"/>
              </w:rPr>
            </w:pPr>
            <w:r w:rsidRPr="00AE4DBA">
              <w:rPr>
                <w:lang w:val="en-NZ"/>
              </w:rPr>
              <w:t>Kilowatt-hour</w:t>
            </w:r>
          </w:p>
        </w:tc>
      </w:tr>
      <w:tr w:rsidR="00A90DAD" w:rsidRPr="00AE4DBA" w14:paraId="6DDF853A" w14:textId="77777777" w:rsidTr="009EB3A7">
        <w:tc>
          <w:tcPr>
            <w:tcW w:w="2046" w:type="dxa"/>
          </w:tcPr>
          <w:p w14:paraId="6928CF6D" w14:textId="77777777" w:rsidR="00A90DAD" w:rsidRPr="00AE4DBA" w:rsidRDefault="00A90DAD" w:rsidP="004A080C">
            <w:pPr>
              <w:pStyle w:val="BodyText1"/>
              <w:rPr>
                <w:lang w:val="en-NZ"/>
              </w:rPr>
            </w:pPr>
            <w:r w:rsidRPr="00AE4DBA">
              <w:rPr>
                <w:lang w:val="en-NZ"/>
              </w:rPr>
              <w:t>IIG</w:t>
            </w:r>
          </w:p>
        </w:tc>
        <w:tc>
          <w:tcPr>
            <w:tcW w:w="6970" w:type="dxa"/>
          </w:tcPr>
          <w:p w14:paraId="5DAA6B34" w14:textId="77777777" w:rsidR="00A90DAD" w:rsidRPr="00AE4DBA" w:rsidRDefault="00A90DAD" w:rsidP="00294917">
            <w:pPr>
              <w:pStyle w:val="BodyText1"/>
              <w:ind w:left="109" w:firstLine="0"/>
              <w:rPr>
                <w:lang w:val="en-NZ"/>
              </w:rPr>
            </w:pPr>
            <w:r w:rsidRPr="00AE4DBA">
              <w:rPr>
                <w:lang w:val="en-NZ"/>
              </w:rPr>
              <w:t>Infrastructure and Investment Group</w:t>
            </w:r>
          </w:p>
        </w:tc>
      </w:tr>
      <w:tr w:rsidR="00A90DAD" w:rsidRPr="00AE4DBA" w14:paraId="3391EA0D" w14:textId="77777777" w:rsidTr="009EB3A7">
        <w:tc>
          <w:tcPr>
            <w:tcW w:w="2046" w:type="dxa"/>
          </w:tcPr>
          <w:p w14:paraId="3306EC05" w14:textId="77777777" w:rsidR="00A90DAD" w:rsidRPr="00AE4DBA" w:rsidRDefault="00A90DAD" w:rsidP="004A080C">
            <w:pPr>
              <w:pStyle w:val="BodyText1"/>
              <w:rPr>
                <w:lang w:val="en-NZ"/>
              </w:rPr>
            </w:pPr>
            <w:r w:rsidRPr="00AE4DBA">
              <w:rPr>
                <w:lang w:val="en-NZ"/>
              </w:rPr>
              <w:t>LFGR</w:t>
            </w:r>
          </w:p>
        </w:tc>
        <w:tc>
          <w:tcPr>
            <w:tcW w:w="6970" w:type="dxa"/>
          </w:tcPr>
          <w:p w14:paraId="2B994FAA" w14:textId="77777777" w:rsidR="00A90DAD" w:rsidRPr="00AE4DBA" w:rsidRDefault="00A90DAD" w:rsidP="00294917">
            <w:pPr>
              <w:pStyle w:val="BodyText1"/>
              <w:ind w:left="109" w:firstLine="0"/>
              <w:rPr>
                <w:lang w:val="en-NZ"/>
              </w:rPr>
            </w:pPr>
            <w:r w:rsidRPr="00AE4DBA">
              <w:rPr>
                <w:lang w:val="en-NZ"/>
              </w:rPr>
              <w:t>Landfill Gas Recovery</w:t>
            </w:r>
          </w:p>
        </w:tc>
      </w:tr>
      <w:tr w:rsidR="00A90DAD" w:rsidRPr="00AE4DBA" w14:paraId="20B68756" w14:textId="77777777" w:rsidTr="009EB3A7">
        <w:tc>
          <w:tcPr>
            <w:tcW w:w="2046" w:type="dxa"/>
          </w:tcPr>
          <w:p w14:paraId="7FCCBE86" w14:textId="77777777" w:rsidR="00A90DAD" w:rsidRPr="00AE4DBA" w:rsidRDefault="00A90DAD" w:rsidP="004A080C">
            <w:pPr>
              <w:pStyle w:val="BodyText1"/>
              <w:rPr>
                <w:lang w:val="en-NZ"/>
              </w:rPr>
            </w:pPr>
            <w:proofErr w:type="spellStart"/>
            <w:r w:rsidRPr="00AE4DBA">
              <w:rPr>
                <w:lang w:val="en-NZ"/>
              </w:rPr>
              <w:t>MfE</w:t>
            </w:r>
            <w:proofErr w:type="spellEnd"/>
          </w:p>
        </w:tc>
        <w:tc>
          <w:tcPr>
            <w:tcW w:w="6970" w:type="dxa"/>
          </w:tcPr>
          <w:p w14:paraId="6CB617A8" w14:textId="4CFA592D" w:rsidR="00A90DAD" w:rsidRPr="00AE4DBA" w:rsidRDefault="00A90DAD" w:rsidP="00294917">
            <w:pPr>
              <w:pStyle w:val="BodyText1"/>
              <w:ind w:left="109" w:firstLine="0"/>
              <w:rPr>
                <w:lang w:val="en-NZ"/>
              </w:rPr>
            </w:pPr>
            <w:r w:rsidRPr="00AE4DBA">
              <w:rPr>
                <w:lang w:val="en-NZ"/>
              </w:rPr>
              <w:t>Ministry for the Environment</w:t>
            </w:r>
            <w:r w:rsidR="003B5721">
              <w:rPr>
                <w:lang w:val="en-NZ"/>
              </w:rPr>
              <w:t xml:space="preserve"> </w:t>
            </w:r>
            <w:r w:rsidR="003B5721">
              <w:rPr>
                <w:rFonts w:cs="Arial"/>
                <w:lang w:val="en-NZ"/>
              </w:rPr>
              <w:t>|</w:t>
            </w:r>
            <w:r w:rsidR="003B5721">
              <w:rPr>
                <w:lang w:val="en-NZ"/>
              </w:rPr>
              <w:t xml:space="preserve"> </w:t>
            </w:r>
            <w:r w:rsidR="003B5721" w:rsidRPr="003B5721">
              <w:rPr>
                <w:lang w:val="en-NZ"/>
              </w:rPr>
              <w:t xml:space="preserve">Manatū </w:t>
            </w:r>
            <w:proofErr w:type="spellStart"/>
            <w:r w:rsidR="003B5721" w:rsidRPr="003B5721">
              <w:rPr>
                <w:lang w:val="en-NZ"/>
              </w:rPr>
              <w:t>Mō</w:t>
            </w:r>
            <w:proofErr w:type="spellEnd"/>
            <w:r w:rsidR="003B5721" w:rsidRPr="003B5721">
              <w:rPr>
                <w:lang w:val="en-NZ"/>
              </w:rPr>
              <w:t xml:space="preserve"> Te Taiao</w:t>
            </w:r>
          </w:p>
        </w:tc>
      </w:tr>
      <w:tr w:rsidR="00A90DAD" w:rsidRPr="00AE4DBA" w14:paraId="74536C3A" w14:textId="77777777" w:rsidTr="009EB3A7">
        <w:tc>
          <w:tcPr>
            <w:tcW w:w="2046" w:type="dxa"/>
          </w:tcPr>
          <w:p w14:paraId="1572B919" w14:textId="77777777" w:rsidR="00A90DAD" w:rsidRPr="00AE4DBA" w:rsidRDefault="00A90DAD" w:rsidP="004A080C">
            <w:pPr>
              <w:pStyle w:val="BodyText1"/>
              <w:rPr>
                <w:lang w:val="en-NZ"/>
              </w:rPr>
            </w:pPr>
            <w:r w:rsidRPr="00AE4DBA">
              <w:rPr>
                <w:lang w:val="en-NZ"/>
              </w:rPr>
              <w:t xml:space="preserve">NTA </w:t>
            </w:r>
          </w:p>
        </w:tc>
        <w:tc>
          <w:tcPr>
            <w:tcW w:w="6970" w:type="dxa"/>
          </w:tcPr>
          <w:p w14:paraId="6D33B92A" w14:textId="77777777" w:rsidR="00A90DAD" w:rsidRPr="00AE4DBA" w:rsidRDefault="00A90DAD" w:rsidP="00294917">
            <w:pPr>
              <w:pStyle w:val="BodyText1"/>
              <w:ind w:left="109" w:firstLine="0"/>
              <w:rPr>
                <w:lang w:val="en-NZ"/>
              </w:rPr>
            </w:pPr>
            <w:r w:rsidRPr="00AE4DBA">
              <w:rPr>
                <w:lang w:val="en-NZ"/>
              </w:rPr>
              <w:t>National Travel Assistance</w:t>
            </w:r>
          </w:p>
        </w:tc>
      </w:tr>
      <w:tr w:rsidR="00A90DAD" w:rsidRPr="00AE4DBA" w14:paraId="3539A0EC" w14:textId="77777777" w:rsidTr="009EB3A7">
        <w:tc>
          <w:tcPr>
            <w:tcW w:w="2046" w:type="dxa"/>
          </w:tcPr>
          <w:p w14:paraId="3F6BE388" w14:textId="77777777" w:rsidR="00A90DAD" w:rsidRPr="00AE4DBA" w:rsidRDefault="00A90DAD" w:rsidP="004A080C">
            <w:pPr>
              <w:pStyle w:val="BodyText1"/>
              <w:rPr>
                <w:lang w:val="en-NZ"/>
              </w:rPr>
            </w:pPr>
            <w:r w:rsidRPr="00AE4DBA">
              <w:rPr>
                <w:lang w:val="en-NZ"/>
              </w:rPr>
              <w:t>1.5-degree pathway</w:t>
            </w:r>
          </w:p>
        </w:tc>
        <w:tc>
          <w:tcPr>
            <w:tcW w:w="6970" w:type="dxa"/>
          </w:tcPr>
          <w:p w14:paraId="2904B8FE" w14:textId="77777777" w:rsidR="00A90DAD" w:rsidRPr="00AE4DBA" w:rsidRDefault="00A90DAD" w:rsidP="00294917">
            <w:pPr>
              <w:pStyle w:val="BodyText1"/>
              <w:ind w:left="109" w:firstLine="0"/>
              <w:rPr>
                <w:lang w:val="en-NZ"/>
              </w:rPr>
            </w:pPr>
            <w:r w:rsidRPr="00AE4DBA">
              <w:rPr>
                <w:lang w:val="en-NZ"/>
              </w:rPr>
              <w:t>Setting targets in line with limiting the global average temperature increase to 1.5 degrees Celsius above pre-industrial levels.</w:t>
            </w:r>
          </w:p>
        </w:tc>
      </w:tr>
      <w:tr w:rsidR="00A90DAD" w:rsidRPr="00AE4DBA" w14:paraId="24CCE47E" w14:textId="77777777" w:rsidTr="009EB3A7">
        <w:tc>
          <w:tcPr>
            <w:tcW w:w="2046" w:type="dxa"/>
          </w:tcPr>
          <w:p w14:paraId="7EDF3D7F" w14:textId="77777777" w:rsidR="00A90DAD" w:rsidRPr="00AE4DBA" w:rsidRDefault="00A90DAD" w:rsidP="004A080C">
            <w:pPr>
              <w:pStyle w:val="BodyText1"/>
              <w:rPr>
                <w:lang w:val="en-NZ"/>
              </w:rPr>
            </w:pPr>
            <w:r w:rsidRPr="00AE4DBA">
              <w:rPr>
                <w:lang w:val="en-NZ"/>
              </w:rPr>
              <w:lastRenderedPageBreak/>
              <w:t>PPN</w:t>
            </w:r>
          </w:p>
        </w:tc>
        <w:tc>
          <w:tcPr>
            <w:tcW w:w="6970" w:type="dxa"/>
          </w:tcPr>
          <w:p w14:paraId="55472114" w14:textId="77777777" w:rsidR="00A90DAD" w:rsidRPr="00AE4DBA" w:rsidRDefault="00A90DAD" w:rsidP="00294917">
            <w:pPr>
              <w:pStyle w:val="BodyText1"/>
              <w:ind w:left="109" w:firstLine="0"/>
              <w:rPr>
                <w:lang w:val="en-NZ"/>
              </w:rPr>
            </w:pPr>
            <w:r w:rsidRPr="00AE4DBA">
              <w:rPr>
                <w:lang w:val="en-NZ"/>
              </w:rPr>
              <w:t>Per person night</w:t>
            </w:r>
          </w:p>
        </w:tc>
      </w:tr>
      <w:tr w:rsidR="00A90DAD" w:rsidRPr="00AE4DBA" w14:paraId="4AEFA90F" w14:textId="77777777" w:rsidTr="009EB3A7">
        <w:tc>
          <w:tcPr>
            <w:tcW w:w="2046" w:type="dxa"/>
          </w:tcPr>
          <w:p w14:paraId="636682A6" w14:textId="77777777" w:rsidR="00A90DAD" w:rsidRPr="00AE4DBA" w:rsidRDefault="00A90DAD" w:rsidP="004A080C">
            <w:pPr>
              <w:pStyle w:val="BodyText1"/>
              <w:rPr>
                <w:lang w:val="en-NZ"/>
              </w:rPr>
            </w:pPr>
            <w:r w:rsidRPr="00AE4DBA">
              <w:rPr>
                <w:lang w:val="en-NZ"/>
              </w:rPr>
              <w:t>PKM</w:t>
            </w:r>
          </w:p>
        </w:tc>
        <w:tc>
          <w:tcPr>
            <w:tcW w:w="6970" w:type="dxa"/>
          </w:tcPr>
          <w:p w14:paraId="6EAF0214" w14:textId="77777777" w:rsidR="00A90DAD" w:rsidRPr="00AE4DBA" w:rsidRDefault="00A90DAD" w:rsidP="00294917">
            <w:pPr>
              <w:pStyle w:val="BodyText1"/>
              <w:ind w:left="109" w:firstLine="0"/>
              <w:rPr>
                <w:lang w:val="en-NZ"/>
              </w:rPr>
            </w:pPr>
            <w:r w:rsidRPr="00AE4DBA">
              <w:rPr>
                <w:lang w:val="en-NZ"/>
              </w:rPr>
              <w:t>Passenger-kilometre</w:t>
            </w:r>
          </w:p>
        </w:tc>
      </w:tr>
      <w:tr w:rsidR="00A90DAD" w:rsidRPr="00AE4DBA" w14:paraId="4160FE8A" w14:textId="77777777" w:rsidTr="009EB3A7">
        <w:tc>
          <w:tcPr>
            <w:tcW w:w="2046" w:type="dxa"/>
          </w:tcPr>
          <w:p w14:paraId="67357E96" w14:textId="77777777" w:rsidR="00A90DAD" w:rsidRPr="00AE4DBA" w:rsidRDefault="00A90DAD" w:rsidP="004A080C">
            <w:pPr>
              <w:pStyle w:val="BodyText1"/>
              <w:rPr>
                <w:lang w:val="en-NZ"/>
              </w:rPr>
            </w:pPr>
            <w:r w:rsidRPr="00AE4DBA">
              <w:rPr>
                <w:lang w:val="en-NZ"/>
              </w:rPr>
              <w:t>tCO</w:t>
            </w:r>
            <w:r w:rsidRPr="00AE4DBA">
              <w:rPr>
                <w:vertAlign w:val="subscript"/>
                <w:lang w:val="en-NZ"/>
              </w:rPr>
              <w:t>2</w:t>
            </w:r>
            <w:r w:rsidRPr="00AE4DBA">
              <w:rPr>
                <w:lang w:val="en-NZ"/>
              </w:rPr>
              <w:t>e</w:t>
            </w:r>
          </w:p>
        </w:tc>
        <w:tc>
          <w:tcPr>
            <w:tcW w:w="6970" w:type="dxa"/>
          </w:tcPr>
          <w:p w14:paraId="0A462E0A" w14:textId="77777777" w:rsidR="00A90DAD" w:rsidRPr="00AE4DBA" w:rsidRDefault="00A90DAD" w:rsidP="00294917">
            <w:pPr>
              <w:pStyle w:val="BodyText1"/>
              <w:ind w:left="109" w:firstLine="0"/>
              <w:rPr>
                <w:lang w:val="en-NZ"/>
              </w:rPr>
            </w:pPr>
            <w:r w:rsidRPr="00AE4DBA">
              <w:rPr>
                <w:lang w:val="en-NZ"/>
              </w:rPr>
              <w:t xml:space="preserve">Tonnes of carbon dioxide equivalent, the common unit of measure for combined greenhouse gases </w:t>
            </w:r>
          </w:p>
        </w:tc>
      </w:tr>
    </w:tbl>
    <w:p w14:paraId="4B1EF390" w14:textId="77777777" w:rsidR="0050793F" w:rsidRDefault="0050793F" w:rsidP="00A90DAD">
      <w:pPr>
        <w:pStyle w:val="Subheading1"/>
      </w:pPr>
      <w:bookmarkStart w:id="24" w:name="_Toc146722312"/>
      <w:bookmarkStart w:id="25" w:name="_Toc176345112"/>
    </w:p>
    <w:p w14:paraId="37260D9D" w14:textId="77777777" w:rsidR="0050793F" w:rsidRDefault="0050793F">
      <w:pPr>
        <w:spacing w:after="160" w:line="259" w:lineRule="auto"/>
        <w:rPr>
          <w:rFonts w:eastAsia="Malgun Gothic"/>
          <w:b/>
          <w:color w:val="0C818F"/>
          <w:sz w:val="36"/>
          <w:szCs w:val="36"/>
        </w:rPr>
      </w:pPr>
      <w:r>
        <w:br w:type="page"/>
      </w:r>
    </w:p>
    <w:p w14:paraId="6CF1EC7D" w14:textId="7D72C615" w:rsidR="00A90DAD" w:rsidRPr="00AE4DBA" w:rsidRDefault="00A90DAD" w:rsidP="00A90DAD">
      <w:pPr>
        <w:pStyle w:val="Subheading1"/>
      </w:pPr>
      <w:r w:rsidRPr="00AE4DBA">
        <w:lastRenderedPageBreak/>
        <w:t>Executive Summary</w:t>
      </w:r>
      <w:bookmarkEnd w:id="24"/>
      <w:bookmarkEnd w:id="25"/>
    </w:p>
    <w:p w14:paraId="633976D6" w14:textId="2504203A" w:rsidR="00E12E93" w:rsidRPr="00AE4DBA" w:rsidRDefault="00E12E93" w:rsidP="00E12E93">
      <w:pPr>
        <w:pStyle w:val="BodyText1"/>
        <w:rPr>
          <w:lang w:val="en-NZ"/>
        </w:rPr>
      </w:pPr>
      <w:r w:rsidRPr="00AE4DBA">
        <w:rPr>
          <w:lang w:val="en-NZ"/>
        </w:rPr>
        <w:t xml:space="preserve">This is the </w:t>
      </w:r>
      <w:r w:rsidR="00DD46FE" w:rsidRPr="00AE4DBA">
        <w:rPr>
          <w:lang w:val="en-NZ"/>
        </w:rPr>
        <w:t xml:space="preserve">second </w:t>
      </w:r>
      <w:r w:rsidRPr="00AE4DBA">
        <w:rPr>
          <w:lang w:val="en-NZ"/>
        </w:rPr>
        <w:t>Emissions Inventory Report for Health New Zealand</w:t>
      </w:r>
      <w:r w:rsidR="00DD46FE" w:rsidRPr="00AE4DBA">
        <w:rPr>
          <w:lang w:val="en-NZ"/>
        </w:rPr>
        <w:t xml:space="preserve"> | Te Whatu Ora </w:t>
      </w:r>
      <w:r w:rsidR="0039710A" w:rsidRPr="00AE4DBA">
        <w:rPr>
          <w:lang w:val="en-NZ"/>
        </w:rPr>
        <w:t xml:space="preserve">(Health NZ) </w:t>
      </w:r>
      <w:r w:rsidR="00DD46FE" w:rsidRPr="00AE4DBA">
        <w:rPr>
          <w:lang w:val="en-NZ"/>
        </w:rPr>
        <w:t xml:space="preserve">following </w:t>
      </w:r>
      <w:r w:rsidR="00C94120" w:rsidRPr="00AE4DBA">
        <w:rPr>
          <w:lang w:val="en-NZ"/>
        </w:rPr>
        <w:t>our baseline inventory</w:t>
      </w:r>
      <w:r w:rsidRPr="00AE4DBA">
        <w:rPr>
          <w:lang w:val="en-NZ"/>
        </w:rPr>
        <w:t xml:space="preserve">. The measurement period covers the </w:t>
      </w:r>
      <w:r w:rsidR="00C94120" w:rsidRPr="00AE4DBA">
        <w:rPr>
          <w:lang w:val="en-NZ"/>
        </w:rPr>
        <w:t>second</w:t>
      </w:r>
      <w:r w:rsidRPr="00AE4DBA">
        <w:rPr>
          <w:lang w:val="en-NZ"/>
        </w:rPr>
        <w:t xml:space="preserve"> financial year since the organisation’s establishment, from 1 July 202</w:t>
      </w:r>
      <w:r w:rsidR="00C94120" w:rsidRPr="00AE4DBA">
        <w:rPr>
          <w:lang w:val="en-NZ"/>
        </w:rPr>
        <w:t>3</w:t>
      </w:r>
      <w:r w:rsidRPr="00AE4DBA">
        <w:rPr>
          <w:lang w:val="en-NZ"/>
        </w:rPr>
        <w:t xml:space="preserve"> to 30 June 202</w:t>
      </w:r>
      <w:r w:rsidR="00C94120" w:rsidRPr="00AE4DBA">
        <w:rPr>
          <w:lang w:val="en-NZ"/>
        </w:rPr>
        <w:t>4</w:t>
      </w:r>
      <w:r w:rsidRPr="00AE4DBA">
        <w:rPr>
          <w:lang w:val="en-NZ"/>
        </w:rPr>
        <w:t xml:space="preserve">. </w:t>
      </w:r>
    </w:p>
    <w:p w14:paraId="2E90D9D8" w14:textId="6D4625B6" w:rsidR="00E12E93" w:rsidRPr="00AE4DBA" w:rsidRDefault="00E12E93" w:rsidP="00E12E93">
      <w:pPr>
        <w:pStyle w:val="BodyText1"/>
        <w:rPr>
          <w:lang w:val="en-NZ"/>
        </w:rPr>
      </w:pPr>
      <w:r w:rsidRPr="00AE4DBA">
        <w:rPr>
          <w:lang w:val="en-NZ"/>
        </w:rPr>
        <w:t>Th</w:t>
      </w:r>
      <w:r w:rsidR="00DF7E64" w:rsidRPr="00AE4DBA">
        <w:rPr>
          <w:lang w:val="en-NZ"/>
        </w:rPr>
        <w:t>is inventory</w:t>
      </w:r>
      <w:r w:rsidRPr="00AE4DBA">
        <w:rPr>
          <w:lang w:val="en-NZ"/>
        </w:rPr>
        <w:t xml:space="preserve"> will inform </w:t>
      </w:r>
      <w:r w:rsidR="00DF7E64" w:rsidRPr="00AE4DBA">
        <w:rPr>
          <w:lang w:val="en-NZ"/>
        </w:rPr>
        <w:t>Health NZ’s</w:t>
      </w:r>
      <w:r w:rsidRPr="00AE4DBA">
        <w:rPr>
          <w:lang w:val="en-NZ"/>
        </w:rPr>
        <w:t xml:space="preserve"> sustainability work programme and assist in meeting the directions of the Carbon Neutral Government Programme (CNGP).</w:t>
      </w:r>
    </w:p>
    <w:p w14:paraId="0601EEBE" w14:textId="131941AD" w:rsidR="00E12E93" w:rsidRPr="00AE4DBA" w:rsidRDefault="00DF7E64" w:rsidP="00E12E93">
      <w:pPr>
        <w:pStyle w:val="BodyText1"/>
        <w:rPr>
          <w:lang w:val="en-NZ"/>
        </w:rPr>
      </w:pPr>
      <w:r w:rsidRPr="00AE4DBA">
        <w:rPr>
          <w:lang w:val="en-NZ"/>
        </w:rPr>
        <w:t>Health NZ’s</w:t>
      </w:r>
      <w:r w:rsidR="00E12E93" w:rsidRPr="00AE4DBA">
        <w:rPr>
          <w:lang w:val="en-NZ"/>
        </w:rPr>
        <w:t xml:space="preserve"> total greenhouse gas (GHG) emissions</w:t>
      </w:r>
      <w:r w:rsidR="00E12E93" w:rsidRPr="00AE4DBA">
        <w:rPr>
          <w:rStyle w:val="FootnoteReference"/>
          <w:lang w:val="en-NZ"/>
        </w:rPr>
        <w:footnoteReference w:id="3"/>
      </w:r>
      <w:r w:rsidR="00E12E93" w:rsidRPr="00AE4DBA">
        <w:rPr>
          <w:lang w:val="en-NZ"/>
        </w:rPr>
        <w:t xml:space="preserve"> for the reporting year 1 July 202</w:t>
      </w:r>
      <w:r w:rsidR="002B44BE" w:rsidRPr="00AE4DBA">
        <w:rPr>
          <w:lang w:val="en-NZ"/>
        </w:rPr>
        <w:t>3</w:t>
      </w:r>
      <w:r w:rsidR="00E12E93" w:rsidRPr="00AE4DBA">
        <w:rPr>
          <w:lang w:val="en-NZ"/>
        </w:rPr>
        <w:t xml:space="preserve"> to 30 June 202</w:t>
      </w:r>
      <w:r w:rsidR="002B44BE" w:rsidRPr="00AE4DBA">
        <w:rPr>
          <w:lang w:val="en-NZ"/>
        </w:rPr>
        <w:t>4</w:t>
      </w:r>
      <w:r w:rsidR="00E12E93" w:rsidRPr="00AE4DBA">
        <w:rPr>
          <w:lang w:val="en-NZ"/>
        </w:rPr>
        <w:t xml:space="preserve"> were </w:t>
      </w:r>
      <w:r w:rsidR="00746559" w:rsidRPr="00AE4DBA">
        <w:rPr>
          <w:lang w:val="en-NZ"/>
        </w:rPr>
        <w:t>20</w:t>
      </w:r>
      <w:r w:rsidR="002F4A82">
        <w:rPr>
          <w:lang w:val="en-NZ"/>
        </w:rPr>
        <w:t>5</w:t>
      </w:r>
      <w:r w:rsidR="5E0BC251" w:rsidRPr="00AE4DBA">
        <w:rPr>
          <w:lang w:val="en-NZ"/>
        </w:rPr>
        <w:t>,</w:t>
      </w:r>
      <w:r w:rsidR="002F4A82">
        <w:rPr>
          <w:lang w:val="en-NZ"/>
        </w:rPr>
        <w:t>275</w:t>
      </w:r>
      <w:r w:rsidR="003E03F6" w:rsidRPr="00AE4DBA">
        <w:rPr>
          <w:lang w:val="en-NZ"/>
        </w:rPr>
        <w:t xml:space="preserve"> </w:t>
      </w:r>
      <w:r w:rsidR="00E12E93" w:rsidRPr="00AE4DBA">
        <w:rPr>
          <w:lang w:val="en-NZ"/>
        </w:rPr>
        <w:t>tCO</w:t>
      </w:r>
      <w:r w:rsidR="00E12E93" w:rsidRPr="00AE4DBA">
        <w:rPr>
          <w:vertAlign w:val="subscript"/>
          <w:lang w:val="en-NZ"/>
        </w:rPr>
        <w:t>2</w:t>
      </w:r>
      <w:r w:rsidR="00E12E93" w:rsidRPr="00AE4DBA">
        <w:rPr>
          <w:lang w:val="en-NZ"/>
        </w:rPr>
        <w:t>e.</w:t>
      </w:r>
    </w:p>
    <w:p w14:paraId="3052F209" w14:textId="64480564" w:rsidR="009F3ADC" w:rsidRPr="00AE4DBA" w:rsidRDefault="00A66AE7" w:rsidP="00E12E93">
      <w:pPr>
        <w:pStyle w:val="BodyText1"/>
        <w:rPr>
          <w:lang w:val="en-NZ"/>
        </w:rPr>
      </w:pPr>
      <w:r w:rsidRPr="00AE4DBA">
        <w:rPr>
          <w:lang w:val="en-NZ"/>
        </w:rPr>
        <w:t xml:space="preserve">Table 1 </w:t>
      </w:r>
      <w:r w:rsidR="00C13A89" w:rsidRPr="00AE4DBA">
        <w:rPr>
          <w:lang w:val="en-NZ"/>
        </w:rPr>
        <w:t>presents Health NZ’s GHG</w:t>
      </w:r>
      <w:r w:rsidR="00522582" w:rsidRPr="00AE4DBA">
        <w:rPr>
          <w:lang w:val="en-NZ"/>
        </w:rPr>
        <w:t xml:space="preserve"> </w:t>
      </w:r>
      <w:r w:rsidR="006318F6" w:rsidRPr="00AE4DBA">
        <w:rPr>
          <w:lang w:val="en-NZ"/>
        </w:rPr>
        <w:t>emissions</w:t>
      </w:r>
      <w:r w:rsidR="00522582" w:rsidRPr="00AE4DBA">
        <w:rPr>
          <w:lang w:val="en-NZ"/>
        </w:rPr>
        <w:t xml:space="preserve"> by </w:t>
      </w:r>
      <w:r w:rsidR="00110488" w:rsidRPr="00AE4DBA">
        <w:rPr>
          <w:lang w:val="en-NZ"/>
        </w:rPr>
        <w:t>ISO</w:t>
      </w:r>
      <w:r w:rsidR="009F3ADC" w:rsidRPr="00AE4DBA">
        <w:rPr>
          <w:lang w:val="en-NZ"/>
        </w:rPr>
        <w:t xml:space="preserve"> </w:t>
      </w:r>
      <w:r w:rsidR="00110488" w:rsidRPr="00AE4DBA">
        <w:rPr>
          <w:lang w:val="en-NZ"/>
        </w:rPr>
        <w:t>14064</w:t>
      </w:r>
      <w:r w:rsidR="009F3ADC" w:rsidRPr="00AE4DBA">
        <w:rPr>
          <w:lang w:val="en-NZ"/>
        </w:rPr>
        <w:t xml:space="preserve"> </w:t>
      </w:r>
      <w:r w:rsidR="00110488" w:rsidRPr="00AE4DBA">
        <w:rPr>
          <w:lang w:val="en-NZ"/>
        </w:rPr>
        <w:t>Category and</w:t>
      </w:r>
      <w:r w:rsidR="009F3ADC" w:rsidRPr="00AE4DBA">
        <w:rPr>
          <w:lang w:val="en-NZ"/>
        </w:rPr>
        <w:t xml:space="preserve"> GHG Protocol Scope.</w:t>
      </w:r>
    </w:p>
    <w:p w14:paraId="3EB72EAA" w14:textId="77777777" w:rsidR="00443B28" w:rsidRPr="00AE4DBA" w:rsidRDefault="00443B28" w:rsidP="00E12E93">
      <w:pPr>
        <w:pStyle w:val="BodyText1"/>
        <w:rPr>
          <w:lang w:val="en-NZ"/>
        </w:rPr>
      </w:pPr>
    </w:p>
    <w:p w14:paraId="70DE3B56" w14:textId="52E55032" w:rsidR="00A66AE7" w:rsidRPr="00AE4DBA" w:rsidRDefault="00A66AE7" w:rsidP="00935EF9">
      <w:pPr>
        <w:pStyle w:val="Caption"/>
      </w:pPr>
      <w:bookmarkStart w:id="26" w:name="_Toc176252079"/>
      <w:r w:rsidRPr="00AE4DBA">
        <w:t xml:space="preserve">Table </w:t>
      </w:r>
      <w:r>
        <w:fldChar w:fldCharType="begin"/>
      </w:r>
      <w:r>
        <w:instrText>SEQ Table \* ARABIC</w:instrText>
      </w:r>
      <w:r>
        <w:fldChar w:fldCharType="separate"/>
      </w:r>
      <w:r w:rsidR="003130CC" w:rsidRPr="00AE4DBA">
        <w:rPr>
          <w:noProof/>
        </w:rPr>
        <w:t>1</w:t>
      </w:r>
      <w:r>
        <w:fldChar w:fldCharType="end"/>
      </w:r>
      <w:r w:rsidRPr="00AE4DBA">
        <w:t xml:space="preserve"> GHG Emissions by Category</w:t>
      </w:r>
      <w:bookmarkEnd w:id="26"/>
    </w:p>
    <w:tbl>
      <w:tblPr>
        <w:tblW w:w="4741" w:type="pct"/>
        <w:tblLook w:val="04A0" w:firstRow="1" w:lastRow="0" w:firstColumn="1" w:lastColumn="0" w:noHBand="0" w:noVBand="1"/>
      </w:tblPr>
      <w:tblGrid>
        <w:gridCol w:w="3334"/>
        <w:gridCol w:w="3363"/>
        <w:gridCol w:w="1861"/>
      </w:tblGrid>
      <w:tr w:rsidR="0039710A" w:rsidRPr="00AE4DBA" w14:paraId="7ED15792" w14:textId="77777777" w:rsidTr="030A1F00">
        <w:trPr>
          <w:trHeight w:val="305"/>
        </w:trPr>
        <w:tc>
          <w:tcPr>
            <w:tcW w:w="1948" w:type="pct"/>
            <w:tcBorders>
              <w:top w:val="nil"/>
              <w:left w:val="nil"/>
              <w:bottom w:val="nil"/>
              <w:right w:val="nil"/>
            </w:tcBorders>
            <w:shd w:val="clear" w:color="auto" w:fill="15284C" w:themeFill="accent5"/>
            <w:vAlign w:val="center"/>
          </w:tcPr>
          <w:p w14:paraId="3E8A5C19" w14:textId="135D616E" w:rsidR="0039710A" w:rsidRPr="00AE4DBA" w:rsidRDefault="0039710A" w:rsidP="0039710A">
            <w:pPr>
              <w:pStyle w:val="BodyText1"/>
              <w:rPr>
                <w:color w:val="FFFFFF" w:themeColor="accent6"/>
                <w:lang w:val="en-NZ"/>
              </w:rPr>
            </w:pPr>
            <w:r w:rsidRPr="00AE4DBA">
              <w:rPr>
                <w:color w:val="FFFFFF" w:themeColor="accent6"/>
                <w:lang w:val="en-NZ"/>
              </w:rPr>
              <w:t>ISO 14064-1:2018 Category</w:t>
            </w:r>
          </w:p>
        </w:tc>
        <w:tc>
          <w:tcPr>
            <w:tcW w:w="1965" w:type="pct"/>
            <w:tcBorders>
              <w:top w:val="nil"/>
              <w:left w:val="nil"/>
              <w:bottom w:val="nil"/>
              <w:right w:val="nil"/>
            </w:tcBorders>
            <w:shd w:val="clear" w:color="auto" w:fill="15284C" w:themeFill="accent5"/>
            <w:noWrap/>
            <w:vAlign w:val="center"/>
            <w:hideMark/>
          </w:tcPr>
          <w:p w14:paraId="177A1361" w14:textId="67BFE9F5" w:rsidR="0039710A" w:rsidRPr="00AE4DBA" w:rsidRDefault="0039710A" w:rsidP="0039710A">
            <w:pPr>
              <w:pStyle w:val="BodyText1"/>
              <w:rPr>
                <w:color w:val="FFFFFF" w:themeColor="accent6"/>
                <w:lang w:val="en-NZ"/>
              </w:rPr>
            </w:pPr>
            <w:r w:rsidRPr="00AE4DBA">
              <w:rPr>
                <w:color w:val="FFFFFF" w:themeColor="accent6"/>
                <w:lang w:val="en-NZ"/>
              </w:rPr>
              <w:t>GHG Protocol Scopes</w:t>
            </w:r>
          </w:p>
        </w:tc>
        <w:tc>
          <w:tcPr>
            <w:tcW w:w="1087" w:type="pct"/>
            <w:tcBorders>
              <w:top w:val="nil"/>
              <w:left w:val="nil"/>
              <w:bottom w:val="nil"/>
              <w:right w:val="nil"/>
            </w:tcBorders>
            <w:shd w:val="clear" w:color="auto" w:fill="15284C" w:themeFill="accent5"/>
            <w:noWrap/>
            <w:vAlign w:val="center"/>
            <w:hideMark/>
          </w:tcPr>
          <w:p w14:paraId="3A05FE77" w14:textId="77777777" w:rsidR="0039710A" w:rsidRPr="00AE4DBA" w:rsidRDefault="0039710A" w:rsidP="28637781">
            <w:pPr>
              <w:pStyle w:val="BodyText1"/>
              <w:jc w:val="right"/>
              <w:rPr>
                <w:color w:val="FFFFFF" w:themeColor="accent6"/>
                <w:lang w:val="en-NZ"/>
              </w:rPr>
            </w:pPr>
            <w:r w:rsidRPr="00AE4DBA">
              <w:rPr>
                <w:color w:val="FFFFFF" w:themeColor="accent6"/>
                <w:lang w:val="en-NZ"/>
              </w:rPr>
              <w:t>tCO</w:t>
            </w:r>
            <w:r w:rsidRPr="00AE4DBA">
              <w:rPr>
                <w:color w:val="FFFFFF" w:themeColor="accent6"/>
                <w:vertAlign w:val="subscript"/>
                <w:lang w:val="en-NZ"/>
              </w:rPr>
              <w:t>2</w:t>
            </w:r>
            <w:r w:rsidRPr="00AE4DBA">
              <w:rPr>
                <w:color w:val="FFFFFF" w:themeColor="accent6"/>
                <w:lang w:val="en-NZ"/>
              </w:rPr>
              <w:t>e</w:t>
            </w:r>
          </w:p>
        </w:tc>
      </w:tr>
      <w:tr w:rsidR="0039710A" w:rsidRPr="00AE4DBA" w14:paraId="66145145" w14:textId="77777777" w:rsidTr="0087284D">
        <w:trPr>
          <w:trHeight w:val="1117"/>
        </w:trPr>
        <w:tc>
          <w:tcPr>
            <w:tcW w:w="1948" w:type="pct"/>
            <w:tcBorders>
              <w:top w:val="nil"/>
              <w:left w:val="single" w:sz="8" w:space="0" w:color="F6F4EC" w:themeColor="background1"/>
              <w:bottom w:val="single" w:sz="4" w:space="0" w:color="D9D9D9"/>
              <w:right w:val="nil"/>
            </w:tcBorders>
            <w:vAlign w:val="center"/>
          </w:tcPr>
          <w:p w14:paraId="01E1F1C8" w14:textId="006F6699" w:rsidR="0039710A" w:rsidRPr="00AE4DBA" w:rsidRDefault="0039710A" w:rsidP="0039710A">
            <w:pPr>
              <w:pStyle w:val="BodyText1"/>
              <w:rPr>
                <w:lang w:val="en-NZ"/>
              </w:rPr>
            </w:pPr>
            <w:r w:rsidRPr="00AE4DBA">
              <w:rPr>
                <w:lang w:val="en-NZ"/>
              </w:rPr>
              <w:t xml:space="preserve">Category 1: Direct emissions </w:t>
            </w:r>
          </w:p>
        </w:tc>
        <w:tc>
          <w:tcPr>
            <w:tcW w:w="1965" w:type="pct"/>
            <w:tcBorders>
              <w:top w:val="nil"/>
              <w:left w:val="single" w:sz="8" w:space="0" w:color="F6F4EC" w:themeColor="background1"/>
              <w:bottom w:val="single" w:sz="4" w:space="0" w:color="D9D9D9"/>
              <w:right w:val="nil"/>
            </w:tcBorders>
            <w:shd w:val="clear" w:color="auto" w:fill="auto"/>
            <w:vAlign w:val="center"/>
            <w:hideMark/>
          </w:tcPr>
          <w:p w14:paraId="40198588" w14:textId="50DD3C71" w:rsidR="0039710A" w:rsidRPr="00AE4DBA" w:rsidRDefault="0039710A" w:rsidP="0039710A">
            <w:pPr>
              <w:pStyle w:val="BodyText1"/>
              <w:rPr>
                <w:szCs w:val="22"/>
                <w:lang w:val="en-NZ"/>
              </w:rPr>
            </w:pPr>
            <w:r w:rsidRPr="00AE4DBA">
              <w:rPr>
                <w:szCs w:val="22"/>
                <w:lang w:val="en-NZ"/>
              </w:rPr>
              <w:t>Scope 1: Direct GHG emissions from sources owned or controlled by Health NZ</w:t>
            </w:r>
          </w:p>
        </w:tc>
        <w:tc>
          <w:tcPr>
            <w:tcW w:w="1087" w:type="pct"/>
            <w:tcBorders>
              <w:top w:val="nil"/>
              <w:left w:val="nil"/>
              <w:bottom w:val="single" w:sz="4" w:space="0" w:color="D9D9D9"/>
              <w:right w:val="single" w:sz="4" w:space="0" w:color="F6F4EC" w:themeColor="background1"/>
            </w:tcBorders>
            <w:shd w:val="clear" w:color="auto" w:fill="auto"/>
            <w:noWrap/>
            <w:vAlign w:val="center"/>
            <w:hideMark/>
          </w:tcPr>
          <w:p w14:paraId="15E35AA4" w14:textId="624427E9" w:rsidR="00443B28" w:rsidRPr="00AE4DBA" w:rsidRDefault="00443B28" w:rsidP="00443B28">
            <w:pPr>
              <w:pStyle w:val="BodyText1"/>
              <w:jc w:val="right"/>
              <w:rPr>
                <w:lang w:val="en-NZ"/>
              </w:rPr>
            </w:pPr>
            <w:bookmarkStart w:id="27" w:name="_Hlk174873769"/>
            <w:r w:rsidRPr="00AE4DBA">
              <w:rPr>
                <w:lang w:val="en-NZ"/>
              </w:rPr>
              <w:t>83,</w:t>
            </w:r>
            <w:r w:rsidR="00144CA9" w:rsidRPr="00AE4DBA">
              <w:rPr>
                <w:lang w:val="en-NZ"/>
              </w:rPr>
              <w:t>08</w:t>
            </w:r>
            <w:r w:rsidR="00AD7595">
              <w:rPr>
                <w:lang w:val="en-NZ"/>
              </w:rPr>
              <w:t>7</w:t>
            </w:r>
            <w:r w:rsidRPr="00AE4DBA">
              <w:rPr>
                <w:lang w:val="en-NZ"/>
              </w:rPr>
              <w:t xml:space="preserve"> </w:t>
            </w:r>
          </w:p>
          <w:bookmarkEnd w:id="27"/>
          <w:p w14:paraId="4CF109DE" w14:textId="55DE9BDF" w:rsidR="0039710A" w:rsidRPr="00AE4DBA" w:rsidRDefault="0039710A" w:rsidP="28637781">
            <w:pPr>
              <w:pStyle w:val="BodyText1"/>
              <w:jc w:val="right"/>
              <w:rPr>
                <w:lang w:val="en-NZ"/>
              </w:rPr>
            </w:pPr>
          </w:p>
        </w:tc>
      </w:tr>
      <w:tr w:rsidR="0039710A" w:rsidRPr="00AE4DBA" w14:paraId="66559F91" w14:textId="77777777" w:rsidTr="0087284D">
        <w:trPr>
          <w:trHeight w:val="1293"/>
        </w:trPr>
        <w:tc>
          <w:tcPr>
            <w:tcW w:w="1948" w:type="pct"/>
            <w:tcBorders>
              <w:top w:val="single" w:sz="4" w:space="0" w:color="D9D9D9"/>
              <w:left w:val="single" w:sz="4" w:space="0" w:color="F6F4EC" w:themeColor="background1"/>
              <w:bottom w:val="single" w:sz="4" w:space="0" w:color="D9D9D9"/>
              <w:right w:val="nil"/>
            </w:tcBorders>
            <w:vAlign w:val="center"/>
          </w:tcPr>
          <w:p w14:paraId="00D7C5FD" w14:textId="4CBFA072" w:rsidR="0039710A" w:rsidRPr="00AE4DBA" w:rsidRDefault="0039710A" w:rsidP="0039710A">
            <w:pPr>
              <w:pStyle w:val="BodyText1"/>
              <w:rPr>
                <w:lang w:val="en-NZ"/>
              </w:rPr>
            </w:pPr>
            <w:r w:rsidRPr="00AE4DBA">
              <w:rPr>
                <w:lang w:val="en-NZ"/>
              </w:rPr>
              <w:t xml:space="preserve">Category 2: Indirect energy emissions </w:t>
            </w:r>
          </w:p>
        </w:tc>
        <w:tc>
          <w:tcPr>
            <w:tcW w:w="1965" w:type="pct"/>
            <w:tcBorders>
              <w:top w:val="single" w:sz="4" w:space="0" w:color="D9D9D9"/>
              <w:left w:val="single" w:sz="4" w:space="0" w:color="F6F4EC" w:themeColor="background1"/>
              <w:bottom w:val="single" w:sz="4" w:space="0" w:color="D9D9D9"/>
              <w:right w:val="nil"/>
            </w:tcBorders>
            <w:shd w:val="clear" w:color="auto" w:fill="auto"/>
            <w:vAlign w:val="center"/>
            <w:hideMark/>
          </w:tcPr>
          <w:p w14:paraId="347EC22C" w14:textId="517EE2E0" w:rsidR="0039710A" w:rsidRPr="00AE4DBA" w:rsidRDefault="0039710A" w:rsidP="0039710A">
            <w:pPr>
              <w:pStyle w:val="BodyText1"/>
              <w:rPr>
                <w:szCs w:val="22"/>
                <w:lang w:val="en-NZ"/>
              </w:rPr>
            </w:pPr>
            <w:r w:rsidRPr="00AE4DBA">
              <w:rPr>
                <w:szCs w:val="22"/>
                <w:lang w:val="en-NZ"/>
              </w:rPr>
              <w:t>Scope 2: Energy indirect emissions from purchases of electricity, heating, cooling and steam</w:t>
            </w:r>
          </w:p>
        </w:tc>
        <w:tc>
          <w:tcPr>
            <w:tcW w:w="1087" w:type="pct"/>
            <w:tcBorders>
              <w:top w:val="single" w:sz="4" w:space="0" w:color="D9D9D9"/>
              <w:left w:val="nil"/>
              <w:bottom w:val="single" w:sz="4" w:space="0" w:color="D9D9D9"/>
              <w:right w:val="single" w:sz="4" w:space="0" w:color="F6F4EC" w:themeColor="background1"/>
            </w:tcBorders>
            <w:shd w:val="clear" w:color="auto" w:fill="auto"/>
            <w:noWrap/>
            <w:vAlign w:val="center"/>
            <w:hideMark/>
          </w:tcPr>
          <w:p w14:paraId="6D7EB5C6" w14:textId="1C855247" w:rsidR="00443B28" w:rsidRPr="00AE4DBA" w:rsidRDefault="00443B28" w:rsidP="00443B28">
            <w:pPr>
              <w:pStyle w:val="BodyText1"/>
              <w:jc w:val="right"/>
              <w:rPr>
                <w:lang w:val="en-NZ"/>
              </w:rPr>
            </w:pPr>
            <w:r w:rsidRPr="00AE4DBA">
              <w:rPr>
                <w:lang w:val="en-NZ"/>
              </w:rPr>
              <w:t>2</w:t>
            </w:r>
            <w:r w:rsidR="00144CA9" w:rsidRPr="00AE4DBA">
              <w:rPr>
                <w:lang w:val="en-NZ"/>
              </w:rPr>
              <w:t>7</w:t>
            </w:r>
            <w:r w:rsidRPr="00AE4DBA">
              <w:rPr>
                <w:lang w:val="en-NZ"/>
              </w:rPr>
              <w:t>,</w:t>
            </w:r>
            <w:r w:rsidR="00144CA9" w:rsidRPr="00AE4DBA">
              <w:rPr>
                <w:lang w:val="en-NZ"/>
              </w:rPr>
              <w:t>0</w:t>
            </w:r>
            <w:r w:rsidR="00AD7595">
              <w:rPr>
                <w:lang w:val="en-NZ"/>
              </w:rPr>
              <w:t>15</w:t>
            </w:r>
            <w:r w:rsidRPr="00AE4DBA">
              <w:rPr>
                <w:lang w:val="en-NZ"/>
              </w:rPr>
              <w:t xml:space="preserve"> </w:t>
            </w:r>
          </w:p>
          <w:p w14:paraId="5D0B031C" w14:textId="64B0E111" w:rsidR="0039710A" w:rsidRPr="00AE4DBA" w:rsidRDefault="0039710A" w:rsidP="00443B28">
            <w:pPr>
              <w:pStyle w:val="BodyText1"/>
              <w:jc w:val="right"/>
              <w:rPr>
                <w:lang w:val="en-NZ"/>
              </w:rPr>
            </w:pPr>
          </w:p>
        </w:tc>
      </w:tr>
      <w:tr w:rsidR="0039710A" w:rsidRPr="00AE4DBA" w14:paraId="7FDB58FD" w14:textId="77777777" w:rsidTr="0087284D">
        <w:trPr>
          <w:trHeight w:val="294"/>
        </w:trPr>
        <w:tc>
          <w:tcPr>
            <w:tcW w:w="1948" w:type="pct"/>
            <w:tcBorders>
              <w:top w:val="single" w:sz="4" w:space="0" w:color="D9D9D9"/>
              <w:left w:val="single" w:sz="8" w:space="0" w:color="F6F4EC" w:themeColor="background1"/>
              <w:bottom w:val="single" w:sz="4" w:space="0" w:color="D9D9D9"/>
              <w:right w:val="nil"/>
            </w:tcBorders>
            <w:vAlign w:val="center"/>
          </w:tcPr>
          <w:p w14:paraId="520B45F5" w14:textId="6E7B1D57" w:rsidR="0039710A" w:rsidRPr="00AE4DBA" w:rsidRDefault="0039710A" w:rsidP="0039710A">
            <w:pPr>
              <w:pStyle w:val="BodyText1"/>
              <w:rPr>
                <w:lang w:val="en-NZ"/>
              </w:rPr>
            </w:pPr>
            <w:r w:rsidRPr="00AE4DBA">
              <w:rPr>
                <w:lang w:val="en-NZ"/>
              </w:rPr>
              <w:t>Category 3: Indirect emissions from transportation</w:t>
            </w:r>
          </w:p>
        </w:tc>
        <w:tc>
          <w:tcPr>
            <w:tcW w:w="1965" w:type="pct"/>
            <w:vMerge w:val="restart"/>
            <w:tcBorders>
              <w:top w:val="single" w:sz="4" w:space="0" w:color="D9D9D9"/>
              <w:left w:val="single" w:sz="8" w:space="0" w:color="F6F4EC" w:themeColor="background1"/>
              <w:bottom w:val="single" w:sz="8" w:space="0" w:color="A6A6A6" w:themeColor="accent6" w:themeShade="A6"/>
              <w:right w:val="nil"/>
            </w:tcBorders>
            <w:shd w:val="clear" w:color="auto" w:fill="auto"/>
            <w:vAlign w:val="center"/>
            <w:hideMark/>
          </w:tcPr>
          <w:p w14:paraId="7DD76D64" w14:textId="23DBBED5" w:rsidR="0039710A" w:rsidRPr="00AE4DBA" w:rsidRDefault="0039710A" w:rsidP="0039710A">
            <w:pPr>
              <w:pStyle w:val="BodyText1"/>
              <w:rPr>
                <w:lang w:val="en-NZ"/>
              </w:rPr>
            </w:pPr>
            <w:r w:rsidRPr="7C571EA4">
              <w:rPr>
                <w:lang w:val="en-NZ"/>
              </w:rPr>
              <w:t>Scope 3: All other indirect emissions that result from the organi</w:t>
            </w:r>
            <w:r w:rsidR="46ECF094" w:rsidRPr="7C571EA4">
              <w:rPr>
                <w:lang w:val="en-NZ"/>
              </w:rPr>
              <w:t>s</w:t>
            </w:r>
            <w:r w:rsidRPr="7C571EA4">
              <w:rPr>
                <w:lang w:val="en-NZ"/>
              </w:rPr>
              <w:t>ation's activities (e.g., upstream and downstream emissions, business travel, waste, supply chain).</w:t>
            </w:r>
          </w:p>
        </w:tc>
        <w:tc>
          <w:tcPr>
            <w:tcW w:w="1087" w:type="pct"/>
            <w:tcBorders>
              <w:top w:val="single" w:sz="4" w:space="0" w:color="D9D9D9"/>
              <w:left w:val="nil"/>
              <w:bottom w:val="single" w:sz="4" w:space="0" w:color="D9D9D9"/>
              <w:right w:val="single" w:sz="4" w:space="0" w:color="F6F4EC" w:themeColor="background1"/>
            </w:tcBorders>
            <w:shd w:val="clear" w:color="auto" w:fill="auto"/>
            <w:noWrap/>
            <w:vAlign w:val="center"/>
            <w:hideMark/>
          </w:tcPr>
          <w:p w14:paraId="6A886D6B" w14:textId="1ABAA910" w:rsidR="00443B28" w:rsidRPr="00AE4DBA" w:rsidRDefault="00144CA9" w:rsidP="030A1F00">
            <w:pPr>
              <w:pStyle w:val="BodyText1"/>
              <w:jc w:val="right"/>
              <w:rPr>
                <w:lang w:val="en-NZ"/>
              </w:rPr>
            </w:pPr>
            <w:r w:rsidRPr="00AE4DBA">
              <w:rPr>
                <w:lang w:val="en-NZ"/>
              </w:rPr>
              <w:t>80,696</w:t>
            </w:r>
          </w:p>
          <w:p w14:paraId="47517FBD" w14:textId="57866068" w:rsidR="0039710A" w:rsidRPr="00AE4DBA" w:rsidRDefault="0039710A" w:rsidP="006C13C3">
            <w:pPr>
              <w:pStyle w:val="BodyText1"/>
              <w:jc w:val="right"/>
              <w:rPr>
                <w:szCs w:val="22"/>
                <w:lang w:val="en-NZ"/>
              </w:rPr>
            </w:pPr>
          </w:p>
        </w:tc>
      </w:tr>
      <w:tr w:rsidR="0039710A" w:rsidRPr="00AE4DBA" w14:paraId="42BB04CC" w14:textId="77777777" w:rsidTr="0087284D">
        <w:trPr>
          <w:trHeight w:val="552"/>
        </w:trPr>
        <w:tc>
          <w:tcPr>
            <w:tcW w:w="1948" w:type="pct"/>
            <w:tcBorders>
              <w:top w:val="single" w:sz="4" w:space="0" w:color="D9D9D9"/>
              <w:left w:val="single" w:sz="8" w:space="0" w:color="F6F4EC" w:themeColor="background1"/>
              <w:bottom w:val="single" w:sz="4" w:space="0" w:color="D9D9D9"/>
              <w:right w:val="nil"/>
            </w:tcBorders>
            <w:vAlign w:val="center"/>
          </w:tcPr>
          <w:p w14:paraId="04442824" w14:textId="04217571" w:rsidR="0039710A" w:rsidRPr="00AE4DBA" w:rsidRDefault="0039710A" w:rsidP="0039710A">
            <w:pPr>
              <w:pStyle w:val="BodyText1"/>
              <w:rPr>
                <w:szCs w:val="22"/>
                <w:lang w:val="en-NZ"/>
              </w:rPr>
            </w:pPr>
            <w:r w:rsidRPr="00AE4DBA">
              <w:rPr>
                <w:szCs w:val="22"/>
                <w:lang w:val="en-NZ"/>
              </w:rPr>
              <w:t>Category 4: indirect emissions from products or services used by Health NZ</w:t>
            </w:r>
          </w:p>
        </w:tc>
        <w:tc>
          <w:tcPr>
            <w:tcW w:w="1965" w:type="pct"/>
            <w:vMerge/>
            <w:vAlign w:val="center"/>
            <w:hideMark/>
          </w:tcPr>
          <w:p w14:paraId="1CF1DB4C" w14:textId="31081872" w:rsidR="0039710A" w:rsidRPr="00AE4DBA" w:rsidRDefault="0039710A" w:rsidP="0039710A">
            <w:pPr>
              <w:pStyle w:val="BodyText1"/>
              <w:rPr>
                <w:szCs w:val="22"/>
                <w:lang w:val="en-NZ"/>
              </w:rPr>
            </w:pPr>
          </w:p>
        </w:tc>
        <w:tc>
          <w:tcPr>
            <w:tcW w:w="1087" w:type="pct"/>
            <w:tcBorders>
              <w:top w:val="single" w:sz="4" w:space="0" w:color="D9D9D9"/>
              <w:left w:val="nil"/>
              <w:bottom w:val="single" w:sz="4" w:space="0" w:color="D9D9D9"/>
              <w:right w:val="single" w:sz="4" w:space="0" w:color="F6F4EC" w:themeColor="background1"/>
            </w:tcBorders>
            <w:shd w:val="clear" w:color="auto" w:fill="auto"/>
            <w:noWrap/>
            <w:vAlign w:val="center"/>
            <w:hideMark/>
          </w:tcPr>
          <w:p w14:paraId="6744EB48" w14:textId="77777777" w:rsidR="002F4A82" w:rsidRPr="002F4A82" w:rsidRDefault="002F4A82" w:rsidP="002F4A82">
            <w:pPr>
              <w:pStyle w:val="BodyText1"/>
              <w:jc w:val="right"/>
              <w:rPr>
                <w:szCs w:val="22"/>
              </w:rPr>
            </w:pPr>
            <w:r w:rsidRPr="002F4A82">
              <w:rPr>
                <w:szCs w:val="22"/>
              </w:rPr>
              <w:t xml:space="preserve">14,476 </w:t>
            </w:r>
          </w:p>
          <w:p w14:paraId="3549DA98" w14:textId="25BD34EE" w:rsidR="0039710A" w:rsidRPr="00AE4DBA" w:rsidRDefault="0039710A" w:rsidP="00443B28">
            <w:pPr>
              <w:pStyle w:val="BodyText1"/>
              <w:rPr>
                <w:szCs w:val="22"/>
                <w:lang w:val="en-NZ"/>
              </w:rPr>
            </w:pPr>
          </w:p>
        </w:tc>
      </w:tr>
      <w:tr w:rsidR="0039710A" w:rsidRPr="00AE4DBA" w14:paraId="71584592" w14:textId="77777777" w:rsidTr="0087284D">
        <w:trPr>
          <w:trHeight w:val="552"/>
        </w:trPr>
        <w:tc>
          <w:tcPr>
            <w:tcW w:w="1948" w:type="pct"/>
            <w:tcBorders>
              <w:top w:val="single" w:sz="4" w:space="0" w:color="D9D9D9"/>
              <w:left w:val="single" w:sz="8" w:space="0" w:color="F6F4EC" w:themeColor="background1"/>
              <w:bottom w:val="single" w:sz="8" w:space="0" w:color="A6A6A6" w:themeColor="accent6" w:themeShade="A6"/>
              <w:right w:val="nil"/>
            </w:tcBorders>
            <w:vAlign w:val="center"/>
          </w:tcPr>
          <w:p w14:paraId="55565E98" w14:textId="12A313A5" w:rsidR="0039710A" w:rsidRPr="00AE4DBA" w:rsidRDefault="0039710A" w:rsidP="0039710A">
            <w:pPr>
              <w:pStyle w:val="BodyText1"/>
              <w:rPr>
                <w:szCs w:val="22"/>
                <w:lang w:val="en-NZ"/>
              </w:rPr>
            </w:pPr>
            <w:r w:rsidRPr="00AE4DBA">
              <w:rPr>
                <w:szCs w:val="22"/>
                <w:lang w:val="en-NZ"/>
              </w:rPr>
              <w:t>Category 5: Indirect emissions associated with the use of products produced by an organisation</w:t>
            </w:r>
          </w:p>
        </w:tc>
        <w:tc>
          <w:tcPr>
            <w:tcW w:w="1965" w:type="pct"/>
            <w:vMerge/>
            <w:vAlign w:val="center"/>
            <w:hideMark/>
          </w:tcPr>
          <w:p w14:paraId="1BB3CD5E" w14:textId="292006FC" w:rsidR="0039710A" w:rsidRPr="00AE4DBA" w:rsidRDefault="0039710A" w:rsidP="0039710A">
            <w:pPr>
              <w:pStyle w:val="BodyText1"/>
              <w:rPr>
                <w:szCs w:val="22"/>
                <w:lang w:val="en-NZ"/>
              </w:rPr>
            </w:pPr>
          </w:p>
        </w:tc>
        <w:tc>
          <w:tcPr>
            <w:tcW w:w="1087" w:type="pct"/>
            <w:tcBorders>
              <w:top w:val="single" w:sz="4" w:space="0" w:color="D9D9D9"/>
              <w:left w:val="nil"/>
              <w:bottom w:val="single" w:sz="8" w:space="0" w:color="A6A6A6" w:themeColor="accent6" w:themeShade="A6"/>
              <w:right w:val="single" w:sz="4" w:space="0" w:color="F6F4EC" w:themeColor="background1"/>
            </w:tcBorders>
            <w:shd w:val="clear" w:color="auto" w:fill="auto"/>
            <w:noWrap/>
            <w:vAlign w:val="center"/>
            <w:hideMark/>
          </w:tcPr>
          <w:p w14:paraId="637C34C8" w14:textId="77777777" w:rsidR="0039710A" w:rsidRPr="00AE4DBA" w:rsidRDefault="0039710A" w:rsidP="006C13C3">
            <w:pPr>
              <w:pStyle w:val="BodyText1"/>
              <w:jc w:val="right"/>
              <w:rPr>
                <w:szCs w:val="22"/>
                <w:lang w:val="en-NZ"/>
              </w:rPr>
            </w:pPr>
            <w:r w:rsidRPr="00AE4DBA">
              <w:rPr>
                <w:szCs w:val="22"/>
                <w:lang w:val="en-NZ"/>
              </w:rPr>
              <w:t xml:space="preserve"> - </w:t>
            </w:r>
          </w:p>
        </w:tc>
      </w:tr>
      <w:tr w:rsidR="0039710A" w:rsidRPr="00AE4DBA" w14:paraId="7C4680D4" w14:textId="77777777" w:rsidTr="0087284D">
        <w:trPr>
          <w:trHeight w:val="294"/>
        </w:trPr>
        <w:tc>
          <w:tcPr>
            <w:tcW w:w="1948" w:type="pct"/>
            <w:tcBorders>
              <w:top w:val="nil"/>
              <w:left w:val="single" w:sz="8" w:space="0" w:color="F6F4EC" w:themeColor="background1"/>
              <w:bottom w:val="single" w:sz="4" w:space="0" w:color="D9D9D9"/>
              <w:right w:val="nil"/>
            </w:tcBorders>
            <w:vAlign w:val="center"/>
          </w:tcPr>
          <w:p w14:paraId="3A88F4A5" w14:textId="15355F23" w:rsidR="0039710A" w:rsidRPr="00AE4DBA" w:rsidRDefault="0039710A" w:rsidP="0039710A">
            <w:pPr>
              <w:pStyle w:val="BodyText1"/>
              <w:rPr>
                <w:szCs w:val="22"/>
                <w:lang w:val="en-NZ"/>
              </w:rPr>
            </w:pPr>
            <w:r w:rsidRPr="00AE4DBA">
              <w:rPr>
                <w:szCs w:val="22"/>
                <w:lang w:val="en-NZ"/>
              </w:rPr>
              <w:t>Category 6: Indirect emissions from other sources</w:t>
            </w:r>
          </w:p>
        </w:tc>
        <w:tc>
          <w:tcPr>
            <w:tcW w:w="1965" w:type="pct"/>
            <w:vMerge/>
            <w:tcBorders>
              <w:bottom w:val="single" w:sz="4" w:space="0" w:color="D9D9D9"/>
            </w:tcBorders>
            <w:vAlign w:val="center"/>
            <w:hideMark/>
          </w:tcPr>
          <w:p w14:paraId="6271EC2C" w14:textId="0878CD59" w:rsidR="0039710A" w:rsidRPr="00AE4DBA" w:rsidRDefault="0039710A" w:rsidP="0039710A">
            <w:pPr>
              <w:pStyle w:val="BodyText1"/>
              <w:rPr>
                <w:szCs w:val="22"/>
                <w:lang w:val="en-NZ"/>
              </w:rPr>
            </w:pPr>
          </w:p>
        </w:tc>
        <w:tc>
          <w:tcPr>
            <w:tcW w:w="1087" w:type="pct"/>
            <w:tcBorders>
              <w:top w:val="nil"/>
              <w:left w:val="nil"/>
              <w:bottom w:val="single" w:sz="4" w:space="0" w:color="D9D9D9"/>
              <w:right w:val="single" w:sz="4" w:space="0" w:color="F6F4EC" w:themeColor="background1"/>
            </w:tcBorders>
            <w:shd w:val="clear" w:color="auto" w:fill="auto"/>
            <w:noWrap/>
            <w:vAlign w:val="center"/>
            <w:hideMark/>
          </w:tcPr>
          <w:p w14:paraId="4F23C427" w14:textId="77777777" w:rsidR="0039710A" w:rsidRPr="00AE4DBA" w:rsidRDefault="0039710A" w:rsidP="006C13C3">
            <w:pPr>
              <w:pStyle w:val="BodyText1"/>
              <w:jc w:val="right"/>
              <w:rPr>
                <w:szCs w:val="22"/>
                <w:lang w:val="en-NZ"/>
              </w:rPr>
            </w:pPr>
            <w:r w:rsidRPr="00AE4DBA">
              <w:rPr>
                <w:szCs w:val="22"/>
                <w:lang w:val="en-NZ"/>
              </w:rPr>
              <w:t xml:space="preserve"> - </w:t>
            </w:r>
          </w:p>
        </w:tc>
      </w:tr>
    </w:tbl>
    <w:p w14:paraId="0501912A" w14:textId="38648FF7" w:rsidR="00731BBB" w:rsidRPr="00AE4DBA" w:rsidRDefault="00731BBB" w:rsidP="00ED037C">
      <w:pPr>
        <w:pStyle w:val="Caption"/>
      </w:pPr>
    </w:p>
    <w:p w14:paraId="4BC9F83C" w14:textId="77777777" w:rsidR="00047A2C" w:rsidRPr="00AE4DBA" w:rsidRDefault="00047A2C" w:rsidP="00047A2C"/>
    <w:p w14:paraId="57D4D8ED" w14:textId="77777777" w:rsidR="00047A2C" w:rsidRPr="00AE4DBA" w:rsidRDefault="00047A2C" w:rsidP="00047A2C"/>
    <w:p w14:paraId="05D7AD37" w14:textId="77777777" w:rsidR="006F3275" w:rsidRDefault="006F3275">
      <w:pPr>
        <w:spacing w:after="160" w:line="259" w:lineRule="auto"/>
      </w:pPr>
      <w:r>
        <w:br w:type="page"/>
      </w:r>
    </w:p>
    <w:p w14:paraId="37AE44A0" w14:textId="02F82CB4" w:rsidR="00D765D9" w:rsidRPr="00AE4DBA" w:rsidRDefault="0000741E" w:rsidP="00D765D9">
      <w:r w:rsidRPr="00AE4DBA">
        <w:lastRenderedPageBreak/>
        <w:t xml:space="preserve">Table 2 disaggregates each category emission by </w:t>
      </w:r>
      <w:r w:rsidR="00E01957" w:rsidRPr="00AE4DBA">
        <w:t xml:space="preserve">main emissions source. </w:t>
      </w:r>
    </w:p>
    <w:p w14:paraId="11B7BF09" w14:textId="77777777" w:rsidR="00D765D9" w:rsidRPr="00AE4DBA" w:rsidRDefault="00D765D9" w:rsidP="00D765D9"/>
    <w:tbl>
      <w:tblPr>
        <w:tblW w:w="9969" w:type="dxa"/>
        <w:tblLook w:val="04A0" w:firstRow="1" w:lastRow="0" w:firstColumn="1" w:lastColumn="0" w:noHBand="0" w:noVBand="1"/>
      </w:tblPr>
      <w:tblGrid>
        <w:gridCol w:w="328"/>
        <w:gridCol w:w="6152"/>
        <w:gridCol w:w="1549"/>
        <w:gridCol w:w="1940"/>
      </w:tblGrid>
      <w:tr w:rsidR="00766BCF" w:rsidRPr="00AE4DBA" w14:paraId="7DC8C7E4" w14:textId="77777777" w:rsidTr="1CBE7150">
        <w:trPr>
          <w:trHeight w:val="312"/>
        </w:trPr>
        <w:tc>
          <w:tcPr>
            <w:tcW w:w="6480" w:type="dxa"/>
            <w:gridSpan w:val="2"/>
            <w:tcBorders>
              <w:top w:val="nil"/>
              <w:left w:val="nil"/>
              <w:bottom w:val="nil"/>
              <w:right w:val="nil"/>
            </w:tcBorders>
            <w:shd w:val="clear" w:color="auto" w:fill="002060"/>
            <w:noWrap/>
            <w:vAlign w:val="bottom"/>
            <w:hideMark/>
          </w:tcPr>
          <w:p w14:paraId="59D5EFB3" w14:textId="5580DE67" w:rsidR="00766BCF" w:rsidRPr="00AE4DBA" w:rsidRDefault="46FA85B0" w:rsidP="00766BCF">
            <w:pPr>
              <w:rPr>
                <w:rFonts w:ascii="Calibri" w:hAnsi="Calibri" w:cs="Calibri"/>
                <w:b/>
                <w:bCs/>
                <w:color w:val="FFFFFF"/>
                <w:sz w:val="24"/>
              </w:rPr>
            </w:pPr>
            <w:r w:rsidRPr="7C571EA4">
              <w:rPr>
                <w:rFonts w:ascii="Calibri" w:hAnsi="Calibri" w:cs="Calibri"/>
                <w:b/>
                <w:bCs/>
                <w:color w:val="FFFFFF" w:themeColor="accent6"/>
                <w:sz w:val="24"/>
              </w:rPr>
              <w:t>Health</w:t>
            </w:r>
            <w:r w:rsidR="0014024A" w:rsidRPr="7C571EA4">
              <w:rPr>
                <w:rFonts w:ascii="Calibri" w:hAnsi="Calibri" w:cs="Calibri"/>
                <w:b/>
                <w:color w:val="FFFFFF" w:themeColor="accent6"/>
                <w:sz w:val="24"/>
              </w:rPr>
              <w:t xml:space="preserve"> NZ</w:t>
            </w:r>
            <w:r w:rsidR="00766BCF" w:rsidRPr="7C571EA4">
              <w:rPr>
                <w:rFonts w:ascii="Calibri" w:hAnsi="Calibri" w:cs="Calibri"/>
                <w:b/>
                <w:color w:val="FFFFFF" w:themeColor="accent6"/>
                <w:sz w:val="24"/>
              </w:rPr>
              <w:t xml:space="preserve"> Emissions Profile </w:t>
            </w:r>
            <w:r w:rsidR="004A501F" w:rsidRPr="7C571EA4">
              <w:rPr>
                <w:rFonts w:ascii="Calibri" w:hAnsi="Calibri" w:cs="Calibri"/>
                <w:b/>
                <w:color w:val="FFFFFF" w:themeColor="accent6"/>
                <w:sz w:val="24"/>
              </w:rPr>
              <w:t>by</w:t>
            </w:r>
            <w:r w:rsidR="00766BCF" w:rsidRPr="7C571EA4">
              <w:rPr>
                <w:rFonts w:ascii="Calibri" w:hAnsi="Calibri" w:cs="Calibri"/>
                <w:b/>
                <w:color w:val="FFFFFF" w:themeColor="accent6"/>
                <w:sz w:val="24"/>
              </w:rPr>
              <w:t xml:space="preserve"> Category</w:t>
            </w:r>
          </w:p>
        </w:tc>
        <w:tc>
          <w:tcPr>
            <w:tcW w:w="1549" w:type="dxa"/>
            <w:tcBorders>
              <w:top w:val="nil"/>
              <w:left w:val="nil"/>
              <w:bottom w:val="nil"/>
              <w:right w:val="nil"/>
            </w:tcBorders>
            <w:shd w:val="clear" w:color="auto" w:fill="002060"/>
            <w:noWrap/>
            <w:vAlign w:val="bottom"/>
            <w:hideMark/>
          </w:tcPr>
          <w:p w14:paraId="7F597D51" w14:textId="77777777" w:rsidR="00766BCF" w:rsidRPr="00AE4DBA" w:rsidRDefault="00766BCF" w:rsidP="00766BCF">
            <w:pPr>
              <w:rPr>
                <w:rFonts w:ascii="Calibri" w:hAnsi="Calibri" w:cs="Calibri"/>
                <w:b/>
                <w:bCs/>
                <w:color w:val="FFFFFF"/>
                <w:sz w:val="24"/>
              </w:rPr>
            </w:pPr>
            <w:r w:rsidRPr="7C571EA4">
              <w:rPr>
                <w:rFonts w:ascii="Calibri" w:hAnsi="Calibri" w:cs="Calibri"/>
                <w:b/>
                <w:color w:val="FFFFFF" w:themeColor="accent6"/>
                <w:sz w:val="24"/>
              </w:rPr>
              <w:t>tCO</w:t>
            </w:r>
            <w:r w:rsidRPr="7C571EA4">
              <w:rPr>
                <w:rFonts w:ascii="Calibri" w:hAnsi="Calibri" w:cs="Calibri"/>
                <w:b/>
                <w:color w:val="FFFFFF" w:themeColor="accent6"/>
                <w:sz w:val="24"/>
                <w:vertAlign w:val="subscript"/>
              </w:rPr>
              <w:t>2</w:t>
            </w:r>
            <w:r w:rsidRPr="7C571EA4">
              <w:rPr>
                <w:rFonts w:ascii="Calibri" w:hAnsi="Calibri" w:cs="Calibri"/>
                <w:b/>
                <w:color w:val="FFFFFF" w:themeColor="accent6"/>
                <w:sz w:val="24"/>
              </w:rPr>
              <w:t>e</w:t>
            </w:r>
          </w:p>
        </w:tc>
        <w:tc>
          <w:tcPr>
            <w:tcW w:w="1940" w:type="dxa"/>
            <w:tcBorders>
              <w:top w:val="nil"/>
              <w:left w:val="nil"/>
              <w:bottom w:val="nil"/>
              <w:right w:val="nil"/>
            </w:tcBorders>
            <w:shd w:val="clear" w:color="auto" w:fill="002060"/>
            <w:noWrap/>
            <w:vAlign w:val="bottom"/>
            <w:hideMark/>
          </w:tcPr>
          <w:p w14:paraId="27297DB8" w14:textId="77777777" w:rsidR="00766BCF" w:rsidRPr="00AE4DBA" w:rsidRDefault="00766BCF" w:rsidP="00766BCF">
            <w:pPr>
              <w:rPr>
                <w:rFonts w:ascii="Calibri" w:hAnsi="Calibri" w:cs="Calibri"/>
                <w:b/>
                <w:bCs/>
                <w:color w:val="FFFFFF"/>
                <w:sz w:val="24"/>
              </w:rPr>
            </w:pPr>
            <w:r w:rsidRPr="00AE4DBA">
              <w:rPr>
                <w:rFonts w:ascii="Calibri" w:hAnsi="Calibri" w:cs="Calibri"/>
                <w:b/>
                <w:bCs/>
                <w:color w:val="FFFFFF"/>
                <w:sz w:val="24"/>
              </w:rPr>
              <w:t> </w:t>
            </w:r>
          </w:p>
        </w:tc>
      </w:tr>
      <w:tr w:rsidR="00766BCF" w:rsidRPr="00AE4DBA" w14:paraId="76469560" w14:textId="77777777" w:rsidTr="1CBE7150">
        <w:trPr>
          <w:trHeight w:val="288"/>
        </w:trPr>
        <w:tc>
          <w:tcPr>
            <w:tcW w:w="328" w:type="dxa"/>
            <w:tcBorders>
              <w:top w:val="nil"/>
              <w:left w:val="nil"/>
              <w:bottom w:val="single" w:sz="4" w:space="0" w:color="00737B"/>
              <w:right w:val="nil"/>
            </w:tcBorders>
            <w:shd w:val="clear" w:color="auto" w:fill="auto"/>
            <w:noWrap/>
            <w:vAlign w:val="center"/>
            <w:hideMark/>
          </w:tcPr>
          <w:p w14:paraId="1AA9840B" w14:textId="77777777" w:rsidR="00766BCF" w:rsidRPr="00032ECC" w:rsidRDefault="00766BCF" w:rsidP="00766BCF">
            <w:pPr>
              <w:jc w:val="center"/>
              <w:rPr>
                <w:rFonts w:ascii="Calibri" w:hAnsi="Calibri" w:cs="Calibri"/>
                <w:b/>
                <w:bCs/>
                <w:color w:val="000000"/>
                <w:szCs w:val="22"/>
              </w:rPr>
            </w:pPr>
            <w:r w:rsidRPr="00032ECC">
              <w:rPr>
                <w:rFonts w:ascii="Calibri" w:hAnsi="Calibri" w:cs="Calibri"/>
                <w:b/>
                <w:bCs/>
                <w:color w:val="000000"/>
                <w:szCs w:val="22"/>
              </w:rPr>
              <w:t>1</w:t>
            </w:r>
          </w:p>
        </w:tc>
        <w:tc>
          <w:tcPr>
            <w:tcW w:w="6152" w:type="dxa"/>
            <w:tcBorders>
              <w:top w:val="nil"/>
              <w:left w:val="nil"/>
              <w:bottom w:val="nil"/>
              <w:right w:val="nil"/>
            </w:tcBorders>
            <w:shd w:val="clear" w:color="auto" w:fill="auto"/>
            <w:noWrap/>
            <w:vAlign w:val="bottom"/>
            <w:hideMark/>
          </w:tcPr>
          <w:p w14:paraId="743B6A8B"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Natural gas</w:t>
            </w:r>
          </w:p>
        </w:tc>
        <w:tc>
          <w:tcPr>
            <w:tcW w:w="1549" w:type="dxa"/>
            <w:tcBorders>
              <w:top w:val="nil"/>
              <w:left w:val="nil"/>
              <w:bottom w:val="nil"/>
              <w:right w:val="nil"/>
            </w:tcBorders>
            <w:shd w:val="clear" w:color="auto" w:fill="auto"/>
            <w:noWrap/>
            <w:vAlign w:val="bottom"/>
            <w:hideMark/>
          </w:tcPr>
          <w:p w14:paraId="26733A74" w14:textId="77777777" w:rsidR="00766BCF" w:rsidRPr="00AE4DBA" w:rsidRDefault="00766BCF" w:rsidP="00766BCF">
            <w:pPr>
              <w:jc w:val="right"/>
              <w:rPr>
                <w:rFonts w:ascii="Calibri" w:hAnsi="Calibri" w:cs="Calibri"/>
                <w:color w:val="000000"/>
              </w:rPr>
            </w:pPr>
            <w:r w:rsidRPr="7C571EA4">
              <w:rPr>
                <w:rFonts w:ascii="Calibri" w:hAnsi="Calibri" w:cs="Calibri"/>
                <w:color w:val="000000"/>
              </w:rPr>
              <w:t xml:space="preserve">48,972 </w:t>
            </w:r>
          </w:p>
        </w:tc>
        <w:tc>
          <w:tcPr>
            <w:tcW w:w="1940" w:type="dxa"/>
            <w:tcBorders>
              <w:top w:val="nil"/>
              <w:left w:val="nil"/>
              <w:bottom w:val="nil"/>
              <w:right w:val="nil"/>
            </w:tcBorders>
            <w:shd w:val="clear" w:color="auto" w:fill="auto"/>
            <w:noWrap/>
            <w:vAlign w:val="bottom"/>
            <w:hideMark/>
          </w:tcPr>
          <w:p w14:paraId="2D96339B" w14:textId="77777777" w:rsidR="00766BCF" w:rsidRPr="00AE4DBA" w:rsidRDefault="00766BCF" w:rsidP="00766BCF">
            <w:pPr>
              <w:jc w:val="right"/>
              <w:rPr>
                <w:rFonts w:ascii="Calibri" w:hAnsi="Calibri" w:cs="Calibri"/>
                <w:color w:val="000000"/>
                <w:szCs w:val="22"/>
              </w:rPr>
            </w:pPr>
          </w:p>
        </w:tc>
      </w:tr>
      <w:tr w:rsidR="7C571EA4" w14:paraId="2F7D8FC4" w14:textId="77777777" w:rsidTr="1CBE7150">
        <w:trPr>
          <w:trHeight w:val="288"/>
        </w:trPr>
        <w:tc>
          <w:tcPr>
            <w:tcW w:w="328" w:type="dxa"/>
            <w:noWrap/>
            <w:vAlign w:val="center"/>
            <w:hideMark/>
          </w:tcPr>
          <w:p w14:paraId="1FD81D9D" w14:textId="77777777" w:rsidR="0081665A" w:rsidRDefault="0081665A"/>
        </w:tc>
        <w:tc>
          <w:tcPr>
            <w:tcW w:w="6152" w:type="dxa"/>
            <w:tcBorders>
              <w:top w:val="nil"/>
              <w:left w:val="nil"/>
              <w:bottom w:val="nil"/>
              <w:right w:val="nil"/>
            </w:tcBorders>
            <w:shd w:val="clear" w:color="auto" w:fill="auto"/>
            <w:noWrap/>
            <w:vAlign w:val="bottom"/>
            <w:hideMark/>
          </w:tcPr>
          <w:p w14:paraId="1E5DE831" w14:textId="77777777" w:rsidR="7C571EA4" w:rsidRDefault="7C571EA4" w:rsidP="7C571EA4">
            <w:pPr>
              <w:rPr>
                <w:rFonts w:ascii="Calibri" w:hAnsi="Calibri" w:cs="Calibri"/>
                <w:color w:val="000000"/>
              </w:rPr>
            </w:pPr>
            <w:r w:rsidRPr="7C571EA4">
              <w:rPr>
                <w:rFonts w:ascii="Calibri" w:hAnsi="Calibri" w:cs="Calibri"/>
                <w:color w:val="000000"/>
              </w:rPr>
              <w:t>Medical Gases - CO2, N2O, CH4, Acetylene</w:t>
            </w:r>
          </w:p>
        </w:tc>
        <w:tc>
          <w:tcPr>
            <w:tcW w:w="1549" w:type="dxa"/>
            <w:tcBorders>
              <w:top w:val="nil"/>
              <w:left w:val="nil"/>
              <w:bottom w:val="nil"/>
              <w:right w:val="nil"/>
            </w:tcBorders>
            <w:shd w:val="clear" w:color="auto" w:fill="auto"/>
            <w:noWrap/>
            <w:vAlign w:val="bottom"/>
            <w:hideMark/>
          </w:tcPr>
          <w:p w14:paraId="17F1C911" w14:textId="0FC20F28" w:rsidR="7C571EA4" w:rsidRDefault="7C571EA4" w:rsidP="7C571EA4">
            <w:pPr>
              <w:jc w:val="right"/>
              <w:rPr>
                <w:rFonts w:ascii="Calibri" w:hAnsi="Calibri" w:cs="Calibri"/>
                <w:color w:val="000000"/>
              </w:rPr>
            </w:pPr>
            <w:r w:rsidRPr="7C571EA4">
              <w:rPr>
                <w:rFonts w:ascii="Calibri" w:hAnsi="Calibri" w:cs="Calibri"/>
                <w:color w:val="000000"/>
              </w:rPr>
              <w:t xml:space="preserve">13,144 </w:t>
            </w:r>
          </w:p>
        </w:tc>
        <w:tc>
          <w:tcPr>
            <w:tcW w:w="1940" w:type="dxa"/>
            <w:tcBorders>
              <w:top w:val="nil"/>
              <w:left w:val="nil"/>
              <w:bottom w:val="nil"/>
              <w:right w:val="nil"/>
            </w:tcBorders>
            <w:shd w:val="clear" w:color="auto" w:fill="auto"/>
            <w:noWrap/>
            <w:vAlign w:val="bottom"/>
            <w:hideMark/>
          </w:tcPr>
          <w:p w14:paraId="09928AFA" w14:textId="77777777" w:rsidR="7C571EA4" w:rsidRDefault="7C571EA4" w:rsidP="7C571EA4">
            <w:pPr>
              <w:jc w:val="right"/>
              <w:rPr>
                <w:rFonts w:ascii="Calibri" w:hAnsi="Calibri" w:cs="Calibri"/>
                <w:color w:val="000000"/>
              </w:rPr>
            </w:pPr>
          </w:p>
        </w:tc>
      </w:tr>
      <w:tr w:rsidR="7C571EA4" w14:paraId="6FE8906F" w14:textId="77777777" w:rsidTr="1CBE7150">
        <w:trPr>
          <w:trHeight w:val="288"/>
        </w:trPr>
        <w:tc>
          <w:tcPr>
            <w:tcW w:w="328" w:type="dxa"/>
            <w:noWrap/>
            <w:vAlign w:val="center"/>
            <w:hideMark/>
          </w:tcPr>
          <w:p w14:paraId="7231E7CA" w14:textId="77777777" w:rsidR="0081665A" w:rsidRDefault="0081665A"/>
        </w:tc>
        <w:tc>
          <w:tcPr>
            <w:tcW w:w="6152" w:type="dxa"/>
            <w:tcBorders>
              <w:top w:val="nil"/>
              <w:left w:val="nil"/>
              <w:bottom w:val="nil"/>
              <w:right w:val="nil"/>
            </w:tcBorders>
            <w:shd w:val="clear" w:color="auto" w:fill="auto"/>
            <w:noWrap/>
            <w:vAlign w:val="bottom"/>
            <w:hideMark/>
          </w:tcPr>
          <w:p w14:paraId="0F07E015" w14:textId="77777777" w:rsidR="7C571EA4" w:rsidRDefault="7C571EA4" w:rsidP="7C571EA4">
            <w:pPr>
              <w:rPr>
                <w:rFonts w:ascii="Calibri" w:hAnsi="Calibri" w:cs="Calibri"/>
                <w:color w:val="000000"/>
              </w:rPr>
            </w:pPr>
            <w:r w:rsidRPr="7C571EA4">
              <w:rPr>
                <w:rFonts w:ascii="Calibri" w:hAnsi="Calibri" w:cs="Calibri"/>
                <w:color w:val="000000"/>
              </w:rPr>
              <w:t>Fleet Fuels</w:t>
            </w:r>
          </w:p>
        </w:tc>
        <w:tc>
          <w:tcPr>
            <w:tcW w:w="1549" w:type="dxa"/>
            <w:tcBorders>
              <w:top w:val="nil"/>
              <w:left w:val="nil"/>
              <w:bottom w:val="nil"/>
              <w:right w:val="nil"/>
            </w:tcBorders>
            <w:shd w:val="clear" w:color="auto" w:fill="auto"/>
            <w:noWrap/>
            <w:vAlign w:val="bottom"/>
            <w:hideMark/>
          </w:tcPr>
          <w:p w14:paraId="3BB4CD80" w14:textId="77777777" w:rsidR="7C571EA4" w:rsidRDefault="7C571EA4" w:rsidP="7C571EA4">
            <w:pPr>
              <w:jc w:val="right"/>
              <w:rPr>
                <w:rFonts w:ascii="Calibri" w:hAnsi="Calibri" w:cs="Calibri"/>
                <w:color w:val="000000"/>
              </w:rPr>
            </w:pPr>
            <w:r w:rsidRPr="7C571EA4">
              <w:rPr>
                <w:rFonts w:ascii="Calibri" w:hAnsi="Calibri" w:cs="Calibri"/>
                <w:color w:val="000000"/>
              </w:rPr>
              <w:t xml:space="preserve">8,493 </w:t>
            </w:r>
          </w:p>
        </w:tc>
        <w:tc>
          <w:tcPr>
            <w:tcW w:w="1940" w:type="dxa"/>
            <w:tcBorders>
              <w:top w:val="nil"/>
              <w:left w:val="nil"/>
              <w:bottom w:val="nil"/>
              <w:right w:val="nil"/>
            </w:tcBorders>
            <w:shd w:val="clear" w:color="auto" w:fill="auto"/>
            <w:noWrap/>
            <w:vAlign w:val="bottom"/>
            <w:hideMark/>
          </w:tcPr>
          <w:p w14:paraId="33178611" w14:textId="23D1172E" w:rsidR="7C571EA4" w:rsidRDefault="7C571EA4" w:rsidP="7C571EA4">
            <w:pPr>
              <w:jc w:val="right"/>
              <w:rPr>
                <w:rFonts w:ascii="Calibri" w:hAnsi="Calibri" w:cs="Calibri"/>
                <w:color w:val="000000"/>
              </w:rPr>
            </w:pPr>
          </w:p>
        </w:tc>
      </w:tr>
      <w:tr w:rsidR="00766BCF" w:rsidRPr="00AE4DBA" w14:paraId="0D07AFAB" w14:textId="77777777" w:rsidTr="1CBE7150">
        <w:trPr>
          <w:trHeight w:val="288"/>
        </w:trPr>
        <w:tc>
          <w:tcPr>
            <w:tcW w:w="328" w:type="dxa"/>
            <w:vAlign w:val="center"/>
            <w:hideMark/>
          </w:tcPr>
          <w:p w14:paraId="0CDD7C70" w14:textId="77777777" w:rsidR="00766BCF" w:rsidRPr="00032ECC" w:rsidRDefault="00766BCF" w:rsidP="00766BCF">
            <w:pPr>
              <w:rPr>
                <w:rFonts w:ascii="Calibri" w:hAnsi="Calibri" w:cs="Calibri"/>
                <w:b/>
                <w:bCs/>
                <w:color w:val="000000"/>
                <w:szCs w:val="22"/>
              </w:rPr>
            </w:pPr>
          </w:p>
        </w:tc>
        <w:tc>
          <w:tcPr>
            <w:tcW w:w="6152" w:type="dxa"/>
            <w:tcBorders>
              <w:top w:val="nil"/>
              <w:left w:val="nil"/>
              <w:bottom w:val="nil"/>
              <w:right w:val="nil"/>
            </w:tcBorders>
            <w:shd w:val="clear" w:color="auto" w:fill="auto"/>
            <w:noWrap/>
            <w:vAlign w:val="bottom"/>
            <w:hideMark/>
          </w:tcPr>
          <w:p w14:paraId="27FB9235" w14:textId="77777777" w:rsidR="00766BCF" w:rsidRPr="00AE4DBA" w:rsidRDefault="00766BCF" w:rsidP="00766BCF">
            <w:pPr>
              <w:rPr>
                <w:rFonts w:ascii="Calibri" w:hAnsi="Calibri" w:cs="Calibri"/>
                <w:color w:val="000000"/>
              </w:rPr>
            </w:pPr>
            <w:r w:rsidRPr="7C571EA4">
              <w:rPr>
                <w:rFonts w:ascii="Calibri" w:hAnsi="Calibri" w:cs="Calibri"/>
                <w:color w:val="000000"/>
              </w:rPr>
              <w:t>Coal</w:t>
            </w:r>
          </w:p>
        </w:tc>
        <w:tc>
          <w:tcPr>
            <w:tcW w:w="1549" w:type="dxa"/>
            <w:tcBorders>
              <w:top w:val="nil"/>
              <w:left w:val="nil"/>
              <w:bottom w:val="nil"/>
              <w:right w:val="nil"/>
            </w:tcBorders>
            <w:shd w:val="clear" w:color="auto" w:fill="auto"/>
            <w:noWrap/>
            <w:vAlign w:val="bottom"/>
            <w:hideMark/>
          </w:tcPr>
          <w:p w14:paraId="7924B399" w14:textId="77777777" w:rsidR="00766BCF" w:rsidRPr="00AE4DBA" w:rsidRDefault="00766BCF" w:rsidP="00766BCF">
            <w:pPr>
              <w:jc w:val="right"/>
              <w:rPr>
                <w:rFonts w:ascii="Calibri" w:hAnsi="Calibri" w:cs="Calibri"/>
                <w:color w:val="000000"/>
                <w:szCs w:val="22"/>
              </w:rPr>
            </w:pPr>
            <w:r w:rsidRPr="00AE4DBA">
              <w:rPr>
                <w:rFonts w:ascii="Calibri" w:hAnsi="Calibri" w:cs="Calibri"/>
                <w:color w:val="000000"/>
                <w:szCs w:val="22"/>
              </w:rPr>
              <w:t xml:space="preserve">7,718 </w:t>
            </w:r>
          </w:p>
        </w:tc>
        <w:tc>
          <w:tcPr>
            <w:tcW w:w="1940" w:type="dxa"/>
            <w:tcBorders>
              <w:top w:val="nil"/>
              <w:left w:val="nil"/>
              <w:bottom w:val="nil"/>
              <w:right w:val="nil"/>
            </w:tcBorders>
            <w:shd w:val="clear" w:color="auto" w:fill="auto"/>
            <w:noWrap/>
            <w:vAlign w:val="bottom"/>
            <w:hideMark/>
          </w:tcPr>
          <w:p w14:paraId="100AE534" w14:textId="77777777" w:rsidR="00766BCF" w:rsidRPr="00AE4DBA" w:rsidRDefault="00766BCF" w:rsidP="00766BCF">
            <w:pPr>
              <w:jc w:val="right"/>
              <w:rPr>
                <w:rFonts w:ascii="Calibri" w:hAnsi="Calibri" w:cs="Calibri"/>
                <w:color w:val="000000"/>
                <w:szCs w:val="22"/>
              </w:rPr>
            </w:pPr>
          </w:p>
        </w:tc>
      </w:tr>
      <w:tr w:rsidR="7C571EA4" w14:paraId="716BEFEA" w14:textId="77777777" w:rsidTr="1CBE7150">
        <w:trPr>
          <w:trHeight w:val="288"/>
        </w:trPr>
        <w:tc>
          <w:tcPr>
            <w:tcW w:w="328" w:type="dxa"/>
            <w:noWrap/>
            <w:vAlign w:val="center"/>
            <w:hideMark/>
          </w:tcPr>
          <w:p w14:paraId="220ABB8B" w14:textId="77777777" w:rsidR="0081665A" w:rsidRDefault="0081665A"/>
        </w:tc>
        <w:tc>
          <w:tcPr>
            <w:tcW w:w="6152" w:type="dxa"/>
            <w:tcBorders>
              <w:top w:val="nil"/>
              <w:left w:val="nil"/>
              <w:bottom w:val="nil"/>
              <w:right w:val="nil"/>
            </w:tcBorders>
            <w:shd w:val="clear" w:color="auto" w:fill="auto"/>
            <w:noWrap/>
            <w:vAlign w:val="bottom"/>
            <w:hideMark/>
          </w:tcPr>
          <w:p w14:paraId="031C1CEE" w14:textId="77777777" w:rsidR="7C571EA4" w:rsidRDefault="7C571EA4" w:rsidP="7C571EA4">
            <w:pPr>
              <w:rPr>
                <w:rFonts w:ascii="Calibri" w:hAnsi="Calibri" w:cs="Calibri"/>
                <w:color w:val="000000"/>
              </w:rPr>
            </w:pPr>
            <w:r w:rsidRPr="7C571EA4">
              <w:rPr>
                <w:rFonts w:ascii="Calibri" w:hAnsi="Calibri" w:cs="Calibri"/>
                <w:color w:val="000000"/>
              </w:rPr>
              <w:t>Refrigerants</w:t>
            </w:r>
          </w:p>
        </w:tc>
        <w:tc>
          <w:tcPr>
            <w:tcW w:w="1549" w:type="dxa"/>
            <w:tcBorders>
              <w:top w:val="nil"/>
              <w:left w:val="nil"/>
              <w:bottom w:val="nil"/>
              <w:right w:val="nil"/>
            </w:tcBorders>
            <w:shd w:val="clear" w:color="auto" w:fill="auto"/>
            <w:noWrap/>
            <w:vAlign w:val="bottom"/>
            <w:hideMark/>
          </w:tcPr>
          <w:p w14:paraId="14709C7A" w14:textId="77777777" w:rsidR="7C571EA4" w:rsidRDefault="7C571EA4" w:rsidP="7C571EA4">
            <w:pPr>
              <w:jc w:val="right"/>
              <w:rPr>
                <w:rFonts w:ascii="Calibri" w:hAnsi="Calibri" w:cs="Calibri"/>
                <w:color w:val="000000"/>
              </w:rPr>
            </w:pPr>
            <w:r w:rsidRPr="7C571EA4">
              <w:rPr>
                <w:rFonts w:ascii="Calibri" w:hAnsi="Calibri" w:cs="Calibri"/>
                <w:color w:val="000000"/>
              </w:rPr>
              <w:t xml:space="preserve">2,011 </w:t>
            </w:r>
          </w:p>
        </w:tc>
        <w:tc>
          <w:tcPr>
            <w:tcW w:w="1940" w:type="dxa"/>
            <w:tcBorders>
              <w:top w:val="nil"/>
              <w:left w:val="nil"/>
              <w:bottom w:val="nil"/>
              <w:right w:val="nil"/>
            </w:tcBorders>
            <w:shd w:val="clear" w:color="auto" w:fill="auto"/>
            <w:noWrap/>
            <w:vAlign w:val="bottom"/>
            <w:hideMark/>
          </w:tcPr>
          <w:p w14:paraId="5BCA2309" w14:textId="69E77645" w:rsidR="7C571EA4" w:rsidRDefault="7C571EA4" w:rsidP="7C571EA4">
            <w:pPr>
              <w:jc w:val="right"/>
              <w:rPr>
                <w:rFonts w:ascii="Calibri" w:hAnsi="Calibri" w:cs="Calibri"/>
                <w:color w:val="000000"/>
              </w:rPr>
            </w:pPr>
          </w:p>
        </w:tc>
      </w:tr>
      <w:tr w:rsidR="00766BCF" w:rsidRPr="00AE4DBA" w14:paraId="56262346" w14:textId="77777777" w:rsidTr="1CBE7150">
        <w:trPr>
          <w:trHeight w:val="288"/>
        </w:trPr>
        <w:tc>
          <w:tcPr>
            <w:tcW w:w="328" w:type="dxa"/>
            <w:vAlign w:val="center"/>
            <w:hideMark/>
          </w:tcPr>
          <w:p w14:paraId="67D47100" w14:textId="77777777" w:rsidR="00766BCF" w:rsidRPr="00032ECC" w:rsidRDefault="00766BCF" w:rsidP="00766BCF">
            <w:pPr>
              <w:rPr>
                <w:rFonts w:ascii="Calibri" w:hAnsi="Calibri" w:cs="Calibri"/>
                <w:b/>
                <w:bCs/>
                <w:color w:val="000000"/>
                <w:szCs w:val="22"/>
              </w:rPr>
            </w:pPr>
          </w:p>
        </w:tc>
        <w:tc>
          <w:tcPr>
            <w:tcW w:w="6152" w:type="dxa"/>
            <w:tcBorders>
              <w:top w:val="nil"/>
              <w:left w:val="nil"/>
              <w:bottom w:val="nil"/>
              <w:right w:val="nil"/>
            </w:tcBorders>
            <w:shd w:val="clear" w:color="auto" w:fill="auto"/>
            <w:noWrap/>
            <w:vAlign w:val="bottom"/>
            <w:hideMark/>
          </w:tcPr>
          <w:p w14:paraId="5C000961"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Stationary Diesel</w:t>
            </w:r>
          </w:p>
        </w:tc>
        <w:tc>
          <w:tcPr>
            <w:tcW w:w="1549" w:type="dxa"/>
            <w:tcBorders>
              <w:top w:val="nil"/>
              <w:left w:val="nil"/>
              <w:bottom w:val="nil"/>
              <w:right w:val="nil"/>
            </w:tcBorders>
            <w:shd w:val="clear" w:color="auto" w:fill="auto"/>
            <w:noWrap/>
            <w:vAlign w:val="bottom"/>
            <w:hideMark/>
          </w:tcPr>
          <w:p w14:paraId="0874BC29" w14:textId="77777777" w:rsidR="00766BCF" w:rsidRPr="00AE4DBA" w:rsidRDefault="00766BCF" w:rsidP="00766BCF">
            <w:pPr>
              <w:jc w:val="right"/>
              <w:rPr>
                <w:rFonts w:ascii="Calibri" w:hAnsi="Calibri" w:cs="Calibri"/>
                <w:color w:val="000000"/>
                <w:szCs w:val="22"/>
              </w:rPr>
            </w:pPr>
            <w:r w:rsidRPr="00AE4DBA">
              <w:rPr>
                <w:rFonts w:ascii="Calibri" w:hAnsi="Calibri" w:cs="Calibri"/>
                <w:color w:val="000000"/>
                <w:szCs w:val="22"/>
              </w:rPr>
              <w:t xml:space="preserve">1,497 </w:t>
            </w:r>
          </w:p>
        </w:tc>
        <w:tc>
          <w:tcPr>
            <w:tcW w:w="1940" w:type="dxa"/>
            <w:tcBorders>
              <w:top w:val="nil"/>
              <w:left w:val="nil"/>
              <w:bottom w:val="nil"/>
              <w:right w:val="nil"/>
            </w:tcBorders>
            <w:shd w:val="clear" w:color="auto" w:fill="auto"/>
            <w:noWrap/>
            <w:vAlign w:val="bottom"/>
            <w:hideMark/>
          </w:tcPr>
          <w:p w14:paraId="01633648" w14:textId="77777777" w:rsidR="00766BCF" w:rsidRPr="00AE4DBA" w:rsidRDefault="00766BCF" w:rsidP="00766BCF">
            <w:pPr>
              <w:jc w:val="right"/>
              <w:rPr>
                <w:rFonts w:ascii="Calibri" w:hAnsi="Calibri" w:cs="Calibri"/>
                <w:color w:val="000000"/>
                <w:szCs w:val="22"/>
              </w:rPr>
            </w:pPr>
          </w:p>
        </w:tc>
      </w:tr>
      <w:tr w:rsidR="00766BCF" w:rsidRPr="00AE4DBA" w14:paraId="41C0038D" w14:textId="77777777" w:rsidTr="1CBE7150">
        <w:trPr>
          <w:trHeight w:val="288"/>
        </w:trPr>
        <w:tc>
          <w:tcPr>
            <w:tcW w:w="328" w:type="dxa"/>
            <w:vAlign w:val="center"/>
            <w:hideMark/>
          </w:tcPr>
          <w:p w14:paraId="7F946204" w14:textId="77777777" w:rsidR="00766BCF" w:rsidRPr="00032ECC" w:rsidRDefault="00766BCF" w:rsidP="00766BCF">
            <w:pPr>
              <w:rPr>
                <w:rFonts w:ascii="Calibri" w:hAnsi="Calibri" w:cs="Calibri"/>
                <w:b/>
                <w:bCs/>
                <w:color w:val="000000"/>
                <w:szCs w:val="22"/>
              </w:rPr>
            </w:pPr>
          </w:p>
        </w:tc>
        <w:tc>
          <w:tcPr>
            <w:tcW w:w="6152" w:type="dxa"/>
            <w:tcBorders>
              <w:top w:val="nil"/>
              <w:left w:val="nil"/>
              <w:bottom w:val="nil"/>
              <w:right w:val="nil"/>
            </w:tcBorders>
            <w:shd w:val="clear" w:color="auto" w:fill="auto"/>
            <w:noWrap/>
            <w:vAlign w:val="bottom"/>
            <w:hideMark/>
          </w:tcPr>
          <w:p w14:paraId="7A812651"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LPG</w:t>
            </w:r>
          </w:p>
        </w:tc>
        <w:tc>
          <w:tcPr>
            <w:tcW w:w="1549" w:type="dxa"/>
            <w:tcBorders>
              <w:top w:val="nil"/>
              <w:left w:val="nil"/>
              <w:bottom w:val="nil"/>
              <w:right w:val="nil"/>
            </w:tcBorders>
            <w:shd w:val="clear" w:color="auto" w:fill="auto"/>
            <w:noWrap/>
            <w:vAlign w:val="bottom"/>
            <w:hideMark/>
          </w:tcPr>
          <w:p w14:paraId="47A7DCCC" w14:textId="77777777" w:rsidR="00766BCF" w:rsidRPr="00AE4DBA" w:rsidRDefault="00766BCF" w:rsidP="00766BCF">
            <w:pPr>
              <w:jc w:val="right"/>
              <w:rPr>
                <w:rFonts w:ascii="Calibri" w:hAnsi="Calibri" w:cs="Calibri"/>
                <w:color w:val="000000"/>
                <w:szCs w:val="22"/>
              </w:rPr>
            </w:pPr>
            <w:r w:rsidRPr="00AE4DBA">
              <w:rPr>
                <w:rFonts w:ascii="Calibri" w:hAnsi="Calibri" w:cs="Calibri"/>
                <w:color w:val="000000"/>
                <w:szCs w:val="22"/>
              </w:rPr>
              <w:t xml:space="preserve">712 </w:t>
            </w:r>
          </w:p>
        </w:tc>
        <w:tc>
          <w:tcPr>
            <w:tcW w:w="1940" w:type="dxa"/>
            <w:tcBorders>
              <w:top w:val="nil"/>
              <w:left w:val="nil"/>
              <w:bottom w:val="nil"/>
              <w:right w:val="nil"/>
            </w:tcBorders>
            <w:shd w:val="clear" w:color="auto" w:fill="auto"/>
            <w:noWrap/>
            <w:vAlign w:val="bottom"/>
            <w:hideMark/>
          </w:tcPr>
          <w:p w14:paraId="0DCE6331" w14:textId="77777777" w:rsidR="00766BCF" w:rsidRPr="00AE4DBA" w:rsidRDefault="00766BCF" w:rsidP="00766BCF">
            <w:pPr>
              <w:jc w:val="right"/>
              <w:rPr>
                <w:rFonts w:ascii="Calibri" w:hAnsi="Calibri" w:cs="Calibri"/>
                <w:color w:val="000000"/>
                <w:szCs w:val="22"/>
              </w:rPr>
            </w:pPr>
          </w:p>
        </w:tc>
      </w:tr>
      <w:tr w:rsidR="00766BCF" w:rsidRPr="00AE4DBA" w14:paraId="7C6379EC" w14:textId="77777777" w:rsidTr="1CBE7150">
        <w:trPr>
          <w:trHeight w:val="288"/>
        </w:trPr>
        <w:tc>
          <w:tcPr>
            <w:tcW w:w="328" w:type="dxa"/>
            <w:vAlign w:val="center"/>
            <w:hideMark/>
          </w:tcPr>
          <w:p w14:paraId="7E550D43" w14:textId="77777777" w:rsidR="00766BCF" w:rsidRPr="00032ECC" w:rsidRDefault="00766BCF" w:rsidP="00766BCF">
            <w:pPr>
              <w:rPr>
                <w:rFonts w:ascii="Calibri" w:hAnsi="Calibri" w:cs="Calibri"/>
                <w:b/>
                <w:bCs/>
                <w:color w:val="000000"/>
                <w:szCs w:val="22"/>
              </w:rPr>
            </w:pPr>
          </w:p>
        </w:tc>
        <w:tc>
          <w:tcPr>
            <w:tcW w:w="6152" w:type="dxa"/>
            <w:tcBorders>
              <w:top w:val="nil"/>
              <w:left w:val="nil"/>
              <w:bottom w:val="nil"/>
              <w:right w:val="nil"/>
            </w:tcBorders>
            <w:shd w:val="clear" w:color="auto" w:fill="auto"/>
            <w:noWrap/>
            <w:vAlign w:val="bottom"/>
            <w:hideMark/>
          </w:tcPr>
          <w:p w14:paraId="1FEAC9C3"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Anaesthetic Vapours - Desflurane, Isoflurane, Sevoflurane</w:t>
            </w:r>
          </w:p>
        </w:tc>
        <w:tc>
          <w:tcPr>
            <w:tcW w:w="1549" w:type="dxa"/>
            <w:tcBorders>
              <w:top w:val="nil"/>
              <w:left w:val="nil"/>
              <w:bottom w:val="nil"/>
              <w:right w:val="nil"/>
            </w:tcBorders>
            <w:shd w:val="clear" w:color="auto" w:fill="auto"/>
            <w:noWrap/>
            <w:vAlign w:val="bottom"/>
            <w:hideMark/>
          </w:tcPr>
          <w:p w14:paraId="0D4B1296" w14:textId="77777777" w:rsidR="00766BCF" w:rsidRPr="00AE4DBA" w:rsidRDefault="00766BCF" w:rsidP="00766BCF">
            <w:pPr>
              <w:jc w:val="right"/>
              <w:rPr>
                <w:rFonts w:ascii="Calibri" w:hAnsi="Calibri" w:cs="Calibri"/>
                <w:color w:val="000000"/>
                <w:szCs w:val="22"/>
              </w:rPr>
            </w:pPr>
            <w:r w:rsidRPr="00AE4DBA">
              <w:rPr>
                <w:rFonts w:ascii="Calibri" w:hAnsi="Calibri" w:cs="Calibri"/>
                <w:color w:val="000000"/>
                <w:szCs w:val="22"/>
              </w:rPr>
              <w:t xml:space="preserve">534 </w:t>
            </w:r>
          </w:p>
        </w:tc>
        <w:tc>
          <w:tcPr>
            <w:tcW w:w="1940" w:type="dxa"/>
            <w:tcBorders>
              <w:top w:val="nil"/>
              <w:left w:val="nil"/>
              <w:bottom w:val="nil"/>
              <w:right w:val="nil"/>
            </w:tcBorders>
            <w:shd w:val="clear" w:color="auto" w:fill="auto"/>
            <w:noWrap/>
            <w:vAlign w:val="bottom"/>
            <w:hideMark/>
          </w:tcPr>
          <w:p w14:paraId="1414C8AE" w14:textId="77777777" w:rsidR="00766BCF" w:rsidRPr="00AE4DBA" w:rsidRDefault="00766BCF" w:rsidP="00766BCF">
            <w:pPr>
              <w:jc w:val="right"/>
              <w:rPr>
                <w:rFonts w:ascii="Calibri" w:hAnsi="Calibri" w:cs="Calibri"/>
                <w:color w:val="000000"/>
                <w:szCs w:val="22"/>
              </w:rPr>
            </w:pPr>
          </w:p>
        </w:tc>
      </w:tr>
      <w:tr w:rsidR="00766BCF" w:rsidRPr="00AE4DBA" w14:paraId="623DE1E8" w14:textId="77777777" w:rsidTr="1CBE7150">
        <w:trPr>
          <w:trHeight w:val="288"/>
        </w:trPr>
        <w:tc>
          <w:tcPr>
            <w:tcW w:w="328" w:type="dxa"/>
            <w:vAlign w:val="center"/>
            <w:hideMark/>
          </w:tcPr>
          <w:p w14:paraId="0F495437" w14:textId="77777777" w:rsidR="00766BCF" w:rsidRPr="00032ECC" w:rsidRDefault="00766BCF" w:rsidP="00766BCF">
            <w:pPr>
              <w:rPr>
                <w:rFonts w:ascii="Calibri" w:hAnsi="Calibri" w:cs="Calibri"/>
                <w:b/>
                <w:bCs/>
                <w:color w:val="000000"/>
                <w:szCs w:val="22"/>
              </w:rPr>
            </w:pPr>
          </w:p>
        </w:tc>
        <w:tc>
          <w:tcPr>
            <w:tcW w:w="6152" w:type="dxa"/>
            <w:tcBorders>
              <w:top w:val="nil"/>
              <w:left w:val="nil"/>
              <w:bottom w:val="single" w:sz="4" w:space="0" w:color="00737B"/>
              <w:right w:val="nil"/>
            </w:tcBorders>
            <w:shd w:val="clear" w:color="auto" w:fill="auto"/>
            <w:noWrap/>
            <w:vAlign w:val="bottom"/>
            <w:hideMark/>
          </w:tcPr>
          <w:p w14:paraId="0B3070AA"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Biomass - CH4, N2O</w:t>
            </w:r>
          </w:p>
        </w:tc>
        <w:tc>
          <w:tcPr>
            <w:tcW w:w="1549" w:type="dxa"/>
            <w:tcBorders>
              <w:top w:val="nil"/>
              <w:left w:val="nil"/>
              <w:bottom w:val="single" w:sz="4" w:space="0" w:color="00737B"/>
              <w:right w:val="nil"/>
            </w:tcBorders>
            <w:shd w:val="clear" w:color="auto" w:fill="auto"/>
            <w:noWrap/>
            <w:vAlign w:val="bottom"/>
            <w:hideMark/>
          </w:tcPr>
          <w:p w14:paraId="5C5EE374" w14:textId="77777777" w:rsidR="00766BCF" w:rsidRPr="00AE4DBA" w:rsidRDefault="00766BCF" w:rsidP="00766BCF">
            <w:pPr>
              <w:jc w:val="right"/>
              <w:rPr>
                <w:rFonts w:ascii="Calibri" w:hAnsi="Calibri" w:cs="Calibri"/>
                <w:color w:val="000000"/>
                <w:szCs w:val="22"/>
              </w:rPr>
            </w:pPr>
            <w:r w:rsidRPr="00AE4DBA">
              <w:rPr>
                <w:rFonts w:ascii="Calibri" w:hAnsi="Calibri" w:cs="Calibri"/>
                <w:color w:val="000000"/>
                <w:szCs w:val="22"/>
              </w:rPr>
              <w:t xml:space="preserve">7 </w:t>
            </w:r>
          </w:p>
        </w:tc>
        <w:tc>
          <w:tcPr>
            <w:tcW w:w="1940" w:type="dxa"/>
            <w:tcBorders>
              <w:top w:val="nil"/>
              <w:left w:val="nil"/>
              <w:bottom w:val="single" w:sz="4" w:space="0" w:color="00737B"/>
              <w:right w:val="nil"/>
            </w:tcBorders>
            <w:shd w:val="clear" w:color="auto" w:fill="auto"/>
            <w:noWrap/>
            <w:vAlign w:val="bottom"/>
            <w:hideMark/>
          </w:tcPr>
          <w:p w14:paraId="3F48ADBC"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 </w:t>
            </w:r>
          </w:p>
        </w:tc>
      </w:tr>
      <w:tr w:rsidR="00766BCF" w:rsidRPr="00AE4DBA" w14:paraId="209FBBBB" w14:textId="77777777" w:rsidTr="1CBE7150">
        <w:trPr>
          <w:trHeight w:val="312"/>
        </w:trPr>
        <w:tc>
          <w:tcPr>
            <w:tcW w:w="328" w:type="dxa"/>
            <w:tcBorders>
              <w:top w:val="nil"/>
              <w:left w:val="nil"/>
              <w:bottom w:val="nil"/>
              <w:right w:val="nil"/>
            </w:tcBorders>
            <w:shd w:val="clear" w:color="auto" w:fill="auto"/>
            <w:noWrap/>
            <w:vAlign w:val="bottom"/>
            <w:hideMark/>
          </w:tcPr>
          <w:p w14:paraId="7B106E99" w14:textId="77777777" w:rsidR="00766BCF" w:rsidRPr="00032ECC" w:rsidRDefault="00766BCF" w:rsidP="00766BCF">
            <w:pPr>
              <w:rPr>
                <w:rFonts w:ascii="Calibri" w:hAnsi="Calibri" w:cs="Calibri"/>
                <w:b/>
                <w:bCs/>
                <w:color w:val="000000"/>
                <w:szCs w:val="22"/>
              </w:rPr>
            </w:pPr>
          </w:p>
        </w:tc>
        <w:tc>
          <w:tcPr>
            <w:tcW w:w="6152" w:type="dxa"/>
            <w:tcBorders>
              <w:top w:val="nil"/>
              <w:left w:val="nil"/>
              <w:bottom w:val="nil"/>
              <w:right w:val="nil"/>
            </w:tcBorders>
            <w:shd w:val="clear" w:color="auto" w:fill="auto"/>
            <w:noWrap/>
            <w:vAlign w:val="bottom"/>
            <w:hideMark/>
          </w:tcPr>
          <w:p w14:paraId="406FE44F" w14:textId="77777777" w:rsidR="00766BCF" w:rsidRPr="00AE4DBA" w:rsidRDefault="00766BCF" w:rsidP="00766BCF">
            <w:pPr>
              <w:jc w:val="right"/>
              <w:rPr>
                <w:rFonts w:ascii="Calibri" w:hAnsi="Calibri" w:cs="Calibri"/>
                <w:b/>
                <w:bCs/>
                <w:color w:val="008A9F"/>
                <w:sz w:val="24"/>
              </w:rPr>
            </w:pPr>
            <w:r w:rsidRPr="00AE4DBA">
              <w:rPr>
                <w:rFonts w:ascii="Calibri" w:hAnsi="Calibri" w:cs="Calibri"/>
                <w:b/>
                <w:bCs/>
                <w:color w:val="008A9F"/>
                <w:sz w:val="24"/>
              </w:rPr>
              <w:t>Category 1 Total</w:t>
            </w:r>
          </w:p>
        </w:tc>
        <w:tc>
          <w:tcPr>
            <w:tcW w:w="1549" w:type="dxa"/>
            <w:tcBorders>
              <w:top w:val="nil"/>
              <w:left w:val="nil"/>
              <w:bottom w:val="nil"/>
              <w:right w:val="nil"/>
            </w:tcBorders>
            <w:shd w:val="clear" w:color="auto" w:fill="auto"/>
            <w:noWrap/>
            <w:vAlign w:val="bottom"/>
            <w:hideMark/>
          </w:tcPr>
          <w:p w14:paraId="1F9686F0" w14:textId="77777777" w:rsidR="00766BCF" w:rsidRPr="00AE4DBA" w:rsidRDefault="00766BCF" w:rsidP="00766BCF">
            <w:pPr>
              <w:jc w:val="right"/>
              <w:rPr>
                <w:rFonts w:ascii="Calibri" w:hAnsi="Calibri" w:cs="Calibri"/>
                <w:b/>
                <w:bCs/>
                <w:color w:val="008A9F"/>
                <w:sz w:val="24"/>
              </w:rPr>
            </w:pPr>
          </w:p>
        </w:tc>
        <w:tc>
          <w:tcPr>
            <w:tcW w:w="1940" w:type="dxa"/>
            <w:tcBorders>
              <w:top w:val="nil"/>
              <w:left w:val="nil"/>
              <w:bottom w:val="nil"/>
              <w:right w:val="nil"/>
            </w:tcBorders>
            <w:shd w:val="clear" w:color="auto" w:fill="auto"/>
            <w:noWrap/>
            <w:vAlign w:val="bottom"/>
            <w:hideMark/>
          </w:tcPr>
          <w:p w14:paraId="6CC36FAA" w14:textId="568BD5E3" w:rsidR="00766BCF" w:rsidRPr="00AE4DBA" w:rsidRDefault="00766BCF" w:rsidP="00766BCF">
            <w:pPr>
              <w:jc w:val="right"/>
              <w:rPr>
                <w:rFonts w:ascii="Calibri" w:hAnsi="Calibri" w:cs="Calibri"/>
                <w:b/>
                <w:bCs/>
                <w:color w:val="008A9F"/>
                <w:sz w:val="24"/>
              </w:rPr>
            </w:pPr>
            <w:r w:rsidRPr="00AE4DBA">
              <w:rPr>
                <w:rFonts w:ascii="Calibri" w:hAnsi="Calibri" w:cs="Calibri"/>
                <w:b/>
                <w:bCs/>
                <w:color w:val="008A9F"/>
                <w:sz w:val="24"/>
              </w:rPr>
              <w:t>83,08</w:t>
            </w:r>
            <w:r w:rsidR="00B11DAE">
              <w:rPr>
                <w:rFonts w:ascii="Calibri" w:hAnsi="Calibri" w:cs="Calibri"/>
                <w:b/>
                <w:bCs/>
                <w:color w:val="008A9F"/>
                <w:sz w:val="24"/>
              </w:rPr>
              <w:t>7</w:t>
            </w:r>
            <w:r w:rsidRPr="00AE4DBA">
              <w:rPr>
                <w:rFonts w:ascii="Calibri" w:hAnsi="Calibri" w:cs="Calibri"/>
                <w:b/>
                <w:bCs/>
                <w:color w:val="008A9F"/>
                <w:sz w:val="24"/>
              </w:rPr>
              <w:t xml:space="preserve"> </w:t>
            </w:r>
          </w:p>
        </w:tc>
      </w:tr>
      <w:tr w:rsidR="00766BCF" w:rsidRPr="00AE4DBA" w14:paraId="2BC617A3" w14:textId="77777777" w:rsidTr="1CBE7150">
        <w:trPr>
          <w:trHeight w:val="312"/>
        </w:trPr>
        <w:tc>
          <w:tcPr>
            <w:tcW w:w="328" w:type="dxa"/>
            <w:tcBorders>
              <w:top w:val="nil"/>
              <w:left w:val="nil"/>
              <w:bottom w:val="nil"/>
              <w:right w:val="nil"/>
            </w:tcBorders>
            <w:shd w:val="clear" w:color="auto" w:fill="auto"/>
            <w:noWrap/>
            <w:vAlign w:val="bottom"/>
            <w:hideMark/>
          </w:tcPr>
          <w:p w14:paraId="2AF1A8DC" w14:textId="77777777" w:rsidR="00766BCF" w:rsidRPr="00032ECC" w:rsidRDefault="00766BCF" w:rsidP="00766BCF">
            <w:pPr>
              <w:jc w:val="right"/>
              <w:rPr>
                <w:rFonts w:ascii="Calibri" w:hAnsi="Calibri" w:cs="Calibri"/>
                <w:b/>
                <w:bCs/>
                <w:color w:val="008A9F"/>
                <w:sz w:val="24"/>
              </w:rPr>
            </w:pPr>
          </w:p>
        </w:tc>
        <w:tc>
          <w:tcPr>
            <w:tcW w:w="6152" w:type="dxa"/>
            <w:tcBorders>
              <w:top w:val="nil"/>
              <w:left w:val="nil"/>
              <w:bottom w:val="nil"/>
              <w:right w:val="nil"/>
            </w:tcBorders>
            <w:shd w:val="clear" w:color="auto" w:fill="auto"/>
            <w:noWrap/>
            <w:vAlign w:val="bottom"/>
            <w:hideMark/>
          </w:tcPr>
          <w:p w14:paraId="13E7D50B" w14:textId="77777777" w:rsidR="00766BCF" w:rsidRPr="00AE4DBA" w:rsidRDefault="00766BCF" w:rsidP="00766BCF">
            <w:pPr>
              <w:rPr>
                <w:rFonts w:ascii="Times New Roman" w:hAnsi="Times New Roman"/>
                <w:sz w:val="20"/>
                <w:szCs w:val="20"/>
              </w:rPr>
            </w:pPr>
          </w:p>
        </w:tc>
        <w:tc>
          <w:tcPr>
            <w:tcW w:w="1549" w:type="dxa"/>
            <w:tcBorders>
              <w:top w:val="nil"/>
              <w:left w:val="nil"/>
              <w:bottom w:val="nil"/>
              <w:right w:val="nil"/>
            </w:tcBorders>
            <w:shd w:val="clear" w:color="auto" w:fill="auto"/>
            <w:noWrap/>
            <w:vAlign w:val="bottom"/>
            <w:hideMark/>
          </w:tcPr>
          <w:p w14:paraId="3FE4C7A9" w14:textId="77777777" w:rsidR="00766BCF" w:rsidRPr="00AE4DBA" w:rsidRDefault="00766BCF" w:rsidP="00766BCF">
            <w:pPr>
              <w:rPr>
                <w:rFonts w:ascii="Times New Roman" w:hAnsi="Times New Roman"/>
                <w:sz w:val="20"/>
                <w:szCs w:val="20"/>
              </w:rPr>
            </w:pPr>
          </w:p>
        </w:tc>
        <w:tc>
          <w:tcPr>
            <w:tcW w:w="1940" w:type="dxa"/>
            <w:tcBorders>
              <w:top w:val="nil"/>
              <w:left w:val="nil"/>
              <w:bottom w:val="nil"/>
              <w:right w:val="nil"/>
            </w:tcBorders>
            <w:shd w:val="clear" w:color="auto" w:fill="auto"/>
            <w:noWrap/>
            <w:vAlign w:val="bottom"/>
            <w:hideMark/>
          </w:tcPr>
          <w:p w14:paraId="46CC6EDE" w14:textId="77777777" w:rsidR="00766BCF" w:rsidRPr="00AE4DBA" w:rsidRDefault="00766BCF" w:rsidP="00766BCF">
            <w:pPr>
              <w:rPr>
                <w:rFonts w:ascii="Times New Roman" w:hAnsi="Times New Roman"/>
                <w:sz w:val="20"/>
                <w:szCs w:val="20"/>
              </w:rPr>
            </w:pPr>
          </w:p>
        </w:tc>
      </w:tr>
      <w:tr w:rsidR="00766BCF" w:rsidRPr="00AE4DBA" w14:paraId="6585B2CC" w14:textId="77777777" w:rsidTr="1CBE7150">
        <w:trPr>
          <w:trHeight w:val="312"/>
        </w:trPr>
        <w:tc>
          <w:tcPr>
            <w:tcW w:w="328" w:type="dxa"/>
            <w:vMerge w:val="restart"/>
            <w:tcBorders>
              <w:top w:val="nil"/>
              <w:left w:val="nil"/>
              <w:bottom w:val="single" w:sz="4" w:space="0" w:color="00737B"/>
              <w:right w:val="nil"/>
            </w:tcBorders>
            <w:shd w:val="clear" w:color="auto" w:fill="auto"/>
            <w:noWrap/>
            <w:vAlign w:val="center"/>
            <w:hideMark/>
          </w:tcPr>
          <w:p w14:paraId="69858BA6" w14:textId="77777777" w:rsidR="00766BCF" w:rsidRPr="00032ECC" w:rsidRDefault="00766BCF" w:rsidP="00766BCF">
            <w:pPr>
              <w:jc w:val="center"/>
              <w:rPr>
                <w:rFonts w:ascii="Calibri" w:hAnsi="Calibri" w:cs="Calibri"/>
                <w:b/>
                <w:bCs/>
                <w:color w:val="000000"/>
                <w:szCs w:val="22"/>
              </w:rPr>
            </w:pPr>
            <w:r w:rsidRPr="00032ECC">
              <w:rPr>
                <w:rFonts w:ascii="Calibri" w:hAnsi="Calibri" w:cs="Calibri"/>
                <w:b/>
                <w:bCs/>
                <w:color w:val="000000"/>
                <w:szCs w:val="22"/>
              </w:rPr>
              <w:t>2</w:t>
            </w:r>
          </w:p>
        </w:tc>
        <w:tc>
          <w:tcPr>
            <w:tcW w:w="6152" w:type="dxa"/>
            <w:tcBorders>
              <w:top w:val="nil"/>
              <w:left w:val="nil"/>
              <w:bottom w:val="nil"/>
              <w:right w:val="nil"/>
            </w:tcBorders>
            <w:shd w:val="clear" w:color="auto" w:fill="auto"/>
            <w:noWrap/>
            <w:vAlign w:val="bottom"/>
            <w:hideMark/>
          </w:tcPr>
          <w:p w14:paraId="434B4B6D"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Electricity</w:t>
            </w:r>
          </w:p>
        </w:tc>
        <w:tc>
          <w:tcPr>
            <w:tcW w:w="1549" w:type="dxa"/>
            <w:tcBorders>
              <w:top w:val="nil"/>
              <w:left w:val="nil"/>
              <w:bottom w:val="nil"/>
              <w:right w:val="nil"/>
            </w:tcBorders>
            <w:shd w:val="clear" w:color="auto" w:fill="auto"/>
            <w:noWrap/>
            <w:vAlign w:val="bottom"/>
            <w:hideMark/>
          </w:tcPr>
          <w:p w14:paraId="3A99728F" w14:textId="637D1FAC" w:rsidR="00766BCF" w:rsidRPr="00AE4DBA" w:rsidRDefault="00766BCF" w:rsidP="00766BCF">
            <w:pPr>
              <w:jc w:val="right"/>
              <w:rPr>
                <w:rFonts w:ascii="Calibri" w:hAnsi="Calibri" w:cs="Calibri"/>
                <w:color w:val="000000"/>
                <w:szCs w:val="22"/>
              </w:rPr>
            </w:pPr>
            <w:r w:rsidRPr="00AE4DBA">
              <w:rPr>
                <w:rFonts w:ascii="Calibri" w:hAnsi="Calibri" w:cs="Calibri"/>
                <w:color w:val="000000"/>
                <w:szCs w:val="22"/>
              </w:rPr>
              <w:t>26,4</w:t>
            </w:r>
            <w:r w:rsidR="0000782A">
              <w:rPr>
                <w:rFonts w:ascii="Calibri" w:hAnsi="Calibri" w:cs="Calibri"/>
                <w:color w:val="000000"/>
                <w:szCs w:val="22"/>
              </w:rPr>
              <w:t>18</w:t>
            </w:r>
            <w:r w:rsidRPr="00AE4DBA">
              <w:rPr>
                <w:rFonts w:ascii="Calibri" w:hAnsi="Calibri" w:cs="Calibri"/>
                <w:color w:val="000000"/>
                <w:szCs w:val="22"/>
              </w:rPr>
              <w:t xml:space="preserve"> </w:t>
            </w:r>
          </w:p>
        </w:tc>
        <w:tc>
          <w:tcPr>
            <w:tcW w:w="1940" w:type="dxa"/>
            <w:tcBorders>
              <w:top w:val="nil"/>
              <w:left w:val="nil"/>
              <w:bottom w:val="nil"/>
              <w:right w:val="nil"/>
            </w:tcBorders>
            <w:shd w:val="clear" w:color="auto" w:fill="auto"/>
            <w:noWrap/>
            <w:vAlign w:val="bottom"/>
            <w:hideMark/>
          </w:tcPr>
          <w:p w14:paraId="2BCCA93F" w14:textId="77777777" w:rsidR="00766BCF" w:rsidRPr="00AE4DBA" w:rsidRDefault="00766BCF" w:rsidP="00766BCF">
            <w:pPr>
              <w:jc w:val="right"/>
              <w:rPr>
                <w:rFonts w:ascii="Calibri" w:hAnsi="Calibri" w:cs="Calibri"/>
                <w:color w:val="000000"/>
                <w:szCs w:val="22"/>
              </w:rPr>
            </w:pPr>
          </w:p>
        </w:tc>
      </w:tr>
      <w:tr w:rsidR="00766BCF" w:rsidRPr="00AE4DBA" w14:paraId="49F8F35D" w14:textId="77777777" w:rsidTr="1CBE7150">
        <w:trPr>
          <w:trHeight w:val="312"/>
        </w:trPr>
        <w:tc>
          <w:tcPr>
            <w:tcW w:w="328" w:type="dxa"/>
            <w:vMerge/>
            <w:vAlign w:val="center"/>
            <w:hideMark/>
          </w:tcPr>
          <w:p w14:paraId="55291EF0" w14:textId="77777777" w:rsidR="00766BCF" w:rsidRPr="00032ECC" w:rsidRDefault="00766BCF" w:rsidP="00766BCF">
            <w:pPr>
              <w:rPr>
                <w:rFonts w:ascii="Calibri" w:hAnsi="Calibri" w:cs="Calibri"/>
                <w:b/>
                <w:bCs/>
                <w:color w:val="000000"/>
                <w:szCs w:val="22"/>
              </w:rPr>
            </w:pPr>
          </w:p>
        </w:tc>
        <w:tc>
          <w:tcPr>
            <w:tcW w:w="6152" w:type="dxa"/>
            <w:tcBorders>
              <w:top w:val="nil"/>
              <w:left w:val="nil"/>
              <w:bottom w:val="nil"/>
              <w:right w:val="nil"/>
            </w:tcBorders>
            <w:shd w:val="clear" w:color="auto" w:fill="auto"/>
            <w:noWrap/>
            <w:vAlign w:val="bottom"/>
            <w:hideMark/>
          </w:tcPr>
          <w:p w14:paraId="2594CD6F"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Purchased steam from coal</w:t>
            </w:r>
          </w:p>
        </w:tc>
        <w:tc>
          <w:tcPr>
            <w:tcW w:w="1549" w:type="dxa"/>
            <w:tcBorders>
              <w:top w:val="nil"/>
              <w:left w:val="nil"/>
              <w:bottom w:val="nil"/>
              <w:right w:val="nil"/>
            </w:tcBorders>
            <w:shd w:val="clear" w:color="auto" w:fill="auto"/>
            <w:noWrap/>
            <w:vAlign w:val="bottom"/>
            <w:hideMark/>
          </w:tcPr>
          <w:p w14:paraId="5899D28C" w14:textId="77777777" w:rsidR="00766BCF" w:rsidRPr="00AE4DBA" w:rsidRDefault="00766BCF" w:rsidP="00766BCF">
            <w:pPr>
              <w:jc w:val="right"/>
              <w:rPr>
                <w:rFonts w:ascii="Calibri" w:hAnsi="Calibri" w:cs="Calibri"/>
                <w:color w:val="000000"/>
                <w:szCs w:val="22"/>
              </w:rPr>
            </w:pPr>
            <w:r w:rsidRPr="00AE4DBA">
              <w:rPr>
                <w:rFonts w:ascii="Calibri" w:hAnsi="Calibri" w:cs="Calibri"/>
                <w:color w:val="000000"/>
                <w:szCs w:val="22"/>
              </w:rPr>
              <w:t xml:space="preserve">586 </w:t>
            </w:r>
          </w:p>
        </w:tc>
        <w:tc>
          <w:tcPr>
            <w:tcW w:w="1940" w:type="dxa"/>
            <w:tcBorders>
              <w:top w:val="nil"/>
              <w:left w:val="nil"/>
              <w:bottom w:val="nil"/>
              <w:right w:val="nil"/>
            </w:tcBorders>
            <w:shd w:val="clear" w:color="auto" w:fill="auto"/>
            <w:noWrap/>
            <w:vAlign w:val="bottom"/>
            <w:hideMark/>
          </w:tcPr>
          <w:p w14:paraId="202F19AE" w14:textId="77777777" w:rsidR="00766BCF" w:rsidRPr="00AE4DBA" w:rsidRDefault="00766BCF" w:rsidP="00766BCF">
            <w:pPr>
              <w:jc w:val="right"/>
              <w:rPr>
                <w:rFonts w:ascii="Calibri" w:hAnsi="Calibri" w:cs="Calibri"/>
                <w:color w:val="000000"/>
                <w:szCs w:val="22"/>
              </w:rPr>
            </w:pPr>
          </w:p>
        </w:tc>
      </w:tr>
      <w:tr w:rsidR="00766BCF" w:rsidRPr="00AE4DBA" w14:paraId="68359744" w14:textId="77777777" w:rsidTr="1CBE7150">
        <w:trPr>
          <w:trHeight w:val="312"/>
        </w:trPr>
        <w:tc>
          <w:tcPr>
            <w:tcW w:w="328" w:type="dxa"/>
            <w:vMerge/>
            <w:vAlign w:val="center"/>
            <w:hideMark/>
          </w:tcPr>
          <w:p w14:paraId="6E9D17BD" w14:textId="77777777" w:rsidR="00766BCF" w:rsidRPr="00032ECC" w:rsidRDefault="00766BCF" w:rsidP="00766BCF">
            <w:pPr>
              <w:rPr>
                <w:rFonts w:ascii="Calibri" w:hAnsi="Calibri" w:cs="Calibri"/>
                <w:b/>
                <w:bCs/>
                <w:color w:val="000000"/>
                <w:szCs w:val="22"/>
              </w:rPr>
            </w:pPr>
          </w:p>
        </w:tc>
        <w:tc>
          <w:tcPr>
            <w:tcW w:w="6152" w:type="dxa"/>
            <w:tcBorders>
              <w:top w:val="nil"/>
              <w:left w:val="nil"/>
              <w:bottom w:val="single" w:sz="4" w:space="0" w:color="00737B"/>
              <w:right w:val="nil"/>
            </w:tcBorders>
            <w:shd w:val="clear" w:color="auto" w:fill="auto"/>
            <w:noWrap/>
            <w:vAlign w:val="bottom"/>
            <w:hideMark/>
          </w:tcPr>
          <w:p w14:paraId="1BA4AF83"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Purchased steam from biomass and landfill gas</w:t>
            </w:r>
          </w:p>
        </w:tc>
        <w:tc>
          <w:tcPr>
            <w:tcW w:w="1549" w:type="dxa"/>
            <w:tcBorders>
              <w:top w:val="nil"/>
              <w:left w:val="nil"/>
              <w:bottom w:val="single" w:sz="4" w:space="0" w:color="00737B"/>
              <w:right w:val="nil"/>
            </w:tcBorders>
            <w:shd w:val="clear" w:color="auto" w:fill="auto"/>
            <w:noWrap/>
            <w:vAlign w:val="bottom"/>
            <w:hideMark/>
          </w:tcPr>
          <w:p w14:paraId="17EE0631" w14:textId="77777777" w:rsidR="00766BCF" w:rsidRPr="00AE4DBA" w:rsidRDefault="00766BCF" w:rsidP="00766BCF">
            <w:pPr>
              <w:jc w:val="right"/>
              <w:rPr>
                <w:rFonts w:ascii="Calibri" w:hAnsi="Calibri" w:cs="Calibri"/>
                <w:color w:val="000000"/>
                <w:szCs w:val="22"/>
              </w:rPr>
            </w:pPr>
            <w:r w:rsidRPr="00AE4DBA">
              <w:rPr>
                <w:rFonts w:ascii="Calibri" w:hAnsi="Calibri" w:cs="Calibri"/>
                <w:color w:val="000000"/>
                <w:szCs w:val="22"/>
              </w:rPr>
              <w:t xml:space="preserve">10 </w:t>
            </w:r>
          </w:p>
        </w:tc>
        <w:tc>
          <w:tcPr>
            <w:tcW w:w="1940" w:type="dxa"/>
            <w:tcBorders>
              <w:top w:val="nil"/>
              <w:left w:val="nil"/>
              <w:bottom w:val="single" w:sz="4" w:space="0" w:color="00737B"/>
              <w:right w:val="nil"/>
            </w:tcBorders>
            <w:shd w:val="clear" w:color="auto" w:fill="auto"/>
            <w:noWrap/>
            <w:vAlign w:val="bottom"/>
            <w:hideMark/>
          </w:tcPr>
          <w:p w14:paraId="217031DC" w14:textId="77777777" w:rsidR="00766BCF" w:rsidRPr="00AE4DBA" w:rsidRDefault="00766BCF" w:rsidP="00766BCF">
            <w:pPr>
              <w:rPr>
                <w:rFonts w:ascii="Calibri" w:hAnsi="Calibri" w:cs="Calibri"/>
                <w:b/>
                <w:bCs/>
                <w:color w:val="008A9F"/>
                <w:sz w:val="24"/>
              </w:rPr>
            </w:pPr>
            <w:r w:rsidRPr="00AE4DBA">
              <w:rPr>
                <w:rFonts w:ascii="Calibri" w:hAnsi="Calibri" w:cs="Calibri"/>
                <w:b/>
                <w:bCs/>
                <w:color w:val="008A9F"/>
                <w:sz w:val="24"/>
              </w:rPr>
              <w:t> </w:t>
            </w:r>
          </w:p>
        </w:tc>
      </w:tr>
      <w:tr w:rsidR="00766BCF" w:rsidRPr="00AE4DBA" w14:paraId="49784AB9" w14:textId="77777777" w:rsidTr="1CBE7150">
        <w:trPr>
          <w:trHeight w:val="312"/>
        </w:trPr>
        <w:tc>
          <w:tcPr>
            <w:tcW w:w="328" w:type="dxa"/>
            <w:tcBorders>
              <w:top w:val="nil"/>
              <w:left w:val="nil"/>
              <w:bottom w:val="nil"/>
              <w:right w:val="nil"/>
            </w:tcBorders>
            <w:shd w:val="clear" w:color="auto" w:fill="auto"/>
            <w:noWrap/>
            <w:vAlign w:val="bottom"/>
            <w:hideMark/>
          </w:tcPr>
          <w:p w14:paraId="6AF8FD71" w14:textId="77777777" w:rsidR="00766BCF" w:rsidRPr="00032ECC" w:rsidRDefault="00766BCF" w:rsidP="00766BCF">
            <w:pPr>
              <w:rPr>
                <w:rFonts w:ascii="Calibri" w:hAnsi="Calibri" w:cs="Calibri"/>
                <w:b/>
                <w:bCs/>
                <w:color w:val="008A9F"/>
                <w:sz w:val="24"/>
              </w:rPr>
            </w:pPr>
          </w:p>
        </w:tc>
        <w:tc>
          <w:tcPr>
            <w:tcW w:w="6152" w:type="dxa"/>
            <w:tcBorders>
              <w:top w:val="nil"/>
              <w:left w:val="nil"/>
              <w:bottom w:val="nil"/>
              <w:right w:val="nil"/>
            </w:tcBorders>
            <w:shd w:val="clear" w:color="auto" w:fill="auto"/>
            <w:noWrap/>
            <w:vAlign w:val="bottom"/>
            <w:hideMark/>
          </w:tcPr>
          <w:p w14:paraId="6D1FCDE9" w14:textId="77777777" w:rsidR="00766BCF" w:rsidRPr="00AE4DBA" w:rsidRDefault="00766BCF" w:rsidP="00766BCF">
            <w:pPr>
              <w:jc w:val="right"/>
              <w:rPr>
                <w:rFonts w:ascii="Calibri" w:hAnsi="Calibri" w:cs="Calibri"/>
                <w:b/>
                <w:bCs/>
                <w:color w:val="008A9F"/>
                <w:sz w:val="24"/>
              </w:rPr>
            </w:pPr>
            <w:r w:rsidRPr="00AE4DBA">
              <w:rPr>
                <w:rFonts w:ascii="Calibri" w:hAnsi="Calibri" w:cs="Calibri"/>
                <w:b/>
                <w:bCs/>
                <w:color w:val="008A9F"/>
                <w:sz w:val="24"/>
              </w:rPr>
              <w:t>Category 2 Total</w:t>
            </w:r>
          </w:p>
        </w:tc>
        <w:tc>
          <w:tcPr>
            <w:tcW w:w="1549" w:type="dxa"/>
            <w:tcBorders>
              <w:top w:val="nil"/>
              <w:left w:val="nil"/>
              <w:bottom w:val="nil"/>
              <w:right w:val="nil"/>
            </w:tcBorders>
            <w:shd w:val="clear" w:color="auto" w:fill="auto"/>
            <w:noWrap/>
            <w:vAlign w:val="bottom"/>
            <w:hideMark/>
          </w:tcPr>
          <w:p w14:paraId="782B5934" w14:textId="77777777" w:rsidR="00766BCF" w:rsidRPr="00AE4DBA" w:rsidRDefault="00766BCF" w:rsidP="00766BCF">
            <w:pPr>
              <w:jc w:val="right"/>
              <w:rPr>
                <w:rFonts w:ascii="Calibri" w:hAnsi="Calibri" w:cs="Calibri"/>
                <w:b/>
                <w:bCs/>
                <w:color w:val="008A9F"/>
                <w:sz w:val="24"/>
              </w:rPr>
            </w:pPr>
          </w:p>
        </w:tc>
        <w:tc>
          <w:tcPr>
            <w:tcW w:w="1940" w:type="dxa"/>
            <w:tcBorders>
              <w:top w:val="nil"/>
              <w:left w:val="nil"/>
              <w:bottom w:val="nil"/>
              <w:right w:val="nil"/>
            </w:tcBorders>
            <w:shd w:val="clear" w:color="auto" w:fill="auto"/>
            <w:noWrap/>
            <w:vAlign w:val="bottom"/>
            <w:hideMark/>
          </w:tcPr>
          <w:p w14:paraId="320A1FF2" w14:textId="20405C48" w:rsidR="00766BCF" w:rsidRPr="00AE4DBA" w:rsidRDefault="00766BCF" w:rsidP="00766BCF">
            <w:pPr>
              <w:jc w:val="right"/>
              <w:rPr>
                <w:rFonts w:ascii="Calibri" w:hAnsi="Calibri" w:cs="Calibri"/>
                <w:b/>
                <w:bCs/>
                <w:color w:val="008A9F"/>
                <w:sz w:val="24"/>
              </w:rPr>
            </w:pPr>
            <w:r w:rsidRPr="00AE4DBA">
              <w:rPr>
                <w:rFonts w:ascii="Calibri" w:hAnsi="Calibri" w:cs="Calibri"/>
                <w:b/>
                <w:bCs/>
                <w:color w:val="008A9F"/>
                <w:sz w:val="24"/>
              </w:rPr>
              <w:t>27,0</w:t>
            </w:r>
            <w:r w:rsidR="004014A7">
              <w:rPr>
                <w:rFonts w:ascii="Calibri" w:hAnsi="Calibri" w:cs="Calibri"/>
                <w:b/>
                <w:bCs/>
                <w:color w:val="008A9F"/>
                <w:sz w:val="24"/>
              </w:rPr>
              <w:t>15</w:t>
            </w:r>
            <w:r w:rsidRPr="00AE4DBA">
              <w:rPr>
                <w:rFonts w:ascii="Calibri" w:hAnsi="Calibri" w:cs="Calibri"/>
                <w:b/>
                <w:bCs/>
                <w:color w:val="008A9F"/>
                <w:sz w:val="24"/>
              </w:rPr>
              <w:t xml:space="preserve"> </w:t>
            </w:r>
          </w:p>
        </w:tc>
      </w:tr>
      <w:tr w:rsidR="00766BCF" w:rsidRPr="00AE4DBA" w14:paraId="67986D2F" w14:textId="77777777" w:rsidTr="1CBE7150">
        <w:trPr>
          <w:trHeight w:val="312"/>
        </w:trPr>
        <w:tc>
          <w:tcPr>
            <w:tcW w:w="328" w:type="dxa"/>
            <w:tcBorders>
              <w:top w:val="nil"/>
              <w:left w:val="nil"/>
              <w:bottom w:val="nil"/>
              <w:right w:val="nil"/>
            </w:tcBorders>
            <w:shd w:val="clear" w:color="auto" w:fill="auto"/>
            <w:noWrap/>
            <w:vAlign w:val="bottom"/>
            <w:hideMark/>
          </w:tcPr>
          <w:p w14:paraId="26D783CF" w14:textId="77777777" w:rsidR="00766BCF" w:rsidRPr="00032ECC" w:rsidRDefault="00766BCF" w:rsidP="00766BCF">
            <w:pPr>
              <w:jc w:val="right"/>
              <w:rPr>
                <w:rFonts w:ascii="Calibri" w:hAnsi="Calibri" w:cs="Calibri"/>
                <w:b/>
                <w:bCs/>
                <w:color w:val="008A9F"/>
                <w:sz w:val="24"/>
              </w:rPr>
            </w:pPr>
          </w:p>
        </w:tc>
        <w:tc>
          <w:tcPr>
            <w:tcW w:w="6152" w:type="dxa"/>
            <w:tcBorders>
              <w:top w:val="nil"/>
              <w:left w:val="nil"/>
              <w:bottom w:val="nil"/>
              <w:right w:val="nil"/>
            </w:tcBorders>
            <w:shd w:val="clear" w:color="auto" w:fill="auto"/>
            <w:noWrap/>
            <w:vAlign w:val="bottom"/>
            <w:hideMark/>
          </w:tcPr>
          <w:p w14:paraId="34E8658E" w14:textId="77777777" w:rsidR="00766BCF" w:rsidRPr="00AE4DBA" w:rsidRDefault="00766BCF" w:rsidP="00766BCF">
            <w:pPr>
              <w:rPr>
                <w:rFonts w:ascii="Times New Roman" w:hAnsi="Times New Roman"/>
                <w:sz w:val="20"/>
                <w:szCs w:val="20"/>
              </w:rPr>
            </w:pPr>
          </w:p>
        </w:tc>
        <w:tc>
          <w:tcPr>
            <w:tcW w:w="1549" w:type="dxa"/>
            <w:tcBorders>
              <w:top w:val="nil"/>
              <w:left w:val="nil"/>
              <w:bottom w:val="nil"/>
              <w:right w:val="nil"/>
            </w:tcBorders>
            <w:shd w:val="clear" w:color="auto" w:fill="auto"/>
            <w:noWrap/>
            <w:vAlign w:val="bottom"/>
            <w:hideMark/>
          </w:tcPr>
          <w:p w14:paraId="528CCBC1" w14:textId="77777777" w:rsidR="00766BCF" w:rsidRPr="00AE4DBA" w:rsidRDefault="00766BCF" w:rsidP="00766BCF">
            <w:pPr>
              <w:rPr>
                <w:rFonts w:ascii="Times New Roman" w:hAnsi="Times New Roman"/>
                <w:sz w:val="20"/>
                <w:szCs w:val="20"/>
              </w:rPr>
            </w:pPr>
          </w:p>
        </w:tc>
        <w:tc>
          <w:tcPr>
            <w:tcW w:w="1940" w:type="dxa"/>
            <w:tcBorders>
              <w:top w:val="nil"/>
              <w:left w:val="nil"/>
              <w:bottom w:val="nil"/>
              <w:right w:val="nil"/>
            </w:tcBorders>
            <w:shd w:val="clear" w:color="auto" w:fill="auto"/>
            <w:noWrap/>
            <w:vAlign w:val="bottom"/>
            <w:hideMark/>
          </w:tcPr>
          <w:p w14:paraId="7E719CC7" w14:textId="77777777" w:rsidR="00766BCF" w:rsidRPr="00AE4DBA" w:rsidRDefault="00766BCF" w:rsidP="00766BCF">
            <w:pPr>
              <w:rPr>
                <w:rFonts w:ascii="Times New Roman" w:hAnsi="Times New Roman"/>
                <w:sz w:val="20"/>
                <w:szCs w:val="20"/>
              </w:rPr>
            </w:pPr>
          </w:p>
        </w:tc>
      </w:tr>
      <w:tr w:rsidR="00766BCF" w:rsidRPr="00AE4DBA" w14:paraId="2779F531" w14:textId="77777777" w:rsidTr="1CBE7150">
        <w:trPr>
          <w:trHeight w:val="312"/>
        </w:trPr>
        <w:tc>
          <w:tcPr>
            <w:tcW w:w="328" w:type="dxa"/>
            <w:vMerge w:val="restart"/>
            <w:tcBorders>
              <w:top w:val="nil"/>
              <w:left w:val="nil"/>
              <w:bottom w:val="single" w:sz="4" w:space="0" w:color="00737B"/>
              <w:right w:val="nil"/>
            </w:tcBorders>
            <w:shd w:val="clear" w:color="auto" w:fill="auto"/>
            <w:noWrap/>
            <w:vAlign w:val="center"/>
            <w:hideMark/>
          </w:tcPr>
          <w:p w14:paraId="5DA19DAE" w14:textId="77777777" w:rsidR="00766BCF" w:rsidRPr="00032ECC" w:rsidRDefault="00766BCF" w:rsidP="00766BCF">
            <w:pPr>
              <w:jc w:val="center"/>
              <w:rPr>
                <w:rFonts w:ascii="Calibri" w:hAnsi="Calibri" w:cs="Calibri"/>
                <w:b/>
                <w:bCs/>
                <w:color w:val="000000"/>
                <w:szCs w:val="22"/>
              </w:rPr>
            </w:pPr>
            <w:r w:rsidRPr="00032ECC">
              <w:rPr>
                <w:rFonts w:ascii="Calibri" w:hAnsi="Calibri" w:cs="Calibri"/>
                <w:b/>
                <w:bCs/>
                <w:color w:val="000000"/>
                <w:szCs w:val="22"/>
              </w:rPr>
              <w:t>3</w:t>
            </w:r>
          </w:p>
        </w:tc>
        <w:tc>
          <w:tcPr>
            <w:tcW w:w="6152" w:type="dxa"/>
            <w:tcBorders>
              <w:top w:val="nil"/>
              <w:left w:val="nil"/>
              <w:bottom w:val="nil"/>
              <w:right w:val="nil"/>
            </w:tcBorders>
            <w:shd w:val="clear" w:color="auto" w:fill="auto"/>
            <w:noWrap/>
            <w:vAlign w:val="bottom"/>
            <w:hideMark/>
          </w:tcPr>
          <w:p w14:paraId="1C2B14D9"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Staff air travel</w:t>
            </w:r>
          </w:p>
        </w:tc>
        <w:tc>
          <w:tcPr>
            <w:tcW w:w="1549" w:type="dxa"/>
            <w:tcBorders>
              <w:top w:val="nil"/>
              <w:left w:val="nil"/>
              <w:bottom w:val="nil"/>
              <w:right w:val="nil"/>
            </w:tcBorders>
            <w:shd w:val="clear" w:color="auto" w:fill="auto"/>
            <w:noWrap/>
            <w:vAlign w:val="bottom"/>
            <w:hideMark/>
          </w:tcPr>
          <w:p w14:paraId="3BCB8D3E" w14:textId="77777777" w:rsidR="00766BCF" w:rsidRPr="00AE4DBA" w:rsidRDefault="00766BCF" w:rsidP="00766BCF">
            <w:pPr>
              <w:jc w:val="right"/>
              <w:rPr>
                <w:rFonts w:ascii="Calibri" w:hAnsi="Calibri" w:cs="Calibri"/>
                <w:color w:val="000000"/>
                <w:szCs w:val="22"/>
              </w:rPr>
            </w:pPr>
            <w:r w:rsidRPr="00AE4DBA">
              <w:rPr>
                <w:rFonts w:ascii="Calibri" w:hAnsi="Calibri" w:cs="Calibri"/>
                <w:color w:val="000000"/>
                <w:szCs w:val="22"/>
              </w:rPr>
              <w:t xml:space="preserve">52,415 </w:t>
            </w:r>
          </w:p>
        </w:tc>
        <w:tc>
          <w:tcPr>
            <w:tcW w:w="1940" w:type="dxa"/>
            <w:tcBorders>
              <w:top w:val="nil"/>
              <w:left w:val="nil"/>
              <w:bottom w:val="nil"/>
              <w:right w:val="nil"/>
            </w:tcBorders>
            <w:shd w:val="clear" w:color="auto" w:fill="auto"/>
            <w:noWrap/>
            <w:vAlign w:val="bottom"/>
            <w:hideMark/>
          </w:tcPr>
          <w:p w14:paraId="0AF65726" w14:textId="77777777" w:rsidR="00766BCF" w:rsidRPr="00AE4DBA" w:rsidRDefault="00766BCF" w:rsidP="00766BCF">
            <w:pPr>
              <w:jc w:val="right"/>
              <w:rPr>
                <w:rFonts w:ascii="Calibri" w:hAnsi="Calibri" w:cs="Calibri"/>
                <w:color w:val="000000"/>
                <w:szCs w:val="22"/>
              </w:rPr>
            </w:pPr>
          </w:p>
        </w:tc>
      </w:tr>
      <w:tr w:rsidR="00536C53" w:rsidRPr="00AE4DBA" w14:paraId="7FAB23D8" w14:textId="77777777" w:rsidTr="1CBE7150">
        <w:trPr>
          <w:trHeight w:val="312"/>
        </w:trPr>
        <w:tc>
          <w:tcPr>
            <w:tcW w:w="328" w:type="dxa"/>
            <w:vMerge/>
            <w:vAlign w:val="center"/>
          </w:tcPr>
          <w:p w14:paraId="5179DB5B" w14:textId="77777777" w:rsidR="00536C53" w:rsidRPr="00032ECC" w:rsidRDefault="00536C53" w:rsidP="00536C53">
            <w:pPr>
              <w:rPr>
                <w:rFonts w:ascii="Calibri" w:hAnsi="Calibri" w:cs="Calibri"/>
                <w:b/>
                <w:bCs/>
                <w:color w:val="000000"/>
                <w:szCs w:val="22"/>
              </w:rPr>
            </w:pPr>
          </w:p>
        </w:tc>
        <w:tc>
          <w:tcPr>
            <w:tcW w:w="6152" w:type="dxa"/>
            <w:tcBorders>
              <w:top w:val="nil"/>
              <w:left w:val="nil"/>
              <w:bottom w:val="nil"/>
              <w:right w:val="nil"/>
            </w:tcBorders>
            <w:shd w:val="clear" w:color="auto" w:fill="auto"/>
            <w:noWrap/>
            <w:vAlign w:val="bottom"/>
          </w:tcPr>
          <w:p w14:paraId="4AE10AB3" w14:textId="685DF83C" w:rsidR="00536C53" w:rsidRPr="00AE4DBA" w:rsidRDefault="00536C53" w:rsidP="00536C53">
            <w:pPr>
              <w:rPr>
                <w:rFonts w:ascii="Calibri" w:hAnsi="Calibri" w:cs="Calibri"/>
                <w:color w:val="000000"/>
                <w:szCs w:val="22"/>
              </w:rPr>
            </w:pPr>
            <w:r w:rsidRPr="00AE4DBA">
              <w:rPr>
                <w:rFonts w:ascii="Calibri" w:hAnsi="Calibri" w:cs="Calibri"/>
                <w:color w:val="000000"/>
                <w:szCs w:val="22"/>
              </w:rPr>
              <w:t>Patient travel by road - Patient travel claims (NTA)</w:t>
            </w:r>
          </w:p>
        </w:tc>
        <w:tc>
          <w:tcPr>
            <w:tcW w:w="1549" w:type="dxa"/>
            <w:tcBorders>
              <w:top w:val="nil"/>
              <w:left w:val="nil"/>
              <w:bottom w:val="nil"/>
              <w:right w:val="nil"/>
            </w:tcBorders>
            <w:shd w:val="clear" w:color="auto" w:fill="auto"/>
            <w:noWrap/>
            <w:vAlign w:val="bottom"/>
          </w:tcPr>
          <w:p w14:paraId="36644A4C" w14:textId="780916F8" w:rsidR="00536C53" w:rsidRPr="00AE4DBA" w:rsidRDefault="00536C53" w:rsidP="00536C53">
            <w:pPr>
              <w:jc w:val="right"/>
              <w:rPr>
                <w:rFonts w:ascii="Calibri" w:hAnsi="Calibri" w:cs="Calibri"/>
                <w:color w:val="000000"/>
                <w:szCs w:val="22"/>
              </w:rPr>
            </w:pPr>
            <w:r w:rsidRPr="00AE4DBA">
              <w:rPr>
                <w:rFonts w:ascii="Calibri" w:hAnsi="Calibri" w:cs="Calibri"/>
                <w:color w:val="000000"/>
                <w:szCs w:val="22"/>
              </w:rPr>
              <w:t xml:space="preserve">8,070 </w:t>
            </w:r>
          </w:p>
        </w:tc>
        <w:tc>
          <w:tcPr>
            <w:tcW w:w="1940" w:type="dxa"/>
            <w:tcBorders>
              <w:top w:val="nil"/>
              <w:left w:val="nil"/>
              <w:bottom w:val="nil"/>
              <w:right w:val="nil"/>
            </w:tcBorders>
            <w:shd w:val="clear" w:color="auto" w:fill="auto"/>
            <w:noWrap/>
            <w:vAlign w:val="bottom"/>
          </w:tcPr>
          <w:p w14:paraId="40831436" w14:textId="77777777" w:rsidR="00536C53" w:rsidRPr="00AE4DBA" w:rsidRDefault="00536C53" w:rsidP="00536C53">
            <w:pPr>
              <w:jc w:val="right"/>
              <w:rPr>
                <w:rFonts w:ascii="Calibri" w:hAnsi="Calibri" w:cs="Calibri"/>
                <w:color w:val="000000"/>
                <w:szCs w:val="22"/>
              </w:rPr>
            </w:pPr>
          </w:p>
        </w:tc>
      </w:tr>
      <w:tr w:rsidR="00766BCF" w:rsidRPr="00AE4DBA" w14:paraId="1F546983" w14:textId="77777777" w:rsidTr="1CBE7150">
        <w:trPr>
          <w:trHeight w:val="312"/>
        </w:trPr>
        <w:tc>
          <w:tcPr>
            <w:tcW w:w="328" w:type="dxa"/>
            <w:vMerge/>
            <w:vAlign w:val="center"/>
            <w:hideMark/>
          </w:tcPr>
          <w:p w14:paraId="0CC02EF9" w14:textId="77777777" w:rsidR="00766BCF" w:rsidRPr="00032ECC" w:rsidRDefault="00766BCF" w:rsidP="00766BCF">
            <w:pPr>
              <w:rPr>
                <w:rFonts w:ascii="Calibri" w:hAnsi="Calibri" w:cs="Calibri"/>
                <w:b/>
                <w:bCs/>
                <w:color w:val="000000"/>
                <w:szCs w:val="22"/>
              </w:rPr>
            </w:pPr>
          </w:p>
        </w:tc>
        <w:tc>
          <w:tcPr>
            <w:tcW w:w="6152" w:type="dxa"/>
            <w:tcBorders>
              <w:top w:val="nil"/>
              <w:left w:val="nil"/>
              <w:bottom w:val="nil"/>
              <w:right w:val="nil"/>
            </w:tcBorders>
            <w:shd w:val="clear" w:color="auto" w:fill="auto"/>
            <w:noWrap/>
            <w:vAlign w:val="bottom"/>
            <w:hideMark/>
          </w:tcPr>
          <w:p w14:paraId="43D6B596"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Patient travel by air - Medical plane</w:t>
            </w:r>
          </w:p>
        </w:tc>
        <w:tc>
          <w:tcPr>
            <w:tcW w:w="1549" w:type="dxa"/>
            <w:tcBorders>
              <w:top w:val="nil"/>
              <w:left w:val="nil"/>
              <w:bottom w:val="nil"/>
              <w:right w:val="nil"/>
            </w:tcBorders>
            <w:shd w:val="clear" w:color="auto" w:fill="auto"/>
            <w:noWrap/>
            <w:vAlign w:val="bottom"/>
            <w:hideMark/>
          </w:tcPr>
          <w:p w14:paraId="1F011F00" w14:textId="77777777" w:rsidR="00766BCF" w:rsidRPr="00AE4DBA" w:rsidRDefault="00766BCF" w:rsidP="00766BCF">
            <w:pPr>
              <w:jc w:val="right"/>
              <w:rPr>
                <w:rFonts w:ascii="Calibri" w:hAnsi="Calibri" w:cs="Calibri"/>
                <w:color w:val="000000"/>
                <w:szCs w:val="22"/>
              </w:rPr>
            </w:pPr>
            <w:r w:rsidRPr="00AE4DBA">
              <w:rPr>
                <w:rFonts w:ascii="Calibri" w:hAnsi="Calibri" w:cs="Calibri"/>
                <w:color w:val="000000"/>
                <w:szCs w:val="22"/>
              </w:rPr>
              <w:t xml:space="preserve">7,483 </w:t>
            </w:r>
          </w:p>
        </w:tc>
        <w:tc>
          <w:tcPr>
            <w:tcW w:w="1940" w:type="dxa"/>
            <w:tcBorders>
              <w:top w:val="nil"/>
              <w:left w:val="nil"/>
              <w:bottom w:val="nil"/>
              <w:right w:val="nil"/>
            </w:tcBorders>
            <w:shd w:val="clear" w:color="auto" w:fill="auto"/>
            <w:noWrap/>
            <w:vAlign w:val="bottom"/>
            <w:hideMark/>
          </w:tcPr>
          <w:p w14:paraId="090EFEDF" w14:textId="77777777" w:rsidR="00766BCF" w:rsidRPr="00AE4DBA" w:rsidRDefault="00766BCF" w:rsidP="00766BCF">
            <w:pPr>
              <w:jc w:val="right"/>
              <w:rPr>
                <w:rFonts w:ascii="Calibri" w:hAnsi="Calibri" w:cs="Calibri"/>
                <w:color w:val="000000"/>
                <w:szCs w:val="22"/>
              </w:rPr>
            </w:pPr>
          </w:p>
        </w:tc>
      </w:tr>
      <w:tr w:rsidR="00766BCF" w:rsidRPr="00AE4DBA" w14:paraId="30B8D1B3" w14:textId="77777777" w:rsidTr="1CBE7150">
        <w:trPr>
          <w:trHeight w:val="312"/>
        </w:trPr>
        <w:tc>
          <w:tcPr>
            <w:tcW w:w="328" w:type="dxa"/>
            <w:vMerge/>
            <w:vAlign w:val="center"/>
            <w:hideMark/>
          </w:tcPr>
          <w:p w14:paraId="541B729E" w14:textId="77777777" w:rsidR="00766BCF" w:rsidRPr="00032ECC" w:rsidRDefault="00766BCF" w:rsidP="00766BCF">
            <w:pPr>
              <w:rPr>
                <w:rFonts w:ascii="Calibri" w:hAnsi="Calibri" w:cs="Calibri"/>
                <w:b/>
                <w:bCs/>
                <w:color w:val="000000"/>
                <w:szCs w:val="22"/>
              </w:rPr>
            </w:pPr>
          </w:p>
        </w:tc>
        <w:tc>
          <w:tcPr>
            <w:tcW w:w="6152" w:type="dxa"/>
            <w:tcBorders>
              <w:top w:val="nil"/>
              <w:left w:val="nil"/>
              <w:bottom w:val="nil"/>
              <w:right w:val="nil"/>
            </w:tcBorders>
            <w:shd w:val="clear" w:color="auto" w:fill="auto"/>
            <w:noWrap/>
            <w:vAlign w:val="bottom"/>
            <w:hideMark/>
          </w:tcPr>
          <w:p w14:paraId="3C08F429"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Patient travel by road - Ambulances</w:t>
            </w:r>
          </w:p>
        </w:tc>
        <w:tc>
          <w:tcPr>
            <w:tcW w:w="1549" w:type="dxa"/>
            <w:tcBorders>
              <w:top w:val="nil"/>
              <w:left w:val="nil"/>
              <w:bottom w:val="nil"/>
              <w:right w:val="nil"/>
            </w:tcBorders>
            <w:shd w:val="clear" w:color="auto" w:fill="auto"/>
            <w:noWrap/>
            <w:vAlign w:val="bottom"/>
            <w:hideMark/>
          </w:tcPr>
          <w:p w14:paraId="3E8B9DCA" w14:textId="77777777" w:rsidR="00766BCF" w:rsidRPr="00AE4DBA" w:rsidRDefault="00766BCF" w:rsidP="00766BCF">
            <w:pPr>
              <w:jc w:val="right"/>
              <w:rPr>
                <w:rFonts w:ascii="Calibri" w:hAnsi="Calibri" w:cs="Calibri"/>
                <w:color w:val="000000"/>
                <w:szCs w:val="22"/>
              </w:rPr>
            </w:pPr>
            <w:r w:rsidRPr="00AE4DBA">
              <w:rPr>
                <w:rFonts w:ascii="Calibri" w:hAnsi="Calibri" w:cs="Calibri"/>
                <w:color w:val="000000"/>
                <w:szCs w:val="22"/>
              </w:rPr>
              <w:t xml:space="preserve">4,910 </w:t>
            </w:r>
          </w:p>
        </w:tc>
        <w:tc>
          <w:tcPr>
            <w:tcW w:w="1940" w:type="dxa"/>
            <w:tcBorders>
              <w:top w:val="nil"/>
              <w:left w:val="nil"/>
              <w:bottom w:val="nil"/>
              <w:right w:val="nil"/>
            </w:tcBorders>
            <w:shd w:val="clear" w:color="auto" w:fill="auto"/>
            <w:noWrap/>
            <w:vAlign w:val="bottom"/>
            <w:hideMark/>
          </w:tcPr>
          <w:p w14:paraId="0D312082" w14:textId="77777777" w:rsidR="00766BCF" w:rsidRPr="00AE4DBA" w:rsidRDefault="00766BCF" w:rsidP="00766BCF">
            <w:pPr>
              <w:jc w:val="right"/>
              <w:rPr>
                <w:rFonts w:ascii="Calibri" w:hAnsi="Calibri" w:cs="Calibri"/>
                <w:color w:val="000000"/>
                <w:szCs w:val="22"/>
              </w:rPr>
            </w:pPr>
          </w:p>
        </w:tc>
      </w:tr>
      <w:tr w:rsidR="00766BCF" w:rsidRPr="00AE4DBA" w14:paraId="3291F5FB" w14:textId="77777777" w:rsidTr="1CBE7150">
        <w:trPr>
          <w:trHeight w:val="312"/>
        </w:trPr>
        <w:tc>
          <w:tcPr>
            <w:tcW w:w="328" w:type="dxa"/>
            <w:vMerge/>
            <w:vAlign w:val="center"/>
            <w:hideMark/>
          </w:tcPr>
          <w:p w14:paraId="3D519BE4" w14:textId="77777777" w:rsidR="00766BCF" w:rsidRPr="00032ECC" w:rsidRDefault="00766BCF" w:rsidP="00766BCF">
            <w:pPr>
              <w:rPr>
                <w:rFonts w:ascii="Calibri" w:hAnsi="Calibri" w:cs="Calibri"/>
                <w:b/>
                <w:bCs/>
                <w:color w:val="000000"/>
                <w:szCs w:val="22"/>
              </w:rPr>
            </w:pPr>
          </w:p>
        </w:tc>
        <w:tc>
          <w:tcPr>
            <w:tcW w:w="6152" w:type="dxa"/>
            <w:tcBorders>
              <w:top w:val="nil"/>
              <w:left w:val="nil"/>
              <w:bottom w:val="nil"/>
              <w:right w:val="nil"/>
            </w:tcBorders>
            <w:shd w:val="clear" w:color="auto" w:fill="auto"/>
            <w:noWrap/>
            <w:vAlign w:val="bottom"/>
            <w:hideMark/>
          </w:tcPr>
          <w:p w14:paraId="7ED647D3"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Patient travel by air - Airline</w:t>
            </w:r>
          </w:p>
        </w:tc>
        <w:tc>
          <w:tcPr>
            <w:tcW w:w="1549" w:type="dxa"/>
            <w:tcBorders>
              <w:top w:val="nil"/>
              <w:left w:val="nil"/>
              <w:bottom w:val="nil"/>
              <w:right w:val="nil"/>
            </w:tcBorders>
            <w:shd w:val="clear" w:color="auto" w:fill="auto"/>
            <w:noWrap/>
            <w:vAlign w:val="bottom"/>
            <w:hideMark/>
          </w:tcPr>
          <w:p w14:paraId="7D8E6D39" w14:textId="77777777" w:rsidR="00766BCF" w:rsidRPr="00AE4DBA" w:rsidRDefault="00766BCF" w:rsidP="00766BCF">
            <w:pPr>
              <w:jc w:val="right"/>
              <w:rPr>
                <w:rFonts w:ascii="Calibri" w:hAnsi="Calibri" w:cs="Calibri"/>
                <w:color w:val="000000"/>
                <w:szCs w:val="22"/>
              </w:rPr>
            </w:pPr>
            <w:r w:rsidRPr="00AE4DBA">
              <w:rPr>
                <w:rFonts w:ascii="Calibri" w:hAnsi="Calibri" w:cs="Calibri"/>
                <w:color w:val="000000"/>
                <w:szCs w:val="22"/>
              </w:rPr>
              <w:t xml:space="preserve">4,082 </w:t>
            </w:r>
          </w:p>
        </w:tc>
        <w:tc>
          <w:tcPr>
            <w:tcW w:w="1940" w:type="dxa"/>
            <w:tcBorders>
              <w:top w:val="nil"/>
              <w:left w:val="nil"/>
              <w:bottom w:val="nil"/>
              <w:right w:val="nil"/>
            </w:tcBorders>
            <w:shd w:val="clear" w:color="auto" w:fill="auto"/>
            <w:noWrap/>
            <w:vAlign w:val="bottom"/>
            <w:hideMark/>
          </w:tcPr>
          <w:p w14:paraId="5C012269" w14:textId="77777777" w:rsidR="00766BCF" w:rsidRPr="00AE4DBA" w:rsidRDefault="00766BCF" w:rsidP="00766BCF">
            <w:pPr>
              <w:jc w:val="right"/>
              <w:rPr>
                <w:rFonts w:ascii="Calibri" w:hAnsi="Calibri" w:cs="Calibri"/>
                <w:color w:val="000000"/>
                <w:szCs w:val="22"/>
              </w:rPr>
            </w:pPr>
          </w:p>
        </w:tc>
      </w:tr>
      <w:tr w:rsidR="00766BCF" w:rsidRPr="00AE4DBA" w14:paraId="13F119E5" w14:textId="77777777" w:rsidTr="1CBE7150">
        <w:trPr>
          <w:trHeight w:val="312"/>
        </w:trPr>
        <w:tc>
          <w:tcPr>
            <w:tcW w:w="328" w:type="dxa"/>
            <w:vMerge/>
            <w:vAlign w:val="center"/>
            <w:hideMark/>
          </w:tcPr>
          <w:p w14:paraId="24965DE0" w14:textId="77777777" w:rsidR="00766BCF" w:rsidRPr="00032ECC" w:rsidRDefault="00766BCF" w:rsidP="00766BCF">
            <w:pPr>
              <w:rPr>
                <w:rFonts w:ascii="Calibri" w:hAnsi="Calibri" w:cs="Calibri"/>
                <w:b/>
                <w:bCs/>
                <w:color w:val="000000"/>
                <w:szCs w:val="22"/>
              </w:rPr>
            </w:pPr>
          </w:p>
        </w:tc>
        <w:tc>
          <w:tcPr>
            <w:tcW w:w="6152" w:type="dxa"/>
            <w:tcBorders>
              <w:top w:val="nil"/>
              <w:left w:val="nil"/>
              <w:bottom w:val="nil"/>
              <w:right w:val="nil"/>
            </w:tcBorders>
            <w:shd w:val="clear" w:color="auto" w:fill="auto"/>
            <w:noWrap/>
            <w:vAlign w:val="bottom"/>
            <w:hideMark/>
          </w:tcPr>
          <w:p w14:paraId="379C1CFD"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Patient travel by air - Helicopter</w:t>
            </w:r>
          </w:p>
        </w:tc>
        <w:tc>
          <w:tcPr>
            <w:tcW w:w="1549" w:type="dxa"/>
            <w:tcBorders>
              <w:top w:val="nil"/>
              <w:left w:val="nil"/>
              <w:bottom w:val="nil"/>
              <w:right w:val="nil"/>
            </w:tcBorders>
            <w:shd w:val="clear" w:color="auto" w:fill="auto"/>
            <w:noWrap/>
            <w:vAlign w:val="bottom"/>
            <w:hideMark/>
          </w:tcPr>
          <w:p w14:paraId="7B10DBBD" w14:textId="77777777" w:rsidR="00766BCF" w:rsidRPr="00AE4DBA" w:rsidRDefault="00766BCF" w:rsidP="00766BCF">
            <w:pPr>
              <w:jc w:val="right"/>
              <w:rPr>
                <w:rFonts w:ascii="Calibri" w:hAnsi="Calibri" w:cs="Calibri"/>
                <w:color w:val="000000"/>
                <w:szCs w:val="22"/>
              </w:rPr>
            </w:pPr>
            <w:r w:rsidRPr="00AE4DBA">
              <w:rPr>
                <w:rFonts w:ascii="Calibri" w:hAnsi="Calibri" w:cs="Calibri"/>
                <w:color w:val="000000"/>
                <w:szCs w:val="22"/>
              </w:rPr>
              <w:t xml:space="preserve">3,736 </w:t>
            </w:r>
          </w:p>
        </w:tc>
        <w:tc>
          <w:tcPr>
            <w:tcW w:w="1940" w:type="dxa"/>
            <w:tcBorders>
              <w:top w:val="nil"/>
              <w:left w:val="nil"/>
              <w:bottom w:val="nil"/>
              <w:right w:val="nil"/>
            </w:tcBorders>
            <w:shd w:val="clear" w:color="auto" w:fill="auto"/>
            <w:noWrap/>
            <w:vAlign w:val="bottom"/>
            <w:hideMark/>
          </w:tcPr>
          <w:p w14:paraId="50CAECF3" w14:textId="77777777" w:rsidR="00766BCF" w:rsidRPr="00AE4DBA" w:rsidRDefault="00766BCF" w:rsidP="00766BCF">
            <w:pPr>
              <w:jc w:val="right"/>
              <w:rPr>
                <w:rFonts w:ascii="Calibri" w:hAnsi="Calibri" w:cs="Calibri"/>
                <w:color w:val="000000"/>
                <w:szCs w:val="22"/>
              </w:rPr>
            </w:pPr>
          </w:p>
        </w:tc>
      </w:tr>
      <w:tr w:rsidR="00766BCF" w:rsidRPr="00AE4DBA" w14:paraId="4B5D00AB" w14:textId="77777777" w:rsidTr="1CBE7150">
        <w:trPr>
          <w:trHeight w:val="312"/>
        </w:trPr>
        <w:tc>
          <w:tcPr>
            <w:tcW w:w="328" w:type="dxa"/>
            <w:vMerge/>
            <w:vAlign w:val="center"/>
            <w:hideMark/>
          </w:tcPr>
          <w:p w14:paraId="237B2416" w14:textId="77777777" w:rsidR="00766BCF" w:rsidRPr="00032ECC" w:rsidRDefault="00766BCF" w:rsidP="00766BCF">
            <w:pPr>
              <w:rPr>
                <w:rFonts w:ascii="Calibri" w:hAnsi="Calibri" w:cs="Calibri"/>
                <w:b/>
                <w:bCs/>
                <w:color w:val="000000"/>
                <w:szCs w:val="22"/>
              </w:rPr>
            </w:pPr>
          </w:p>
        </w:tc>
        <w:tc>
          <w:tcPr>
            <w:tcW w:w="6152" w:type="dxa"/>
            <w:tcBorders>
              <w:top w:val="nil"/>
              <w:left w:val="nil"/>
              <w:bottom w:val="single" w:sz="4" w:space="0" w:color="00737B"/>
              <w:right w:val="nil"/>
            </w:tcBorders>
            <w:shd w:val="clear" w:color="auto" w:fill="auto"/>
            <w:noWrap/>
            <w:vAlign w:val="bottom"/>
            <w:hideMark/>
          </w:tcPr>
          <w:p w14:paraId="462414D1" w14:textId="20A4DB63" w:rsidR="00766BCF" w:rsidRPr="00AE4DBA" w:rsidRDefault="00766BCF" w:rsidP="00766BCF">
            <w:pPr>
              <w:rPr>
                <w:rFonts w:ascii="Calibri" w:hAnsi="Calibri" w:cs="Calibri"/>
                <w:color w:val="000000"/>
              </w:rPr>
            </w:pPr>
          </w:p>
        </w:tc>
        <w:tc>
          <w:tcPr>
            <w:tcW w:w="1549" w:type="dxa"/>
            <w:tcBorders>
              <w:top w:val="nil"/>
              <w:left w:val="nil"/>
              <w:bottom w:val="single" w:sz="4" w:space="0" w:color="00737B"/>
              <w:right w:val="nil"/>
            </w:tcBorders>
            <w:shd w:val="clear" w:color="auto" w:fill="auto"/>
            <w:noWrap/>
            <w:vAlign w:val="bottom"/>
            <w:hideMark/>
          </w:tcPr>
          <w:p w14:paraId="713F71EF" w14:textId="4BF25CB2" w:rsidR="00766BCF" w:rsidRPr="00AE4DBA" w:rsidRDefault="00766BCF" w:rsidP="00766BCF">
            <w:pPr>
              <w:jc w:val="right"/>
              <w:rPr>
                <w:rFonts w:ascii="Calibri" w:hAnsi="Calibri" w:cs="Calibri"/>
                <w:color w:val="000000"/>
              </w:rPr>
            </w:pPr>
          </w:p>
        </w:tc>
        <w:tc>
          <w:tcPr>
            <w:tcW w:w="1940" w:type="dxa"/>
            <w:tcBorders>
              <w:top w:val="nil"/>
              <w:left w:val="nil"/>
              <w:bottom w:val="single" w:sz="4" w:space="0" w:color="00737B"/>
              <w:right w:val="nil"/>
            </w:tcBorders>
            <w:shd w:val="clear" w:color="auto" w:fill="auto"/>
            <w:noWrap/>
            <w:vAlign w:val="bottom"/>
            <w:hideMark/>
          </w:tcPr>
          <w:p w14:paraId="2A02E020" w14:textId="77777777" w:rsidR="00766BCF" w:rsidRPr="00AE4DBA" w:rsidRDefault="00766BCF" w:rsidP="00766BCF">
            <w:pPr>
              <w:rPr>
                <w:rFonts w:ascii="Calibri" w:hAnsi="Calibri" w:cs="Calibri"/>
                <w:b/>
                <w:bCs/>
                <w:color w:val="008A9F"/>
                <w:sz w:val="24"/>
              </w:rPr>
            </w:pPr>
            <w:r w:rsidRPr="00AE4DBA">
              <w:rPr>
                <w:rFonts w:ascii="Calibri" w:hAnsi="Calibri" w:cs="Calibri"/>
                <w:b/>
                <w:bCs/>
                <w:color w:val="008A9F"/>
                <w:sz w:val="24"/>
              </w:rPr>
              <w:t> </w:t>
            </w:r>
          </w:p>
        </w:tc>
      </w:tr>
      <w:tr w:rsidR="00766BCF" w:rsidRPr="00AE4DBA" w14:paraId="46CEAE29" w14:textId="77777777" w:rsidTr="1CBE7150">
        <w:trPr>
          <w:trHeight w:val="312"/>
        </w:trPr>
        <w:tc>
          <w:tcPr>
            <w:tcW w:w="328" w:type="dxa"/>
            <w:tcBorders>
              <w:top w:val="nil"/>
              <w:left w:val="nil"/>
              <w:bottom w:val="nil"/>
              <w:right w:val="nil"/>
            </w:tcBorders>
            <w:shd w:val="clear" w:color="auto" w:fill="auto"/>
            <w:noWrap/>
            <w:vAlign w:val="bottom"/>
            <w:hideMark/>
          </w:tcPr>
          <w:p w14:paraId="49EF802E" w14:textId="77777777" w:rsidR="00766BCF" w:rsidRPr="00032ECC" w:rsidRDefault="00766BCF" w:rsidP="00766BCF">
            <w:pPr>
              <w:rPr>
                <w:rFonts w:ascii="Calibri" w:hAnsi="Calibri" w:cs="Calibri"/>
                <w:b/>
                <w:bCs/>
                <w:color w:val="008A9F"/>
                <w:sz w:val="24"/>
              </w:rPr>
            </w:pPr>
          </w:p>
        </w:tc>
        <w:tc>
          <w:tcPr>
            <w:tcW w:w="6152" w:type="dxa"/>
            <w:tcBorders>
              <w:top w:val="nil"/>
              <w:left w:val="nil"/>
              <w:bottom w:val="nil"/>
              <w:right w:val="nil"/>
            </w:tcBorders>
            <w:shd w:val="clear" w:color="auto" w:fill="auto"/>
            <w:noWrap/>
            <w:vAlign w:val="bottom"/>
            <w:hideMark/>
          </w:tcPr>
          <w:p w14:paraId="0415394F" w14:textId="77777777" w:rsidR="00766BCF" w:rsidRPr="00AE4DBA" w:rsidRDefault="00766BCF" w:rsidP="00766BCF">
            <w:pPr>
              <w:jc w:val="right"/>
              <w:rPr>
                <w:rFonts w:ascii="Calibri" w:hAnsi="Calibri" w:cs="Calibri"/>
                <w:b/>
                <w:bCs/>
                <w:color w:val="008A9F"/>
                <w:sz w:val="24"/>
              </w:rPr>
            </w:pPr>
            <w:r w:rsidRPr="00AE4DBA">
              <w:rPr>
                <w:rFonts w:ascii="Calibri" w:hAnsi="Calibri" w:cs="Calibri"/>
                <w:b/>
                <w:bCs/>
                <w:color w:val="008A9F"/>
                <w:sz w:val="24"/>
              </w:rPr>
              <w:t>Category 3 Total</w:t>
            </w:r>
          </w:p>
        </w:tc>
        <w:tc>
          <w:tcPr>
            <w:tcW w:w="1549" w:type="dxa"/>
            <w:tcBorders>
              <w:top w:val="nil"/>
              <w:left w:val="nil"/>
              <w:bottom w:val="nil"/>
              <w:right w:val="nil"/>
            </w:tcBorders>
            <w:shd w:val="clear" w:color="auto" w:fill="auto"/>
            <w:noWrap/>
            <w:vAlign w:val="bottom"/>
            <w:hideMark/>
          </w:tcPr>
          <w:p w14:paraId="3D4441F3" w14:textId="77777777" w:rsidR="00766BCF" w:rsidRPr="00AE4DBA" w:rsidRDefault="00766BCF" w:rsidP="00766BCF">
            <w:pPr>
              <w:jc w:val="right"/>
              <w:rPr>
                <w:rFonts w:ascii="Calibri" w:hAnsi="Calibri" w:cs="Calibri"/>
                <w:b/>
                <w:bCs/>
                <w:color w:val="008A9F"/>
                <w:sz w:val="24"/>
              </w:rPr>
            </w:pPr>
          </w:p>
        </w:tc>
        <w:tc>
          <w:tcPr>
            <w:tcW w:w="1940" w:type="dxa"/>
            <w:tcBorders>
              <w:top w:val="nil"/>
              <w:left w:val="nil"/>
              <w:bottom w:val="nil"/>
              <w:right w:val="nil"/>
            </w:tcBorders>
            <w:shd w:val="clear" w:color="auto" w:fill="auto"/>
            <w:noWrap/>
            <w:vAlign w:val="bottom"/>
            <w:hideMark/>
          </w:tcPr>
          <w:p w14:paraId="7EA2CE3B" w14:textId="77777777" w:rsidR="00766BCF" w:rsidRPr="00AE4DBA" w:rsidRDefault="00766BCF" w:rsidP="00766BCF">
            <w:pPr>
              <w:jc w:val="right"/>
              <w:rPr>
                <w:rFonts w:ascii="Calibri" w:hAnsi="Calibri" w:cs="Calibri"/>
                <w:b/>
                <w:bCs/>
                <w:color w:val="008A9F"/>
                <w:sz w:val="24"/>
              </w:rPr>
            </w:pPr>
            <w:r w:rsidRPr="00AE4DBA">
              <w:rPr>
                <w:rFonts w:ascii="Calibri" w:hAnsi="Calibri" w:cs="Calibri"/>
                <w:b/>
                <w:bCs/>
                <w:color w:val="008A9F"/>
                <w:sz w:val="24"/>
              </w:rPr>
              <w:t xml:space="preserve">80,696 </w:t>
            </w:r>
          </w:p>
        </w:tc>
      </w:tr>
      <w:tr w:rsidR="00766BCF" w:rsidRPr="00AE4DBA" w14:paraId="2580644A" w14:textId="77777777" w:rsidTr="1CBE7150">
        <w:trPr>
          <w:trHeight w:val="312"/>
        </w:trPr>
        <w:tc>
          <w:tcPr>
            <w:tcW w:w="328" w:type="dxa"/>
            <w:tcBorders>
              <w:top w:val="nil"/>
              <w:left w:val="nil"/>
              <w:bottom w:val="nil"/>
              <w:right w:val="nil"/>
            </w:tcBorders>
            <w:shd w:val="clear" w:color="auto" w:fill="auto"/>
            <w:noWrap/>
            <w:vAlign w:val="bottom"/>
            <w:hideMark/>
          </w:tcPr>
          <w:p w14:paraId="01FC3723" w14:textId="77777777" w:rsidR="00766BCF" w:rsidRPr="00032ECC" w:rsidRDefault="00766BCF" w:rsidP="00766BCF">
            <w:pPr>
              <w:jc w:val="right"/>
              <w:rPr>
                <w:rFonts w:ascii="Calibri" w:hAnsi="Calibri" w:cs="Calibri"/>
                <w:b/>
                <w:bCs/>
                <w:color w:val="008A9F"/>
                <w:sz w:val="24"/>
              </w:rPr>
            </w:pPr>
          </w:p>
        </w:tc>
        <w:tc>
          <w:tcPr>
            <w:tcW w:w="6152" w:type="dxa"/>
            <w:tcBorders>
              <w:top w:val="nil"/>
              <w:left w:val="nil"/>
              <w:bottom w:val="nil"/>
              <w:right w:val="nil"/>
            </w:tcBorders>
            <w:shd w:val="clear" w:color="auto" w:fill="auto"/>
            <w:noWrap/>
            <w:vAlign w:val="bottom"/>
            <w:hideMark/>
          </w:tcPr>
          <w:p w14:paraId="43DBDDD5" w14:textId="77777777" w:rsidR="00766BCF" w:rsidRPr="00AE4DBA" w:rsidRDefault="00766BCF" w:rsidP="00766BCF">
            <w:pPr>
              <w:rPr>
                <w:rFonts w:ascii="Times New Roman" w:hAnsi="Times New Roman"/>
                <w:sz w:val="20"/>
                <w:szCs w:val="20"/>
              </w:rPr>
            </w:pPr>
          </w:p>
        </w:tc>
        <w:tc>
          <w:tcPr>
            <w:tcW w:w="1549" w:type="dxa"/>
            <w:tcBorders>
              <w:top w:val="nil"/>
              <w:left w:val="nil"/>
              <w:bottom w:val="nil"/>
              <w:right w:val="nil"/>
            </w:tcBorders>
            <w:shd w:val="clear" w:color="auto" w:fill="auto"/>
            <w:noWrap/>
            <w:vAlign w:val="bottom"/>
            <w:hideMark/>
          </w:tcPr>
          <w:p w14:paraId="64D9FCFC" w14:textId="77777777" w:rsidR="00766BCF" w:rsidRPr="00AE4DBA" w:rsidRDefault="00766BCF" w:rsidP="00766BCF">
            <w:pPr>
              <w:rPr>
                <w:rFonts w:ascii="Times New Roman" w:hAnsi="Times New Roman"/>
                <w:sz w:val="20"/>
                <w:szCs w:val="20"/>
              </w:rPr>
            </w:pPr>
          </w:p>
        </w:tc>
        <w:tc>
          <w:tcPr>
            <w:tcW w:w="1940" w:type="dxa"/>
            <w:tcBorders>
              <w:top w:val="nil"/>
              <w:left w:val="nil"/>
              <w:bottom w:val="nil"/>
              <w:right w:val="nil"/>
            </w:tcBorders>
            <w:shd w:val="clear" w:color="auto" w:fill="auto"/>
            <w:noWrap/>
            <w:vAlign w:val="bottom"/>
            <w:hideMark/>
          </w:tcPr>
          <w:p w14:paraId="19CB40C4" w14:textId="77777777" w:rsidR="00766BCF" w:rsidRPr="00AE4DBA" w:rsidRDefault="00766BCF" w:rsidP="00766BCF">
            <w:pPr>
              <w:rPr>
                <w:rFonts w:ascii="Times New Roman" w:hAnsi="Times New Roman"/>
                <w:sz w:val="20"/>
                <w:szCs w:val="20"/>
              </w:rPr>
            </w:pPr>
          </w:p>
        </w:tc>
      </w:tr>
      <w:tr w:rsidR="00766BCF" w:rsidRPr="00AE4DBA" w14:paraId="2803B31B" w14:textId="77777777" w:rsidTr="1CBE7150">
        <w:trPr>
          <w:trHeight w:val="312"/>
        </w:trPr>
        <w:tc>
          <w:tcPr>
            <w:tcW w:w="328" w:type="dxa"/>
            <w:tcBorders>
              <w:top w:val="nil"/>
              <w:left w:val="nil"/>
              <w:bottom w:val="nil"/>
              <w:right w:val="nil"/>
            </w:tcBorders>
            <w:shd w:val="clear" w:color="auto" w:fill="auto"/>
            <w:noWrap/>
            <w:vAlign w:val="bottom"/>
            <w:hideMark/>
          </w:tcPr>
          <w:p w14:paraId="4994307E" w14:textId="77777777" w:rsidR="00766BCF" w:rsidRPr="00032ECC" w:rsidRDefault="00766BCF" w:rsidP="00766BCF">
            <w:pPr>
              <w:rPr>
                <w:rFonts w:ascii="Times New Roman" w:hAnsi="Times New Roman"/>
                <w:b/>
                <w:bCs/>
                <w:sz w:val="20"/>
                <w:szCs w:val="20"/>
              </w:rPr>
            </w:pPr>
          </w:p>
        </w:tc>
        <w:tc>
          <w:tcPr>
            <w:tcW w:w="6152" w:type="dxa"/>
            <w:tcBorders>
              <w:top w:val="nil"/>
              <w:left w:val="nil"/>
              <w:bottom w:val="nil"/>
              <w:right w:val="nil"/>
            </w:tcBorders>
            <w:shd w:val="clear" w:color="auto" w:fill="auto"/>
            <w:noWrap/>
            <w:vAlign w:val="bottom"/>
            <w:hideMark/>
          </w:tcPr>
          <w:p w14:paraId="551521CC"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Waste to landfill</w:t>
            </w:r>
          </w:p>
        </w:tc>
        <w:tc>
          <w:tcPr>
            <w:tcW w:w="1549" w:type="dxa"/>
            <w:tcBorders>
              <w:top w:val="nil"/>
              <w:left w:val="nil"/>
              <w:bottom w:val="nil"/>
              <w:right w:val="nil"/>
            </w:tcBorders>
            <w:shd w:val="clear" w:color="auto" w:fill="auto"/>
            <w:noWrap/>
            <w:vAlign w:val="bottom"/>
            <w:hideMark/>
          </w:tcPr>
          <w:p w14:paraId="26BE68A7" w14:textId="7F52F62D" w:rsidR="00766BCF" w:rsidRPr="00AE4DBA" w:rsidRDefault="1CF8354C" w:rsidP="4796C5D2">
            <w:pPr>
              <w:jc w:val="right"/>
              <w:rPr>
                <w:rFonts w:ascii="Calibri" w:hAnsi="Calibri" w:cs="Calibri"/>
                <w:color w:val="000000"/>
              </w:rPr>
            </w:pPr>
            <w:r w:rsidRPr="4796C5D2">
              <w:rPr>
                <w:rFonts w:ascii="Calibri" w:hAnsi="Calibri" w:cs="Calibri"/>
                <w:color w:val="000000"/>
              </w:rPr>
              <w:t>6,</w:t>
            </w:r>
            <w:r w:rsidR="4E045EC7" w:rsidRPr="7C571EA4">
              <w:rPr>
                <w:rFonts w:ascii="Calibri" w:hAnsi="Calibri" w:cs="Calibri"/>
                <w:color w:val="000000"/>
              </w:rPr>
              <w:t>26</w:t>
            </w:r>
            <w:r w:rsidR="142D4FB3" w:rsidRPr="7C571EA4">
              <w:rPr>
                <w:rFonts w:ascii="Calibri" w:hAnsi="Calibri" w:cs="Calibri"/>
                <w:color w:val="000000"/>
              </w:rPr>
              <w:t>7</w:t>
            </w:r>
            <w:r w:rsidRPr="4796C5D2">
              <w:rPr>
                <w:rFonts w:ascii="Calibri" w:hAnsi="Calibri" w:cs="Calibri"/>
                <w:color w:val="000000"/>
              </w:rPr>
              <w:t xml:space="preserve"> </w:t>
            </w:r>
          </w:p>
        </w:tc>
        <w:tc>
          <w:tcPr>
            <w:tcW w:w="1940" w:type="dxa"/>
            <w:tcBorders>
              <w:top w:val="nil"/>
              <w:left w:val="nil"/>
              <w:bottom w:val="nil"/>
              <w:right w:val="nil"/>
            </w:tcBorders>
            <w:shd w:val="clear" w:color="auto" w:fill="auto"/>
            <w:noWrap/>
            <w:vAlign w:val="bottom"/>
            <w:hideMark/>
          </w:tcPr>
          <w:p w14:paraId="71C18477" w14:textId="77777777" w:rsidR="00766BCF" w:rsidRPr="00AE4DBA" w:rsidRDefault="00766BCF" w:rsidP="00766BCF">
            <w:pPr>
              <w:jc w:val="right"/>
              <w:rPr>
                <w:rFonts w:ascii="Calibri" w:hAnsi="Calibri" w:cs="Calibri"/>
                <w:color w:val="000000"/>
                <w:szCs w:val="22"/>
              </w:rPr>
            </w:pPr>
          </w:p>
        </w:tc>
      </w:tr>
      <w:tr w:rsidR="00766BCF" w:rsidRPr="00AE4DBA" w14:paraId="08D3EA05" w14:textId="77777777" w:rsidTr="1CBE7150">
        <w:trPr>
          <w:trHeight w:val="312"/>
        </w:trPr>
        <w:tc>
          <w:tcPr>
            <w:tcW w:w="328" w:type="dxa"/>
            <w:vMerge w:val="restart"/>
            <w:tcBorders>
              <w:top w:val="nil"/>
              <w:left w:val="nil"/>
              <w:bottom w:val="single" w:sz="4" w:space="0" w:color="00737B"/>
              <w:right w:val="nil"/>
            </w:tcBorders>
            <w:shd w:val="clear" w:color="auto" w:fill="auto"/>
            <w:noWrap/>
            <w:vAlign w:val="center"/>
            <w:hideMark/>
          </w:tcPr>
          <w:p w14:paraId="30FADF9D" w14:textId="77777777" w:rsidR="00766BCF" w:rsidRPr="00032ECC" w:rsidRDefault="00766BCF" w:rsidP="00766BCF">
            <w:pPr>
              <w:jc w:val="center"/>
              <w:rPr>
                <w:rFonts w:ascii="Calibri" w:hAnsi="Calibri" w:cs="Calibri"/>
                <w:b/>
                <w:bCs/>
                <w:color w:val="000000"/>
                <w:szCs w:val="22"/>
              </w:rPr>
            </w:pPr>
            <w:r w:rsidRPr="00032ECC">
              <w:rPr>
                <w:rFonts w:ascii="Calibri" w:hAnsi="Calibri" w:cs="Calibri"/>
                <w:b/>
                <w:bCs/>
                <w:color w:val="000000"/>
                <w:szCs w:val="22"/>
              </w:rPr>
              <w:t>4</w:t>
            </w:r>
          </w:p>
        </w:tc>
        <w:tc>
          <w:tcPr>
            <w:tcW w:w="6152" w:type="dxa"/>
            <w:tcBorders>
              <w:top w:val="nil"/>
              <w:left w:val="nil"/>
              <w:bottom w:val="nil"/>
              <w:right w:val="nil"/>
            </w:tcBorders>
            <w:shd w:val="clear" w:color="auto" w:fill="auto"/>
            <w:noWrap/>
            <w:vAlign w:val="bottom"/>
            <w:hideMark/>
          </w:tcPr>
          <w:p w14:paraId="2361447B" w14:textId="6BB8E98A" w:rsidR="00766BCF" w:rsidRPr="00AE4DBA" w:rsidRDefault="00766BCF" w:rsidP="00766BCF">
            <w:pPr>
              <w:rPr>
                <w:rFonts w:ascii="Calibri" w:hAnsi="Calibri" w:cs="Calibri"/>
                <w:color w:val="000000"/>
              </w:rPr>
            </w:pPr>
            <w:r w:rsidRPr="7C571EA4">
              <w:rPr>
                <w:rFonts w:ascii="Calibri" w:hAnsi="Calibri" w:cs="Calibri"/>
                <w:color w:val="000000"/>
              </w:rPr>
              <w:t xml:space="preserve">Transmission and distribution </w:t>
            </w:r>
            <w:r w:rsidR="009C318F" w:rsidRPr="7C571EA4">
              <w:rPr>
                <w:rFonts w:ascii="Calibri" w:hAnsi="Calibri" w:cs="Calibri"/>
                <w:color w:val="000000"/>
              </w:rPr>
              <w:t xml:space="preserve">(T&amp;D) </w:t>
            </w:r>
            <w:r w:rsidRPr="7C571EA4">
              <w:rPr>
                <w:rFonts w:ascii="Calibri" w:hAnsi="Calibri" w:cs="Calibri"/>
                <w:color w:val="000000"/>
              </w:rPr>
              <w:t>losses gas and electricity</w:t>
            </w:r>
          </w:p>
        </w:tc>
        <w:tc>
          <w:tcPr>
            <w:tcW w:w="1549" w:type="dxa"/>
            <w:tcBorders>
              <w:top w:val="nil"/>
              <w:left w:val="nil"/>
              <w:bottom w:val="nil"/>
              <w:right w:val="nil"/>
            </w:tcBorders>
            <w:shd w:val="clear" w:color="auto" w:fill="auto"/>
            <w:noWrap/>
            <w:vAlign w:val="bottom"/>
            <w:hideMark/>
          </w:tcPr>
          <w:p w14:paraId="658CF03B" w14:textId="77777777" w:rsidR="00766BCF" w:rsidRPr="00AE4DBA" w:rsidRDefault="00766BCF" w:rsidP="00766BCF">
            <w:pPr>
              <w:jc w:val="right"/>
              <w:rPr>
                <w:rFonts w:ascii="Calibri" w:hAnsi="Calibri" w:cs="Calibri"/>
                <w:color w:val="000000"/>
                <w:szCs w:val="22"/>
              </w:rPr>
            </w:pPr>
            <w:r w:rsidRPr="00AE4DBA">
              <w:rPr>
                <w:rFonts w:ascii="Calibri" w:hAnsi="Calibri" w:cs="Calibri"/>
                <w:color w:val="000000"/>
                <w:szCs w:val="22"/>
              </w:rPr>
              <w:t xml:space="preserve">3,631 </w:t>
            </w:r>
          </w:p>
        </w:tc>
        <w:tc>
          <w:tcPr>
            <w:tcW w:w="1940" w:type="dxa"/>
            <w:tcBorders>
              <w:top w:val="nil"/>
              <w:left w:val="nil"/>
              <w:bottom w:val="nil"/>
              <w:right w:val="nil"/>
            </w:tcBorders>
            <w:shd w:val="clear" w:color="auto" w:fill="auto"/>
            <w:noWrap/>
            <w:vAlign w:val="bottom"/>
            <w:hideMark/>
          </w:tcPr>
          <w:p w14:paraId="6AE9078F" w14:textId="77777777" w:rsidR="00766BCF" w:rsidRPr="00AE4DBA" w:rsidRDefault="00766BCF" w:rsidP="00766BCF">
            <w:pPr>
              <w:jc w:val="right"/>
              <w:rPr>
                <w:rFonts w:ascii="Calibri" w:hAnsi="Calibri" w:cs="Calibri"/>
                <w:color w:val="000000"/>
                <w:szCs w:val="22"/>
              </w:rPr>
            </w:pPr>
          </w:p>
        </w:tc>
      </w:tr>
      <w:tr w:rsidR="00766BCF" w:rsidRPr="00AE4DBA" w14:paraId="24DA7BF6" w14:textId="77777777" w:rsidTr="1CBE7150">
        <w:trPr>
          <w:trHeight w:val="312"/>
        </w:trPr>
        <w:tc>
          <w:tcPr>
            <w:tcW w:w="328" w:type="dxa"/>
            <w:vMerge/>
            <w:vAlign w:val="center"/>
            <w:hideMark/>
          </w:tcPr>
          <w:p w14:paraId="723FB0C2" w14:textId="77777777" w:rsidR="00766BCF" w:rsidRPr="00AE4DBA" w:rsidRDefault="00766BCF" w:rsidP="00766BCF">
            <w:pPr>
              <w:rPr>
                <w:rFonts w:ascii="Calibri" w:hAnsi="Calibri" w:cs="Calibri"/>
                <w:color w:val="000000"/>
                <w:szCs w:val="22"/>
              </w:rPr>
            </w:pPr>
          </w:p>
        </w:tc>
        <w:tc>
          <w:tcPr>
            <w:tcW w:w="6152" w:type="dxa"/>
            <w:tcBorders>
              <w:top w:val="nil"/>
              <w:left w:val="nil"/>
              <w:bottom w:val="nil"/>
              <w:right w:val="nil"/>
            </w:tcBorders>
            <w:shd w:val="clear" w:color="auto" w:fill="auto"/>
            <w:noWrap/>
            <w:vAlign w:val="bottom"/>
            <w:hideMark/>
          </w:tcPr>
          <w:p w14:paraId="106CF44C"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Accommodation Patients</w:t>
            </w:r>
          </w:p>
        </w:tc>
        <w:tc>
          <w:tcPr>
            <w:tcW w:w="1549" w:type="dxa"/>
            <w:tcBorders>
              <w:top w:val="nil"/>
              <w:left w:val="nil"/>
              <w:bottom w:val="nil"/>
              <w:right w:val="nil"/>
            </w:tcBorders>
            <w:shd w:val="clear" w:color="auto" w:fill="auto"/>
            <w:noWrap/>
            <w:vAlign w:val="bottom"/>
            <w:hideMark/>
          </w:tcPr>
          <w:p w14:paraId="3EE4B7CA" w14:textId="77777777" w:rsidR="00766BCF" w:rsidRPr="00AE4DBA" w:rsidRDefault="00766BCF" w:rsidP="00766BCF">
            <w:pPr>
              <w:jc w:val="right"/>
              <w:rPr>
                <w:rFonts w:ascii="Calibri" w:hAnsi="Calibri" w:cs="Calibri"/>
                <w:color w:val="000000"/>
                <w:szCs w:val="22"/>
              </w:rPr>
            </w:pPr>
            <w:r w:rsidRPr="00AE4DBA">
              <w:rPr>
                <w:rFonts w:ascii="Calibri" w:hAnsi="Calibri" w:cs="Calibri"/>
                <w:color w:val="000000"/>
                <w:szCs w:val="22"/>
              </w:rPr>
              <w:t xml:space="preserve">1,553 </w:t>
            </w:r>
          </w:p>
        </w:tc>
        <w:tc>
          <w:tcPr>
            <w:tcW w:w="1940" w:type="dxa"/>
            <w:tcBorders>
              <w:top w:val="nil"/>
              <w:left w:val="nil"/>
              <w:bottom w:val="nil"/>
              <w:right w:val="nil"/>
            </w:tcBorders>
            <w:shd w:val="clear" w:color="auto" w:fill="auto"/>
            <w:noWrap/>
            <w:vAlign w:val="bottom"/>
            <w:hideMark/>
          </w:tcPr>
          <w:p w14:paraId="676B925A" w14:textId="77777777" w:rsidR="00766BCF" w:rsidRPr="00AE4DBA" w:rsidRDefault="00766BCF" w:rsidP="00766BCF">
            <w:pPr>
              <w:jc w:val="right"/>
              <w:rPr>
                <w:rFonts w:ascii="Calibri" w:hAnsi="Calibri" w:cs="Calibri"/>
                <w:color w:val="000000"/>
                <w:szCs w:val="22"/>
              </w:rPr>
            </w:pPr>
          </w:p>
        </w:tc>
      </w:tr>
      <w:tr w:rsidR="00766BCF" w:rsidRPr="00AE4DBA" w14:paraId="5E1A537F" w14:textId="77777777" w:rsidTr="1CBE7150">
        <w:trPr>
          <w:trHeight w:val="312"/>
        </w:trPr>
        <w:tc>
          <w:tcPr>
            <w:tcW w:w="328" w:type="dxa"/>
            <w:vMerge/>
            <w:vAlign w:val="center"/>
            <w:hideMark/>
          </w:tcPr>
          <w:p w14:paraId="01B9CE5D" w14:textId="77777777" w:rsidR="00766BCF" w:rsidRPr="00AE4DBA" w:rsidRDefault="00766BCF" w:rsidP="00766BCF">
            <w:pPr>
              <w:rPr>
                <w:rFonts w:ascii="Calibri" w:hAnsi="Calibri" w:cs="Calibri"/>
                <w:color w:val="000000"/>
                <w:szCs w:val="22"/>
              </w:rPr>
            </w:pPr>
          </w:p>
        </w:tc>
        <w:tc>
          <w:tcPr>
            <w:tcW w:w="6152" w:type="dxa"/>
            <w:tcBorders>
              <w:top w:val="nil"/>
              <w:left w:val="nil"/>
              <w:bottom w:val="nil"/>
              <w:right w:val="nil"/>
            </w:tcBorders>
            <w:shd w:val="clear" w:color="auto" w:fill="auto"/>
            <w:noWrap/>
            <w:vAlign w:val="bottom"/>
            <w:hideMark/>
          </w:tcPr>
          <w:p w14:paraId="502E70DE"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Waste incinerated</w:t>
            </w:r>
          </w:p>
        </w:tc>
        <w:tc>
          <w:tcPr>
            <w:tcW w:w="1549" w:type="dxa"/>
            <w:tcBorders>
              <w:top w:val="nil"/>
              <w:left w:val="nil"/>
              <w:bottom w:val="nil"/>
              <w:right w:val="nil"/>
            </w:tcBorders>
            <w:shd w:val="clear" w:color="auto" w:fill="auto"/>
            <w:noWrap/>
            <w:vAlign w:val="bottom"/>
            <w:hideMark/>
          </w:tcPr>
          <w:p w14:paraId="20ACDF80" w14:textId="77777777" w:rsidR="00766BCF" w:rsidRPr="00AE4DBA" w:rsidRDefault="00766BCF" w:rsidP="00766BCF">
            <w:pPr>
              <w:jc w:val="right"/>
              <w:rPr>
                <w:rFonts w:ascii="Calibri" w:hAnsi="Calibri" w:cs="Calibri"/>
                <w:color w:val="000000"/>
                <w:szCs w:val="22"/>
              </w:rPr>
            </w:pPr>
            <w:r w:rsidRPr="00AE4DBA">
              <w:rPr>
                <w:rFonts w:ascii="Calibri" w:hAnsi="Calibri" w:cs="Calibri"/>
                <w:color w:val="000000"/>
                <w:szCs w:val="22"/>
              </w:rPr>
              <w:t xml:space="preserve">103 </w:t>
            </w:r>
          </w:p>
        </w:tc>
        <w:tc>
          <w:tcPr>
            <w:tcW w:w="1940" w:type="dxa"/>
            <w:tcBorders>
              <w:top w:val="nil"/>
              <w:left w:val="nil"/>
              <w:bottom w:val="nil"/>
              <w:right w:val="nil"/>
            </w:tcBorders>
            <w:shd w:val="clear" w:color="auto" w:fill="auto"/>
            <w:noWrap/>
            <w:vAlign w:val="bottom"/>
            <w:hideMark/>
          </w:tcPr>
          <w:p w14:paraId="2306FCBB" w14:textId="77777777" w:rsidR="00766BCF" w:rsidRPr="00AE4DBA" w:rsidRDefault="00766BCF" w:rsidP="00766BCF">
            <w:pPr>
              <w:jc w:val="right"/>
              <w:rPr>
                <w:rFonts w:ascii="Calibri" w:hAnsi="Calibri" w:cs="Calibri"/>
                <w:color w:val="000000"/>
                <w:szCs w:val="22"/>
              </w:rPr>
            </w:pPr>
          </w:p>
        </w:tc>
      </w:tr>
      <w:tr w:rsidR="1CBE7150" w14:paraId="6FC7321A" w14:textId="77777777" w:rsidTr="1CBE7150">
        <w:trPr>
          <w:trHeight w:val="300"/>
        </w:trPr>
        <w:tc>
          <w:tcPr>
            <w:tcW w:w="328" w:type="dxa"/>
            <w:vMerge/>
            <w:noWrap/>
            <w:vAlign w:val="center"/>
            <w:hideMark/>
          </w:tcPr>
          <w:p w14:paraId="0E1A93BE" w14:textId="77777777" w:rsidR="000F344A" w:rsidRDefault="000F344A"/>
        </w:tc>
        <w:tc>
          <w:tcPr>
            <w:tcW w:w="6152" w:type="dxa"/>
            <w:tcBorders>
              <w:top w:val="nil"/>
              <w:left w:val="nil"/>
              <w:bottom w:val="nil"/>
              <w:right w:val="nil"/>
            </w:tcBorders>
            <w:shd w:val="clear" w:color="auto" w:fill="auto"/>
            <w:noWrap/>
            <w:vAlign w:val="bottom"/>
            <w:hideMark/>
          </w:tcPr>
          <w:p w14:paraId="1C6E7DA0" w14:textId="0B5D0F11" w:rsidR="19E545C8" w:rsidRDefault="19E545C8" w:rsidP="1CBE7150">
            <w:pPr>
              <w:rPr>
                <w:rFonts w:ascii="Calibri" w:hAnsi="Calibri" w:cs="Calibri"/>
                <w:color w:val="000000"/>
              </w:rPr>
            </w:pPr>
            <w:r w:rsidRPr="1CBE7150">
              <w:rPr>
                <w:rFonts w:ascii="Calibri" w:hAnsi="Calibri" w:cs="Calibri"/>
                <w:color w:val="000000"/>
              </w:rPr>
              <w:t>Water supply</w:t>
            </w:r>
          </w:p>
        </w:tc>
        <w:tc>
          <w:tcPr>
            <w:tcW w:w="1549" w:type="dxa"/>
            <w:tcBorders>
              <w:top w:val="nil"/>
              <w:left w:val="nil"/>
              <w:bottom w:val="nil"/>
              <w:right w:val="nil"/>
            </w:tcBorders>
            <w:shd w:val="clear" w:color="auto" w:fill="auto"/>
            <w:noWrap/>
            <w:vAlign w:val="bottom"/>
            <w:hideMark/>
          </w:tcPr>
          <w:p w14:paraId="5DD3EC12" w14:textId="207659C1" w:rsidR="19E545C8" w:rsidRDefault="19E545C8" w:rsidP="1CBE7150">
            <w:pPr>
              <w:jc w:val="right"/>
              <w:rPr>
                <w:rFonts w:ascii="Calibri" w:hAnsi="Calibri" w:cs="Calibri"/>
                <w:color w:val="000000"/>
              </w:rPr>
            </w:pPr>
            <w:r w:rsidRPr="1CBE7150">
              <w:rPr>
                <w:rFonts w:ascii="Calibri" w:hAnsi="Calibri" w:cs="Calibri"/>
                <w:color w:val="000000"/>
              </w:rPr>
              <w:t>210</w:t>
            </w:r>
          </w:p>
        </w:tc>
        <w:tc>
          <w:tcPr>
            <w:tcW w:w="1940" w:type="dxa"/>
            <w:tcBorders>
              <w:top w:val="nil"/>
              <w:left w:val="nil"/>
              <w:bottom w:val="nil"/>
              <w:right w:val="nil"/>
            </w:tcBorders>
            <w:shd w:val="clear" w:color="auto" w:fill="auto"/>
            <w:noWrap/>
            <w:vAlign w:val="bottom"/>
            <w:hideMark/>
          </w:tcPr>
          <w:p w14:paraId="37E5CA7D" w14:textId="6013F300" w:rsidR="1CBE7150" w:rsidRDefault="1CBE7150" w:rsidP="1CBE7150">
            <w:pPr>
              <w:jc w:val="right"/>
              <w:rPr>
                <w:rFonts w:ascii="Calibri" w:hAnsi="Calibri" w:cs="Calibri"/>
                <w:color w:val="000000"/>
              </w:rPr>
            </w:pPr>
          </w:p>
        </w:tc>
      </w:tr>
      <w:tr w:rsidR="00766BCF" w:rsidRPr="00AE4DBA" w14:paraId="481E759F" w14:textId="77777777" w:rsidTr="1CBE7150">
        <w:trPr>
          <w:trHeight w:val="312"/>
        </w:trPr>
        <w:tc>
          <w:tcPr>
            <w:tcW w:w="328" w:type="dxa"/>
            <w:vMerge/>
            <w:vAlign w:val="center"/>
            <w:hideMark/>
          </w:tcPr>
          <w:p w14:paraId="33020681" w14:textId="77777777" w:rsidR="00766BCF" w:rsidRPr="00AE4DBA" w:rsidRDefault="00766BCF" w:rsidP="00766BCF">
            <w:pPr>
              <w:rPr>
                <w:rFonts w:ascii="Calibri" w:hAnsi="Calibri" w:cs="Calibri"/>
                <w:color w:val="000000"/>
                <w:szCs w:val="22"/>
              </w:rPr>
            </w:pPr>
          </w:p>
        </w:tc>
        <w:tc>
          <w:tcPr>
            <w:tcW w:w="6152" w:type="dxa"/>
            <w:tcBorders>
              <w:top w:val="nil"/>
              <w:left w:val="nil"/>
              <w:bottom w:val="single" w:sz="4" w:space="0" w:color="00737B"/>
              <w:right w:val="nil"/>
            </w:tcBorders>
            <w:shd w:val="clear" w:color="auto" w:fill="auto"/>
            <w:noWrap/>
            <w:vAlign w:val="bottom"/>
            <w:hideMark/>
          </w:tcPr>
          <w:p w14:paraId="6FC054C2" w14:textId="11ABCD1B" w:rsidR="00766BCF" w:rsidRPr="00AE4DBA" w:rsidRDefault="00766BCF" w:rsidP="00766BCF">
            <w:pPr>
              <w:rPr>
                <w:rFonts w:ascii="Calibri" w:hAnsi="Calibri" w:cs="Calibri"/>
                <w:color w:val="000000"/>
                <w:szCs w:val="22"/>
              </w:rPr>
            </w:pPr>
            <w:r w:rsidRPr="00AE4DBA">
              <w:rPr>
                <w:rFonts w:ascii="Calibri" w:hAnsi="Calibri" w:cs="Calibri"/>
                <w:color w:val="000000"/>
                <w:szCs w:val="22"/>
              </w:rPr>
              <w:t>Water</w:t>
            </w:r>
            <w:r w:rsidR="00CA5B81">
              <w:rPr>
                <w:rFonts w:ascii="Calibri" w:hAnsi="Calibri" w:cs="Calibri"/>
                <w:color w:val="000000"/>
                <w:szCs w:val="22"/>
              </w:rPr>
              <w:t xml:space="preserve"> &amp; </w:t>
            </w:r>
            <w:r w:rsidR="004A501F">
              <w:rPr>
                <w:rFonts w:ascii="Calibri" w:hAnsi="Calibri" w:cs="Calibri"/>
                <w:color w:val="000000"/>
                <w:szCs w:val="22"/>
              </w:rPr>
              <w:t>Wastewater</w:t>
            </w:r>
          </w:p>
        </w:tc>
        <w:tc>
          <w:tcPr>
            <w:tcW w:w="1549" w:type="dxa"/>
            <w:tcBorders>
              <w:top w:val="nil"/>
              <w:left w:val="nil"/>
              <w:bottom w:val="single" w:sz="4" w:space="0" w:color="00737B"/>
              <w:right w:val="nil"/>
            </w:tcBorders>
            <w:shd w:val="clear" w:color="auto" w:fill="auto"/>
            <w:noWrap/>
            <w:vAlign w:val="bottom"/>
            <w:hideMark/>
          </w:tcPr>
          <w:p w14:paraId="408084C5" w14:textId="6D205B86" w:rsidR="00766BCF" w:rsidRPr="00AE4DBA" w:rsidRDefault="002F4A82" w:rsidP="002F4A82">
            <w:pPr>
              <w:jc w:val="right"/>
              <w:rPr>
                <w:rFonts w:ascii="Calibri" w:hAnsi="Calibri" w:cs="Calibri"/>
                <w:color w:val="000000"/>
                <w:szCs w:val="22"/>
              </w:rPr>
            </w:pPr>
            <w:r>
              <w:rPr>
                <w:rFonts w:ascii="Calibri" w:hAnsi="Calibri" w:cs="Calibri"/>
                <w:color w:val="000000"/>
                <w:szCs w:val="22"/>
              </w:rPr>
              <w:t>2,712</w:t>
            </w:r>
          </w:p>
        </w:tc>
        <w:tc>
          <w:tcPr>
            <w:tcW w:w="1940" w:type="dxa"/>
            <w:tcBorders>
              <w:top w:val="nil"/>
              <w:left w:val="nil"/>
              <w:bottom w:val="single" w:sz="4" w:space="0" w:color="00737B"/>
              <w:right w:val="nil"/>
            </w:tcBorders>
            <w:shd w:val="clear" w:color="auto" w:fill="auto"/>
            <w:noWrap/>
            <w:vAlign w:val="bottom"/>
            <w:hideMark/>
          </w:tcPr>
          <w:p w14:paraId="1D7261CB" w14:textId="77777777" w:rsidR="00766BCF" w:rsidRPr="00AE4DBA" w:rsidRDefault="00766BCF" w:rsidP="00766BCF">
            <w:pPr>
              <w:rPr>
                <w:rFonts w:ascii="Calibri" w:hAnsi="Calibri" w:cs="Calibri"/>
                <w:b/>
                <w:bCs/>
                <w:color w:val="008A9F"/>
                <w:sz w:val="24"/>
              </w:rPr>
            </w:pPr>
            <w:r w:rsidRPr="00AE4DBA">
              <w:rPr>
                <w:rFonts w:ascii="Calibri" w:hAnsi="Calibri" w:cs="Calibri"/>
                <w:b/>
                <w:bCs/>
                <w:color w:val="008A9F"/>
                <w:sz w:val="24"/>
              </w:rPr>
              <w:t> </w:t>
            </w:r>
          </w:p>
        </w:tc>
      </w:tr>
      <w:tr w:rsidR="00766BCF" w:rsidRPr="00AE4DBA" w14:paraId="7459CB0E" w14:textId="77777777" w:rsidTr="1CBE7150">
        <w:trPr>
          <w:trHeight w:val="312"/>
        </w:trPr>
        <w:tc>
          <w:tcPr>
            <w:tcW w:w="328" w:type="dxa"/>
            <w:tcBorders>
              <w:top w:val="nil"/>
              <w:left w:val="nil"/>
              <w:bottom w:val="single" w:sz="4" w:space="0" w:color="00737B"/>
              <w:right w:val="nil"/>
            </w:tcBorders>
            <w:shd w:val="clear" w:color="auto" w:fill="auto"/>
            <w:noWrap/>
            <w:vAlign w:val="bottom"/>
            <w:hideMark/>
          </w:tcPr>
          <w:p w14:paraId="53933C89"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 </w:t>
            </w:r>
          </w:p>
        </w:tc>
        <w:tc>
          <w:tcPr>
            <w:tcW w:w="6152" w:type="dxa"/>
            <w:tcBorders>
              <w:top w:val="nil"/>
              <w:left w:val="nil"/>
              <w:bottom w:val="single" w:sz="4" w:space="0" w:color="00737B"/>
              <w:right w:val="nil"/>
            </w:tcBorders>
            <w:shd w:val="clear" w:color="auto" w:fill="auto"/>
            <w:noWrap/>
            <w:vAlign w:val="bottom"/>
            <w:hideMark/>
          </w:tcPr>
          <w:p w14:paraId="52864390" w14:textId="77777777" w:rsidR="00766BCF" w:rsidRPr="00AE4DBA" w:rsidRDefault="00766BCF" w:rsidP="00766BCF">
            <w:pPr>
              <w:jc w:val="right"/>
              <w:rPr>
                <w:rFonts w:ascii="Calibri" w:hAnsi="Calibri" w:cs="Calibri"/>
                <w:b/>
                <w:bCs/>
                <w:color w:val="008A9F"/>
                <w:sz w:val="24"/>
              </w:rPr>
            </w:pPr>
            <w:r w:rsidRPr="00AE4DBA">
              <w:rPr>
                <w:rFonts w:ascii="Calibri" w:hAnsi="Calibri" w:cs="Calibri"/>
                <w:b/>
                <w:bCs/>
                <w:color w:val="008A9F"/>
                <w:sz w:val="24"/>
              </w:rPr>
              <w:t>Category 4 Total</w:t>
            </w:r>
          </w:p>
        </w:tc>
        <w:tc>
          <w:tcPr>
            <w:tcW w:w="1549" w:type="dxa"/>
            <w:tcBorders>
              <w:top w:val="nil"/>
              <w:left w:val="nil"/>
              <w:bottom w:val="single" w:sz="4" w:space="0" w:color="00737B"/>
              <w:right w:val="nil"/>
            </w:tcBorders>
            <w:shd w:val="clear" w:color="auto" w:fill="auto"/>
            <w:noWrap/>
            <w:vAlign w:val="bottom"/>
            <w:hideMark/>
          </w:tcPr>
          <w:p w14:paraId="03DAC575"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 </w:t>
            </w:r>
          </w:p>
        </w:tc>
        <w:tc>
          <w:tcPr>
            <w:tcW w:w="1940" w:type="dxa"/>
            <w:tcBorders>
              <w:top w:val="nil"/>
              <w:left w:val="nil"/>
              <w:bottom w:val="single" w:sz="4" w:space="0" w:color="00737B"/>
              <w:right w:val="nil"/>
            </w:tcBorders>
            <w:shd w:val="clear" w:color="auto" w:fill="auto"/>
            <w:noWrap/>
            <w:vAlign w:val="bottom"/>
            <w:hideMark/>
          </w:tcPr>
          <w:p w14:paraId="7AD5BA52" w14:textId="0C5DE9DD" w:rsidR="00766BCF" w:rsidRPr="00AE4DBA" w:rsidRDefault="00766BCF" w:rsidP="00766BCF">
            <w:pPr>
              <w:jc w:val="right"/>
              <w:rPr>
                <w:rFonts w:ascii="Calibri" w:hAnsi="Calibri" w:cs="Calibri"/>
                <w:b/>
                <w:bCs/>
                <w:color w:val="008A9F"/>
                <w:sz w:val="24"/>
              </w:rPr>
            </w:pPr>
            <w:r w:rsidRPr="00AE4DBA">
              <w:rPr>
                <w:rFonts w:ascii="Calibri" w:hAnsi="Calibri" w:cs="Calibri"/>
                <w:b/>
                <w:bCs/>
                <w:color w:val="008A9F"/>
                <w:sz w:val="24"/>
              </w:rPr>
              <w:t>1</w:t>
            </w:r>
            <w:r w:rsidR="002F4A82">
              <w:rPr>
                <w:rFonts w:ascii="Calibri" w:hAnsi="Calibri" w:cs="Calibri"/>
                <w:b/>
                <w:bCs/>
                <w:color w:val="008A9F"/>
                <w:sz w:val="24"/>
              </w:rPr>
              <w:t>4</w:t>
            </w:r>
            <w:r w:rsidRPr="00AE4DBA">
              <w:rPr>
                <w:rFonts w:ascii="Calibri" w:hAnsi="Calibri" w:cs="Calibri"/>
                <w:b/>
                <w:bCs/>
                <w:color w:val="008A9F"/>
                <w:sz w:val="24"/>
              </w:rPr>
              <w:t>,</w:t>
            </w:r>
            <w:r w:rsidR="002F4A82">
              <w:rPr>
                <w:rFonts w:ascii="Calibri" w:hAnsi="Calibri" w:cs="Calibri"/>
                <w:b/>
                <w:bCs/>
                <w:color w:val="008A9F"/>
                <w:sz w:val="24"/>
              </w:rPr>
              <w:t>476</w:t>
            </w:r>
            <w:r w:rsidRPr="00AE4DBA">
              <w:rPr>
                <w:rFonts w:ascii="Calibri" w:hAnsi="Calibri" w:cs="Calibri"/>
                <w:b/>
                <w:bCs/>
                <w:color w:val="008A9F"/>
                <w:sz w:val="24"/>
              </w:rPr>
              <w:t xml:space="preserve"> </w:t>
            </w:r>
          </w:p>
        </w:tc>
      </w:tr>
      <w:tr w:rsidR="00766BCF" w:rsidRPr="00AE4DBA" w14:paraId="36653DDF" w14:textId="77777777" w:rsidTr="1CBE7150">
        <w:trPr>
          <w:trHeight w:val="360"/>
        </w:trPr>
        <w:tc>
          <w:tcPr>
            <w:tcW w:w="328" w:type="dxa"/>
            <w:tcBorders>
              <w:top w:val="nil"/>
              <w:left w:val="nil"/>
              <w:bottom w:val="single" w:sz="4" w:space="0" w:color="00737B"/>
              <w:right w:val="nil"/>
            </w:tcBorders>
            <w:shd w:val="clear" w:color="auto" w:fill="auto"/>
            <w:noWrap/>
            <w:vAlign w:val="bottom"/>
            <w:hideMark/>
          </w:tcPr>
          <w:p w14:paraId="33CFCE40"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 </w:t>
            </w:r>
          </w:p>
        </w:tc>
        <w:tc>
          <w:tcPr>
            <w:tcW w:w="6152" w:type="dxa"/>
            <w:tcBorders>
              <w:top w:val="nil"/>
              <w:left w:val="nil"/>
              <w:bottom w:val="single" w:sz="4" w:space="0" w:color="00737B"/>
              <w:right w:val="nil"/>
            </w:tcBorders>
            <w:shd w:val="clear" w:color="auto" w:fill="auto"/>
            <w:noWrap/>
            <w:vAlign w:val="bottom"/>
            <w:hideMark/>
          </w:tcPr>
          <w:p w14:paraId="462831F6" w14:textId="77777777" w:rsidR="00766BCF" w:rsidRPr="00AE4DBA" w:rsidRDefault="00766BCF" w:rsidP="00766BCF">
            <w:pPr>
              <w:rPr>
                <w:rFonts w:ascii="Calibri" w:hAnsi="Calibri" w:cs="Calibri"/>
                <w:b/>
                <w:bCs/>
                <w:color w:val="008A9F"/>
                <w:sz w:val="28"/>
                <w:szCs w:val="28"/>
              </w:rPr>
            </w:pPr>
            <w:r w:rsidRPr="00AE4DBA">
              <w:rPr>
                <w:rFonts w:ascii="Calibri" w:hAnsi="Calibri" w:cs="Calibri"/>
                <w:b/>
                <w:bCs/>
                <w:color w:val="008A9F"/>
                <w:sz w:val="28"/>
                <w:szCs w:val="28"/>
              </w:rPr>
              <w:t>Total gross emissions (tCO</w:t>
            </w:r>
            <w:r w:rsidRPr="7C571EA4">
              <w:rPr>
                <w:rFonts w:ascii="Calibri" w:hAnsi="Calibri" w:cs="Calibri"/>
                <w:b/>
                <w:color w:val="008A9F"/>
                <w:sz w:val="28"/>
                <w:szCs w:val="28"/>
                <w:vertAlign w:val="subscript"/>
              </w:rPr>
              <w:t>2</w:t>
            </w:r>
            <w:r w:rsidRPr="00AE4DBA">
              <w:rPr>
                <w:rFonts w:ascii="Calibri" w:hAnsi="Calibri" w:cs="Calibri"/>
                <w:b/>
                <w:bCs/>
                <w:color w:val="008A9F"/>
                <w:sz w:val="28"/>
                <w:szCs w:val="28"/>
              </w:rPr>
              <w:t>e)</w:t>
            </w:r>
          </w:p>
        </w:tc>
        <w:tc>
          <w:tcPr>
            <w:tcW w:w="1549" w:type="dxa"/>
            <w:tcBorders>
              <w:top w:val="nil"/>
              <w:left w:val="nil"/>
              <w:bottom w:val="single" w:sz="4" w:space="0" w:color="00737B"/>
              <w:right w:val="nil"/>
            </w:tcBorders>
            <w:shd w:val="clear" w:color="auto" w:fill="auto"/>
            <w:noWrap/>
            <w:vAlign w:val="bottom"/>
            <w:hideMark/>
          </w:tcPr>
          <w:p w14:paraId="0F117380" w14:textId="77777777" w:rsidR="00766BCF" w:rsidRPr="00AE4DBA" w:rsidRDefault="00766BCF" w:rsidP="00766BCF">
            <w:pPr>
              <w:rPr>
                <w:rFonts w:ascii="Calibri" w:hAnsi="Calibri" w:cs="Calibri"/>
                <w:color w:val="008A9F"/>
                <w:sz w:val="28"/>
                <w:szCs w:val="28"/>
              </w:rPr>
            </w:pPr>
            <w:r w:rsidRPr="00AE4DBA">
              <w:rPr>
                <w:rFonts w:ascii="Calibri" w:hAnsi="Calibri" w:cs="Calibri"/>
                <w:color w:val="008A9F"/>
                <w:sz w:val="28"/>
                <w:szCs w:val="28"/>
              </w:rPr>
              <w:t> </w:t>
            </w:r>
          </w:p>
        </w:tc>
        <w:tc>
          <w:tcPr>
            <w:tcW w:w="1940" w:type="dxa"/>
            <w:tcBorders>
              <w:top w:val="nil"/>
              <w:left w:val="nil"/>
              <w:bottom w:val="single" w:sz="4" w:space="0" w:color="00737B"/>
              <w:right w:val="nil"/>
            </w:tcBorders>
            <w:shd w:val="clear" w:color="auto" w:fill="auto"/>
            <w:noWrap/>
            <w:vAlign w:val="bottom"/>
            <w:hideMark/>
          </w:tcPr>
          <w:p w14:paraId="2B88B3C4" w14:textId="7E9AC7CA" w:rsidR="00766BCF" w:rsidRPr="00AE4DBA" w:rsidRDefault="00766BCF" w:rsidP="00766BCF">
            <w:pPr>
              <w:jc w:val="right"/>
              <w:rPr>
                <w:rFonts w:ascii="Calibri" w:hAnsi="Calibri" w:cs="Calibri"/>
                <w:b/>
                <w:bCs/>
                <w:color w:val="008A9F"/>
                <w:sz w:val="28"/>
                <w:szCs w:val="28"/>
              </w:rPr>
            </w:pPr>
            <w:r w:rsidRPr="00AE4DBA">
              <w:rPr>
                <w:rFonts w:ascii="Calibri" w:hAnsi="Calibri" w:cs="Calibri"/>
                <w:b/>
                <w:bCs/>
                <w:color w:val="008A9F"/>
                <w:sz w:val="28"/>
                <w:szCs w:val="28"/>
              </w:rPr>
              <w:t>20</w:t>
            </w:r>
            <w:r w:rsidR="002F4A82">
              <w:rPr>
                <w:rFonts w:ascii="Calibri" w:hAnsi="Calibri" w:cs="Calibri"/>
                <w:b/>
                <w:bCs/>
                <w:color w:val="008A9F"/>
                <w:sz w:val="28"/>
                <w:szCs w:val="28"/>
              </w:rPr>
              <w:t>5</w:t>
            </w:r>
            <w:r w:rsidRPr="00AE4DBA">
              <w:rPr>
                <w:rFonts w:ascii="Calibri" w:hAnsi="Calibri" w:cs="Calibri"/>
                <w:b/>
                <w:bCs/>
                <w:color w:val="008A9F"/>
                <w:sz w:val="28"/>
                <w:szCs w:val="28"/>
              </w:rPr>
              <w:t>,</w:t>
            </w:r>
            <w:r w:rsidR="002F4A82">
              <w:rPr>
                <w:rFonts w:ascii="Calibri" w:hAnsi="Calibri" w:cs="Calibri"/>
                <w:b/>
                <w:bCs/>
                <w:color w:val="008A9F"/>
                <w:sz w:val="28"/>
                <w:szCs w:val="28"/>
              </w:rPr>
              <w:t>275</w:t>
            </w:r>
            <w:r w:rsidRPr="00AE4DBA">
              <w:rPr>
                <w:rFonts w:ascii="Calibri" w:hAnsi="Calibri" w:cs="Calibri"/>
                <w:b/>
                <w:bCs/>
                <w:color w:val="008A9F"/>
                <w:sz w:val="28"/>
                <w:szCs w:val="28"/>
              </w:rPr>
              <w:t xml:space="preserve"> </w:t>
            </w:r>
          </w:p>
        </w:tc>
      </w:tr>
      <w:tr w:rsidR="00766BCF" w:rsidRPr="00AE4DBA" w14:paraId="3304BF0D" w14:textId="77777777" w:rsidTr="1CBE7150">
        <w:trPr>
          <w:trHeight w:val="288"/>
        </w:trPr>
        <w:tc>
          <w:tcPr>
            <w:tcW w:w="328" w:type="dxa"/>
            <w:tcBorders>
              <w:top w:val="nil"/>
              <w:left w:val="nil"/>
              <w:bottom w:val="nil"/>
              <w:right w:val="nil"/>
            </w:tcBorders>
            <w:shd w:val="clear" w:color="auto" w:fill="auto"/>
            <w:noWrap/>
            <w:vAlign w:val="bottom"/>
            <w:hideMark/>
          </w:tcPr>
          <w:p w14:paraId="65035B6B" w14:textId="77777777" w:rsidR="00766BCF" w:rsidRPr="00AE4DBA" w:rsidRDefault="00766BCF" w:rsidP="00766BCF">
            <w:pPr>
              <w:jc w:val="right"/>
              <w:rPr>
                <w:rFonts w:ascii="Calibri" w:hAnsi="Calibri" w:cs="Calibri"/>
                <w:b/>
                <w:bCs/>
                <w:color w:val="008A9F"/>
                <w:sz w:val="28"/>
                <w:szCs w:val="28"/>
              </w:rPr>
            </w:pPr>
          </w:p>
        </w:tc>
        <w:tc>
          <w:tcPr>
            <w:tcW w:w="6152" w:type="dxa"/>
            <w:tcBorders>
              <w:top w:val="nil"/>
              <w:left w:val="nil"/>
              <w:bottom w:val="nil"/>
              <w:right w:val="nil"/>
            </w:tcBorders>
            <w:shd w:val="clear" w:color="auto" w:fill="auto"/>
            <w:noWrap/>
            <w:vAlign w:val="bottom"/>
            <w:hideMark/>
          </w:tcPr>
          <w:p w14:paraId="4CD6F5AE" w14:textId="77777777" w:rsidR="00766BCF" w:rsidRPr="00AE4DBA" w:rsidRDefault="00766BCF" w:rsidP="00766BCF">
            <w:pPr>
              <w:rPr>
                <w:rFonts w:ascii="Times New Roman" w:hAnsi="Times New Roman"/>
                <w:sz w:val="20"/>
                <w:szCs w:val="20"/>
              </w:rPr>
            </w:pPr>
          </w:p>
        </w:tc>
        <w:tc>
          <w:tcPr>
            <w:tcW w:w="1549" w:type="dxa"/>
            <w:tcBorders>
              <w:top w:val="nil"/>
              <w:left w:val="nil"/>
              <w:bottom w:val="nil"/>
              <w:right w:val="nil"/>
            </w:tcBorders>
            <w:shd w:val="clear" w:color="auto" w:fill="auto"/>
            <w:noWrap/>
            <w:vAlign w:val="bottom"/>
            <w:hideMark/>
          </w:tcPr>
          <w:p w14:paraId="6D9BFDEF" w14:textId="77777777" w:rsidR="00766BCF" w:rsidRPr="00AE4DBA" w:rsidRDefault="00766BCF" w:rsidP="00766BCF">
            <w:pPr>
              <w:rPr>
                <w:rFonts w:ascii="Times New Roman" w:hAnsi="Times New Roman"/>
                <w:sz w:val="20"/>
                <w:szCs w:val="20"/>
              </w:rPr>
            </w:pPr>
          </w:p>
        </w:tc>
        <w:tc>
          <w:tcPr>
            <w:tcW w:w="1940" w:type="dxa"/>
            <w:tcBorders>
              <w:top w:val="nil"/>
              <w:left w:val="nil"/>
              <w:bottom w:val="nil"/>
              <w:right w:val="nil"/>
            </w:tcBorders>
            <w:shd w:val="clear" w:color="auto" w:fill="auto"/>
            <w:noWrap/>
            <w:vAlign w:val="bottom"/>
            <w:hideMark/>
          </w:tcPr>
          <w:p w14:paraId="14699EFB" w14:textId="77777777" w:rsidR="00766BCF" w:rsidRPr="00AE4DBA" w:rsidRDefault="00766BCF" w:rsidP="00766BCF">
            <w:pPr>
              <w:rPr>
                <w:rFonts w:ascii="Times New Roman" w:hAnsi="Times New Roman"/>
                <w:sz w:val="20"/>
                <w:szCs w:val="20"/>
              </w:rPr>
            </w:pPr>
          </w:p>
        </w:tc>
      </w:tr>
      <w:tr w:rsidR="00766BCF" w:rsidRPr="00AE4DBA" w14:paraId="4B78710F" w14:textId="77777777" w:rsidTr="1CBE7150">
        <w:trPr>
          <w:trHeight w:val="288"/>
        </w:trPr>
        <w:tc>
          <w:tcPr>
            <w:tcW w:w="328" w:type="dxa"/>
            <w:tcBorders>
              <w:top w:val="nil"/>
              <w:left w:val="nil"/>
              <w:bottom w:val="single" w:sz="4" w:space="0" w:color="00737B"/>
              <w:right w:val="nil"/>
            </w:tcBorders>
            <w:shd w:val="clear" w:color="auto" w:fill="auto"/>
            <w:noWrap/>
            <w:vAlign w:val="bottom"/>
            <w:hideMark/>
          </w:tcPr>
          <w:p w14:paraId="58223495"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 </w:t>
            </w:r>
          </w:p>
        </w:tc>
        <w:tc>
          <w:tcPr>
            <w:tcW w:w="6152" w:type="dxa"/>
            <w:tcBorders>
              <w:top w:val="nil"/>
              <w:left w:val="nil"/>
              <w:bottom w:val="single" w:sz="4" w:space="0" w:color="00737B"/>
              <w:right w:val="nil"/>
            </w:tcBorders>
            <w:shd w:val="clear" w:color="auto" w:fill="auto"/>
            <w:noWrap/>
            <w:vAlign w:val="bottom"/>
            <w:hideMark/>
          </w:tcPr>
          <w:p w14:paraId="33481052"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 </w:t>
            </w:r>
          </w:p>
        </w:tc>
        <w:tc>
          <w:tcPr>
            <w:tcW w:w="1549" w:type="dxa"/>
            <w:tcBorders>
              <w:top w:val="nil"/>
              <w:left w:val="nil"/>
              <w:bottom w:val="single" w:sz="4" w:space="0" w:color="00737B"/>
              <w:right w:val="nil"/>
            </w:tcBorders>
            <w:shd w:val="clear" w:color="auto" w:fill="auto"/>
            <w:noWrap/>
            <w:vAlign w:val="bottom"/>
            <w:hideMark/>
          </w:tcPr>
          <w:p w14:paraId="6EA6EB9C"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 </w:t>
            </w:r>
          </w:p>
        </w:tc>
        <w:tc>
          <w:tcPr>
            <w:tcW w:w="1940" w:type="dxa"/>
            <w:tcBorders>
              <w:top w:val="nil"/>
              <w:left w:val="nil"/>
              <w:bottom w:val="single" w:sz="4" w:space="0" w:color="00737B"/>
              <w:right w:val="nil"/>
            </w:tcBorders>
            <w:shd w:val="clear" w:color="auto" w:fill="auto"/>
            <w:noWrap/>
            <w:vAlign w:val="bottom"/>
            <w:hideMark/>
          </w:tcPr>
          <w:p w14:paraId="14A9A700" w14:textId="77777777" w:rsidR="00766BCF" w:rsidRPr="00AE4DBA" w:rsidRDefault="00766BCF" w:rsidP="00766BCF">
            <w:pPr>
              <w:rPr>
                <w:rFonts w:ascii="Calibri" w:hAnsi="Calibri" w:cs="Calibri"/>
                <w:color w:val="000000"/>
                <w:szCs w:val="22"/>
              </w:rPr>
            </w:pPr>
            <w:r w:rsidRPr="00AE4DBA">
              <w:rPr>
                <w:rFonts w:ascii="Calibri" w:hAnsi="Calibri" w:cs="Calibri"/>
                <w:color w:val="000000"/>
                <w:szCs w:val="22"/>
              </w:rPr>
              <w:t> </w:t>
            </w:r>
          </w:p>
        </w:tc>
      </w:tr>
      <w:tr w:rsidR="00766BCF" w:rsidRPr="00AE4DBA" w14:paraId="7529D4BF" w14:textId="77777777" w:rsidTr="1CBE7150">
        <w:trPr>
          <w:trHeight w:val="312"/>
        </w:trPr>
        <w:tc>
          <w:tcPr>
            <w:tcW w:w="328" w:type="dxa"/>
            <w:tcBorders>
              <w:top w:val="nil"/>
              <w:left w:val="nil"/>
              <w:bottom w:val="single" w:sz="4" w:space="0" w:color="00737B"/>
              <w:right w:val="nil"/>
            </w:tcBorders>
            <w:shd w:val="clear" w:color="auto" w:fill="auto"/>
            <w:noWrap/>
            <w:vAlign w:val="bottom"/>
            <w:hideMark/>
          </w:tcPr>
          <w:p w14:paraId="66961FEB" w14:textId="77777777" w:rsidR="00766BCF" w:rsidRPr="00AE4DBA" w:rsidRDefault="00766BCF" w:rsidP="00766BCF">
            <w:pPr>
              <w:rPr>
                <w:rFonts w:ascii="Calibri" w:hAnsi="Calibri" w:cs="Calibri"/>
                <w:color w:val="FF0000"/>
                <w:szCs w:val="22"/>
              </w:rPr>
            </w:pPr>
            <w:r w:rsidRPr="00AE4DBA">
              <w:rPr>
                <w:rFonts w:ascii="Calibri" w:hAnsi="Calibri" w:cs="Calibri"/>
                <w:color w:val="FF0000"/>
                <w:szCs w:val="22"/>
              </w:rPr>
              <w:t> </w:t>
            </w:r>
          </w:p>
        </w:tc>
        <w:tc>
          <w:tcPr>
            <w:tcW w:w="6152" w:type="dxa"/>
            <w:tcBorders>
              <w:top w:val="nil"/>
              <w:left w:val="nil"/>
              <w:bottom w:val="single" w:sz="4" w:space="0" w:color="00737B"/>
              <w:right w:val="nil"/>
            </w:tcBorders>
            <w:shd w:val="clear" w:color="auto" w:fill="auto"/>
            <w:noWrap/>
            <w:vAlign w:val="bottom"/>
            <w:hideMark/>
          </w:tcPr>
          <w:p w14:paraId="2853618D" w14:textId="77777777" w:rsidR="00766BCF" w:rsidRPr="00AE4DBA" w:rsidRDefault="00766BCF" w:rsidP="00766BCF">
            <w:pPr>
              <w:jc w:val="right"/>
              <w:rPr>
                <w:rFonts w:ascii="Calibri" w:hAnsi="Calibri" w:cs="Calibri"/>
                <w:b/>
                <w:bCs/>
                <w:color w:val="008A9F"/>
                <w:sz w:val="24"/>
              </w:rPr>
            </w:pPr>
            <w:r w:rsidRPr="00AE4DBA">
              <w:rPr>
                <w:rFonts w:ascii="Calibri" w:hAnsi="Calibri" w:cs="Calibri"/>
                <w:b/>
                <w:bCs/>
                <w:color w:val="008A9F"/>
                <w:sz w:val="24"/>
              </w:rPr>
              <w:t>Biogenic Emissions (tCO</w:t>
            </w:r>
            <w:r w:rsidRPr="7C571EA4">
              <w:rPr>
                <w:rFonts w:ascii="Calibri" w:hAnsi="Calibri" w:cs="Calibri"/>
                <w:b/>
                <w:color w:val="008A9F"/>
                <w:sz w:val="24"/>
                <w:vertAlign w:val="subscript"/>
              </w:rPr>
              <w:t>2</w:t>
            </w:r>
            <w:r w:rsidRPr="00AE4DBA">
              <w:rPr>
                <w:rFonts w:ascii="Calibri" w:hAnsi="Calibri" w:cs="Calibri"/>
                <w:b/>
                <w:bCs/>
                <w:color w:val="008A9F"/>
                <w:sz w:val="24"/>
              </w:rPr>
              <w:t>)</w:t>
            </w:r>
          </w:p>
        </w:tc>
        <w:tc>
          <w:tcPr>
            <w:tcW w:w="1549" w:type="dxa"/>
            <w:tcBorders>
              <w:top w:val="nil"/>
              <w:left w:val="nil"/>
              <w:bottom w:val="single" w:sz="4" w:space="0" w:color="00737B"/>
              <w:right w:val="nil"/>
            </w:tcBorders>
            <w:shd w:val="clear" w:color="auto" w:fill="auto"/>
            <w:noWrap/>
            <w:vAlign w:val="bottom"/>
            <w:hideMark/>
          </w:tcPr>
          <w:p w14:paraId="21D21645" w14:textId="77777777" w:rsidR="00766BCF" w:rsidRPr="00AE4DBA" w:rsidRDefault="00766BCF" w:rsidP="00766BCF">
            <w:pPr>
              <w:rPr>
                <w:rFonts w:ascii="Calibri" w:hAnsi="Calibri" w:cs="Calibri"/>
                <w:color w:val="FF0000"/>
                <w:szCs w:val="22"/>
              </w:rPr>
            </w:pPr>
            <w:r w:rsidRPr="00AE4DBA">
              <w:rPr>
                <w:rFonts w:ascii="Calibri" w:hAnsi="Calibri" w:cs="Calibri"/>
                <w:color w:val="FF0000"/>
                <w:szCs w:val="22"/>
              </w:rPr>
              <w:t> </w:t>
            </w:r>
          </w:p>
        </w:tc>
        <w:tc>
          <w:tcPr>
            <w:tcW w:w="1940" w:type="dxa"/>
            <w:tcBorders>
              <w:top w:val="nil"/>
              <w:left w:val="nil"/>
              <w:bottom w:val="single" w:sz="4" w:space="0" w:color="00737B"/>
              <w:right w:val="nil"/>
            </w:tcBorders>
            <w:shd w:val="clear" w:color="auto" w:fill="auto"/>
            <w:noWrap/>
            <w:vAlign w:val="bottom"/>
            <w:hideMark/>
          </w:tcPr>
          <w:p w14:paraId="13AD29D0" w14:textId="77777777" w:rsidR="00766BCF" w:rsidRPr="00AE4DBA" w:rsidRDefault="00766BCF" w:rsidP="00766BCF">
            <w:pPr>
              <w:jc w:val="right"/>
              <w:rPr>
                <w:rFonts w:ascii="Calibri" w:hAnsi="Calibri" w:cs="Calibri"/>
                <w:b/>
                <w:bCs/>
                <w:color w:val="008A9F"/>
                <w:sz w:val="24"/>
              </w:rPr>
            </w:pPr>
            <w:r w:rsidRPr="00AE4DBA">
              <w:rPr>
                <w:rFonts w:ascii="Calibri" w:hAnsi="Calibri" w:cs="Calibri"/>
                <w:b/>
                <w:bCs/>
                <w:color w:val="008A9F"/>
                <w:sz w:val="24"/>
              </w:rPr>
              <w:t xml:space="preserve">27,942 </w:t>
            </w:r>
          </w:p>
        </w:tc>
      </w:tr>
    </w:tbl>
    <w:p w14:paraId="509E08FF" w14:textId="77777777" w:rsidR="00D765D9" w:rsidRPr="00AE4DBA" w:rsidRDefault="00D765D9" w:rsidP="00D765D9"/>
    <w:p w14:paraId="206435DB" w14:textId="6DB52592" w:rsidR="00BA064C" w:rsidRPr="00AE4DBA" w:rsidRDefault="00BA064C" w:rsidP="00935EF9">
      <w:pPr>
        <w:pStyle w:val="Caption"/>
        <w:keepNext/>
      </w:pPr>
      <w:bookmarkStart w:id="28" w:name="_Toc176252080"/>
      <w:r w:rsidRPr="00AE4DBA">
        <w:t xml:space="preserve">Table </w:t>
      </w:r>
      <w:r>
        <w:fldChar w:fldCharType="begin"/>
      </w:r>
      <w:r>
        <w:instrText>SEQ Table \* ARABIC</w:instrText>
      </w:r>
      <w:r>
        <w:fldChar w:fldCharType="separate"/>
      </w:r>
      <w:r w:rsidR="003130CC" w:rsidRPr="00AE4DBA">
        <w:rPr>
          <w:noProof/>
        </w:rPr>
        <w:t>2</w:t>
      </w:r>
      <w:r>
        <w:fldChar w:fldCharType="end"/>
      </w:r>
      <w:r w:rsidRPr="00AE4DBA">
        <w:t xml:space="preserve"> Emissions profile by category source</w:t>
      </w:r>
      <w:bookmarkEnd w:id="28"/>
    </w:p>
    <w:p w14:paraId="2594031C" w14:textId="77777777" w:rsidR="00B45017" w:rsidRPr="00AE4DBA" w:rsidRDefault="00B45017" w:rsidP="00D765D9"/>
    <w:p w14:paraId="4F182C1B" w14:textId="77777777" w:rsidR="00D765D9" w:rsidRPr="00AE4DBA" w:rsidRDefault="00D765D9" w:rsidP="00D765D9"/>
    <w:p w14:paraId="57B1FEC7" w14:textId="77777777" w:rsidR="00D765D9" w:rsidRPr="00AE4DBA" w:rsidRDefault="00D765D9" w:rsidP="00D765D9"/>
    <w:p w14:paraId="3B447BA4" w14:textId="78063462" w:rsidR="00E01957" w:rsidRPr="00AE4DBA" w:rsidRDefault="00DE0892" w:rsidP="00935EF9">
      <w:pPr>
        <w:keepNext/>
      </w:pPr>
      <w:r>
        <w:rPr>
          <w:noProof/>
        </w:rPr>
        <w:lastRenderedPageBreak/>
        <w:drawing>
          <wp:inline distT="0" distB="0" distL="0" distR="0" wp14:anchorId="21148173" wp14:editId="7FD36691">
            <wp:extent cx="5731510" cy="4214191"/>
            <wp:effectExtent l="0" t="0" r="2540" b="15240"/>
            <wp:docPr id="1492512194" name="Chart 1">
              <a:extLst xmlns:a="http://schemas.openxmlformats.org/drawingml/2006/main">
                <a:ext uri="{FF2B5EF4-FFF2-40B4-BE49-F238E27FC236}">
                  <a16:creationId xmlns:a16="http://schemas.microsoft.com/office/drawing/2014/main" id="{4715C0B2-0EE5-4962-A504-3E720593B1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3884FC" w14:textId="6AC5B7BF" w:rsidR="00D765D9" w:rsidRPr="00AE4DBA" w:rsidRDefault="00E01957" w:rsidP="00E01957">
      <w:pPr>
        <w:pStyle w:val="Caption"/>
      </w:pPr>
      <w:bookmarkStart w:id="29" w:name="_Toc176252090"/>
      <w:r w:rsidRPr="00AE4DBA">
        <w:t xml:space="preserve">Figure </w:t>
      </w:r>
      <w:r>
        <w:fldChar w:fldCharType="begin"/>
      </w:r>
      <w:r>
        <w:instrText>SEQ Figure \* ARABIC</w:instrText>
      </w:r>
      <w:r>
        <w:fldChar w:fldCharType="separate"/>
      </w:r>
      <w:r w:rsidR="00204767" w:rsidRPr="00AE4DBA">
        <w:rPr>
          <w:noProof/>
        </w:rPr>
        <w:t>1</w:t>
      </w:r>
      <w:r>
        <w:fldChar w:fldCharType="end"/>
      </w:r>
      <w:r w:rsidRPr="00AE4DBA">
        <w:t xml:space="preserve"> Emissions by main source</w:t>
      </w:r>
      <w:r w:rsidR="00DF5510" w:rsidRPr="00AE4DBA">
        <w:t xml:space="preserve"> (Gas and Electricity inc. T&amp;D losses)</w:t>
      </w:r>
      <w:bookmarkEnd w:id="29"/>
    </w:p>
    <w:p w14:paraId="403AFB43" w14:textId="2821C3E9" w:rsidR="00B347C9" w:rsidRPr="00AE4DBA" w:rsidRDefault="00B347C9">
      <w:pPr>
        <w:spacing w:after="160" w:line="259" w:lineRule="auto"/>
        <w:rPr>
          <w:rFonts w:eastAsia="Malgun Gothic" w:cs="Arial"/>
          <w:b/>
          <w:color w:val="0C818F"/>
          <w:sz w:val="36"/>
          <w:szCs w:val="36"/>
          <w:lang w:eastAsia="en-US"/>
        </w:rPr>
      </w:pPr>
      <w:bookmarkStart w:id="30" w:name="_Toc146722313"/>
      <w:r w:rsidRPr="00AE4DBA">
        <w:br w:type="page"/>
      </w:r>
    </w:p>
    <w:p w14:paraId="77AA5B7D" w14:textId="52E1EC81" w:rsidR="00731BBB" w:rsidRPr="00AE4DBA" w:rsidRDefault="00731BBB" w:rsidP="00141DF0">
      <w:pPr>
        <w:pStyle w:val="Subheading1"/>
        <w:numPr>
          <w:ilvl w:val="0"/>
          <w:numId w:val="5"/>
        </w:numPr>
        <w:spacing w:before="0"/>
      </w:pPr>
      <w:bookmarkStart w:id="31" w:name="_Toc176345113"/>
      <w:r w:rsidRPr="00AE4DBA">
        <w:lastRenderedPageBreak/>
        <w:t>Chapter 1: Emissions Inventory Report</w:t>
      </w:r>
      <w:bookmarkEnd w:id="30"/>
      <w:bookmarkEnd w:id="31"/>
    </w:p>
    <w:p w14:paraId="1D752AC6" w14:textId="77777777" w:rsidR="00731BBB" w:rsidRPr="00AE4DBA" w:rsidRDefault="00731BBB" w:rsidP="00141DF0">
      <w:pPr>
        <w:pStyle w:val="Tableheading-reverse"/>
        <w:numPr>
          <w:ilvl w:val="1"/>
          <w:numId w:val="5"/>
        </w:numPr>
      </w:pPr>
      <w:bookmarkStart w:id="32" w:name="_Toc176345114"/>
      <w:r w:rsidRPr="00AE4DBA">
        <w:t>Introduction</w:t>
      </w:r>
      <w:bookmarkEnd w:id="32"/>
    </w:p>
    <w:p w14:paraId="32F6BCE8" w14:textId="248C63C1" w:rsidR="00731BBB" w:rsidRPr="00AE4DBA" w:rsidRDefault="00731BBB" w:rsidP="00731BBB">
      <w:pPr>
        <w:pStyle w:val="BodyText1"/>
        <w:rPr>
          <w:lang w:val="en-NZ"/>
        </w:rPr>
      </w:pPr>
      <w:r w:rsidRPr="00AE4DBA">
        <w:rPr>
          <w:lang w:val="en-NZ"/>
        </w:rPr>
        <w:t xml:space="preserve">This is the second Health New Zealand | Te Whatu Ora </w:t>
      </w:r>
      <w:r w:rsidR="00BF7593" w:rsidRPr="00AE4DBA">
        <w:rPr>
          <w:lang w:val="en-NZ"/>
        </w:rPr>
        <w:t xml:space="preserve">(Health NZ) </w:t>
      </w:r>
      <w:r w:rsidRPr="00AE4DBA">
        <w:rPr>
          <w:lang w:val="en-NZ"/>
        </w:rPr>
        <w:t>annual greenhouse gas emissions inventory report. The emissions inventory is a complete and accurate quantification of the emissions directly attributed to the organisation’s operations within the declared boundary and scope for the reporting period 1 July 2023 – 30 June 2024. Any exclusions from reporting have been documented and justified.</w:t>
      </w:r>
    </w:p>
    <w:p w14:paraId="3EB9D4FE" w14:textId="77777777" w:rsidR="00731BBB" w:rsidRPr="00AE4DBA" w:rsidRDefault="00731BBB" w:rsidP="00731BBB">
      <w:pPr>
        <w:pStyle w:val="BodyText1"/>
        <w:rPr>
          <w:lang w:val="en-NZ"/>
        </w:rPr>
      </w:pPr>
      <w:r w:rsidRPr="00AE4DBA">
        <w:rPr>
          <w:lang w:val="en-NZ"/>
        </w:rPr>
        <w:t>The inventory has been prepared in accordance with the requirements of the following:</w:t>
      </w:r>
    </w:p>
    <w:p w14:paraId="7C3E3B5A" w14:textId="77777777" w:rsidR="0079593D" w:rsidRPr="00AE4DBA" w:rsidRDefault="0079593D" w:rsidP="0079593D">
      <w:pPr>
        <w:pStyle w:val="BodyText1"/>
        <w:numPr>
          <w:ilvl w:val="0"/>
          <w:numId w:val="4"/>
        </w:numPr>
        <w:rPr>
          <w:lang w:val="en-NZ"/>
        </w:rPr>
      </w:pPr>
      <w:r w:rsidRPr="00AE4DBA">
        <w:rPr>
          <w:lang w:val="en-NZ"/>
        </w:rPr>
        <w:t>ISO 14064-1:2018 Greenhouse Gases – Part 1: Specification with Guidance at the Organization Level for Quantification and Reporting of Greenhouse Gas Emissions and Removals</w:t>
      </w:r>
      <w:r w:rsidRPr="00AE4DBA">
        <w:rPr>
          <w:rStyle w:val="FootnoteReference"/>
          <w:lang w:val="en-NZ"/>
        </w:rPr>
        <w:footnoteReference w:id="4"/>
      </w:r>
    </w:p>
    <w:p w14:paraId="7A2CDD66" w14:textId="2B8828F2" w:rsidR="00731BBB" w:rsidRPr="00AE4DBA" w:rsidRDefault="00731BBB" w:rsidP="00141DF0">
      <w:pPr>
        <w:pStyle w:val="BodyText1"/>
        <w:numPr>
          <w:ilvl w:val="0"/>
          <w:numId w:val="4"/>
        </w:numPr>
        <w:rPr>
          <w:lang w:val="en-NZ"/>
        </w:rPr>
      </w:pPr>
      <w:r w:rsidRPr="00AE4DBA">
        <w:rPr>
          <w:lang w:val="en-NZ"/>
        </w:rPr>
        <w:t>Greenhouse Gas Protocol: A Corporate Accounting and Reporting Standard</w:t>
      </w:r>
      <w:r w:rsidR="00E23C42" w:rsidRPr="00AE4DBA">
        <w:rPr>
          <w:lang w:val="en-NZ"/>
        </w:rPr>
        <w:t xml:space="preserve"> </w:t>
      </w:r>
      <w:r w:rsidRPr="00AE4DBA">
        <w:rPr>
          <w:lang w:val="en-NZ"/>
        </w:rPr>
        <w:t>(2004)</w:t>
      </w:r>
    </w:p>
    <w:p w14:paraId="1833AD1A" w14:textId="1A501DA2" w:rsidR="00731BBB" w:rsidRPr="00AE4DBA" w:rsidRDefault="00731BBB" w:rsidP="00141DF0">
      <w:pPr>
        <w:pStyle w:val="BodyText1"/>
        <w:numPr>
          <w:ilvl w:val="0"/>
          <w:numId w:val="4"/>
        </w:numPr>
        <w:rPr>
          <w:lang w:val="en-NZ"/>
        </w:rPr>
      </w:pPr>
      <w:r w:rsidRPr="00AE4DBA">
        <w:rPr>
          <w:lang w:val="en-NZ"/>
        </w:rPr>
        <w:t>Carbon Neutral Government Programme</w:t>
      </w:r>
      <w:r w:rsidR="006E5FE2">
        <w:rPr>
          <w:lang w:val="en-NZ"/>
        </w:rPr>
        <w:t xml:space="preserve"> (CNGP)</w:t>
      </w:r>
      <w:r w:rsidRPr="00AE4DBA">
        <w:rPr>
          <w:lang w:val="en-NZ"/>
        </w:rPr>
        <w:t xml:space="preserve"> </w:t>
      </w:r>
      <w:r w:rsidR="006E5FE2">
        <w:rPr>
          <w:lang w:val="en-NZ"/>
        </w:rPr>
        <w:t xml:space="preserve">latest </w:t>
      </w:r>
      <w:r w:rsidR="00475914" w:rsidRPr="00AE4DBA">
        <w:rPr>
          <w:lang w:val="en-NZ"/>
        </w:rPr>
        <w:t>d</w:t>
      </w:r>
      <w:r w:rsidRPr="00AE4DBA">
        <w:rPr>
          <w:lang w:val="en-NZ"/>
        </w:rPr>
        <w:t xml:space="preserve">irection and </w:t>
      </w:r>
      <w:r w:rsidR="006E5FE2">
        <w:rPr>
          <w:lang w:val="en-NZ"/>
        </w:rPr>
        <w:t>g</w:t>
      </w:r>
      <w:r w:rsidRPr="00AE4DBA">
        <w:rPr>
          <w:lang w:val="en-NZ"/>
        </w:rPr>
        <w:t>uidance.</w:t>
      </w:r>
    </w:p>
    <w:p w14:paraId="094C5874" w14:textId="77777777" w:rsidR="00731BBB" w:rsidRPr="00AE4DBA" w:rsidRDefault="00731BBB" w:rsidP="00A90DAD"/>
    <w:p w14:paraId="119FF997" w14:textId="40D1E97B" w:rsidR="00BE50B5" w:rsidRPr="00AE4DBA" w:rsidRDefault="00731BBB" w:rsidP="00141DF0">
      <w:pPr>
        <w:pStyle w:val="Tableheading-reverse"/>
        <w:numPr>
          <w:ilvl w:val="1"/>
          <w:numId w:val="5"/>
        </w:numPr>
      </w:pPr>
      <w:bookmarkStart w:id="33" w:name="_Toc176345115"/>
      <w:bookmarkStart w:id="34" w:name="_Hlk172731856"/>
      <w:r w:rsidRPr="00AE4DBA">
        <w:t>Emissions Inventory Results</w:t>
      </w:r>
      <w:bookmarkEnd w:id="33"/>
    </w:p>
    <w:bookmarkEnd w:id="34"/>
    <w:p w14:paraId="105B3CA9" w14:textId="2083ABA7" w:rsidR="00D40030" w:rsidRPr="00AE4DBA" w:rsidRDefault="00D40030" w:rsidP="00BE50B5">
      <w:pPr>
        <w:pStyle w:val="BodyText1"/>
        <w:rPr>
          <w:lang w:val="en-NZ"/>
        </w:rPr>
      </w:pPr>
      <w:r w:rsidRPr="00AE4DBA">
        <w:rPr>
          <w:lang w:val="en-NZ"/>
        </w:rPr>
        <w:t xml:space="preserve">For FY2023/24, Health New Zealand’s GHG Inventory totalled </w:t>
      </w:r>
      <w:r w:rsidR="0045403A" w:rsidRPr="00AE4DBA">
        <w:rPr>
          <w:lang w:val="en-NZ"/>
        </w:rPr>
        <w:t>20</w:t>
      </w:r>
      <w:r w:rsidR="002F4A82">
        <w:rPr>
          <w:lang w:val="en-NZ"/>
        </w:rPr>
        <w:t>5</w:t>
      </w:r>
      <w:r w:rsidR="0045403A" w:rsidRPr="00AE4DBA">
        <w:rPr>
          <w:lang w:val="en-NZ"/>
        </w:rPr>
        <w:t>,</w:t>
      </w:r>
      <w:r w:rsidR="002F4A82">
        <w:rPr>
          <w:lang w:val="en-NZ"/>
        </w:rPr>
        <w:t>275</w:t>
      </w:r>
      <w:r w:rsidR="0045403A" w:rsidRPr="00AE4DBA">
        <w:rPr>
          <w:lang w:val="en-NZ"/>
        </w:rPr>
        <w:t xml:space="preserve"> </w:t>
      </w:r>
      <w:r w:rsidRPr="00AE4DBA">
        <w:rPr>
          <w:lang w:val="en-NZ"/>
        </w:rPr>
        <w:t>tCO</w:t>
      </w:r>
      <w:r w:rsidRPr="00AE4DBA">
        <w:rPr>
          <w:vertAlign w:val="subscript"/>
          <w:lang w:val="en-NZ"/>
        </w:rPr>
        <w:t>2</w:t>
      </w:r>
      <w:r w:rsidRPr="00AE4DBA">
        <w:rPr>
          <w:lang w:val="en-NZ"/>
        </w:rPr>
        <w:t xml:space="preserve">e. The top 10 emissions by emissions source for the reporting period 1 July 2023- 30 June 2024 </w:t>
      </w:r>
      <w:r w:rsidR="008D6319" w:rsidRPr="00AE4DBA">
        <w:rPr>
          <w:lang w:val="en-NZ"/>
        </w:rPr>
        <w:t xml:space="preserve">are </w:t>
      </w:r>
      <w:r w:rsidRPr="00AE4DBA">
        <w:rPr>
          <w:lang w:val="en-NZ"/>
        </w:rPr>
        <w:t xml:space="preserve">summarised in Table </w:t>
      </w:r>
      <w:r w:rsidR="00220CEA" w:rsidRPr="00AE4DBA">
        <w:rPr>
          <w:lang w:val="en-NZ"/>
        </w:rPr>
        <w:t>3</w:t>
      </w:r>
      <w:r w:rsidRPr="00AE4DBA">
        <w:rPr>
          <w:lang w:val="en-NZ"/>
        </w:rPr>
        <w:t xml:space="preserve"> and illustrated in Figure </w:t>
      </w:r>
      <w:r w:rsidR="00ED037C" w:rsidRPr="00AE4DBA">
        <w:rPr>
          <w:lang w:val="en-NZ"/>
        </w:rPr>
        <w:t>1</w:t>
      </w:r>
      <w:r w:rsidRPr="00AE4DBA">
        <w:rPr>
          <w:lang w:val="en-NZ"/>
        </w:rPr>
        <w:t>.</w:t>
      </w:r>
    </w:p>
    <w:p w14:paraId="38D4AAE0" w14:textId="77777777" w:rsidR="00B00536" w:rsidRPr="00AE4DBA" w:rsidRDefault="00B00536" w:rsidP="00220CEA">
      <w:pPr>
        <w:pStyle w:val="Caption"/>
      </w:pPr>
    </w:p>
    <w:p w14:paraId="1CD5E888" w14:textId="077BF0E1" w:rsidR="00ED037C" w:rsidRPr="00AE4DBA" w:rsidRDefault="00220CEA" w:rsidP="00220CEA">
      <w:pPr>
        <w:pStyle w:val="Caption"/>
      </w:pPr>
      <w:bookmarkStart w:id="35" w:name="_Toc176252081"/>
      <w:r w:rsidRPr="00AE4DBA">
        <w:t xml:space="preserve">Table </w:t>
      </w:r>
      <w:r>
        <w:fldChar w:fldCharType="begin"/>
      </w:r>
      <w:r>
        <w:instrText>SEQ Table \* ARABIC</w:instrText>
      </w:r>
      <w:r>
        <w:fldChar w:fldCharType="separate"/>
      </w:r>
      <w:r w:rsidR="003130CC" w:rsidRPr="00AE4DBA">
        <w:rPr>
          <w:noProof/>
        </w:rPr>
        <w:t>3</w:t>
      </w:r>
      <w:r>
        <w:fldChar w:fldCharType="end"/>
      </w:r>
      <w:r w:rsidRPr="00AE4DBA">
        <w:t xml:space="preserve"> Health New Zealand Top 10 Emissions Sources</w:t>
      </w:r>
      <w:r w:rsidRPr="00AE4DBA">
        <w:rPr>
          <w:rStyle w:val="FootnoteReference"/>
        </w:rPr>
        <w:footnoteReference w:id="5"/>
      </w:r>
      <w:bookmarkEnd w:id="35"/>
    </w:p>
    <w:tbl>
      <w:tblPr>
        <w:tblStyle w:val="TableGrid"/>
        <w:tblW w:w="5000" w:type="pct"/>
        <w:tblLook w:val="04A0" w:firstRow="1" w:lastRow="0" w:firstColumn="1" w:lastColumn="0" w:noHBand="0" w:noVBand="1"/>
      </w:tblPr>
      <w:tblGrid>
        <w:gridCol w:w="7303"/>
        <w:gridCol w:w="1713"/>
      </w:tblGrid>
      <w:tr w:rsidR="00CA0F24" w:rsidRPr="00AE4DBA" w14:paraId="638A01A2" w14:textId="77777777" w:rsidTr="008E42A9">
        <w:trPr>
          <w:cnfStyle w:val="100000000000" w:firstRow="1" w:lastRow="0" w:firstColumn="0" w:lastColumn="0" w:oddVBand="0" w:evenVBand="0" w:oddHBand="0" w:evenHBand="0" w:firstRowFirstColumn="0" w:firstRowLastColumn="0" w:lastRowFirstColumn="0" w:lastRowLastColumn="0"/>
          <w:trHeight w:val="288"/>
        </w:trPr>
        <w:tc>
          <w:tcPr>
            <w:tcW w:w="4050" w:type="pct"/>
            <w:shd w:val="clear" w:color="auto" w:fill="15284C" w:themeFill="accent5"/>
            <w:noWrap/>
            <w:hideMark/>
          </w:tcPr>
          <w:p w14:paraId="00C4CE42" w14:textId="2450F2E9" w:rsidR="00CA0F24" w:rsidRPr="00AE4DBA" w:rsidRDefault="00CA0F24" w:rsidP="00CA0F24">
            <w:pPr>
              <w:spacing w:before="0"/>
              <w:ind w:left="0" w:firstLine="0"/>
              <w:rPr>
                <w:sz w:val="22"/>
                <w:szCs w:val="22"/>
              </w:rPr>
            </w:pPr>
            <w:r w:rsidRPr="045AA8C0">
              <w:rPr>
                <w:sz w:val="22"/>
                <w:szCs w:val="22"/>
              </w:rPr>
              <w:t>Emissions source</w:t>
            </w:r>
          </w:p>
        </w:tc>
        <w:tc>
          <w:tcPr>
            <w:tcW w:w="950" w:type="pct"/>
            <w:shd w:val="clear" w:color="auto" w:fill="15284C" w:themeFill="accent5"/>
            <w:noWrap/>
            <w:hideMark/>
          </w:tcPr>
          <w:p w14:paraId="19296164" w14:textId="77777777" w:rsidR="00CA0F24" w:rsidRPr="00AE4DBA" w:rsidRDefault="00CA0F24" w:rsidP="007C4005">
            <w:pPr>
              <w:spacing w:before="0"/>
              <w:ind w:left="0" w:firstLine="0"/>
              <w:jc w:val="right"/>
              <w:rPr>
                <w:sz w:val="22"/>
              </w:rPr>
            </w:pPr>
            <w:r w:rsidRPr="00AE4DBA">
              <w:rPr>
                <w:sz w:val="22"/>
              </w:rPr>
              <w:t>tCO</w:t>
            </w:r>
            <w:r w:rsidRPr="00AE4DBA">
              <w:rPr>
                <w:vertAlign w:val="subscript"/>
              </w:rPr>
              <w:t>2</w:t>
            </w:r>
            <w:r w:rsidRPr="00AE4DBA">
              <w:rPr>
                <w:sz w:val="22"/>
              </w:rPr>
              <w:t>e</w:t>
            </w:r>
          </w:p>
        </w:tc>
      </w:tr>
      <w:tr w:rsidR="008E42A9" w:rsidRPr="00AE4DBA" w14:paraId="2FFEB209" w14:textId="77777777" w:rsidTr="00DE49E9">
        <w:trPr>
          <w:trHeight w:val="288"/>
        </w:trPr>
        <w:tc>
          <w:tcPr>
            <w:tcW w:w="4050" w:type="pct"/>
            <w:tcBorders>
              <w:left w:val="single" w:sz="4" w:space="0" w:color="FFFFFF" w:themeColor="accent6"/>
              <w:bottom w:val="single" w:sz="4" w:space="0" w:color="D9D9D9" w:themeColor="accent4" w:themeShade="D9"/>
              <w:right w:val="single" w:sz="4" w:space="0" w:color="FFFFFF" w:themeColor="accent6"/>
            </w:tcBorders>
            <w:noWrap/>
          </w:tcPr>
          <w:p w14:paraId="5FF3F7F9" w14:textId="0C6800B9" w:rsidR="008E42A9" w:rsidRPr="00AE4DBA" w:rsidRDefault="008E42A9" w:rsidP="008E42A9">
            <w:r w:rsidRPr="00AE4DBA">
              <w:rPr>
                <w:sz w:val="22"/>
              </w:rPr>
              <w:t>Staff Air Travel</w:t>
            </w:r>
          </w:p>
        </w:tc>
        <w:tc>
          <w:tcPr>
            <w:tcW w:w="950" w:type="pct"/>
            <w:tcBorders>
              <w:left w:val="single" w:sz="4" w:space="0" w:color="FFFFFF" w:themeColor="accent6"/>
              <w:bottom w:val="single" w:sz="4" w:space="0" w:color="D9D9D9" w:themeColor="accent4" w:themeShade="D9"/>
              <w:right w:val="single" w:sz="4" w:space="0" w:color="FFFFFF" w:themeColor="accent6"/>
            </w:tcBorders>
            <w:noWrap/>
          </w:tcPr>
          <w:p w14:paraId="2D7D0392" w14:textId="0CF06B0A" w:rsidR="008E42A9" w:rsidRPr="00AE4DBA" w:rsidRDefault="008E42A9" w:rsidP="008E42A9">
            <w:pPr>
              <w:jc w:val="right"/>
              <w:rPr>
                <w:szCs w:val="22"/>
              </w:rPr>
            </w:pPr>
            <w:r w:rsidRPr="00AE4DBA">
              <w:rPr>
                <w:sz w:val="22"/>
                <w:szCs w:val="22"/>
              </w:rPr>
              <w:t xml:space="preserve">52,415 </w:t>
            </w:r>
          </w:p>
        </w:tc>
      </w:tr>
      <w:tr w:rsidR="008E42A9" w:rsidRPr="00AE4DBA" w14:paraId="12BFF247" w14:textId="77777777" w:rsidTr="00DE49E9">
        <w:trPr>
          <w:trHeight w:val="288"/>
        </w:trPr>
        <w:tc>
          <w:tcPr>
            <w:tcW w:w="4050" w:type="pct"/>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noWrap/>
            <w:hideMark/>
          </w:tcPr>
          <w:p w14:paraId="406D940F" w14:textId="77777777" w:rsidR="008E42A9" w:rsidRPr="00AE4DBA" w:rsidRDefault="008E42A9" w:rsidP="008E42A9">
            <w:pPr>
              <w:spacing w:before="0"/>
              <w:ind w:left="0" w:firstLine="0"/>
              <w:rPr>
                <w:sz w:val="22"/>
              </w:rPr>
            </w:pPr>
            <w:r w:rsidRPr="00AE4DBA">
              <w:rPr>
                <w:sz w:val="22"/>
              </w:rPr>
              <w:t>Natural Gas</w:t>
            </w:r>
          </w:p>
        </w:tc>
        <w:tc>
          <w:tcPr>
            <w:tcW w:w="950" w:type="pct"/>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noWrap/>
            <w:hideMark/>
          </w:tcPr>
          <w:p w14:paraId="46D5CA55" w14:textId="56EE2922" w:rsidR="008E42A9" w:rsidRPr="00AE4DBA" w:rsidRDefault="008E42A9" w:rsidP="008E42A9">
            <w:pPr>
              <w:jc w:val="right"/>
              <w:rPr>
                <w:sz w:val="22"/>
                <w:szCs w:val="22"/>
              </w:rPr>
            </w:pPr>
            <w:r w:rsidRPr="00AE4DBA">
              <w:rPr>
                <w:sz w:val="22"/>
                <w:szCs w:val="22"/>
              </w:rPr>
              <w:t xml:space="preserve">50,793 </w:t>
            </w:r>
          </w:p>
        </w:tc>
      </w:tr>
      <w:tr w:rsidR="008E42A9" w:rsidRPr="00AE4DBA" w14:paraId="3241E5C2" w14:textId="77777777" w:rsidTr="00DE49E9">
        <w:trPr>
          <w:trHeight w:val="288"/>
        </w:trPr>
        <w:tc>
          <w:tcPr>
            <w:tcW w:w="4050" w:type="pct"/>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noWrap/>
          </w:tcPr>
          <w:p w14:paraId="68BE47A3" w14:textId="291D6BCB" w:rsidR="008E42A9" w:rsidRPr="00AE4DBA" w:rsidRDefault="008E42A9" w:rsidP="008E42A9">
            <w:pPr>
              <w:spacing w:before="0"/>
              <w:ind w:left="0" w:firstLine="0"/>
              <w:rPr>
                <w:sz w:val="22"/>
              </w:rPr>
            </w:pPr>
            <w:r w:rsidRPr="00AE4DBA">
              <w:rPr>
                <w:sz w:val="22"/>
              </w:rPr>
              <w:t>Electricity</w:t>
            </w:r>
          </w:p>
        </w:tc>
        <w:tc>
          <w:tcPr>
            <w:tcW w:w="950" w:type="pct"/>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noWrap/>
          </w:tcPr>
          <w:p w14:paraId="66CF1ABE" w14:textId="68BD1200" w:rsidR="008E42A9" w:rsidRPr="00AE4DBA" w:rsidRDefault="008E42A9" w:rsidP="008E42A9">
            <w:pPr>
              <w:jc w:val="right"/>
              <w:rPr>
                <w:sz w:val="22"/>
                <w:szCs w:val="22"/>
              </w:rPr>
            </w:pPr>
            <w:r w:rsidRPr="00AE4DBA">
              <w:rPr>
                <w:sz w:val="22"/>
              </w:rPr>
              <w:t>28,235</w:t>
            </w:r>
          </w:p>
        </w:tc>
      </w:tr>
      <w:tr w:rsidR="008E42A9" w:rsidRPr="00AE4DBA" w14:paraId="794744EE" w14:textId="77777777" w:rsidTr="00DE49E9">
        <w:trPr>
          <w:trHeight w:val="288"/>
        </w:trPr>
        <w:tc>
          <w:tcPr>
            <w:tcW w:w="4050" w:type="pct"/>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noWrap/>
          </w:tcPr>
          <w:p w14:paraId="25180B2F" w14:textId="3868803D" w:rsidR="008E42A9" w:rsidRPr="00AE4DBA" w:rsidRDefault="008E42A9" w:rsidP="008E42A9">
            <w:pPr>
              <w:spacing w:before="0"/>
              <w:ind w:left="0" w:firstLine="0"/>
              <w:rPr>
                <w:sz w:val="22"/>
              </w:rPr>
            </w:pPr>
            <w:r w:rsidRPr="00AE4DBA">
              <w:rPr>
                <w:sz w:val="22"/>
              </w:rPr>
              <w:t>Patient Travel by Air</w:t>
            </w:r>
          </w:p>
        </w:tc>
        <w:tc>
          <w:tcPr>
            <w:tcW w:w="950" w:type="pct"/>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noWrap/>
          </w:tcPr>
          <w:p w14:paraId="2671DD65" w14:textId="1C0C6FC4" w:rsidR="008E42A9" w:rsidRPr="00AE4DBA" w:rsidRDefault="008E42A9" w:rsidP="008E42A9">
            <w:pPr>
              <w:spacing w:before="0"/>
              <w:ind w:left="0" w:firstLine="0"/>
              <w:jc w:val="right"/>
              <w:rPr>
                <w:sz w:val="22"/>
              </w:rPr>
            </w:pPr>
            <w:r w:rsidRPr="00AE4DBA">
              <w:rPr>
                <w:sz w:val="22"/>
                <w:szCs w:val="22"/>
              </w:rPr>
              <w:t>15,301</w:t>
            </w:r>
          </w:p>
        </w:tc>
      </w:tr>
      <w:tr w:rsidR="008E42A9" w:rsidRPr="00AE4DBA" w14:paraId="779F155F" w14:textId="77777777" w:rsidTr="00DE49E9">
        <w:trPr>
          <w:trHeight w:val="288"/>
        </w:trPr>
        <w:tc>
          <w:tcPr>
            <w:tcW w:w="4050" w:type="pct"/>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noWrap/>
          </w:tcPr>
          <w:p w14:paraId="3E2C451D" w14:textId="2428703F" w:rsidR="008E42A9" w:rsidRPr="00AE4DBA" w:rsidRDefault="008E42A9" w:rsidP="008E42A9">
            <w:pPr>
              <w:spacing w:before="0"/>
              <w:ind w:left="0" w:firstLine="0"/>
              <w:rPr>
                <w:sz w:val="22"/>
              </w:rPr>
            </w:pPr>
            <w:r w:rsidRPr="00AE4DBA">
              <w:rPr>
                <w:sz w:val="22"/>
              </w:rPr>
              <w:t>Medical Gases and Anaesthetic Vapours</w:t>
            </w:r>
          </w:p>
        </w:tc>
        <w:tc>
          <w:tcPr>
            <w:tcW w:w="950" w:type="pct"/>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noWrap/>
          </w:tcPr>
          <w:p w14:paraId="43643DAE" w14:textId="3E66E3A6" w:rsidR="008E42A9" w:rsidRPr="00AE4DBA" w:rsidRDefault="008E42A9" w:rsidP="008E42A9">
            <w:pPr>
              <w:spacing w:before="0"/>
              <w:ind w:left="0" w:firstLine="0"/>
              <w:jc w:val="right"/>
              <w:rPr>
                <w:sz w:val="22"/>
                <w:szCs w:val="22"/>
              </w:rPr>
            </w:pPr>
            <w:r w:rsidRPr="00AE4DBA">
              <w:rPr>
                <w:sz w:val="22"/>
              </w:rPr>
              <w:t>13,671</w:t>
            </w:r>
          </w:p>
        </w:tc>
      </w:tr>
      <w:tr w:rsidR="008E42A9" w:rsidRPr="00AE4DBA" w14:paraId="208DDFE7" w14:textId="77777777" w:rsidTr="00DE49E9">
        <w:trPr>
          <w:trHeight w:val="288"/>
        </w:trPr>
        <w:tc>
          <w:tcPr>
            <w:tcW w:w="4050" w:type="pct"/>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noWrap/>
          </w:tcPr>
          <w:p w14:paraId="2D03E38F" w14:textId="0C382B14" w:rsidR="008E42A9" w:rsidRPr="00AE4DBA" w:rsidRDefault="008E42A9" w:rsidP="008E42A9">
            <w:pPr>
              <w:spacing w:before="0"/>
              <w:ind w:left="0" w:firstLine="0"/>
              <w:rPr>
                <w:sz w:val="22"/>
              </w:rPr>
            </w:pPr>
            <w:r w:rsidRPr="00AE4DBA">
              <w:rPr>
                <w:sz w:val="22"/>
              </w:rPr>
              <w:t>Patient Travel by Road</w:t>
            </w:r>
          </w:p>
        </w:tc>
        <w:tc>
          <w:tcPr>
            <w:tcW w:w="950" w:type="pct"/>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noWrap/>
          </w:tcPr>
          <w:p w14:paraId="093DBD25" w14:textId="61D95496" w:rsidR="008E42A9" w:rsidRPr="00AE4DBA" w:rsidRDefault="008E42A9" w:rsidP="008E42A9">
            <w:pPr>
              <w:spacing w:before="0"/>
              <w:ind w:left="0" w:firstLine="0"/>
              <w:jc w:val="right"/>
              <w:rPr>
                <w:sz w:val="22"/>
              </w:rPr>
            </w:pPr>
            <w:r w:rsidRPr="00AE4DBA">
              <w:rPr>
                <w:sz w:val="22"/>
              </w:rPr>
              <w:t>12,980</w:t>
            </w:r>
          </w:p>
        </w:tc>
      </w:tr>
      <w:tr w:rsidR="008E42A9" w:rsidRPr="00AE4DBA" w14:paraId="1FEDD5A5" w14:textId="77777777" w:rsidTr="00DE49E9">
        <w:trPr>
          <w:trHeight w:val="288"/>
        </w:trPr>
        <w:tc>
          <w:tcPr>
            <w:tcW w:w="4050" w:type="pct"/>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noWrap/>
          </w:tcPr>
          <w:p w14:paraId="7DD361E1" w14:textId="31DBA32A" w:rsidR="008E42A9" w:rsidRPr="00AE4DBA" w:rsidRDefault="008E42A9" w:rsidP="008E42A9">
            <w:pPr>
              <w:spacing w:before="0"/>
              <w:ind w:left="0" w:firstLine="0"/>
              <w:rPr>
                <w:sz w:val="22"/>
              </w:rPr>
            </w:pPr>
            <w:r w:rsidRPr="00AE4DBA">
              <w:rPr>
                <w:sz w:val="22"/>
              </w:rPr>
              <w:t>Fleet Fuels</w:t>
            </w:r>
          </w:p>
        </w:tc>
        <w:tc>
          <w:tcPr>
            <w:tcW w:w="950" w:type="pct"/>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noWrap/>
          </w:tcPr>
          <w:p w14:paraId="315EE116" w14:textId="520F5D85" w:rsidR="008E42A9" w:rsidRPr="00AE4DBA" w:rsidRDefault="008E42A9" w:rsidP="008E42A9">
            <w:pPr>
              <w:spacing w:before="0"/>
              <w:ind w:left="0" w:firstLine="0"/>
              <w:jc w:val="right"/>
              <w:rPr>
                <w:sz w:val="22"/>
              </w:rPr>
            </w:pPr>
            <w:r w:rsidRPr="00AE4DBA">
              <w:rPr>
                <w:sz w:val="22"/>
              </w:rPr>
              <w:t>8,493</w:t>
            </w:r>
          </w:p>
        </w:tc>
      </w:tr>
      <w:tr w:rsidR="008E42A9" w:rsidRPr="00AE4DBA" w14:paraId="7C20EE13" w14:textId="77777777" w:rsidTr="00DE49E9">
        <w:trPr>
          <w:trHeight w:val="288"/>
        </w:trPr>
        <w:tc>
          <w:tcPr>
            <w:tcW w:w="4050" w:type="pct"/>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noWrap/>
            <w:hideMark/>
          </w:tcPr>
          <w:p w14:paraId="0229EDD1" w14:textId="77777777" w:rsidR="008E42A9" w:rsidRPr="00AE4DBA" w:rsidRDefault="008E42A9" w:rsidP="008E42A9">
            <w:pPr>
              <w:spacing w:before="0"/>
              <w:ind w:left="0" w:firstLine="0"/>
              <w:rPr>
                <w:sz w:val="22"/>
              </w:rPr>
            </w:pPr>
            <w:r w:rsidRPr="00AE4DBA">
              <w:rPr>
                <w:sz w:val="22"/>
              </w:rPr>
              <w:t>Coal</w:t>
            </w:r>
          </w:p>
        </w:tc>
        <w:tc>
          <w:tcPr>
            <w:tcW w:w="950" w:type="pct"/>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noWrap/>
            <w:hideMark/>
          </w:tcPr>
          <w:p w14:paraId="1D951A5C" w14:textId="77777777" w:rsidR="008E42A9" w:rsidRPr="00AE4DBA" w:rsidRDefault="008E42A9" w:rsidP="008E42A9">
            <w:pPr>
              <w:spacing w:before="0"/>
              <w:ind w:left="0" w:firstLine="0"/>
              <w:jc w:val="right"/>
              <w:rPr>
                <w:sz w:val="22"/>
              </w:rPr>
            </w:pPr>
            <w:r w:rsidRPr="00AE4DBA">
              <w:rPr>
                <w:sz w:val="22"/>
              </w:rPr>
              <w:t>8,304</w:t>
            </w:r>
          </w:p>
        </w:tc>
      </w:tr>
      <w:tr w:rsidR="008E42A9" w:rsidRPr="00AE4DBA" w14:paraId="08A2E607" w14:textId="77777777" w:rsidTr="00DE49E9">
        <w:trPr>
          <w:trHeight w:val="288"/>
        </w:trPr>
        <w:tc>
          <w:tcPr>
            <w:tcW w:w="4050" w:type="pct"/>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noWrap/>
            <w:hideMark/>
          </w:tcPr>
          <w:p w14:paraId="1F3DA372" w14:textId="77777777" w:rsidR="008E42A9" w:rsidRPr="00AE4DBA" w:rsidRDefault="008E42A9" w:rsidP="008E42A9">
            <w:pPr>
              <w:spacing w:before="0"/>
              <w:ind w:left="0" w:firstLine="0"/>
              <w:rPr>
                <w:sz w:val="22"/>
              </w:rPr>
            </w:pPr>
            <w:r w:rsidRPr="00AE4DBA">
              <w:rPr>
                <w:sz w:val="22"/>
              </w:rPr>
              <w:t>Waste</w:t>
            </w:r>
          </w:p>
        </w:tc>
        <w:tc>
          <w:tcPr>
            <w:tcW w:w="950" w:type="pct"/>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noWrap/>
            <w:hideMark/>
          </w:tcPr>
          <w:p w14:paraId="1AB40EA7" w14:textId="30E5A54D" w:rsidR="008E42A9" w:rsidRPr="00AE4DBA" w:rsidRDefault="008E42A9" w:rsidP="008E42A9">
            <w:pPr>
              <w:spacing w:before="0"/>
              <w:ind w:left="0" w:firstLine="0"/>
              <w:jc w:val="right"/>
              <w:rPr>
                <w:sz w:val="22"/>
              </w:rPr>
            </w:pPr>
            <w:r w:rsidRPr="00AE4DBA">
              <w:rPr>
                <w:sz w:val="22"/>
              </w:rPr>
              <w:t>6,368</w:t>
            </w:r>
          </w:p>
        </w:tc>
      </w:tr>
      <w:tr w:rsidR="008E42A9" w:rsidRPr="00AE4DBA" w14:paraId="4182AF9B" w14:textId="77777777" w:rsidTr="00DE49E9">
        <w:trPr>
          <w:trHeight w:val="288"/>
        </w:trPr>
        <w:tc>
          <w:tcPr>
            <w:tcW w:w="4050" w:type="pct"/>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noWrap/>
            <w:hideMark/>
          </w:tcPr>
          <w:p w14:paraId="6C5F4759" w14:textId="30CE47C4" w:rsidR="008E42A9" w:rsidRPr="00AE4DBA" w:rsidRDefault="002F4A82" w:rsidP="008E42A9">
            <w:pPr>
              <w:spacing w:before="0"/>
              <w:ind w:left="0" w:firstLine="0"/>
              <w:rPr>
                <w:sz w:val="22"/>
              </w:rPr>
            </w:pPr>
            <w:r>
              <w:rPr>
                <w:sz w:val="22"/>
              </w:rPr>
              <w:t>Water &amp; Waste</w:t>
            </w:r>
            <w:r w:rsidR="005C58F7">
              <w:rPr>
                <w:sz w:val="22"/>
              </w:rPr>
              <w:t>water</w:t>
            </w:r>
          </w:p>
        </w:tc>
        <w:tc>
          <w:tcPr>
            <w:tcW w:w="950" w:type="pct"/>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noWrap/>
            <w:hideMark/>
          </w:tcPr>
          <w:p w14:paraId="1E411300" w14:textId="197FD796" w:rsidR="008E42A9" w:rsidRPr="00AE4DBA" w:rsidRDefault="008E42A9" w:rsidP="008E42A9">
            <w:pPr>
              <w:spacing w:before="0"/>
              <w:ind w:left="0" w:firstLine="0"/>
              <w:jc w:val="right"/>
              <w:rPr>
                <w:sz w:val="22"/>
              </w:rPr>
            </w:pPr>
            <w:r w:rsidRPr="00AE4DBA">
              <w:rPr>
                <w:sz w:val="22"/>
              </w:rPr>
              <w:t>2,</w:t>
            </w:r>
            <w:r w:rsidR="002F4A82">
              <w:rPr>
                <w:sz w:val="22"/>
              </w:rPr>
              <w:t>920</w:t>
            </w:r>
          </w:p>
        </w:tc>
      </w:tr>
    </w:tbl>
    <w:p w14:paraId="7AE58858" w14:textId="77777777" w:rsidR="00CA0F24" w:rsidRPr="00AE4DBA" w:rsidRDefault="00CA0F24" w:rsidP="00E21CF2"/>
    <w:p w14:paraId="512AE685" w14:textId="599B75CC" w:rsidR="00BE50B5" w:rsidRPr="00AE4DBA" w:rsidRDefault="00D40030" w:rsidP="00BE50B5">
      <w:pPr>
        <w:pStyle w:val="BodyText1"/>
        <w:rPr>
          <w:highlight w:val="yellow"/>
          <w:lang w:val="en-NZ"/>
        </w:rPr>
      </w:pPr>
      <w:r w:rsidRPr="00AE4DBA">
        <w:rPr>
          <w:lang w:val="en-NZ"/>
        </w:rPr>
        <w:t xml:space="preserve">For the reporting period, direct emissions (Category 1) totalled </w:t>
      </w:r>
      <w:r w:rsidR="00833465" w:rsidRPr="00AE4DBA">
        <w:rPr>
          <w:lang w:val="en-NZ"/>
        </w:rPr>
        <w:t>83,</w:t>
      </w:r>
      <w:r w:rsidR="00DF5510" w:rsidRPr="00AE4DBA">
        <w:rPr>
          <w:lang w:val="en-NZ"/>
        </w:rPr>
        <w:t>08</w:t>
      </w:r>
      <w:r w:rsidR="0074666B">
        <w:rPr>
          <w:lang w:val="en-NZ"/>
        </w:rPr>
        <w:t>7</w:t>
      </w:r>
      <w:r w:rsidR="002670F1" w:rsidRPr="00AE4DBA">
        <w:rPr>
          <w:lang w:val="en-NZ"/>
        </w:rPr>
        <w:t xml:space="preserve"> </w:t>
      </w:r>
      <w:r w:rsidRPr="00AE4DBA">
        <w:rPr>
          <w:lang w:val="en-NZ"/>
        </w:rPr>
        <w:t>tCO</w:t>
      </w:r>
      <w:r w:rsidRPr="00AE4DBA">
        <w:rPr>
          <w:vertAlign w:val="subscript"/>
          <w:lang w:val="en-NZ"/>
        </w:rPr>
        <w:t>2</w:t>
      </w:r>
      <w:r w:rsidRPr="00AE4DBA">
        <w:rPr>
          <w:lang w:val="en-NZ"/>
        </w:rPr>
        <w:t xml:space="preserve">e and indirect </w:t>
      </w:r>
      <w:r w:rsidR="007221FF" w:rsidRPr="00AE4DBA">
        <w:rPr>
          <w:lang w:val="en-NZ"/>
        </w:rPr>
        <w:t>(</w:t>
      </w:r>
      <w:r w:rsidR="00E37714" w:rsidRPr="00AE4DBA">
        <w:rPr>
          <w:lang w:val="en-NZ"/>
        </w:rPr>
        <w:t>Category</w:t>
      </w:r>
      <w:r w:rsidR="702771D3" w:rsidRPr="00AE4DBA">
        <w:rPr>
          <w:lang w:val="en-NZ"/>
        </w:rPr>
        <w:t xml:space="preserve"> 2,</w:t>
      </w:r>
      <w:r w:rsidR="00E37714" w:rsidRPr="00AE4DBA">
        <w:rPr>
          <w:lang w:val="en-NZ"/>
        </w:rPr>
        <w:t>3,</w:t>
      </w:r>
      <w:r w:rsidR="5EF8CE41" w:rsidRPr="7C571EA4">
        <w:rPr>
          <w:lang w:val="en-NZ"/>
        </w:rPr>
        <w:t xml:space="preserve"> and </w:t>
      </w:r>
      <w:r w:rsidR="00E37714" w:rsidRPr="00AE4DBA">
        <w:rPr>
          <w:lang w:val="en-NZ"/>
        </w:rPr>
        <w:t xml:space="preserve">4) </w:t>
      </w:r>
      <w:r w:rsidRPr="00AE4DBA">
        <w:rPr>
          <w:lang w:val="en-NZ"/>
        </w:rPr>
        <w:t xml:space="preserve">emissions totalled </w:t>
      </w:r>
      <w:r w:rsidR="00833465" w:rsidRPr="00AE4DBA">
        <w:rPr>
          <w:lang w:val="en-NZ"/>
        </w:rPr>
        <w:t>1</w:t>
      </w:r>
      <w:r w:rsidR="002F4A82">
        <w:rPr>
          <w:lang w:val="en-NZ"/>
        </w:rPr>
        <w:t>22</w:t>
      </w:r>
      <w:r w:rsidR="00833465" w:rsidRPr="00AE4DBA">
        <w:rPr>
          <w:lang w:val="en-NZ"/>
        </w:rPr>
        <w:t>,</w:t>
      </w:r>
      <w:r w:rsidR="002F4A82">
        <w:rPr>
          <w:lang w:val="en-NZ"/>
        </w:rPr>
        <w:t>188</w:t>
      </w:r>
      <w:r w:rsidR="00833465" w:rsidRPr="00AE4DBA">
        <w:rPr>
          <w:lang w:val="en-NZ"/>
        </w:rPr>
        <w:t xml:space="preserve"> </w:t>
      </w:r>
      <w:r w:rsidRPr="00AE4DBA">
        <w:rPr>
          <w:lang w:val="en-NZ"/>
        </w:rPr>
        <w:t>tCO</w:t>
      </w:r>
      <w:r w:rsidRPr="00AE4DBA">
        <w:rPr>
          <w:vertAlign w:val="subscript"/>
          <w:lang w:val="en-NZ"/>
        </w:rPr>
        <w:t>2</w:t>
      </w:r>
      <w:r w:rsidRPr="00AE4DBA">
        <w:rPr>
          <w:lang w:val="en-NZ"/>
        </w:rPr>
        <w:t xml:space="preserve">e (Table </w:t>
      </w:r>
      <w:r w:rsidR="5E2A4DA2" w:rsidRPr="00AE4DBA">
        <w:rPr>
          <w:lang w:val="en-NZ"/>
        </w:rPr>
        <w:t>4</w:t>
      </w:r>
      <w:r w:rsidRPr="00AE4DBA">
        <w:rPr>
          <w:lang w:val="en-NZ"/>
        </w:rPr>
        <w:t xml:space="preserve">) </w:t>
      </w:r>
    </w:p>
    <w:p w14:paraId="3AC17459" w14:textId="77777777" w:rsidR="008914DC" w:rsidRPr="00AE4DBA" w:rsidRDefault="008914DC" w:rsidP="00BE50B5">
      <w:pPr>
        <w:pStyle w:val="BodyText1"/>
        <w:rPr>
          <w:lang w:val="en-NZ"/>
        </w:rPr>
      </w:pPr>
    </w:p>
    <w:p w14:paraId="2A1175AE" w14:textId="7E279776" w:rsidR="008914DC" w:rsidRPr="00AE4DBA" w:rsidRDefault="003530DC" w:rsidP="003530DC">
      <w:pPr>
        <w:pStyle w:val="Caption"/>
      </w:pPr>
      <w:bookmarkStart w:id="36" w:name="_Toc176252082"/>
      <w:r w:rsidRPr="00AE4DBA">
        <w:lastRenderedPageBreak/>
        <w:t xml:space="preserve">Table </w:t>
      </w:r>
      <w:r>
        <w:fldChar w:fldCharType="begin"/>
      </w:r>
      <w:r>
        <w:instrText>SEQ Table \* ARABIC</w:instrText>
      </w:r>
      <w:r>
        <w:fldChar w:fldCharType="separate"/>
      </w:r>
      <w:r w:rsidR="003130CC" w:rsidRPr="00AE4DBA">
        <w:rPr>
          <w:noProof/>
        </w:rPr>
        <w:t>4</w:t>
      </w:r>
      <w:r>
        <w:fldChar w:fldCharType="end"/>
      </w:r>
      <w:r w:rsidRPr="00AE4DBA">
        <w:t xml:space="preserve"> Direct and Indirect Emissions Sources</w:t>
      </w:r>
      <w:bookmarkEnd w:id="36"/>
    </w:p>
    <w:tbl>
      <w:tblPr>
        <w:tblW w:w="9067" w:type="dxa"/>
        <w:tblLook w:val="04A0" w:firstRow="1" w:lastRow="0" w:firstColumn="1" w:lastColumn="0" w:noHBand="0" w:noVBand="1"/>
      </w:tblPr>
      <w:tblGrid>
        <w:gridCol w:w="3397"/>
        <w:gridCol w:w="1985"/>
        <w:gridCol w:w="1559"/>
        <w:gridCol w:w="2126"/>
      </w:tblGrid>
      <w:tr w:rsidR="008914DC" w:rsidRPr="00AE4DBA" w14:paraId="118A1AE3" w14:textId="77777777" w:rsidTr="71B42766">
        <w:trPr>
          <w:trHeight w:val="376"/>
        </w:trPr>
        <w:tc>
          <w:tcPr>
            <w:tcW w:w="3397" w:type="dxa"/>
            <w:tcBorders>
              <w:right w:val="nil"/>
            </w:tcBorders>
            <w:shd w:val="clear" w:color="auto" w:fill="15284C" w:themeFill="accent5"/>
            <w:noWrap/>
            <w:vAlign w:val="center"/>
            <w:hideMark/>
          </w:tcPr>
          <w:p w14:paraId="40D1252C" w14:textId="77777777" w:rsidR="008914DC" w:rsidRPr="00AE4DBA" w:rsidRDefault="008914DC">
            <w:pPr>
              <w:rPr>
                <w:rFonts w:cs="Arial"/>
                <w:color w:val="FFFFFF" w:themeColor="accent6"/>
              </w:rPr>
            </w:pPr>
          </w:p>
        </w:tc>
        <w:tc>
          <w:tcPr>
            <w:tcW w:w="1985" w:type="dxa"/>
            <w:tcBorders>
              <w:left w:val="nil"/>
              <w:right w:val="nil"/>
            </w:tcBorders>
            <w:shd w:val="clear" w:color="auto" w:fill="15284C" w:themeFill="accent5"/>
            <w:noWrap/>
            <w:vAlign w:val="center"/>
            <w:hideMark/>
          </w:tcPr>
          <w:p w14:paraId="328BF209" w14:textId="77777777" w:rsidR="008914DC" w:rsidRPr="00AE4DBA" w:rsidRDefault="008914DC" w:rsidP="00833465">
            <w:pPr>
              <w:jc w:val="both"/>
              <w:rPr>
                <w:rFonts w:cs="Arial"/>
                <w:b/>
                <w:color w:val="FFFFFF"/>
              </w:rPr>
            </w:pPr>
            <w:bookmarkStart w:id="37" w:name="RANGE!B7:C13"/>
            <w:r w:rsidRPr="00AE4DBA">
              <w:rPr>
                <w:rFonts w:cs="Arial"/>
                <w:b/>
                <w:color w:val="FFFFFF"/>
              </w:rPr>
              <w:t>Category</w:t>
            </w:r>
            <w:bookmarkEnd w:id="37"/>
          </w:p>
        </w:tc>
        <w:tc>
          <w:tcPr>
            <w:tcW w:w="1559" w:type="dxa"/>
            <w:tcBorders>
              <w:left w:val="nil"/>
              <w:right w:val="nil"/>
            </w:tcBorders>
            <w:shd w:val="clear" w:color="auto" w:fill="15284C" w:themeFill="accent5"/>
            <w:noWrap/>
            <w:vAlign w:val="center"/>
            <w:hideMark/>
          </w:tcPr>
          <w:p w14:paraId="3DD11012" w14:textId="77777777" w:rsidR="008914DC" w:rsidRPr="00AE4DBA" w:rsidRDefault="008914DC">
            <w:pPr>
              <w:jc w:val="center"/>
              <w:rPr>
                <w:rFonts w:cs="Arial"/>
                <w:b/>
                <w:color w:val="FFFFFF"/>
              </w:rPr>
            </w:pPr>
            <w:r w:rsidRPr="00AE4DBA">
              <w:rPr>
                <w:rFonts w:cs="Arial"/>
                <w:b/>
                <w:color w:val="FFFFFF"/>
              </w:rPr>
              <w:t>tCO</w:t>
            </w:r>
            <w:r w:rsidRPr="00AE4DBA">
              <w:rPr>
                <w:rFonts w:cs="Arial"/>
                <w:b/>
                <w:color w:val="FFFFFF"/>
                <w:vertAlign w:val="subscript"/>
              </w:rPr>
              <w:t>2</w:t>
            </w:r>
            <w:r w:rsidRPr="00AE4DBA">
              <w:rPr>
                <w:rFonts w:cs="Arial"/>
                <w:b/>
                <w:color w:val="FFFFFF"/>
              </w:rPr>
              <w:t>e</w:t>
            </w:r>
          </w:p>
        </w:tc>
        <w:tc>
          <w:tcPr>
            <w:tcW w:w="2126" w:type="dxa"/>
            <w:tcBorders>
              <w:left w:val="nil"/>
              <w:right w:val="nil"/>
            </w:tcBorders>
            <w:shd w:val="clear" w:color="auto" w:fill="15284C" w:themeFill="accent5"/>
            <w:noWrap/>
            <w:vAlign w:val="center"/>
            <w:hideMark/>
          </w:tcPr>
          <w:p w14:paraId="18626359" w14:textId="76C94956" w:rsidR="008914DC" w:rsidRPr="00AE4DBA" w:rsidRDefault="003B0672">
            <w:pPr>
              <w:jc w:val="right"/>
              <w:rPr>
                <w:rFonts w:cs="Arial"/>
                <w:b/>
                <w:color w:val="FFFFFF"/>
              </w:rPr>
            </w:pPr>
            <w:r>
              <w:rPr>
                <w:rFonts w:cs="Arial"/>
                <w:b/>
                <w:color w:val="FFFFFF"/>
              </w:rPr>
              <w:t>Subtotal</w:t>
            </w:r>
          </w:p>
        </w:tc>
      </w:tr>
      <w:tr w:rsidR="008914DC" w:rsidRPr="00AE4DBA" w14:paraId="05EBCE7B" w14:textId="77777777" w:rsidTr="007F3C97">
        <w:trPr>
          <w:trHeight w:val="300"/>
        </w:trPr>
        <w:tc>
          <w:tcPr>
            <w:tcW w:w="3397" w:type="dxa"/>
            <w:tcBorders>
              <w:left w:val="single" w:sz="4" w:space="0" w:color="F6F4EC" w:themeColor="background1"/>
              <w:bottom w:val="single" w:sz="4" w:space="0" w:color="D9D9D9" w:themeColor="accent4" w:themeShade="D9"/>
              <w:right w:val="nil"/>
            </w:tcBorders>
            <w:shd w:val="clear" w:color="auto" w:fill="auto"/>
            <w:noWrap/>
            <w:vAlign w:val="bottom"/>
            <w:hideMark/>
          </w:tcPr>
          <w:p w14:paraId="7EF207FE" w14:textId="77777777" w:rsidR="008914DC" w:rsidRPr="00AE4DBA" w:rsidRDefault="008914DC" w:rsidP="00E21CF2">
            <w:pPr>
              <w:pStyle w:val="BodyText1"/>
              <w:rPr>
                <w:lang w:val="en-NZ"/>
              </w:rPr>
            </w:pPr>
            <w:r w:rsidRPr="00AE4DBA">
              <w:rPr>
                <w:lang w:val="en-NZ"/>
              </w:rPr>
              <w:t>Direct Emissions</w:t>
            </w:r>
          </w:p>
        </w:tc>
        <w:tc>
          <w:tcPr>
            <w:tcW w:w="1985" w:type="dxa"/>
            <w:tcBorders>
              <w:left w:val="nil"/>
              <w:bottom w:val="single" w:sz="4" w:space="0" w:color="D9D9D9" w:themeColor="accent4" w:themeShade="D9"/>
              <w:right w:val="nil"/>
            </w:tcBorders>
            <w:shd w:val="clear" w:color="auto" w:fill="auto"/>
            <w:noWrap/>
            <w:vAlign w:val="bottom"/>
            <w:hideMark/>
          </w:tcPr>
          <w:p w14:paraId="26299329" w14:textId="77777777" w:rsidR="008914DC" w:rsidRPr="00AE4DBA" w:rsidRDefault="008914DC" w:rsidP="00E21CF2">
            <w:pPr>
              <w:pStyle w:val="BodyText1"/>
              <w:rPr>
                <w:lang w:val="en-NZ"/>
              </w:rPr>
            </w:pPr>
            <w:r w:rsidRPr="00AE4DBA">
              <w:rPr>
                <w:lang w:val="en-NZ"/>
              </w:rPr>
              <w:t>Category 1</w:t>
            </w:r>
          </w:p>
        </w:tc>
        <w:tc>
          <w:tcPr>
            <w:tcW w:w="1559" w:type="dxa"/>
            <w:tcBorders>
              <w:left w:val="nil"/>
              <w:bottom w:val="single" w:sz="4" w:space="0" w:color="D9D9D9" w:themeColor="accent4" w:themeShade="D9"/>
              <w:right w:val="nil"/>
            </w:tcBorders>
            <w:shd w:val="clear" w:color="auto" w:fill="auto"/>
            <w:noWrap/>
            <w:vAlign w:val="bottom"/>
          </w:tcPr>
          <w:p w14:paraId="23FF5759" w14:textId="6FF5D2A1" w:rsidR="008914DC" w:rsidRPr="00AE4DBA" w:rsidRDefault="00833465" w:rsidP="00833465">
            <w:pPr>
              <w:pStyle w:val="BodyText1"/>
              <w:jc w:val="right"/>
              <w:rPr>
                <w:lang w:val="en-NZ"/>
              </w:rPr>
            </w:pPr>
            <w:r w:rsidRPr="00AE4DBA">
              <w:rPr>
                <w:lang w:val="en-NZ"/>
              </w:rPr>
              <w:t>83,</w:t>
            </w:r>
            <w:r w:rsidR="00A56C70" w:rsidRPr="00AE4DBA">
              <w:rPr>
                <w:lang w:val="en-NZ"/>
              </w:rPr>
              <w:t>080</w:t>
            </w:r>
            <w:r w:rsidRPr="00AE4DBA">
              <w:rPr>
                <w:lang w:val="en-NZ"/>
              </w:rPr>
              <w:t xml:space="preserve"> </w:t>
            </w:r>
          </w:p>
        </w:tc>
        <w:tc>
          <w:tcPr>
            <w:tcW w:w="2126" w:type="dxa"/>
            <w:tcBorders>
              <w:left w:val="nil"/>
              <w:bottom w:val="single" w:sz="4" w:space="0" w:color="D9D9D9" w:themeColor="accent4" w:themeShade="D9"/>
              <w:right w:val="nil"/>
            </w:tcBorders>
            <w:shd w:val="clear" w:color="auto" w:fill="auto"/>
            <w:noWrap/>
            <w:vAlign w:val="bottom"/>
            <w:hideMark/>
          </w:tcPr>
          <w:p w14:paraId="15C6C7CD" w14:textId="3FA0724C" w:rsidR="008914DC" w:rsidRPr="00AE4DBA" w:rsidRDefault="00833465" w:rsidP="00833465">
            <w:pPr>
              <w:pStyle w:val="BodyText1"/>
              <w:jc w:val="right"/>
              <w:rPr>
                <w:rFonts w:cs="Arial"/>
                <w:lang w:val="en-NZ"/>
              </w:rPr>
            </w:pPr>
            <w:r w:rsidRPr="00AE4DBA">
              <w:rPr>
                <w:rFonts w:cs="Arial"/>
                <w:lang w:val="en-NZ"/>
              </w:rPr>
              <w:t>83,</w:t>
            </w:r>
            <w:r w:rsidR="00DF5510" w:rsidRPr="00AE4DBA">
              <w:rPr>
                <w:rFonts w:cs="Arial"/>
                <w:lang w:val="en-NZ"/>
              </w:rPr>
              <w:t>08</w:t>
            </w:r>
            <w:r w:rsidR="004B5173">
              <w:rPr>
                <w:rFonts w:cs="Arial"/>
                <w:lang w:val="en-NZ"/>
              </w:rPr>
              <w:t>7</w:t>
            </w:r>
            <w:r w:rsidRPr="00AE4DBA">
              <w:rPr>
                <w:rFonts w:cs="Arial"/>
                <w:lang w:val="en-NZ"/>
              </w:rPr>
              <w:t xml:space="preserve"> </w:t>
            </w:r>
          </w:p>
        </w:tc>
      </w:tr>
      <w:tr w:rsidR="008914DC" w:rsidRPr="00AE4DBA" w14:paraId="4C86EF98" w14:textId="77777777" w:rsidTr="007F3C97">
        <w:trPr>
          <w:trHeight w:val="300"/>
        </w:trPr>
        <w:tc>
          <w:tcPr>
            <w:tcW w:w="3397" w:type="dxa"/>
            <w:vMerge w:val="restart"/>
            <w:tcBorders>
              <w:top w:val="single" w:sz="4" w:space="0" w:color="D9D9D9" w:themeColor="accent4" w:themeShade="D9"/>
              <w:left w:val="single" w:sz="4" w:space="0" w:color="F6F4EC" w:themeColor="background1"/>
              <w:bottom w:val="single" w:sz="4" w:space="0" w:color="A6A6A6" w:themeColor="accent6" w:themeShade="A6"/>
              <w:right w:val="nil"/>
            </w:tcBorders>
            <w:shd w:val="clear" w:color="auto" w:fill="auto"/>
            <w:noWrap/>
            <w:vAlign w:val="center"/>
            <w:hideMark/>
          </w:tcPr>
          <w:p w14:paraId="425CF157" w14:textId="77777777" w:rsidR="008914DC" w:rsidRPr="00AE4DBA" w:rsidRDefault="008914DC" w:rsidP="00E21CF2">
            <w:pPr>
              <w:pStyle w:val="BodyText1"/>
              <w:rPr>
                <w:lang w:val="en-NZ"/>
              </w:rPr>
            </w:pPr>
            <w:r w:rsidRPr="00AE4DBA">
              <w:rPr>
                <w:lang w:val="en-NZ"/>
              </w:rPr>
              <w:t xml:space="preserve">Indirect Emissions </w:t>
            </w:r>
          </w:p>
        </w:tc>
        <w:tc>
          <w:tcPr>
            <w:tcW w:w="1985" w:type="dxa"/>
            <w:tcBorders>
              <w:top w:val="single" w:sz="4" w:space="0" w:color="D9D9D9" w:themeColor="accent4" w:themeShade="D9"/>
              <w:left w:val="nil"/>
              <w:bottom w:val="single" w:sz="4" w:space="0" w:color="D9D9D9" w:themeColor="accent4" w:themeShade="D9"/>
              <w:right w:val="nil"/>
            </w:tcBorders>
            <w:shd w:val="clear" w:color="auto" w:fill="auto"/>
            <w:noWrap/>
            <w:vAlign w:val="bottom"/>
            <w:hideMark/>
          </w:tcPr>
          <w:p w14:paraId="02A37A57" w14:textId="77777777" w:rsidR="008914DC" w:rsidRPr="00AE4DBA" w:rsidRDefault="008914DC" w:rsidP="00E21CF2">
            <w:pPr>
              <w:pStyle w:val="BodyText1"/>
              <w:rPr>
                <w:lang w:val="en-NZ"/>
              </w:rPr>
            </w:pPr>
            <w:r w:rsidRPr="00AE4DBA">
              <w:rPr>
                <w:lang w:val="en-NZ"/>
              </w:rPr>
              <w:t>Category 2</w:t>
            </w:r>
          </w:p>
        </w:tc>
        <w:tc>
          <w:tcPr>
            <w:tcW w:w="1559" w:type="dxa"/>
            <w:tcBorders>
              <w:top w:val="single" w:sz="4" w:space="0" w:color="D9D9D9" w:themeColor="accent4" w:themeShade="D9"/>
              <w:left w:val="nil"/>
              <w:bottom w:val="single" w:sz="4" w:space="0" w:color="D9D9D9" w:themeColor="accent4" w:themeShade="D9"/>
              <w:right w:val="nil"/>
            </w:tcBorders>
            <w:shd w:val="clear" w:color="auto" w:fill="auto"/>
            <w:noWrap/>
            <w:vAlign w:val="bottom"/>
            <w:hideMark/>
          </w:tcPr>
          <w:p w14:paraId="54990604" w14:textId="4793B182" w:rsidR="008914DC" w:rsidRPr="00AE4DBA" w:rsidRDefault="00F40C9B" w:rsidP="004F7A43">
            <w:pPr>
              <w:pStyle w:val="BodyText1"/>
              <w:jc w:val="right"/>
              <w:rPr>
                <w:lang w:val="en-NZ"/>
              </w:rPr>
            </w:pPr>
            <w:r w:rsidRPr="00AE4DBA">
              <w:rPr>
                <w:lang w:val="en-NZ"/>
              </w:rPr>
              <w:t>2</w:t>
            </w:r>
            <w:r w:rsidR="00A56C70" w:rsidRPr="00AE4DBA">
              <w:rPr>
                <w:lang w:val="en-NZ"/>
              </w:rPr>
              <w:t>7</w:t>
            </w:r>
            <w:r w:rsidRPr="00AE4DBA">
              <w:rPr>
                <w:lang w:val="en-NZ"/>
              </w:rPr>
              <w:t>,</w:t>
            </w:r>
            <w:r w:rsidR="00A56C70" w:rsidRPr="00AE4DBA">
              <w:rPr>
                <w:lang w:val="en-NZ"/>
              </w:rPr>
              <w:t>0</w:t>
            </w:r>
            <w:r w:rsidR="004B5173">
              <w:rPr>
                <w:lang w:val="en-NZ"/>
              </w:rPr>
              <w:t>15</w:t>
            </w:r>
            <w:r w:rsidRPr="00AE4DBA">
              <w:rPr>
                <w:lang w:val="en-NZ"/>
              </w:rPr>
              <w:t xml:space="preserve"> </w:t>
            </w:r>
          </w:p>
        </w:tc>
        <w:tc>
          <w:tcPr>
            <w:tcW w:w="2126" w:type="dxa"/>
            <w:vMerge w:val="restart"/>
            <w:tcBorders>
              <w:top w:val="single" w:sz="4" w:space="0" w:color="D9D9D9" w:themeColor="accent4" w:themeShade="D9"/>
              <w:left w:val="nil"/>
              <w:bottom w:val="single" w:sz="4" w:space="0" w:color="A6A6A6" w:themeColor="accent6" w:themeShade="A6"/>
              <w:right w:val="nil"/>
            </w:tcBorders>
            <w:shd w:val="clear" w:color="auto" w:fill="auto"/>
            <w:noWrap/>
            <w:vAlign w:val="center"/>
          </w:tcPr>
          <w:p w14:paraId="0D8899F4" w14:textId="42D94B10" w:rsidR="008914DC" w:rsidRPr="00AE4DBA" w:rsidRDefault="00833465" w:rsidP="00833465">
            <w:pPr>
              <w:jc w:val="right"/>
              <w:rPr>
                <w:rFonts w:cs="Arial"/>
                <w:color w:val="000000"/>
              </w:rPr>
            </w:pPr>
            <w:r w:rsidRPr="00AE4DBA">
              <w:rPr>
                <w:rFonts w:cs="Arial"/>
                <w:color w:val="000000"/>
              </w:rPr>
              <w:t>1</w:t>
            </w:r>
            <w:r w:rsidR="002F4A82">
              <w:rPr>
                <w:rFonts w:cs="Arial"/>
                <w:color w:val="000000"/>
              </w:rPr>
              <w:t>22</w:t>
            </w:r>
            <w:r w:rsidR="1F58EA38" w:rsidRPr="00AE4DBA">
              <w:rPr>
                <w:rFonts w:cs="Arial"/>
                <w:color w:val="000000"/>
              </w:rPr>
              <w:t>,</w:t>
            </w:r>
            <w:r w:rsidR="002F4A82">
              <w:rPr>
                <w:rFonts w:cs="Arial"/>
                <w:color w:val="000000"/>
              </w:rPr>
              <w:t>188</w:t>
            </w:r>
            <w:r w:rsidRPr="00AE4DBA">
              <w:rPr>
                <w:rFonts w:cs="Arial"/>
                <w:color w:val="000000"/>
              </w:rPr>
              <w:t xml:space="preserve"> </w:t>
            </w:r>
          </w:p>
        </w:tc>
      </w:tr>
      <w:tr w:rsidR="008914DC" w:rsidRPr="00AE4DBA" w14:paraId="3425CF9A" w14:textId="77777777" w:rsidTr="007F3C97">
        <w:trPr>
          <w:trHeight w:val="300"/>
        </w:trPr>
        <w:tc>
          <w:tcPr>
            <w:tcW w:w="3397" w:type="dxa"/>
            <w:vMerge/>
            <w:vAlign w:val="center"/>
            <w:hideMark/>
          </w:tcPr>
          <w:p w14:paraId="6FA27EC5" w14:textId="77777777" w:rsidR="008914DC" w:rsidRPr="00AE4DBA" w:rsidRDefault="008914DC" w:rsidP="00E21CF2">
            <w:pPr>
              <w:pStyle w:val="BodyText1"/>
              <w:rPr>
                <w:lang w:val="en-NZ"/>
              </w:rPr>
            </w:pPr>
          </w:p>
        </w:tc>
        <w:tc>
          <w:tcPr>
            <w:tcW w:w="1985" w:type="dxa"/>
            <w:tcBorders>
              <w:top w:val="single" w:sz="4" w:space="0" w:color="D9D9D9" w:themeColor="accent4" w:themeShade="D9"/>
              <w:left w:val="nil"/>
              <w:bottom w:val="single" w:sz="4" w:space="0" w:color="D9D9D9" w:themeColor="accent4" w:themeShade="D9"/>
              <w:right w:val="nil"/>
            </w:tcBorders>
            <w:shd w:val="clear" w:color="auto" w:fill="auto"/>
            <w:noWrap/>
            <w:vAlign w:val="bottom"/>
            <w:hideMark/>
          </w:tcPr>
          <w:p w14:paraId="47E642A1" w14:textId="77777777" w:rsidR="008914DC" w:rsidRPr="00AE4DBA" w:rsidRDefault="008914DC" w:rsidP="00E21CF2">
            <w:pPr>
              <w:pStyle w:val="BodyText1"/>
              <w:rPr>
                <w:lang w:val="en-NZ"/>
              </w:rPr>
            </w:pPr>
            <w:r w:rsidRPr="00AE4DBA">
              <w:rPr>
                <w:lang w:val="en-NZ"/>
              </w:rPr>
              <w:t>Category 3</w:t>
            </w:r>
          </w:p>
        </w:tc>
        <w:tc>
          <w:tcPr>
            <w:tcW w:w="1559" w:type="dxa"/>
            <w:tcBorders>
              <w:top w:val="single" w:sz="4" w:space="0" w:color="D9D9D9" w:themeColor="accent4" w:themeShade="D9"/>
              <w:left w:val="nil"/>
              <w:bottom w:val="single" w:sz="4" w:space="0" w:color="D9D9D9" w:themeColor="accent4" w:themeShade="D9"/>
              <w:right w:val="nil"/>
            </w:tcBorders>
            <w:shd w:val="clear" w:color="auto" w:fill="auto"/>
            <w:noWrap/>
            <w:vAlign w:val="bottom"/>
            <w:hideMark/>
          </w:tcPr>
          <w:p w14:paraId="6796E617" w14:textId="2E3DA989" w:rsidR="008914DC" w:rsidRPr="00AE4DBA" w:rsidRDefault="00A56C70" w:rsidP="004F7A43">
            <w:pPr>
              <w:pStyle w:val="BodyText1"/>
              <w:jc w:val="right"/>
              <w:rPr>
                <w:lang w:val="en-NZ"/>
              </w:rPr>
            </w:pPr>
            <w:r w:rsidRPr="00AE4DBA">
              <w:rPr>
                <w:lang w:val="en-NZ"/>
              </w:rPr>
              <w:t>80</w:t>
            </w:r>
            <w:r w:rsidR="2D4A9171" w:rsidRPr="00AE4DBA">
              <w:rPr>
                <w:lang w:val="en-NZ"/>
              </w:rPr>
              <w:t>,6</w:t>
            </w:r>
            <w:r w:rsidRPr="00AE4DBA">
              <w:rPr>
                <w:lang w:val="en-NZ"/>
              </w:rPr>
              <w:t>96</w:t>
            </w:r>
            <w:r w:rsidR="00F40C9B" w:rsidRPr="00AE4DBA">
              <w:rPr>
                <w:lang w:val="en-NZ"/>
              </w:rPr>
              <w:t xml:space="preserve"> </w:t>
            </w:r>
          </w:p>
        </w:tc>
        <w:tc>
          <w:tcPr>
            <w:tcW w:w="2126" w:type="dxa"/>
            <w:vMerge/>
            <w:vAlign w:val="center"/>
          </w:tcPr>
          <w:p w14:paraId="2305E4C3" w14:textId="77777777" w:rsidR="008914DC" w:rsidRPr="00AE4DBA" w:rsidRDefault="008914DC">
            <w:pPr>
              <w:rPr>
                <w:rFonts w:cs="Arial"/>
                <w:color w:val="000000"/>
              </w:rPr>
            </w:pPr>
          </w:p>
        </w:tc>
      </w:tr>
      <w:tr w:rsidR="008914DC" w:rsidRPr="00AE4DBA" w14:paraId="5715CCE8" w14:textId="77777777" w:rsidTr="007F3C97">
        <w:trPr>
          <w:trHeight w:val="300"/>
        </w:trPr>
        <w:tc>
          <w:tcPr>
            <w:tcW w:w="3397" w:type="dxa"/>
            <w:vMerge/>
            <w:vAlign w:val="center"/>
            <w:hideMark/>
          </w:tcPr>
          <w:p w14:paraId="299A1AB8" w14:textId="77777777" w:rsidR="008914DC" w:rsidRPr="00AE4DBA" w:rsidRDefault="008914DC" w:rsidP="00E21CF2">
            <w:pPr>
              <w:pStyle w:val="BodyText1"/>
              <w:rPr>
                <w:lang w:val="en-NZ"/>
              </w:rPr>
            </w:pPr>
          </w:p>
        </w:tc>
        <w:tc>
          <w:tcPr>
            <w:tcW w:w="1985" w:type="dxa"/>
            <w:tcBorders>
              <w:top w:val="single" w:sz="4" w:space="0" w:color="D9D9D9" w:themeColor="accent4" w:themeShade="D9"/>
              <w:left w:val="nil"/>
              <w:bottom w:val="single" w:sz="4" w:space="0" w:color="D9D9D9" w:themeColor="accent4" w:themeShade="D9"/>
              <w:right w:val="nil"/>
            </w:tcBorders>
            <w:shd w:val="clear" w:color="auto" w:fill="auto"/>
            <w:noWrap/>
            <w:vAlign w:val="bottom"/>
            <w:hideMark/>
          </w:tcPr>
          <w:p w14:paraId="17FFBB2B" w14:textId="77777777" w:rsidR="008914DC" w:rsidRPr="00AE4DBA" w:rsidRDefault="008914DC" w:rsidP="00E21CF2">
            <w:pPr>
              <w:pStyle w:val="BodyText1"/>
              <w:rPr>
                <w:lang w:val="en-NZ"/>
              </w:rPr>
            </w:pPr>
            <w:r w:rsidRPr="00AE4DBA">
              <w:rPr>
                <w:lang w:val="en-NZ"/>
              </w:rPr>
              <w:t>Category 4</w:t>
            </w:r>
          </w:p>
        </w:tc>
        <w:tc>
          <w:tcPr>
            <w:tcW w:w="1559" w:type="dxa"/>
            <w:tcBorders>
              <w:top w:val="single" w:sz="4" w:space="0" w:color="D9D9D9" w:themeColor="accent4" w:themeShade="D9"/>
              <w:left w:val="nil"/>
              <w:bottom w:val="single" w:sz="4" w:space="0" w:color="D9D9D9" w:themeColor="accent4" w:themeShade="D9"/>
              <w:right w:val="nil"/>
            </w:tcBorders>
            <w:shd w:val="clear" w:color="auto" w:fill="auto"/>
            <w:noWrap/>
            <w:vAlign w:val="bottom"/>
            <w:hideMark/>
          </w:tcPr>
          <w:p w14:paraId="48BC2E8C" w14:textId="647C1E92" w:rsidR="008914DC" w:rsidRPr="002F4A82" w:rsidRDefault="002F4A82" w:rsidP="002F4A82">
            <w:pPr>
              <w:pStyle w:val="BodyText1"/>
            </w:pPr>
            <w:r>
              <w:t xml:space="preserve">          </w:t>
            </w:r>
            <w:r w:rsidRPr="002F4A82">
              <w:t>14,476</w:t>
            </w:r>
          </w:p>
        </w:tc>
        <w:tc>
          <w:tcPr>
            <w:tcW w:w="2126" w:type="dxa"/>
            <w:vMerge/>
            <w:vAlign w:val="center"/>
          </w:tcPr>
          <w:p w14:paraId="76528719" w14:textId="77777777" w:rsidR="008914DC" w:rsidRPr="00AE4DBA" w:rsidRDefault="008914DC">
            <w:pPr>
              <w:rPr>
                <w:rFonts w:cs="Arial"/>
                <w:color w:val="000000"/>
              </w:rPr>
            </w:pPr>
          </w:p>
        </w:tc>
      </w:tr>
      <w:tr w:rsidR="008914DC" w:rsidRPr="00AE4DBA" w14:paraId="537D7ED5" w14:textId="77777777" w:rsidTr="007F3C97">
        <w:trPr>
          <w:trHeight w:val="300"/>
        </w:trPr>
        <w:tc>
          <w:tcPr>
            <w:tcW w:w="3397" w:type="dxa"/>
            <w:vMerge/>
            <w:vAlign w:val="center"/>
            <w:hideMark/>
          </w:tcPr>
          <w:p w14:paraId="7A62BFD0" w14:textId="77777777" w:rsidR="008914DC" w:rsidRPr="00AE4DBA" w:rsidRDefault="008914DC" w:rsidP="00E21CF2">
            <w:pPr>
              <w:pStyle w:val="BodyText1"/>
              <w:rPr>
                <w:lang w:val="en-NZ"/>
              </w:rPr>
            </w:pPr>
          </w:p>
        </w:tc>
        <w:tc>
          <w:tcPr>
            <w:tcW w:w="1985" w:type="dxa"/>
            <w:tcBorders>
              <w:top w:val="single" w:sz="4" w:space="0" w:color="D9D9D9" w:themeColor="accent4" w:themeShade="D9"/>
              <w:left w:val="nil"/>
              <w:bottom w:val="single" w:sz="4" w:space="0" w:color="D9D9D9" w:themeColor="accent4" w:themeShade="D9"/>
              <w:right w:val="nil"/>
            </w:tcBorders>
            <w:shd w:val="clear" w:color="auto" w:fill="auto"/>
            <w:noWrap/>
            <w:vAlign w:val="bottom"/>
            <w:hideMark/>
          </w:tcPr>
          <w:p w14:paraId="39657F1B" w14:textId="77777777" w:rsidR="008914DC" w:rsidRPr="00AE4DBA" w:rsidRDefault="008914DC" w:rsidP="00E21CF2">
            <w:pPr>
              <w:pStyle w:val="BodyText1"/>
              <w:rPr>
                <w:lang w:val="en-NZ"/>
              </w:rPr>
            </w:pPr>
            <w:r w:rsidRPr="00AE4DBA">
              <w:rPr>
                <w:lang w:val="en-NZ"/>
              </w:rPr>
              <w:t>Category 5</w:t>
            </w:r>
          </w:p>
        </w:tc>
        <w:tc>
          <w:tcPr>
            <w:tcW w:w="1559" w:type="dxa"/>
            <w:tcBorders>
              <w:top w:val="single" w:sz="4" w:space="0" w:color="D9D9D9" w:themeColor="accent4" w:themeShade="D9"/>
              <w:left w:val="nil"/>
              <w:bottom w:val="single" w:sz="4" w:space="0" w:color="D9D9D9" w:themeColor="accent4" w:themeShade="D9"/>
              <w:right w:val="nil"/>
            </w:tcBorders>
            <w:shd w:val="clear" w:color="auto" w:fill="auto"/>
            <w:noWrap/>
            <w:vAlign w:val="bottom"/>
            <w:hideMark/>
          </w:tcPr>
          <w:p w14:paraId="05CA020F" w14:textId="77777777" w:rsidR="008914DC" w:rsidRPr="00AE4DBA" w:rsidRDefault="008914DC" w:rsidP="004F7A43">
            <w:pPr>
              <w:pStyle w:val="BodyText1"/>
              <w:jc w:val="right"/>
              <w:rPr>
                <w:lang w:val="en-NZ"/>
              </w:rPr>
            </w:pPr>
            <w:r w:rsidRPr="00AE4DBA">
              <w:rPr>
                <w:lang w:val="en-NZ"/>
              </w:rPr>
              <w:t xml:space="preserve"> - </w:t>
            </w:r>
          </w:p>
        </w:tc>
        <w:tc>
          <w:tcPr>
            <w:tcW w:w="2126" w:type="dxa"/>
            <w:vMerge/>
            <w:vAlign w:val="center"/>
            <w:hideMark/>
          </w:tcPr>
          <w:p w14:paraId="31BDA55C" w14:textId="77777777" w:rsidR="008914DC" w:rsidRPr="00AE4DBA" w:rsidRDefault="008914DC">
            <w:pPr>
              <w:rPr>
                <w:rFonts w:cs="Arial"/>
                <w:color w:val="000000"/>
              </w:rPr>
            </w:pPr>
          </w:p>
        </w:tc>
      </w:tr>
      <w:tr w:rsidR="008914DC" w:rsidRPr="00AE4DBA" w14:paraId="47CAABCA" w14:textId="77777777" w:rsidTr="007F3C97">
        <w:trPr>
          <w:trHeight w:val="300"/>
        </w:trPr>
        <w:tc>
          <w:tcPr>
            <w:tcW w:w="3397" w:type="dxa"/>
            <w:vMerge/>
            <w:vAlign w:val="center"/>
            <w:hideMark/>
          </w:tcPr>
          <w:p w14:paraId="10778501" w14:textId="77777777" w:rsidR="008914DC" w:rsidRPr="00AE4DBA" w:rsidRDefault="008914DC" w:rsidP="00E21CF2">
            <w:pPr>
              <w:pStyle w:val="BodyText1"/>
              <w:rPr>
                <w:lang w:val="en-NZ"/>
              </w:rPr>
            </w:pPr>
          </w:p>
        </w:tc>
        <w:tc>
          <w:tcPr>
            <w:tcW w:w="1985" w:type="dxa"/>
            <w:tcBorders>
              <w:top w:val="single" w:sz="4" w:space="0" w:color="D9D9D9" w:themeColor="accent4" w:themeShade="D9"/>
              <w:left w:val="nil"/>
              <w:bottom w:val="single" w:sz="4" w:space="0" w:color="D9D9D9"/>
              <w:right w:val="nil"/>
            </w:tcBorders>
            <w:shd w:val="clear" w:color="auto" w:fill="auto"/>
            <w:noWrap/>
            <w:vAlign w:val="bottom"/>
            <w:hideMark/>
          </w:tcPr>
          <w:p w14:paraId="54361FC0" w14:textId="77777777" w:rsidR="008914DC" w:rsidRPr="00AE4DBA" w:rsidRDefault="008914DC" w:rsidP="00E21CF2">
            <w:pPr>
              <w:pStyle w:val="BodyText1"/>
              <w:rPr>
                <w:lang w:val="en-NZ"/>
              </w:rPr>
            </w:pPr>
            <w:r w:rsidRPr="00AE4DBA">
              <w:rPr>
                <w:lang w:val="en-NZ"/>
              </w:rPr>
              <w:t>Category 6</w:t>
            </w:r>
          </w:p>
        </w:tc>
        <w:tc>
          <w:tcPr>
            <w:tcW w:w="1559" w:type="dxa"/>
            <w:tcBorders>
              <w:top w:val="single" w:sz="4" w:space="0" w:color="D9D9D9" w:themeColor="accent4" w:themeShade="D9"/>
              <w:left w:val="nil"/>
              <w:bottom w:val="single" w:sz="4" w:space="0" w:color="D9D9D9"/>
              <w:right w:val="nil"/>
            </w:tcBorders>
            <w:shd w:val="clear" w:color="auto" w:fill="auto"/>
            <w:noWrap/>
            <w:vAlign w:val="bottom"/>
            <w:hideMark/>
          </w:tcPr>
          <w:p w14:paraId="3B6CDEEB" w14:textId="77777777" w:rsidR="008914DC" w:rsidRPr="00AE4DBA" w:rsidRDefault="008914DC" w:rsidP="004F7A43">
            <w:pPr>
              <w:pStyle w:val="BodyText1"/>
              <w:jc w:val="right"/>
              <w:rPr>
                <w:lang w:val="en-NZ"/>
              </w:rPr>
            </w:pPr>
            <w:r w:rsidRPr="00AE4DBA">
              <w:rPr>
                <w:lang w:val="en-NZ"/>
              </w:rPr>
              <w:t xml:space="preserve"> - </w:t>
            </w:r>
          </w:p>
        </w:tc>
        <w:tc>
          <w:tcPr>
            <w:tcW w:w="2126" w:type="dxa"/>
            <w:vMerge/>
            <w:vAlign w:val="center"/>
            <w:hideMark/>
          </w:tcPr>
          <w:p w14:paraId="5AB0B2DD" w14:textId="77777777" w:rsidR="008914DC" w:rsidRPr="00AE4DBA" w:rsidRDefault="008914DC">
            <w:pPr>
              <w:rPr>
                <w:rFonts w:cs="Arial"/>
                <w:color w:val="000000"/>
              </w:rPr>
            </w:pPr>
          </w:p>
        </w:tc>
      </w:tr>
    </w:tbl>
    <w:p w14:paraId="57423971" w14:textId="77777777" w:rsidR="008914DC" w:rsidRPr="00AE4DBA" w:rsidRDefault="008914DC" w:rsidP="00BE50B5">
      <w:pPr>
        <w:pStyle w:val="BodyText1"/>
        <w:rPr>
          <w:rFonts w:cs="Arial"/>
          <w:lang w:val="en-NZ"/>
        </w:rPr>
      </w:pPr>
    </w:p>
    <w:p w14:paraId="445A8048" w14:textId="30FC7A34" w:rsidR="00541BF0" w:rsidRPr="00AE4DBA" w:rsidRDefault="00D40030" w:rsidP="00BE50B5">
      <w:pPr>
        <w:pStyle w:val="BodyText1"/>
        <w:rPr>
          <w:lang w:val="en-NZ"/>
        </w:rPr>
      </w:pPr>
      <w:r w:rsidRPr="00AE4DBA">
        <w:rPr>
          <w:lang w:val="en-NZ"/>
        </w:rPr>
        <w:t xml:space="preserve">Emissions </w:t>
      </w:r>
      <w:r w:rsidR="008F2D31" w:rsidRPr="00AE4DBA">
        <w:rPr>
          <w:lang w:val="en-NZ"/>
        </w:rPr>
        <w:t xml:space="preserve">by Health NZ region is illustrated in Figure </w:t>
      </w:r>
      <w:r w:rsidR="002F61CA" w:rsidRPr="00AE4DBA">
        <w:rPr>
          <w:lang w:val="en-NZ"/>
        </w:rPr>
        <w:t>2</w:t>
      </w:r>
      <w:r w:rsidR="008F2D31" w:rsidRPr="00AE4DBA">
        <w:rPr>
          <w:lang w:val="en-NZ"/>
        </w:rPr>
        <w:t xml:space="preserve">. </w:t>
      </w:r>
      <w:r w:rsidR="00885D35" w:rsidRPr="00AE4DBA">
        <w:rPr>
          <w:lang w:val="en-NZ"/>
        </w:rPr>
        <w:t xml:space="preserve">The </w:t>
      </w:r>
      <w:r w:rsidR="00D9746C" w:rsidRPr="00AE4DBA">
        <w:rPr>
          <w:lang w:val="en-NZ"/>
        </w:rPr>
        <w:t>Northern</w:t>
      </w:r>
      <w:r w:rsidR="00885D35" w:rsidRPr="00AE4DBA">
        <w:rPr>
          <w:lang w:val="en-NZ"/>
        </w:rPr>
        <w:t xml:space="preserve"> </w:t>
      </w:r>
      <w:r w:rsidR="008F2D31" w:rsidRPr="00AE4DBA">
        <w:rPr>
          <w:lang w:val="en-NZ"/>
        </w:rPr>
        <w:t>region accounted fo</w:t>
      </w:r>
      <w:r w:rsidR="00C53F15" w:rsidRPr="00AE4DBA">
        <w:rPr>
          <w:lang w:val="en-NZ"/>
        </w:rPr>
        <w:t>r</w:t>
      </w:r>
      <w:r w:rsidR="008F2D31" w:rsidRPr="00AE4DBA">
        <w:rPr>
          <w:lang w:val="en-NZ"/>
        </w:rPr>
        <w:t xml:space="preserve"> the largest </w:t>
      </w:r>
      <w:r w:rsidR="00D52C7B" w:rsidRPr="00AE4DBA">
        <w:rPr>
          <w:lang w:val="en-NZ"/>
        </w:rPr>
        <w:t>share</w:t>
      </w:r>
      <w:r w:rsidR="008F2D31" w:rsidRPr="00AE4DBA">
        <w:rPr>
          <w:lang w:val="en-NZ"/>
        </w:rPr>
        <w:t xml:space="preserve"> of Health NZ’s GHG emissions</w:t>
      </w:r>
      <w:r w:rsidR="00D9746C" w:rsidRPr="00AE4DBA">
        <w:rPr>
          <w:lang w:val="en-NZ"/>
        </w:rPr>
        <w:t xml:space="preserve"> </w:t>
      </w:r>
      <w:r w:rsidR="00A57DE7" w:rsidRPr="00AE4DBA">
        <w:rPr>
          <w:lang w:val="en-NZ"/>
        </w:rPr>
        <w:t>at 28% of the total</w:t>
      </w:r>
      <w:r w:rsidR="00F4775F" w:rsidRPr="00AE4DBA">
        <w:rPr>
          <w:lang w:val="en-NZ"/>
        </w:rPr>
        <w:t xml:space="preserve">, which aligns to </w:t>
      </w:r>
      <w:r w:rsidR="0044767D" w:rsidRPr="00AE4DBA">
        <w:rPr>
          <w:lang w:val="en-NZ"/>
        </w:rPr>
        <w:t xml:space="preserve">the region with the largest </w:t>
      </w:r>
      <w:r w:rsidR="00623542" w:rsidRPr="00AE4DBA">
        <w:rPr>
          <w:lang w:val="en-NZ"/>
        </w:rPr>
        <w:t>population</w:t>
      </w:r>
      <w:r w:rsidR="008F2D31" w:rsidRPr="00AE4DBA">
        <w:rPr>
          <w:lang w:val="en-NZ"/>
        </w:rPr>
        <w:t xml:space="preserve">. </w:t>
      </w:r>
    </w:p>
    <w:p w14:paraId="75556513" w14:textId="73C18337" w:rsidR="00885D35" w:rsidRPr="00AE4DBA" w:rsidRDefault="00DE0892" w:rsidP="00885D35">
      <w:pPr>
        <w:pStyle w:val="BodyText1"/>
        <w:keepNext/>
        <w:rPr>
          <w:lang w:val="en-NZ"/>
        </w:rPr>
      </w:pPr>
      <w:r>
        <w:rPr>
          <w:noProof/>
          <w:lang w:val="en-NZ"/>
        </w:rPr>
        <w:drawing>
          <wp:inline distT="0" distB="0" distL="0" distR="0" wp14:anchorId="61D3D88E" wp14:editId="172797EE">
            <wp:extent cx="5385225" cy="4496119"/>
            <wp:effectExtent l="0" t="0" r="6350" b="0"/>
            <wp:docPr id="1705876767" name="Chart 1">
              <a:extLst xmlns:a="http://schemas.openxmlformats.org/drawingml/2006/main">
                <a:ext uri="{FF2B5EF4-FFF2-40B4-BE49-F238E27FC236}">
                  <a16:creationId xmlns:a16="http://schemas.microsoft.com/office/drawing/2014/main" id="{53A69F12-AAFD-46E4-B9CC-29C0737AE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D96E05" w14:textId="031DB106" w:rsidR="002F61CA" w:rsidRPr="00AE4DBA" w:rsidRDefault="00885D35" w:rsidP="00885D35">
      <w:pPr>
        <w:pStyle w:val="Caption"/>
      </w:pPr>
      <w:bookmarkStart w:id="38" w:name="_Toc176252091"/>
      <w:r>
        <w:t xml:space="preserve">Figure </w:t>
      </w:r>
      <w:r w:rsidRPr="4796C5D2">
        <w:fldChar w:fldCharType="begin"/>
      </w:r>
      <w:r>
        <w:instrText xml:space="preserve"> SEQ Figure \* ARABIC </w:instrText>
      </w:r>
      <w:r w:rsidRPr="4796C5D2">
        <w:fldChar w:fldCharType="separate"/>
      </w:r>
      <w:r w:rsidR="00204767" w:rsidRPr="4796C5D2">
        <w:rPr>
          <w:noProof/>
        </w:rPr>
        <w:t>2</w:t>
      </w:r>
      <w:r w:rsidRPr="4796C5D2">
        <w:rPr>
          <w:noProof/>
        </w:rPr>
        <w:fldChar w:fldCharType="end"/>
      </w:r>
      <w:r>
        <w:t xml:space="preserve"> Emissions by region</w:t>
      </w:r>
      <w:r w:rsidR="4325F719">
        <w:t xml:space="preserve"> (excludes subsidiaries and corporate office emissions)</w:t>
      </w:r>
      <w:bookmarkEnd w:id="38"/>
    </w:p>
    <w:p w14:paraId="64365B26" w14:textId="4DF89606" w:rsidR="00217A9C" w:rsidRPr="00AE4DBA" w:rsidRDefault="008F2D31" w:rsidP="00BE50B5">
      <w:pPr>
        <w:pStyle w:val="BodyText1"/>
        <w:rPr>
          <w:b/>
          <w:bCs/>
          <w:lang w:val="en-NZ"/>
        </w:rPr>
      </w:pPr>
      <w:r w:rsidRPr="00AE4DBA">
        <w:rPr>
          <w:lang w:val="en-NZ"/>
        </w:rPr>
        <w:t xml:space="preserve">Table </w:t>
      </w:r>
      <w:r w:rsidR="009309FC" w:rsidRPr="00AE4DBA">
        <w:rPr>
          <w:lang w:val="en-NZ"/>
        </w:rPr>
        <w:t>5</w:t>
      </w:r>
      <w:r w:rsidR="00217A9C" w:rsidRPr="00AE4DBA">
        <w:rPr>
          <w:lang w:val="en-NZ"/>
        </w:rPr>
        <w:t xml:space="preserve"> summarises Health NZ’s GHG emissions by Carbon Dioxide (</w:t>
      </w:r>
      <w:r w:rsidR="00094B15" w:rsidRPr="00AE4DBA">
        <w:rPr>
          <w:lang w:val="en-NZ"/>
        </w:rPr>
        <w:t>CO</w:t>
      </w:r>
      <w:r w:rsidR="00094B15" w:rsidRPr="00AE4DBA">
        <w:rPr>
          <w:vertAlign w:val="subscript"/>
          <w:lang w:val="en-NZ"/>
        </w:rPr>
        <w:t>2</w:t>
      </w:r>
      <w:r w:rsidR="00217A9C" w:rsidRPr="00AE4DBA">
        <w:rPr>
          <w:lang w:val="en-NZ"/>
        </w:rPr>
        <w:t>), Methane (</w:t>
      </w:r>
      <w:r w:rsidR="00094B15" w:rsidRPr="00AE4DBA">
        <w:rPr>
          <w:lang w:val="en-NZ"/>
        </w:rPr>
        <w:t>CH</w:t>
      </w:r>
      <w:r w:rsidR="00094B15" w:rsidRPr="00AE4DBA">
        <w:rPr>
          <w:vertAlign w:val="subscript"/>
          <w:lang w:val="en-NZ"/>
        </w:rPr>
        <w:t>4</w:t>
      </w:r>
      <w:r w:rsidR="00217A9C" w:rsidRPr="00AE4DBA">
        <w:rPr>
          <w:lang w:val="en-NZ"/>
        </w:rPr>
        <w:t>), Nitrous Oxide (</w:t>
      </w:r>
      <w:r w:rsidR="00094B15" w:rsidRPr="00AE4DBA">
        <w:rPr>
          <w:lang w:val="en-NZ"/>
        </w:rPr>
        <w:t>N</w:t>
      </w:r>
      <w:r w:rsidR="00094B15" w:rsidRPr="00AE4DBA">
        <w:rPr>
          <w:vertAlign w:val="subscript"/>
          <w:lang w:val="en-NZ"/>
        </w:rPr>
        <w:t>2</w:t>
      </w:r>
      <w:r w:rsidR="00094B15" w:rsidRPr="00AE4DBA">
        <w:rPr>
          <w:lang w:val="en-NZ"/>
        </w:rPr>
        <w:t>O</w:t>
      </w:r>
      <w:r w:rsidR="00217A9C" w:rsidRPr="00AE4DBA">
        <w:rPr>
          <w:lang w:val="en-NZ"/>
        </w:rPr>
        <w:t>), and various refrigerant categories.</w:t>
      </w:r>
    </w:p>
    <w:p w14:paraId="52C7CDA9" w14:textId="5DE4F8D8" w:rsidR="00426A0B" w:rsidRPr="00AE4DBA" w:rsidRDefault="00426A0B">
      <w:pPr>
        <w:spacing w:after="160" w:line="259" w:lineRule="auto"/>
        <w:rPr>
          <w:rFonts w:eastAsia="Calibri"/>
          <w:color w:val="000000"/>
        </w:rPr>
      </w:pPr>
      <w:r w:rsidRPr="00AE4DBA">
        <w:br w:type="page"/>
      </w:r>
    </w:p>
    <w:p w14:paraId="54936610" w14:textId="3A3FD119" w:rsidR="002F61CA" w:rsidRPr="00AE4DBA" w:rsidRDefault="003530DC" w:rsidP="003530DC">
      <w:pPr>
        <w:pStyle w:val="Caption"/>
        <w:rPr>
          <w:i w:val="0"/>
          <w:iCs w:val="0"/>
        </w:rPr>
      </w:pPr>
      <w:bookmarkStart w:id="39" w:name="_Toc176252083"/>
      <w:r w:rsidRPr="00AE4DBA">
        <w:lastRenderedPageBreak/>
        <w:t xml:space="preserve">Table </w:t>
      </w:r>
      <w:r>
        <w:fldChar w:fldCharType="begin"/>
      </w:r>
      <w:r>
        <w:instrText>SEQ Table \* ARABIC</w:instrText>
      </w:r>
      <w:r>
        <w:fldChar w:fldCharType="separate"/>
      </w:r>
      <w:r w:rsidR="003130CC" w:rsidRPr="00AE4DBA">
        <w:rPr>
          <w:noProof/>
        </w:rPr>
        <w:t>5</w:t>
      </w:r>
      <w:r>
        <w:fldChar w:fldCharType="end"/>
      </w:r>
      <w:r w:rsidRPr="00AE4DBA">
        <w:t xml:space="preserve"> Direct GHG emissions quantified per gas</w:t>
      </w:r>
      <w:bookmarkEnd w:id="39"/>
    </w:p>
    <w:tbl>
      <w:tblPr>
        <w:tblW w:w="9340" w:type="dxa"/>
        <w:tblLook w:val="04A0" w:firstRow="1" w:lastRow="0" w:firstColumn="1" w:lastColumn="0" w:noHBand="0" w:noVBand="1"/>
      </w:tblPr>
      <w:tblGrid>
        <w:gridCol w:w="2144"/>
        <w:gridCol w:w="2952"/>
        <w:gridCol w:w="889"/>
        <w:gridCol w:w="1098"/>
        <w:gridCol w:w="1134"/>
        <w:gridCol w:w="1123"/>
      </w:tblGrid>
      <w:tr w:rsidR="001876CE" w:rsidRPr="00441ACB" w14:paraId="5FB0271D" w14:textId="77777777" w:rsidTr="003E18FE">
        <w:trPr>
          <w:trHeight w:val="288"/>
        </w:trPr>
        <w:tc>
          <w:tcPr>
            <w:tcW w:w="5147" w:type="dxa"/>
            <w:gridSpan w:val="2"/>
            <w:tcBorders>
              <w:top w:val="single" w:sz="4" w:space="0" w:color="auto"/>
              <w:left w:val="single" w:sz="4" w:space="0" w:color="auto"/>
              <w:bottom w:val="single" w:sz="4" w:space="0" w:color="auto"/>
              <w:right w:val="single" w:sz="4" w:space="0" w:color="auto"/>
            </w:tcBorders>
            <w:shd w:val="clear" w:color="auto" w:fill="002060"/>
            <w:vAlign w:val="bottom"/>
            <w:hideMark/>
          </w:tcPr>
          <w:p w14:paraId="0B517E00" w14:textId="77777777" w:rsidR="001876CE" w:rsidRPr="001876CE" w:rsidRDefault="001876CE" w:rsidP="001876CE">
            <w:pPr>
              <w:rPr>
                <w:rFonts w:cs="Arial"/>
                <w:b/>
                <w:color w:val="FFFFFF" w:themeColor="accent4"/>
                <w:szCs w:val="22"/>
              </w:rPr>
            </w:pPr>
            <w:r w:rsidRPr="001876CE">
              <w:rPr>
                <w:rFonts w:cs="Arial"/>
                <w:b/>
                <w:color w:val="FFFFFF" w:themeColor="accent4"/>
                <w:szCs w:val="22"/>
              </w:rPr>
              <w:t>Direct Emissions per GHG</w:t>
            </w:r>
          </w:p>
        </w:tc>
        <w:tc>
          <w:tcPr>
            <w:tcW w:w="831" w:type="dxa"/>
            <w:tcBorders>
              <w:top w:val="single" w:sz="4" w:space="0" w:color="auto"/>
              <w:left w:val="nil"/>
              <w:bottom w:val="single" w:sz="4" w:space="0" w:color="auto"/>
              <w:right w:val="single" w:sz="4" w:space="0" w:color="auto"/>
            </w:tcBorders>
            <w:shd w:val="clear" w:color="auto" w:fill="002060"/>
            <w:vAlign w:val="bottom"/>
            <w:hideMark/>
          </w:tcPr>
          <w:p w14:paraId="505B6F49" w14:textId="77777777" w:rsidR="001876CE" w:rsidRPr="001876CE" w:rsidRDefault="001876CE" w:rsidP="001876CE">
            <w:pPr>
              <w:jc w:val="right"/>
              <w:rPr>
                <w:rFonts w:cs="Arial"/>
                <w:b/>
                <w:color w:val="FFFFFF" w:themeColor="accent4"/>
                <w:szCs w:val="22"/>
              </w:rPr>
            </w:pPr>
            <w:r w:rsidRPr="001876CE">
              <w:rPr>
                <w:rFonts w:cs="Arial"/>
                <w:b/>
                <w:color w:val="FFFFFF" w:themeColor="accent4"/>
                <w:szCs w:val="22"/>
              </w:rPr>
              <w:t>tCO</w:t>
            </w:r>
            <w:r w:rsidRPr="001876CE">
              <w:rPr>
                <w:rFonts w:cs="Arial"/>
                <w:b/>
                <w:color w:val="FFFFFF" w:themeColor="accent4"/>
                <w:szCs w:val="22"/>
                <w:vertAlign w:val="subscript"/>
              </w:rPr>
              <w:t>2</w:t>
            </w:r>
            <w:r w:rsidRPr="001876CE">
              <w:rPr>
                <w:rFonts w:cs="Arial"/>
                <w:b/>
                <w:color w:val="FFFFFF" w:themeColor="accent4"/>
                <w:szCs w:val="22"/>
              </w:rPr>
              <w:t>e</w:t>
            </w:r>
          </w:p>
        </w:tc>
        <w:tc>
          <w:tcPr>
            <w:tcW w:w="1105" w:type="dxa"/>
            <w:tcBorders>
              <w:top w:val="single" w:sz="4" w:space="0" w:color="auto"/>
              <w:left w:val="nil"/>
              <w:bottom w:val="single" w:sz="4" w:space="0" w:color="auto"/>
              <w:right w:val="single" w:sz="4" w:space="0" w:color="auto"/>
            </w:tcBorders>
            <w:shd w:val="clear" w:color="auto" w:fill="002060"/>
            <w:vAlign w:val="bottom"/>
            <w:hideMark/>
          </w:tcPr>
          <w:p w14:paraId="5EC92094" w14:textId="77777777" w:rsidR="001876CE" w:rsidRPr="001876CE" w:rsidRDefault="001876CE" w:rsidP="001876CE">
            <w:pPr>
              <w:jc w:val="right"/>
              <w:rPr>
                <w:rFonts w:cs="Arial"/>
                <w:b/>
                <w:szCs w:val="22"/>
              </w:rPr>
            </w:pPr>
            <w:r w:rsidRPr="001876CE">
              <w:rPr>
                <w:rFonts w:cs="Arial"/>
                <w:b/>
                <w:szCs w:val="22"/>
              </w:rPr>
              <w:t>tCO</w:t>
            </w:r>
            <w:r w:rsidRPr="001876CE">
              <w:rPr>
                <w:rFonts w:cs="Arial"/>
                <w:b/>
                <w:szCs w:val="22"/>
                <w:vertAlign w:val="subscript"/>
              </w:rPr>
              <w:t>2</w:t>
            </w:r>
          </w:p>
        </w:tc>
        <w:tc>
          <w:tcPr>
            <w:tcW w:w="1134" w:type="dxa"/>
            <w:tcBorders>
              <w:top w:val="single" w:sz="4" w:space="0" w:color="auto"/>
              <w:left w:val="nil"/>
              <w:bottom w:val="single" w:sz="4" w:space="0" w:color="auto"/>
              <w:right w:val="single" w:sz="4" w:space="0" w:color="auto"/>
            </w:tcBorders>
            <w:shd w:val="clear" w:color="auto" w:fill="002060"/>
            <w:vAlign w:val="bottom"/>
            <w:hideMark/>
          </w:tcPr>
          <w:p w14:paraId="64F3BE88" w14:textId="77777777" w:rsidR="001876CE" w:rsidRPr="001876CE" w:rsidRDefault="001876CE" w:rsidP="001876CE">
            <w:pPr>
              <w:jc w:val="right"/>
              <w:rPr>
                <w:rFonts w:cs="Arial"/>
                <w:b/>
                <w:szCs w:val="22"/>
              </w:rPr>
            </w:pPr>
            <w:r w:rsidRPr="001876CE">
              <w:rPr>
                <w:rFonts w:cs="Arial"/>
                <w:b/>
                <w:szCs w:val="22"/>
              </w:rPr>
              <w:t>tCH</w:t>
            </w:r>
            <w:r w:rsidRPr="001876CE">
              <w:rPr>
                <w:rFonts w:cs="Arial"/>
                <w:b/>
                <w:szCs w:val="22"/>
                <w:vertAlign w:val="subscript"/>
              </w:rPr>
              <w:t>4</w:t>
            </w:r>
          </w:p>
        </w:tc>
        <w:tc>
          <w:tcPr>
            <w:tcW w:w="1123" w:type="dxa"/>
            <w:tcBorders>
              <w:top w:val="single" w:sz="4" w:space="0" w:color="auto"/>
              <w:left w:val="nil"/>
              <w:bottom w:val="single" w:sz="4" w:space="0" w:color="auto"/>
              <w:right w:val="single" w:sz="4" w:space="0" w:color="auto"/>
            </w:tcBorders>
            <w:shd w:val="clear" w:color="auto" w:fill="002060"/>
            <w:vAlign w:val="bottom"/>
            <w:hideMark/>
          </w:tcPr>
          <w:p w14:paraId="75E14F67" w14:textId="77777777" w:rsidR="001876CE" w:rsidRPr="001876CE" w:rsidRDefault="001876CE" w:rsidP="001876CE">
            <w:pPr>
              <w:jc w:val="right"/>
              <w:rPr>
                <w:rFonts w:cs="Arial"/>
                <w:b/>
                <w:szCs w:val="22"/>
              </w:rPr>
            </w:pPr>
            <w:r w:rsidRPr="001876CE">
              <w:rPr>
                <w:rFonts w:cs="Arial"/>
                <w:b/>
                <w:szCs w:val="22"/>
              </w:rPr>
              <w:t>tN</w:t>
            </w:r>
            <w:r w:rsidRPr="001876CE">
              <w:rPr>
                <w:rFonts w:cs="Arial"/>
                <w:b/>
                <w:szCs w:val="22"/>
                <w:vertAlign w:val="subscript"/>
              </w:rPr>
              <w:t>2</w:t>
            </w:r>
            <w:r w:rsidRPr="001876CE">
              <w:rPr>
                <w:rFonts w:cs="Arial"/>
                <w:b/>
                <w:szCs w:val="22"/>
              </w:rPr>
              <w:t>O</w:t>
            </w:r>
          </w:p>
        </w:tc>
      </w:tr>
      <w:tr w:rsidR="001876CE" w:rsidRPr="00441ACB" w14:paraId="7205F168" w14:textId="77777777" w:rsidTr="003E18FE">
        <w:trPr>
          <w:trHeight w:val="288"/>
        </w:trPr>
        <w:tc>
          <w:tcPr>
            <w:tcW w:w="5147" w:type="dxa"/>
            <w:gridSpan w:val="2"/>
            <w:tcBorders>
              <w:top w:val="single" w:sz="4" w:space="0" w:color="auto"/>
              <w:left w:val="single" w:sz="4" w:space="0" w:color="auto"/>
              <w:bottom w:val="single" w:sz="4" w:space="0" w:color="auto"/>
              <w:right w:val="single" w:sz="4" w:space="0" w:color="auto"/>
            </w:tcBorders>
            <w:shd w:val="clear" w:color="auto" w:fill="002060"/>
            <w:vAlign w:val="bottom"/>
            <w:hideMark/>
          </w:tcPr>
          <w:p w14:paraId="03D977C1" w14:textId="77777777" w:rsidR="001876CE" w:rsidRPr="001876CE" w:rsidRDefault="001876CE" w:rsidP="001876CE">
            <w:pPr>
              <w:rPr>
                <w:rFonts w:cs="Arial"/>
                <w:b/>
                <w:color w:val="FFFFFF" w:themeColor="accent4"/>
                <w:szCs w:val="22"/>
              </w:rPr>
            </w:pPr>
            <w:r w:rsidRPr="001876CE">
              <w:rPr>
                <w:rFonts w:cs="Arial"/>
                <w:b/>
                <w:color w:val="FFFFFF" w:themeColor="accent4"/>
                <w:szCs w:val="22"/>
              </w:rPr>
              <w:t>GWP of gas</w:t>
            </w:r>
          </w:p>
        </w:tc>
        <w:tc>
          <w:tcPr>
            <w:tcW w:w="831" w:type="dxa"/>
            <w:tcBorders>
              <w:top w:val="nil"/>
              <w:left w:val="nil"/>
              <w:bottom w:val="single" w:sz="4" w:space="0" w:color="auto"/>
              <w:right w:val="single" w:sz="4" w:space="0" w:color="auto"/>
            </w:tcBorders>
            <w:shd w:val="clear" w:color="auto" w:fill="002060"/>
            <w:vAlign w:val="bottom"/>
            <w:hideMark/>
          </w:tcPr>
          <w:p w14:paraId="48D3D006" w14:textId="77777777" w:rsidR="001876CE" w:rsidRPr="001876CE" w:rsidRDefault="001876CE" w:rsidP="001876CE">
            <w:pPr>
              <w:rPr>
                <w:rFonts w:cs="Arial"/>
                <w:b/>
                <w:color w:val="FFFFFF" w:themeColor="accent4"/>
                <w:szCs w:val="22"/>
              </w:rPr>
            </w:pPr>
            <w:r w:rsidRPr="001876CE">
              <w:rPr>
                <w:rFonts w:cs="Arial"/>
                <w:b/>
                <w:color w:val="FFFFFF" w:themeColor="accent4"/>
                <w:szCs w:val="22"/>
              </w:rPr>
              <w:t> </w:t>
            </w:r>
          </w:p>
        </w:tc>
        <w:tc>
          <w:tcPr>
            <w:tcW w:w="1105" w:type="dxa"/>
            <w:tcBorders>
              <w:top w:val="nil"/>
              <w:left w:val="nil"/>
              <w:bottom w:val="single" w:sz="4" w:space="0" w:color="auto"/>
              <w:right w:val="single" w:sz="4" w:space="0" w:color="auto"/>
            </w:tcBorders>
            <w:shd w:val="clear" w:color="auto" w:fill="002060"/>
            <w:vAlign w:val="bottom"/>
            <w:hideMark/>
          </w:tcPr>
          <w:p w14:paraId="00E056C4" w14:textId="77777777" w:rsidR="001876CE" w:rsidRPr="001876CE" w:rsidRDefault="001876CE" w:rsidP="001876CE">
            <w:pPr>
              <w:jc w:val="right"/>
              <w:rPr>
                <w:rFonts w:cs="Arial"/>
                <w:b/>
                <w:color w:val="FFFFFF" w:themeColor="accent4"/>
                <w:szCs w:val="22"/>
              </w:rPr>
            </w:pPr>
            <w:r w:rsidRPr="001876CE">
              <w:rPr>
                <w:rFonts w:cs="Arial"/>
                <w:b/>
                <w:color w:val="FFFFFF" w:themeColor="accent4"/>
                <w:szCs w:val="22"/>
              </w:rPr>
              <w:t>1</w:t>
            </w:r>
          </w:p>
        </w:tc>
        <w:tc>
          <w:tcPr>
            <w:tcW w:w="1134" w:type="dxa"/>
            <w:tcBorders>
              <w:top w:val="nil"/>
              <w:left w:val="nil"/>
              <w:bottom w:val="single" w:sz="4" w:space="0" w:color="auto"/>
              <w:right w:val="single" w:sz="4" w:space="0" w:color="auto"/>
            </w:tcBorders>
            <w:shd w:val="clear" w:color="auto" w:fill="002060"/>
            <w:vAlign w:val="bottom"/>
            <w:hideMark/>
          </w:tcPr>
          <w:p w14:paraId="396D55DA" w14:textId="77777777" w:rsidR="001876CE" w:rsidRPr="001876CE" w:rsidRDefault="001876CE" w:rsidP="001876CE">
            <w:pPr>
              <w:jc w:val="right"/>
              <w:rPr>
                <w:rFonts w:cs="Arial"/>
                <w:b/>
                <w:color w:val="FFFFFF" w:themeColor="accent4"/>
                <w:szCs w:val="22"/>
              </w:rPr>
            </w:pPr>
            <w:r w:rsidRPr="001876CE">
              <w:rPr>
                <w:rFonts w:cs="Arial"/>
                <w:b/>
                <w:color w:val="FFFFFF" w:themeColor="accent4"/>
                <w:szCs w:val="22"/>
              </w:rPr>
              <w:t>28</w:t>
            </w:r>
          </w:p>
        </w:tc>
        <w:tc>
          <w:tcPr>
            <w:tcW w:w="1123" w:type="dxa"/>
            <w:tcBorders>
              <w:top w:val="nil"/>
              <w:left w:val="nil"/>
              <w:bottom w:val="single" w:sz="4" w:space="0" w:color="auto"/>
              <w:right w:val="single" w:sz="4" w:space="0" w:color="auto"/>
            </w:tcBorders>
            <w:shd w:val="clear" w:color="auto" w:fill="002060"/>
            <w:vAlign w:val="bottom"/>
            <w:hideMark/>
          </w:tcPr>
          <w:p w14:paraId="32834BF6" w14:textId="77777777" w:rsidR="001876CE" w:rsidRPr="001876CE" w:rsidRDefault="001876CE" w:rsidP="001876CE">
            <w:pPr>
              <w:jc w:val="right"/>
              <w:rPr>
                <w:rFonts w:cs="Arial"/>
                <w:b/>
                <w:color w:val="FFFFFF" w:themeColor="accent4"/>
                <w:szCs w:val="22"/>
              </w:rPr>
            </w:pPr>
            <w:r w:rsidRPr="001876CE">
              <w:rPr>
                <w:rFonts w:cs="Arial"/>
                <w:b/>
                <w:color w:val="FFFFFF" w:themeColor="accent4"/>
                <w:szCs w:val="22"/>
              </w:rPr>
              <w:t>265</w:t>
            </w:r>
          </w:p>
        </w:tc>
      </w:tr>
      <w:tr w:rsidR="00F337DF" w:rsidRPr="00441ACB" w14:paraId="7661A5E4" w14:textId="77777777" w:rsidTr="00D26B1C">
        <w:trPr>
          <w:trHeight w:val="288"/>
        </w:trPr>
        <w:tc>
          <w:tcPr>
            <w:tcW w:w="2168" w:type="dxa"/>
            <w:vMerge w:val="restart"/>
            <w:tcBorders>
              <w:top w:val="nil"/>
              <w:left w:val="single" w:sz="4" w:space="0" w:color="F6F4EC" w:themeColor="background1"/>
              <w:bottom w:val="single" w:sz="4" w:space="0" w:color="auto"/>
              <w:right w:val="single" w:sz="4" w:space="0" w:color="D9D9D9"/>
            </w:tcBorders>
            <w:shd w:val="clear" w:color="auto" w:fill="auto"/>
            <w:vAlign w:val="center"/>
            <w:hideMark/>
          </w:tcPr>
          <w:p w14:paraId="690B2933" w14:textId="77777777" w:rsidR="001876CE" w:rsidRPr="001876CE" w:rsidRDefault="001876CE" w:rsidP="001876CE">
            <w:pPr>
              <w:rPr>
                <w:rFonts w:cs="Arial"/>
                <w:color w:val="000000"/>
                <w:szCs w:val="22"/>
              </w:rPr>
            </w:pPr>
            <w:r w:rsidRPr="001876CE">
              <w:rPr>
                <w:rFonts w:cs="Arial"/>
                <w:color w:val="000000"/>
                <w:szCs w:val="22"/>
              </w:rPr>
              <w:t>Stationary Combustion</w:t>
            </w:r>
          </w:p>
        </w:tc>
        <w:tc>
          <w:tcPr>
            <w:tcW w:w="2979" w:type="dxa"/>
            <w:tcBorders>
              <w:top w:val="nil"/>
              <w:left w:val="single" w:sz="4" w:space="0" w:color="D9D9D9"/>
              <w:bottom w:val="single" w:sz="4" w:space="0" w:color="D9D9D9" w:themeColor="accent4" w:themeShade="D9"/>
              <w:right w:val="single" w:sz="4" w:space="0" w:color="FFFFFF" w:themeColor="accent6"/>
            </w:tcBorders>
            <w:shd w:val="clear" w:color="auto" w:fill="auto"/>
            <w:vAlign w:val="bottom"/>
            <w:hideMark/>
          </w:tcPr>
          <w:p w14:paraId="6C3884A2" w14:textId="77777777" w:rsidR="001876CE" w:rsidRPr="001876CE" w:rsidRDefault="001876CE" w:rsidP="001876CE">
            <w:pPr>
              <w:rPr>
                <w:rFonts w:cs="Arial"/>
                <w:color w:val="000000"/>
                <w:szCs w:val="22"/>
              </w:rPr>
            </w:pPr>
            <w:r w:rsidRPr="001876CE">
              <w:rPr>
                <w:rFonts w:cs="Arial"/>
                <w:color w:val="000000"/>
                <w:szCs w:val="22"/>
              </w:rPr>
              <w:t>Natural gas</w:t>
            </w:r>
          </w:p>
        </w:tc>
        <w:tc>
          <w:tcPr>
            <w:tcW w:w="831" w:type="dxa"/>
            <w:tcBorders>
              <w:top w:val="nil"/>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4F452566" w14:textId="77777777" w:rsidR="001876CE" w:rsidRPr="001876CE" w:rsidRDefault="001876CE" w:rsidP="001876CE">
            <w:pPr>
              <w:jc w:val="right"/>
              <w:rPr>
                <w:rFonts w:cs="Arial"/>
                <w:color w:val="000000"/>
                <w:szCs w:val="22"/>
              </w:rPr>
            </w:pPr>
            <w:r w:rsidRPr="001876CE">
              <w:rPr>
                <w:rFonts w:cs="Arial"/>
                <w:color w:val="000000"/>
                <w:szCs w:val="22"/>
              </w:rPr>
              <w:t>48,972</w:t>
            </w:r>
          </w:p>
        </w:tc>
        <w:tc>
          <w:tcPr>
            <w:tcW w:w="1105" w:type="dxa"/>
            <w:tcBorders>
              <w:top w:val="nil"/>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2AB89F49" w14:textId="77777777" w:rsidR="001876CE" w:rsidRPr="001876CE" w:rsidRDefault="001876CE" w:rsidP="001876CE">
            <w:pPr>
              <w:jc w:val="right"/>
              <w:rPr>
                <w:rFonts w:cs="Arial"/>
                <w:color w:val="000000"/>
                <w:szCs w:val="22"/>
              </w:rPr>
            </w:pPr>
            <w:r w:rsidRPr="001876CE">
              <w:rPr>
                <w:rFonts w:cs="Arial"/>
                <w:color w:val="000000"/>
                <w:szCs w:val="22"/>
              </w:rPr>
              <w:t>47,137</w:t>
            </w:r>
          </w:p>
        </w:tc>
        <w:tc>
          <w:tcPr>
            <w:tcW w:w="1134" w:type="dxa"/>
            <w:tcBorders>
              <w:top w:val="nil"/>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07C37636" w14:textId="77777777" w:rsidR="001876CE" w:rsidRPr="001876CE" w:rsidRDefault="001876CE" w:rsidP="001876CE">
            <w:pPr>
              <w:jc w:val="right"/>
              <w:rPr>
                <w:rFonts w:cs="Arial"/>
                <w:color w:val="000000"/>
                <w:szCs w:val="22"/>
              </w:rPr>
            </w:pPr>
            <w:r w:rsidRPr="001876CE">
              <w:rPr>
                <w:rFonts w:cs="Arial"/>
                <w:color w:val="000000"/>
                <w:szCs w:val="22"/>
              </w:rPr>
              <w:t>79</w:t>
            </w:r>
          </w:p>
        </w:tc>
        <w:tc>
          <w:tcPr>
            <w:tcW w:w="1123" w:type="dxa"/>
            <w:tcBorders>
              <w:top w:val="nil"/>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709A9C0E" w14:textId="77777777" w:rsidR="001876CE" w:rsidRPr="001876CE" w:rsidRDefault="001876CE" w:rsidP="001876CE">
            <w:pPr>
              <w:jc w:val="right"/>
              <w:rPr>
                <w:rFonts w:cs="Arial"/>
                <w:color w:val="000000"/>
                <w:szCs w:val="22"/>
              </w:rPr>
            </w:pPr>
            <w:r w:rsidRPr="001876CE">
              <w:rPr>
                <w:rFonts w:cs="Arial"/>
                <w:color w:val="000000"/>
                <w:szCs w:val="22"/>
              </w:rPr>
              <w:t>2</w:t>
            </w:r>
          </w:p>
        </w:tc>
      </w:tr>
      <w:tr w:rsidR="003E18FE" w:rsidRPr="00441ACB" w14:paraId="28956E9B" w14:textId="77777777" w:rsidTr="00D26B1C">
        <w:trPr>
          <w:trHeight w:val="288"/>
        </w:trPr>
        <w:tc>
          <w:tcPr>
            <w:tcW w:w="2168" w:type="dxa"/>
            <w:vMerge/>
            <w:tcBorders>
              <w:left w:val="single" w:sz="4" w:space="0" w:color="F6F4EC" w:themeColor="background1"/>
              <w:bottom w:val="single" w:sz="4" w:space="0" w:color="auto"/>
              <w:right w:val="single" w:sz="4" w:space="0" w:color="D9D9D9"/>
            </w:tcBorders>
            <w:vAlign w:val="center"/>
            <w:hideMark/>
          </w:tcPr>
          <w:p w14:paraId="1B260FBF" w14:textId="77777777" w:rsidR="001876CE" w:rsidRPr="001876CE" w:rsidRDefault="001876CE" w:rsidP="001876CE">
            <w:pPr>
              <w:rPr>
                <w:rFonts w:cs="Arial"/>
                <w:color w:val="000000"/>
                <w:szCs w:val="22"/>
              </w:rPr>
            </w:pP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auto"/>
            <w:vAlign w:val="bottom"/>
            <w:hideMark/>
          </w:tcPr>
          <w:p w14:paraId="1E36C5DD" w14:textId="002260F9" w:rsidR="001876CE" w:rsidRPr="001876CE" w:rsidRDefault="001876CE" w:rsidP="001876CE">
            <w:pPr>
              <w:rPr>
                <w:rFonts w:cs="Arial"/>
                <w:color w:val="000000"/>
                <w:szCs w:val="22"/>
              </w:rPr>
            </w:pPr>
            <w:r w:rsidRPr="001876CE">
              <w:rPr>
                <w:rFonts w:cs="Arial"/>
                <w:color w:val="000000"/>
                <w:szCs w:val="22"/>
              </w:rPr>
              <w:t xml:space="preserve">Coal Sub-bituminous </w:t>
            </w:r>
          </w:p>
        </w:tc>
        <w:tc>
          <w:tcPr>
            <w:tcW w:w="831"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365180F5" w14:textId="77777777" w:rsidR="001876CE" w:rsidRPr="001876CE" w:rsidRDefault="001876CE" w:rsidP="001876CE">
            <w:pPr>
              <w:jc w:val="right"/>
              <w:rPr>
                <w:rFonts w:cs="Arial"/>
                <w:color w:val="000000"/>
                <w:szCs w:val="22"/>
              </w:rPr>
            </w:pPr>
            <w:r w:rsidRPr="001876CE">
              <w:rPr>
                <w:rFonts w:cs="Arial"/>
                <w:color w:val="000000"/>
                <w:szCs w:val="22"/>
              </w:rPr>
              <w:t>4,662</w:t>
            </w:r>
          </w:p>
        </w:tc>
        <w:tc>
          <w:tcPr>
            <w:tcW w:w="1105"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6FCD1064" w14:textId="77777777" w:rsidR="001876CE" w:rsidRPr="001876CE" w:rsidRDefault="001876CE" w:rsidP="001876CE">
            <w:pPr>
              <w:jc w:val="right"/>
              <w:rPr>
                <w:rFonts w:cs="Arial"/>
                <w:color w:val="000000"/>
                <w:szCs w:val="22"/>
              </w:rPr>
            </w:pPr>
            <w:r w:rsidRPr="001876CE">
              <w:rPr>
                <w:rFonts w:cs="Arial"/>
                <w:color w:val="000000"/>
                <w:szCs w:val="22"/>
              </w:rPr>
              <w:t>4,661</w:t>
            </w:r>
          </w:p>
        </w:tc>
        <w:tc>
          <w:tcPr>
            <w:tcW w:w="1134"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28FAC0EB" w14:textId="77777777" w:rsidR="001876CE" w:rsidRPr="001876CE" w:rsidRDefault="001876CE" w:rsidP="001876CE">
            <w:pPr>
              <w:jc w:val="right"/>
              <w:rPr>
                <w:rFonts w:cs="Arial"/>
                <w:color w:val="000000"/>
                <w:szCs w:val="22"/>
              </w:rPr>
            </w:pPr>
            <w:r w:rsidRPr="001876CE">
              <w:rPr>
                <w:rFonts w:cs="Arial"/>
                <w:color w:val="000000"/>
                <w:szCs w:val="22"/>
              </w:rPr>
              <w:t>0.48</w:t>
            </w:r>
          </w:p>
        </w:tc>
        <w:tc>
          <w:tcPr>
            <w:tcW w:w="1123"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36C7C320" w14:textId="77777777" w:rsidR="001876CE" w:rsidRPr="001876CE" w:rsidRDefault="001876CE" w:rsidP="001876CE">
            <w:pPr>
              <w:jc w:val="right"/>
              <w:rPr>
                <w:rFonts w:cs="Arial"/>
                <w:color w:val="000000"/>
                <w:szCs w:val="22"/>
              </w:rPr>
            </w:pPr>
            <w:r w:rsidRPr="001876CE">
              <w:rPr>
                <w:rFonts w:cs="Arial"/>
                <w:color w:val="000000"/>
                <w:szCs w:val="22"/>
              </w:rPr>
              <w:t>0.054</w:t>
            </w:r>
          </w:p>
        </w:tc>
      </w:tr>
      <w:tr w:rsidR="00382C42" w:rsidRPr="00441ACB" w14:paraId="5BC82564" w14:textId="77777777" w:rsidTr="00D26B1C">
        <w:trPr>
          <w:trHeight w:val="288"/>
        </w:trPr>
        <w:tc>
          <w:tcPr>
            <w:tcW w:w="2168" w:type="dxa"/>
            <w:vMerge/>
            <w:tcBorders>
              <w:top w:val="nil"/>
              <w:left w:val="single" w:sz="4" w:space="0" w:color="F6F4EC" w:themeColor="background1"/>
              <w:bottom w:val="single" w:sz="4" w:space="0" w:color="auto"/>
              <w:right w:val="single" w:sz="4" w:space="0" w:color="D9D9D9"/>
            </w:tcBorders>
            <w:vAlign w:val="center"/>
            <w:hideMark/>
          </w:tcPr>
          <w:p w14:paraId="07C0EAD5" w14:textId="77777777" w:rsidR="001876CE" w:rsidRPr="001876CE" w:rsidRDefault="001876CE" w:rsidP="001876CE">
            <w:pPr>
              <w:rPr>
                <w:rFonts w:cs="Arial"/>
                <w:color w:val="000000"/>
                <w:szCs w:val="22"/>
              </w:rPr>
            </w:pP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auto"/>
            <w:vAlign w:val="bottom"/>
            <w:hideMark/>
          </w:tcPr>
          <w:p w14:paraId="0EFD9B8A" w14:textId="41EEDE63" w:rsidR="001876CE" w:rsidRPr="001876CE" w:rsidRDefault="001876CE" w:rsidP="001876CE">
            <w:pPr>
              <w:rPr>
                <w:rFonts w:cs="Arial"/>
                <w:color w:val="000000"/>
                <w:szCs w:val="22"/>
              </w:rPr>
            </w:pPr>
            <w:r w:rsidRPr="001876CE">
              <w:rPr>
                <w:rFonts w:cs="Arial"/>
                <w:color w:val="000000"/>
                <w:szCs w:val="22"/>
              </w:rPr>
              <w:t xml:space="preserve">Coal bituminous  </w:t>
            </w:r>
          </w:p>
        </w:tc>
        <w:tc>
          <w:tcPr>
            <w:tcW w:w="831"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3244AC6A" w14:textId="77777777" w:rsidR="001876CE" w:rsidRPr="001876CE" w:rsidRDefault="001876CE" w:rsidP="001876CE">
            <w:pPr>
              <w:jc w:val="right"/>
              <w:rPr>
                <w:rFonts w:cs="Arial"/>
                <w:color w:val="000000"/>
                <w:szCs w:val="22"/>
              </w:rPr>
            </w:pPr>
            <w:r w:rsidRPr="001876CE">
              <w:rPr>
                <w:rFonts w:cs="Arial"/>
                <w:color w:val="000000"/>
                <w:szCs w:val="22"/>
              </w:rPr>
              <w:t>3,055</w:t>
            </w:r>
          </w:p>
        </w:tc>
        <w:tc>
          <w:tcPr>
            <w:tcW w:w="1105"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0F972997" w14:textId="77777777" w:rsidR="001876CE" w:rsidRPr="001876CE" w:rsidRDefault="001876CE" w:rsidP="001876CE">
            <w:pPr>
              <w:jc w:val="right"/>
              <w:rPr>
                <w:rFonts w:cs="Arial"/>
                <w:color w:val="000000"/>
                <w:szCs w:val="22"/>
              </w:rPr>
            </w:pPr>
            <w:r w:rsidRPr="001876CE">
              <w:rPr>
                <w:rFonts w:cs="Arial"/>
                <w:color w:val="000000"/>
                <w:szCs w:val="22"/>
              </w:rPr>
              <w:t>3,055</w:t>
            </w:r>
          </w:p>
        </w:tc>
        <w:tc>
          <w:tcPr>
            <w:tcW w:w="1134"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3523397B" w14:textId="77777777" w:rsidR="001876CE" w:rsidRPr="001876CE" w:rsidRDefault="001876CE" w:rsidP="001876CE">
            <w:pPr>
              <w:jc w:val="right"/>
              <w:rPr>
                <w:rFonts w:cs="Arial"/>
                <w:color w:val="000000"/>
                <w:szCs w:val="22"/>
              </w:rPr>
            </w:pPr>
            <w:r w:rsidRPr="001876CE">
              <w:rPr>
                <w:rFonts w:cs="Arial"/>
                <w:color w:val="000000"/>
                <w:szCs w:val="22"/>
              </w:rPr>
              <w:t>0</w:t>
            </w:r>
          </w:p>
        </w:tc>
        <w:tc>
          <w:tcPr>
            <w:tcW w:w="1123"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2361034B" w14:textId="5636B5D4" w:rsidR="001876CE" w:rsidRPr="001876CE" w:rsidRDefault="00603249" w:rsidP="001876CE">
            <w:pPr>
              <w:jc w:val="right"/>
              <w:rPr>
                <w:rFonts w:cs="Arial"/>
                <w:color w:val="000000"/>
                <w:szCs w:val="22"/>
              </w:rPr>
            </w:pPr>
            <w:r w:rsidRPr="00441ACB">
              <w:rPr>
                <w:rFonts w:cs="Arial"/>
                <w:color w:val="000000"/>
                <w:szCs w:val="22"/>
              </w:rPr>
              <w:t xml:space="preserve">0  </w:t>
            </w:r>
          </w:p>
        </w:tc>
      </w:tr>
      <w:tr w:rsidR="00361C72" w:rsidRPr="00441ACB" w14:paraId="358023F3" w14:textId="77777777" w:rsidTr="00D26B1C">
        <w:trPr>
          <w:trHeight w:val="288"/>
        </w:trPr>
        <w:tc>
          <w:tcPr>
            <w:tcW w:w="2168" w:type="dxa"/>
            <w:vMerge/>
            <w:tcBorders>
              <w:top w:val="nil"/>
              <w:left w:val="single" w:sz="4" w:space="0" w:color="F6F4EC" w:themeColor="background1"/>
              <w:bottom w:val="single" w:sz="4" w:space="0" w:color="auto"/>
              <w:right w:val="single" w:sz="4" w:space="0" w:color="D9D9D9"/>
            </w:tcBorders>
            <w:vAlign w:val="center"/>
            <w:hideMark/>
          </w:tcPr>
          <w:p w14:paraId="284F62AB" w14:textId="77777777" w:rsidR="001876CE" w:rsidRPr="001876CE" w:rsidRDefault="001876CE" w:rsidP="001876CE">
            <w:pPr>
              <w:rPr>
                <w:rFonts w:cs="Arial"/>
                <w:color w:val="000000"/>
                <w:szCs w:val="22"/>
              </w:rPr>
            </w:pP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auto"/>
            <w:vAlign w:val="bottom"/>
            <w:hideMark/>
          </w:tcPr>
          <w:p w14:paraId="0888FED6" w14:textId="03D66312" w:rsidR="001876CE" w:rsidRPr="001876CE" w:rsidRDefault="001876CE" w:rsidP="001876CE">
            <w:pPr>
              <w:rPr>
                <w:rFonts w:cs="Arial"/>
                <w:color w:val="000000"/>
                <w:szCs w:val="22"/>
              </w:rPr>
            </w:pPr>
            <w:r w:rsidRPr="001876CE">
              <w:rPr>
                <w:rFonts w:cs="Arial"/>
                <w:color w:val="000000"/>
                <w:szCs w:val="22"/>
              </w:rPr>
              <w:t xml:space="preserve">Diesel </w:t>
            </w:r>
          </w:p>
        </w:tc>
        <w:tc>
          <w:tcPr>
            <w:tcW w:w="831"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0AA4FA83" w14:textId="77777777" w:rsidR="001876CE" w:rsidRPr="001876CE" w:rsidRDefault="001876CE" w:rsidP="001876CE">
            <w:pPr>
              <w:jc w:val="right"/>
              <w:rPr>
                <w:rFonts w:cs="Arial"/>
                <w:color w:val="000000"/>
                <w:szCs w:val="22"/>
              </w:rPr>
            </w:pPr>
            <w:r w:rsidRPr="001876CE">
              <w:rPr>
                <w:rFonts w:cs="Arial"/>
                <w:color w:val="000000"/>
                <w:szCs w:val="22"/>
              </w:rPr>
              <w:t>1,497</w:t>
            </w:r>
          </w:p>
        </w:tc>
        <w:tc>
          <w:tcPr>
            <w:tcW w:w="1105"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762B31DA" w14:textId="77777777" w:rsidR="001876CE" w:rsidRPr="001876CE" w:rsidRDefault="001876CE" w:rsidP="001876CE">
            <w:pPr>
              <w:jc w:val="right"/>
              <w:rPr>
                <w:rFonts w:cs="Arial"/>
                <w:color w:val="000000"/>
                <w:szCs w:val="22"/>
              </w:rPr>
            </w:pPr>
            <w:r w:rsidRPr="001876CE">
              <w:rPr>
                <w:rFonts w:cs="Arial"/>
                <w:color w:val="000000"/>
                <w:szCs w:val="22"/>
              </w:rPr>
              <w:t>1,489</w:t>
            </w:r>
          </w:p>
        </w:tc>
        <w:tc>
          <w:tcPr>
            <w:tcW w:w="1134"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72247639" w14:textId="77777777" w:rsidR="001876CE" w:rsidRPr="001876CE" w:rsidRDefault="001876CE" w:rsidP="001876CE">
            <w:pPr>
              <w:jc w:val="right"/>
              <w:rPr>
                <w:rFonts w:cs="Arial"/>
                <w:color w:val="000000"/>
                <w:szCs w:val="22"/>
              </w:rPr>
            </w:pPr>
            <w:r w:rsidRPr="001876CE">
              <w:rPr>
                <w:rFonts w:cs="Arial"/>
                <w:color w:val="000000"/>
                <w:szCs w:val="22"/>
              </w:rPr>
              <w:t>3</w:t>
            </w:r>
          </w:p>
        </w:tc>
        <w:tc>
          <w:tcPr>
            <w:tcW w:w="1123"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7BD856A0" w14:textId="77777777" w:rsidR="001876CE" w:rsidRPr="001876CE" w:rsidRDefault="001876CE" w:rsidP="001876CE">
            <w:pPr>
              <w:jc w:val="right"/>
              <w:rPr>
                <w:rFonts w:cs="Arial"/>
                <w:color w:val="000000"/>
                <w:szCs w:val="22"/>
              </w:rPr>
            </w:pPr>
            <w:r w:rsidRPr="001876CE">
              <w:rPr>
                <w:rFonts w:eastAsia="Calibri" w:cs="Arial"/>
                <w:color w:val="000000"/>
                <w:szCs w:val="22"/>
              </w:rPr>
              <w:t>0.05</w:t>
            </w:r>
          </w:p>
        </w:tc>
      </w:tr>
      <w:tr w:rsidR="00361C72" w:rsidRPr="00441ACB" w14:paraId="0F5906A4" w14:textId="77777777" w:rsidTr="00D26B1C">
        <w:trPr>
          <w:trHeight w:val="288"/>
        </w:trPr>
        <w:tc>
          <w:tcPr>
            <w:tcW w:w="2168" w:type="dxa"/>
            <w:vMerge/>
            <w:tcBorders>
              <w:top w:val="nil"/>
              <w:left w:val="single" w:sz="4" w:space="0" w:color="F6F4EC" w:themeColor="background1"/>
              <w:bottom w:val="single" w:sz="4" w:space="0" w:color="auto"/>
              <w:right w:val="single" w:sz="4" w:space="0" w:color="D9D9D9"/>
            </w:tcBorders>
            <w:vAlign w:val="center"/>
            <w:hideMark/>
          </w:tcPr>
          <w:p w14:paraId="0FEFE371" w14:textId="77777777" w:rsidR="001876CE" w:rsidRPr="001876CE" w:rsidRDefault="001876CE" w:rsidP="001876CE">
            <w:pPr>
              <w:rPr>
                <w:rFonts w:cs="Arial"/>
                <w:color w:val="000000"/>
                <w:szCs w:val="22"/>
              </w:rPr>
            </w:pP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auto"/>
            <w:vAlign w:val="bottom"/>
            <w:hideMark/>
          </w:tcPr>
          <w:p w14:paraId="00F52871" w14:textId="77777777" w:rsidR="001876CE" w:rsidRPr="001876CE" w:rsidRDefault="001876CE" w:rsidP="001876CE">
            <w:pPr>
              <w:rPr>
                <w:rFonts w:cs="Arial"/>
                <w:color w:val="000000"/>
                <w:szCs w:val="22"/>
              </w:rPr>
            </w:pPr>
            <w:r w:rsidRPr="001876CE">
              <w:rPr>
                <w:rFonts w:cs="Arial"/>
                <w:color w:val="000000"/>
                <w:szCs w:val="22"/>
              </w:rPr>
              <w:t>LPG</w:t>
            </w:r>
          </w:p>
        </w:tc>
        <w:tc>
          <w:tcPr>
            <w:tcW w:w="831"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581D27FA" w14:textId="77777777" w:rsidR="001876CE" w:rsidRPr="001876CE" w:rsidRDefault="001876CE" w:rsidP="001876CE">
            <w:pPr>
              <w:jc w:val="right"/>
              <w:rPr>
                <w:rFonts w:cs="Arial"/>
                <w:color w:val="000000"/>
                <w:szCs w:val="22"/>
              </w:rPr>
            </w:pPr>
            <w:r w:rsidRPr="001876CE">
              <w:rPr>
                <w:rFonts w:cs="Arial"/>
                <w:color w:val="000000"/>
                <w:szCs w:val="22"/>
              </w:rPr>
              <w:t>712</w:t>
            </w:r>
          </w:p>
        </w:tc>
        <w:tc>
          <w:tcPr>
            <w:tcW w:w="1105"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7193931C" w14:textId="77777777" w:rsidR="001876CE" w:rsidRPr="001876CE" w:rsidRDefault="001876CE" w:rsidP="001876CE">
            <w:pPr>
              <w:jc w:val="right"/>
              <w:rPr>
                <w:rFonts w:cs="Arial"/>
                <w:color w:val="000000"/>
                <w:szCs w:val="22"/>
              </w:rPr>
            </w:pPr>
            <w:r w:rsidRPr="001876CE">
              <w:rPr>
                <w:rFonts w:cs="Arial"/>
                <w:color w:val="000000"/>
                <w:szCs w:val="22"/>
              </w:rPr>
              <w:t>676</w:t>
            </w:r>
          </w:p>
        </w:tc>
        <w:tc>
          <w:tcPr>
            <w:tcW w:w="1134"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457F970D" w14:textId="77777777" w:rsidR="001876CE" w:rsidRPr="001876CE" w:rsidRDefault="001876CE" w:rsidP="001876CE">
            <w:pPr>
              <w:jc w:val="right"/>
              <w:rPr>
                <w:rFonts w:cs="Arial"/>
                <w:color w:val="000000"/>
                <w:szCs w:val="22"/>
              </w:rPr>
            </w:pPr>
            <w:r w:rsidRPr="001876CE">
              <w:rPr>
                <w:rFonts w:cs="Arial"/>
                <w:color w:val="000000"/>
                <w:szCs w:val="22"/>
              </w:rPr>
              <w:t>1</w:t>
            </w:r>
          </w:p>
        </w:tc>
        <w:tc>
          <w:tcPr>
            <w:tcW w:w="1123"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4AD2AD8E" w14:textId="77777777" w:rsidR="001876CE" w:rsidRPr="001876CE" w:rsidRDefault="001876CE" w:rsidP="001876CE">
            <w:pPr>
              <w:jc w:val="right"/>
              <w:rPr>
                <w:rFonts w:cs="Arial"/>
                <w:color w:val="000000"/>
                <w:szCs w:val="22"/>
              </w:rPr>
            </w:pPr>
            <w:r w:rsidRPr="001876CE">
              <w:rPr>
                <w:rFonts w:cs="Arial"/>
                <w:color w:val="000000"/>
                <w:szCs w:val="22"/>
              </w:rPr>
              <w:t>0.024</w:t>
            </w:r>
          </w:p>
        </w:tc>
      </w:tr>
      <w:tr w:rsidR="00D26B1C" w:rsidRPr="00441ACB" w14:paraId="07FF75D1" w14:textId="77777777" w:rsidTr="00D26B1C">
        <w:trPr>
          <w:trHeight w:val="288"/>
        </w:trPr>
        <w:tc>
          <w:tcPr>
            <w:tcW w:w="2168" w:type="dxa"/>
            <w:vMerge/>
            <w:tcBorders>
              <w:top w:val="nil"/>
              <w:left w:val="single" w:sz="4" w:space="0" w:color="F6F4EC" w:themeColor="background1"/>
              <w:bottom w:val="single" w:sz="4" w:space="0" w:color="D9D9D9"/>
              <w:right w:val="single" w:sz="4" w:space="0" w:color="D9D9D9"/>
            </w:tcBorders>
            <w:vAlign w:val="center"/>
            <w:hideMark/>
          </w:tcPr>
          <w:p w14:paraId="65608430" w14:textId="77777777" w:rsidR="001876CE" w:rsidRPr="001876CE" w:rsidRDefault="001876CE" w:rsidP="001876CE">
            <w:pPr>
              <w:rPr>
                <w:rFonts w:cs="Arial"/>
                <w:color w:val="000000"/>
                <w:szCs w:val="22"/>
              </w:rPr>
            </w:pP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auto"/>
            <w:vAlign w:val="bottom"/>
            <w:hideMark/>
          </w:tcPr>
          <w:p w14:paraId="42BC11A2" w14:textId="77777777" w:rsidR="001876CE" w:rsidRPr="001876CE" w:rsidRDefault="001876CE" w:rsidP="001876CE">
            <w:pPr>
              <w:rPr>
                <w:rFonts w:cs="Arial"/>
                <w:color w:val="000000"/>
                <w:szCs w:val="22"/>
              </w:rPr>
            </w:pPr>
            <w:r w:rsidRPr="001876CE">
              <w:rPr>
                <w:rFonts w:cs="Arial"/>
                <w:color w:val="000000"/>
                <w:szCs w:val="22"/>
              </w:rPr>
              <w:t>Biomass</w:t>
            </w:r>
          </w:p>
        </w:tc>
        <w:tc>
          <w:tcPr>
            <w:tcW w:w="831"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43FD58C8" w14:textId="77777777" w:rsidR="001876CE" w:rsidRPr="001876CE" w:rsidRDefault="001876CE" w:rsidP="001876CE">
            <w:pPr>
              <w:jc w:val="right"/>
              <w:rPr>
                <w:rFonts w:cs="Arial"/>
                <w:color w:val="000000"/>
                <w:szCs w:val="22"/>
              </w:rPr>
            </w:pPr>
            <w:r w:rsidRPr="001876CE">
              <w:rPr>
                <w:rFonts w:cs="Arial"/>
                <w:color w:val="000000"/>
                <w:szCs w:val="22"/>
              </w:rPr>
              <w:t>6.65</w:t>
            </w:r>
          </w:p>
        </w:tc>
        <w:tc>
          <w:tcPr>
            <w:tcW w:w="1105" w:type="dxa"/>
            <w:tcBorders>
              <w:top w:val="single" w:sz="4" w:space="0" w:color="D9D9D9" w:themeColor="accent4" w:themeShade="D9"/>
              <w:left w:val="single" w:sz="4" w:space="0" w:color="FFFFFF" w:themeColor="accent6"/>
              <w:bottom w:val="single" w:sz="4" w:space="0" w:color="D9D9D9"/>
              <w:right w:val="single" w:sz="4" w:space="0" w:color="FFFFFF" w:themeColor="accent6"/>
            </w:tcBorders>
            <w:shd w:val="clear" w:color="auto" w:fill="auto"/>
            <w:vAlign w:val="bottom"/>
            <w:hideMark/>
          </w:tcPr>
          <w:p w14:paraId="6943BDD5" w14:textId="77777777" w:rsidR="001876CE" w:rsidRPr="001876CE" w:rsidRDefault="001876CE" w:rsidP="001876CE">
            <w:pPr>
              <w:jc w:val="right"/>
              <w:rPr>
                <w:rFonts w:cs="Arial"/>
                <w:color w:val="000000"/>
                <w:szCs w:val="22"/>
              </w:rPr>
            </w:pPr>
            <w:r w:rsidRPr="001876CE">
              <w:rPr>
                <w:rFonts w:cs="Arial"/>
                <w:color w:val="000000"/>
                <w:szCs w:val="22"/>
              </w:rPr>
              <w:t>6.65</w:t>
            </w:r>
          </w:p>
        </w:tc>
        <w:tc>
          <w:tcPr>
            <w:tcW w:w="1134" w:type="dxa"/>
            <w:tcBorders>
              <w:top w:val="single" w:sz="4" w:space="0" w:color="D9D9D9" w:themeColor="accent4" w:themeShade="D9"/>
              <w:left w:val="single" w:sz="4" w:space="0" w:color="FFFFFF" w:themeColor="accent6"/>
              <w:bottom w:val="single" w:sz="4" w:space="0" w:color="D9D9D9"/>
              <w:right w:val="single" w:sz="4" w:space="0" w:color="FFFFFF" w:themeColor="accent6"/>
            </w:tcBorders>
            <w:shd w:val="clear" w:color="auto" w:fill="auto"/>
            <w:vAlign w:val="bottom"/>
            <w:hideMark/>
          </w:tcPr>
          <w:p w14:paraId="66D671AA" w14:textId="7067536E" w:rsidR="001876CE" w:rsidRPr="001876CE" w:rsidRDefault="001876CE" w:rsidP="001876CE">
            <w:pPr>
              <w:jc w:val="right"/>
              <w:rPr>
                <w:rFonts w:cs="Arial"/>
                <w:color w:val="000000"/>
                <w:szCs w:val="22"/>
              </w:rPr>
            </w:pPr>
            <w:r w:rsidRPr="001876CE">
              <w:rPr>
                <w:rFonts w:cs="Arial"/>
                <w:color w:val="000000"/>
                <w:szCs w:val="22"/>
              </w:rPr>
              <w:t>0.011</w:t>
            </w:r>
          </w:p>
        </w:tc>
        <w:tc>
          <w:tcPr>
            <w:tcW w:w="1123" w:type="dxa"/>
            <w:tcBorders>
              <w:top w:val="single" w:sz="4" w:space="0" w:color="D9D9D9" w:themeColor="accent4" w:themeShade="D9"/>
              <w:left w:val="single" w:sz="4" w:space="0" w:color="FFFFFF" w:themeColor="accent6"/>
              <w:bottom w:val="single" w:sz="4" w:space="0" w:color="D9D9D9"/>
              <w:right w:val="single" w:sz="4" w:space="0" w:color="FFFFFF" w:themeColor="accent6"/>
            </w:tcBorders>
            <w:shd w:val="clear" w:color="auto" w:fill="auto"/>
            <w:vAlign w:val="bottom"/>
          </w:tcPr>
          <w:p w14:paraId="4BD36611" w14:textId="384D7E1B" w:rsidR="001876CE" w:rsidRPr="001876CE" w:rsidRDefault="00603249" w:rsidP="001876CE">
            <w:pPr>
              <w:jc w:val="right"/>
              <w:rPr>
                <w:rFonts w:cs="Arial"/>
                <w:color w:val="000000"/>
                <w:szCs w:val="22"/>
              </w:rPr>
            </w:pPr>
            <w:r w:rsidRPr="00441ACB">
              <w:rPr>
                <w:rFonts w:eastAsia="Calibri" w:cs="Arial"/>
                <w:color w:val="000000"/>
                <w:szCs w:val="22"/>
              </w:rPr>
              <w:t>0.00023</w:t>
            </w:r>
            <w:r w:rsidRPr="00441ACB">
              <w:rPr>
                <w:rFonts w:cs="Arial"/>
                <w:color w:val="000000"/>
                <w:szCs w:val="22"/>
              </w:rPr>
              <w:t xml:space="preserve">  </w:t>
            </w:r>
          </w:p>
        </w:tc>
      </w:tr>
      <w:tr w:rsidR="00D26B1C" w:rsidRPr="00441ACB" w14:paraId="0CCDDB35" w14:textId="77777777" w:rsidTr="004C2E4A">
        <w:trPr>
          <w:trHeight w:val="288"/>
        </w:trPr>
        <w:tc>
          <w:tcPr>
            <w:tcW w:w="2168" w:type="dxa"/>
            <w:vMerge w:val="restart"/>
            <w:tcBorders>
              <w:top w:val="single" w:sz="4" w:space="0" w:color="D9D9D9"/>
              <w:left w:val="single" w:sz="4" w:space="0" w:color="F6F4EC" w:themeColor="background1"/>
              <w:bottom w:val="single" w:sz="4" w:space="0" w:color="auto"/>
              <w:right w:val="single" w:sz="4" w:space="0" w:color="D9D9D9"/>
            </w:tcBorders>
            <w:shd w:val="clear" w:color="auto" w:fill="DDE6F5" w:themeFill="text1" w:themeFillTint="1A"/>
            <w:vAlign w:val="center"/>
            <w:hideMark/>
          </w:tcPr>
          <w:p w14:paraId="6E578C05" w14:textId="77777777" w:rsidR="001876CE" w:rsidRPr="001876CE" w:rsidRDefault="001876CE" w:rsidP="001876CE">
            <w:pPr>
              <w:rPr>
                <w:rFonts w:cs="Arial"/>
                <w:color w:val="000000"/>
                <w:szCs w:val="22"/>
              </w:rPr>
            </w:pPr>
            <w:r w:rsidRPr="001876CE">
              <w:rPr>
                <w:rFonts w:cs="Arial"/>
                <w:color w:val="000000"/>
                <w:szCs w:val="22"/>
              </w:rPr>
              <w:t>Transport fuels</w:t>
            </w: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DDE6F5" w:themeFill="text1" w:themeFillTint="1A"/>
            <w:vAlign w:val="bottom"/>
            <w:hideMark/>
          </w:tcPr>
          <w:p w14:paraId="2FA38564" w14:textId="77777777" w:rsidR="001876CE" w:rsidRPr="001876CE" w:rsidRDefault="001876CE" w:rsidP="001876CE">
            <w:pPr>
              <w:rPr>
                <w:rFonts w:cs="Arial"/>
                <w:color w:val="000000"/>
                <w:szCs w:val="22"/>
              </w:rPr>
            </w:pPr>
            <w:r w:rsidRPr="001876CE">
              <w:rPr>
                <w:rFonts w:cs="Arial"/>
                <w:color w:val="000000"/>
                <w:szCs w:val="22"/>
              </w:rPr>
              <w:t xml:space="preserve">Petrol </w:t>
            </w:r>
          </w:p>
        </w:tc>
        <w:tc>
          <w:tcPr>
            <w:tcW w:w="831"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DDE6F5" w:themeFill="text1" w:themeFillTint="1A"/>
            <w:vAlign w:val="bottom"/>
            <w:hideMark/>
          </w:tcPr>
          <w:p w14:paraId="2F41249F" w14:textId="77777777" w:rsidR="001876CE" w:rsidRPr="001876CE" w:rsidRDefault="001876CE" w:rsidP="001876CE">
            <w:pPr>
              <w:jc w:val="right"/>
              <w:rPr>
                <w:rFonts w:cs="Arial"/>
                <w:color w:val="000000"/>
                <w:szCs w:val="22"/>
              </w:rPr>
            </w:pPr>
            <w:r w:rsidRPr="001876CE">
              <w:rPr>
                <w:rFonts w:cs="Arial"/>
                <w:color w:val="000000"/>
                <w:szCs w:val="22"/>
              </w:rPr>
              <w:t>6,501</w:t>
            </w:r>
          </w:p>
        </w:tc>
        <w:tc>
          <w:tcPr>
            <w:tcW w:w="1105" w:type="dxa"/>
            <w:tcBorders>
              <w:top w:val="single" w:sz="4" w:space="0" w:color="D9D9D9"/>
              <w:left w:val="single" w:sz="4" w:space="0" w:color="FFFFFF" w:themeColor="accent6"/>
              <w:bottom w:val="single" w:sz="4" w:space="0" w:color="D9D9D9"/>
              <w:right w:val="single" w:sz="4" w:space="0" w:color="FFFFFF" w:themeColor="accent6"/>
            </w:tcBorders>
            <w:shd w:val="clear" w:color="auto" w:fill="DDE6F5" w:themeFill="text1" w:themeFillTint="1A"/>
            <w:vAlign w:val="bottom"/>
            <w:hideMark/>
          </w:tcPr>
          <w:p w14:paraId="7126B2B0" w14:textId="77777777" w:rsidR="001876CE" w:rsidRPr="001876CE" w:rsidRDefault="001876CE" w:rsidP="001876CE">
            <w:pPr>
              <w:jc w:val="right"/>
              <w:rPr>
                <w:rFonts w:cs="Arial"/>
                <w:color w:val="000000"/>
                <w:szCs w:val="22"/>
              </w:rPr>
            </w:pPr>
            <w:r w:rsidRPr="001876CE">
              <w:rPr>
                <w:rFonts w:cs="Arial"/>
                <w:color w:val="000000"/>
                <w:szCs w:val="22"/>
              </w:rPr>
              <w:t>6,176</w:t>
            </w:r>
          </w:p>
        </w:tc>
        <w:tc>
          <w:tcPr>
            <w:tcW w:w="1134" w:type="dxa"/>
            <w:tcBorders>
              <w:top w:val="single" w:sz="4" w:space="0" w:color="D9D9D9"/>
              <w:left w:val="single" w:sz="4" w:space="0" w:color="FFFFFF" w:themeColor="accent6"/>
              <w:bottom w:val="single" w:sz="4" w:space="0" w:color="D9D9D9"/>
              <w:right w:val="single" w:sz="4" w:space="0" w:color="FFFFFF" w:themeColor="accent6"/>
            </w:tcBorders>
            <w:shd w:val="clear" w:color="auto" w:fill="DDE6F5" w:themeFill="text1" w:themeFillTint="1A"/>
            <w:vAlign w:val="bottom"/>
            <w:hideMark/>
          </w:tcPr>
          <w:p w14:paraId="74A1FC5A" w14:textId="77777777" w:rsidR="001876CE" w:rsidRPr="001876CE" w:rsidRDefault="001876CE" w:rsidP="001876CE">
            <w:pPr>
              <w:jc w:val="right"/>
              <w:rPr>
                <w:rFonts w:cs="Arial"/>
                <w:color w:val="000000"/>
                <w:szCs w:val="22"/>
              </w:rPr>
            </w:pPr>
            <w:r w:rsidRPr="001876CE">
              <w:rPr>
                <w:rFonts w:cs="Arial"/>
                <w:color w:val="000000"/>
                <w:szCs w:val="22"/>
              </w:rPr>
              <w:t>10</w:t>
            </w:r>
          </w:p>
        </w:tc>
        <w:tc>
          <w:tcPr>
            <w:tcW w:w="1123" w:type="dxa"/>
            <w:tcBorders>
              <w:top w:val="single" w:sz="4" w:space="0" w:color="D9D9D9"/>
              <w:left w:val="single" w:sz="4" w:space="0" w:color="FFFFFF" w:themeColor="accent6"/>
              <w:bottom w:val="single" w:sz="4" w:space="0" w:color="D9D9D9"/>
              <w:right w:val="single" w:sz="4" w:space="0" w:color="FFFFFF" w:themeColor="accent6"/>
            </w:tcBorders>
            <w:shd w:val="clear" w:color="auto" w:fill="DDE6F5" w:themeFill="text1" w:themeFillTint="1A"/>
            <w:vAlign w:val="bottom"/>
            <w:hideMark/>
          </w:tcPr>
          <w:p w14:paraId="055AF0A0" w14:textId="77777777" w:rsidR="001876CE" w:rsidRPr="001876CE" w:rsidRDefault="001876CE" w:rsidP="001876CE">
            <w:pPr>
              <w:jc w:val="right"/>
              <w:rPr>
                <w:rFonts w:cs="Arial"/>
                <w:color w:val="000000"/>
                <w:szCs w:val="22"/>
              </w:rPr>
            </w:pPr>
            <w:r w:rsidRPr="001876CE">
              <w:rPr>
                <w:rFonts w:eastAsia="Calibri" w:cs="Arial"/>
                <w:color w:val="000000"/>
                <w:szCs w:val="22"/>
              </w:rPr>
              <w:t>0.22</w:t>
            </w:r>
          </w:p>
        </w:tc>
      </w:tr>
      <w:tr w:rsidR="00AA2DA8" w:rsidRPr="00441ACB" w14:paraId="03404381" w14:textId="77777777" w:rsidTr="004C2E4A">
        <w:trPr>
          <w:trHeight w:val="288"/>
        </w:trPr>
        <w:tc>
          <w:tcPr>
            <w:tcW w:w="2168" w:type="dxa"/>
            <w:vMerge/>
            <w:tcBorders>
              <w:top w:val="nil"/>
              <w:left w:val="single" w:sz="4" w:space="0" w:color="F6F4EC" w:themeColor="background1"/>
              <w:bottom w:val="single" w:sz="4" w:space="0" w:color="auto"/>
              <w:right w:val="single" w:sz="4" w:space="0" w:color="D9D9D9"/>
            </w:tcBorders>
            <w:shd w:val="clear" w:color="auto" w:fill="DDE6F5" w:themeFill="text1" w:themeFillTint="1A"/>
            <w:vAlign w:val="center"/>
            <w:hideMark/>
          </w:tcPr>
          <w:p w14:paraId="505F32C1" w14:textId="77777777" w:rsidR="001876CE" w:rsidRPr="001876CE" w:rsidRDefault="001876CE" w:rsidP="001876CE">
            <w:pPr>
              <w:rPr>
                <w:rFonts w:cs="Arial"/>
                <w:color w:val="000000"/>
                <w:szCs w:val="22"/>
              </w:rPr>
            </w:pP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DDE6F5" w:themeFill="text1" w:themeFillTint="1A"/>
            <w:vAlign w:val="bottom"/>
            <w:hideMark/>
          </w:tcPr>
          <w:p w14:paraId="6F2B0049" w14:textId="77777777" w:rsidR="001876CE" w:rsidRPr="001876CE" w:rsidRDefault="001876CE" w:rsidP="001876CE">
            <w:pPr>
              <w:rPr>
                <w:rFonts w:cs="Arial"/>
                <w:color w:val="000000"/>
                <w:szCs w:val="22"/>
              </w:rPr>
            </w:pPr>
            <w:r w:rsidRPr="001876CE">
              <w:rPr>
                <w:rFonts w:cs="Arial"/>
                <w:color w:val="000000"/>
                <w:szCs w:val="22"/>
              </w:rPr>
              <w:t xml:space="preserve">Diesel </w:t>
            </w:r>
          </w:p>
        </w:tc>
        <w:tc>
          <w:tcPr>
            <w:tcW w:w="831"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DDE6F5" w:themeFill="text1" w:themeFillTint="1A"/>
            <w:vAlign w:val="bottom"/>
            <w:hideMark/>
          </w:tcPr>
          <w:p w14:paraId="5FB6D91E" w14:textId="77777777" w:rsidR="001876CE" w:rsidRPr="001876CE" w:rsidRDefault="001876CE" w:rsidP="001876CE">
            <w:pPr>
              <w:jc w:val="right"/>
              <w:rPr>
                <w:rFonts w:cs="Arial"/>
                <w:color w:val="000000"/>
                <w:szCs w:val="22"/>
              </w:rPr>
            </w:pPr>
            <w:r w:rsidRPr="001876CE">
              <w:rPr>
                <w:rFonts w:cs="Arial"/>
                <w:color w:val="000000"/>
                <w:szCs w:val="22"/>
              </w:rPr>
              <w:t>1,643</w:t>
            </w:r>
          </w:p>
        </w:tc>
        <w:tc>
          <w:tcPr>
            <w:tcW w:w="1105" w:type="dxa"/>
            <w:tcBorders>
              <w:top w:val="single" w:sz="4" w:space="0" w:color="D9D9D9"/>
              <w:left w:val="single" w:sz="4" w:space="0" w:color="FFFFFF" w:themeColor="accent6"/>
              <w:bottom w:val="single" w:sz="4" w:space="0" w:color="D9D9D9"/>
              <w:right w:val="single" w:sz="4" w:space="0" w:color="FFFFFF" w:themeColor="accent6"/>
            </w:tcBorders>
            <w:shd w:val="clear" w:color="auto" w:fill="DDE6F5" w:themeFill="text1" w:themeFillTint="1A"/>
            <w:vAlign w:val="bottom"/>
            <w:hideMark/>
          </w:tcPr>
          <w:p w14:paraId="04B4439F" w14:textId="77777777" w:rsidR="001876CE" w:rsidRPr="001876CE" w:rsidRDefault="001876CE" w:rsidP="001876CE">
            <w:pPr>
              <w:jc w:val="right"/>
              <w:rPr>
                <w:rFonts w:cs="Arial"/>
                <w:color w:val="000000"/>
                <w:szCs w:val="22"/>
              </w:rPr>
            </w:pPr>
            <w:r w:rsidRPr="001876CE">
              <w:rPr>
                <w:rFonts w:cs="Arial"/>
                <w:color w:val="000000"/>
                <w:szCs w:val="22"/>
              </w:rPr>
              <w:t>1,561</w:t>
            </w:r>
          </w:p>
        </w:tc>
        <w:tc>
          <w:tcPr>
            <w:tcW w:w="1134" w:type="dxa"/>
            <w:tcBorders>
              <w:top w:val="single" w:sz="4" w:space="0" w:color="D9D9D9"/>
              <w:left w:val="single" w:sz="4" w:space="0" w:color="FFFFFF" w:themeColor="accent6"/>
              <w:bottom w:val="single" w:sz="4" w:space="0" w:color="D9D9D9"/>
              <w:right w:val="single" w:sz="4" w:space="0" w:color="FFFFFF" w:themeColor="accent6"/>
            </w:tcBorders>
            <w:shd w:val="clear" w:color="auto" w:fill="DDE6F5" w:themeFill="text1" w:themeFillTint="1A"/>
            <w:vAlign w:val="bottom"/>
            <w:hideMark/>
          </w:tcPr>
          <w:p w14:paraId="1292D792" w14:textId="77777777" w:rsidR="001876CE" w:rsidRPr="001876CE" w:rsidRDefault="001876CE" w:rsidP="001876CE">
            <w:pPr>
              <w:jc w:val="right"/>
              <w:rPr>
                <w:rFonts w:cs="Arial"/>
                <w:color w:val="000000"/>
                <w:szCs w:val="22"/>
              </w:rPr>
            </w:pPr>
            <w:r w:rsidRPr="001876CE">
              <w:rPr>
                <w:rFonts w:cs="Arial"/>
                <w:color w:val="000000"/>
                <w:szCs w:val="22"/>
              </w:rPr>
              <w:t>3</w:t>
            </w:r>
          </w:p>
        </w:tc>
        <w:tc>
          <w:tcPr>
            <w:tcW w:w="1123" w:type="dxa"/>
            <w:tcBorders>
              <w:top w:val="single" w:sz="4" w:space="0" w:color="D9D9D9"/>
              <w:left w:val="single" w:sz="4" w:space="0" w:color="FFFFFF" w:themeColor="accent6"/>
              <w:bottom w:val="single" w:sz="4" w:space="0" w:color="D9D9D9"/>
              <w:right w:val="single" w:sz="4" w:space="0" w:color="FFFFFF" w:themeColor="accent6"/>
            </w:tcBorders>
            <w:shd w:val="clear" w:color="auto" w:fill="DDE6F5" w:themeFill="text1" w:themeFillTint="1A"/>
            <w:vAlign w:val="bottom"/>
            <w:hideMark/>
          </w:tcPr>
          <w:p w14:paraId="2664C758" w14:textId="77777777" w:rsidR="001876CE" w:rsidRPr="001876CE" w:rsidRDefault="001876CE" w:rsidP="001876CE">
            <w:pPr>
              <w:jc w:val="right"/>
              <w:rPr>
                <w:rFonts w:cs="Arial"/>
                <w:color w:val="000000"/>
                <w:szCs w:val="22"/>
              </w:rPr>
            </w:pPr>
            <w:r w:rsidRPr="001876CE">
              <w:rPr>
                <w:rFonts w:eastAsia="Calibri" w:cs="Arial"/>
                <w:color w:val="000000"/>
                <w:szCs w:val="22"/>
              </w:rPr>
              <w:t>0.06</w:t>
            </w:r>
          </w:p>
        </w:tc>
      </w:tr>
      <w:tr w:rsidR="00D26B1C" w:rsidRPr="00441ACB" w14:paraId="3EA0406E" w14:textId="77777777" w:rsidTr="004C2E4A">
        <w:trPr>
          <w:trHeight w:val="288"/>
        </w:trPr>
        <w:tc>
          <w:tcPr>
            <w:tcW w:w="2168" w:type="dxa"/>
            <w:vMerge/>
            <w:tcBorders>
              <w:top w:val="nil"/>
              <w:left w:val="single" w:sz="4" w:space="0" w:color="F6F4EC" w:themeColor="background1"/>
              <w:bottom w:val="single" w:sz="4" w:space="0" w:color="D9D9D9"/>
              <w:right w:val="single" w:sz="4" w:space="0" w:color="D9D9D9"/>
            </w:tcBorders>
            <w:shd w:val="clear" w:color="auto" w:fill="DDE6F5" w:themeFill="text1" w:themeFillTint="1A"/>
            <w:vAlign w:val="center"/>
            <w:hideMark/>
          </w:tcPr>
          <w:p w14:paraId="536A58BF" w14:textId="77777777" w:rsidR="001876CE" w:rsidRPr="001876CE" w:rsidRDefault="001876CE" w:rsidP="001876CE">
            <w:pPr>
              <w:rPr>
                <w:rFonts w:cs="Arial"/>
                <w:color w:val="000000"/>
                <w:szCs w:val="22"/>
              </w:rPr>
            </w:pP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DDE6F5" w:themeFill="text1" w:themeFillTint="1A"/>
            <w:vAlign w:val="bottom"/>
            <w:hideMark/>
          </w:tcPr>
          <w:p w14:paraId="31DB69A9" w14:textId="77777777" w:rsidR="001876CE" w:rsidRPr="001876CE" w:rsidRDefault="001876CE" w:rsidP="001876CE">
            <w:pPr>
              <w:rPr>
                <w:rFonts w:cs="Arial"/>
                <w:color w:val="000000"/>
                <w:szCs w:val="22"/>
              </w:rPr>
            </w:pPr>
            <w:r w:rsidRPr="001876CE">
              <w:rPr>
                <w:rFonts w:cs="Arial"/>
                <w:color w:val="000000"/>
                <w:szCs w:val="22"/>
              </w:rPr>
              <w:t>Petrol premium</w:t>
            </w:r>
          </w:p>
        </w:tc>
        <w:tc>
          <w:tcPr>
            <w:tcW w:w="831"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DDE6F5" w:themeFill="text1" w:themeFillTint="1A"/>
            <w:vAlign w:val="bottom"/>
            <w:hideMark/>
          </w:tcPr>
          <w:p w14:paraId="497153CF" w14:textId="77777777" w:rsidR="001876CE" w:rsidRPr="001876CE" w:rsidRDefault="001876CE" w:rsidP="001876CE">
            <w:pPr>
              <w:jc w:val="right"/>
              <w:rPr>
                <w:rFonts w:cs="Arial"/>
                <w:color w:val="000000"/>
                <w:szCs w:val="22"/>
              </w:rPr>
            </w:pPr>
            <w:r w:rsidRPr="001876CE">
              <w:rPr>
                <w:rFonts w:cs="Arial"/>
                <w:color w:val="000000"/>
                <w:szCs w:val="22"/>
              </w:rPr>
              <w:t>349</w:t>
            </w:r>
          </w:p>
        </w:tc>
        <w:tc>
          <w:tcPr>
            <w:tcW w:w="1105" w:type="dxa"/>
            <w:tcBorders>
              <w:top w:val="single" w:sz="4" w:space="0" w:color="D9D9D9"/>
              <w:left w:val="single" w:sz="4" w:space="0" w:color="FFFFFF" w:themeColor="accent6"/>
              <w:bottom w:val="single" w:sz="4" w:space="0" w:color="D9D9D9"/>
              <w:right w:val="single" w:sz="4" w:space="0" w:color="FFFFFF" w:themeColor="accent6"/>
            </w:tcBorders>
            <w:shd w:val="clear" w:color="auto" w:fill="DDE6F5" w:themeFill="text1" w:themeFillTint="1A"/>
            <w:vAlign w:val="bottom"/>
            <w:hideMark/>
          </w:tcPr>
          <w:p w14:paraId="1BA8F6C1" w14:textId="77777777" w:rsidR="001876CE" w:rsidRPr="001876CE" w:rsidRDefault="001876CE" w:rsidP="001876CE">
            <w:pPr>
              <w:jc w:val="right"/>
              <w:rPr>
                <w:rFonts w:cs="Arial"/>
                <w:color w:val="000000"/>
                <w:szCs w:val="22"/>
              </w:rPr>
            </w:pPr>
            <w:r w:rsidRPr="001876CE">
              <w:rPr>
                <w:rFonts w:cs="Arial"/>
                <w:color w:val="000000"/>
                <w:szCs w:val="22"/>
              </w:rPr>
              <w:t>332</w:t>
            </w:r>
          </w:p>
        </w:tc>
        <w:tc>
          <w:tcPr>
            <w:tcW w:w="1134" w:type="dxa"/>
            <w:tcBorders>
              <w:top w:val="single" w:sz="4" w:space="0" w:color="D9D9D9"/>
              <w:left w:val="single" w:sz="4" w:space="0" w:color="FFFFFF" w:themeColor="accent6"/>
              <w:bottom w:val="single" w:sz="4" w:space="0" w:color="D9D9D9"/>
              <w:right w:val="single" w:sz="4" w:space="0" w:color="FFFFFF" w:themeColor="accent6"/>
            </w:tcBorders>
            <w:shd w:val="clear" w:color="auto" w:fill="DDE6F5" w:themeFill="text1" w:themeFillTint="1A"/>
            <w:vAlign w:val="bottom"/>
            <w:hideMark/>
          </w:tcPr>
          <w:p w14:paraId="3C0F19B0" w14:textId="77777777" w:rsidR="001876CE" w:rsidRPr="001876CE" w:rsidRDefault="001876CE" w:rsidP="001876CE">
            <w:pPr>
              <w:jc w:val="right"/>
              <w:rPr>
                <w:rFonts w:cs="Arial"/>
                <w:color w:val="000000"/>
                <w:szCs w:val="22"/>
              </w:rPr>
            </w:pPr>
            <w:r w:rsidRPr="001876CE">
              <w:rPr>
                <w:rFonts w:cs="Arial"/>
                <w:color w:val="000000"/>
                <w:szCs w:val="22"/>
              </w:rPr>
              <w:t>0.52</w:t>
            </w:r>
          </w:p>
        </w:tc>
        <w:tc>
          <w:tcPr>
            <w:tcW w:w="1123" w:type="dxa"/>
            <w:tcBorders>
              <w:top w:val="single" w:sz="4" w:space="0" w:color="D9D9D9"/>
              <w:left w:val="single" w:sz="4" w:space="0" w:color="FFFFFF" w:themeColor="accent6"/>
              <w:bottom w:val="single" w:sz="4" w:space="0" w:color="D9D9D9"/>
              <w:right w:val="single" w:sz="4" w:space="0" w:color="FFFFFF" w:themeColor="accent6"/>
            </w:tcBorders>
            <w:shd w:val="clear" w:color="auto" w:fill="DDE6F5" w:themeFill="text1" w:themeFillTint="1A"/>
            <w:vAlign w:val="bottom"/>
            <w:hideMark/>
          </w:tcPr>
          <w:p w14:paraId="2A594B08" w14:textId="77777777" w:rsidR="001876CE" w:rsidRPr="001876CE" w:rsidRDefault="001876CE" w:rsidP="001876CE">
            <w:pPr>
              <w:jc w:val="right"/>
              <w:rPr>
                <w:rFonts w:cs="Arial"/>
                <w:color w:val="000000"/>
                <w:szCs w:val="22"/>
              </w:rPr>
            </w:pPr>
            <w:r w:rsidRPr="001876CE">
              <w:rPr>
                <w:rFonts w:eastAsia="Calibri" w:cs="Arial"/>
                <w:color w:val="000000"/>
                <w:szCs w:val="22"/>
              </w:rPr>
              <w:t>0.01</w:t>
            </w:r>
          </w:p>
        </w:tc>
      </w:tr>
      <w:tr w:rsidR="00D26B1C" w:rsidRPr="00441ACB" w14:paraId="24B755B0" w14:textId="77777777" w:rsidTr="00D26B1C">
        <w:trPr>
          <w:trHeight w:val="288"/>
        </w:trPr>
        <w:tc>
          <w:tcPr>
            <w:tcW w:w="2168" w:type="dxa"/>
            <w:vMerge w:val="restart"/>
            <w:tcBorders>
              <w:top w:val="single" w:sz="4" w:space="0" w:color="D9D9D9"/>
              <w:left w:val="single" w:sz="4" w:space="0" w:color="F6F4EC" w:themeColor="background1"/>
              <w:bottom w:val="single" w:sz="4" w:space="0" w:color="auto"/>
              <w:right w:val="single" w:sz="4" w:space="0" w:color="D9D9D9"/>
            </w:tcBorders>
            <w:shd w:val="clear" w:color="auto" w:fill="auto"/>
            <w:vAlign w:val="center"/>
            <w:hideMark/>
          </w:tcPr>
          <w:p w14:paraId="24D4A397" w14:textId="77777777" w:rsidR="001876CE" w:rsidRPr="001876CE" w:rsidRDefault="001876CE" w:rsidP="001876CE">
            <w:pPr>
              <w:rPr>
                <w:rFonts w:cs="Arial"/>
                <w:color w:val="000000"/>
                <w:szCs w:val="22"/>
              </w:rPr>
            </w:pPr>
            <w:r w:rsidRPr="001876CE">
              <w:rPr>
                <w:rFonts w:cs="Arial"/>
                <w:color w:val="000000"/>
                <w:szCs w:val="22"/>
              </w:rPr>
              <w:t>Medical gases</w:t>
            </w: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auto"/>
            <w:vAlign w:val="bottom"/>
            <w:hideMark/>
          </w:tcPr>
          <w:p w14:paraId="0C94935A" w14:textId="52A36901" w:rsidR="001876CE" w:rsidRPr="001876CE" w:rsidRDefault="001876CE" w:rsidP="001876CE">
            <w:pPr>
              <w:rPr>
                <w:rFonts w:cs="Arial"/>
                <w:color w:val="000000"/>
                <w:szCs w:val="22"/>
              </w:rPr>
            </w:pPr>
            <w:r w:rsidRPr="001876CE">
              <w:rPr>
                <w:rFonts w:cs="Arial"/>
                <w:color w:val="000000"/>
                <w:szCs w:val="22"/>
              </w:rPr>
              <w:t xml:space="preserve">Nitrous Oxide </w:t>
            </w:r>
          </w:p>
        </w:tc>
        <w:tc>
          <w:tcPr>
            <w:tcW w:w="831"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3AE59FB7" w14:textId="77777777" w:rsidR="001876CE" w:rsidRPr="001876CE" w:rsidRDefault="001876CE" w:rsidP="001876CE">
            <w:pPr>
              <w:jc w:val="right"/>
              <w:rPr>
                <w:rFonts w:cs="Arial"/>
                <w:color w:val="000000"/>
                <w:szCs w:val="22"/>
              </w:rPr>
            </w:pPr>
            <w:r w:rsidRPr="001876CE">
              <w:rPr>
                <w:rFonts w:cs="Arial"/>
                <w:color w:val="000000"/>
                <w:szCs w:val="22"/>
              </w:rPr>
              <w:t>13,094</w:t>
            </w:r>
          </w:p>
        </w:tc>
        <w:tc>
          <w:tcPr>
            <w:tcW w:w="1105"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162CF5EA" w14:textId="77777777" w:rsidR="001876CE" w:rsidRPr="001876CE" w:rsidRDefault="001876CE" w:rsidP="001876CE">
            <w:pPr>
              <w:rPr>
                <w:rFonts w:cs="Arial"/>
                <w:color w:val="000000"/>
                <w:szCs w:val="22"/>
              </w:rPr>
            </w:pPr>
            <w:r w:rsidRPr="001876CE">
              <w:rPr>
                <w:rFonts w:cs="Arial"/>
                <w:color w:val="000000"/>
                <w:szCs w:val="22"/>
              </w:rPr>
              <w:t> </w:t>
            </w:r>
          </w:p>
        </w:tc>
        <w:tc>
          <w:tcPr>
            <w:tcW w:w="1134"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55E2E1F5" w14:textId="77777777" w:rsidR="001876CE" w:rsidRPr="001876CE" w:rsidRDefault="001876CE" w:rsidP="001876CE">
            <w:pPr>
              <w:rPr>
                <w:rFonts w:cs="Arial"/>
                <w:color w:val="000000"/>
                <w:szCs w:val="22"/>
              </w:rPr>
            </w:pPr>
            <w:r w:rsidRPr="001876CE">
              <w:rPr>
                <w:rFonts w:cs="Arial"/>
                <w:color w:val="000000"/>
                <w:szCs w:val="22"/>
              </w:rPr>
              <w:t> </w:t>
            </w:r>
          </w:p>
        </w:tc>
        <w:tc>
          <w:tcPr>
            <w:tcW w:w="1123"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7C034692" w14:textId="77777777" w:rsidR="001876CE" w:rsidRPr="001876CE" w:rsidRDefault="001876CE" w:rsidP="001876CE">
            <w:pPr>
              <w:jc w:val="right"/>
              <w:rPr>
                <w:rFonts w:cs="Arial"/>
                <w:color w:val="000000"/>
                <w:szCs w:val="22"/>
              </w:rPr>
            </w:pPr>
            <w:r w:rsidRPr="001876CE">
              <w:rPr>
                <w:rFonts w:eastAsia="Calibri" w:cs="Arial"/>
                <w:color w:val="000000"/>
                <w:szCs w:val="22"/>
              </w:rPr>
              <w:t>49,410</w:t>
            </w:r>
          </w:p>
        </w:tc>
      </w:tr>
      <w:tr w:rsidR="00361C72" w:rsidRPr="00441ACB" w14:paraId="2DC986FB" w14:textId="77777777" w:rsidTr="00D26B1C">
        <w:trPr>
          <w:trHeight w:val="288"/>
        </w:trPr>
        <w:tc>
          <w:tcPr>
            <w:tcW w:w="2168" w:type="dxa"/>
            <w:vMerge/>
            <w:tcBorders>
              <w:top w:val="nil"/>
              <w:left w:val="single" w:sz="4" w:space="0" w:color="F6F4EC" w:themeColor="background1"/>
              <w:bottom w:val="single" w:sz="4" w:space="0" w:color="auto"/>
              <w:right w:val="single" w:sz="4" w:space="0" w:color="D9D9D9"/>
            </w:tcBorders>
            <w:vAlign w:val="center"/>
            <w:hideMark/>
          </w:tcPr>
          <w:p w14:paraId="285F0426" w14:textId="77777777" w:rsidR="001876CE" w:rsidRPr="001876CE" w:rsidRDefault="001876CE" w:rsidP="001876CE">
            <w:pPr>
              <w:rPr>
                <w:rFonts w:cs="Arial"/>
                <w:color w:val="000000"/>
                <w:szCs w:val="22"/>
              </w:rPr>
            </w:pP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auto"/>
            <w:vAlign w:val="bottom"/>
            <w:hideMark/>
          </w:tcPr>
          <w:p w14:paraId="602EFD05" w14:textId="62001F6E" w:rsidR="001876CE" w:rsidRPr="001876CE" w:rsidRDefault="001876CE" w:rsidP="001876CE">
            <w:pPr>
              <w:rPr>
                <w:rFonts w:cs="Arial"/>
                <w:color w:val="000000"/>
                <w:szCs w:val="22"/>
              </w:rPr>
            </w:pPr>
            <w:r w:rsidRPr="001876CE">
              <w:rPr>
                <w:rFonts w:cs="Arial"/>
                <w:color w:val="000000"/>
                <w:szCs w:val="22"/>
              </w:rPr>
              <w:t xml:space="preserve">Carbon Dioxide </w:t>
            </w:r>
          </w:p>
        </w:tc>
        <w:tc>
          <w:tcPr>
            <w:tcW w:w="831"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05AD9325" w14:textId="77777777" w:rsidR="001876CE" w:rsidRPr="001876CE" w:rsidRDefault="001876CE" w:rsidP="001876CE">
            <w:pPr>
              <w:jc w:val="right"/>
              <w:rPr>
                <w:rFonts w:cs="Arial"/>
                <w:color w:val="000000"/>
                <w:szCs w:val="22"/>
              </w:rPr>
            </w:pPr>
            <w:r w:rsidRPr="001876CE">
              <w:rPr>
                <w:rFonts w:cs="Arial"/>
                <w:color w:val="000000"/>
                <w:szCs w:val="22"/>
              </w:rPr>
              <w:t>46</w:t>
            </w:r>
          </w:p>
        </w:tc>
        <w:tc>
          <w:tcPr>
            <w:tcW w:w="1105"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6EF29C40" w14:textId="77777777" w:rsidR="001876CE" w:rsidRPr="001876CE" w:rsidRDefault="001876CE" w:rsidP="001876CE">
            <w:pPr>
              <w:jc w:val="right"/>
              <w:rPr>
                <w:rFonts w:cs="Arial"/>
                <w:color w:val="000000"/>
                <w:szCs w:val="22"/>
              </w:rPr>
            </w:pPr>
            <w:r w:rsidRPr="001876CE">
              <w:rPr>
                <w:rFonts w:cs="Arial"/>
                <w:color w:val="000000"/>
                <w:szCs w:val="22"/>
              </w:rPr>
              <w:t>46</w:t>
            </w:r>
          </w:p>
        </w:tc>
        <w:tc>
          <w:tcPr>
            <w:tcW w:w="1134"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6C612AB9" w14:textId="77777777" w:rsidR="001876CE" w:rsidRPr="001876CE" w:rsidRDefault="001876CE" w:rsidP="001876CE">
            <w:pPr>
              <w:rPr>
                <w:rFonts w:cs="Arial"/>
                <w:color w:val="000000"/>
                <w:szCs w:val="22"/>
              </w:rPr>
            </w:pPr>
            <w:r w:rsidRPr="001876CE">
              <w:rPr>
                <w:rFonts w:cs="Arial"/>
                <w:color w:val="000000"/>
                <w:szCs w:val="22"/>
              </w:rPr>
              <w:t> </w:t>
            </w:r>
          </w:p>
        </w:tc>
        <w:tc>
          <w:tcPr>
            <w:tcW w:w="1123"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66B0F590" w14:textId="77777777" w:rsidR="001876CE" w:rsidRPr="001876CE" w:rsidRDefault="001876CE" w:rsidP="001876CE">
            <w:pPr>
              <w:rPr>
                <w:rFonts w:cs="Arial"/>
                <w:color w:val="000000"/>
                <w:szCs w:val="22"/>
              </w:rPr>
            </w:pPr>
            <w:r w:rsidRPr="001876CE">
              <w:rPr>
                <w:rFonts w:cs="Arial"/>
                <w:color w:val="000000"/>
                <w:szCs w:val="22"/>
              </w:rPr>
              <w:t> </w:t>
            </w:r>
          </w:p>
        </w:tc>
      </w:tr>
      <w:tr w:rsidR="00361C72" w:rsidRPr="00441ACB" w14:paraId="54BC2227" w14:textId="77777777" w:rsidTr="00D26B1C">
        <w:trPr>
          <w:trHeight w:val="288"/>
        </w:trPr>
        <w:tc>
          <w:tcPr>
            <w:tcW w:w="2168" w:type="dxa"/>
            <w:vMerge/>
            <w:tcBorders>
              <w:top w:val="nil"/>
              <w:left w:val="single" w:sz="4" w:space="0" w:color="F6F4EC" w:themeColor="background1"/>
              <w:bottom w:val="single" w:sz="4" w:space="0" w:color="auto"/>
              <w:right w:val="single" w:sz="4" w:space="0" w:color="D9D9D9"/>
            </w:tcBorders>
            <w:vAlign w:val="center"/>
            <w:hideMark/>
          </w:tcPr>
          <w:p w14:paraId="274C13B7" w14:textId="77777777" w:rsidR="001876CE" w:rsidRPr="001876CE" w:rsidRDefault="001876CE" w:rsidP="001876CE">
            <w:pPr>
              <w:rPr>
                <w:rFonts w:cs="Arial"/>
                <w:color w:val="000000"/>
                <w:szCs w:val="22"/>
              </w:rPr>
            </w:pP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auto"/>
            <w:vAlign w:val="bottom"/>
            <w:hideMark/>
          </w:tcPr>
          <w:p w14:paraId="2C9D26BA" w14:textId="39C2B785" w:rsidR="001876CE" w:rsidRPr="001876CE" w:rsidRDefault="001876CE" w:rsidP="001876CE">
            <w:pPr>
              <w:rPr>
                <w:rFonts w:cs="Arial"/>
                <w:color w:val="000000"/>
                <w:szCs w:val="22"/>
              </w:rPr>
            </w:pPr>
            <w:r w:rsidRPr="001876CE">
              <w:rPr>
                <w:rFonts w:cs="Arial"/>
                <w:color w:val="000000"/>
                <w:szCs w:val="22"/>
              </w:rPr>
              <w:t xml:space="preserve">Methane  </w:t>
            </w:r>
          </w:p>
        </w:tc>
        <w:tc>
          <w:tcPr>
            <w:tcW w:w="831"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23E37FD8" w14:textId="77777777" w:rsidR="001876CE" w:rsidRPr="001876CE" w:rsidRDefault="001876CE" w:rsidP="001876CE">
            <w:pPr>
              <w:jc w:val="right"/>
              <w:rPr>
                <w:rFonts w:cs="Arial"/>
                <w:color w:val="000000"/>
                <w:szCs w:val="22"/>
              </w:rPr>
            </w:pPr>
            <w:r w:rsidRPr="001876CE">
              <w:rPr>
                <w:rFonts w:cs="Arial"/>
                <w:color w:val="000000"/>
                <w:szCs w:val="22"/>
              </w:rPr>
              <w:t>0.2</w:t>
            </w:r>
          </w:p>
        </w:tc>
        <w:tc>
          <w:tcPr>
            <w:tcW w:w="1105"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69AC45E0" w14:textId="77777777" w:rsidR="001876CE" w:rsidRPr="001876CE" w:rsidRDefault="001876CE" w:rsidP="001876CE">
            <w:pPr>
              <w:rPr>
                <w:rFonts w:cs="Arial"/>
                <w:color w:val="000000"/>
                <w:szCs w:val="22"/>
              </w:rPr>
            </w:pPr>
            <w:r w:rsidRPr="001876CE">
              <w:rPr>
                <w:rFonts w:cs="Arial"/>
                <w:color w:val="000000"/>
                <w:szCs w:val="22"/>
              </w:rPr>
              <w:t> </w:t>
            </w:r>
          </w:p>
        </w:tc>
        <w:tc>
          <w:tcPr>
            <w:tcW w:w="1134"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noWrap/>
            <w:vAlign w:val="bottom"/>
            <w:hideMark/>
          </w:tcPr>
          <w:p w14:paraId="11019C5D" w14:textId="77777777" w:rsidR="001876CE" w:rsidRPr="001876CE" w:rsidRDefault="001876CE" w:rsidP="001876CE">
            <w:pPr>
              <w:jc w:val="right"/>
              <w:rPr>
                <w:rFonts w:cs="Arial"/>
                <w:color w:val="000000"/>
                <w:szCs w:val="22"/>
              </w:rPr>
            </w:pPr>
            <w:r w:rsidRPr="001876CE">
              <w:rPr>
                <w:rFonts w:cs="Arial"/>
                <w:color w:val="000000"/>
                <w:szCs w:val="22"/>
              </w:rPr>
              <w:t>0.008</w:t>
            </w:r>
          </w:p>
        </w:tc>
        <w:tc>
          <w:tcPr>
            <w:tcW w:w="1123"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noWrap/>
            <w:vAlign w:val="bottom"/>
            <w:hideMark/>
          </w:tcPr>
          <w:p w14:paraId="05D8442D" w14:textId="77777777" w:rsidR="001876CE" w:rsidRPr="001876CE" w:rsidRDefault="001876CE" w:rsidP="001876CE">
            <w:pPr>
              <w:rPr>
                <w:rFonts w:cs="Arial"/>
                <w:color w:val="000000"/>
                <w:szCs w:val="22"/>
              </w:rPr>
            </w:pPr>
            <w:r w:rsidRPr="001876CE">
              <w:rPr>
                <w:rFonts w:eastAsia="Calibri" w:cs="Arial"/>
                <w:color w:val="000000"/>
                <w:szCs w:val="22"/>
              </w:rPr>
              <w:t> </w:t>
            </w:r>
          </w:p>
        </w:tc>
      </w:tr>
      <w:tr w:rsidR="00D26B1C" w:rsidRPr="00441ACB" w14:paraId="1BA094C2" w14:textId="77777777" w:rsidTr="00D26B1C">
        <w:trPr>
          <w:trHeight w:val="288"/>
        </w:trPr>
        <w:tc>
          <w:tcPr>
            <w:tcW w:w="2168" w:type="dxa"/>
            <w:vMerge/>
            <w:tcBorders>
              <w:top w:val="nil"/>
              <w:left w:val="single" w:sz="4" w:space="0" w:color="F6F4EC" w:themeColor="background1"/>
              <w:bottom w:val="single" w:sz="4" w:space="0" w:color="D9D9D9"/>
              <w:right w:val="single" w:sz="4" w:space="0" w:color="D9D9D9"/>
            </w:tcBorders>
            <w:vAlign w:val="center"/>
            <w:hideMark/>
          </w:tcPr>
          <w:p w14:paraId="507707A9" w14:textId="77777777" w:rsidR="001876CE" w:rsidRPr="001876CE" w:rsidRDefault="001876CE" w:rsidP="001876CE">
            <w:pPr>
              <w:rPr>
                <w:rFonts w:cs="Arial"/>
                <w:color w:val="000000"/>
                <w:szCs w:val="22"/>
              </w:rPr>
            </w:pP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auto"/>
            <w:vAlign w:val="bottom"/>
            <w:hideMark/>
          </w:tcPr>
          <w:p w14:paraId="016DC1E7" w14:textId="2BE953CC" w:rsidR="001876CE" w:rsidRPr="001876CE" w:rsidRDefault="00682BB6" w:rsidP="001876CE">
            <w:pPr>
              <w:rPr>
                <w:rFonts w:cs="Arial"/>
                <w:color w:val="000000"/>
                <w:szCs w:val="22"/>
              </w:rPr>
            </w:pPr>
            <w:r w:rsidRPr="00441ACB">
              <w:rPr>
                <w:rFonts w:cs="Arial"/>
                <w:color w:val="000000"/>
                <w:szCs w:val="22"/>
              </w:rPr>
              <w:t>A</w:t>
            </w:r>
            <w:r w:rsidR="001876CE" w:rsidRPr="001876CE">
              <w:rPr>
                <w:rFonts w:cs="Arial"/>
                <w:color w:val="000000"/>
                <w:szCs w:val="22"/>
              </w:rPr>
              <w:t xml:space="preserve">cetylene </w:t>
            </w:r>
          </w:p>
        </w:tc>
        <w:tc>
          <w:tcPr>
            <w:tcW w:w="831"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6AB476C9" w14:textId="63D38EC6" w:rsidR="001876CE" w:rsidRPr="001876CE" w:rsidRDefault="001876CE" w:rsidP="001876CE">
            <w:pPr>
              <w:jc w:val="right"/>
              <w:rPr>
                <w:rFonts w:cs="Arial"/>
                <w:color w:val="000000"/>
                <w:szCs w:val="22"/>
              </w:rPr>
            </w:pPr>
            <w:r w:rsidRPr="001876CE">
              <w:rPr>
                <w:rFonts w:cs="Arial"/>
                <w:color w:val="000000"/>
                <w:szCs w:val="22"/>
              </w:rPr>
              <w:t>0.2</w:t>
            </w:r>
          </w:p>
        </w:tc>
        <w:tc>
          <w:tcPr>
            <w:tcW w:w="1105"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283DDBE2" w14:textId="77777777" w:rsidR="001876CE" w:rsidRPr="001876CE" w:rsidRDefault="001876CE" w:rsidP="001876CE">
            <w:pPr>
              <w:rPr>
                <w:rFonts w:cs="Arial"/>
                <w:color w:val="000000"/>
                <w:szCs w:val="22"/>
              </w:rPr>
            </w:pPr>
            <w:r w:rsidRPr="001876CE">
              <w:rPr>
                <w:rFonts w:cs="Arial"/>
                <w:color w:val="000000"/>
                <w:szCs w:val="22"/>
              </w:rPr>
              <w:t> </w:t>
            </w:r>
          </w:p>
        </w:tc>
        <w:tc>
          <w:tcPr>
            <w:tcW w:w="1134"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68292A64" w14:textId="77777777" w:rsidR="001876CE" w:rsidRPr="001876CE" w:rsidRDefault="001876CE" w:rsidP="001876CE">
            <w:pPr>
              <w:rPr>
                <w:rFonts w:cs="Arial"/>
                <w:color w:val="000000"/>
                <w:szCs w:val="22"/>
              </w:rPr>
            </w:pPr>
            <w:r w:rsidRPr="001876CE">
              <w:rPr>
                <w:rFonts w:cs="Arial"/>
                <w:color w:val="000000"/>
                <w:szCs w:val="22"/>
              </w:rPr>
              <w:t> </w:t>
            </w:r>
          </w:p>
        </w:tc>
        <w:tc>
          <w:tcPr>
            <w:tcW w:w="1123"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0E4C2E80" w14:textId="77777777" w:rsidR="001876CE" w:rsidRPr="001876CE" w:rsidRDefault="001876CE" w:rsidP="001876CE">
            <w:pPr>
              <w:rPr>
                <w:rFonts w:cs="Arial"/>
                <w:color w:val="000000"/>
                <w:szCs w:val="22"/>
              </w:rPr>
            </w:pPr>
            <w:r w:rsidRPr="001876CE">
              <w:rPr>
                <w:rFonts w:cs="Arial"/>
                <w:color w:val="000000"/>
                <w:szCs w:val="22"/>
              </w:rPr>
              <w:t> </w:t>
            </w:r>
          </w:p>
        </w:tc>
      </w:tr>
      <w:tr w:rsidR="00D26B1C" w:rsidRPr="00441ACB" w14:paraId="25A26DF6" w14:textId="77777777" w:rsidTr="004C2E4A">
        <w:trPr>
          <w:trHeight w:val="288"/>
        </w:trPr>
        <w:tc>
          <w:tcPr>
            <w:tcW w:w="2168" w:type="dxa"/>
            <w:vMerge w:val="restart"/>
            <w:tcBorders>
              <w:top w:val="single" w:sz="4" w:space="0" w:color="D9D9D9"/>
              <w:left w:val="single" w:sz="4" w:space="0" w:color="F6F4EC" w:themeColor="background1"/>
              <w:bottom w:val="single" w:sz="4" w:space="0" w:color="auto"/>
              <w:right w:val="single" w:sz="4" w:space="0" w:color="D9D9D9"/>
            </w:tcBorders>
            <w:shd w:val="clear" w:color="auto" w:fill="DDE6F5" w:themeFill="text1" w:themeFillTint="1A"/>
            <w:vAlign w:val="center"/>
            <w:hideMark/>
          </w:tcPr>
          <w:p w14:paraId="7A77890D" w14:textId="77777777" w:rsidR="001876CE" w:rsidRPr="001876CE" w:rsidRDefault="001876CE" w:rsidP="001876CE">
            <w:pPr>
              <w:rPr>
                <w:rFonts w:cs="Arial"/>
                <w:color w:val="000000"/>
                <w:szCs w:val="22"/>
              </w:rPr>
            </w:pPr>
            <w:r w:rsidRPr="001876CE">
              <w:rPr>
                <w:rFonts w:cs="Arial"/>
                <w:color w:val="000000"/>
                <w:szCs w:val="22"/>
              </w:rPr>
              <w:t xml:space="preserve">Anaesthetic vapours </w:t>
            </w: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DDE6F5" w:themeFill="text1" w:themeFillTint="1A"/>
            <w:vAlign w:val="bottom"/>
            <w:hideMark/>
          </w:tcPr>
          <w:p w14:paraId="56D1A8DD" w14:textId="79267600" w:rsidR="001876CE" w:rsidRPr="001876CE" w:rsidRDefault="001876CE" w:rsidP="001876CE">
            <w:pPr>
              <w:rPr>
                <w:rFonts w:cs="Arial"/>
                <w:color w:val="000000"/>
                <w:szCs w:val="22"/>
              </w:rPr>
            </w:pPr>
            <w:r w:rsidRPr="001876CE">
              <w:rPr>
                <w:rFonts w:cs="Arial"/>
                <w:color w:val="000000"/>
                <w:szCs w:val="22"/>
              </w:rPr>
              <w:t xml:space="preserve">Sevoflurane </w:t>
            </w:r>
          </w:p>
        </w:tc>
        <w:tc>
          <w:tcPr>
            <w:tcW w:w="831"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DDE6F5" w:themeFill="text1" w:themeFillTint="1A"/>
            <w:vAlign w:val="bottom"/>
            <w:hideMark/>
          </w:tcPr>
          <w:p w14:paraId="44480AEA" w14:textId="77777777" w:rsidR="001876CE" w:rsidRPr="001876CE" w:rsidRDefault="001876CE" w:rsidP="001876CE">
            <w:pPr>
              <w:jc w:val="right"/>
              <w:rPr>
                <w:rFonts w:cs="Arial"/>
                <w:color w:val="000000"/>
                <w:szCs w:val="22"/>
              </w:rPr>
            </w:pPr>
            <w:r w:rsidRPr="001876CE">
              <w:rPr>
                <w:rFonts w:cs="Arial"/>
                <w:color w:val="000000"/>
                <w:szCs w:val="22"/>
              </w:rPr>
              <w:t>450</w:t>
            </w:r>
          </w:p>
        </w:tc>
        <w:tc>
          <w:tcPr>
            <w:tcW w:w="1105" w:type="dxa"/>
            <w:tcBorders>
              <w:top w:val="single" w:sz="4" w:space="0" w:color="D9D9D9"/>
              <w:left w:val="single" w:sz="4" w:space="0" w:color="FFFFFF" w:themeColor="accent6"/>
              <w:bottom w:val="single" w:sz="4" w:space="0" w:color="D9D9D9"/>
              <w:right w:val="single" w:sz="4" w:space="0" w:color="FFFFFF" w:themeColor="accent6"/>
            </w:tcBorders>
            <w:shd w:val="clear" w:color="auto" w:fill="DDE6F5" w:themeFill="text1" w:themeFillTint="1A"/>
            <w:vAlign w:val="bottom"/>
            <w:hideMark/>
          </w:tcPr>
          <w:p w14:paraId="1AD78AAD" w14:textId="77777777" w:rsidR="001876CE" w:rsidRPr="001876CE" w:rsidRDefault="001876CE" w:rsidP="001876CE">
            <w:pPr>
              <w:rPr>
                <w:rFonts w:cs="Arial"/>
                <w:color w:val="000000"/>
                <w:szCs w:val="22"/>
              </w:rPr>
            </w:pPr>
            <w:r w:rsidRPr="001876CE">
              <w:rPr>
                <w:rFonts w:cs="Arial"/>
                <w:color w:val="000000"/>
                <w:szCs w:val="22"/>
              </w:rPr>
              <w:t> </w:t>
            </w:r>
          </w:p>
        </w:tc>
        <w:tc>
          <w:tcPr>
            <w:tcW w:w="1134" w:type="dxa"/>
            <w:tcBorders>
              <w:top w:val="single" w:sz="4" w:space="0" w:color="D9D9D9"/>
              <w:left w:val="single" w:sz="4" w:space="0" w:color="FFFFFF" w:themeColor="accent6"/>
              <w:bottom w:val="single" w:sz="4" w:space="0" w:color="D9D9D9"/>
              <w:right w:val="single" w:sz="4" w:space="0" w:color="FFFFFF" w:themeColor="accent6"/>
            </w:tcBorders>
            <w:shd w:val="clear" w:color="auto" w:fill="DDE6F5" w:themeFill="text1" w:themeFillTint="1A"/>
            <w:vAlign w:val="bottom"/>
            <w:hideMark/>
          </w:tcPr>
          <w:p w14:paraId="59EFD641" w14:textId="77777777" w:rsidR="001876CE" w:rsidRPr="001876CE" w:rsidRDefault="001876CE" w:rsidP="001876CE">
            <w:pPr>
              <w:rPr>
                <w:rFonts w:cs="Arial"/>
                <w:color w:val="000000"/>
                <w:szCs w:val="22"/>
              </w:rPr>
            </w:pPr>
            <w:r w:rsidRPr="001876CE">
              <w:rPr>
                <w:rFonts w:cs="Arial"/>
                <w:color w:val="000000"/>
                <w:szCs w:val="22"/>
              </w:rPr>
              <w:t> </w:t>
            </w:r>
          </w:p>
        </w:tc>
        <w:tc>
          <w:tcPr>
            <w:tcW w:w="1123" w:type="dxa"/>
            <w:tcBorders>
              <w:top w:val="single" w:sz="4" w:space="0" w:color="D9D9D9"/>
              <w:left w:val="single" w:sz="4" w:space="0" w:color="FFFFFF" w:themeColor="accent6"/>
              <w:bottom w:val="single" w:sz="4" w:space="0" w:color="D9D9D9"/>
              <w:right w:val="single" w:sz="4" w:space="0" w:color="FFFFFF" w:themeColor="accent6"/>
            </w:tcBorders>
            <w:shd w:val="clear" w:color="auto" w:fill="DDE6F5" w:themeFill="text1" w:themeFillTint="1A"/>
            <w:vAlign w:val="bottom"/>
            <w:hideMark/>
          </w:tcPr>
          <w:p w14:paraId="60FB596C" w14:textId="77777777" w:rsidR="001876CE" w:rsidRPr="001876CE" w:rsidRDefault="001876CE" w:rsidP="001876CE">
            <w:pPr>
              <w:rPr>
                <w:rFonts w:cs="Arial"/>
                <w:color w:val="000000"/>
                <w:szCs w:val="22"/>
              </w:rPr>
            </w:pPr>
            <w:r w:rsidRPr="001876CE">
              <w:rPr>
                <w:rFonts w:cs="Arial"/>
                <w:color w:val="000000"/>
                <w:szCs w:val="22"/>
              </w:rPr>
              <w:t> </w:t>
            </w:r>
          </w:p>
        </w:tc>
      </w:tr>
      <w:tr w:rsidR="00AA2DA8" w:rsidRPr="00441ACB" w14:paraId="48C4F5AA" w14:textId="77777777" w:rsidTr="004C2E4A">
        <w:trPr>
          <w:trHeight w:val="288"/>
        </w:trPr>
        <w:tc>
          <w:tcPr>
            <w:tcW w:w="2168" w:type="dxa"/>
            <w:vMerge/>
            <w:tcBorders>
              <w:top w:val="nil"/>
              <w:left w:val="single" w:sz="4" w:space="0" w:color="F6F4EC" w:themeColor="background1"/>
              <w:bottom w:val="single" w:sz="4" w:space="0" w:color="auto"/>
              <w:right w:val="single" w:sz="4" w:space="0" w:color="D9D9D9"/>
            </w:tcBorders>
            <w:shd w:val="clear" w:color="auto" w:fill="DDE6F5" w:themeFill="text1" w:themeFillTint="1A"/>
            <w:vAlign w:val="center"/>
            <w:hideMark/>
          </w:tcPr>
          <w:p w14:paraId="63613528" w14:textId="77777777" w:rsidR="001876CE" w:rsidRPr="001876CE" w:rsidRDefault="001876CE" w:rsidP="001876CE">
            <w:pPr>
              <w:rPr>
                <w:rFonts w:cs="Arial"/>
                <w:color w:val="000000"/>
                <w:szCs w:val="22"/>
              </w:rPr>
            </w:pP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DDE6F5" w:themeFill="text1" w:themeFillTint="1A"/>
            <w:vAlign w:val="bottom"/>
            <w:hideMark/>
          </w:tcPr>
          <w:p w14:paraId="2341219D" w14:textId="246A0E83" w:rsidR="001876CE" w:rsidRPr="001876CE" w:rsidRDefault="001876CE" w:rsidP="001876CE">
            <w:pPr>
              <w:rPr>
                <w:rFonts w:cs="Arial"/>
                <w:color w:val="000000"/>
                <w:szCs w:val="22"/>
              </w:rPr>
            </w:pPr>
            <w:r w:rsidRPr="001876CE">
              <w:rPr>
                <w:rFonts w:cs="Arial"/>
                <w:color w:val="000000"/>
                <w:szCs w:val="22"/>
              </w:rPr>
              <w:t xml:space="preserve">Desflurane </w:t>
            </w:r>
          </w:p>
        </w:tc>
        <w:tc>
          <w:tcPr>
            <w:tcW w:w="831"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DDE6F5" w:themeFill="text1" w:themeFillTint="1A"/>
            <w:vAlign w:val="bottom"/>
            <w:hideMark/>
          </w:tcPr>
          <w:p w14:paraId="14B354F6" w14:textId="77777777" w:rsidR="001876CE" w:rsidRPr="001876CE" w:rsidRDefault="001876CE" w:rsidP="001876CE">
            <w:pPr>
              <w:jc w:val="right"/>
              <w:rPr>
                <w:rFonts w:cs="Arial"/>
                <w:color w:val="000000"/>
                <w:szCs w:val="22"/>
              </w:rPr>
            </w:pPr>
            <w:r w:rsidRPr="001876CE">
              <w:rPr>
                <w:rFonts w:cs="Arial"/>
                <w:color w:val="000000"/>
                <w:szCs w:val="22"/>
              </w:rPr>
              <w:t>75</w:t>
            </w:r>
          </w:p>
        </w:tc>
        <w:tc>
          <w:tcPr>
            <w:tcW w:w="1105" w:type="dxa"/>
            <w:tcBorders>
              <w:top w:val="single" w:sz="4" w:space="0" w:color="D9D9D9"/>
              <w:left w:val="single" w:sz="4" w:space="0" w:color="FFFFFF" w:themeColor="accent6"/>
              <w:bottom w:val="single" w:sz="4" w:space="0" w:color="D9D9D9"/>
              <w:right w:val="single" w:sz="4" w:space="0" w:color="FFFFFF" w:themeColor="accent6"/>
            </w:tcBorders>
            <w:shd w:val="clear" w:color="auto" w:fill="DDE6F5" w:themeFill="text1" w:themeFillTint="1A"/>
            <w:vAlign w:val="bottom"/>
            <w:hideMark/>
          </w:tcPr>
          <w:p w14:paraId="3ECF1B70" w14:textId="77777777" w:rsidR="001876CE" w:rsidRPr="001876CE" w:rsidRDefault="001876CE" w:rsidP="001876CE">
            <w:pPr>
              <w:rPr>
                <w:rFonts w:cs="Arial"/>
                <w:color w:val="000000"/>
                <w:szCs w:val="22"/>
              </w:rPr>
            </w:pPr>
            <w:r w:rsidRPr="001876CE">
              <w:rPr>
                <w:rFonts w:cs="Arial"/>
                <w:color w:val="000000"/>
                <w:szCs w:val="22"/>
              </w:rPr>
              <w:t> </w:t>
            </w:r>
          </w:p>
        </w:tc>
        <w:tc>
          <w:tcPr>
            <w:tcW w:w="1134" w:type="dxa"/>
            <w:tcBorders>
              <w:top w:val="single" w:sz="4" w:space="0" w:color="D9D9D9"/>
              <w:left w:val="single" w:sz="4" w:space="0" w:color="FFFFFF" w:themeColor="accent6"/>
              <w:bottom w:val="single" w:sz="4" w:space="0" w:color="D9D9D9"/>
              <w:right w:val="single" w:sz="4" w:space="0" w:color="FFFFFF" w:themeColor="accent6"/>
            </w:tcBorders>
            <w:shd w:val="clear" w:color="auto" w:fill="DDE6F5" w:themeFill="text1" w:themeFillTint="1A"/>
            <w:vAlign w:val="bottom"/>
            <w:hideMark/>
          </w:tcPr>
          <w:p w14:paraId="2A5C68C3" w14:textId="77777777" w:rsidR="001876CE" w:rsidRPr="001876CE" w:rsidRDefault="001876CE" w:rsidP="001876CE">
            <w:pPr>
              <w:rPr>
                <w:rFonts w:cs="Arial"/>
                <w:color w:val="000000"/>
                <w:szCs w:val="22"/>
              </w:rPr>
            </w:pPr>
            <w:r w:rsidRPr="001876CE">
              <w:rPr>
                <w:rFonts w:cs="Arial"/>
                <w:color w:val="000000"/>
                <w:szCs w:val="22"/>
              </w:rPr>
              <w:t> </w:t>
            </w:r>
          </w:p>
        </w:tc>
        <w:tc>
          <w:tcPr>
            <w:tcW w:w="1123" w:type="dxa"/>
            <w:tcBorders>
              <w:top w:val="single" w:sz="4" w:space="0" w:color="D9D9D9"/>
              <w:left w:val="single" w:sz="4" w:space="0" w:color="FFFFFF" w:themeColor="accent6"/>
              <w:bottom w:val="single" w:sz="4" w:space="0" w:color="D9D9D9"/>
              <w:right w:val="single" w:sz="4" w:space="0" w:color="FFFFFF" w:themeColor="accent6"/>
            </w:tcBorders>
            <w:shd w:val="clear" w:color="auto" w:fill="DDE6F5" w:themeFill="text1" w:themeFillTint="1A"/>
            <w:vAlign w:val="bottom"/>
            <w:hideMark/>
          </w:tcPr>
          <w:p w14:paraId="362BC8D9" w14:textId="77777777" w:rsidR="001876CE" w:rsidRPr="001876CE" w:rsidRDefault="001876CE" w:rsidP="001876CE">
            <w:pPr>
              <w:rPr>
                <w:rFonts w:cs="Arial"/>
                <w:color w:val="000000"/>
                <w:szCs w:val="22"/>
              </w:rPr>
            </w:pPr>
            <w:r w:rsidRPr="001876CE">
              <w:rPr>
                <w:rFonts w:eastAsia="Calibri" w:cs="Arial"/>
                <w:color w:val="000000"/>
                <w:szCs w:val="22"/>
              </w:rPr>
              <w:t> </w:t>
            </w:r>
          </w:p>
        </w:tc>
      </w:tr>
      <w:tr w:rsidR="00D26B1C" w:rsidRPr="00441ACB" w14:paraId="758EC83F" w14:textId="77777777" w:rsidTr="004C2E4A">
        <w:trPr>
          <w:trHeight w:val="288"/>
        </w:trPr>
        <w:tc>
          <w:tcPr>
            <w:tcW w:w="2168" w:type="dxa"/>
            <w:vMerge/>
            <w:tcBorders>
              <w:top w:val="nil"/>
              <w:left w:val="single" w:sz="4" w:space="0" w:color="F6F4EC" w:themeColor="background1"/>
              <w:bottom w:val="single" w:sz="4" w:space="0" w:color="D9D9D9"/>
              <w:right w:val="single" w:sz="4" w:space="0" w:color="D9D9D9"/>
            </w:tcBorders>
            <w:shd w:val="clear" w:color="auto" w:fill="DDE6F5" w:themeFill="text1" w:themeFillTint="1A"/>
            <w:vAlign w:val="center"/>
            <w:hideMark/>
          </w:tcPr>
          <w:p w14:paraId="47114383" w14:textId="77777777" w:rsidR="001876CE" w:rsidRPr="001876CE" w:rsidRDefault="001876CE" w:rsidP="001876CE">
            <w:pPr>
              <w:rPr>
                <w:rFonts w:cs="Arial"/>
                <w:color w:val="000000"/>
                <w:szCs w:val="22"/>
              </w:rPr>
            </w:pP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DDE6F5" w:themeFill="text1" w:themeFillTint="1A"/>
            <w:vAlign w:val="bottom"/>
            <w:hideMark/>
          </w:tcPr>
          <w:p w14:paraId="7C57E0BD" w14:textId="13BB7E2D" w:rsidR="001876CE" w:rsidRPr="001876CE" w:rsidRDefault="00FF19D1" w:rsidP="001876CE">
            <w:pPr>
              <w:rPr>
                <w:rFonts w:cs="Arial"/>
                <w:color w:val="000000"/>
                <w:szCs w:val="22"/>
              </w:rPr>
            </w:pPr>
            <w:r w:rsidRPr="00441ACB">
              <w:rPr>
                <w:rFonts w:cs="Arial"/>
                <w:color w:val="000000"/>
                <w:szCs w:val="22"/>
              </w:rPr>
              <w:t>I</w:t>
            </w:r>
            <w:r w:rsidR="001876CE" w:rsidRPr="00441ACB">
              <w:rPr>
                <w:rFonts w:cs="Arial"/>
                <w:color w:val="000000"/>
                <w:szCs w:val="22"/>
              </w:rPr>
              <w:t xml:space="preserve">soflurane </w:t>
            </w:r>
          </w:p>
        </w:tc>
        <w:tc>
          <w:tcPr>
            <w:tcW w:w="831"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DDE6F5" w:themeFill="text1" w:themeFillTint="1A"/>
            <w:vAlign w:val="bottom"/>
            <w:hideMark/>
          </w:tcPr>
          <w:p w14:paraId="52559EEE" w14:textId="77777777" w:rsidR="001876CE" w:rsidRPr="001876CE" w:rsidRDefault="001876CE" w:rsidP="001876CE">
            <w:pPr>
              <w:jc w:val="right"/>
              <w:rPr>
                <w:rFonts w:cs="Arial"/>
                <w:color w:val="000000"/>
                <w:szCs w:val="22"/>
              </w:rPr>
            </w:pPr>
            <w:r w:rsidRPr="001876CE">
              <w:rPr>
                <w:rFonts w:cs="Arial"/>
                <w:color w:val="000000"/>
                <w:szCs w:val="22"/>
              </w:rPr>
              <w:t>9</w:t>
            </w:r>
          </w:p>
        </w:tc>
        <w:tc>
          <w:tcPr>
            <w:tcW w:w="1105" w:type="dxa"/>
            <w:tcBorders>
              <w:top w:val="single" w:sz="4" w:space="0" w:color="D9D9D9"/>
              <w:left w:val="single" w:sz="4" w:space="0" w:color="FFFFFF" w:themeColor="accent6"/>
              <w:bottom w:val="single" w:sz="4" w:space="0" w:color="D9D9D9"/>
              <w:right w:val="single" w:sz="4" w:space="0" w:color="FFFFFF" w:themeColor="accent6"/>
            </w:tcBorders>
            <w:shd w:val="clear" w:color="auto" w:fill="DDE6F5" w:themeFill="text1" w:themeFillTint="1A"/>
            <w:vAlign w:val="bottom"/>
            <w:hideMark/>
          </w:tcPr>
          <w:p w14:paraId="39BEFC6F" w14:textId="77777777" w:rsidR="001876CE" w:rsidRPr="001876CE" w:rsidRDefault="001876CE" w:rsidP="001876CE">
            <w:pPr>
              <w:rPr>
                <w:rFonts w:cs="Arial"/>
                <w:color w:val="000000"/>
                <w:szCs w:val="22"/>
              </w:rPr>
            </w:pPr>
            <w:r w:rsidRPr="001876CE">
              <w:rPr>
                <w:rFonts w:cs="Arial"/>
                <w:color w:val="000000"/>
                <w:szCs w:val="22"/>
              </w:rPr>
              <w:t> </w:t>
            </w:r>
          </w:p>
        </w:tc>
        <w:tc>
          <w:tcPr>
            <w:tcW w:w="1134" w:type="dxa"/>
            <w:tcBorders>
              <w:top w:val="single" w:sz="4" w:space="0" w:color="D9D9D9"/>
              <w:left w:val="single" w:sz="4" w:space="0" w:color="FFFFFF" w:themeColor="accent6"/>
              <w:bottom w:val="single" w:sz="4" w:space="0" w:color="D9D9D9"/>
              <w:right w:val="single" w:sz="4" w:space="0" w:color="FFFFFF" w:themeColor="accent6"/>
            </w:tcBorders>
            <w:shd w:val="clear" w:color="auto" w:fill="DDE6F5" w:themeFill="text1" w:themeFillTint="1A"/>
            <w:vAlign w:val="bottom"/>
            <w:hideMark/>
          </w:tcPr>
          <w:p w14:paraId="6EE6FE58" w14:textId="77777777" w:rsidR="001876CE" w:rsidRPr="001876CE" w:rsidRDefault="001876CE" w:rsidP="001876CE">
            <w:pPr>
              <w:rPr>
                <w:rFonts w:cs="Arial"/>
                <w:color w:val="000000"/>
                <w:szCs w:val="22"/>
              </w:rPr>
            </w:pPr>
            <w:r w:rsidRPr="001876CE">
              <w:rPr>
                <w:rFonts w:cs="Arial"/>
                <w:color w:val="000000"/>
                <w:szCs w:val="22"/>
              </w:rPr>
              <w:t> </w:t>
            </w:r>
          </w:p>
        </w:tc>
        <w:tc>
          <w:tcPr>
            <w:tcW w:w="1123" w:type="dxa"/>
            <w:tcBorders>
              <w:top w:val="single" w:sz="4" w:space="0" w:color="D9D9D9"/>
              <w:left w:val="single" w:sz="4" w:space="0" w:color="FFFFFF" w:themeColor="accent6"/>
              <w:bottom w:val="single" w:sz="4" w:space="0" w:color="D9D9D9"/>
              <w:right w:val="single" w:sz="4" w:space="0" w:color="FFFFFF" w:themeColor="accent6"/>
            </w:tcBorders>
            <w:shd w:val="clear" w:color="auto" w:fill="DDE6F5" w:themeFill="text1" w:themeFillTint="1A"/>
            <w:vAlign w:val="bottom"/>
            <w:hideMark/>
          </w:tcPr>
          <w:p w14:paraId="2EB875DF" w14:textId="77777777" w:rsidR="001876CE" w:rsidRPr="001876CE" w:rsidRDefault="001876CE" w:rsidP="001876CE">
            <w:pPr>
              <w:rPr>
                <w:rFonts w:cs="Arial"/>
                <w:color w:val="000000"/>
                <w:szCs w:val="22"/>
              </w:rPr>
            </w:pPr>
            <w:r w:rsidRPr="001876CE">
              <w:rPr>
                <w:rFonts w:cs="Arial"/>
                <w:color w:val="000000"/>
                <w:szCs w:val="22"/>
              </w:rPr>
              <w:t> </w:t>
            </w:r>
          </w:p>
        </w:tc>
      </w:tr>
      <w:tr w:rsidR="00D26B1C" w:rsidRPr="00441ACB" w14:paraId="48DC1DC9" w14:textId="77777777" w:rsidTr="00D26B1C">
        <w:trPr>
          <w:trHeight w:val="576"/>
        </w:trPr>
        <w:tc>
          <w:tcPr>
            <w:tcW w:w="2168" w:type="dxa"/>
            <w:vMerge w:val="restart"/>
            <w:tcBorders>
              <w:top w:val="single" w:sz="4" w:space="0" w:color="D9D9D9"/>
              <w:left w:val="single" w:sz="4" w:space="0" w:color="F6F4EC" w:themeColor="background1"/>
              <w:bottom w:val="single" w:sz="4" w:space="0" w:color="auto"/>
              <w:right w:val="single" w:sz="4" w:space="0" w:color="D9D9D9"/>
            </w:tcBorders>
            <w:shd w:val="clear" w:color="auto" w:fill="auto"/>
            <w:vAlign w:val="center"/>
            <w:hideMark/>
          </w:tcPr>
          <w:p w14:paraId="01A509BC" w14:textId="77777777" w:rsidR="001876CE" w:rsidRPr="001876CE" w:rsidRDefault="001876CE" w:rsidP="001876CE">
            <w:pPr>
              <w:rPr>
                <w:rFonts w:cs="Arial"/>
                <w:color w:val="000000"/>
                <w:szCs w:val="22"/>
              </w:rPr>
            </w:pPr>
            <w:r w:rsidRPr="001876CE">
              <w:rPr>
                <w:rFonts w:cs="Arial"/>
                <w:color w:val="000000"/>
                <w:szCs w:val="22"/>
              </w:rPr>
              <w:t>Refrigerants</w:t>
            </w: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auto"/>
            <w:vAlign w:val="bottom"/>
            <w:hideMark/>
          </w:tcPr>
          <w:p w14:paraId="337313B1" w14:textId="77777777" w:rsidR="001876CE" w:rsidRPr="001876CE" w:rsidRDefault="001876CE" w:rsidP="001876CE">
            <w:pPr>
              <w:rPr>
                <w:rFonts w:cs="Arial"/>
                <w:color w:val="000000"/>
                <w:szCs w:val="22"/>
              </w:rPr>
            </w:pPr>
            <w:r w:rsidRPr="001876CE">
              <w:rPr>
                <w:rFonts w:cs="Arial"/>
                <w:color w:val="000000"/>
                <w:szCs w:val="22"/>
              </w:rPr>
              <w:t xml:space="preserve">Refrigerant blends: </w:t>
            </w:r>
            <w:proofErr w:type="spellStart"/>
            <w:r w:rsidRPr="001876CE">
              <w:rPr>
                <w:rFonts w:cs="Arial"/>
                <w:color w:val="000000"/>
                <w:szCs w:val="22"/>
              </w:rPr>
              <w:t>Zeotropes</w:t>
            </w:r>
            <w:proofErr w:type="spellEnd"/>
            <w:r w:rsidRPr="001876CE">
              <w:rPr>
                <w:rFonts w:cs="Arial"/>
                <w:color w:val="000000"/>
                <w:szCs w:val="22"/>
              </w:rPr>
              <w:t xml:space="preserve"> </w:t>
            </w:r>
          </w:p>
        </w:tc>
        <w:tc>
          <w:tcPr>
            <w:tcW w:w="831"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60C72F16" w14:textId="77777777" w:rsidR="001876CE" w:rsidRPr="001876CE" w:rsidRDefault="001876CE" w:rsidP="001876CE">
            <w:pPr>
              <w:jc w:val="right"/>
              <w:rPr>
                <w:rFonts w:cs="Arial"/>
                <w:color w:val="000000"/>
                <w:szCs w:val="22"/>
              </w:rPr>
            </w:pPr>
            <w:r w:rsidRPr="001876CE">
              <w:rPr>
                <w:rFonts w:cs="Arial"/>
                <w:color w:val="000000"/>
                <w:szCs w:val="22"/>
              </w:rPr>
              <w:t>936</w:t>
            </w:r>
          </w:p>
        </w:tc>
        <w:tc>
          <w:tcPr>
            <w:tcW w:w="1105"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546656C4" w14:textId="77777777" w:rsidR="001876CE" w:rsidRPr="001876CE" w:rsidRDefault="001876CE" w:rsidP="001876CE">
            <w:pPr>
              <w:rPr>
                <w:rFonts w:cs="Arial"/>
                <w:color w:val="000000"/>
                <w:szCs w:val="22"/>
              </w:rPr>
            </w:pPr>
            <w:r w:rsidRPr="001876CE">
              <w:rPr>
                <w:rFonts w:cs="Arial"/>
                <w:color w:val="000000"/>
                <w:szCs w:val="22"/>
              </w:rPr>
              <w:t> </w:t>
            </w:r>
          </w:p>
        </w:tc>
        <w:tc>
          <w:tcPr>
            <w:tcW w:w="1134"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751B716B" w14:textId="77777777" w:rsidR="001876CE" w:rsidRPr="001876CE" w:rsidRDefault="001876CE" w:rsidP="001876CE">
            <w:pPr>
              <w:rPr>
                <w:rFonts w:cs="Arial"/>
                <w:color w:val="000000"/>
                <w:szCs w:val="22"/>
              </w:rPr>
            </w:pPr>
            <w:r w:rsidRPr="001876CE">
              <w:rPr>
                <w:rFonts w:cs="Arial"/>
                <w:color w:val="000000"/>
                <w:szCs w:val="22"/>
              </w:rPr>
              <w:t> </w:t>
            </w:r>
          </w:p>
        </w:tc>
        <w:tc>
          <w:tcPr>
            <w:tcW w:w="1123"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38DB1C5E" w14:textId="77777777" w:rsidR="001876CE" w:rsidRPr="001876CE" w:rsidRDefault="001876CE" w:rsidP="001876CE">
            <w:pPr>
              <w:rPr>
                <w:rFonts w:cs="Arial"/>
                <w:color w:val="000000"/>
                <w:szCs w:val="22"/>
              </w:rPr>
            </w:pPr>
            <w:r w:rsidRPr="001876CE">
              <w:rPr>
                <w:rFonts w:cs="Arial"/>
                <w:color w:val="000000"/>
                <w:szCs w:val="22"/>
              </w:rPr>
              <w:t> </w:t>
            </w:r>
          </w:p>
        </w:tc>
      </w:tr>
      <w:tr w:rsidR="00361C72" w:rsidRPr="00441ACB" w14:paraId="3BE037B4" w14:textId="77777777" w:rsidTr="00D26B1C">
        <w:trPr>
          <w:trHeight w:val="288"/>
        </w:trPr>
        <w:tc>
          <w:tcPr>
            <w:tcW w:w="2168" w:type="dxa"/>
            <w:vMerge/>
            <w:tcBorders>
              <w:top w:val="nil"/>
              <w:left w:val="single" w:sz="4" w:space="0" w:color="F6F4EC" w:themeColor="background1"/>
              <w:bottom w:val="single" w:sz="4" w:space="0" w:color="auto"/>
              <w:right w:val="single" w:sz="4" w:space="0" w:color="D9D9D9"/>
            </w:tcBorders>
            <w:vAlign w:val="center"/>
            <w:hideMark/>
          </w:tcPr>
          <w:p w14:paraId="3F6F877B" w14:textId="77777777" w:rsidR="001876CE" w:rsidRPr="001876CE" w:rsidRDefault="001876CE" w:rsidP="001876CE">
            <w:pPr>
              <w:rPr>
                <w:rFonts w:cs="Arial"/>
                <w:color w:val="000000"/>
                <w:szCs w:val="22"/>
              </w:rPr>
            </w:pP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auto"/>
            <w:vAlign w:val="bottom"/>
            <w:hideMark/>
          </w:tcPr>
          <w:p w14:paraId="34AD3CE5" w14:textId="77777777" w:rsidR="001876CE" w:rsidRPr="001876CE" w:rsidRDefault="001876CE" w:rsidP="001876CE">
            <w:pPr>
              <w:rPr>
                <w:rFonts w:cs="Arial"/>
                <w:color w:val="000000"/>
                <w:szCs w:val="22"/>
              </w:rPr>
            </w:pPr>
            <w:r w:rsidRPr="001876CE">
              <w:rPr>
                <w:rFonts w:cs="Arial"/>
                <w:color w:val="000000"/>
                <w:szCs w:val="22"/>
              </w:rPr>
              <w:t xml:space="preserve">Hydrofluorocarbons </w:t>
            </w:r>
          </w:p>
        </w:tc>
        <w:tc>
          <w:tcPr>
            <w:tcW w:w="831"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7505F468" w14:textId="77777777" w:rsidR="001876CE" w:rsidRPr="001876CE" w:rsidRDefault="001876CE" w:rsidP="001876CE">
            <w:pPr>
              <w:jc w:val="right"/>
              <w:rPr>
                <w:rFonts w:cs="Arial"/>
                <w:color w:val="000000"/>
                <w:szCs w:val="22"/>
              </w:rPr>
            </w:pPr>
            <w:r w:rsidRPr="001876CE">
              <w:rPr>
                <w:rFonts w:cs="Arial"/>
                <w:color w:val="000000"/>
                <w:szCs w:val="22"/>
              </w:rPr>
              <w:t>592</w:t>
            </w:r>
          </w:p>
        </w:tc>
        <w:tc>
          <w:tcPr>
            <w:tcW w:w="1105"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007E241C" w14:textId="77777777" w:rsidR="001876CE" w:rsidRPr="001876CE" w:rsidRDefault="001876CE" w:rsidP="001876CE">
            <w:pPr>
              <w:rPr>
                <w:rFonts w:cs="Arial"/>
                <w:color w:val="000000"/>
                <w:szCs w:val="22"/>
              </w:rPr>
            </w:pPr>
            <w:r w:rsidRPr="001876CE">
              <w:rPr>
                <w:rFonts w:cs="Arial"/>
                <w:color w:val="000000"/>
                <w:szCs w:val="22"/>
              </w:rPr>
              <w:t> </w:t>
            </w:r>
          </w:p>
        </w:tc>
        <w:tc>
          <w:tcPr>
            <w:tcW w:w="1134"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023BF010" w14:textId="77777777" w:rsidR="001876CE" w:rsidRPr="001876CE" w:rsidRDefault="001876CE" w:rsidP="001876CE">
            <w:pPr>
              <w:rPr>
                <w:rFonts w:cs="Arial"/>
                <w:color w:val="000000"/>
                <w:szCs w:val="22"/>
              </w:rPr>
            </w:pPr>
            <w:r w:rsidRPr="001876CE">
              <w:rPr>
                <w:rFonts w:cs="Arial"/>
                <w:color w:val="000000"/>
                <w:szCs w:val="22"/>
              </w:rPr>
              <w:t> </w:t>
            </w:r>
          </w:p>
        </w:tc>
        <w:tc>
          <w:tcPr>
            <w:tcW w:w="1123"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50753788" w14:textId="77777777" w:rsidR="001876CE" w:rsidRPr="001876CE" w:rsidRDefault="001876CE" w:rsidP="001876CE">
            <w:pPr>
              <w:rPr>
                <w:rFonts w:cs="Arial"/>
                <w:color w:val="000000"/>
                <w:szCs w:val="22"/>
              </w:rPr>
            </w:pPr>
            <w:r w:rsidRPr="001876CE">
              <w:rPr>
                <w:rFonts w:cs="Arial"/>
                <w:color w:val="000000"/>
                <w:szCs w:val="22"/>
              </w:rPr>
              <w:t> </w:t>
            </w:r>
          </w:p>
        </w:tc>
      </w:tr>
      <w:tr w:rsidR="00361C72" w:rsidRPr="00441ACB" w14:paraId="4937FE70" w14:textId="77777777" w:rsidTr="00D26B1C">
        <w:trPr>
          <w:trHeight w:val="576"/>
        </w:trPr>
        <w:tc>
          <w:tcPr>
            <w:tcW w:w="2168" w:type="dxa"/>
            <w:vMerge/>
            <w:tcBorders>
              <w:top w:val="nil"/>
              <w:left w:val="single" w:sz="4" w:space="0" w:color="F6F4EC" w:themeColor="background1"/>
              <w:bottom w:val="single" w:sz="4" w:space="0" w:color="auto"/>
              <w:right w:val="single" w:sz="4" w:space="0" w:color="D9D9D9"/>
            </w:tcBorders>
            <w:vAlign w:val="center"/>
            <w:hideMark/>
          </w:tcPr>
          <w:p w14:paraId="23C5D713" w14:textId="77777777" w:rsidR="001876CE" w:rsidRPr="001876CE" w:rsidRDefault="001876CE" w:rsidP="001876CE">
            <w:pPr>
              <w:rPr>
                <w:rFonts w:cs="Arial"/>
                <w:color w:val="000000"/>
                <w:szCs w:val="22"/>
              </w:rPr>
            </w:pP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auto"/>
            <w:vAlign w:val="bottom"/>
            <w:hideMark/>
          </w:tcPr>
          <w:p w14:paraId="77D8AFD8" w14:textId="77777777" w:rsidR="001876CE" w:rsidRPr="001876CE" w:rsidRDefault="001876CE" w:rsidP="001876CE">
            <w:pPr>
              <w:rPr>
                <w:rFonts w:cs="Arial"/>
                <w:color w:val="000000"/>
                <w:szCs w:val="22"/>
              </w:rPr>
            </w:pPr>
            <w:r w:rsidRPr="001876CE">
              <w:rPr>
                <w:rFonts w:cs="Arial"/>
                <w:color w:val="000000"/>
                <w:szCs w:val="22"/>
              </w:rPr>
              <w:t>Substances controlled by the Montreal Protocol</w:t>
            </w:r>
          </w:p>
        </w:tc>
        <w:tc>
          <w:tcPr>
            <w:tcW w:w="831" w:type="dxa"/>
            <w:tcBorders>
              <w:top w:val="single" w:sz="4" w:space="0" w:color="D9D9D9" w:themeColor="accent4" w:themeShade="D9"/>
              <w:left w:val="single" w:sz="4" w:space="0" w:color="FFFFFF" w:themeColor="accent6"/>
              <w:bottom w:val="single" w:sz="4" w:space="0" w:color="D9D9D9" w:themeColor="accent4" w:themeShade="D9"/>
              <w:right w:val="single" w:sz="4" w:space="0" w:color="FFFFFF" w:themeColor="accent6"/>
            </w:tcBorders>
            <w:shd w:val="clear" w:color="auto" w:fill="auto"/>
            <w:vAlign w:val="bottom"/>
            <w:hideMark/>
          </w:tcPr>
          <w:p w14:paraId="4EDED74C" w14:textId="77777777" w:rsidR="001876CE" w:rsidRPr="001876CE" w:rsidRDefault="001876CE" w:rsidP="001876CE">
            <w:pPr>
              <w:jc w:val="right"/>
              <w:rPr>
                <w:rFonts w:cs="Arial"/>
                <w:color w:val="000000"/>
                <w:szCs w:val="22"/>
              </w:rPr>
            </w:pPr>
            <w:r w:rsidRPr="001876CE">
              <w:rPr>
                <w:rFonts w:cs="Arial"/>
                <w:color w:val="000000"/>
                <w:szCs w:val="22"/>
              </w:rPr>
              <w:t>23</w:t>
            </w:r>
          </w:p>
        </w:tc>
        <w:tc>
          <w:tcPr>
            <w:tcW w:w="1105"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55F652C1" w14:textId="77777777" w:rsidR="001876CE" w:rsidRPr="001876CE" w:rsidRDefault="001876CE" w:rsidP="001876CE">
            <w:pPr>
              <w:rPr>
                <w:rFonts w:cs="Arial"/>
                <w:color w:val="000000"/>
                <w:szCs w:val="22"/>
              </w:rPr>
            </w:pPr>
            <w:r w:rsidRPr="001876CE">
              <w:rPr>
                <w:rFonts w:cs="Arial"/>
                <w:color w:val="000000"/>
                <w:szCs w:val="22"/>
              </w:rPr>
              <w:t> </w:t>
            </w:r>
          </w:p>
        </w:tc>
        <w:tc>
          <w:tcPr>
            <w:tcW w:w="1134"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65D18F47" w14:textId="77777777" w:rsidR="001876CE" w:rsidRPr="001876CE" w:rsidRDefault="001876CE" w:rsidP="001876CE">
            <w:pPr>
              <w:rPr>
                <w:rFonts w:cs="Arial"/>
                <w:color w:val="000000"/>
                <w:szCs w:val="22"/>
              </w:rPr>
            </w:pPr>
            <w:r w:rsidRPr="001876CE">
              <w:rPr>
                <w:rFonts w:cs="Arial"/>
                <w:color w:val="000000"/>
                <w:szCs w:val="22"/>
              </w:rPr>
              <w:t> </w:t>
            </w:r>
          </w:p>
        </w:tc>
        <w:tc>
          <w:tcPr>
            <w:tcW w:w="1123"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3372767A" w14:textId="77777777" w:rsidR="001876CE" w:rsidRPr="001876CE" w:rsidRDefault="001876CE" w:rsidP="001876CE">
            <w:pPr>
              <w:rPr>
                <w:rFonts w:cs="Arial"/>
                <w:color w:val="000000"/>
                <w:szCs w:val="22"/>
              </w:rPr>
            </w:pPr>
            <w:r w:rsidRPr="001876CE">
              <w:rPr>
                <w:rFonts w:cs="Arial"/>
                <w:color w:val="000000"/>
                <w:szCs w:val="22"/>
              </w:rPr>
              <w:t> </w:t>
            </w:r>
          </w:p>
        </w:tc>
      </w:tr>
      <w:tr w:rsidR="00D26B1C" w:rsidRPr="00441ACB" w14:paraId="0AAC4E8B" w14:textId="77777777" w:rsidTr="00D26B1C">
        <w:trPr>
          <w:trHeight w:val="288"/>
        </w:trPr>
        <w:tc>
          <w:tcPr>
            <w:tcW w:w="2168" w:type="dxa"/>
            <w:vMerge/>
            <w:tcBorders>
              <w:top w:val="nil"/>
              <w:left w:val="single" w:sz="4" w:space="0" w:color="F6F4EC" w:themeColor="background1"/>
              <w:bottom w:val="single" w:sz="4" w:space="0" w:color="D9D9D9"/>
              <w:right w:val="single" w:sz="4" w:space="0" w:color="D9D9D9"/>
            </w:tcBorders>
            <w:vAlign w:val="center"/>
            <w:hideMark/>
          </w:tcPr>
          <w:p w14:paraId="0428D98B" w14:textId="77777777" w:rsidR="001876CE" w:rsidRPr="001876CE" w:rsidRDefault="001876CE" w:rsidP="001876CE">
            <w:pPr>
              <w:rPr>
                <w:rFonts w:cs="Arial"/>
                <w:color w:val="000000"/>
                <w:szCs w:val="22"/>
              </w:rPr>
            </w:pPr>
          </w:p>
        </w:tc>
        <w:tc>
          <w:tcPr>
            <w:tcW w:w="2979" w:type="dxa"/>
            <w:tcBorders>
              <w:top w:val="single" w:sz="4" w:space="0" w:color="D9D9D9" w:themeColor="accent4" w:themeShade="D9"/>
              <w:left w:val="single" w:sz="4" w:space="0" w:color="D9D9D9"/>
              <w:bottom w:val="single" w:sz="4" w:space="0" w:color="D9D9D9" w:themeColor="accent4" w:themeShade="D9"/>
              <w:right w:val="single" w:sz="4" w:space="0" w:color="FFFFFF" w:themeColor="accent6"/>
            </w:tcBorders>
            <w:shd w:val="clear" w:color="auto" w:fill="auto"/>
            <w:vAlign w:val="bottom"/>
            <w:hideMark/>
          </w:tcPr>
          <w:p w14:paraId="2E2E6E95" w14:textId="03C1090D" w:rsidR="001876CE" w:rsidRPr="001876CE" w:rsidRDefault="001876CE" w:rsidP="001876CE">
            <w:pPr>
              <w:rPr>
                <w:rFonts w:cs="Arial"/>
                <w:color w:val="000000"/>
                <w:szCs w:val="22"/>
              </w:rPr>
            </w:pPr>
            <w:r w:rsidRPr="001876CE">
              <w:rPr>
                <w:rFonts w:cs="Arial"/>
                <w:color w:val="000000"/>
                <w:szCs w:val="22"/>
              </w:rPr>
              <w:t xml:space="preserve">Refrigerants other  </w:t>
            </w:r>
          </w:p>
        </w:tc>
        <w:tc>
          <w:tcPr>
            <w:tcW w:w="831" w:type="dxa"/>
            <w:tcBorders>
              <w:top w:val="single" w:sz="4" w:space="0" w:color="D9D9D9" w:themeColor="accent4" w:themeShade="D9"/>
              <w:left w:val="single" w:sz="4" w:space="0" w:color="FFFFFF" w:themeColor="accent6"/>
              <w:bottom w:val="single" w:sz="4" w:space="0" w:color="D9D9D9"/>
              <w:right w:val="single" w:sz="4" w:space="0" w:color="FFFFFF" w:themeColor="accent6"/>
            </w:tcBorders>
            <w:shd w:val="clear" w:color="auto" w:fill="auto"/>
            <w:vAlign w:val="bottom"/>
            <w:hideMark/>
          </w:tcPr>
          <w:p w14:paraId="46550FBD" w14:textId="77777777" w:rsidR="001876CE" w:rsidRPr="001876CE" w:rsidRDefault="001876CE" w:rsidP="001876CE">
            <w:pPr>
              <w:jc w:val="right"/>
              <w:rPr>
                <w:rFonts w:cs="Arial"/>
                <w:color w:val="000000"/>
                <w:szCs w:val="22"/>
              </w:rPr>
            </w:pPr>
            <w:r w:rsidRPr="001876CE">
              <w:rPr>
                <w:rFonts w:cs="Arial"/>
                <w:color w:val="000000"/>
                <w:szCs w:val="22"/>
              </w:rPr>
              <w:t>13</w:t>
            </w:r>
          </w:p>
        </w:tc>
        <w:tc>
          <w:tcPr>
            <w:tcW w:w="1105"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484995AF" w14:textId="77777777" w:rsidR="001876CE" w:rsidRPr="001876CE" w:rsidRDefault="001876CE" w:rsidP="001876CE">
            <w:pPr>
              <w:rPr>
                <w:rFonts w:cs="Arial"/>
                <w:color w:val="000000"/>
                <w:szCs w:val="22"/>
              </w:rPr>
            </w:pPr>
            <w:r w:rsidRPr="001876CE">
              <w:rPr>
                <w:rFonts w:cs="Arial"/>
                <w:color w:val="000000"/>
                <w:szCs w:val="22"/>
              </w:rPr>
              <w:t> </w:t>
            </w:r>
          </w:p>
        </w:tc>
        <w:tc>
          <w:tcPr>
            <w:tcW w:w="1134"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4A00341D" w14:textId="77777777" w:rsidR="001876CE" w:rsidRPr="001876CE" w:rsidRDefault="001876CE" w:rsidP="001876CE">
            <w:pPr>
              <w:rPr>
                <w:rFonts w:cs="Arial"/>
                <w:color w:val="000000"/>
                <w:szCs w:val="22"/>
              </w:rPr>
            </w:pPr>
            <w:r w:rsidRPr="001876CE">
              <w:rPr>
                <w:rFonts w:cs="Arial"/>
                <w:color w:val="000000"/>
                <w:szCs w:val="22"/>
              </w:rPr>
              <w:t> </w:t>
            </w:r>
          </w:p>
        </w:tc>
        <w:tc>
          <w:tcPr>
            <w:tcW w:w="1123" w:type="dxa"/>
            <w:tcBorders>
              <w:top w:val="single" w:sz="4" w:space="0" w:color="D9D9D9"/>
              <w:left w:val="single" w:sz="4" w:space="0" w:color="FFFFFF" w:themeColor="accent6"/>
              <w:bottom w:val="single" w:sz="4" w:space="0" w:color="D9D9D9"/>
              <w:right w:val="single" w:sz="4" w:space="0" w:color="FFFFFF" w:themeColor="accent6"/>
            </w:tcBorders>
            <w:shd w:val="clear" w:color="auto" w:fill="auto"/>
            <w:vAlign w:val="bottom"/>
            <w:hideMark/>
          </w:tcPr>
          <w:p w14:paraId="04DC18B3" w14:textId="77777777" w:rsidR="001876CE" w:rsidRPr="001876CE" w:rsidRDefault="001876CE" w:rsidP="001876CE">
            <w:pPr>
              <w:rPr>
                <w:rFonts w:cs="Arial"/>
                <w:color w:val="000000"/>
                <w:szCs w:val="22"/>
              </w:rPr>
            </w:pPr>
            <w:r w:rsidRPr="001876CE">
              <w:rPr>
                <w:rFonts w:cs="Arial"/>
                <w:color w:val="000000"/>
                <w:szCs w:val="22"/>
              </w:rPr>
              <w:t> </w:t>
            </w:r>
          </w:p>
        </w:tc>
      </w:tr>
    </w:tbl>
    <w:p w14:paraId="71616D9A" w14:textId="77777777" w:rsidR="00CE4DB3" w:rsidRDefault="00CE4DB3" w:rsidP="00217A9C">
      <w:pPr>
        <w:pStyle w:val="BodyText1"/>
        <w:rPr>
          <w:lang w:val="en-NZ"/>
        </w:rPr>
      </w:pPr>
    </w:p>
    <w:p w14:paraId="09E9FEBD" w14:textId="6279AFFD" w:rsidR="00217A9C" w:rsidRPr="00AE4DBA" w:rsidRDefault="00217A9C" w:rsidP="00217A9C">
      <w:pPr>
        <w:pStyle w:val="BodyText1"/>
        <w:rPr>
          <w:lang w:val="en-NZ"/>
        </w:rPr>
      </w:pPr>
      <w:r w:rsidRPr="00AE4DBA">
        <w:rPr>
          <w:lang w:val="en-NZ"/>
        </w:rPr>
        <w:t xml:space="preserve">A detailed breakdown of all emission sources is included in Appendix </w:t>
      </w:r>
      <w:r w:rsidR="00030703" w:rsidRPr="00AE4DBA">
        <w:rPr>
          <w:lang w:val="en-NZ"/>
        </w:rPr>
        <w:t>A</w:t>
      </w:r>
      <w:r w:rsidRPr="00AE4DBA">
        <w:rPr>
          <w:lang w:val="en-NZ"/>
        </w:rPr>
        <w:t xml:space="preserve">. </w:t>
      </w:r>
    </w:p>
    <w:p w14:paraId="70DE58CC" w14:textId="221EB9D7" w:rsidR="00217A9C" w:rsidRPr="00AE4DBA" w:rsidRDefault="00217A9C" w:rsidP="00217A9C">
      <w:pPr>
        <w:pStyle w:val="BodyText1"/>
        <w:rPr>
          <w:lang w:val="en-NZ"/>
        </w:rPr>
      </w:pPr>
      <w:r w:rsidRPr="00AE4DBA">
        <w:rPr>
          <w:lang w:val="en-NZ"/>
        </w:rPr>
        <w:t xml:space="preserve">Appendix </w:t>
      </w:r>
      <w:r w:rsidR="00030703" w:rsidRPr="00AE4DBA">
        <w:rPr>
          <w:lang w:val="en-NZ"/>
        </w:rPr>
        <w:t>B</w:t>
      </w:r>
      <w:r w:rsidRPr="00AE4DBA">
        <w:rPr>
          <w:lang w:val="en-NZ"/>
        </w:rPr>
        <w:t xml:space="preserve"> lists the emissions per supplier per group to identify </w:t>
      </w:r>
      <w:r w:rsidR="00094B15" w:rsidRPr="00AE4DBA">
        <w:rPr>
          <w:lang w:val="en-NZ"/>
        </w:rPr>
        <w:t xml:space="preserve">the sources of our most significant </w:t>
      </w:r>
      <w:r w:rsidRPr="00AE4DBA">
        <w:rPr>
          <w:lang w:val="en-NZ"/>
        </w:rPr>
        <w:t xml:space="preserve">emissions. </w:t>
      </w:r>
    </w:p>
    <w:p w14:paraId="53209551" w14:textId="17C21196" w:rsidR="00D40030" w:rsidRPr="00AE4DBA" w:rsidRDefault="00217A9C" w:rsidP="00BE50B5">
      <w:pPr>
        <w:pStyle w:val="BodyText1"/>
        <w:rPr>
          <w:lang w:val="en-NZ"/>
        </w:rPr>
      </w:pPr>
      <w:r w:rsidRPr="00AE4DBA">
        <w:rPr>
          <w:lang w:val="en-NZ"/>
        </w:rPr>
        <w:t xml:space="preserve">Appendix </w:t>
      </w:r>
      <w:r w:rsidR="00030703" w:rsidRPr="00AE4DBA">
        <w:rPr>
          <w:lang w:val="en-NZ"/>
        </w:rPr>
        <w:t>C</w:t>
      </w:r>
      <w:r w:rsidRPr="00AE4DBA">
        <w:rPr>
          <w:lang w:val="en-NZ"/>
        </w:rPr>
        <w:t xml:space="preserve"> summarises emissions for each CNGP activity. </w:t>
      </w:r>
    </w:p>
    <w:p w14:paraId="30E32A51" w14:textId="393BF413" w:rsidR="00217A9C" w:rsidRPr="00AE4DBA" w:rsidRDefault="00217A9C" w:rsidP="00141DF0">
      <w:pPr>
        <w:pStyle w:val="Tableheading-reverse"/>
        <w:numPr>
          <w:ilvl w:val="1"/>
          <w:numId w:val="5"/>
        </w:numPr>
      </w:pPr>
      <w:bookmarkStart w:id="40" w:name="_Toc176345116"/>
      <w:r w:rsidRPr="00AE4DBA">
        <w:t>Emissions Inventory Results against baseline</w:t>
      </w:r>
      <w:bookmarkEnd w:id="40"/>
    </w:p>
    <w:p w14:paraId="4BDCC413" w14:textId="5DA216F0" w:rsidR="00204767" w:rsidRPr="00AE4DBA" w:rsidRDefault="002A063F" w:rsidP="00D63457">
      <w:pPr>
        <w:pStyle w:val="BodyText1"/>
        <w:rPr>
          <w:lang w:val="en-NZ"/>
        </w:rPr>
      </w:pPr>
      <w:r w:rsidRPr="00AE4DBA">
        <w:rPr>
          <w:lang w:val="en-NZ"/>
        </w:rPr>
        <w:t xml:space="preserve">Health NZ’s total measured GHG emissions have declined by </w:t>
      </w:r>
      <w:r w:rsidR="008D7112">
        <w:rPr>
          <w:lang w:val="en-NZ"/>
        </w:rPr>
        <w:t xml:space="preserve">around </w:t>
      </w:r>
      <w:r w:rsidRPr="00AE4DBA">
        <w:rPr>
          <w:lang w:val="en-NZ"/>
        </w:rPr>
        <w:t>3</w:t>
      </w:r>
      <w:r w:rsidR="00DE0892">
        <w:rPr>
          <w:lang w:val="en-NZ"/>
        </w:rPr>
        <w:t>2</w:t>
      </w:r>
      <w:r w:rsidRPr="00AE4DBA">
        <w:rPr>
          <w:lang w:val="en-NZ"/>
        </w:rPr>
        <w:t>,</w:t>
      </w:r>
      <w:r w:rsidR="008D7112">
        <w:rPr>
          <w:lang w:val="en-NZ"/>
        </w:rPr>
        <w:t>500</w:t>
      </w:r>
      <w:r w:rsidRPr="00AE4DBA">
        <w:rPr>
          <w:lang w:val="en-NZ"/>
        </w:rPr>
        <w:t xml:space="preserve"> tCO</w:t>
      </w:r>
      <w:r w:rsidRPr="7C571EA4">
        <w:rPr>
          <w:vertAlign w:val="subscript"/>
          <w:lang w:val="en-NZ"/>
        </w:rPr>
        <w:t>2</w:t>
      </w:r>
      <w:r w:rsidRPr="00AE4DBA">
        <w:rPr>
          <w:lang w:val="en-NZ"/>
        </w:rPr>
        <w:t>e, or 1</w:t>
      </w:r>
      <w:r w:rsidR="00DE0892">
        <w:rPr>
          <w:lang w:val="en-NZ"/>
        </w:rPr>
        <w:t>4</w:t>
      </w:r>
      <w:r w:rsidRPr="00AE4DBA">
        <w:rPr>
          <w:lang w:val="en-NZ"/>
        </w:rPr>
        <w:t>%, from the 237,</w:t>
      </w:r>
      <w:r w:rsidR="005803AD">
        <w:rPr>
          <w:lang w:val="en-NZ"/>
        </w:rPr>
        <w:t>822</w:t>
      </w:r>
      <w:r w:rsidR="00B700E1">
        <w:rPr>
          <w:lang w:val="en-NZ"/>
        </w:rPr>
        <w:t xml:space="preserve"> </w:t>
      </w:r>
      <w:r w:rsidR="00B700E1" w:rsidRPr="00AE4DBA">
        <w:rPr>
          <w:lang w:val="en-NZ"/>
        </w:rPr>
        <w:t>tCO</w:t>
      </w:r>
      <w:r w:rsidR="00B700E1" w:rsidRPr="7C571EA4">
        <w:rPr>
          <w:vertAlign w:val="subscript"/>
          <w:lang w:val="en-NZ"/>
        </w:rPr>
        <w:t>2</w:t>
      </w:r>
      <w:r w:rsidR="00B700E1" w:rsidRPr="00AE4DBA">
        <w:rPr>
          <w:lang w:val="en-NZ"/>
        </w:rPr>
        <w:t>e</w:t>
      </w:r>
      <w:r w:rsidRPr="00AE4DBA">
        <w:rPr>
          <w:lang w:val="en-NZ"/>
        </w:rPr>
        <w:t xml:space="preserve"> FY2022/23 baseline.</w:t>
      </w:r>
      <w:r w:rsidR="00204767" w:rsidRPr="00AE4DBA">
        <w:rPr>
          <w:lang w:val="en-NZ"/>
        </w:rPr>
        <w:t xml:space="preserve"> </w:t>
      </w:r>
    </w:p>
    <w:p w14:paraId="76A800B8" w14:textId="4EB8F2CC" w:rsidR="001D0350" w:rsidRPr="00AE4DBA" w:rsidRDefault="00204767">
      <w:pPr>
        <w:pStyle w:val="BodyText1"/>
        <w:rPr>
          <w:lang w:val="en-NZ"/>
        </w:rPr>
      </w:pPr>
      <w:r w:rsidRPr="4796C5D2">
        <w:rPr>
          <w:lang w:val="en-NZ"/>
        </w:rPr>
        <w:t>The decrease in emissions is largely driven by significant reductions in emissions associated with Category 1 and 2 stationary energy use (Figure 3). Here, a significant decline in energy from coal of 26,</w:t>
      </w:r>
      <w:r w:rsidRPr="7C571EA4">
        <w:rPr>
          <w:lang w:val="en-NZ"/>
        </w:rPr>
        <w:t>5</w:t>
      </w:r>
      <w:r w:rsidR="19BAE348" w:rsidRPr="7C571EA4">
        <w:rPr>
          <w:lang w:val="en-NZ"/>
        </w:rPr>
        <w:t>24</w:t>
      </w:r>
      <w:r w:rsidRPr="4796C5D2">
        <w:rPr>
          <w:lang w:val="en-NZ"/>
        </w:rPr>
        <w:t xml:space="preserve"> tCO</w:t>
      </w:r>
      <w:r w:rsidRPr="7C571EA4">
        <w:rPr>
          <w:vertAlign w:val="subscript"/>
          <w:lang w:val="en-NZ"/>
        </w:rPr>
        <w:t>2</w:t>
      </w:r>
      <w:r w:rsidRPr="4796C5D2">
        <w:rPr>
          <w:lang w:val="en-NZ"/>
        </w:rPr>
        <w:t xml:space="preserve">e, or 76%, is the main contributing factor, However, there have also been significant reductions in natural gas use of </w:t>
      </w:r>
      <w:r w:rsidR="2942A8BF" w:rsidRPr="7C571EA4">
        <w:rPr>
          <w:lang w:val="en-NZ"/>
        </w:rPr>
        <w:t>4</w:t>
      </w:r>
      <w:r w:rsidR="2942A8BF" w:rsidRPr="4796C5D2">
        <w:rPr>
          <w:lang w:val="en-NZ"/>
        </w:rPr>
        <w:t>,070</w:t>
      </w:r>
      <w:r w:rsidRPr="4796C5D2">
        <w:rPr>
          <w:lang w:val="en-NZ"/>
        </w:rPr>
        <w:t xml:space="preserve"> tCO</w:t>
      </w:r>
      <w:r w:rsidRPr="7C571EA4">
        <w:rPr>
          <w:vertAlign w:val="subscript"/>
          <w:lang w:val="en-NZ"/>
        </w:rPr>
        <w:t>2</w:t>
      </w:r>
      <w:r w:rsidRPr="4796C5D2">
        <w:rPr>
          <w:lang w:val="en-NZ"/>
        </w:rPr>
        <w:t>e (</w:t>
      </w:r>
      <w:r w:rsidR="006A2D13" w:rsidRPr="4796C5D2">
        <w:rPr>
          <w:lang w:val="en-NZ"/>
        </w:rPr>
        <w:t>7</w:t>
      </w:r>
      <w:r w:rsidRPr="4796C5D2">
        <w:rPr>
          <w:lang w:val="en-NZ"/>
        </w:rPr>
        <w:t xml:space="preserve">%) and electricity </w:t>
      </w:r>
      <w:r w:rsidR="0ECDB6F2" w:rsidRPr="4796C5D2">
        <w:rPr>
          <w:lang w:val="en-NZ"/>
        </w:rPr>
        <w:t>2,</w:t>
      </w:r>
      <w:r w:rsidR="0ECDB6F2" w:rsidRPr="7C571EA4">
        <w:rPr>
          <w:lang w:val="en-NZ"/>
        </w:rPr>
        <w:t>305</w:t>
      </w:r>
      <w:r w:rsidRPr="4796C5D2">
        <w:rPr>
          <w:lang w:val="en-NZ"/>
        </w:rPr>
        <w:t xml:space="preserve"> tCO</w:t>
      </w:r>
      <w:r w:rsidRPr="7C571EA4">
        <w:rPr>
          <w:vertAlign w:val="subscript"/>
          <w:lang w:val="en-NZ"/>
        </w:rPr>
        <w:t>2</w:t>
      </w:r>
      <w:r w:rsidRPr="4796C5D2">
        <w:rPr>
          <w:lang w:val="en-NZ"/>
        </w:rPr>
        <w:t>e (</w:t>
      </w:r>
      <w:r w:rsidR="60DFB91F" w:rsidRPr="7C571EA4">
        <w:rPr>
          <w:lang w:val="en-NZ"/>
        </w:rPr>
        <w:t>8</w:t>
      </w:r>
      <w:r w:rsidRPr="4796C5D2">
        <w:rPr>
          <w:lang w:val="en-NZ"/>
        </w:rPr>
        <w:t>%).</w:t>
      </w:r>
      <w:r w:rsidR="001D0350" w:rsidRPr="4796C5D2">
        <w:rPr>
          <w:lang w:val="en-NZ"/>
        </w:rPr>
        <w:t xml:space="preserve"> </w:t>
      </w:r>
    </w:p>
    <w:p w14:paraId="2EF11D67" w14:textId="41771AE7" w:rsidR="0018017B" w:rsidRPr="00AE4DBA" w:rsidRDefault="001D0350" w:rsidP="00D63457">
      <w:pPr>
        <w:pStyle w:val="BodyText1"/>
        <w:rPr>
          <w:lang w:val="en-NZ"/>
        </w:rPr>
      </w:pPr>
      <w:r w:rsidRPr="00AE4DBA">
        <w:rPr>
          <w:lang w:val="en-NZ"/>
        </w:rPr>
        <w:t xml:space="preserve">Much of the progress in reducing emissions associated with stationary energy sources can be attributed to Health NZ’s work on removing coal as an energy source by end </w:t>
      </w:r>
      <w:r w:rsidRPr="7C571EA4">
        <w:rPr>
          <w:lang w:val="en-NZ"/>
        </w:rPr>
        <w:lastRenderedPageBreak/>
        <w:t>FY</w:t>
      </w:r>
      <w:r w:rsidR="654C158C" w:rsidRPr="7C571EA4">
        <w:rPr>
          <w:lang w:val="en-NZ"/>
        </w:rPr>
        <w:t>2024/</w:t>
      </w:r>
      <w:r w:rsidRPr="7C571EA4">
        <w:rPr>
          <w:lang w:val="en-NZ"/>
        </w:rPr>
        <w:t>2025</w:t>
      </w:r>
      <w:r w:rsidRPr="00AE4DBA">
        <w:rPr>
          <w:lang w:val="en-NZ"/>
        </w:rPr>
        <w:t>, early work on reducing its dependence on natural gas, and various other energy efficiency programmes</w:t>
      </w:r>
    </w:p>
    <w:p w14:paraId="0B99244C" w14:textId="54D2217D" w:rsidR="00204767" w:rsidRPr="00AE4DBA" w:rsidRDefault="00204767" w:rsidP="00D63457">
      <w:pPr>
        <w:pStyle w:val="BodyText1"/>
        <w:rPr>
          <w:lang w:val="en-NZ"/>
        </w:rPr>
      </w:pPr>
      <w:r w:rsidRPr="00AE4DBA">
        <w:rPr>
          <w:lang w:val="en-NZ"/>
        </w:rPr>
        <w:t>There ha</w:t>
      </w:r>
      <w:r w:rsidR="001D0350" w:rsidRPr="00AE4DBA">
        <w:rPr>
          <w:lang w:val="en-NZ"/>
        </w:rPr>
        <w:t>s</w:t>
      </w:r>
      <w:r w:rsidRPr="00AE4DBA">
        <w:rPr>
          <w:lang w:val="en-NZ"/>
        </w:rPr>
        <w:t xml:space="preserve"> also been a decrease in emissions associated with fleet fuels of </w:t>
      </w:r>
      <w:r w:rsidR="001D0350" w:rsidRPr="00AE4DBA">
        <w:rPr>
          <w:lang w:val="en-NZ"/>
        </w:rPr>
        <w:t>7</w:t>
      </w:r>
      <w:r w:rsidR="00746A4C" w:rsidRPr="00AE4DBA">
        <w:rPr>
          <w:lang w:val="en-NZ"/>
        </w:rPr>
        <w:t>22</w:t>
      </w:r>
      <w:r w:rsidR="001D0350" w:rsidRPr="00AE4DBA">
        <w:rPr>
          <w:lang w:val="en-NZ"/>
        </w:rPr>
        <w:t xml:space="preserve"> tCO</w:t>
      </w:r>
      <w:r w:rsidR="001D0350" w:rsidRPr="7C571EA4">
        <w:rPr>
          <w:vertAlign w:val="subscript"/>
          <w:lang w:val="en-NZ"/>
        </w:rPr>
        <w:t>2</w:t>
      </w:r>
      <w:r w:rsidR="001D0350" w:rsidRPr="00AE4DBA">
        <w:rPr>
          <w:lang w:val="en-NZ"/>
        </w:rPr>
        <w:t>e, or 8%. This decrease is largely attributable to progress made as part of Health NZ’s work to transition to Battery Electric Vehicles.</w:t>
      </w:r>
    </w:p>
    <w:p w14:paraId="494471FB" w14:textId="77777777" w:rsidR="00204767" w:rsidRPr="00AE4DBA" w:rsidRDefault="00204767" w:rsidP="00D63457">
      <w:pPr>
        <w:pStyle w:val="BodyText1"/>
        <w:rPr>
          <w:lang w:val="en-NZ"/>
        </w:rPr>
      </w:pPr>
    </w:p>
    <w:p w14:paraId="6D08F78F" w14:textId="5167A577" w:rsidR="00204767" w:rsidRPr="00AE4DBA" w:rsidRDefault="005C58F7" w:rsidP="00204767">
      <w:pPr>
        <w:pStyle w:val="BodyText1"/>
        <w:keepNext/>
        <w:rPr>
          <w:lang w:val="en-NZ"/>
        </w:rPr>
      </w:pPr>
      <w:r>
        <w:rPr>
          <w:noProof/>
          <w:lang w:val="en-NZ"/>
        </w:rPr>
        <w:drawing>
          <wp:inline distT="0" distB="0" distL="0" distR="0" wp14:anchorId="10439C54" wp14:editId="2D2E8DE7">
            <wp:extent cx="5731510" cy="4643755"/>
            <wp:effectExtent l="0" t="0" r="2540" b="4445"/>
            <wp:docPr id="2139448782" name="Chart 1">
              <a:extLst xmlns:a="http://schemas.openxmlformats.org/drawingml/2006/main">
                <a:ext uri="{FF2B5EF4-FFF2-40B4-BE49-F238E27FC236}">
                  <a16:creationId xmlns:a16="http://schemas.microsoft.com/office/drawing/2014/main" id="{DCD40220-90E4-459A-BA94-4A7BCFE9CE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8A53A5" w14:textId="044CD959" w:rsidR="002A063F" w:rsidRPr="00AE4DBA" w:rsidRDefault="00204767" w:rsidP="00204767">
      <w:pPr>
        <w:pStyle w:val="Caption"/>
      </w:pPr>
      <w:bookmarkStart w:id="41" w:name="_Toc176252092"/>
      <w:r w:rsidRPr="00AE4DBA">
        <w:t xml:space="preserve">Figure </w:t>
      </w:r>
      <w:r>
        <w:fldChar w:fldCharType="begin"/>
      </w:r>
      <w:r>
        <w:instrText>SEQ Figure \* ARABIC</w:instrText>
      </w:r>
      <w:r>
        <w:fldChar w:fldCharType="separate"/>
      </w:r>
      <w:r w:rsidRPr="00AE4DBA">
        <w:rPr>
          <w:noProof/>
        </w:rPr>
        <w:t>3</w:t>
      </w:r>
      <w:r>
        <w:fldChar w:fldCharType="end"/>
      </w:r>
      <w:r w:rsidRPr="00AE4DBA">
        <w:t xml:space="preserve"> Health NZ Top 10 Emissions Sources </w:t>
      </w:r>
      <w:r>
        <w:t>FY20</w:t>
      </w:r>
      <w:r w:rsidR="286343D9">
        <w:t>23/</w:t>
      </w:r>
      <w:r>
        <w:t>24</w:t>
      </w:r>
      <w:r w:rsidRPr="00AE4DBA">
        <w:t xml:space="preserve"> vs Baseline </w:t>
      </w:r>
      <w:bookmarkEnd w:id="41"/>
      <w:r>
        <w:t>FY20</w:t>
      </w:r>
      <w:r w:rsidR="310261B1">
        <w:t>22/</w:t>
      </w:r>
      <w:r>
        <w:t>23</w:t>
      </w:r>
    </w:p>
    <w:p w14:paraId="561512CC" w14:textId="74E7FE5C" w:rsidR="00731BBB" w:rsidRPr="00AE4DBA" w:rsidRDefault="00731BBB" w:rsidP="00141DF0">
      <w:pPr>
        <w:pStyle w:val="Tableheading-reverse"/>
        <w:numPr>
          <w:ilvl w:val="1"/>
          <w:numId w:val="5"/>
        </w:numPr>
      </w:pPr>
      <w:bookmarkStart w:id="42" w:name="_Toc176345117"/>
      <w:r w:rsidRPr="00AE4DBA">
        <w:t>Organisational Context</w:t>
      </w:r>
      <w:bookmarkEnd w:id="42"/>
    </w:p>
    <w:p w14:paraId="7D3D6314" w14:textId="302BA952" w:rsidR="00731BBB" w:rsidRPr="00AE4DBA" w:rsidRDefault="00731BBB" w:rsidP="00141DF0">
      <w:pPr>
        <w:pStyle w:val="Tableheading-reverse"/>
        <w:numPr>
          <w:ilvl w:val="2"/>
          <w:numId w:val="5"/>
        </w:numPr>
      </w:pPr>
      <w:bookmarkStart w:id="43" w:name="_Toc176345118"/>
      <w:r w:rsidRPr="00AE4DBA">
        <w:t>Organisational Description</w:t>
      </w:r>
      <w:bookmarkEnd w:id="43"/>
      <w:r w:rsidRPr="00AE4DBA">
        <w:t xml:space="preserve"> </w:t>
      </w:r>
    </w:p>
    <w:p w14:paraId="00D96687" w14:textId="49E3695A" w:rsidR="00C3777D" w:rsidRPr="00AE4DBA" w:rsidRDefault="00C3777D" w:rsidP="00C3777D">
      <w:pPr>
        <w:pStyle w:val="BodyText1"/>
        <w:rPr>
          <w:lang w:val="en-NZ"/>
        </w:rPr>
      </w:pPr>
      <w:r w:rsidRPr="00AE4DBA">
        <w:rPr>
          <w:lang w:val="en-NZ"/>
        </w:rPr>
        <w:t xml:space="preserve">Health New Zealand | Te Whatu Ora </w:t>
      </w:r>
      <w:r w:rsidR="007677B3" w:rsidRPr="00AE4DBA">
        <w:rPr>
          <w:lang w:val="en-NZ"/>
        </w:rPr>
        <w:t xml:space="preserve">(Health NZ) </w:t>
      </w:r>
      <w:r w:rsidRPr="00AE4DBA">
        <w:rPr>
          <w:lang w:val="en-NZ"/>
        </w:rPr>
        <w:t xml:space="preserve">was established on 1 July 2022 and leads the day-to-day running of the publicly funded health system across Aotearoa New Zealand, with functions delivered at local, district, regional and national levels. It weaves the functions of the former District Health Boards (DHBs) into its regional divisions and district offices (see Figure </w:t>
      </w:r>
      <w:r w:rsidR="000D39F4" w:rsidRPr="7C571EA4">
        <w:rPr>
          <w:lang w:val="en-NZ"/>
        </w:rPr>
        <w:t>4</w:t>
      </w:r>
      <w:r w:rsidRPr="00AE4DBA">
        <w:rPr>
          <w:lang w:val="en-NZ"/>
        </w:rPr>
        <w:t xml:space="preserve">), ensuring continuity of services in the health system. Health NZ is responsible for improving services and outcomes across the health system. </w:t>
      </w:r>
    </w:p>
    <w:p w14:paraId="27FB533B" w14:textId="77777777" w:rsidR="009923E9" w:rsidRPr="00AE4DBA" w:rsidRDefault="00066ABA" w:rsidP="00F72786">
      <w:pPr>
        <w:pStyle w:val="BodyText1"/>
        <w:keepNext/>
        <w:jc w:val="center"/>
        <w:rPr>
          <w:lang w:val="en-NZ"/>
        </w:rPr>
      </w:pPr>
      <w:r w:rsidRPr="00AE4DBA">
        <w:rPr>
          <w:noProof/>
          <w:lang w:val="en-NZ"/>
        </w:rPr>
        <w:lastRenderedPageBreak/>
        <w:drawing>
          <wp:inline distT="0" distB="0" distL="0" distR="0" wp14:anchorId="6E01A5CC" wp14:editId="45726CD0">
            <wp:extent cx="4746817" cy="5765800"/>
            <wp:effectExtent l="0" t="0" r="0" b="0"/>
            <wp:docPr id="849136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8019" cy="5779407"/>
                    </a:xfrm>
                    <a:prstGeom prst="rect">
                      <a:avLst/>
                    </a:prstGeom>
                    <a:noFill/>
                  </pic:spPr>
                </pic:pic>
              </a:graphicData>
            </a:graphic>
          </wp:inline>
        </w:drawing>
      </w:r>
    </w:p>
    <w:p w14:paraId="6FB4B74D" w14:textId="7431C20A" w:rsidR="009923E9" w:rsidRPr="00AE4DBA" w:rsidRDefault="009923E9" w:rsidP="00F72786">
      <w:pPr>
        <w:pStyle w:val="Caption"/>
        <w:jc w:val="center"/>
      </w:pPr>
      <w:bookmarkStart w:id="44" w:name="_Toc176252093"/>
      <w:r w:rsidRPr="00AE4DBA">
        <w:t xml:space="preserve">Figure </w:t>
      </w:r>
      <w:r>
        <w:fldChar w:fldCharType="begin"/>
      </w:r>
      <w:r>
        <w:instrText>SEQ Figure \* ARABIC</w:instrText>
      </w:r>
      <w:r>
        <w:fldChar w:fldCharType="separate"/>
      </w:r>
      <w:r w:rsidR="00204767" w:rsidRPr="00AE4DBA">
        <w:rPr>
          <w:noProof/>
        </w:rPr>
        <w:t>4</w:t>
      </w:r>
      <w:r>
        <w:fldChar w:fldCharType="end"/>
      </w:r>
      <w:r w:rsidRPr="00AE4DBA">
        <w:t xml:space="preserve"> Health NZ Regions</w:t>
      </w:r>
      <w:bookmarkEnd w:id="44"/>
    </w:p>
    <w:p w14:paraId="18CD0AE9" w14:textId="03D032D0" w:rsidR="000B3B63" w:rsidRPr="00AE4DBA" w:rsidRDefault="000B3B63" w:rsidP="00F72786">
      <w:pPr>
        <w:pStyle w:val="BodyText1"/>
        <w:jc w:val="center"/>
        <w:rPr>
          <w:lang w:val="en-NZ"/>
        </w:rPr>
      </w:pPr>
    </w:p>
    <w:p w14:paraId="2F3EFB65" w14:textId="1147D033" w:rsidR="00C3777D" w:rsidRPr="00AE4DBA" w:rsidRDefault="00675422" w:rsidP="00C3777D">
      <w:pPr>
        <w:pStyle w:val="BodyText1"/>
        <w:rPr>
          <w:lang w:val="en-NZ"/>
        </w:rPr>
      </w:pPr>
      <w:r w:rsidRPr="00AE4DBA">
        <w:rPr>
          <w:lang w:val="en-NZ"/>
        </w:rPr>
        <w:t>Health NZ</w:t>
      </w:r>
      <w:r w:rsidR="00C3777D" w:rsidRPr="00AE4DBA">
        <w:rPr>
          <w:lang w:val="en-NZ"/>
        </w:rPr>
        <w:t xml:space="preserve"> is a large organisation with approximately </w:t>
      </w:r>
      <w:r w:rsidR="007B38AD" w:rsidRPr="00AE4DBA">
        <w:rPr>
          <w:lang w:val="en-NZ"/>
        </w:rPr>
        <w:t>8</w:t>
      </w:r>
      <w:r w:rsidR="005C58F7">
        <w:rPr>
          <w:lang w:val="en-NZ"/>
        </w:rPr>
        <w:t>2</w:t>
      </w:r>
      <w:r w:rsidR="007B38AD" w:rsidRPr="00AE4DBA">
        <w:rPr>
          <w:lang w:val="en-NZ"/>
        </w:rPr>
        <w:t xml:space="preserve">,000 </w:t>
      </w:r>
      <w:r w:rsidR="00C3777D" w:rsidRPr="00AE4DBA">
        <w:rPr>
          <w:lang w:val="en-NZ"/>
        </w:rPr>
        <w:t xml:space="preserve">FTE </w:t>
      </w:r>
      <w:r w:rsidR="00A423DC" w:rsidRPr="00AE4DBA">
        <w:rPr>
          <w:lang w:val="en-NZ"/>
        </w:rPr>
        <w:t xml:space="preserve">(in FY23/24) </w:t>
      </w:r>
      <w:r w:rsidR="00C3777D" w:rsidRPr="00AE4DBA">
        <w:rPr>
          <w:lang w:val="en-NZ"/>
        </w:rPr>
        <w:t xml:space="preserve">managing all publicly funded health services, including hospital and specialist services. The organisation has a significant infrastructure portfolio distributed across the motu, consisting of approximately 1,200 clinical and corporate buildings. Emissions are generally concentrated at around fifty hospital campuses. </w:t>
      </w:r>
    </w:p>
    <w:p w14:paraId="1E3F2DEF" w14:textId="555AA975" w:rsidR="00C3777D" w:rsidRPr="00AE4DBA" w:rsidRDefault="00C3777D" w:rsidP="00C3777D">
      <w:pPr>
        <w:pStyle w:val="BodyText1"/>
        <w:rPr>
          <w:lang w:val="en-NZ"/>
        </w:rPr>
      </w:pPr>
      <w:r w:rsidRPr="00AE4DBA">
        <w:rPr>
          <w:lang w:val="en-NZ"/>
        </w:rPr>
        <w:t xml:space="preserve">The organisation has a range of national functional and support services, including the National Public Health Service, </w:t>
      </w:r>
      <w:r w:rsidR="00B201F0" w:rsidRPr="00AE4DBA">
        <w:rPr>
          <w:lang w:val="en-NZ"/>
        </w:rPr>
        <w:t>F</w:t>
      </w:r>
      <w:r w:rsidRPr="00AE4DBA">
        <w:rPr>
          <w:lang w:val="en-NZ"/>
        </w:rPr>
        <w:t xml:space="preserve">inance, </w:t>
      </w:r>
      <w:r w:rsidR="00B201F0" w:rsidRPr="00AE4DBA">
        <w:rPr>
          <w:lang w:val="en-NZ"/>
        </w:rPr>
        <w:t>D</w:t>
      </w:r>
      <w:r w:rsidRPr="00AE4DBA">
        <w:rPr>
          <w:lang w:val="en-NZ"/>
        </w:rPr>
        <w:t xml:space="preserve">ata and </w:t>
      </w:r>
      <w:r w:rsidR="00B201F0" w:rsidRPr="00AE4DBA">
        <w:rPr>
          <w:lang w:val="en-NZ"/>
        </w:rPr>
        <w:t>D</w:t>
      </w:r>
      <w:r w:rsidRPr="00AE4DBA">
        <w:rPr>
          <w:lang w:val="en-NZ"/>
        </w:rPr>
        <w:t xml:space="preserve">igital, and </w:t>
      </w:r>
      <w:r w:rsidR="00B201F0" w:rsidRPr="00AE4DBA">
        <w:rPr>
          <w:lang w:val="en-NZ"/>
        </w:rPr>
        <w:t>P</w:t>
      </w:r>
      <w:r w:rsidRPr="00AE4DBA">
        <w:rPr>
          <w:lang w:val="en-NZ"/>
        </w:rPr>
        <w:t xml:space="preserve">rocurement </w:t>
      </w:r>
      <w:r w:rsidR="003B2FE6" w:rsidRPr="00AE4DBA">
        <w:rPr>
          <w:lang w:val="en-NZ"/>
        </w:rPr>
        <w:t xml:space="preserve">&amp; Supply Chain </w:t>
      </w:r>
      <w:r w:rsidRPr="00AE4DBA">
        <w:rPr>
          <w:lang w:val="en-NZ"/>
        </w:rPr>
        <w:t>services, and is supported by eleven subsidiary companies.</w:t>
      </w:r>
    </w:p>
    <w:p w14:paraId="0319F63D" w14:textId="1248F074" w:rsidR="00C3777D" w:rsidRPr="00AE4DBA" w:rsidRDefault="00C3777D" w:rsidP="00C3777D">
      <w:pPr>
        <w:pStyle w:val="BodyText1"/>
        <w:rPr>
          <w:lang w:val="en-NZ"/>
        </w:rPr>
      </w:pPr>
      <w:r w:rsidRPr="00AE4DBA">
        <w:rPr>
          <w:lang w:val="en-NZ"/>
        </w:rPr>
        <w:t xml:space="preserve">Section 7 of the Pae Ora (Healthy Futures) Act 2022 requires that Health NZ address the wider determinants of population health and wellbeing, including effects that adversely </w:t>
      </w:r>
      <w:r w:rsidRPr="00AE4DBA">
        <w:rPr>
          <w:lang w:val="en-NZ"/>
        </w:rPr>
        <w:lastRenderedPageBreak/>
        <w:t>impact population health, such as climate change</w:t>
      </w:r>
      <w:r w:rsidRPr="00AE4DBA">
        <w:rPr>
          <w:rStyle w:val="FootnoteReference"/>
          <w:lang w:val="en-NZ"/>
        </w:rPr>
        <w:footnoteReference w:id="6"/>
      </w:r>
      <w:r w:rsidRPr="00AE4DBA">
        <w:rPr>
          <w:lang w:val="en-NZ"/>
        </w:rPr>
        <w:t>. Health NZ recognises that its operations directly impact the environment and that increased environmental sustainability and climate resilience are necessary to continue creating a positive impact on the population's health.</w:t>
      </w:r>
    </w:p>
    <w:p w14:paraId="0FD4AA84" w14:textId="00501BA3" w:rsidR="00A674B5" w:rsidRPr="00AE4DBA" w:rsidRDefault="00A674B5" w:rsidP="00C3777D">
      <w:pPr>
        <w:pStyle w:val="BodyText1"/>
        <w:rPr>
          <w:lang w:val="en-NZ"/>
        </w:rPr>
      </w:pPr>
      <w:r w:rsidRPr="00AE4DBA">
        <w:rPr>
          <w:lang w:val="en-NZ"/>
        </w:rPr>
        <w:t xml:space="preserve">Across Health NZ there are many work programmes driving </w:t>
      </w:r>
      <w:r w:rsidR="004031C9" w:rsidRPr="00AE4DBA">
        <w:rPr>
          <w:lang w:val="en-NZ"/>
        </w:rPr>
        <w:t xml:space="preserve">positive sustainability and climate change outcomes. Within the Office of the Chief Executive, the </w:t>
      </w:r>
      <w:proofErr w:type="spellStart"/>
      <w:r w:rsidR="004031C9" w:rsidRPr="00AE4DBA">
        <w:rPr>
          <w:lang w:val="en-NZ"/>
        </w:rPr>
        <w:t>Sustainabiltiy</w:t>
      </w:r>
      <w:proofErr w:type="spellEnd"/>
      <w:r w:rsidR="004031C9" w:rsidRPr="00AE4DBA">
        <w:rPr>
          <w:lang w:val="en-NZ"/>
        </w:rPr>
        <w:t xml:space="preserve"> Function, </w:t>
      </w:r>
      <w:r w:rsidR="00525C89" w:rsidRPr="00AE4DBA">
        <w:rPr>
          <w:lang w:val="en-NZ"/>
        </w:rPr>
        <w:t xml:space="preserve">who are </w:t>
      </w:r>
      <w:r w:rsidR="004031C9" w:rsidRPr="00AE4DBA">
        <w:rPr>
          <w:lang w:val="en-NZ"/>
        </w:rPr>
        <w:t>responsible for this inventory have four key workstreams:</w:t>
      </w:r>
    </w:p>
    <w:p w14:paraId="04FFCE5B" w14:textId="088E17E4" w:rsidR="00231A81" w:rsidRPr="00AE4DBA" w:rsidRDefault="00231A81" w:rsidP="00231A81">
      <w:pPr>
        <w:pStyle w:val="BodyText1"/>
        <w:numPr>
          <w:ilvl w:val="0"/>
          <w:numId w:val="12"/>
        </w:numPr>
        <w:rPr>
          <w:lang w:val="en-NZ"/>
        </w:rPr>
      </w:pPr>
      <w:r w:rsidRPr="00AE4DBA">
        <w:rPr>
          <w:lang w:val="en-NZ"/>
        </w:rPr>
        <w:t>To integrate sustainability into core strategies and culture</w:t>
      </w:r>
    </w:p>
    <w:p w14:paraId="494C2F9A" w14:textId="6627377B" w:rsidR="004031C9" w:rsidRPr="00AE4DBA" w:rsidRDefault="0055173D" w:rsidP="004031C9">
      <w:pPr>
        <w:pStyle w:val="BodyText1"/>
        <w:numPr>
          <w:ilvl w:val="0"/>
          <w:numId w:val="12"/>
        </w:numPr>
        <w:rPr>
          <w:lang w:val="en-NZ"/>
        </w:rPr>
      </w:pPr>
      <w:r w:rsidRPr="00AE4DBA">
        <w:rPr>
          <w:lang w:val="en-NZ"/>
        </w:rPr>
        <w:t xml:space="preserve">Health </w:t>
      </w:r>
      <w:r w:rsidR="006E2CF6" w:rsidRPr="00AE4DBA">
        <w:rPr>
          <w:lang w:val="en-NZ"/>
        </w:rPr>
        <w:t>s</w:t>
      </w:r>
      <w:r w:rsidRPr="00AE4DBA">
        <w:rPr>
          <w:lang w:val="en-NZ"/>
        </w:rPr>
        <w:t xml:space="preserve">ystem </w:t>
      </w:r>
      <w:r w:rsidR="006E2CF6" w:rsidRPr="00AE4DBA">
        <w:rPr>
          <w:lang w:val="en-NZ"/>
        </w:rPr>
        <w:t>d</w:t>
      </w:r>
      <w:r w:rsidRPr="00AE4DBA">
        <w:rPr>
          <w:lang w:val="en-NZ"/>
        </w:rPr>
        <w:t xml:space="preserve">ecarbonisation </w:t>
      </w:r>
    </w:p>
    <w:p w14:paraId="6BAF6DEB" w14:textId="025B5146" w:rsidR="0055173D" w:rsidRPr="00AE4DBA" w:rsidRDefault="0055173D" w:rsidP="004031C9">
      <w:pPr>
        <w:pStyle w:val="BodyText1"/>
        <w:numPr>
          <w:ilvl w:val="0"/>
          <w:numId w:val="12"/>
        </w:numPr>
        <w:rPr>
          <w:lang w:val="en-NZ"/>
        </w:rPr>
      </w:pPr>
      <w:r w:rsidRPr="00AE4DBA">
        <w:rPr>
          <w:lang w:val="en-NZ"/>
        </w:rPr>
        <w:t>Environment in al</w:t>
      </w:r>
      <w:r w:rsidR="006E2CF6" w:rsidRPr="00AE4DBA">
        <w:rPr>
          <w:lang w:val="en-NZ"/>
        </w:rPr>
        <w:t>l</w:t>
      </w:r>
      <w:r w:rsidRPr="00AE4DBA">
        <w:rPr>
          <w:lang w:val="en-NZ"/>
        </w:rPr>
        <w:t xml:space="preserve"> </w:t>
      </w:r>
      <w:r w:rsidR="006E2CF6" w:rsidRPr="00AE4DBA">
        <w:rPr>
          <w:lang w:val="en-NZ"/>
        </w:rPr>
        <w:t>p</w:t>
      </w:r>
      <w:r w:rsidRPr="00AE4DBA">
        <w:rPr>
          <w:lang w:val="en-NZ"/>
        </w:rPr>
        <w:t xml:space="preserve">ractices </w:t>
      </w:r>
    </w:p>
    <w:p w14:paraId="05114086" w14:textId="7D2BEBAC" w:rsidR="0055173D" w:rsidRPr="00AE4DBA" w:rsidRDefault="0055173D" w:rsidP="00193571">
      <w:pPr>
        <w:pStyle w:val="BodyText1"/>
        <w:numPr>
          <w:ilvl w:val="0"/>
          <w:numId w:val="12"/>
        </w:numPr>
        <w:rPr>
          <w:lang w:val="en-NZ"/>
        </w:rPr>
      </w:pPr>
      <w:r w:rsidRPr="00AE4DBA">
        <w:rPr>
          <w:lang w:val="en-NZ"/>
        </w:rPr>
        <w:t xml:space="preserve">Health </w:t>
      </w:r>
      <w:r w:rsidR="006E2CF6" w:rsidRPr="00AE4DBA">
        <w:rPr>
          <w:lang w:val="en-NZ"/>
        </w:rPr>
        <w:t>s</w:t>
      </w:r>
      <w:r w:rsidRPr="00AE4DBA">
        <w:rPr>
          <w:lang w:val="en-NZ"/>
        </w:rPr>
        <w:t xml:space="preserve">ystem </w:t>
      </w:r>
      <w:r w:rsidR="006E2CF6" w:rsidRPr="00AE4DBA">
        <w:rPr>
          <w:lang w:val="en-NZ"/>
        </w:rPr>
        <w:t xml:space="preserve">resilience and adaptation </w:t>
      </w:r>
    </w:p>
    <w:p w14:paraId="49E129E1" w14:textId="3B59EDFA" w:rsidR="000B3B63" w:rsidRPr="00AE4DBA" w:rsidRDefault="000B3B63" w:rsidP="000B3B63">
      <w:pPr>
        <w:pStyle w:val="BodyText1"/>
        <w:rPr>
          <w:lang w:val="en-NZ"/>
        </w:rPr>
      </w:pPr>
      <w:r w:rsidRPr="00AE4DBA">
        <w:rPr>
          <w:lang w:val="en-NZ"/>
        </w:rPr>
        <w:t xml:space="preserve">This report is a key outcome of the health system decarbonisation work stream, assisting the organisation in complying with requirements under </w:t>
      </w:r>
      <w:r w:rsidR="00BC66EA">
        <w:rPr>
          <w:lang w:val="en-NZ"/>
        </w:rPr>
        <w:t>Carbon Neutral Government Programme (</w:t>
      </w:r>
      <w:r w:rsidRPr="00AE4DBA">
        <w:rPr>
          <w:lang w:val="en-NZ"/>
        </w:rPr>
        <w:t>CNGP</w:t>
      </w:r>
      <w:r w:rsidR="00BC66EA">
        <w:rPr>
          <w:lang w:val="en-NZ"/>
        </w:rPr>
        <w:t>)</w:t>
      </w:r>
      <w:r w:rsidRPr="00AE4DBA">
        <w:rPr>
          <w:lang w:val="en-NZ"/>
        </w:rPr>
        <w:t>,</w:t>
      </w:r>
      <w:r w:rsidR="00CC16AD" w:rsidRPr="00AE4DBA">
        <w:rPr>
          <w:lang w:val="en-NZ"/>
        </w:rPr>
        <w:t xml:space="preserve"> measuring and monitoring emissions reduction progress, setting emissions reduction </w:t>
      </w:r>
      <w:r w:rsidR="007E131F" w:rsidRPr="00AE4DBA">
        <w:rPr>
          <w:lang w:val="en-NZ"/>
        </w:rPr>
        <w:t>targets</w:t>
      </w:r>
      <w:r w:rsidR="00CC16AD" w:rsidRPr="00AE4DBA">
        <w:rPr>
          <w:lang w:val="en-NZ"/>
        </w:rPr>
        <w:t xml:space="preserve"> and developing plans to achieve </w:t>
      </w:r>
      <w:r w:rsidR="00FF576F" w:rsidRPr="00AE4DBA">
        <w:rPr>
          <w:lang w:val="en-NZ"/>
        </w:rPr>
        <w:t>those targets. Health NZ is continually looking at how to show leadership due to the impact climate change is having and will continue to have on the health of New Zealanders.</w:t>
      </w:r>
      <w:r w:rsidR="000D0B92">
        <w:rPr>
          <w:lang w:val="en-NZ"/>
        </w:rPr>
        <w:t xml:space="preserve"> </w:t>
      </w:r>
      <w:r w:rsidR="00B417F3" w:rsidRPr="00AE4DBA">
        <w:rPr>
          <w:lang w:val="en-NZ"/>
        </w:rPr>
        <w:t xml:space="preserve">This leadership is important to </w:t>
      </w:r>
      <w:r w:rsidRPr="00AE4DBA">
        <w:rPr>
          <w:lang w:val="en-NZ"/>
        </w:rPr>
        <w:t>contribut</w:t>
      </w:r>
      <w:r w:rsidR="00B417F3" w:rsidRPr="00AE4DBA">
        <w:rPr>
          <w:lang w:val="en-NZ"/>
        </w:rPr>
        <w:t>e</w:t>
      </w:r>
      <w:r w:rsidRPr="00AE4DBA">
        <w:rPr>
          <w:lang w:val="en-NZ"/>
        </w:rPr>
        <w:t xml:space="preserve"> toward national emissions reduction targets</w:t>
      </w:r>
      <w:r w:rsidR="00B417F3" w:rsidRPr="00AE4DBA">
        <w:rPr>
          <w:lang w:val="en-NZ"/>
        </w:rPr>
        <w:t xml:space="preserve"> and to bring others on the journey</w:t>
      </w:r>
      <w:r w:rsidRPr="00AE4DBA">
        <w:rPr>
          <w:lang w:val="en-NZ"/>
        </w:rPr>
        <w:t>.</w:t>
      </w:r>
      <w:r w:rsidR="007E131F" w:rsidRPr="00AE4DBA">
        <w:rPr>
          <w:lang w:val="en-NZ"/>
        </w:rPr>
        <w:t xml:space="preserve"> To meaningfully reduce</w:t>
      </w:r>
      <w:r w:rsidR="003E6408" w:rsidRPr="00AE4DBA">
        <w:rPr>
          <w:lang w:val="en-NZ"/>
        </w:rPr>
        <w:t xml:space="preserve"> our emissions, Health</w:t>
      </w:r>
      <w:r w:rsidR="008168FD" w:rsidRPr="00AE4DBA">
        <w:rPr>
          <w:lang w:val="en-NZ"/>
        </w:rPr>
        <w:t xml:space="preserve"> NZ</w:t>
      </w:r>
      <w:r w:rsidRPr="00AE4DBA">
        <w:rPr>
          <w:lang w:val="en-NZ"/>
        </w:rPr>
        <w:t xml:space="preserve"> recognises </w:t>
      </w:r>
      <w:r w:rsidR="003E6408" w:rsidRPr="00AE4DBA">
        <w:rPr>
          <w:lang w:val="en-NZ"/>
        </w:rPr>
        <w:t xml:space="preserve">the need </w:t>
      </w:r>
      <w:r w:rsidRPr="00AE4DBA">
        <w:rPr>
          <w:lang w:val="en-NZ"/>
        </w:rPr>
        <w:t>to take a whole-of-system approach.</w:t>
      </w:r>
    </w:p>
    <w:p w14:paraId="7E86CCF2" w14:textId="77777777" w:rsidR="00734047" w:rsidRPr="00AE4DBA" w:rsidRDefault="00734047" w:rsidP="00141DF0">
      <w:pPr>
        <w:pStyle w:val="Tableheading-reverse"/>
        <w:numPr>
          <w:ilvl w:val="2"/>
          <w:numId w:val="5"/>
        </w:numPr>
      </w:pPr>
      <w:bookmarkStart w:id="45" w:name="_Toc176345119"/>
      <w:r w:rsidRPr="00AE4DBA">
        <w:t>Statement of intent</w:t>
      </w:r>
      <w:bookmarkEnd w:id="45"/>
    </w:p>
    <w:p w14:paraId="1B63B484" w14:textId="0BA216CA" w:rsidR="00734047" w:rsidRPr="00AE4DBA" w:rsidRDefault="00734047" w:rsidP="000B3B63">
      <w:pPr>
        <w:pStyle w:val="BodyText1"/>
        <w:rPr>
          <w:noProof/>
          <w:lang w:val="en-NZ"/>
        </w:rPr>
      </w:pPr>
      <w:r w:rsidRPr="00AE4DBA">
        <w:rPr>
          <w:lang w:val="en-NZ"/>
        </w:rPr>
        <w:t xml:space="preserve">This inventory forms part of Health NZ’s commitment to measure and manage its emissions and report in line with CNGP directions. The report outlines </w:t>
      </w:r>
      <w:r w:rsidR="00AF204F" w:rsidRPr="00AE4DBA">
        <w:rPr>
          <w:lang w:val="en-NZ"/>
        </w:rPr>
        <w:t>Health NZ’s</w:t>
      </w:r>
      <w:r w:rsidRPr="00AE4DBA">
        <w:rPr>
          <w:lang w:val="en-NZ"/>
        </w:rPr>
        <w:t xml:space="preserve"> second year for emissions reporting. Our objective is to use the inventory to track Health NZ’s progress towards its emissions reduction targets, identify opportunities for operational improvements, and provide transparent and credible information to our stakeholders.</w:t>
      </w:r>
      <w:r w:rsidRPr="00AE4DBA">
        <w:rPr>
          <w:noProof/>
          <w:lang w:val="en-NZ"/>
        </w:rPr>
        <w:t xml:space="preserve"> </w:t>
      </w:r>
    </w:p>
    <w:p w14:paraId="202748BA" w14:textId="77777777" w:rsidR="00734047" w:rsidRPr="00AE4DBA" w:rsidRDefault="00734047" w:rsidP="00141DF0">
      <w:pPr>
        <w:pStyle w:val="Tableheading-reverse"/>
        <w:numPr>
          <w:ilvl w:val="2"/>
          <w:numId w:val="5"/>
        </w:numPr>
      </w:pPr>
      <w:bookmarkStart w:id="46" w:name="_Toc176345120"/>
      <w:r w:rsidRPr="00AE4DBA">
        <w:t>Reporting period</w:t>
      </w:r>
      <w:bookmarkEnd w:id="46"/>
    </w:p>
    <w:p w14:paraId="1DD18E44" w14:textId="77777777" w:rsidR="00A574BE" w:rsidRPr="00AE4DBA" w:rsidRDefault="00734047" w:rsidP="000B3B63">
      <w:pPr>
        <w:pStyle w:val="BodyText1"/>
        <w:rPr>
          <w:lang w:val="en-NZ"/>
        </w:rPr>
      </w:pPr>
      <w:r w:rsidRPr="00AE4DBA">
        <w:rPr>
          <w:lang w:val="en-NZ"/>
        </w:rPr>
        <w:t xml:space="preserve">The emissions reporting period is from 1 July 2023 to 30 June 2024, aligning with CNGP requirements and Health NZ’s financial year. </w:t>
      </w:r>
    </w:p>
    <w:p w14:paraId="102BA718" w14:textId="2DD26A47" w:rsidR="000B3B63" w:rsidRPr="00AE4DBA" w:rsidRDefault="00AC173D" w:rsidP="000B3B63">
      <w:pPr>
        <w:pStyle w:val="BodyText1"/>
        <w:rPr>
          <w:lang w:val="en-NZ"/>
        </w:rPr>
      </w:pPr>
      <w:r w:rsidRPr="00AE4DBA">
        <w:rPr>
          <w:lang w:val="en-NZ"/>
        </w:rPr>
        <w:t xml:space="preserve">Health NZ creates </w:t>
      </w:r>
      <w:r w:rsidR="001D5401" w:rsidRPr="00AE4DBA">
        <w:rPr>
          <w:lang w:val="en-NZ"/>
        </w:rPr>
        <w:t xml:space="preserve">emissions </w:t>
      </w:r>
      <w:r w:rsidR="00A574BE" w:rsidRPr="00AE4DBA">
        <w:rPr>
          <w:lang w:val="en-NZ"/>
        </w:rPr>
        <w:t>inventor</w:t>
      </w:r>
      <w:r w:rsidR="001D5401" w:rsidRPr="00AE4DBA">
        <w:rPr>
          <w:lang w:val="en-NZ"/>
        </w:rPr>
        <w:t>ies annually</w:t>
      </w:r>
      <w:r w:rsidR="009B60B6" w:rsidRPr="00AE4DBA">
        <w:rPr>
          <w:lang w:val="en-NZ"/>
        </w:rPr>
        <w:t>,</w:t>
      </w:r>
      <w:r w:rsidR="00A574BE" w:rsidRPr="00AE4DBA">
        <w:rPr>
          <w:lang w:val="en-NZ"/>
        </w:rPr>
        <w:t xml:space="preserve"> and t</w:t>
      </w:r>
      <w:r w:rsidR="00734047" w:rsidRPr="00AE4DBA">
        <w:rPr>
          <w:lang w:val="en-NZ"/>
        </w:rPr>
        <w:t>his is the second emissions report for Health NZ</w:t>
      </w:r>
      <w:r w:rsidR="00B57368" w:rsidRPr="00AE4DBA">
        <w:rPr>
          <w:lang w:val="en-NZ"/>
        </w:rPr>
        <w:t xml:space="preserve">; the baseline being </w:t>
      </w:r>
      <w:r w:rsidR="00734047" w:rsidRPr="00AE4DBA">
        <w:rPr>
          <w:lang w:val="en-NZ"/>
        </w:rPr>
        <w:t>FY2022/23</w:t>
      </w:r>
      <w:r w:rsidR="00B57368" w:rsidRPr="00AE4DBA">
        <w:rPr>
          <w:lang w:val="en-NZ"/>
        </w:rPr>
        <w:t>. This inventory and future ones will be measured against the FY2022/23 baseline</w:t>
      </w:r>
      <w:r w:rsidR="00734047" w:rsidRPr="00AE4DBA">
        <w:rPr>
          <w:lang w:val="en-NZ"/>
        </w:rPr>
        <w:t>.</w:t>
      </w:r>
    </w:p>
    <w:p w14:paraId="23093E21" w14:textId="47B2B355" w:rsidR="00734047" w:rsidRPr="00AE4DBA" w:rsidRDefault="00734047" w:rsidP="00141DF0">
      <w:pPr>
        <w:pStyle w:val="Tableheading-reverse"/>
        <w:numPr>
          <w:ilvl w:val="2"/>
          <w:numId w:val="5"/>
        </w:numPr>
      </w:pPr>
      <w:bookmarkStart w:id="47" w:name="_Toc176345121"/>
      <w:r w:rsidRPr="00AE4DBA">
        <w:t>Organisational boundary</w:t>
      </w:r>
      <w:r w:rsidR="00541BF0" w:rsidRPr="00AE4DBA">
        <w:t xml:space="preserve"> and consolidation approach</w:t>
      </w:r>
      <w:bookmarkEnd w:id="47"/>
    </w:p>
    <w:p w14:paraId="3C19503F" w14:textId="5B057C81" w:rsidR="00734047" w:rsidRDefault="00734047" w:rsidP="00734047">
      <w:pPr>
        <w:pStyle w:val="BodyText1"/>
      </w:pPr>
      <w:r w:rsidRPr="3C4E5775">
        <w:t xml:space="preserve">The highlighted box in Figure </w:t>
      </w:r>
      <w:r w:rsidR="006B5C99" w:rsidRPr="3C4E5775">
        <w:t>4</w:t>
      </w:r>
      <w:r w:rsidRPr="3C4E5775">
        <w:t xml:space="preserve"> shows the organisational boundary for Health NZ within the national health system. This encompasses all previous organisations transferred to Health NZ, including all DHBs, Public Health Units and services transferred to </w:t>
      </w:r>
      <w:r w:rsidR="00954022" w:rsidRPr="3C4E5775">
        <w:t>Health NZ</w:t>
      </w:r>
      <w:r w:rsidRPr="3C4E5775">
        <w:t xml:space="preserve"> from Ministry of Health</w:t>
      </w:r>
      <w:r w:rsidR="00970D4A" w:rsidRPr="3C4E5775">
        <w:t xml:space="preserve"> | Manatū Hauora</w:t>
      </w:r>
      <w:r w:rsidRPr="3C4E5775">
        <w:t>.</w:t>
      </w:r>
      <w:r w:rsidR="002154D5" w:rsidRPr="3C4E5775">
        <w:t xml:space="preserve"> </w:t>
      </w:r>
      <w:bookmarkStart w:id="48" w:name="_Hlk173421525"/>
      <w:r w:rsidR="000310B6" w:rsidRPr="3C4E5775">
        <w:t xml:space="preserve">Te Aka </w:t>
      </w:r>
      <w:proofErr w:type="spellStart"/>
      <w:r w:rsidR="000310B6" w:rsidRPr="3C4E5775">
        <w:t>Whai</w:t>
      </w:r>
      <w:proofErr w:type="spellEnd"/>
      <w:r w:rsidR="000310B6" w:rsidRPr="3C4E5775">
        <w:t xml:space="preserve"> Ora </w:t>
      </w:r>
      <w:bookmarkEnd w:id="48"/>
      <w:r w:rsidR="000310B6" w:rsidRPr="3C4E5775">
        <w:t xml:space="preserve">transitioned to the Hauora </w:t>
      </w:r>
      <w:r w:rsidR="008B369B" w:rsidRPr="3C4E5775">
        <w:t>Māori</w:t>
      </w:r>
      <w:r w:rsidR="000310B6" w:rsidRPr="3C4E5775">
        <w:t xml:space="preserve"> </w:t>
      </w:r>
      <w:r w:rsidR="004957AD">
        <w:lastRenderedPageBreak/>
        <w:t>Services D</w:t>
      </w:r>
      <w:r w:rsidR="000310B6">
        <w:t>irectorate</w:t>
      </w:r>
      <w:r w:rsidR="000310B6" w:rsidRPr="3C4E5775">
        <w:t xml:space="preserve"> within</w:t>
      </w:r>
      <w:r w:rsidR="008B369B" w:rsidRPr="3C4E5775">
        <w:t xml:space="preserve"> Health New Zealand </w:t>
      </w:r>
      <w:proofErr w:type="gramStart"/>
      <w:r w:rsidR="008B369B" w:rsidRPr="3C4E5775">
        <w:t>during the course of</w:t>
      </w:r>
      <w:proofErr w:type="gramEnd"/>
      <w:r w:rsidR="008B369B" w:rsidRPr="3C4E5775">
        <w:t xml:space="preserve"> </w:t>
      </w:r>
      <w:r w:rsidR="00631C9D" w:rsidRPr="3C4E5775">
        <w:t xml:space="preserve">FY2023/24. This transition did not require change in </w:t>
      </w:r>
      <w:r w:rsidR="007A6E82" w:rsidRPr="3C4E5775">
        <w:t>data collection or reporting for this inventory as emissions sources that fell within the bounds of</w:t>
      </w:r>
      <w:r w:rsidR="000310B6" w:rsidRPr="3C4E5775">
        <w:t xml:space="preserve"> </w:t>
      </w:r>
      <w:r w:rsidR="007A6E82" w:rsidRPr="3C4E5775">
        <w:t xml:space="preserve">Te Aka </w:t>
      </w:r>
      <w:proofErr w:type="spellStart"/>
      <w:r w:rsidR="007A6E82" w:rsidRPr="3C4E5775">
        <w:t>Whai</w:t>
      </w:r>
      <w:proofErr w:type="spellEnd"/>
      <w:r w:rsidR="007A6E82" w:rsidRPr="3C4E5775">
        <w:t xml:space="preserve"> Ora had </w:t>
      </w:r>
      <w:r w:rsidR="000609F2" w:rsidRPr="3C4E5775">
        <w:t>already been accounted for in Health New Zealand data</w:t>
      </w:r>
      <w:r w:rsidR="00AE2C92" w:rsidRPr="3C4E5775">
        <w:t xml:space="preserve"> due to many shared services and office locations</w:t>
      </w:r>
      <w:r w:rsidR="000609F2" w:rsidRPr="3C4E5775">
        <w:t>.</w:t>
      </w:r>
      <w:r w:rsidR="0085586D" w:rsidRPr="3C4E5775">
        <w:t xml:space="preserve"> Figure</w:t>
      </w:r>
      <w:r w:rsidR="00A730FF" w:rsidRPr="3C4E5775" w:rsidDel="00565BC9">
        <w:t xml:space="preserve"> </w:t>
      </w:r>
      <w:r w:rsidR="00565BC9">
        <w:t>5</w:t>
      </w:r>
      <w:r w:rsidR="00565BC9" w:rsidRPr="3C4E5775">
        <w:t xml:space="preserve"> </w:t>
      </w:r>
      <w:r w:rsidR="0085586D" w:rsidRPr="3C4E5775">
        <w:t>sets out Health NZ’s organisational boundary</w:t>
      </w:r>
      <w:r w:rsidR="000609F2" w:rsidRPr="3C4E5775">
        <w:t xml:space="preserve"> </w:t>
      </w:r>
      <w:r w:rsidR="00775947" w:rsidRPr="3C4E5775">
        <w:t>during the reporting year</w:t>
      </w:r>
      <w:r w:rsidR="0085586D" w:rsidRPr="3C4E5775">
        <w:t>.</w:t>
      </w:r>
    </w:p>
    <w:p w14:paraId="671A1532" w14:textId="77777777" w:rsidR="004346B0" w:rsidRPr="00AE4DBA" w:rsidRDefault="004346B0" w:rsidP="00734047">
      <w:pPr>
        <w:pStyle w:val="BodyText1"/>
      </w:pPr>
    </w:p>
    <w:p w14:paraId="364428C1" w14:textId="57491271" w:rsidR="00357352" w:rsidRPr="00AE4DBA" w:rsidRDefault="00C263CD" w:rsidP="000D4F4A">
      <w:pPr>
        <w:pStyle w:val="BodyText1"/>
        <w:jc w:val="center"/>
      </w:pPr>
      <w:r>
        <w:rPr>
          <w:rFonts w:eastAsia="Times New Roman"/>
          <w:noProof/>
          <w:color w:val="auto"/>
          <w:sz w:val="16"/>
          <w:szCs w:val="16"/>
          <w:lang w:val="en-NZ"/>
        </w:rPr>
        <w:drawing>
          <wp:inline distT="0" distB="0" distL="0" distR="0" wp14:anchorId="29555B35" wp14:editId="02FF3CD4">
            <wp:extent cx="3562185" cy="4366760"/>
            <wp:effectExtent l="0" t="0" r="635" b="0"/>
            <wp:docPr id="402407281" name="Picture 1" descr="A diagram of health c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407281" name="Picture 1" descr="A diagram of health care&#10;&#10;Description automatically generated"/>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3575692" cy="4383317"/>
                    </a:xfrm>
                    <a:prstGeom prst="rect">
                      <a:avLst/>
                    </a:prstGeom>
                    <a:ln>
                      <a:noFill/>
                    </a:ln>
                    <a:extLst>
                      <a:ext uri="{53640926-AAD7-44D8-BBD7-CCE9431645EC}">
                        <a14:shadowObscured xmlns:a14="http://schemas.microsoft.com/office/drawing/2010/main"/>
                      </a:ext>
                    </a:extLst>
                  </pic:spPr>
                </pic:pic>
              </a:graphicData>
            </a:graphic>
          </wp:inline>
        </w:drawing>
      </w:r>
    </w:p>
    <w:p w14:paraId="7B9D8165" w14:textId="4E9EF0BA" w:rsidR="00357352" w:rsidRPr="00AE4DBA" w:rsidRDefault="00357352" w:rsidP="00E547B2">
      <w:pPr>
        <w:pStyle w:val="BodyText1"/>
        <w:jc w:val="center"/>
      </w:pPr>
    </w:p>
    <w:p w14:paraId="5EB686BE" w14:textId="1DBC6F4D" w:rsidR="001D555C" w:rsidRPr="00AE4DBA" w:rsidRDefault="00171A3E" w:rsidP="0046260A">
      <w:pPr>
        <w:pStyle w:val="Caption"/>
        <w:jc w:val="center"/>
        <w:rPr>
          <w:highlight w:val="yellow"/>
        </w:rPr>
      </w:pPr>
      <w:bookmarkStart w:id="49" w:name="_Toc176252094"/>
      <w:r w:rsidRPr="00AE4DBA">
        <w:t xml:space="preserve">Figure </w:t>
      </w:r>
      <w:r>
        <w:fldChar w:fldCharType="begin"/>
      </w:r>
      <w:r>
        <w:instrText>SEQ Figure \* ARABIC</w:instrText>
      </w:r>
      <w:r>
        <w:fldChar w:fldCharType="separate"/>
      </w:r>
      <w:r w:rsidR="00204767" w:rsidRPr="00AE4DBA">
        <w:rPr>
          <w:noProof/>
        </w:rPr>
        <w:t>5</w:t>
      </w:r>
      <w:r>
        <w:fldChar w:fldCharType="end"/>
      </w:r>
      <w:r w:rsidRPr="00AE4DBA">
        <w:t xml:space="preserve"> Health New Zealand organisational boundary FY2023/24</w:t>
      </w:r>
      <w:bookmarkEnd w:id="49"/>
    </w:p>
    <w:p w14:paraId="331E2BBC" w14:textId="10A8B26A" w:rsidR="00565BC9" w:rsidRPr="00FA4A3C" w:rsidRDefault="00565BC9" w:rsidP="0046260A">
      <w:pPr>
        <w:pStyle w:val="Heading4"/>
        <w:rPr>
          <w:shd w:val="clear" w:color="auto" w:fill="FFFFFF"/>
        </w:rPr>
      </w:pPr>
      <w:r w:rsidRPr="0046260A">
        <w:rPr>
          <w:sz w:val="22"/>
          <w:szCs w:val="22"/>
          <w:shd w:val="clear" w:color="auto" w:fill="FFFFFF"/>
        </w:rPr>
        <w:t xml:space="preserve">Consolidation approach </w:t>
      </w:r>
    </w:p>
    <w:p w14:paraId="221DE3C9" w14:textId="4AB23EC0" w:rsidR="0085586D" w:rsidRPr="00AE4DBA" w:rsidRDefault="0085586D" w:rsidP="0085586D">
      <w:pPr>
        <w:pStyle w:val="BodyText1"/>
        <w:rPr>
          <w:color w:val="auto"/>
          <w:shd w:val="clear" w:color="auto" w:fill="FFFFFF"/>
          <w:lang w:val="en-NZ"/>
        </w:rPr>
      </w:pPr>
      <w:r w:rsidRPr="00AE4DBA">
        <w:rPr>
          <w:color w:val="auto"/>
          <w:shd w:val="clear" w:color="auto" w:fill="FFFFFF"/>
          <w:lang w:val="en-NZ"/>
        </w:rPr>
        <w:t xml:space="preserve">In </w:t>
      </w:r>
      <w:r w:rsidR="00F3435F" w:rsidRPr="00AE4DBA">
        <w:rPr>
          <w:color w:val="auto"/>
          <w:shd w:val="clear" w:color="auto" w:fill="FFFFFF"/>
          <w:lang w:val="en-NZ"/>
        </w:rPr>
        <w:t xml:space="preserve">this </w:t>
      </w:r>
      <w:r w:rsidRPr="00AE4DBA">
        <w:rPr>
          <w:color w:val="auto"/>
          <w:shd w:val="clear" w:color="auto" w:fill="FFFFFF"/>
          <w:lang w:val="en-NZ"/>
        </w:rPr>
        <w:t xml:space="preserve">GHG Inventory report, </w:t>
      </w:r>
      <w:r w:rsidR="00F3435F" w:rsidRPr="00AE4DBA">
        <w:rPr>
          <w:color w:val="auto"/>
          <w:shd w:val="clear" w:color="auto" w:fill="FFFFFF"/>
          <w:lang w:val="en-NZ"/>
        </w:rPr>
        <w:t xml:space="preserve">Health NZ </w:t>
      </w:r>
      <w:r w:rsidRPr="00AE4DBA">
        <w:rPr>
          <w:color w:val="auto"/>
          <w:shd w:val="clear" w:color="auto" w:fill="FFFFFF"/>
          <w:lang w:val="en-NZ"/>
        </w:rPr>
        <w:t>ha</w:t>
      </w:r>
      <w:r w:rsidR="00F3435F" w:rsidRPr="00AE4DBA">
        <w:rPr>
          <w:color w:val="auto"/>
          <w:shd w:val="clear" w:color="auto" w:fill="FFFFFF"/>
          <w:lang w:val="en-NZ"/>
        </w:rPr>
        <w:t>s</w:t>
      </w:r>
      <w:r w:rsidRPr="00AE4DBA">
        <w:rPr>
          <w:color w:val="auto"/>
          <w:shd w:val="clear" w:color="auto" w:fill="FFFFFF"/>
          <w:lang w:val="en-NZ"/>
        </w:rPr>
        <w:t xml:space="preserve"> adopted the operational approach for consolidating our emissions data. This method aligns with Health NZ’s primary control and management practices, allowing for a comprehensive and accurate representation of our greenhouse gas emissions. The operational approach is particularly suitable because:</w:t>
      </w:r>
    </w:p>
    <w:p w14:paraId="25FD54D2" w14:textId="1F9B508E" w:rsidR="0085586D" w:rsidRPr="00AE4DBA" w:rsidRDefault="002460FF" w:rsidP="0085586D">
      <w:pPr>
        <w:pStyle w:val="BodyText1"/>
        <w:numPr>
          <w:ilvl w:val="0"/>
          <w:numId w:val="14"/>
        </w:numPr>
        <w:rPr>
          <w:color w:val="auto"/>
          <w:shd w:val="clear" w:color="auto" w:fill="FFFFFF"/>
          <w:lang w:val="en-NZ"/>
        </w:rPr>
      </w:pPr>
      <w:r w:rsidRPr="00AE4DBA">
        <w:rPr>
          <w:color w:val="auto"/>
          <w:shd w:val="clear" w:color="auto" w:fill="FFFFFF"/>
          <w:lang w:val="en-NZ"/>
        </w:rPr>
        <w:t xml:space="preserve">Health NZ </w:t>
      </w:r>
      <w:r w:rsidR="0085586D" w:rsidRPr="00AE4DBA">
        <w:rPr>
          <w:color w:val="auto"/>
          <w:shd w:val="clear" w:color="auto" w:fill="FFFFFF"/>
          <w:lang w:val="en-NZ"/>
        </w:rPr>
        <w:t xml:space="preserve">can accurately capture the emissions from facilities, assets, and operations where </w:t>
      </w:r>
      <w:r w:rsidR="00D134AE" w:rsidRPr="00AE4DBA">
        <w:rPr>
          <w:color w:val="auto"/>
          <w:shd w:val="clear" w:color="auto" w:fill="FFFFFF"/>
          <w:lang w:val="en-NZ"/>
        </w:rPr>
        <w:t>there is</w:t>
      </w:r>
      <w:r w:rsidR="0085586D" w:rsidRPr="00AE4DBA">
        <w:rPr>
          <w:color w:val="auto"/>
          <w:shd w:val="clear" w:color="auto" w:fill="FFFFFF"/>
          <w:lang w:val="en-NZ"/>
        </w:rPr>
        <w:t xml:space="preserve"> authority to implement operational policies and measures.</w:t>
      </w:r>
    </w:p>
    <w:p w14:paraId="5E8FA4CA" w14:textId="37000F25" w:rsidR="0085586D" w:rsidRPr="00AE4DBA" w:rsidRDefault="0085586D" w:rsidP="0085586D">
      <w:pPr>
        <w:pStyle w:val="BodyText1"/>
        <w:numPr>
          <w:ilvl w:val="0"/>
          <w:numId w:val="14"/>
        </w:numPr>
        <w:rPr>
          <w:color w:val="auto"/>
          <w:shd w:val="clear" w:color="auto" w:fill="FFFFFF"/>
          <w:lang w:val="en-NZ"/>
        </w:rPr>
      </w:pPr>
      <w:r w:rsidRPr="00AE4DBA">
        <w:rPr>
          <w:color w:val="auto"/>
          <w:shd w:val="clear" w:color="auto" w:fill="FFFFFF"/>
          <w:lang w:val="en-NZ"/>
        </w:rPr>
        <w:t xml:space="preserve">The approach complies with relevant reporting requirements, ensuring that </w:t>
      </w:r>
      <w:r w:rsidR="0089432C" w:rsidRPr="00AE4DBA">
        <w:rPr>
          <w:color w:val="auto"/>
          <w:shd w:val="clear" w:color="auto" w:fill="FFFFFF"/>
          <w:lang w:val="en-NZ"/>
        </w:rPr>
        <w:t xml:space="preserve">this </w:t>
      </w:r>
      <w:r w:rsidRPr="00AE4DBA">
        <w:rPr>
          <w:color w:val="auto"/>
          <w:shd w:val="clear" w:color="auto" w:fill="FFFFFF"/>
          <w:lang w:val="en-NZ"/>
        </w:rPr>
        <w:t>GHG Inventory meets external standards and expectations. This approach also supports transparency and accountability commitments, as it provides a clear and straightforward framework for reporting emissions from controlled operations.</w:t>
      </w:r>
    </w:p>
    <w:p w14:paraId="7B82D5BC" w14:textId="27E1F641" w:rsidR="00954022" w:rsidRPr="00AE4DBA" w:rsidRDefault="0085586D" w:rsidP="003C7E5F">
      <w:pPr>
        <w:pStyle w:val="BodyText1"/>
        <w:numPr>
          <w:ilvl w:val="0"/>
          <w:numId w:val="14"/>
        </w:numPr>
        <w:rPr>
          <w:color w:val="auto"/>
          <w:lang w:val="en-NZ"/>
        </w:rPr>
      </w:pPr>
      <w:r w:rsidRPr="00AE4DBA">
        <w:rPr>
          <w:color w:val="auto"/>
          <w:shd w:val="clear" w:color="auto" w:fill="FFFFFF"/>
          <w:lang w:val="en-NZ"/>
        </w:rPr>
        <w:lastRenderedPageBreak/>
        <w:t xml:space="preserve">By focusing on operations where we have control, the operational approach enables us to identify and prioritise emission reduction opportunities effectively. This focus allows </w:t>
      </w:r>
      <w:r w:rsidR="007F7D1B" w:rsidRPr="00AE4DBA">
        <w:rPr>
          <w:color w:val="auto"/>
          <w:shd w:val="clear" w:color="auto" w:fill="FFFFFF"/>
          <w:lang w:val="en-NZ"/>
        </w:rPr>
        <w:t xml:space="preserve">Health NZ </w:t>
      </w:r>
      <w:r w:rsidRPr="00AE4DBA">
        <w:rPr>
          <w:color w:val="auto"/>
          <w:shd w:val="clear" w:color="auto" w:fill="FFFFFF"/>
          <w:lang w:val="en-NZ"/>
        </w:rPr>
        <w:t xml:space="preserve">to implement targeted initiatives that can significantly impact </w:t>
      </w:r>
      <w:r w:rsidR="007F7D1B" w:rsidRPr="00AE4DBA">
        <w:rPr>
          <w:color w:val="auto"/>
          <w:shd w:val="clear" w:color="auto" w:fill="FFFFFF"/>
          <w:lang w:val="en-NZ"/>
        </w:rPr>
        <w:t xml:space="preserve">the </w:t>
      </w:r>
      <w:r w:rsidRPr="00AE4DBA">
        <w:rPr>
          <w:color w:val="auto"/>
          <w:shd w:val="clear" w:color="auto" w:fill="FFFFFF"/>
          <w:lang w:val="en-NZ"/>
        </w:rPr>
        <w:t>overall carbon footprint</w:t>
      </w:r>
      <w:r w:rsidR="00954022" w:rsidRPr="00AE4DBA">
        <w:rPr>
          <w:rStyle w:val="normaltextrun"/>
          <w:color w:val="auto"/>
          <w:shd w:val="clear" w:color="auto" w:fill="FFFFFF"/>
          <w:lang w:val="en-NZ"/>
        </w:rPr>
        <w:t>.</w:t>
      </w:r>
    </w:p>
    <w:p w14:paraId="60A440F4" w14:textId="77777777" w:rsidR="00BC02CF" w:rsidRPr="00AE4DBA" w:rsidRDefault="00BC02CF" w:rsidP="00BC02CF">
      <w:pPr>
        <w:pStyle w:val="Caption"/>
      </w:pPr>
    </w:p>
    <w:p w14:paraId="710FBC36" w14:textId="00A654E6" w:rsidR="00954022" w:rsidRPr="00AE4DBA" w:rsidRDefault="00954022" w:rsidP="00954022">
      <w:pPr>
        <w:pStyle w:val="BodyText1"/>
        <w:rPr>
          <w:lang w:val="en-NZ"/>
        </w:rPr>
      </w:pPr>
      <w:r w:rsidRPr="00AE4DBA">
        <w:rPr>
          <w:lang w:val="en-NZ"/>
        </w:rPr>
        <w:t xml:space="preserve">A breakdown of the hospitals, specialist services and office locations are included in Appendix </w:t>
      </w:r>
      <w:r w:rsidR="006B5C99" w:rsidRPr="00AE4DBA">
        <w:rPr>
          <w:lang w:val="en-NZ"/>
        </w:rPr>
        <w:t>D</w:t>
      </w:r>
      <w:r w:rsidRPr="00AE4DBA">
        <w:rPr>
          <w:lang w:val="en-NZ"/>
        </w:rPr>
        <w:t>.</w:t>
      </w:r>
    </w:p>
    <w:p w14:paraId="03B460C0" w14:textId="77777777" w:rsidR="00954022" w:rsidRPr="00AE4DBA" w:rsidRDefault="00954022" w:rsidP="00954022">
      <w:pPr>
        <w:pStyle w:val="BodyText1"/>
        <w:rPr>
          <w:lang w:val="en-NZ"/>
        </w:rPr>
      </w:pPr>
      <w:r w:rsidRPr="00AE4DBA">
        <w:rPr>
          <w:lang w:val="en-NZ"/>
        </w:rPr>
        <w:t>It is difficult to ascertain the boundaries of several hospital sites regarding contracted services and leased spaces within hospital campuses. Therefore, all onsite laundries (whether operated in-house, as a subsidiary or as a contracted service), retail spaces and clinical spaces shared with external organisations are included in the inventory.</w:t>
      </w:r>
    </w:p>
    <w:p w14:paraId="678A4651" w14:textId="2F97F973" w:rsidR="00954022" w:rsidRPr="00AE4DBA" w:rsidRDefault="00FA496A" w:rsidP="00141DF0">
      <w:pPr>
        <w:pStyle w:val="Tableheading-reverse"/>
        <w:numPr>
          <w:ilvl w:val="2"/>
          <w:numId w:val="5"/>
        </w:numPr>
      </w:pPr>
      <w:r>
        <w:t xml:space="preserve"> </w:t>
      </w:r>
      <w:bookmarkStart w:id="50" w:name="_Toc176345122"/>
      <w:r w:rsidR="00954022" w:rsidRPr="00AE4DBA">
        <w:t>Business units excluded from inventory</w:t>
      </w:r>
      <w:bookmarkEnd w:id="50"/>
    </w:p>
    <w:p w14:paraId="4077F859" w14:textId="18B28103" w:rsidR="000B3B63" w:rsidRPr="00AE4DBA" w:rsidRDefault="009B35FB" w:rsidP="000B3B63">
      <w:pPr>
        <w:pStyle w:val="BodyText1"/>
        <w:rPr>
          <w:lang w:val="en-NZ"/>
        </w:rPr>
      </w:pPr>
      <w:r w:rsidRPr="00AE4DBA">
        <w:rPr>
          <w:lang w:val="en-NZ"/>
        </w:rPr>
        <w:t>Health NZ works collaboratively with local primary health, wellbeing, and community-based services to improve community health, however, has no operational control over these services; therefore, these are excluded from the inventory.</w:t>
      </w:r>
    </w:p>
    <w:p w14:paraId="52B777E5" w14:textId="3E228A38" w:rsidR="009B35FB" w:rsidRPr="00AE4DBA" w:rsidRDefault="009B35FB" w:rsidP="009B35FB">
      <w:pPr>
        <w:pStyle w:val="BodyText1"/>
        <w:rPr>
          <w:lang w:val="en-NZ"/>
        </w:rPr>
      </w:pPr>
      <w:r w:rsidRPr="00AE4DBA">
        <w:rPr>
          <w:lang w:val="en-NZ"/>
        </w:rPr>
        <w:t xml:space="preserve">Table </w:t>
      </w:r>
      <w:r w:rsidR="00E547B2" w:rsidRPr="00AE4DBA">
        <w:rPr>
          <w:lang w:val="en-NZ"/>
        </w:rPr>
        <w:t>6</w:t>
      </w:r>
      <w:r w:rsidRPr="00AE4DBA">
        <w:rPr>
          <w:lang w:val="en-NZ"/>
        </w:rPr>
        <w:t xml:space="preserve"> outlines the subsidiary exclusions. Companies of which </w:t>
      </w:r>
      <w:r w:rsidR="00E40E6B" w:rsidRPr="00AE4DBA">
        <w:rPr>
          <w:lang w:val="en-NZ"/>
        </w:rPr>
        <w:t>Health NZ</w:t>
      </w:r>
      <w:r w:rsidRPr="00AE4DBA">
        <w:rPr>
          <w:lang w:val="en-NZ"/>
        </w:rPr>
        <w:t xml:space="preserve"> does not hold a majority share have been excluded due to a lack of operational control. The other excluded subsidiaries are insignificant due to their size and operation.</w:t>
      </w:r>
    </w:p>
    <w:p w14:paraId="6F754B4E" w14:textId="77777777" w:rsidR="00E40E6B" w:rsidRPr="00AE4DBA" w:rsidRDefault="00E40E6B" w:rsidP="009B35FB">
      <w:pPr>
        <w:pStyle w:val="BodyText1"/>
        <w:rPr>
          <w:lang w:val="en-NZ"/>
        </w:rPr>
      </w:pPr>
    </w:p>
    <w:p w14:paraId="624E82CF" w14:textId="04556DCE" w:rsidR="00E40E6B" w:rsidRPr="00AE4DBA" w:rsidRDefault="003130CC" w:rsidP="003130CC">
      <w:pPr>
        <w:pStyle w:val="Caption"/>
      </w:pPr>
      <w:bookmarkStart w:id="51" w:name="_Toc176252084"/>
      <w:r w:rsidRPr="00AE4DBA">
        <w:t xml:space="preserve">Table </w:t>
      </w:r>
      <w:r>
        <w:fldChar w:fldCharType="begin"/>
      </w:r>
      <w:r>
        <w:instrText>SEQ Table \* ARABIC</w:instrText>
      </w:r>
      <w:r>
        <w:fldChar w:fldCharType="separate"/>
      </w:r>
      <w:r w:rsidRPr="00AE4DBA">
        <w:rPr>
          <w:noProof/>
        </w:rPr>
        <w:t>6</w:t>
      </w:r>
      <w:r>
        <w:fldChar w:fldCharType="end"/>
      </w:r>
      <w:r w:rsidRPr="00AE4DBA">
        <w:t xml:space="preserve"> Business Unites Excluded from Inventory</w:t>
      </w:r>
      <w:bookmarkEnd w:id="51"/>
    </w:p>
    <w:tbl>
      <w:tblPr>
        <w:tblStyle w:val="ListTable3-Accent2"/>
        <w:tblpPr w:leftFromText="180" w:rightFromText="180" w:vertAnchor="text" w:horzAnchor="margin" w:tblpY="311"/>
        <w:tblW w:w="9280" w:type="dxa"/>
        <w:tblLook w:val="04A0" w:firstRow="1" w:lastRow="0" w:firstColumn="1" w:lastColumn="0" w:noHBand="0" w:noVBand="1"/>
      </w:tblPr>
      <w:tblGrid>
        <w:gridCol w:w="3828"/>
        <w:gridCol w:w="5452"/>
      </w:tblGrid>
      <w:tr w:rsidR="009B35FB" w:rsidRPr="00AE4DBA" w14:paraId="39BD4A69" w14:textId="77777777">
        <w:trPr>
          <w:cnfStyle w:val="100000000000" w:firstRow="1" w:lastRow="0" w:firstColumn="0" w:lastColumn="0" w:oddVBand="0" w:evenVBand="0" w:oddHBand="0" w:evenHBand="0" w:firstRowFirstColumn="0" w:firstRowLastColumn="0" w:lastRowFirstColumn="0" w:lastRowLastColumn="0"/>
          <w:trHeight w:hRule="exact" w:val="24"/>
        </w:trPr>
        <w:tc>
          <w:tcPr>
            <w:cnfStyle w:val="001000000100" w:firstRow="0" w:lastRow="0" w:firstColumn="1" w:lastColumn="0" w:oddVBand="0" w:evenVBand="0" w:oddHBand="0" w:evenHBand="0" w:firstRowFirstColumn="1" w:firstRowLastColumn="0" w:lastRowFirstColumn="0" w:lastRowLastColumn="0"/>
            <w:tcW w:w="3828" w:type="dxa"/>
            <w:tcBorders>
              <w:top w:val="nil"/>
              <w:left w:val="nil"/>
            </w:tcBorders>
            <w:shd w:val="clear" w:color="auto" w:fill="002672" w:themeFill="accent2" w:themeFillShade="BF"/>
            <w:vAlign w:val="center"/>
          </w:tcPr>
          <w:p w14:paraId="63A54B33" w14:textId="77777777" w:rsidR="009B35FB" w:rsidRPr="00AE4DBA" w:rsidRDefault="009B35FB">
            <w:pPr>
              <w:rPr>
                <w:sz w:val="2"/>
              </w:rPr>
            </w:pPr>
            <w:bookmarkStart w:id="52" w:name="_58b805c6_16a6_41af_966f_2f60c14e8087"/>
          </w:p>
        </w:tc>
        <w:tc>
          <w:tcPr>
            <w:tcW w:w="5452" w:type="dxa"/>
            <w:tcBorders>
              <w:top w:val="nil"/>
              <w:left w:val="nil"/>
              <w:bottom w:val="nil"/>
              <w:right w:val="nil"/>
            </w:tcBorders>
            <w:shd w:val="clear" w:color="auto" w:fill="002672" w:themeFill="accent2" w:themeFillShade="BF"/>
            <w:vAlign w:val="center"/>
          </w:tcPr>
          <w:p w14:paraId="5742D39E" w14:textId="77777777" w:rsidR="009B35FB" w:rsidRPr="00AE4DBA" w:rsidRDefault="009B35FB">
            <w:pPr>
              <w:cnfStyle w:val="100000000000" w:firstRow="1" w:lastRow="0" w:firstColumn="0" w:lastColumn="0" w:oddVBand="0" w:evenVBand="0" w:oddHBand="0" w:evenHBand="0" w:firstRowFirstColumn="0" w:firstRowLastColumn="0" w:lastRowFirstColumn="0" w:lastRowLastColumn="0"/>
              <w:rPr>
                <w:sz w:val="2"/>
              </w:rPr>
            </w:pPr>
          </w:p>
        </w:tc>
      </w:tr>
      <w:tr w:rsidR="009B35FB" w:rsidRPr="00AE4DBA" w14:paraId="135B9709" w14:textId="77777777" w:rsidTr="11A268A3">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dxa"/>
            <w:tcBorders>
              <w:top w:val="nil"/>
              <w:left w:val="nil"/>
            </w:tcBorders>
            <w:shd w:val="clear" w:color="auto" w:fill="15284C" w:themeFill="accent5"/>
            <w:vAlign w:val="center"/>
          </w:tcPr>
          <w:p w14:paraId="2DDC7B35" w14:textId="77777777" w:rsidR="009B35FB" w:rsidRPr="00AE4DBA" w:rsidRDefault="009B35FB">
            <w:pPr>
              <w:pStyle w:val="BodyText1"/>
              <w:spacing w:before="0"/>
              <w:rPr>
                <w:color w:val="F6F4EC" w:themeColor="background1"/>
                <w:sz w:val="24"/>
                <w:highlight w:val="yellow"/>
                <w:lang w:val="en-NZ"/>
              </w:rPr>
            </w:pPr>
            <w:r w:rsidRPr="00AE4DBA">
              <w:rPr>
                <w:color w:val="F6F4EC" w:themeColor="background1"/>
                <w:sz w:val="24"/>
                <w:lang w:val="en-NZ"/>
              </w:rPr>
              <w:t>Subsidiary</w:t>
            </w:r>
          </w:p>
        </w:tc>
        <w:tc>
          <w:tcPr>
            <w:tcW w:w="0" w:type="dxa"/>
            <w:tcBorders>
              <w:top w:val="nil"/>
              <w:left w:val="nil"/>
              <w:bottom w:val="nil"/>
              <w:right w:val="nil"/>
            </w:tcBorders>
            <w:shd w:val="clear" w:color="auto" w:fill="15284C" w:themeFill="accent5"/>
            <w:vAlign w:val="center"/>
          </w:tcPr>
          <w:p w14:paraId="7E6F6AA7" w14:textId="77777777" w:rsidR="009B35FB" w:rsidRPr="00AE4DBA" w:rsidRDefault="009B35FB">
            <w:pPr>
              <w:pStyle w:val="BodyText1"/>
              <w:spacing w:before="0"/>
              <w:jc w:val="both"/>
              <w:cnfStyle w:val="000000100000" w:firstRow="0" w:lastRow="0" w:firstColumn="0" w:lastColumn="0" w:oddVBand="0" w:evenVBand="0" w:oddHBand="1" w:evenHBand="0" w:firstRowFirstColumn="0" w:firstRowLastColumn="0" w:lastRowFirstColumn="0" w:lastRowLastColumn="0"/>
              <w:rPr>
                <w:color w:val="F6F4EC" w:themeColor="background1"/>
                <w:sz w:val="24"/>
                <w:lang w:val="en-NZ"/>
              </w:rPr>
            </w:pPr>
            <w:r w:rsidRPr="00AE4DBA">
              <w:rPr>
                <w:color w:val="F6F4EC" w:themeColor="background1"/>
                <w:sz w:val="24"/>
                <w:lang w:val="en-NZ"/>
              </w:rPr>
              <w:t xml:space="preserve"> Reason for Exclusion</w:t>
            </w:r>
          </w:p>
        </w:tc>
      </w:tr>
      <w:tr w:rsidR="009B35FB" w:rsidRPr="00AE4DBA" w14:paraId="6D095647" w14:textId="77777777">
        <w:trPr>
          <w:trHeight w:val="454"/>
        </w:trPr>
        <w:tc>
          <w:tcPr>
            <w:cnfStyle w:val="001000000000" w:firstRow="0" w:lastRow="0" w:firstColumn="1" w:lastColumn="0" w:oddVBand="0" w:evenVBand="0" w:oddHBand="0" w:evenHBand="0" w:firstRowFirstColumn="0" w:firstRowLastColumn="0" w:lastRowFirstColumn="0" w:lastRowLastColumn="0"/>
            <w:tcW w:w="3828" w:type="dxa"/>
            <w:tcBorders>
              <w:top w:val="nil"/>
              <w:left w:val="single" w:sz="4" w:space="0" w:color="F6F4EC" w:themeColor="background1"/>
              <w:bottom w:val="single" w:sz="8" w:space="0" w:color="002672" w:themeColor="accent2" w:themeShade="BF"/>
            </w:tcBorders>
            <w:vAlign w:val="center"/>
          </w:tcPr>
          <w:p w14:paraId="3BBDEC3E" w14:textId="77777777" w:rsidR="009B35FB" w:rsidRPr="00AE4DBA" w:rsidRDefault="009B35FB">
            <w:pPr>
              <w:pStyle w:val="BodyText1"/>
              <w:rPr>
                <w:lang w:val="en-NZ"/>
              </w:rPr>
            </w:pPr>
            <w:r w:rsidRPr="00AE4DBA">
              <w:rPr>
                <w:lang w:val="en-NZ"/>
              </w:rPr>
              <w:t>Opotiki Health Centre Ltd</w:t>
            </w:r>
          </w:p>
        </w:tc>
        <w:tc>
          <w:tcPr>
            <w:tcW w:w="5452" w:type="dxa"/>
            <w:tcBorders>
              <w:top w:val="nil"/>
              <w:bottom w:val="single" w:sz="8" w:space="0" w:color="002672" w:themeColor="accent2" w:themeShade="BF"/>
              <w:right w:val="single" w:sz="12" w:space="0" w:color="F6F4EC" w:themeColor="background1"/>
            </w:tcBorders>
            <w:vAlign w:val="center"/>
          </w:tcPr>
          <w:p w14:paraId="001CD44E" w14:textId="23D1D173" w:rsidR="009B35FB" w:rsidRPr="00AE4DBA" w:rsidRDefault="009B35FB">
            <w:pPr>
              <w:pStyle w:val="BodyText1"/>
              <w:cnfStyle w:val="000000000000" w:firstRow="0" w:lastRow="0" w:firstColumn="0" w:lastColumn="0" w:oddVBand="0" w:evenVBand="0" w:oddHBand="0" w:evenHBand="0" w:firstRowFirstColumn="0" w:firstRowLastColumn="0" w:lastRowFirstColumn="0" w:lastRowLastColumn="0"/>
              <w:rPr>
                <w:lang w:val="en-NZ"/>
              </w:rPr>
            </w:pPr>
            <w:r w:rsidRPr="00AE4DBA">
              <w:rPr>
                <w:lang w:val="en-NZ"/>
              </w:rPr>
              <w:t>15% share of ownership</w:t>
            </w:r>
            <w:r w:rsidR="00C7394C">
              <w:rPr>
                <w:lang w:val="en-NZ"/>
              </w:rPr>
              <w:t xml:space="preserve"> and de minimis</w:t>
            </w:r>
          </w:p>
        </w:tc>
      </w:tr>
      <w:tr w:rsidR="009B35FB" w:rsidRPr="00AE4DBA" w14:paraId="1F4D5A63" w14:textId="77777777">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3828" w:type="dxa"/>
            <w:tcBorders>
              <w:top w:val="single" w:sz="8" w:space="0" w:color="002672" w:themeColor="accent2" w:themeShade="BF"/>
              <w:left w:val="single" w:sz="4" w:space="0" w:color="F6F4EC" w:themeColor="background1"/>
              <w:bottom w:val="single" w:sz="8" w:space="0" w:color="002672" w:themeColor="accent2" w:themeShade="BF"/>
            </w:tcBorders>
            <w:vAlign w:val="center"/>
          </w:tcPr>
          <w:p w14:paraId="1A3FC680" w14:textId="77777777" w:rsidR="009B35FB" w:rsidRPr="00AE4DBA" w:rsidRDefault="009B35FB">
            <w:pPr>
              <w:pStyle w:val="BodyText1"/>
              <w:rPr>
                <w:lang w:val="en-NZ"/>
              </w:rPr>
            </w:pPr>
            <w:proofErr w:type="spellStart"/>
            <w:r w:rsidRPr="00AE4DBA">
              <w:rPr>
                <w:lang w:val="en-NZ"/>
              </w:rPr>
              <w:t>Tlab</w:t>
            </w:r>
            <w:proofErr w:type="spellEnd"/>
            <w:r w:rsidRPr="00AE4DBA">
              <w:rPr>
                <w:lang w:val="en-NZ"/>
              </w:rPr>
              <w:t xml:space="preserve"> Ltd</w:t>
            </w:r>
          </w:p>
        </w:tc>
        <w:tc>
          <w:tcPr>
            <w:tcW w:w="5452" w:type="dxa"/>
            <w:tcBorders>
              <w:top w:val="single" w:sz="8" w:space="0" w:color="002672" w:themeColor="accent2" w:themeShade="BF"/>
              <w:bottom w:val="single" w:sz="8" w:space="0" w:color="002672" w:themeColor="accent2" w:themeShade="BF"/>
              <w:right w:val="single" w:sz="12" w:space="0" w:color="F6F4EC" w:themeColor="background1"/>
            </w:tcBorders>
            <w:vAlign w:val="center"/>
          </w:tcPr>
          <w:p w14:paraId="1BAEE329" w14:textId="407AD737" w:rsidR="009B35FB" w:rsidRPr="00AE4DBA" w:rsidRDefault="009B35FB">
            <w:pPr>
              <w:pStyle w:val="BodyText1"/>
              <w:cnfStyle w:val="000000100000" w:firstRow="0" w:lastRow="0" w:firstColumn="0" w:lastColumn="0" w:oddVBand="0" w:evenVBand="0" w:oddHBand="1" w:evenHBand="0" w:firstRowFirstColumn="0" w:firstRowLastColumn="0" w:lastRowFirstColumn="0" w:lastRowLastColumn="0"/>
              <w:rPr>
                <w:lang w:val="en-NZ"/>
              </w:rPr>
            </w:pPr>
            <w:r w:rsidRPr="00AE4DBA">
              <w:rPr>
                <w:lang w:val="en-NZ"/>
              </w:rPr>
              <w:t>50% share of ownership</w:t>
            </w:r>
            <w:r w:rsidR="00566F92">
              <w:rPr>
                <w:lang w:val="en-NZ"/>
              </w:rPr>
              <w:t xml:space="preserve"> and d</w:t>
            </w:r>
            <w:r w:rsidR="00566F92" w:rsidRPr="00AE4DBA">
              <w:rPr>
                <w:lang w:val="en-NZ"/>
              </w:rPr>
              <w:t>e minimis</w:t>
            </w:r>
          </w:p>
        </w:tc>
      </w:tr>
      <w:tr w:rsidR="009B35FB" w:rsidRPr="00AE4DBA" w14:paraId="1CD10E44" w14:textId="77777777">
        <w:trPr>
          <w:trHeight w:val="473"/>
        </w:trPr>
        <w:tc>
          <w:tcPr>
            <w:cnfStyle w:val="001000000000" w:firstRow="0" w:lastRow="0" w:firstColumn="1" w:lastColumn="0" w:oddVBand="0" w:evenVBand="0" w:oddHBand="0" w:evenHBand="0" w:firstRowFirstColumn="0" w:firstRowLastColumn="0" w:lastRowFirstColumn="0" w:lastRowLastColumn="0"/>
            <w:tcW w:w="3828" w:type="dxa"/>
            <w:tcBorders>
              <w:top w:val="single" w:sz="8" w:space="0" w:color="002672" w:themeColor="accent2" w:themeShade="BF"/>
              <w:left w:val="single" w:sz="4" w:space="0" w:color="F6F4EC" w:themeColor="background1"/>
              <w:bottom w:val="single" w:sz="8" w:space="0" w:color="002672" w:themeColor="accent2" w:themeShade="BF"/>
            </w:tcBorders>
            <w:vAlign w:val="center"/>
          </w:tcPr>
          <w:p w14:paraId="75914E2B" w14:textId="77777777" w:rsidR="009B35FB" w:rsidRPr="00AE4DBA" w:rsidRDefault="009B35FB">
            <w:pPr>
              <w:pStyle w:val="BodyText1"/>
              <w:rPr>
                <w:lang w:val="en-NZ"/>
              </w:rPr>
            </w:pPr>
            <w:r w:rsidRPr="00AE4DBA">
              <w:rPr>
                <w:lang w:val="en-NZ"/>
              </w:rPr>
              <w:t>Health one Ltd</w:t>
            </w:r>
          </w:p>
        </w:tc>
        <w:tc>
          <w:tcPr>
            <w:tcW w:w="5452" w:type="dxa"/>
            <w:tcBorders>
              <w:top w:val="single" w:sz="8" w:space="0" w:color="002672" w:themeColor="accent2" w:themeShade="BF"/>
              <w:bottom w:val="single" w:sz="8" w:space="0" w:color="002672" w:themeColor="accent2" w:themeShade="BF"/>
              <w:right w:val="single" w:sz="12" w:space="0" w:color="F6F4EC" w:themeColor="background1"/>
            </w:tcBorders>
            <w:vAlign w:val="center"/>
          </w:tcPr>
          <w:p w14:paraId="6270CF64" w14:textId="0D06D0B9" w:rsidR="009B35FB" w:rsidRPr="00AE4DBA" w:rsidRDefault="009B35FB">
            <w:pPr>
              <w:pStyle w:val="BodyText1"/>
              <w:cnfStyle w:val="000000000000" w:firstRow="0" w:lastRow="0" w:firstColumn="0" w:lastColumn="0" w:oddVBand="0" w:evenVBand="0" w:oddHBand="0" w:evenHBand="0" w:firstRowFirstColumn="0" w:firstRowLastColumn="0" w:lastRowFirstColumn="0" w:lastRowLastColumn="0"/>
              <w:rPr>
                <w:lang w:val="en-NZ"/>
              </w:rPr>
            </w:pPr>
            <w:r w:rsidRPr="00AE4DBA">
              <w:rPr>
                <w:lang w:val="en-NZ"/>
              </w:rPr>
              <w:t>50% share of ownership</w:t>
            </w:r>
            <w:r w:rsidR="00566F92">
              <w:rPr>
                <w:lang w:val="en-NZ"/>
              </w:rPr>
              <w:t xml:space="preserve"> and d</w:t>
            </w:r>
            <w:r w:rsidR="00566F92" w:rsidRPr="00AE4DBA">
              <w:rPr>
                <w:lang w:val="en-NZ"/>
              </w:rPr>
              <w:t>e minimis</w:t>
            </w:r>
          </w:p>
        </w:tc>
      </w:tr>
      <w:tr w:rsidR="009B35FB" w:rsidRPr="00AE4DBA" w14:paraId="28224F3B" w14:textId="77777777">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3828" w:type="dxa"/>
            <w:tcBorders>
              <w:top w:val="single" w:sz="8" w:space="0" w:color="002672" w:themeColor="accent2" w:themeShade="BF"/>
              <w:left w:val="single" w:sz="4" w:space="0" w:color="F6F4EC" w:themeColor="background1"/>
              <w:bottom w:val="single" w:sz="8" w:space="0" w:color="002672" w:themeColor="accent2" w:themeShade="BF"/>
            </w:tcBorders>
            <w:vAlign w:val="center"/>
          </w:tcPr>
          <w:p w14:paraId="1B1CFF80" w14:textId="77777777" w:rsidR="009B35FB" w:rsidRPr="00AE4DBA" w:rsidRDefault="009B35FB">
            <w:pPr>
              <w:pStyle w:val="BodyText1"/>
              <w:rPr>
                <w:lang w:val="en-NZ"/>
              </w:rPr>
            </w:pPr>
            <w:r w:rsidRPr="00AE4DBA">
              <w:rPr>
                <w:lang w:val="en-NZ"/>
              </w:rPr>
              <w:t>Brackenridge Services Ltd</w:t>
            </w:r>
          </w:p>
        </w:tc>
        <w:tc>
          <w:tcPr>
            <w:tcW w:w="5452" w:type="dxa"/>
            <w:tcBorders>
              <w:top w:val="single" w:sz="8" w:space="0" w:color="002672" w:themeColor="accent2" w:themeShade="BF"/>
              <w:bottom w:val="single" w:sz="8" w:space="0" w:color="002672" w:themeColor="accent2" w:themeShade="BF"/>
              <w:right w:val="single" w:sz="12" w:space="0" w:color="F6F4EC" w:themeColor="background1"/>
            </w:tcBorders>
            <w:vAlign w:val="center"/>
          </w:tcPr>
          <w:p w14:paraId="42829F33" w14:textId="77777777" w:rsidR="009B35FB" w:rsidRPr="00AE4DBA" w:rsidRDefault="009B35FB">
            <w:pPr>
              <w:pStyle w:val="BodyText1"/>
              <w:cnfStyle w:val="000000100000" w:firstRow="0" w:lastRow="0" w:firstColumn="0" w:lastColumn="0" w:oddVBand="0" w:evenVBand="0" w:oddHBand="1" w:evenHBand="0" w:firstRowFirstColumn="0" w:firstRowLastColumn="0" w:lastRowFirstColumn="0" w:lastRowLastColumn="0"/>
              <w:rPr>
                <w:lang w:val="en-NZ"/>
              </w:rPr>
            </w:pPr>
            <w:r w:rsidRPr="00AE4DBA">
              <w:rPr>
                <w:lang w:val="en-NZ"/>
              </w:rPr>
              <w:t>De minimis</w:t>
            </w:r>
          </w:p>
        </w:tc>
      </w:tr>
      <w:tr w:rsidR="009B35FB" w:rsidRPr="00AE4DBA" w:rsidDel="00C10869" w14:paraId="0C89E7F4" w14:textId="77777777">
        <w:trPr>
          <w:trHeight w:val="463"/>
        </w:trPr>
        <w:tc>
          <w:tcPr>
            <w:cnfStyle w:val="001000000000" w:firstRow="0" w:lastRow="0" w:firstColumn="1" w:lastColumn="0" w:oddVBand="0" w:evenVBand="0" w:oddHBand="0" w:evenHBand="0" w:firstRowFirstColumn="0" w:firstRowLastColumn="0" w:lastRowFirstColumn="0" w:lastRowLastColumn="0"/>
            <w:tcW w:w="3828" w:type="dxa"/>
            <w:tcBorders>
              <w:top w:val="single" w:sz="8" w:space="0" w:color="002672" w:themeColor="accent2" w:themeShade="BF"/>
              <w:left w:val="single" w:sz="4" w:space="0" w:color="F6F4EC" w:themeColor="background1"/>
              <w:bottom w:val="single" w:sz="8" w:space="0" w:color="002672" w:themeColor="accent2" w:themeShade="BF"/>
            </w:tcBorders>
            <w:vAlign w:val="center"/>
          </w:tcPr>
          <w:p w14:paraId="47464CE5" w14:textId="77777777" w:rsidR="009B35FB" w:rsidRPr="00AE4DBA" w:rsidDel="00726F76" w:rsidRDefault="009B35FB">
            <w:pPr>
              <w:pStyle w:val="BodyText1"/>
              <w:rPr>
                <w:lang w:val="en-NZ"/>
              </w:rPr>
            </w:pPr>
            <w:r w:rsidRPr="00AE4DBA">
              <w:rPr>
                <w:lang w:val="en-NZ"/>
              </w:rPr>
              <w:t>Spectrum Health Ltd</w:t>
            </w:r>
          </w:p>
        </w:tc>
        <w:tc>
          <w:tcPr>
            <w:tcW w:w="5452" w:type="dxa"/>
            <w:tcBorders>
              <w:top w:val="single" w:sz="8" w:space="0" w:color="002672" w:themeColor="accent2" w:themeShade="BF"/>
              <w:bottom w:val="single" w:sz="8" w:space="0" w:color="002672" w:themeColor="accent2" w:themeShade="BF"/>
              <w:right w:val="single" w:sz="12" w:space="0" w:color="F6F4EC" w:themeColor="background1"/>
            </w:tcBorders>
            <w:vAlign w:val="center"/>
          </w:tcPr>
          <w:p w14:paraId="6F00CB73" w14:textId="77777777" w:rsidR="009B35FB" w:rsidRPr="00AE4DBA" w:rsidDel="00C10869" w:rsidRDefault="009B35FB">
            <w:pPr>
              <w:pStyle w:val="BodyText1"/>
              <w:cnfStyle w:val="000000000000" w:firstRow="0" w:lastRow="0" w:firstColumn="0" w:lastColumn="0" w:oddVBand="0" w:evenVBand="0" w:oddHBand="0" w:evenHBand="0" w:firstRowFirstColumn="0" w:firstRowLastColumn="0" w:lastRowFirstColumn="0" w:lastRowLastColumn="0"/>
              <w:rPr>
                <w:lang w:val="en-NZ"/>
              </w:rPr>
            </w:pPr>
            <w:r w:rsidRPr="00AE4DBA">
              <w:rPr>
                <w:lang w:val="en-NZ"/>
              </w:rPr>
              <w:t>De minimis</w:t>
            </w:r>
          </w:p>
        </w:tc>
      </w:tr>
      <w:tr w:rsidR="009B35FB" w:rsidRPr="00AE4DBA" w:rsidDel="00C10869" w14:paraId="2A6310E4" w14:textId="7777777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828" w:type="dxa"/>
            <w:tcBorders>
              <w:top w:val="single" w:sz="8" w:space="0" w:color="002672" w:themeColor="accent2" w:themeShade="BF"/>
              <w:left w:val="single" w:sz="4" w:space="0" w:color="F6F4EC" w:themeColor="background1"/>
              <w:bottom w:val="single" w:sz="8" w:space="0" w:color="002672" w:themeColor="accent2" w:themeShade="BF"/>
            </w:tcBorders>
            <w:vAlign w:val="center"/>
          </w:tcPr>
          <w:p w14:paraId="219421C8" w14:textId="77777777" w:rsidR="009B35FB" w:rsidRPr="00AE4DBA" w:rsidRDefault="009B35FB">
            <w:pPr>
              <w:pStyle w:val="BodyText1"/>
              <w:rPr>
                <w:lang w:val="en-NZ"/>
              </w:rPr>
            </w:pPr>
            <w:r w:rsidRPr="00AE4DBA">
              <w:rPr>
                <w:lang w:val="en-NZ"/>
              </w:rPr>
              <w:t>South Canterbury Eye Clinic Ltd</w:t>
            </w:r>
          </w:p>
        </w:tc>
        <w:tc>
          <w:tcPr>
            <w:tcW w:w="5452" w:type="dxa"/>
            <w:tcBorders>
              <w:top w:val="single" w:sz="8" w:space="0" w:color="002672" w:themeColor="accent2" w:themeShade="BF"/>
              <w:bottom w:val="single" w:sz="8" w:space="0" w:color="002672" w:themeColor="accent2" w:themeShade="BF"/>
              <w:right w:val="single" w:sz="12" w:space="0" w:color="F6F4EC" w:themeColor="background1"/>
            </w:tcBorders>
            <w:vAlign w:val="center"/>
          </w:tcPr>
          <w:p w14:paraId="4AE0BA97" w14:textId="77777777" w:rsidR="009B35FB" w:rsidRPr="00AE4DBA" w:rsidRDefault="009B35FB">
            <w:pPr>
              <w:pStyle w:val="BodyText1"/>
              <w:cnfStyle w:val="000000100000" w:firstRow="0" w:lastRow="0" w:firstColumn="0" w:lastColumn="0" w:oddVBand="0" w:evenVBand="0" w:oddHBand="1" w:evenHBand="0" w:firstRowFirstColumn="0" w:firstRowLastColumn="0" w:lastRowFirstColumn="0" w:lastRowLastColumn="0"/>
              <w:rPr>
                <w:lang w:val="en-NZ"/>
              </w:rPr>
            </w:pPr>
            <w:r w:rsidRPr="00AE4DBA">
              <w:rPr>
                <w:lang w:val="en-NZ"/>
              </w:rPr>
              <w:t>De minimis</w:t>
            </w:r>
          </w:p>
        </w:tc>
      </w:tr>
      <w:tr w:rsidR="009B35FB" w:rsidRPr="00AE4DBA" w:rsidDel="00C10869" w14:paraId="136F166F" w14:textId="77777777">
        <w:trPr>
          <w:trHeight w:val="463"/>
        </w:trPr>
        <w:tc>
          <w:tcPr>
            <w:cnfStyle w:val="001000000000" w:firstRow="0" w:lastRow="0" w:firstColumn="1" w:lastColumn="0" w:oddVBand="0" w:evenVBand="0" w:oddHBand="0" w:evenHBand="0" w:firstRowFirstColumn="0" w:firstRowLastColumn="0" w:lastRowFirstColumn="0" w:lastRowLastColumn="0"/>
            <w:tcW w:w="3828" w:type="dxa"/>
            <w:tcBorders>
              <w:top w:val="single" w:sz="8" w:space="0" w:color="002672" w:themeColor="accent2" w:themeShade="BF"/>
              <w:left w:val="single" w:sz="4" w:space="0" w:color="F6F4EC" w:themeColor="background1"/>
              <w:bottom w:val="single" w:sz="8" w:space="0" w:color="002672" w:themeColor="accent2" w:themeShade="BF"/>
            </w:tcBorders>
            <w:vAlign w:val="center"/>
          </w:tcPr>
          <w:p w14:paraId="358BD318" w14:textId="77777777" w:rsidR="009B35FB" w:rsidRPr="00AE4DBA" w:rsidRDefault="009B35FB">
            <w:pPr>
              <w:pStyle w:val="BodyText1"/>
              <w:rPr>
                <w:lang w:val="en-NZ"/>
              </w:rPr>
            </w:pPr>
            <w:r w:rsidRPr="00AE4DBA">
              <w:rPr>
                <w:lang w:val="en-NZ"/>
              </w:rPr>
              <w:t>NZ Health Innovation Hub</w:t>
            </w:r>
          </w:p>
        </w:tc>
        <w:tc>
          <w:tcPr>
            <w:tcW w:w="5452" w:type="dxa"/>
            <w:tcBorders>
              <w:top w:val="single" w:sz="8" w:space="0" w:color="002672" w:themeColor="accent2" w:themeShade="BF"/>
              <w:bottom w:val="single" w:sz="8" w:space="0" w:color="002672" w:themeColor="accent2" w:themeShade="BF"/>
              <w:right w:val="single" w:sz="12" w:space="0" w:color="F6F4EC" w:themeColor="background1"/>
            </w:tcBorders>
            <w:vAlign w:val="center"/>
          </w:tcPr>
          <w:p w14:paraId="502E1882" w14:textId="77777777" w:rsidR="009B35FB" w:rsidRPr="00AE4DBA" w:rsidRDefault="009B35FB">
            <w:pPr>
              <w:pStyle w:val="BodyText1"/>
              <w:cnfStyle w:val="000000000000" w:firstRow="0" w:lastRow="0" w:firstColumn="0" w:lastColumn="0" w:oddVBand="0" w:evenVBand="0" w:oddHBand="0" w:evenHBand="0" w:firstRowFirstColumn="0" w:firstRowLastColumn="0" w:lastRowFirstColumn="0" w:lastRowLastColumn="0"/>
              <w:rPr>
                <w:lang w:val="en-NZ"/>
              </w:rPr>
            </w:pPr>
            <w:r w:rsidRPr="00AE4DBA">
              <w:rPr>
                <w:lang w:val="en-NZ"/>
              </w:rPr>
              <w:t>A virtual subsidiary with no emissions associated with its activity</w:t>
            </w:r>
          </w:p>
        </w:tc>
      </w:tr>
    </w:tbl>
    <w:p w14:paraId="6285CFA3" w14:textId="77777777" w:rsidR="00E17893" w:rsidRPr="00AE4DBA" w:rsidRDefault="00E17893" w:rsidP="00141DF0">
      <w:pPr>
        <w:pStyle w:val="Tableheading-reverse"/>
        <w:numPr>
          <w:ilvl w:val="1"/>
          <w:numId w:val="5"/>
        </w:numPr>
      </w:pPr>
      <w:bookmarkStart w:id="53" w:name="_Toc176345123"/>
      <w:bookmarkEnd w:id="52"/>
      <w:r w:rsidRPr="00AE4DBA">
        <w:t>GHG Emissions sources</w:t>
      </w:r>
      <w:bookmarkEnd w:id="53"/>
    </w:p>
    <w:p w14:paraId="6BA90679" w14:textId="4D8F3816" w:rsidR="00FB547F" w:rsidRPr="00AE4DBA" w:rsidRDefault="00FB547F" w:rsidP="00FB547F">
      <w:pPr>
        <w:pStyle w:val="Tableheading-reverse"/>
        <w:numPr>
          <w:ilvl w:val="2"/>
          <w:numId w:val="5"/>
        </w:numPr>
      </w:pPr>
      <w:bookmarkStart w:id="54" w:name="_Toc176345124"/>
      <w:r w:rsidRPr="00AE4DBA">
        <w:t>Significance</w:t>
      </w:r>
      <w:r w:rsidR="008D64F5" w:rsidRPr="00AE4DBA">
        <w:t xml:space="preserve"> and Materiality</w:t>
      </w:r>
      <w:bookmarkEnd w:id="54"/>
      <w:r w:rsidRPr="00AE4DBA">
        <w:t xml:space="preserve"> </w:t>
      </w:r>
    </w:p>
    <w:p w14:paraId="4E6A5122" w14:textId="77777777" w:rsidR="00FB547F" w:rsidRPr="00AE4DBA" w:rsidRDefault="00FB547F" w:rsidP="00FB547F">
      <w:pPr>
        <w:pStyle w:val="BodyText1"/>
        <w:rPr>
          <w:lang w:val="en-NZ"/>
        </w:rPr>
      </w:pPr>
      <w:r w:rsidRPr="00AE4DBA">
        <w:rPr>
          <w:lang w:val="en-NZ"/>
        </w:rPr>
        <w:t>For a GHG inventory under ISO 14064-1 the determination of significant emission sources for inclusion and exclusion is guided by specific criteria. Criteria that Health NZ uses to determine the significance of emissions sources for inclusion or exclusion include:</w:t>
      </w:r>
    </w:p>
    <w:p w14:paraId="5FB764E2" w14:textId="571FFD49" w:rsidR="00FB547F" w:rsidRPr="00AE4DBA" w:rsidRDefault="00FB547F" w:rsidP="00FB547F">
      <w:pPr>
        <w:pStyle w:val="BodyText1"/>
        <w:numPr>
          <w:ilvl w:val="0"/>
          <w:numId w:val="16"/>
        </w:numPr>
        <w:rPr>
          <w:lang w:val="en-NZ"/>
        </w:rPr>
      </w:pPr>
      <w:r w:rsidRPr="00AE4DBA">
        <w:rPr>
          <w:b/>
          <w:bCs/>
          <w:lang w:val="en-NZ"/>
        </w:rPr>
        <w:lastRenderedPageBreak/>
        <w:t>Materiality:</w:t>
      </w:r>
      <w:r w:rsidRPr="00AE4DBA">
        <w:rPr>
          <w:lang w:val="en-NZ"/>
        </w:rPr>
        <w:t xml:space="preserve"> a materiality threshold </w:t>
      </w:r>
      <w:r w:rsidR="00324660" w:rsidRPr="00AE4DBA">
        <w:rPr>
          <w:lang w:val="en-NZ"/>
        </w:rPr>
        <w:t xml:space="preserve">has been established, </w:t>
      </w:r>
      <w:r w:rsidRPr="00AE4DBA">
        <w:rPr>
          <w:lang w:val="en-NZ"/>
        </w:rPr>
        <w:t>where emissions sources can be excluded if they account for less than 1% of the total inventory. Cumulatively, de minim</w:t>
      </w:r>
      <w:r w:rsidR="00337DA0" w:rsidRPr="00AE4DBA">
        <w:rPr>
          <w:lang w:val="en-NZ"/>
        </w:rPr>
        <w:t>i</w:t>
      </w:r>
      <w:r w:rsidRPr="00AE4DBA">
        <w:rPr>
          <w:lang w:val="en-NZ"/>
        </w:rPr>
        <w:t>s exclusions should not exceed 5% of the total inventory.</w:t>
      </w:r>
    </w:p>
    <w:p w14:paraId="19A622A6" w14:textId="699B81DD" w:rsidR="00FB547F" w:rsidRPr="00AE4DBA" w:rsidRDefault="00FB547F" w:rsidP="00FB547F">
      <w:pPr>
        <w:pStyle w:val="BodyText1"/>
        <w:numPr>
          <w:ilvl w:val="0"/>
          <w:numId w:val="16"/>
        </w:numPr>
        <w:rPr>
          <w:lang w:val="en-NZ"/>
        </w:rPr>
      </w:pPr>
      <w:r w:rsidRPr="00AE4DBA">
        <w:rPr>
          <w:b/>
          <w:bCs/>
          <w:lang w:val="en-NZ"/>
        </w:rPr>
        <w:t>Operational control and influence:</w:t>
      </w:r>
      <w:r w:rsidRPr="00AE4DBA">
        <w:rPr>
          <w:rStyle w:val="CommentReference"/>
          <w:rFonts w:eastAsia="Roboto"/>
          <w:b/>
          <w:bCs/>
          <w:color w:val="auto"/>
          <w:lang w:val="en-NZ"/>
        </w:rPr>
        <w:t xml:space="preserve"> </w:t>
      </w:r>
      <w:r w:rsidRPr="00AE4DBA">
        <w:rPr>
          <w:lang w:val="en-NZ"/>
        </w:rPr>
        <w:t xml:space="preserve"> </w:t>
      </w:r>
      <w:r w:rsidRPr="3D8F5608">
        <w:rPr>
          <w:lang w:val="en-NZ"/>
        </w:rPr>
        <w:t xml:space="preserve">this refers to Health </w:t>
      </w:r>
      <w:r w:rsidR="00324660" w:rsidRPr="3D8F5608">
        <w:rPr>
          <w:lang w:val="en-NZ"/>
        </w:rPr>
        <w:t>NZ</w:t>
      </w:r>
      <w:r w:rsidRPr="3D8F5608">
        <w:rPr>
          <w:lang w:val="en-NZ"/>
        </w:rPr>
        <w:t xml:space="preserve">’s ability to influence or control emissions from a source. Emission sources over which </w:t>
      </w:r>
      <w:r w:rsidR="00324660" w:rsidRPr="3D8F5608">
        <w:rPr>
          <w:lang w:val="en-NZ"/>
        </w:rPr>
        <w:t>there is</w:t>
      </w:r>
      <w:r w:rsidRPr="3D8F5608">
        <w:rPr>
          <w:lang w:val="en-NZ"/>
        </w:rPr>
        <w:t xml:space="preserve"> direct operational control or significant influence over included. For instance, excluded sources </w:t>
      </w:r>
      <w:r w:rsidR="00324660" w:rsidRPr="3D8F5608">
        <w:rPr>
          <w:lang w:val="en-NZ"/>
        </w:rPr>
        <w:t xml:space="preserve">include </w:t>
      </w:r>
      <w:r w:rsidRPr="3D8F5608">
        <w:rPr>
          <w:lang w:val="en-NZ"/>
        </w:rPr>
        <w:t xml:space="preserve">from subsidiaries where Health NZ </w:t>
      </w:r>
      <w:r w:rsidR="1DCB833C" w:rsidRPr="4FDD14AA">
        <w:rPr>
          <w:lang w:val="en-NZ"/>
        </w:rPr>
        <w:t xml:space="preserve">does not have a controlling stake (i.e. </w:t>
      </w:r>
      <w:r w:rsidR="1DCB833C" w:rsidRPr="52DB088A">
        <w:rPr>
          <w:lang w:val="en-NZ"/>
        </w:rPr>
        <w:t>51%&gt;)</w:t>
      </w:r>
      <w:r w:rsidRPr="3D8F5608">
        <w:rPr>
          <w:lang w:val="en-NZ"/>
        </w:rPr>
        <w:t xml:space="preserve">. </w:t>
      </w:r>
    </w:p>
    <w:p w14:paraId="158BE70A" w14:textId="094DB72F" w:rsidR="00FB547F" w:rsidRPr="00AE4DBA" w:rsidRDefault="00FB547F" w:rsidP="00FB547F">
      <w:pPr>
        <w:pStyle w:val="BodyText1"/>
        <w:numPr>
          <w:ilvl w:val="0"/>
          <w:numId w:val="16"/>
        </w:numPr>
        <w:rPr>
          <w:b/>
        </w:rPr>
      </w:pPr>
      <w:r w:rsidRPr="3C4E5775">
        <w:rPr>
          <w:b/>
        </w:rPr>
        <w:t xml:space="preserve">Stakeholder Interest: </w:t>
      </w:r>
      <w:r w:rsidRPr="3C4E5775">
        <w:t>consideration is given to the inclusion and retention of emissions sources based on the interest and concerns of our stakeholders. Here energy sources and some waste categories are included because of their importance to stakeholders</w:t>
      </w:r>
      <w:r w:rsidR="0076643E" w:rsidRPr="3C4E5775">
        <w:t>.</w:t>
      </w:r>
      <w:r w:rsidRPr="3C4E5775">
        <w:t xml:space="preserve">  </w:t>
      </w:r>
    </w:p>
    <w:p w14:paraId="60A26D92" w14:textId="0D806B15" w:rsidR="00FB547F" w:rsidRPr="00AE4DBA" w:rsidRDefault="00FB547F" w:rsidP="00B13D35">
      <w:pPr>
        <w:pStyle w:val="BodyText1"/>
        <w:numPr>
          <w:ilvl w:val="0"/>
          <w:numId w:val="16"/>
        </w:numPr>
        <w:rPr>
          <w:lang w:val="en-NZ"/>
        </w:rPr>
      </w:pPr>
      <w:r w:rsidRPr="00AE4DBA">
        <w:rPr>
          <w:b/>
          <w:bCs/>
          <w:lang w:val="en-NZ"/>
        </w:rPr>
        <w:t xml:space="preserve">Regulatory requirements: </w:t>
      </w:r>
      <w:r w:rsidRPr="00AE4DBA">
        <w:rPr>
          <w:lang w:val="en-NZ"/>
        </w:rPr>
        <w:t xml:space="preserve">emission sources subject to regulatory reporting, compliance obligations, or specific reduction targets are considered significant. For example, </w:t>
      </w:r>
      <w:r w:rsidR="002155FE" w:rsidRPr="00AE4DBA">
        <w:rPr>
          <w:lang w:val="en-NZ"/>
        </w:rPr>
        <w:t xml:space="preserve">under </w:t>
      </w:r>
      <w:r w:rsidRPr="00AE4DBA">
        <w:rPr>
          <w:lang w:val="en-NZ"/>
        </w:rPr>
        <w:t xml:space="preserve">the CNGP </w:t>
      </w:r>
      <w:r w:rsidR="002155FE" w:rsidRPr="00AE4DBA">
        <w:rPr>
          <w:lang w:val="en-NZ"/>
        </w:rPr>
        <w:t>Health NZ is</w:t>
      </w:r>
      <w:r w:rsidRPr="00AE4DBA">
        <w:rPr>
          <w:lang w:val="en-NZ"/>
        </w:rPr>
        <w:t xml:space="preserve"> obliged to report on all direct energy source emissions. Consequently, sources like stationary diesel used for backup generators is included even though it is </w:t>
      </w:r>
      <w:r w:rsidR="0023086F" w:rsidRPr="00AE4DBA">
        <w:rPr>
          <w:lang w:val="en-NZ"/>
        </w:rPr>
        <w:t>de minimis</w:t>
      </w:r>
      <w:r w:rsidRPr="00AE4DBA">
        <w:rPr>
          <w:lang w:val="en-NZ"/>
        </w:rPr>
        <w:t xml:space="preserve">. </w:t>
      </w:r>
    </w:p>
    <w:p w14:paraId="427B80F3" w14:textId="77777777" w:rsidR="00E17893" w:rsidRPr="00AE4DBA" w:rsidRDefault="00E17893" w:rsidP="00141DF0">
      <w:pPr>
        <w:pStyle w:val="Tableheading-reverse"/>
        <w:numPr>
          <w:ilvl w:val="2"/>
          <w:numId w:val="5"/>
        </w:numPr>
      </w:pPr>
      <w:bookmarkStart w:id="55" w:name="_Toc176345125"/>
      <w:r w:rsidRPr="00AE4DBA">
        <w:t>Emissions sources included</w:t>
      </w:r>
      <w:bookmarkEnd w:id="55"/>
    </w:p>
    <w:p w14:paraId="1273C4A9" w14:textId="77777777" w:rsidR="00E17893" w:rsidRPr="00AE4DBA" w:rsidRDefault="00E17893" w:rsidP="00E17893">
      <w:pPr>
        <w:pStyle w:val="BodyText1"/>
        <w:rPr>
          <w:lang w:val="en-NZ"/>
        </w:rPr>
      </w:pPr>
      <w:r w:rsidRPr="00AE4DBA">
        <w:rPr>
          <w:lang w:val="en-NZ"/>
        </w:rPr>
        <w:t xml:space="preserve">The emissions sources included in this inventory were identified with reference to the methodology in the GHG Protocol and ISO 14064-1:2018 standards. </w:t>
      </w:r>
    </w:p>
    <w:p w14:paraId="1CFCC0EA" w14:textId="58FCB9BF" w:rsidR="00E17893" w:rsidRPr="00AE4DBA" w:rsidRDefault="00E17893" w:rsidP="00E17893">
      <w:pPr>
        <w:pStyle w:val="BodyText1"/>
        <w:rPr>
          <w:lang w:val="en-NZ"/>
        </w:rPr>
      </w:pPr>
      <w:r w:rsidRPr="00AE4DBA">
        <w:rPr>
          <w:lang w:val="en-NZ"/>
        </w:rPr>
        <w:t>An emissions reporting working group was established in December 2021 to standardise emissions reporting across DHBs. A product of this work was the Te Whatu Ora Emissions Reporting Framework, now the Health New Zealand | Te Whatu Ora Emissions Reporting Framework, which guides and supports the progressive inclusion of emissions sources.</w:t>
      </w:r>
      <w:r w:rsidR="006D24D6" w:rsidRPr="00AE4DBA">
        <w:rPr>
          <w:lang w:val="en-NZ"/>
        </w:rPr>
        <w:t xml:space="preserve"> This framework is now under review</w:t>
      </w:r>
      <w:r w:rsidR="00F82D1D" w:rsidRPr="00AE4DBA">
        <w:rPr>
          <w:lang w:val="en-NZ"/>
        </w:rPr>
        <w:t>, as there is continued change within publicly funded health system</w:t>
      </w:r>
      <w:r w:rsidR="002E20EE" w:rsidRPr="00AE4DBA">
        <w:rPr>
          <w:lang w:val="en-NZ"/>
        </w:rPr>
        <w:t>;</w:t>
      </w:r>
      <w:r w:rsidR="00F82D1D" w:rsidRPr="00AE4DBA">
        <w:rPr>
          <w:lang w:val="en-NZ"/>
        </w:rPr>
        <w:t xml:space="preserve"> the value, robustness, timeline and feasibility for wider emissions sources to be formally included in the inventory is being assessed. </w:t>
      </w:r>
      <w:r w:rsidR="004A2494" w:rsidRPr="00AE4DBA">
        <w:rPr>
          <w:lang w:val="en-NZ"/>
        </w:rPr>
        <w:t xml:space="preserve">This review is </w:t>
      </w:r>
      <w:r w:rsidR="00D839AF" w:rsidRPr="00AE4DBA">
        <w:rPr>
          <w:lang w:val="en-NZ"/>
        </w:rPr>
        <w:t>expected</w:t>
      </w:r>
      <w:r w:rsidR="004A2494" w:rsidRPr="00AE4DBA">
        <w:rPr>
          <w:lang w:val="en-NZ"/>
        </w:rPr>
        <w:t xml:space="preserve"> to be complete in FY24/25 and will inform </w:t>
      </w:r>
      <w:r w:rsidR="002F5E66" w:rsidRPr="00AE4DBA">
        <w:rPr>
          <w:lang w:val="en-NZ"/>
        </w:rPr>
        <w:t>if</w:t>
      </w:r>
      <w:r w:rsidR="00D839AF" w:rsidRPr="00AE4DBA">
        <w:rPr>
          <w:lang w:val="en-NZ"/>
        </w:rPr>
        <w:t xml:space="preserve"> </w:t>
      </w:r>
      <w:r w:rsidR="009646C4" w:rsidRPr="00AE4DBA">
        <w:rPr>
          <w:lang w:val="en-NZ"/>
        </w:rPr>
        <w:t xml:space="preserve">and how </w:t>
      </w:r>
      <w:r w:rsidR="00D839AF" w:rsidRPr="00AE4DBA">
        <w:rPr>
          <w:lang w:val="en-NZ"/>
        </w:rPr>
        <w:t>future inventories will be expanded.</w:t>
      </w:r>
    </w:p>
    <w:p w14:paraId="2825293A" w14:textId="77777777" w:rsidR="0052403A" w:rsidRPr="00AE4DBA" w:rsidRDefault="0052403A" w:rsidP="00A4251B"/>
    <w:p w14:paraId="5B1789CA" w14:textId="2E07134C" w:rsidR="00E40E6B" w:rsidRPr="00AE4DBA" w:rsidRDefault="00E40E6B" w:rsidP="00E40E6B">
      <w:pPr>
        <w:pStyle w:val="Caption"/>
        <w:keepNext/>
      </w:pPr>
      <w:bookmarkStart w:id="56" w:name="_Toc176252085"/>
      <w:r w:rsidRPr="00AE4DBA">
        <w:t xml:space="preserve">Table </w:t>
      </w:r>
      <w:r>
        <w:fldChar w:fldCharType="begin"/>
      </w:r>
      <w:r>
        <w:instrText>SEQ Table \* ARABIC</w:instrText>
      </w:r>
      <w:r>
        <w:fldChar w:fldCharType="separate"/>
      </w:r>
      <w:r w:rsidR="003130CC" w:rsidRPr="00AE4DBA">
        <w:rPr>
          <w:noProof/>
        </w:rPr>
        <w:t>7</w:t>
      </w:r>
      <w:r>
        <w:fldChar w:fldCharType="end"/>
      </w:r>
      <w:r w:rsidRPr="00AE4DBA">
        <w:t xml:space="preserve"> Emissions sources included in inventory FY2023/24</w:t>
      </w:r>
      <w:bookmarkEnd w:id="56"/>
    </w:p>
    <w:tbl>
      <w:tblPr>
        <w:tblStyle w:val="ListTable3-Accent2"/>
        <w:tblpPr w:leftFromText="180" w:rightFromText="180" w:vertAnchor="text" w:horzAnchor="margin" w:tblpY="86"/>
        <w:tblW w:w="9072" w:type="dxa"/>
        <w:tblLook w:val="04A0" w:firstRow="1" w:lastRow="0" w:firstColumn="1" w:lastColumn="0" w:noHBand="0" w:noVBand="1"/>
      </w:tblPr>
      <w:tblGrid>
        <w:gridCol w:w="1696"/>
        <w:gridCol w:w="7376"/>
      </w:tblGrid>
      <w:tr w:rsidR="009043EC" w:rsidRPr="00AE4DBA" w14:paraId="3438C985" w14:textId="77777777" w:rsidTr="009043EC">
        <w:trPr>
          <w:cnfStyle w:val="100000000000" w:firstRow="1" w:lastRow="0" w:firstColumn="0" w:lastColumn="0" w:oddVBand="0" w:evenVBand="0" w:oddHBand="0" w:evenHBand="0" w:firstRowFirstColumn="0" w:firstRowLastColumn="0" w:lastRowFirstColumn="0" w:lastRowLastColumn="0"/>
          <w:trHeight w:hRule="exact" w:val="20"/>
        </w:trPr>
        <w:tc>
          <w:tcPr>
            <w:cnfStyle w:val="001000000100" w:firstRow="0" w:lastRow="0" w:firstColumn="1" w:lastColumn="0" w:oddVBand="0" w:evenVBand="0" w:oddHBand="0" w:evenHBand="0" w:firstRowFirstColumn="1" w:firstRowLastColumn="0" w:lastRowFirstColumn="0" w:lastRowLastColumn="0"/>
            <w:tcW w:w="1696" w:type="dxa"/>
            <w:tcBorders>
              <w:top w:val="nil"/>
              <w:left w:val="nil"/>
            </w:tcBorders>
            <w:shd w:val="clear" w:color="auto" w:fill="002672" w:themeFill="accent2" w:themeFillShade="BF"/>
            <w:vAlign w:val="center"/>
          </w:tcPr>
          <w:p w14:paraId="597C3E05" w14:textId="77777777" w:rsidR="009043EC" w:rsidRPr="00AE4DBA" w:rsidRDefault="009043EC" w:rsidP="009043EC">
            <w:pPr>
              <w:rPr>
                <w:sz w:val="2"/>
              </w:rPr>
            </w:pPr>
            <w:bookmarkStart w:id="57" w:name="_6492fd18_c79e_4a6c_85a6_e0f796dad32f"/>
            <w:bookmarkStart w:id="58" w:name="_6dadedf9_2a8f_49bb_b685_781e0c9b7d2f"/>
          </w:p>
        </w:tc>
        <w:tc>
          <w:tcPr>
            <w:tcW w:w="7376" w:type="dxa"/>
            <w:tcBorders>
              <w:top w:val="nil"/>
              <w:left w:val="nil"/>
              <w:bottom w:val="nil"/>
              <w:right w:val="nil"/>
            </w:tcBorders>
            <w:shd w:val="clear" w:color="auto" w:fill="002672" w:themeFill="accent2" w:themeFillShade="BF"/>
            <w:vAlign w:val="center"/>
          </w:tcPr>
          <w:p w14:paraId="0E642DAC" w14:textId="77777777" w:rsidR="009043EC" w:rsidRPr="00AE4DBA" w:rsidRDefault="009043EC" w:rsidP="009043EC">
            <w:pPr>
              <w:cnfStyle w:val="100000000000" w:firstRow="1" w:lastRow="0" w:firstColumn="0" w:lastColumn="0" w:oddVBand="0" w:evenVBand="0" w:oddHBand="0" w:evenHBand="0" w:firstRowFirstColumn="0" w:firstRowLastColumn="0" w:lastRowFirstColumn="0" w:lastRowLastColumn="0"/>
              <w:rPr>
                <w:sz w:val="2"/>
              </w:rPr>
            </w:pPr>
          </w:p>
        </w:tc>
      </w:tr>
      <w:tr w:rsidR="009043EC" w:rsidRPr="00AE4DBA" w14:paraId="094C10DC" w14:textId="77777777" w:rsidTr="7C571EA4">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696" w:type="dxa"/>
            <w:tcBorders>
              <w:top w:val="nil"/>
              <w:left w:val="nil"/>
              <w:bottom w:val="nil"/>
            </w:tcBorders>
            <w:shd w:val="clear" w:color="auto" w:fill="15284C" w:themeFill="accent5"/>
            <w:vAlign w:val="center"/>
          </w:tcPr>
          <w:p w14:paraId="0197C957" w14:textId="77777777" w:rsidR="009043EC" w:rsidRPr="00AE4DBA" w:rsidRDefault="009043EC" w:rsidP="009043EC">
            <w:pPr>
              <w:pStyle w:val="BodyText1"/>
              <w:spacing w:before="0"/>
              <w:rPr>
                <w:color w:val="F6F4EC" w:themeColor="background1"/>
                <w:highlight w:val="yellow"/>
                <w:lang w:val="en-NZ"/>
              </w:rPr>
            </w:pPr>
          </w:p>
        </w:tc>
        <w:tc>
          <w:tcPr>
            <w:tcW w:w="7376" w:type="dxa"/>
            <w:tcBorders>
              <w:top w:val="nil"/>
              <w:left w:val="nil"/>
              <w:bottom w:val="nil"/>
              <w:right w:val="nil"/>
            </w:tcBorders>
            <w:shd w:val="clear" w:color="auto" w:fill="15284C" w:themeFill="accent5"/>
            <w:vAlign w:val="center"/>
          </w:tcPr>
          <w:p w14:paraId="3713AFCD" w14:textId="77777777" w:rsidR="009043EC" w:rsidRPr="00AE4DBA" w:rsidRDefault="009043EC" w:rsidP="009043EC">
            <w:pPr>
              <w:pStyle w:val="BodyText1"/>
              <w:spacing w:before="0"/>
              <w:jc w:val="both"/>
              <w:cnfStyle w:val="000000100000" w:firstRow="0" w:lastRow="0" w:firstColumn="0" w:lastColumn="0" w:oddVBand="0" w:evenVBand="0" w:oddHBand="1" w:evenHBand="0" w:firstRowFirstColumn="0" w:firstRowLastColumn="0" w:lastRowFirstColumn="0" w:lastRowLastColumn="0"/>
              <w:rPr>
                <w:b/>
                <w:color w:val="F6F4EC" w:themeColor="background1"/>
                <w:sz w:val="24"/>
                <w:lang w:val="en-NZ"/>
              </w:rPr>
            </w:pPr>
            <w:r w:rsidRPr="00AE4DBA">
              <w:rPr>
                <w:color w:val="F6F4EC" w:themeColor="background1"/>
                <w:sz w:val="24"/>
                <w:lang w:val="en-NZ"/>
              </w:rPr>
              <w:t xml:space="preserve"> </w:t>
            </w:r>
            <w:r w:rsidRPr="00AE4DBA">
              <w:rPr>
                <w:b/>
                <w:color w:val="F6F4EC" w:themeColor="background1"/>
                <w:sz w:val="24"/>
                <w:lang w:val="en-NZ"/>
              </w:rPr>
              <w:t>Emission activities in scope</w:t>
            </w:r>
          </w:p>
        </w:tc>
      </w:tr>
      <w:tr w:rsidR="009043EC" w:rsidRPr="00AE4DBA" w14:paraId="66743814" w14:textId="77777777" w:rsidTr="009043EC">
        <w:trPr>
          <w:trHeight w:val="378"/>
        </w:trPr>
        <w:tc>
          <w:tcPr>
            <w:cnfStyle w:val="001000000000" w:firstRow="0" w:lastRow="0" w:firstColumn="1" w:lastColumn="0" w:oddVBand="0" w:evenVBand="0" w:oddHBand="0" w:evenHBand="0" w:firstRowFirstColumn="0" w:firstRowLastColumn="0" w:lastRowFirstColumn="0" w:lastRowLastColumn="0"/>
            <w:tcW w:w="1696" w:type="dxa"/>
            <w:tcBorders>
              <w:top w:val="nil"/>
              <w:left w:val="single" w:sz="4" w:space="0" w:color="F6F4EC" w:themeColor="background1"/>
              <w:bottom w:val="single" w:sz="8" w:space="0" w:color="002672" w:themeColor="accent2" w:themeShade="BF"/>
            </w:tcBorders>
            <w:vAlign w:val="center"/>
          </w:tcPr>
          <w:p w14:paraId="462F8E81" w14:textId="77777777" w:rsidR="009043EC" w:rsidRPr="00AE4DBA" w:rsidRDefault="009043EC" w:rsidP="009043EC">
            <w:pPr>
              <w:pStyle w:val="BodyText1"/>
              <w:rPr>
                <w:lang w:val="en-NZ"/>
              </w:rPr>
            </w:pPr>
            <w:r w:rsidRPr="00AE4DBA">
              <w:rPr>
                <w:lang w:val="en-NZ"/>
              </w:rPr>
              <w:t>Category 1</w:t>
            </w:r>
          </w:p>
        </w:tc>
        <w:tc>
          <w:tcPr>
            <w:tcW w:w="7376" w:type="dxa"/>
            <w:tcBorders>
              <w:top w:val="nil"/>
              <w:bottom w:val="single" w:sz="8" w:space="0" w:color="002672" w:themeColor="accent2" w:themeShade="BF"/>
              <w:right w:val="single" w:sz="12" w:space="0" w:color="F6F4EC" w:themeColor="background1"/>
            </w:tcBorders>
            <w:vAlign w:val="center"/>
          </w:tcPr>
          <w:p w14:paraId="297AC8C0" w14:textId="51F23912" w:rsidR="009043EC" w:rsidRPr="00AE4DBA" w:rsidRDefault="009043EC" w:rsidP="009043EC">
            <w:pPr>
              <w:pStyle w:val="BodyText1"/>
              <w:cnfStyle w:val="000000000000" w:firstRow="0" w:lastRow="0" w:firstColumn="0" w:lastColumn="0" w:oddVBand="0" w:evenVBand="0" w:oddHBand="0" w:evenHBand="0" w:firstRowFirstColumn="0" w:firstRowLastColumn="0" w:lastRowFirstColumn="0" w:lastRowLastColumn="0"/>
              <w:rPr>
                <w:lang w:val="en-NZ"/>
              </w:rPr>
            </w:pPr>
            <w:r w:rsidRPr="00AE4DBA">
              <w:rPr>
                <w:lang w:val="en-NZ"/>
              </w:rPr>
              <w:t>Coal, natural gas, LPG, diesel stationary, biomass, refrigerants, medical gases (N</w:t>
            </w:r>
            <w:r w:rsidRPr="00AE4DBA">
              <w:rPr>
                <w:vertAlign w:val="subscript"/>
                <w:lang w:val="en-NZ"/>
              </w:rPr>
              <w:t>2</w:t>
            </w:r>
            <w:r w:rsidRPr="00AE4DBA">
              <w:rPr>
                <w:lang w:val="en-NZ"/>
              </w:rPr>
              <w:t>O, Entonox, CO</w:t>
            </w:r>
            <w:r w:rsidRPr="00AE4DBA">
              <w:rPr>
                <w:vertAlign w:val="subscript"/>
                <w:lang w:val="en-NZ"/>
              </w:rPr>
              <w:t>2</w:t>
            </w:r>
            <w:r w:rsidRPr="00AE4DBA">
              <w:rPr>
                <w:lang w:val="en-NZ"/>
              </w:rPr>
              <w:t xml:space="preserve">, </w:t>
            </w:r>
            <w:r w:rsidRPr="00AE4DBA">
              <w:rPr>
                <w:rFonts w:eastAsia="Times New Roman" w:cs="Calibri"/>
                <w:lang w:val="en-NZ"/>
              </w:rPr>
              <w:t>CH</w:t>
            </w:r>
            <w:r w:rsidRPr="00AE4DBA">
              <w:rPr>
                <w:rFonts w:eastAsia="Times New Roman" w:cs="Calibri"/>
                <w:vertAlign w:val="subscript"/>
                <w:lang w:val="en-NZ"/>
              </w:rPr>
              <w:t>4</w:t>
            </w:r>
            <w:r w:rsidRPr="00AE4DBA">
              <w:rPr>
                <w:lang w:val="en-NZ"/>
              </w:rPr>
              <w:t>, Acetylene), Anaesthetic vapours (Desflurane, Isoflurane, Sevoflurane), fleet fuels</w:t>
            </w:r>
            <w:r w:rsidR="085BEF09" w:rsidRPr="7C571EA4">
              <w:rPr>
                <w:lang w:val="en-NZ"/>
              </w:rPr>
              <w:t>.</w:t>
            </w:r>
            <w:r w:rsidR="05AE92B3" w:rsidRPr="7C571EA4">
              <w:rPr>
                <w:lang w:val="en-NZ"/>
              </w:rPr>
              <w:t xml:space="preserve"> </w:t>
            </w:r>
          </w:p>
        </w:tc>
      </w:tr>
      <w:tr w:rsidR="009043EC" w:rsidRPr="00AE4DBA" w14:paraId="1920BF94" w14:textId="77777777" w:rsidTr="009043EC">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002672" w:themeColor="accent2" w:themeShade="BF"/>
              <w:left w:val="single" w:sz="4" w:space="0" w:color="F6F4EC" w:themeColor="background1"/>
              <w:bottom w:val="single" w:sz="8" w:space="0" w:color="002672" w:themeColor="accent2" w:themeShade="BF"/>
            </w:tcBorders>
            <w:vAlign w:val="center"/>
          </w:tcPr>
          <w:p w14:paraId="1398384D" w14:textId="77777777" w:rsidR="009043EC" w:rsidRPr="00AE4DBA" w:rsidRDefault="009043EC" w:rsidP="009043EC">
            <w:pPr>
              <w:pStyle w:val="BodyText1"/>
              <w:rPr>
                <w:lang w:val="en-NZ"/>
              </w:rPr>
            </w:pPr>
            <w:r w:rsidRPr="00AE4DBA">
              <w:rPr>
                <w:lang w:val="en-NZ"/>
              </w:rPr>
              <w:t>Category 2</w:t>
            </w:r>
          </w:p>
        </w:tc>
        <w:tc>
          <w:tcPr>
            <w:tcW w:w="7376" w:type="dxa"/>
            <w:tcBorders>
              <w:top w:val="single" w:sz="8" w:space="0" w:color="002672" w:themeColor="accent2" w:themeShade="BF"/>
              <w:bottom w:val="single" w:sz="8" w:space="0" w:color="002672" w:themeColor="accent2" w:themeShade="BF"/>
              <w:right w:val="single" w:sz="12" w:space="0" w:color="F6F4EC" w:themeColor="background1"/>
            </w:tcBorders>
            <w:vAlign w:val="center"/>
          </w:tcPr>
          <w:p w14:paraId="51B49E10" w14:textId="2A576CE2" w:rsidR="009043EC" w:rsidRPr="00AE4DBA" w:rsidRDefault="009043EC" w:rsidP="009043EC">
            <w:pPr>
              <w:pStyle w:val="BodyText1"/>
              <w:cnfStyle w:val="000000100000" w:firstRow="0" w:lastRow="0" w:firstColumn="0" w:lastColumn="0" w:oddVBand="0" w:evenVBand="0" w:oddHBand="1" w:evenHBand="0" w:firstRowFirstColumn="0" w:firstRowLastColumn="0" w:lastRowFirstColumn="0" w:lastRowLastColumn="0"/>
              <w:rPr>
                <w:lang w:val="en-NZ"/>
              </w:rPr>
            </w:pPr>
            <w:r w:rsidRPr="00AE4DBA">
              <w:rPr>
                <w:lang w:val="en-NZ"/>
              </w:rPr>
              <w:t>Electricity, purchased steam from coal, biomass and landfill gas</w:t>
            </w:r>
            <w:r w:rsidR="00F50A41">
              <w:rPr>
                <w:lang w:val="en-NZ"/>
              </w:rPr>
              <w:t xml:space="preserve"> sources.</w:t>
            </w:r>
          </w:p>
        </w:tc>
      </w:tr>
      <w:tr w:rsidR="009043EC" w:rsidRPr="00AE4DBA" w14:paraId="27045605" w14:textId="77777777" w:rsidTr="009043EC">
        <w:trPr>
          <w:trHeight w:val="385"/>
        </w:trPr>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002672" w:themeColor="accent2" w:themeShade="BF"/>
              <w:left w:val="single" w:sz="4" w:space="0" w:color="F6F4EC" w:themeColor="background1"/>
              <w:bottom w:val="single" w:sz="8" w:space="0" w:color="002672" w:themeColor="accent2" w:themeShade="BF"/>
            </w:tcBorders>
            <w:vAlign w:val="center"/>
          </w:tcPr>
          <w:p w14:paraId="18625C99" w14:textId="77777777" w:rsidR="009043EC" w:rsidRPr="00AE4DBA" w:rsidDel="00726F76" w:rsidRDefault="009043EC" w:rsidP="009043EC">
            <w:pPr>
              <w:pStyle w:val="BodyText1"/>
              <w:rPr>
                <w:lang w:val="en-NZ"/>
              </w:rPr>
            </w:pPr>
            <w:r w:rsidRPr="00AE4DBA">
              <w:rPr>
                <w:lang w:val="en-NZ"/>
              </w:rPr>
              <w:t>Category 3</w:t>
            </w:r>
          </w:p>
        </w:tc>
        <w:tc>
          <w:tcPr>
            <w:tcW w:w="7376" w:type="dxa"/>
            <w:tcBorders>
              <w:top w:val="single" w:sz="8" w:space="0" w:color="002672" w:themeColor="accent2" w:themeShade="BF"/>
              <w:bottom w:val="single" w:sz="8" w:space="0" w:color="002672" w:themeColor="accent2" w:themeShade="BF"/>
              <w:right w:val="single" w:sz="12" w:space="0" w:color="F6F4EC" w:themeColor="background1"/>
            </w:tcBorders>
            <w:vAlign w:val="center"/>
          </w:tcPr>
          <w:p w14:paraId="1087062B" w14:textId="32F3A5A0" w:rsidR="009043EC" w:rsidRPr="00AE4DBA" w:rsidDel="00C10869" w:rsidRDefault="009043EC" w:rsidP="009043EC">
            <w:pPr>
              <w:pStyle w:val="BodyText1"/>
              <w:cnfStyle w:val="000000000000" w:firstRow="0" w:lastRow="0" w:firstColumn="0" w:lastColumn="0" w:oddVBand="0" w:evenVBand="0" w:oddHBand="0" w:evenHBand="0" w:firstRowFirstColumn="0" w:firstRowLastColumn="0" w:lastRowFirstColumn="0" w:lastRowLastColumn="0"/>
              <w:rPr>
                <w:lang w:val="en-NZ"/>
              </w:rPr>
            </w:pPr>
            <w:r w:rsidRPr="00AE4DBA">
              <w:rPr>
                <w:lang w:val="en-NZ"/>
              </w:rPr>
              <w:t>Staff air travel. Patient air travel by airline, helicopter and medical aeroplanes. Patient travel by ambulance. Patient National Travel Assistance claims (mileage, air travel, public transport, accommodation).  Accommodation for patients</w:t>
            </w:r>
            <w:r w:rsidR="24DCB24B" w:rsidRPr="39D90FF9">
              <w:rPr>
                <w:lang w:val="en-NZ"/>
              </w:rPr>
              <w:t xml:space="preserve"> paid for directly by Health </w:t>
            </w:r>
            <w:r w:rsidR="24DCB24B" w:rsidRPr="20BAACE3">
              <w:rPr>
                <w:lang w:val="en-NZ"/>
              </w:rPr>
              <w:t>NZ</w:t>
            </w:r>
            <w:r w:rsidR="00F50A41">
              <w:rPr>
                <w:lang w:val="en-NZ"/>
              </w:rPr>
              <w:t>.</w:t>
            </w:r>
          </w:p>
        </w:tc>
      </w:tr>
      <w:tr w:rsidR="009043EC" w:rsidRPr="00AE4DBA" w14:paraId="24699B00" w14:textId="77777777" w:rsidTr="009043EC">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002672" w:themeColor="accent2" w:themeShade="BF"/>
              <w:left w:val="single" w:sz="4" w:space="0" w:color="F6F4EC" w:themeColor="background1"/>
              <w:bottom w:val="single" w:sz="8" w:space="0" w:color="002672" w:themeColor="accent2" w:themeShade="BF"/>
            </w:tcBorders>
            <w:vAlign w:val="center"/>
          </w:tcPr>
          <w:p w14:paraId="6C64D2B5" w14:textId="77777777" w:rsidR="009043EC" w:rsidRPr="00AE4DBA" w:rsidRDefault="009043EC" w:rsidP="009043EC">
            <w:pPr>
              <w:pStyle w:val="BodyText1"/>
              <w:rPr>
                <w:lang w:val="en-NZ"/>
              </w:rPr>
            </w:pPr>
            <w:r w:rsidRPr="00AE4DBA">
              <w:rPr>
                <w:lang w:val="en-NZ"/>
              </w:rPr>
              <w:lastRenderedPageBreak/>
              <w:t>Category 4</w:t>
            </w:r>
          </w:p>
        </w:tc>
        <w:tc>
          <w:tcPr>
            <w:tcW w:w="7376" w:type="dxa"/>
            <w:tcBorders>
              <w:top w:val="single" w:sz="8" w:space="0" w:color="002672" w:themeColor="accent2" w:themeShade="BF"/>
              <w:bottom w:val="single" w:sz="8" w:space="0" w:color="002672" w:themeColor="accent2" w:themeShade="BF"/>
              <w:right w:val="single" w:sz="12" w:space="0" w:color="F6F4EC" w:themeColor="background1"/>
            </w:tcBorders>
            <w:vAlign w:val="center"/>
          </w:tcPr>
          <w:p w14:paraId="72F4623C" w14:textId="46334D4D" w:rsidR="009043EC" w:rsidRPr="00AE4DBA" w:rsidRDefault="009043EC" w:rsidP="009043EC">
            <w:pPr>
              <w:pStyle w:val="BodyText1"/>
              <w:cnfStyle w:val="000000100000" w:firstRow="0" w:lastRow="0" w:firstColumn="0" w:lastColumn="0" w:oddVBand="0" w:evenVBand="0" w:oddHBand="1" w:evenHBand="0" w:firstRowFirstColumn="0" w:firstRowLastColumn="0" w:lastRowFirstColumn="0" w:lastRowLastColumn="0"/>
              <w:rPr>
                <w:lang w:val="en-NZ"/>
              </w:rPr>
            </w:pPr>
            <w:r w:rsidRPr="00AE4DBA">
              <w:rPr>
                <w:lang w:val="en-NZ"/>
              </w:rPr>
              <w:t xml:space="preserve">Waste to landfill, incinerated waste, transmission and distribution losses </w:t>
            </w:r>
            <w:r w:rsidR="00A1171B" w:rsidRPr="00AE4DBA">
              <w:rPr>
                <w:lang w:val="en-NZ"/>
              </w:rPr>
              <w:t xml:space="preserve">for natural </w:t>
            </w:r>
            <w:r w:rsidRPr="00AE4DBA">
              <w:rPr>
                <w:lang w:val="en-NZ"/>
              </w:rPr>
              <w:t>gas and electricity, distributed energy, water and wastewater.</w:t>
            </w:r>
          </w:p>
        </w:tc>
      </w:tr>
      <w:bookmarkEnd w:id="57"/>
      <w:bookmarkEnd w:id="58"/>
    </w:tbl>
    <w:p w14:paraId="56E42D30" w14:textId="727981E5" w:rsidR="00D94E02" w:rsidRPr="00AE4DBA" w:rsidRDefault="00D94E02" w:rsidP="00D94E02">
      <w:pPr>
        <w:pStyle w:val="Caption"/>
        <w:keepNext/>
      </w:pPr>
    </w:p>
    <w:p w14:paraId="170EB0DD" w14:textId="6E3A352E" w:rsidR="00E17893" w:rsidRPr="00AE4DBA" w:rsidRDefault="00E17893" w:rsidP="005146FC">
      <w:pPr>
        <w:pStyle w:val="Tableheading-reverse"/>
        <w:numPr>
          <w:ilvl w:val="2"/>
          <w:numId w:val="5"/>
        </w:numPr>
      </w:pPr>
      <w:bookmarkStart w:id="59" w:name="_Toc176345126"/>
      <w:r w:rsidRPr="00AE4DBA">
        <w:t>Emissions sources excluded</w:t>
      </w:r>
      <w:bookmarkEnd w:id="59"/>
    </w:p>
    <w:p w14:paraId="3AD80F6C" w14:textId="6C0C31B5" w:rsidR="00C86C73" w:rsidRPr="00AE4DBA" w:rsidRDefault="00C86C73" w:rsidP="00C86C73">
      <w:pPr>
        <w:pStyle w:val="BodyText1"/>
        <w:rPr>
          <w:lang w:val="en-NZ"/>
        </w:rPr>
      </w:pPr>
      <w:r w:rsidRPr="00AE4DBA">
        <w:rPr>
          <w:lang w:val="en-NZ"/>
        </w:rPr>
        <w:t xml:space="preserve">Activities that contribute significantly to </w:t>
      </w:r>
      <w:r w:rsidR="00E40E6B" w:rsidRPr="00AE4DBA">
        <w:rPr>
          <w:lang w:val="en-NZ"/>
        </w:rPr>
        <w:t xml:space="preserve">Health </w:t>
      </w:r>
      <w:r w:rsidR="00166998" w:rsidRPr="00AE4DBA">
        <w:rPr>
          <w:lang w:val="en-NZ"/>
        </w:rPr>
        <w:t>NZ</w:t>
      </w:r>
      <w:r w:rsidR="00E40E6B" w:rsidRPr="00AE4DBA">
        <w:rPr>
          <w:lang w:val="en-NZ"/>
        </w:rPr>
        <w:t>’s</w:t>
      </w:r>
      <w:r w:rsidRPr="00AE4DBA">
        <w:rPr>
          <w:lang w:val="en-NZ"/>
        </w:rPr>
        <w:t xml:space="preserve"> total emissions and are not included in this baseline inventory</w:t>
      </w:r>
      <w:r w:rsidR="00262044" w:rsidRPr="00AE4DBA">
        <w:rPr>
          <w:lang w:val="en-NZ"/>
        </w:rPr>
        <w:t xml:space="preserve">; typically called </w:t>
      </w:r>
      <w:r w:rsidR="00C378CB" w:rsidRPr="00AE4DBA">
        <w:rPr>
          <w:lang w:val="en-NZ"/>
        </w:rPr>
        <w:t xml:space="preserve">the </w:t>
      </w:r>
      <w:r w:rsidR="006B22F2" w:rsidRPr="00AE4DBA">
        <w:rPr>
          <w:lang w:val="en-NZ"/>
        </w:rPr>
        <w:t xml:space="preserve">‘Footprint </w:t>
      </w:r>
      <w:proofErr w:type="spellStart"/>
      <w:r w:rsidR="006B22F2" w:rsidRPr="00AE4DBA">
        <w:rPr>
          <w:lang w:val="en-NZ"/>
        </w:rPr>
        <w:t>Plus’</w:t>
      </w:r>
      <w:proofErr w:type="spellEnd"/>
      <w:r w:rsidR="006B22F2" w:rsidRPr="00AE4DBA">
        <w:rPr>
          <w:lang w:val="en-NZ"/>
        </w:rPr>
        <w:t xml:space="preserve"> these</w:t>
      </w:r>
      <w:r w:rsidRPr="00AE4DBA">
        <w:rPr>
          <w:lang w:val="en-NZ"/>
        </w:rPr>
        <w:t xml:space="preserve"> include staff commut</w:t>
      </w:r>
      <w:r w:rsidR="006B22F2" w:rsidRPr="00AE4DBA">
        <w:rPr>
          <w:lang w:val="en-NZ"/>
        </w:rPr>
        <w:t>ing</w:t>
      </w:r>
      <w:r w:rsidRPr="00AE4DBA">
        <w:rPr>
          <w:lang w:val="en-NZ"/>
        </w:rPr>
        <w:t xml:space="preserve">, patient </w:t>
      </w:r>
      <w:r w:rsidR="006B22F2" w:rsidRPr="00AE4DBA">
        <w:rPr>
          <w:lang w:val="en-NZ"/>
        </w:rPr>
        <w:t xml:space="preserve">and visitor private </w:t>
      </w:r>
      <w:r w:rsidRPr="00AE4DBA">
        <w:rPr>
          <w:lang w:val="en-NZ"/>
        </w:rPr>
        <w:t xml:space="preserve">travel, </w:t>
      </w:r>
      <w:r w:rsidR="006730CE" w:rsidRPr="00AE4DBA">
        <w:rPr>
          <w:lang w:val="en-NZ"/>
        </w:rPr>
        <w:t>purchased goods and services</w:t>
      </w:r>
      <w:r w:rsidR="0059127F" w:rsidRPr="00AE4DBA">
        <w:rPr>
          <w:lang w:val="en-NZ"/>
        </w:rPr>
        <w:t xml:space="preserve"> </w:t>
      </w:r>
      <w:r w:rsidR="0059127F" w:rsidRPr="7C571EA4">
        <w:rPr>
          <w:lang w:val="en-NZ"/>
        </w:rPr>
        <w:t>inclusi</w:t>
      </w:r>
      <w:r w:rsidR="00CF2202" w:rsidRPr="7C571EA4">
        <w:rPr>
          <w:lang w:val="en-NZ"/>
        </w:rPr>
        <w:t>ve</w:t>
      </w:r>
      <w:r w:rsidR="0059127F" w:rsidRPr="00AE4DBA">
        <w:rPr>
          <w:lang w:val="en-NZ"/>
        </w:rPr>
        <w:t xml:space="preserve"> of commissioned healthcare services</w:t>
      </w:r>
      <w:r w:rsidRPr="00AE4DBA">
        <w:rPr>
          <w:lang w:val="en-NZ"/>
        </w:rPr>
        <w:t xml:space="preserve">, and </w:t>
      </w:r>
      <w:r w:rsidR="006730CE" w:rsidRPr="00AE4DBA">
        <w:rPr>
          <w:lang w:val="en-NZ"/>
        </w:rPr>
        <w:t>the embodied emissions arising from c</w:t>
      </w:r>
      <w:r w:rsidR="006B22F2" w:rsidRPr="00AE4DBA">
        <w:rPr>
          <w:lang w:val="en-NZ"/>
        </w:rPr>
        <w:t>apital works</w:t>
      </w:r>
      <w:r w:rsidR="006730CE" w:rsidRPr="00AE4DBA">
        <w:rPr>
          <w:lang w:val="en-NZ"/>
        </w:rPr>
        <w:t xml:space="preserve"> and new buildings</w:t>
      </w:r>
      <w:r w:rsidRPr="00AE4DBA">
        <w:rPr>
          <w:lang w:val="en-NZ"/>
        </w:rPr>
        <w:t xml:space="preserve">. As alluded to </w:t>
      </w:r>
      <w:r w:rsidR="006730CE" w:rsidRPr="00AE4DBA">
        <w:rPr>
          <w:lang w:val="en-NZ"/>
        </w:rPr>
        <w:t>above</w:t>
      </w:r>
      <w:r w:rsidRPr="00AE4DBA">
        <w:rPr>
          <w:lang w:val="en-NZ"/>
        </w:rPr>
        <w:t>, these sources have not been included in this year’s inventory due to data sources and data collection methodologies lack sufficient maturity to provide reasonable assurance of their accuracy.</w:t>
      </w:r>
      <w:r w:rsidR="00E40E6B" w:rsidRPr="00AE4DBA">
        <w:rPr>
          <w:lang w:val="en-NZ"/>
        </w:rPr>
        <w:t xml:space="preserve"> They do nonetheless remain a priority </w:t>
      </w:r>
      <w:r w:rsidR="00262044" w:rsidRPr="00AE4DBA">
        <w:rPr>
          <w:lang w:val="en-NZ"/>
        </w:rPr>
        <w:t>for reduction activities</w:t>
      </w:r>
      <w:r w:rsidR="00E40E6B" w:rsidRPr="00AE4DBA">
        <w:rPr>
          <w:lang w:val="en-NZ"/>
        </w:rPr>
        <w:t>.</w:t>
      </w:r>
    </w:p>
    <w:p w14:paraId="5283DBD7" w14:textId="77435FBC" w:rsidR="00777972" w:rsidRPr="00AE4DBA" w:rsidRDefault="00777972" w:rsidP="00C86C73">
      <w:pPr>
        <w:pStyle w:val="BodyText1"/>
        <w:rPr>
          <w:lang w:val="en-NZ"/>
        </w:rPr>
      </w:pPr>
      <w:r w:rsidRPr="00AE4DBA">
        <w:rPr>
          <w:lang w:val="en-NZ"/>
        </w:rPr>
        <w:t>Health NZ is also subject to the requirements of the CNGP, which lists several emissions sources that would ordinarily be considered de minim</w:t>
      </w:r>
      <w:r w:rsidR="00BB2B17" w:rsidRPr="00AE4DBA">
        <w:rPr>
          <w:lang w:val="en-NZ"/>
        </w:rPr>
        <w:t>i</w:t>
      </w:r>
      <w:r w:rsidRPr="00AE4DBA">
        <w:rPr>
          <w:lang w:val="en-NZ"/>
        </w:rPr>
        <w:t>s as mandatory</w:t>
      </w:r>
      <w:r w:rsidR="00AC19A6" w:rsidRPr="00AE4DBA">
        <w:rPr>
          <w:lang w:val="en-NZ"/>
        </w:rPr>
        <w:t xml:space="preserve"> </w:t>
      </w:r>
      <w:r w:rsidRPr="00AE4DBA">
        <w:rPr>
          <w:lang w:val="en-NZ"/>
        </w:rPr>
        <w:t>for inclusion. These include:</w:t>
      </w:r>
    </w:p>
    <w:p w14:paraId="52429DA2" w14:textId="0C2DE190" w:rsidR="00777972" w:rsidRPr="00AE4DBA" w:rsidRDefault="0052403A" w:rsidP="00141DF0">
      <w:pPr>
        <w:pStyle w:val="BodyText1"/>
        <w:numPr>
          <w:ilvl w:val="0"/>
          <w:numId w:val="7"/>
        </w:numPr>
        <w:rPr>
          <w:lang w:val="en-NZ"/>
        </w:rPr>
      </w:pPr>
      <w:r w:rsidRPr="00AE4DBA">
        <w:rPr>
          <w:lang w:val="en-NZ"/>
        </w:rPr>
        <w:t>Energy</w:t>
      </w:r>
      <w:r w:rsidR="00777972" w:rsidRPr="00AE4DBA">
        <w:rPr>
          <w:lang w:val="en-NZ"/>
        </w:rPr>
        <w:t xml:space="preserve"> sources such as stationary diesel,</w:t>
      </w:r>
      <w:r w:rsidR="00332F18" w:rsidRPr="00AE4DBA">
        <w:rPr>
          <w:lang w:val="en-NZ"/>
        </w:rPr>
        <w:t xml:space="preserve"> </w:t>
      </w:r>
      <w:r w:rsidR="00777972" w:rsidRPr="00AE4DBA">
        <w:rPr>
          <w:lang w:val="en-NZ"/>
        </w:rPr>
        <w:t>LPG, biomass and purchased steam from biomass or landfill gas.</w:t>
      </w:r>
    </w:p>
    <w:p w14:paraId="759AF50E" w14:textId="77777777" w:rsidR="00777972" w:rsidRPr="00AE4DBA" w:rsidRDefault="00777972" w:rsidP="00141DF0">
      <w:pPr>
        <w:pStyle w:val="BodyText1"/>
        <w:numPr>
          <w:ilvl w:val="0"/>
          <w:numId w:val="7"/>
        </w:numPr>
        <w:rPr>
          <w:lang w:val="en-NZ"/>
        </w:rPr>
      </w:pPr>
      <w:r w:rsidRPr="00AE4DBA">
        <w:rPr>
          <w:lang w:val="en-NZ"/>
        </w:rPr>
        <w:t>Refrigerants</w:t>
      </w:r>
    </w:p>
    <w:p w14:paraId="542A293F" w14:textId="77777777" w:rsidR="00332F18" w:rsidRPr="00AE4DBA" w:rsidRDefault="00332F18" w:rsidP="00141DF0">
      <w:pPr>
        <w:pStyle w:val="BodyText1"/>
        <w:numPr>
          <w:ilvl w:val="0"/>
          <w:numId w:val="7"/>
        </w:numPr>
        <w:rPr>
          <w:lang w:val="en-NZ"/>
        </w:rPr>
      </w:pPr>
      <w:r w:rsidRPr="00AE4DBA">
        <w:rPr>
          <w:lang w:val="en-NZ"/>
        </w:rPr>
        <w:t>Water</w:t>
      </w:r>
    </w:p>
    <w:p w14:paraId="52320992" w14:textId="259544C1" w:rsidR="00332F18" w:rsidRPr="00AE4DBA" w:rsidRDefault="00332F18" w:rsidP="00332F18">
      <w:pPr>
        <w:pStyle w:val="BodyText1"/>
        <w:rPr>
          <w:lang w:val="en-NZ"/>
        </w:rPr>
      </w:pPr>
      <w:r w:rsidRPr="00AE4DBA">
        <w:rPr>
          <w:lang w:val="en-NZ"/>
        </w:rPr>
        <w:t xml:space="preserve">In addition to de </w:t>
      </w:r>
      <w:r w:rsidR="004E0F85" w:rsidRPr="00AE4DBA">
        <w:rPr>
          <w:lang w:val="en-NZ"/>
        </w:rPr>
        <w:t>minimis</w:t>
      </w:r>
      <w:r w:rsidRPr="00AE4DBA">
        <w:rPr>
          <w:lang w:val="en-NZ"/>
        </w:rPr>
        <w:t xml:space="preserve"> sources included due to CNGP requirements, all sources related to National Travel Assistance programme</w:t>
      </w:r>
      <w:r w:rsidR="00330E13" w:rsidRPr="00AE4DBA">
        <w:rPr>
          <w:lang w:val="en-NZ"/>
        </w:rPr>
        <w:t xml:space="preserve"> (NTA)</w:t>
      </w:r>
      <w:r w:rsidRPr="00AE4DBA">
        <w:rPr>
          <w:lang w:val="en-NZ"/>
        </w:rPr>
        <w:t xml:space="preserve"> funded patient transport and accommodation was retained. This includes NTA funded accommodation, taxis, public transport, and flight reimbursements.</w:t>
      </w:r>
      <w:r w:rsidR="00E40E6B" w:rsidRPr="00AE4DBA">
        <w:rPr>
          <w:lang w:val="en-NZ"/>
        </w:rPr>
        <w:t xml:space="preserve"> These sources were retained to ensure complete reporting on emissions relating to funded patient travel and accommodation.</w:t>
      </w:r>
    </w:p>
    <w:p w14:paraId="23ECD90D" w14:textId="5FED0F0A" w:rsidR="00C86C73" w:rsidRPr="00AE4DBA" w:rsidRDefault="00332F18" w:rsidP="009D5975">
      <w:pPr>
        <w:pStyle w:val="BodyText1"/>
        <w:rPr>
          <w:lang w:val="en-NZ"/>
        </w:rPr>
      </w:pPr>
      <w:r w:rsidRPr="00AE4DBA">
        <w:rPr>
          <w:lang w:val="en-NZ"/>
        </w:rPr>
        <w:t>The only emissions sources that were excluded therefore are sources associated with staff accommodation (0.3%) and staff travel related to taxis and rental vehicles (0.2%)</w:t>
      </w:r>
      <w:r w:rsidR="00DD4687" w:rsidRPr="00AE4DBA">
        <w:rPr>
          <w:lang w:val="en-NZ"/>
        </w:rPr>
        <w:t>.</w:t>
      </w:r>
      <w:r w:rsidR="00E40E6B" w:rsidRPr="00AE4DBA">
        <w:rPr>
          <w:lang w:val="en-NZ"/>
        </w:rPr>
        <w:t xml:space="preserve"> </w:t>
      </w:r>
      <w:r w:rsidR="00DD4687" w:rsidRPr="00AE4DBA">
        <w:rPr>
          <w:lang w:val="en-NZ"/>
        </w:rPr>
        <w:t xml:space="preserve">Consequently, de </w:t>
      </w:r>
      <w:r w:rsidR="00E15606" w:rsidRPr="00AE4DBA">
        <w:rPr>
          <w:lang w:val="en-NZ"/>
        </w:rPr>
        <w:t xml:space="preserve">minimis </w:t>
      </w:r>
      <w:r w:rsidR="00DD4687" w:rsidRPr="00AE4DBA">
        <w:rPr>
          <w:lang w:val="en-NZ"/>
        </w:rPr>
        <w:t xml:space="preserve">emission source exclusions total approximately 0.5% of </w:t>
      </w:r>
      <w:r w:rsidR="00CC37F5" w:rsidRPr="00AE4DBA">
        <w:rPr>
          <w:lang w:val="en-NZ"/>
        </w:rPr>
        <w:t>FY2022/23</w:t>
      </w:r>
      <w:r w:rsidR="00DD4687" w:rsidRPr="00AE4DBA">
        <w:rPr>
          <w:lang w:val="en-NZ"/>
        </w:rPr>
        <w:t xml:space="preserve"> baseline.</w:t>
      </w:r>
      <w:r w:rsidRPr="00AE4DBA">
        <w:rPr>
          <w:lang w:val="en-NZ"/>
        </w:rPr>
        <w:t xml:space="preserve"> </w:t>
      </w:r>
      <w:r w:rsidR="00777972" w:rsidRPr="00AE4DBA">
        <w:rPr>
          <w:lang w:val="en-NZ"/>
        </w:rPr>
        <w:t xml:space="preserve"> </w:t>
      </w:r>
      <w:r w:rsidR="00C86C73" w:rsidRPr="00AE4DBA">
        <w:rPr>
          <w:lang w:val="en-NZ"/>
        </w:rPr>
        <w:t xml:space="preserve">  </w:t>
      </w:r>
    </w:p>
    <w:p w14:paraId="3DC35D66" w14:textId="1900A3F7" w:rsidR="009D5975" w:rsidRPr="00AE4DBA" w:rsidRDefault="009D5975" w:rsidP="005146FC">
      <w:pPr>
        <w:pStyle w:val="Tableheading-reverse"/>
        <w:numPr>
          <w:ilvl w:val="2"/>
          <w:numId w:val="5"/>
        </w:numPr>
      </w:pPr>
      <w:bookmarkStart w:id="60" w:name="_Toc176345127"/>
      <w:r w:rsidRPr="00AE4DBA">
        <w:t>Changes to emissions factors</w:t>
      </w:r>
      <w:bookmarkEnd w:id="60"/>
    </w:p>
    <w:p w14:paraId="6539D223" w14:textId="25A16597" w:rsidR="009D5975" w:rsidRPr="00AE4DBA" w:rsidRDefault="008A6293" w:rsidP="009D5975">
      <w:pPr>
        <w:pStyle w:val="BodyText1"/>
        <w:rPr>
          <w:lang w:val="en-NZ"/>
        </w:rPr>
      </w:pPr>
      <w:r w:rsidRPr="00AE4DBA">
        <w:rPr>
          <w:lang w:val="en-NZ"/>
        </w:rPr>
        <w:t xml:space="preserve">’Te </w:t>
      </w:r>
      <w:proofErr w:type="spellStart"/>
      <w:r w:rsidRPr="00AE4DBA">
        <w:rPr>
          <w:lang w:val="en-NZ"/>
        </w:rPr>
        <w:t>ine</w:t>
      </w:r>
      <w:proofErr w:type="spellEnd"/>
      <w:r w:rsidRPr="00AE4DBA">
        <w:rPr>
          <w:lang w:val="en-NZ"/>
        </w:rPr>
        <w:t xml:space="preserve"> </w:t>
      </w:r>
      <w:proofErr w:type="spellStart"/>
      <w:r w:rsidRPr="00AE4DBA">
        <w:rPr>
          <w:lang w:val="en-NZ"/>
        </w:rPr>
        <w:t>tukunga</w:t>
      </w:r>
      <w:proofErr w:type="spellEnd"/>
      <w:r w:rsidRPr="00AE4DBA">
        <w:rPr>
          <w:lang w:val="en-NZ"/>
        </w:rPr>
        <w:t xml:space="preserve">: He </w:t>
      </w:r>
      <w:proofErr w:type="spellStart"/>
      <w:r w:rsidRPr="00AE4DBA">
        <w:rPr>
          <w:lang w:val="en-NZ"/>
        </w:rPr>
        <w:t>tohutohu</w:t>
      </w:r>
      <w:proofErr w:type="spellEnd"/>
      <w:r w:rsidRPr="00AE4DBA">
        <w:rPr>
          <w:lang w:val="en-NZ"/>
        </w:rPr>
        <w:t xml:space="preserve"> </w:t>
      </w:r>
      <w:proofErr w:type="spellStart"/>
      <w:r w:rsidRPr="00AE4DBA">
        <w:rPr>
          <w:lang w:val="en-NZ"/>
        </w:rPr>
        <w:t>pakihi</w:t>
      </w:r>
      <w:proofErr w:type="spellEnd"/>
      <w:r w:rsidRPr="00AE4DBA">
        <w:rPr>
          <w:lang w:val="en-NZ"/>
        </w:rPr>
        <w:t xml:space="preserve"> </w:t>
      </w:r>
      <w:r w:rsidR="000B4517" w:rsidRPr="00AE4DBA">
        <w:rPr>
          <w:lang w:val="en-NZ"/>
        </w:rPr>
        <w:t>– Measuring</w:t>
      </w:r>
      <w:r w:rsidR="00365E8A" w:rsidRPr="00AE4DBA">
        <w:rPr>
          <w:lang w:val="en-NZ"/>
        </w:rPr>
        <w:t xml:space="preserve"> Emissions: A Guide for Organisations</w:t>
      </w:r>
      <w:r w:rsidRPr="00AE4DBA">
        <w:rPr>
          <w:lang w:val="en-NZ"/>
        </w:rPr>
        <w:t>’</w:t>
      </w:r>
      <w:r w:rsidR="000A1A2D" w:rsidRPr="00AE4DBA">
        <w:rPr>
          <w:lang w:val="en-NZ"/>
        </w:rPr>
        <w:t xml:space="preserve"> (MEG)</w:t>
      </w:r>
      <w:r w:rsidR="00365E8A" w:rsidRPr="00AE4DBA">
        <w:rPr>
          <w:lang w:val="en-NZ"/>
        </w:rPr>
        <w:t xml:space="preserve"> is a comprehensive </w:t>
      </w:r>
      <w:r w:rsidR="00B83260" w:rsidRPr="00AE4DBA">
        <w:rPr>
          <w:lang w:val="en-NZ"/>
        </w:rPr>
        <w:t xml:space="preserve">database </w:t>
      </w:r>
      <w:r w:rsidR="00365E8A" w:rsidRPr="00AE4DBA">
        <w:rPr>
          <w:lang w:val="en-NZ"/>
        </w:rPr>
        <w:t>released by New Zealand's Ministry for the Environment</w:t>
      </w:r>
      <w:r w:rsidR="00A77B1B">
        <w:rPr>
          <w:lang w:val="en-NZ"/>
        </w:rPr>
        <w:t xml:space="preserve"> </w:t>
      </w:r>
      <w:r w:rsidR="00A77B1B">
        <w:rPr>
          <w:rFonts w:cs="Arial"/>
          <w:lang w:val="en-NZ"/>
        </w:rPr>
        <w:t>|</w:t>
      </w:r>
      <w:r w:rsidR="00FA5073" w:rsidRPr="00FA5073">
        <w:t xml:space="preserve"> </w:t>
      </w:r>
      <w:r w:rsidR="00FA5073" w:rsidRPr="00FA5073">
        <w:rPr>
          <w:rFonts w:cs="Arial"/>
          <w:lang w:val="en-NZ"/>
        </w:rPr>
        <w:t xml:space="preserve">Manatū </w:t>
      </w:r>
      <w:proofErr w:type="spellStart"/>
      <w:r w:rsidR="00FA5073" w:rsidRPr="00FA5073">
        <w:rPr>
          <w:rFonts w:cs="Arial"/>
          <w:lang w:val="en-NZ"/>
        </w:rPr>
        <w:t>Mō</w:t>
      </w:r>
      <w:proofErr w:type="spellEnd"/>
      <w:r w:rsidR="00FA5073" w:rsidRPr="00FA5073">
        <w:rPr>
          <w:rFonts w:cs="Arial"/>
          <w:lang w:val="en-NZ"/>
        </w:rPr>
        <w:t xml:space="preserve"> Te Taiao</w:t>
      </w:r>
      <w:r w:rsidR="00365E8A" w:rsidRPr="00AE4DBA">
        <w:rPr>
          <w:lang w:val="en-NZ"/>
        </w:rPr>
        <w:t xml:space="preserve"> (</w:t>
      </w:r>
      <w:proofErr w:type="spellStart"/>
      <w:r w:rsidR="00365E8A" w:rsidRPr="00AE4DBA">
        <w:rPr>
          <w:lang w:val="en-NZ"/>
        </w:rPr>
        <w:t>MfE</w:t>
      </w:r>
      <w:proofErr w:type="spellEnd"/>
      <w:r w:rsidR="00365E8A" w:rsidRPr="00AE4DBA">
        <w:rPr>
          <w:lang w:val="en-NZ"/>
        </w:rPr>
        <w:t xml:space="preserve">) to aid </w:t>
      </w:r>
      <w:r w:rsidR="00C90A8F" w:rsidRPr="00AE4DBA">
        <w:rPr>
          <w:lang w:val="en-NZ"/>
        </w:rPr>
        <w:t xml:space="preserve">organisations </w:t>
      </w:r>
      <w:r w:rsidR="00365E8A" w:rsidRPr="00AE4DBA">
        <w:rPr>
          <w:lang w:val="en-NZ"/>
        </w:rPr>
        <w:t>in calculating and reporting their greenhouse gas (GHG) emissions. This guide aligns with international standards, such as the ISO 14064-1:2018 and the GHG Protocol Corporate Accounting and Reporting Standard, ensuring that the methods used are consistent and transparent.</w:t>
      </w:r>
    </w:p>
    <w:p w14:paraId="085DEC1C" w14:textId="77777777" w:rsidR="00365E8A" w:rsidRPr="00AE4DBA" w:rsidRDefault="00365E8A" w:rsidP="009D5975">
      <w:pPr>
        <w:pStyle w:val="BodyText1"/>
        <w:rPr>
          <w:lang w:val="en-NZ"/>
        </w:rPr>
      </w:pPr>
      <w:r w:rsidRPr="00AE4DBA">
        <w:rPr>
          <w:lang w:val="en-NZ"/>
        </w:rPr>
        <w:t xml:space="preserve">The guide is periodically updated with revised emissions factors. Reasons for revising emissions factors include: </w:t>
      </w:r>
    </w:p>
    <w:p w14:paraId="531F29C9" w14:textId="77777777" w:rsidR="000A1A2D" w:rsidRPr="00AE4DBA" w:rsidRDefault="00365E8A" w:rsidP="00141DF0">
      <w:pPr>
        <w:pStyle w:val="BodyText1"/>
        <w:numPr>
          <w:ilvl w:val="0"/>
          <w:numId w:val="8"/>
        </w:numPr>
        <w:rPr>
          <w:lang w:val="en-NZ"/>
        </w:rPr>
      </w:pPr>
      <w:r w:rsidRPr="00AE4DBA">
        <w:rPr>
          <w:lang w:val="en-NZ"/>
        </w:rPr>
        <w:t xml:space="preserve">The incorporation of the latest scientific research and findings. As scientific understanding of GHG emissions improves, the data used to calculate emission </w:t>
      </w:r>
      <w:r w:rsidRPr="00AE4DBA">
        <w:rPr>
          <w:lang w:val="en-NZ"/>
        </w:rPr>
        <w:lastRenderedPageBreak/>
        <w:t>factors is refined to ensure accuracy and relevance.</w:t>
      </w:r>
      <w:r w:rsidR="008B3541" w:rsidRPr="00AE4DBA">
        <w:rPr>
          <w:rFonts w:eastAsia="Roboto"/>
          <w:color w:val="auto"/>
          <w:lang w:val="en-NZ"/>
        </w:rPr>
        <w:t xml:space="preserve"> T</w:t>
      </w:r>
      <w:r w:rsidR="008B3541" w:rsidRPr="00AE4DBA">
        <w:rPr>
          <w:lang w:val="en-NZ"/>
        </w:rPr>
        <w:t>his includes adopting more sophisticated models or techniques that provide a better representation of actual emissions</w:t>
      </w:r>
      <w:r w:rsidR="000A1A2D" w:rsidRPr="00AE4DBA">
        <w:rPr>
          <w:lang w:val="en-NZ"/>
        </w:rPr>
        <w:t xml:space="preserve"> </w:t>
      </w:r>
    </w:p>
    <w:p w14:paraId="2C42A79E" w14:textId="02810CFE" w:rsidR="00365E8A" w:rsidRPr="00AE4DBA" w:rsidRDefault="000A1A2D" w:rsidP="00141DF0">
      <w:pPr>
        <w:pStyle w:val="BodyText1"/>
        <w:numPr>
          <w:ilvl w:val="0"/>
          <w:numId w:val="8"/>
        </w:numPr>
        <w:rPr>
          <w:lang w:val="en-NZ"/>
        </w:rPr>
      </w:pPr>
      <w:r w:rsidRPr="00AE4DBA">
        <w:rPr>
          <w:lang w:val="en-NZ"/>
        </w:rPr>
        <w:t>Improved data collection methods and the availability of more comprehensive datasets can lead to more accurate emission factors.</w:t>
      </w:r>
      <w:r w:rsidRPr="00AE4DBA">
        <w:rPr>
          <w:rFonts w:eastAsia="Roboto"/>
          <w:color w:val="auto"/>
          <w:lang w:val="en-NZ"/>
        </w:rPr>
        <w:t xml:space="preserve"> </w:t>
      </w:r>
    </w:p>
    <w:p w14:paraId="23E60DE4" w14:textId="23C6FCCA" w:rsidR="00365E8A" w:rsidRPr="00AE4DBA" w:rsidRDefault="008B3541" w:rsidP="00141DF0">
      <w:pPr>
        <w:pStyle w:val="BodyText1"/>
        <w:numPr>
          <w:ilvl w:val="0"/>
          <w:numId w:val="8"/>
        </w:numPr>
        <w:rPr>
          <w:lang w:val="en-NZ"/>
        </w:rPr>
      </w:pPr>
      <w:r w:rsidRPr="00AE4DBA">
        <w:rPr>
          <w:lang w:val="en-NZ"/>
        </w:rPr>
        <w:t>Changes in technology, such as improvements in fuel efficiency or the development of new energy sources, can impact emission factors.</w:t>
      </w:r>
    </w:p>
    <w:p w14:paraId="0A0295E7" w14:textId="2F7AB514" w:rsidR="000A1A2D" w:rsidRPr="00AE4DBA" w:rsidRDefault="000A1A2D" w:rsidP="00141DF0">
      <w:pPr>
        <w:pStyle w:val="BodyText1"/>
        <w:numPr>
          <w:ilvl w:val="0"/>
          <w:numId w:val="8"/>
        </w:numPr>
        <w:rPr>
          <w:lang w:val="en-NZ"/>
        </w:rPr>
      </w:pPr>
      <w:r w:rsidRPr="00AE4DBA">
        <w:rPr>
          <w:rFonts w:eastAsia="Roboto"/>
          <w:color w:val="auto"/>
          <w:lang w:val="en-NZ"/>
        </w:rPr>
        <w:t>Electricity emissions factors can change based on annual changes in rainfall and the concurrent change in the proportion of electricity produced through hydro generation, natural gas and coal.</w:t>
      </w:r>
    </w:p>
    <w:p w14:paraId="0D97754F" w14:textId="5F18B190" w:rsidR="009079A6" w:rsidRPr="00AE4DBA" w:rsidRDefault="0C011935" w:rsidP="000A1A2D">
      <w:pPr>
        <w:pStyle w:val="BodyText1"/>
        <w:rPr>
          <w:lang w:val="en-NZ"/>
        </w:rPr>
      </w:pPr>
      <w:r w:rsidRPr="00AA21D1">
        <w:rPr>
          <w:lang w:val="en-NZ"/>
        </w:rPr>
        <w:t>Significant changes to emissions factors provided in the 2024 release of MEG are provided have resulted in a 4.8% decrease in Health NZ’s baseline inventory</w:t>
      </w:r>
      <w:r w:rsidRPr="2864371F">
        <w:rPr>
          <w:lang w:val="en-NZ"/>
        </w:rPr>
        <w:t>. The</w:t>
      </w:r>
      <w:r w:rsidR="6279B4AE" w:rsidRPr="2864371F">
        <w:rPr>
          <w:lang w:val="en-NZ"/>
        </w:rPr>
        <w:t xml:space="preserve"> </w:t>
      </w:r>
      <w:r w:rsidRPr="2864371F">
        <w:rPr>
          <w:lang w:val="en-NZ"/>
        </w:rPr>
        <w:t xml:space="preserve">primary drivers in this change are </w:t>
      </w:r>
      <w:r w:rsidR="6895BA32" w:rsidRPr="2864371F">
        <w:rPr>
          <w:lang w:val="en-NZ"/>
        </w:rPr>
        <w:t>changes</w:t>
      </w:r>
      <w:r w:rsidRPr="2864371F">
        <w:rPr>
          <w:lang w:val="en-NZ"/>
        </w:rPr>
        <w:t xml:space="preserve"> </w:t>
      </w:r>
      <w:r w:rsidR="6895BA32" w:rsidRPr="2864371F">
        <w:rPr>
          <w:lang w:val="en-NZ"/>
        </w:rPr>
        <w:t>to</w:t>
      </w:r>
      <w:r w:rsidR="7AE4A3A9" w:rsidRPr="2864371F">
        <w:rPr>
          <w:lang w:val="en-NZ"/>
        </w:rPr>
        <w:t xml:space="preserve"> emissions factors for</w:t>
      </w:r>
      <w:r w:rsidRPr="2864371F">
        <w:rPr>
          <w:lang w:val="en-NZ"/>
        </w:rPr>
        <w:t xml:space="preserve"> domestic fligh</w:t>
      </w:r>
      <w:r w:rsidR="7AE4A3A9" w:rsidRPr="2864371F">
        <w:rPr>
          <w:lang w:val="en-NZ"/>
        </w:rPr>
        <w:t>ts</w:t>
      </w:r>
      <w:r w:rsidRPr="2864371F">
        <w:rPr>
          <w:lang w:val="en-NZ"/>
        </w:rPr>
        <w:t>, and</w:t>
      </w:r>
      <w:r w:rsidR="6279B4AE" w:rsidRPr="2864371F">
        <w:rPr>
          <w:lang w:val="en-NZ"/>
        </w:rPr>
        <w:t xml:space="preserve"> </w:t>
      </w:r>
      <w:r w:rsidR="6AB13D64" w:rsidRPr="2864371F">
        <w:rPr>
          <w:lang w:val="en-NZ"/>
        </w:rPr>
        <w:t xml:space="preserve">transmission </w:t>
      </w:r>
      <w:r w:rsidR="6279B4AE" w:rsidRPr="2864371F">
        <w:rPr>
          <w:lang w:val="en-NZ"/>
        </w:rPr>
        <w:t xml:space="preserve">&amp; </w:t>
      </w:r>
      <w:r w:rsidR="6AB13D64" w:rsidRPr="2864371F">
        <w:rPr>
          <w:lang w:val="en-NZ"/>
        </w:rPr>
        <w:t>distribution</w:t>
      </w:r>
      <w:r w:rsidR="178699E8" w:rsidRPr="2864371F">
        <w:rPr>
          <w:lang w:val="en-NZ"/>
        </w:rPr>
        <w:t xml:space="preserve"> (T&amp;D)</w:t>
      </w:r>
      <w:r w:rsidR="6AB13D64" w:rsidRPr="2864371F">
        <w:rPr>
          <w:lang w:val="en-NZ"/>
        </w:rPr>
        <w:t xml:space="preserve"> </w:t>
      </w:r>
      <w:r w:rsidR="6279B4AE" w:rsidRPr="2864371F">
        <w:rPr>
          <w:lang w:val="en-NZ"/>
        </w:rPr>
        <w:t xml:space="preserve">for electricity and natural gas. </w:t>
      </w:r>
    </w:p>
    <w:p w14:paraId="250BDC66" w14:textId="74873A9F" w:rsidR="25321123" w:rsidRPr="00AA21D1" w:rsidRDefault="4A70223D" w:rsidP="2864371F">
      <w:pPr>
        <w:pStyle w:val="BodyText1"/>
        <w:rPr>
          <w:lang w:val="en-NZ"/>
        </w:rPr>
      </w:pPr>
      <w:r w:rsidRPr="00AA21D1">
        <w:rPr>
          <w:lang w:val="en-NZ"/>
        </w:rPr>
        <w:t>An error associated with the calculation of flights booked through Orbit has also resulted in an understatement of the FY2022/23 baseline of 0.4%.</w:t>
      </w:r>
    </w:p>
    <w:p w14:paraId="11BE9896" w14:textId="275890F2" w:rsidR="009079A6" w:rsidRPr="00AE4DBA" w:rsidRDefault="00085E01" w:rsidP="005146FC">
      <w:pPr>
        <w:pStyle w:val="Tableheading-reverse"/>
        <w:numPr>
          <w:ilvl w:val="2"/>
          <w:numId w:val="5"/>
        </w:numPr>
      </w:pPr>
      <w:r w:rsidRPr="00AE4DBA">
        <w:t xml:space="preserve"> </w:t>
      </w:r>
      <w:bookmarkStart w:id="61" w:name="_Toc176345128"/>
      <w:r w:rsidR="009079A6" w:rsidRPr="00AE4DBA">
        <w:t>Decision on the restatement of Baseline FY2022/23</w:t>
      </w:r>
      <w:bookmarkEnd w:id="61"/>
    </w:p>
    <w:p w14:paraId="50B136B7" w14:textId="365DE49A" w:rsidR="00752752" w:rsidRPr="00AE4DBA" w:rsidRDefault="00752752" w:rsidP="000A1A2D">
      <w:pPr>
        <w:pStyle w:val="BodyText1"/>
        <w:rPr>
          <w:lang w:val="en-NZ"/>
        </w:rPr>
      </w:pPr>
      <w:r w:rsidRPr="00AE4DBA">
        <w:rPr>
          <w:lang w:val="en-NZ"/>
        </w:rPr>
        <w:t xml:space="preserve">Health NZ has </w:t>
      </w:r>
      <w:r w:rsidR="000C51D3" w:rsidRPr="00AE4DBA">
        <w:rPr>
          <w:lang w:val="en-NZ"/>
        </w:rPr>
        <w:t xml:space="preserve">a </w:t>
      </w:r>
      <w:r w:rsidR="00F24957" w:rsidRPr="00AE4DBA">
        <w:rPr>
          <w:lang w:val="en-NZ"/>
        </w:rPr>
        <w:t>restatement</w:t>
      </w:r>
      <w:r w:rsidR="00CB0978" w:rsidRPr="00AE4DBA">
        <w:rPr>
          <w:lang w:val="en-NZ"/>
        </w:rPr>
        <w:t xml:space="preserve"> threshold of 7.5%. That is, where </w:t>
      </w:r>
      <w:r w:rsidR="0062559A" w:rsidRPr="00AE4DBA">
        <w:rPr>
          <w:lang w:val="en-NZ"/>
        </w:rPr>
        <w:t xml:space="preserve">changes in </w:t>
      </w:r>
      <w:r w:rsidR="00C449D1" w:rsidRPr="00AE4DBA">
        <w:rPr>
          <w:lang w:val="en-NZ"/>
        </w:rPr>
        <w:t>the baseline inventory</w:t>
      </w:r>
      <w:r w:rsidR="00013B07" w:rsidRPr="00AE4DBA">
        <w:rPr>
          <w:lang w:val="en-NZ"/>
        </w:rPr>
        <w:t>—d</w:t>
      </w:r>
      <w:r w:rsidR="00F24957" w:rsidRPr="00AE4DBA">
        <w:rPr>
          <w:lang w:val="en-NZ"/>
        </w:rPr>
        <w:t>ue to emissions source additions or changes in emission factor calculation methodologies</w:t>
      </w:r>
      <w:r w:rsidR="00013B07" w:rsidRPr="00AE4DBA">
        <w:rPr>
          <w:lang w:val="en-NZ"/>
        </w:rPr>
        <w:t xml:space="preserve">—exceeds 7.5%, </w:t>
      </w:r>
      <w:r w:rsidR="00DD4AD4" w:rsidRPr="00AE4DBA">
        <w:rPr>
          <w:lang w:val="en-NZ"/>
        </w:rPr>
        <w:t xml:space="preserve">the baseline will be restated. </w:t>
      </w:r>
      <w:r w:rsidR="00467D2D" w:rsidRPr="00AE4DBA">
        <w:rPr>
          <w:lang w:val="en-NZ"/>
        </w:rPr>
        <w:t xml:space="preserve">Where </w:t>
      </w:r>
      <w:r w:rsidR="004A6DB3" w:rsidRPr="00AE4DBA">
        <w:rPr>
          <w:lang w:val="en-NZ"/>
        </w:rPr>
        <w:t>changes in emissions sources or e</w:t>
      </w:r>
      <w:r w:rsidR="00144016" w:rsidRPr="00AE4DBA">
        <w:rPr>
          <w:lang w:val="en-NZ"/>
        </w:rPr>
        <w:t xml:space="preserve">missions factors </w:t>
      </w:r>
      <w:r w:rsidR="000F1E56" w:rsidRPr="00AE4DBA">
        <w:rPr>
          <w:lang w:val="en-NZ"/>
        </w:rPr>
        <w:t>relate to regulatory requirements</w:t>
      </w:r>
      <w:r w:rsidR="005266D3" w:rsidRPr="00AE4DBA">
        <w:rPr>
          <w:lang w:val="en-NZ"/>
        </w:rPr>
        <w:t xml:space="preserve">, </w:t>
      </w:r>
      <w:r w:rsidR="00AB2952" w:rsidRPr="00AE4DBA">
        <w:rPr>
          <w:lang w:val="en-NZ"/>
        </w:rPr>
        <w:t xml:space="preserve">are important for emissions reduction planning, or </w:t>
      </w:r>
      <w:r w:rsidR="008D491B" w:rsidRPr="00AE4DBA">
        <w:rPr>
          <w:lang w:val="en-NZ"/>
        </w:rPr>
        <w:t>are of particular interest to our stakeholders, this threshold may be lower.</w:t>
      </w:r>
    </w:p>
    <w:p w14:paraId="1A97CD73" w14:textId="521B11FB" w:rsidR="009079A6" w:rsidRPr="00AE4DBA" w:rsidRDefault="6279B4AE" w:rsidP="2864371F">
      <w:pPr>
        <w:pStyle w:val="BodyText1"/>
        <w:rPr>
          <w:lang w:val="en-NZ"/>
        </w:rPr>
      </w:pPr>
      <w:r w:rsidRPr="00F250AF">
        <w:rPr>
          <w:lang w:val="en-NZ"/>
        </w:rPr>
        <w:t>Cumulatively, the exclusion of staff travel (rental cars and taxis) and accommodation as emissions sources</w:t>
      </w:r>
      <w:r w:rsidR="00EA47AE" w:rsidRPr="00F250AF">
        <w:rPr>
          <w:lang w:val="en-NZ"/>
        </w:rPr>
        <w:t xml:space="preserve"> (</w:t>
      </w:r>
      <w:r w:rsidR="00F250AF" w:rsidRPr="00F250AF">
        <w:rPr>
          <w:lang w:val="en-NZ"/>
        </w:rPr>
        <w:t>+</w:t>
      </w:r>
      <w:r w:rsidR="00EA47AE" w:rsidRPr="00F250AF">
        <w:rPr>
          <w:lang w:val="en-NZ"/>
        </w:rPr>
        <w:t>0.5%)</w:t>
      </w:r>
      <w:r w:rsidRPr="00F250AF">
        <w:rPr>
          <w:lang w:val="en-NZ"/>
        </w:rPr>
        <w:t xml:space="preserve">, </w:t>
      </w:r>
      <w:r w:rsidR="3D0DA88A" w:rsidRPr="00F250AF">
        <w:rPr>
          <w:lang w:val="en-NZ"/>
        </w:rPr>
        <w:t>the understatement of Orbit flight emissions</w:t>
      </w:r>
      <w:r w:rsidR="00EA47AE" w:rsidRPr="00F250AF">
        <w:rPr>
          <w:lang w:val="en-NZ"/>
        </w:rPr>
        <w:t xml:space="preserve"> (</w:t>
      </w:r>
      <w:r w:rsidR="00F250AF" w:rsidRPr="00F250AF">
        <w:rPr>
          <w:lang w:val="en-NZ"/>
        </w:rPr>
        <w:t>+</w:t>
      </w:r>
      <w:r w:rsidR="00EA47AE" w:rsidRPr="00F250AF">
        <w:rPr>
          <w:lang w:val="en-NZ"/>
        </w:rPr>
        <w:t>0.4%)</w:t>
      </w:r>
      <w:r w:rsidR="3D0DA88A" w:rsidRPr="00F250AF">
        <w:rPr>
          <w:lang w:val="en-NZ"/>
        </w:rPr>
        <w:t xml:space="preserve">, </w:t>
      </w:r>
      <w:r w:rsidRPr="00F250AF">
        <w:rPr>
          <w:lang w:val="en-NZ"/>
        </w:rPr>
        <w:t xml:space="preserve">and MEG24 emissions factor changes </w:t>
      </w:r>
      <w:r w:rsidR="00093631" w:rsidRPr="00F250AF">
        <w:rPr>
          <w:lang w:val="en-NZ"/>
        </w:rPr>
        <w:t>(</w:t>
      </w:r>
      <w:r w:rsidR="00F250AF" w:rsidRPr="00F250AF">
        <w:rPr>
          <w:lang w:val="en-NZ"/>
        </w:rPr>
        <w:t>+</w:t>
      </w:r>
      <w:r w:rsidR="00093631" w:rsidRPr="00F250AF">
        <w:rPr>
          <w:lang w:val="en-NZ"/>
        </w:rPr>
        <w:t xml:space="preserve">4.8%) </w:t>
      </w:r>
      <w:r w:rsidRPr="00F250AF">
        <w:rPr>
          <w:lang w:val="en-NZ"/>
        </w:rPr>
        <w:t xml:space="preserve">has resulted in </w:t>
      </w:r>
      <w:r w:rsidR="00093631" w:rsidRPr="00F250AF">
        <w:rPr>
          <w:lang w:val="en-NZ"/>
        </w:rPr>
        <w:t xml:space="preserve">a total potential </w:t>
      </w:r>
      <w:r w:rsidRPr="00F250AF">
        <w:rPr>
          <w:lang w:val="en-NZ"/>
        </w:rPr>
        <w:t>change in Health NZ’s baseline inventory of</w:t>
      </w:r>
      <w:r w:rsidR="48C6E975" w:rsidRPr="00F250AF">
        <w:rPr>
          <w:lang w:val="en-NZ"/>
        </w:rPr>
        <w:t xml:space="preserve"> </w:t>
      </w:r>
      <w:r w:rsidR="00F250AF" w:rsidRPr="00F250AF">
        <w:rPr>
          <w:lang w:val="en-NZ"/>
        </w:rPr>
        <w:t>+</w:t>
      </w:r>
      <w:r w:rsidRPr="00F250AF">
        <w:rPr>
          <w:lang w:val="en-NZ"/>
        </w:rPr>
        <w:t>5</w:t>
      </w:r>
      <w:r w:rsidR="48C6E975" w:rsidRPr="00F250AF">
        <w:rPr>
          <w:lang w:val="en-NZ"/>
        </w:rPr>
        <w:t>.</w:t>
      </w:r>
      <w:r w:rsidR="5B7CFEE9" w:rsidRPr="00F250AF">
        <w:rPr>
          <w:lang w:val="en-NZ"/>
        </w:rPr>
        <w:t>6</w:t>
      </w:r>
      <w:r w:rsidRPr="00F250AF">
        <w:rPr>
          <w:lang w:val="en-NZ"/>
        </w:rPr>
        <w:t xml:space="preserve">%. </w:t>
      </w:r>
    </w:p>
    <w:p w14:paraId="17DDAD27" w14:textId="6C723019" w:rsidR="009079A6" w:rsidRPr="00AE4DBA" w:rsidRDefault="6279B4AE" w:rsidP="000A1A2D">
      <w:pPr>
        <w:pStyle w:val="BodyText1"/>
        <w:rPr>
          <w:lang w:val="en-NZ"/>
        </w:rPr>
      </w:pPr>
      <w:r w:rsidRPr="2864371F">
        <w:rPr>
          <w:lang w:val="en-NZ"/>
        </w:rPr>
        <w:t>In the absence of an emission source additions to the inventory for FY2023/24, this change has been determined to be insufficient to warrant a restatement of our baseline inventory.</w:t>
      </w:r>
    </w:p>
    <w:p w14:paraId="7AB166C0" w14:textId="3C74E57A" w:rsidR="009079A6" w:rsidRPr="00AE4DBA" w:rsidRDefault="009079A6" w:rsidP="000A1A2D">
      <w:pPr>
        <w:pStyle w:val="BodyText1"/>
        <w:rPr>
          <w:lang w:val="en-NZ"/>
        </w:rPr>
      </w:pPr>
      <w:r w:rsidRPr="00AE4DBA">
        <w:rPr>
          <w:lang w:val="en-NZ"/>
        </w:rPr>
        <w:t xml:space="preserve">Where changes in emissions factors </w:t>
      </w:r>
      <w:r w:rsidR="00383CE4" w:rsidRPr="00AE4DBA">
        <w:rPr>
          <w:lang w:val="en-NZ"/>
        </w:rPr>
        <w:t>have</w:t>
      </w:r>
      <w:r w:rsidRPr="00AE4DBA">
        <w:rPr>
          <w:lang w:val="en-NZ"/>
        </w:rPr>
        <w:t xml:space="preserve"> resulted in significant changes in emissions associated with specific sources, such as domestic flights and electricity T&amp;D losses, the impact of these changes will be communicated in reporting.</w:t>
      </w:r>
    </w:p>
    <w:p w14:paraId="028A0AC4" w14:textId="77777777" w:rsidR="009079A6" w:rsidRPr="00AE4DBA" w:rsidRDefault="009079A6" w:rsidP="005146FC">
      <w:pPr>
        <w:pStyle w:val="Tableheading-reverse"/>
        <w:numPr>
          <w:ilvl w:val="1"/>
          <w:numId w:val="5"/>
        </w:numPr>
      </w:pPr>
      <w:bookmarkStart w:id="62" w:name="_Toc176345129"/>
      <w:r w:rsidRPr="00AE4DBA">
        <w:t>Liabilities</w:t>
      </w:r>
      <w:bookmarkEnd w:id="62"/>
    </w:p>
    <w:p w14:paraId="10227AFE" w14:textId="5C21AA04" w:rsidR="009079A6" w:rsidRPr="00AE4DBA" w:rsidRDefault="009079A6" w:rsidP="009079A6">
      <w:pPr>
        <w:pStyle w:val="BodyText1"/>
        <w:rPr>
          <w:lang w:val="en-NZ"/>
        </w:rPr>
      </w:pPr>
      <w:r w:rsidRPr="00AE4DBA">
        <w:rPr>
          <w:lang w:val="en-NZ"/>
        </w:rPr>
        <w:t>HFCs, PFCs and SF</w:t>
      </w:r>
      <w:r w:rsidRPr="00AE4DBA">
        <w:rPr>
          <w:vertAlign w:val="subscript"/>
          <w:lang w:val="en-NZ"/>
        </w:rPr>
        <w:t>6</w:t>
      </w:r>
      <w:r w:rsidRPr="00AE4DBA">
        <w:rPr>
          <w:lang w:val="en-NZ"/>
        </w:rPr>
        <w:t xml:space="preserve"> represent GHGs with high global warming potentials. Other GHG stocks, including coal, stationary diesel, medical gases and biomass, are held on several </w:t>
      </w:r>
      <w:r w:rsidR="0075744C" w:rsidRPr="00AE4DBA">
        <w:rPr>
          <w:lang w:val="en-NZ"/>
        </w:rPr>
        <w:t>Health NZ</w:t>
      </w:r>
      <w:r w:rsidRPr="00AE4DBA">
        <w:rPr>
          <w:lang w:val="en-NZ"/>
        </w:rPr>
        <w:t xml:space="preserve"> sites. Their accidental release </w:t>
      </w:r>
      <w:r w:rsidR="00CE03A3">
        <w:rPr>
          <w:lang w:val="en-NZ"/>
        </w:rPr>
        <w:t xml:space="preserve">or combustion </w:t>
      </w:r>
      <w:r w:rsidRPr="00AE4DBA">
        <w:rPr>
          <w:lang w:val="en-NZ"/>
        </w:rPr>
        <w:t xml:space="preserve">could result in a large increase in emissions for the reporting period. </w:t>
      </w:r>
    </w:p>
    <w:p w14:paraId="7FCFFDC4" w14:textId="3C0B1AF3" w:rsidR="00330E13" w:rsidRPr="00AE4DBA" w:rsidRDefault="0075744C" w:rsidP="009079A6">
      <w:pPr>
        <w:pStyle w:val="BodyText1"/>
        <w:rPr>
          <w:lang w:val="en-NZ"/>
        </w:rPr>
      </w:pPr>
      <w:r w:rsidRPr="00AE4DBA">
        <w:rPr>
          <w:lang w:val="en-NZ"/>
        </w:rPr>
        <w:t>Health NZ</w:t>
      </w:r>
      <w:r w:rsidR="009079A6" w:rsidRPr="00AE4DBA">
        <w:rPr>
          <w:lang w:val="en-NZ"/>
        </w:rPr>
        <w:t xml:space="preserve"> </w:t>
      </w:r>
      <w:r w:rsidRPr="00AE4DBA">
        <w:rPr>
          <w:lang w:val="en-NZ"/>
        </w:rPr>
        <w:t>continues to work on</w:t>
      </w:r>
      <w:r w:rsidR="009079A6" w:rsidRPr="00AE4DBA">
        <w:rPr>
          <w:lang w:val="en-NZ"/>
        </w:rPr>
        <w:t xml:space="preserve"> establishing a baseline for all liabilities present at its sites.</w:t>
      </w:r>
      <w:r w:rsidR="00296F94">
        <w:rPr>
          <w:lang w:val="en-NZ"/>
        </w:rPr>
        <w:t xml:space="preserve"> </w:t>
      </w:r>
      <w:r w:rsidR="00296F94" w:rsidRPr="00296F94">
        <w:rPr>
          <w:lang w:val="en-NZ"/>
        </w:rPr>
        <w:t>The Infrastructure Investment Group</w:t>
      </w:r>
      <w:r w:rsidR="00507C97">
        <w:rPr>
          <w:lang w:val="en-NZ"/>
        </w:rPr>
        <w:t xml:space="preserve"> (IIG)</w:t>
      </w:r>
      <w:r w:rsidR="00296F94" w:rsidRPr="00296F94">
        <w:rPr>
          <w:lang w:val="en-NZ"/>
        </w:rPr>
        <w:t xml:space="preserve"> </w:t>
      </w:r>
      <w:r w:rsidR="00296F94">
        <w:rPr>
          <w:lang w:val="en-NZ"/>
        </w:rPr>
        <w:t xml:space="preserve">is </w:t>
      </w:r>
      <w:r w:rsidR="00296F94" w:rsidRPr="00296F94">
        <w:rPr>
          <w:lang w:val="en-NZ"/>
        </w:rPr>
        <w:t xml:space="preserve">responsible for all aspects of infrastructure </w:t>
      </w:r>
      <w:r w:rsidR="00296F94" w:rsidRPr="00296F94">
        <w:rPr>
          <w:lang w:val="en-NZ"/>
        </w:rPr>
        <w:lastRenderedPageBreak/>
        <w:t xml:space="preserve">asset management, planning, capital investment, procurement, delivery and ongoing maintenance and facilities management within Health </w:t>
      </w:r>
      <w:r w:rsidR="00507C97">
        <w:rPr>
          <w:lang w:val="en-NZ"/>
        </w:rPr>
        <w:t>NZ</w:t>
      </w:r>
      <w:r w:rsidR="00296F94" w:rsidRPr="00296F94">
        <w:rPr>
          <w:lang w:val="en-NZ"/>
        </w:rPr>
        <w:t xml:space="preserve">. </w:t>
      </w:r>
      <w:r w:rsidR="00507C97">
        <w:rPr>
          <w:lang w:val="en-NZ"/>
        </w:rPr>
        <w:t>IIG</w:t>
      </w:r>
      <w:r w:rsidR="00296F94" w:rsidRPr="00296F94">
        <w:rPr>
          <w:lang w:val="en-NZ"/>
        </w:rPr>
        <w:t xml:space="preserve"> has developed a National Asset Management Strategy with a proposed work programme to increase the asset management maturity, strategic capability and operational insights, over the next 3 years and beyond, subject to confirmed funding and resourcing. This includes the implementation of a national Asset Management Information System as a critical first step to provide a more comprehensive </w:t>
      </w:r>
      <w:r w:rsidR="00FE7E82">
        <w:rPr>
          <w:lang w:val="en-NZ"/>
        </w:rPr>
        <w:t>measurement</w:t>
      </w:r>
      <w:r w:rsidR="00296F94" w:rsidRPr="00296F94">
        <w:rPr>
          <w:lang w:val="en-NZ"/>
        </w:rPr>
        <w:t xml:space="preserve"> of </w:t>
      </w:r>
      <w:r w:rsidR="008901A8">
        <w:rPr>
          <w:lang w:val="en-NZ"/>
        </w:rPr>
        <w:t xml:space="preserve">refrigerant </w:t>
      </w:r>
      <w:r w:rsidR="001643C1">
        <w:rPr>
          <w:lang w:val="en-NZ"/>
        </w:rPr>
        <w:t xml:space="preserve">and stationary fuel </w:t>
      </w:r>
      <w:r w:rsidR="00296F94" w:rsidRPr="00296F94">
        <w:rPr>
          <w:lang w:val="en-NZ"/>
        </w:rPr>
        <w:t>liabilities.</w:t>
      </w:r>
      <w:r w:rsidR="009079A6" w:rsidRPr="00AE4DBA">
        <w:rPr>
          <w:lang w:val="en-NZ"/>
        </w:rPr>
        <w:t xml:space="preserve"> </w:t>
      </w:r>
    </w:p>
    <w:p w14:paraId="290C46AC" w14:textId="0EE51D7F" w:rsidR="00330E13" w:rsidRPr="00AE4DBA" w:rsidRDefault="008E0652" w:rsidP="009079A6">
      <w:pPr>
        <w:pStyle w:val="BodyText1"/>
        <w:rPr>
          <w:lang w:val="en-NZ"/>
        </w:rPr>
      </w:pPr>
      <w:r w:rsidRPr="00AE4DBA">
        <w:rPr>
          <w:lang w:val="en-NZ"/>
        </w:rPr>
        <w:t>It is important to highlight that over the last year work undertaken to transition from coal as an energy source and replace old chiller units with new models that use refrigerants with relatively low GWPs has already had a significant impact on Health NZ’s liabilities.</w:t>
      </w:r>
    </w:p>
    <w:p w14:paraId="15D52A6F" w14:textId="4F44310D" w:rsidR="009079A6" w:rsidRPr="00AE4DBA" w:rsidRDefault="2388A6AD" w:rsidP="009079A6">
      <w:pPr>
        <w:pStyle w:val="BodyText1"/>
        <w:rPr>
          <w:lang w:val="en-NZ"/>
        </w:rPr>
      </w:pPr>
      <w:r w:rsidRPr="1D86F286">
        <w:rPr>
          <w:lang w:val="en-NZ"/>
        </w:rPr>
        <w:t xml:space="preserve">Table </w:t>
      </w:r>
      <w:r w:rsidR="136C4A3C" w:rsidRPr="1D86F286">
        <w:rPr>
          <w:lang w:val="en-NZ"/>
        </w:rPr>
        <w:t xml:space="preserve">8 </w:t>
      </w:r>
      <w:r w:rsidR="009079A6" w:rsidRPr="1D86F286">
        <w:rPr>
          <w:lang w:val="en-NZ"/>
        </w:rPr>
        <w:t>provides stocktake from sites where data was available for liabilities from different holdings. Based on the significance of refrigerants and diesel holdings, further work will be undertaken to gain more detailed insights into holdings per site to assist in implementing procedures to minimise the risk of accidental release.</w:t>
      </w:r>
    </w:p>
    <w:p w14:paraId="693A899A" w14:textId="77777777" w:rsidR="00F93F9D" w:rsidRPr="00AE4DBA" w:rsidRDefault="00F93F9D" w:rsidP="009079A6">
      <w:pPr>
        <w:pStyle w:val="BodyText1"/>
        <w:rPr>
          <w:lang w:val="en-NZ"/>
        </w:rPr>
      </w:pPr>
    </w:p>
    <w:p w14:paraId="212EF9AC" w14:textId="0799A081" w:rsidR="00177BB0" w:rsidRPr="00AE4DBA" w:rsidRDefault="00177BB0" w:rsidP="00177BB0">
      <w:pPr>
        <w:pStyle w:val="Caption"/>
        <w:keepNext/>
      </w:pPr>
      <w:bookmarkStart w:id="63" w:name="_Toc176252086"/>
      <w:r w:rsidRPr="00AE4DBA">
        <w:t xml:space="preserve">Table </w:t>
      </w:r>
      <w:r>
        <w:fldChar w:fldCharType="begin"/>
      </w:r>
      <w:r>
        <w:instrText>SEQ Table \* ARABIC</w:instrText>
      </w:r>
      <w:r>
        <w:fldChar w:fldCharType="separate"/>
      </w:r>
      <w:r w:rsidR="003130CC" w:rsidRPr="00AE4DBA">
        <w:rPr>
          <w:noProof/>
        </w:rPr>
        <w:t>8</w:t>
      </w:r>
      <w:r>
        <w:fldChar w:fldCharType="end"/>
      </w:r>
      <w:r w:rsidRPr="00AE4DBA">
        <w:t xml:space="preserve"> Health NZ GHG Liabilities</w:t>
      </w:r>
      <w:bookmarkEnd w:id="63"/>
    </w:p>
    <w:tbl>
      <w:tblPr>
        <w:tblpPr w:leftFromText="180" w:rightFromText="180" w:vertAnchor="text" w:horzAnchor="margin" w:tblpY="95"/>
        <w:tblW w:w="5000" w:type="pct"/>
        <w:tblLook w:val="04A0" w:firstRow="1" w:lastRow="0" w:firstColumn="1" w:lastColumn="0" w:noHBand="0" w:noVBand="1"/>
      </w:tblPr>
      <w:tblGrid>
        <w:gridCol w:w="4962"/>
        <w:gridCol w:w="1841"/>
        <w:gridCol w:w="993"/>
        <w:gridCol w:w="1230"/>
      </w:tblGrid>
      <w:tr w:rsidR="00714741" w:rsidRPr="00AE4DBA" w14:paraId="0315B0C8" w14:textId="77777777" w:rsidTr="2864371F">
        <w:trPr>
          <w:trHeight w:hRule="exact" w:val="20"/>
        </w:trPr>
        <w:tc>
          <w:tcPr>
            <w:tcW w:w="2749" w:type="pct"/>
            <w:tcBorders>
              <w:top w:val="nil"/>
              <w:left w:val="nil"/>
              <w:right w:val="nil"/>
            </w:tcBorders>
            <w:shd w:val="clear" w:color="auto" w:fill="002672" w:themeFill="accent2" w:themeFillShade="BF"/>
            <w:noWrap/>
            <w:vAlign w:val="center"/>
            <w:hideMark/>
          </w:tcPr>
          <w:p w14:paraId="3CAC623A" w14:textId="77777777" w:rsidR="00714741" w:rsidRPr="00AE4DBA" w:rsidRDefault="00714741">
            <w:pPr>
              <w:rPr>
                <w:sz w:val="2"/>
              </w:rPr>
            </w:pPr>
            <w:bookmarkStart w:id="64" w:name="_7a01ffaa_dcd2_41b3_8f4c_9e6782ec1546"/>
          </w:p>
        </w:tc>
        <w:tc>
          <w:tcPr>
            <w:tcW w:w="1020" w:type="pct"/>
            <w:tcBorders>
              <w:top w:val="nil"/>
              <w:left w:val="nil"/>
              <w:right w:val="nil"/>
            </w:tcBorders>
            <w:shd w:val="clear" w:color="auto" w:fill="002672" w:themeFill="accent2" w:themeFillShade="BF"/>
            <w:vAlign w:val="center"/>
          </w:tcPr>
          <w:p w14:paraId="3C411ACB" w14:textId="77777777" w:rsidR="00714741" w:rsidRPr="00AE4DBA" w:rsidRDefault="00714741">
            <w:pPr>
              <w:jc w:val="right"/>
              <w:rPr>
                <w:sz w:val="2"/>
              </w:rPr>
            </w:pPr>
          </w:p>
        </w:tc>
        <w:tc>
          <w:tcPr>
            <w:tcW w:w="550" w:type="pct"/>
            <w:tcBorders>
              <w:top w:val="nil"/>
              <w:left w:val="nil"/>
              <w:right w:val="nil"/>
            </w:tcBorders>
            <w:shd w:val="clear" w:color="auto" w:fill="002672" w:themeFill="accent2" w:themeFillShade="BF"/>
            <w:vAlign w:val="center"/>
          </w:tcPr>
          <w:p w14:paraId="28ADC1C7" w14:textId="77777777" w:rsidR="00714741" w:rsidRPr="00AE4DBA" w:rsidRDefault="00714741">
            <w:pPr>
              <w:rPr>
                <w:sz w:val="2"/>
              </w:rPr>
            </w:pPr>
          </w:p>
        </w:tc>
        <w:tc>
          <w:tcPr>
            <w:tcW w:w="681" w:type="pct"/>
            <w:tcBorders>
              <w:top w:val="nil"/>
              <w:left w:val="nil"/>
              <w:right w:val="nil"/>
            </w:tcBorders>
            <w:shd w:val="clear" w:color="auto" w:fill="002672" w:themeFill="accent2" w:themeFillShade="BF"/>
            <w:vAlign w:val="center"/>
          </w:tcPr>
          <w:p w14:paraId="2CEFB594" w14:textId="77777777" w:rsidR="00714741" w:rsidRPr="00AE4DBA" w:rsidRDefault="00714741">
            <w:pPr>
              <w:jc w:val="right"/>
              <w:rPr>
                <w:sz w:val="2"/>
              </w:rPr>
            </w:pPr>
          </w:p>
        </w:tc>
      </w:tr>
      <w:tr w:rsidR="00714741" w:rsidRPr="00AE4DBA" w14:paraId="3B9C60B0" w14:textId="77777777" w:rsidTr="2864371F">
        <w:trPr>
          <w:trHeight w:val="406"/>
        </w:trPr>
        <w:tc>
          <w:tcPr>
            <w:tcW w:w="2749" w:type="pct"/>
            <w:tcBorders>
              <w:right w:val="nil"/>
            </w:tcBorders>
            <w:shd w:val="clear" w:color="auto" w:fill="15284C" w:themeFill="accent5"/>
            <w:noWrap/>
            <w:vAlign w:val="center"/>
            <w:hideMark/>
          </w:tcPr>
          <w:p w14:paraId="722B9D1A" w14:textId="77777777" w:rsidR="00714741" w:rsidRPr="00AE4DBA" w:rsidRDefault="00714741">
            <w:pPr>
              <w:pStyle w:val="BodyText1"/>
              <w:spacing w:before="0"/>
              <w:rPr>
                <w:rFonts w:eastAsia="Times New Roman" w:cs="Calibri"/>
                <w:b/>
                <w:bCs/>
                <w:color w:val="F6F4EC" w:themeColor="background1"/>
                <w:sz w:val="24"/>
                <w:lang w:val="en-NZ"/>
              </w:rPr>
            </w:pPr>
            <w:r w:rsidRPr="00AE4DBA">
              <w:rPr>
                <w:rFonts w:eastAsia="Times New Roman" w:cs="Calibri"/>
                <w:b/>
                <w:bCs/>
                <w:color w:val="F6F4EC" w:themeColor="background1"/>
                <w:sz w:val="24"/>
                <w:lang w:val="en-NZ"/>
              </w:rPr>
              <w:t>Holdings</w:t>
            </w:r>
          </w:p>
        </w:tc>
        <w:tc>
          <w:tcPr>
            <w:tcW w:w="1020" w:type="pct"/>
            <w:tcBorders>
              <w:left w:val="nil"/>
              <w:right w:val="nil"/>
            </w:tcBorders>
            <w:shd w:val="clear" w:color="auto" w:fill="15284C" w:themeFill="accent5"/>
            <w:vAlign w:val="center"/>
          </w:tcPr>
          <w:p w14:paraId="0E36F459" w14:textId="77777777" w:rsidR="00714741" w:rsidRPr="00AE4DBA" w:rsidRDefault="00714741">
            <w:pPr>
              <w:pStyle w:val="BodyText1"/>
              <w:spacing w:before="0"/>
              <w:jc w:val="right"/>
              <w:rPr>
                <w:rFonts w:eastAsia="Times New Roman" w:cs="Calibri"/>
                <w:b/>
                <w:bCs/>
                <w:color w:val="F6F4EC" w:themeColor="background1"/>
                <w:sz w:val="24"/>
                <w:lang w:val="en-NZ"/>
              </w:rPr>
            </w:pPr>
            <w:r w:rsidRPr="00AE4DBA">
              <w:rPr>
                <w:rFonts w:eastAsia="Times New Roman" w:cs="Calibri"/>
                <w:b/>
                <w:bCs/>
                <w:color w:val="F6F4EC" w:themeColor="background1"/>
                <w:sz w:val="24"/>
                <w:lang w:val="en-NZ"/>
              </w:rPr>
              <w:t>Quantity</w:t>
            </w:r>
          </w:p>
        </w:tc>
        <w:tc>
          <w:tcPr>
            <w:tcW w:w="550" w:type="pct"/>
            <w:tcBorders>
              <w:left w:val="nil"/>
              <w:right w:val="nil"/>
            </w:tcBorders>
            <w:shd w:val="clear" w:color="auto" w:fill="15284C" w:themeFill="accent5"/>
            <w:vAlign w:val="center"/>
          </w:tcPr>
          <w:p w14:paraId="6D48B526" w14:textId="77777777" w:rsidR="00714741" w:rsidRPr="00AE4DBA" w:rsidRDefault="00714741">
            <w:pPr>
              <w:pStyle w:val="BodyText1"/>
              <w:spacing w:before="0"/>
              <w:jc w:val="center"/>
              <w:rPr>
                <w:rFonts w:eastAsia="Times New Roman" w:cs="Calibri"/>
                <w:b/>
                <w:bCs/>
                <w:color w:val="F6F4EC" w:themeColor="background1"/>
                <w:sz w:val="24"/>
                <w:lang w:val="en-NZ"/>
              </w:rPr>
            </w:pPr>
            <w:r w:rsidRPr="00AE4DBA">
              <w:rPr>
                <w:rFonts w:eastAsia="Times New Roman" w:cs="Calibri"/>
                <w:b/>
                <w:bCs/>
                <w:color w:val="F6F4EC" w:themeColor="background1"/>
                <w:sz w:val="24"/>
                <w:lang w:val="en-NZ"/>
              </w:rPr>
              <w:t>Unit</w:t>
            </w:r>
          </w:p>
        </w:tc>
        <w:tc>
          <w:tcPr>
            <w:tcW w:w="681" w:type="pct"/>
            <w:tcBorders>
              <w:left w:val="nil"/>
            </w:tcBorders>
            <w:shd w:val="clear" w:color="auto" w:fill="15284C" w:themeFill="accent5"/>
            <w:vAlign w:val="center"/>
          </w:tcPr>
          <w:p w14:paraId="195A6333" w14:textId="162CC866" w:rsidR="00714741" w:rsidRPr="00AE4DBA" w:rsidRDefault="00714741">
            <w:pPr>
              <w:pStyle w:val="BodyText1"/>
              <w:spacing w:before="0"/>
              <w:jc w:val="right"/>
              <w:rPr>
                <w:rFonts w:eastAsia="Times New Roman" w:cs="Calibri"/>
                <w:b/>
                <w:bCs/>
                <w:color w:val="F6F4EC" w:themeColor="background1"/>
                <w:sz w:val="24"/>
                <w:lang w:val="en-NZ"/>
              </w:rPr>
            </w:pPr>
            <w:r w:rsidRPr="00AE4DBA">
              <w:rPr>
                <w:rFonts w:eastAsia="Times New Roman" w:cs="Calibri"/>
                <w:b/>
                <w:bCs/>
                <w:color w:val="F6F4EC" w:themeColor="background1"/>
                <w:sz w:val="24"/>
                <w:lang w:val="en-NZ"/>
              </w:rPr>
              <w:t>Potential liability</w:t>
            </w:r>
            <w:r w:rsidR="007966E1" w:rsidRPr="00AE4DBA">
              <w:rPr>
                <w:rFonts w:eastAsia="Times New Roman" w:cs="Calibri"/>
                <w:b/>
                <w:bCs/>
                <w:color w:val="F6F4EC" w:themeColor="background1"/>
                <w:sz w:val="24"/>
                <w:lang w:val="en-NZ"/>
              </w:rPr>
              <w:t xml:space="preserve"> (tCO</w:t>
            </w:r>
            <w:r w:rsidR="007966E1" w:rsidRPr="00AE4DBA">
              <w:rPr>
                <w:rFonts w:eastAsia="Times New Roman" w:cs="Calibri"/>
                <w:b/>
                <w:bCs/>
                <w:color w:val="F6F4EC" w:themeColor="background1"/>
                <w:sz w:val="24"/>
                <w:vertAlign w:val="subscript"/>
                <w:lang w:val="en-NZ"/>
              </w:rPr>
              <w:t>2</w:t>
            </w:r>
            <w:r w:rsidR="007966E1" w:rsidRPr="00AE4DBA">
              <w:rPr>
                <w:rFonts w:eastAsia="Times New Roman" w:cs="Calibri"/>
                <w:b/>
                <w:bCs/>
                <w:color w:val="F6F4EC" w:themeColor="background1"/>
                <w:sz w:val="24"/>
                <w:lang w:val="en-NZ"/>
              </w:rPr>
              <w:t>e)</w:t>
            </w:r>
          </w:p>
        </w:tc>
      </w:tr>
      <w:tr w:rsidR="00714741" w:rsidRPr="00AE4DBA" w14:paraId="774FECBD" w14:textId="77777777" w:rsidTr="2864371F">
        <w:trPr>
          <w:trHeight w:val="397"/>
        </w:trPr>
        <w:tc>
          <w:tcPr>
            <w:tcW w:w="2749" w:type="pct"/>
            <w:shd w:val="clear" w:color="auto" w:fill="auto"/>
            <w:vAlign w:val="center"/>
          </w:tcPr>
          <w:p w14:paraId="79360C83" w14:textId="77777777" w:rsidR="00714741" w:rsidRPr="00AE4DBA" w:rsidRDefault="00714741">
            <w:pPr>
              <w:pStyle w:val="BodyText1"/>
              <w:spacing w:before="0"/>
              <w:rPr>
                <w:rFonts w:eastAsia="Times New Roman" w:cs="Calibri"/>
                <w:lang w:val="en-NZ"/>
              </w:rPr>
            </w:pPr>
            <w:r w:rsidRPr="00AE4DBA">
              <w:rPr>
                <w:rFonts w:eastAsia="Times New Roman" w:cs="Calibri"/>
                <w:lang w:val="en-NZ"/>
              </w:rPr>
              <w:t>Refrigerants HFCs</w:t>
            </w:r>
          </w:p>
        </w:tc>
        <w:tc>
          <w:tcPr>
            <w:tcW w:w="1020" w:type="pct"/>
            <w:shd w:val="clear" w:color="auto" w:fill="auto"/>
            <w:vAlign w:val="center"/>
          </w:tcPr>
          <w:p w14:paraId="298AEFDB" w14:textId="77777777" w:rsidR="00714741" w:rsidRPr="00AE4DBA" w:rsidRDefault="00714741">
            <w:pPr>
              <w:pStyle w:val="BodyText1"/>
              <w:spacing w:before="0"/>
              <w:jc w:val="right"/>
              <w:rPr>
                <w:rFonts w:eastAsia="Times New Roman" w:cs="Calibri"/>
                <w:lang w:val="en-NZ"/>
              </w:rPr>
            </w:pPr>
            <w:r w:rsidRPr="00AE4DBA">
              <w:rPr>
                <w:rFonts w:eastAsia="Times New Roman" w:cs="Calibri"/>
                <w:lang w:val="en-NZ"/>
              </w:rPr>
              <w:t>26,690</w:t>
            </w:r>
          </w:p>
        </w:tc>
        <w:tc>
          <w:tcPr>
            <w:tcW w:w="550" w:type="pct"/>
            <w:tcBorders>
              <w:right w:val="single" w:sz="8" w:space="0" w:color="F6F4EC" w:themeColor="background1"/>
            </w:tcBorders>
            <w:shd w:val="clear" w:color="auto" w:fill="auto"/>
            <w:vAlign w:val="center"/>
          </w:tcPr>
          <w:p w14:paraId="52207E8C" w14:textId="77777777" w:rsidR="00714741" w:rsidRPr="00AE4DBA" w:rsidRDefault="00714741">
            <w:pPr>
              <w:pStyle w:val="BodyText1"/>
              <w:spacing w:before="0"/>
              <w:jc w:val="center"/>
              <w:rPr>
                <w:rFonts w:eastAsia="Times New Roman" w:cs="Calibri"/>
                <w:lang w:val="en-NZ"/>
              </w:rPr>
            </w:pPr>
            <w:r w:rsidRPr="00AE4DBA">
              <w:rPr>
                <w:rFonts w:eastAsia="Times New Roman" w:cs="Calibri"/>
                <w:lang w:val="en-NZ"/>
              </w:rPr>
              <w:t>Kg</w:t>
            </w:r>
          </w:p>
        </w:tc>
        <w:tc>
          <w:tcPr>
            <w:tcW w:w="681" w:type="pct"/>
            <w:tcBorders>
              <w:left w:val="single" w:sz="8" w:space="0" w:color="F6F4EC" w:themeColor="background1"/>
            </w:tcBorders>
            <w:shd w:val="clear" w:color="auto" w:fill="auto"/>
            <w:vAlign w:val="center"/>
          </w:tcPr>
          <w:p w14:paraId="43A3A078" w14:textId="77777777" w:rsidR="00714741" w:rsidRPr="00AE4DBA" w:rsidRDefault="00714741">
            <w:pPr>
              <w:pStyle w:val="BodyText1"/>
              <w:spacing w:before="0"/>
              <w:jc w:val="right"/>
              <w:rPr>
                <w:rFonts w:eastAsia="Times New Roman" w:cs="Calibri"/>
                <w:lang w:val="en-NZ"/>
              </w:rPr>
            </w:pPr>
            <w:r w:rsidRPr="00AE4DBA">
              <w:rPr>
                <w:rFonts w:eastAsia="Times New Roman" w:cs="Calibri"/>
                <w:lang w:val="en-NZ"/>
              </w:rPr>
              <w:t>34,329</w:t>
            </w:r>
          </w:p>
        </w:tc>
      </w:tr>
      <w:tr w:rsidR="00714741" w:rsidRPr="00AE4DBA" w14:paraId="43540006" w14:textId="77777777" w:rsidTr="2864371F">
        <w:trPr>
          <w:trHeight w:val="397"/>
        </w:trPr>
        <w:tc>
          <w:tcPr>
            <w:tcW w:w="2749" w:type="pct"/>
            <w:shd w:val="clear" w:color="auto" w:fill="auto"/>
            <w:vAlign w:val="center"/>
          </w:tcPr>
          <w:p w14:paraId="503A03FF" w14:textId="77777777" w:rsidR="00714741" w:rsidRPr="00AE4DBA" w:rsidRDefault="00714741">
            <w:pPr>
              <w:pStyle w:val="BodyText1"/>
              <w:spacing w:before="0"/>
              <w:rPr>
                <w:rFonts w:eastAsia="Times New Roman" w:cs="Calibri"/>
                <w:lang w:val="en-NZ"/>
              </w:rPr>
            </w:pPr>
            <w:r w:rsidRPr="00AE4DBA">
              <w:rPr>
                <w:rFonts w:eastAsia="Times New Roman" w:cs="Calibri"/>
                <w:lang w:val="en-NZ"/>
              </w:rPr>
              <w:t>Refrigerants blends</w:t>
            </w:r>
          </w:p>
        </w:tc>
        <w:tc>
          <w:tcPr>
            <w:tcW w:w="1020" w:type="pct"/>
            <w:shd w:val="clear" w:color="auto" w:fill="auto"/>
            <w:vAlign w:val="center"/>
          </w:tcPr>
          <w:p w14:paraId="5CB838DC" w14:textId="77777777" w:rsidR="00714741" w:rsidRPr="00AE4DBA" w:rsidRDefault="00714741">
            <w:pPr>
              <w:pStyle w:val="BodyText1"/>
              <w:spacing w:before="0"/>
              <w:jc w:val="right"/>
              <w:rPr>
                <w:rFonts w:eastAsia="Times New Roman" w:cs="Calibri"/>
                <w:lang w:val="en-NZ"/>
              </w:rPr>
            </w:pPr>
            <w:r w:rsidRPr="00AE4DBA">
              <w:rPr>
                <w:rFonts w:eastAsia="Times New Roman" w:cs="Calibri"/>
                <w:lang w:val="en-NZ"/>
              </w:rPr>
              <w:t>6,380</w:t>
            </w:r>
          </w:p>
        </w:tc>
        <w:tc>
          <w:tcPr>
            <w:tcW w:w="550" w:type="pct"/>
            <w:tcBorders>
              <w:right w:val="single" w:sz="8" w:space="0" w:color="F6F4EC" w:themeColor="background1"/>
            </w:tcBorders>
            <w:shd w:val="clear" w:color="auto" w:fill="auto"/>
            <w:vAlign w:val="center"/>
          </w:tcPr>
          <w:p w14:paraId="226A26FE" w14:textId="77777777" w:rsidR="00714741" w:rsidRPr="00AE4DBA" w:rsidRDefault="00714741">
            <w:pPr>
              <w:pStyle w:val="BodyText1"/>
              <w:spacing w:before="0"/>
              <w:jc w:val="center"/>
              <w:rPr>
                <w:rFonts w:eastAsia="Times New Roman" w:cs="Calibri"/>
                <w:lang w:val="en-NZ"/>
              </w:rPr>
            </w:pPr>
            <w:r w:rsidRPr="00AE4DBA">
              <w:rPr>
                <w:rFonts w:eastAsia="Times New Roman" w:cs="Calibri"/>
                <w:lang w:val="en-NZ"/>
              </w:rPr>
              <w:t>Kg</w:t>
            </w:r>
          </w:p>
        </w:tc>
        <w:tc>
          <w:tcPr>
            <w:tcW w:w="681" w:type="pct"/>
            <w:tcBorders>
              <w:left w:val="single" w:sz="8" w:space="0" w:color="F6F4EC" w:themeColor="background1"/>
            </w:tcBorders>
            <w:shd w:val="clear" w:color="auto" w:fill="auto"/>
            <w:vAlign w:val="center"/>
          </w:tcPr>
          <w:p w14:paraId="5D66944C" w14:textId="77777777" w:rsidR="00714741" w:rsidRPr="00AE4DBA" w:rsidRDefault="00714741">
            <w:pPr>
              <w:pStyle w:val="BodyText1"/>
              <w:spacing w:before="0"/>
              <w:jc w:val="right"/>
              <w:rPr>
                <w:rFonts w:eastAsia="Times New Roman" w:cs="Calibri"/>
                <w:lang w:val="en-NZ"/>
              </w:rPr>
            </w:pPr>
            <w:r w:rsidRPr="00AE4DBA">
              <w:rPr>
                <w:rFonts w:eastAsia="Times New Roman" w:cs="Calibri"/>
                <w:lang w:val="en-NZ"/>
              </w:rPr>
              <w:t>12,447</w:t>
            </w:r>
          </w:p>
        </w:tc>
      </w:tr>
      <w:tr w:rsidR="007520EB" w:rsidRPr="00AE4DBA" w14:paraId="355AC2D1" w14:textId="77777777" w:rsidTr="2864371F">
        <w:trPr>
          <w:trHeight w:val="397"/>
        </w:trPr>
        <w:tc>
          <w:tcPr>
            <w:tcW w:w="2749" w:type="pct"/>
            <w:shd w:val="clear" w:color="auto" w:fill="auto"/>
            <w:vAlign w:val="center"/>
          </w:tcPr>
          <w:p w14:paraId="1B306743" w14:textId="5361D1E8" w:rsidR="007520EB" w:rsidRPr="00AE4DBA" w:rsidRDefault="007520EB" w:rsidP="007520EB">
            <w:pPr>
              <w:pStyle w:val="BodyText1"/>
              <w:spacing w:before="0"/>
              <w:rPr>
                <w:rFonts w:eastAsia="Times New Roman" w:cs="Calibri"/>
                <w:lang w:val="en-NZ"/>
              </w:rPr>
            </w:pPr>
            <w:r w:rsidRPr="00AE4DBA">
              <w:rPr>
                <w:rFonts w:eastAsia="Times New Roman" w:cs="Calibri"/>
                <w:lang w:val="en-NZ"/>
              </w:rPr>
              <w:t>Diesel</w:t>
            </w:r>
          </w:p>
        </w:tc>
        <w:tc>
          <w:tcPr>
            <w:tcW w:w="1020" w:type="pct"/>
            <w:shd w:val="clear" w:color="auto" w:fill="auto"/>
            <w:vAlign w:val="center"/>
          </w:tcPr>
          <w:p w14:paraId="2AF6478A" w14:textId="6ABEA199" w:rsidR="007520EB" w:rsidRPr="00AE4DBA" w:rsidRDefault="007520EB" w:rsidP="007520EB">
            <w:pPr>
              <w:pStyle w:val="BodyText1"/>
              <w:spacing w:before="0"/>
              <w:jc w:val="right"/>
              <w:rPr>
                <w:rFonts w:eastAsia="Times New Roman" w:cs="Calibri"/>
                <w:lang w:val="en-NZ"/>
              </w:rPr>
            </w:pPr>
            <w:r w:rsidRPr="00AE4DBA">
              <w:rPr>
                <w:rFonts w:eastAsia="Times New Roman" w:cs="Calibri"/>
                <w:lang w:val="en-NZ"/>
              </w:rPr>
              <w:t>1,230,593</w:t>
            </w:r>
          </w:p>
        </w:tc>
        <w:tc>
          <w:tcPr>
            <w:tcW w:w="550" w:type="pct"/>
            <w:tcBorders>
              <w:right w:val="single" w:sz="8" w:space="0" w:color="F6F4EC" w:themeColor="background1"/>
            </w:tcBorders>
            <w:shd w:val="clear" w:color="auto" w:fill="auto"/>
            <w:vAlign w:val="center"/>
          </w:tcPr>
          <w:p w14:paraId="45233693" w14:textId="2E4A4F23" w:rsidR="007520EB" w:rsidRPr="00AE4DBA" w:rsidRDefault="007520EB" w:rsidP="007520EB">
            <w:pPr>
              <w:pStyle w:val="BodyText1"/>
              <w:spacing w:before="0"/>
              <w:jc w:val="center"/>
              <w:rPr>
                <w:rFonts w:eastAsia="Times New Roman" w:cs="Calibri"/>
                <w:lang w:val="en-NZ"/>
              </w:rPr>
            </w:pPr>
            <w:r w:rsidRPr="00AE4DBA">
              <w:rPr>
                <w:rFonts w:eastAsia="Times New Roman" w:cs="Calibri"/>
                <w:lang w:val="en-NZ"/>
              </w:rPr>
              <w:t>Litres</w:t>
            </w:r>
          </w:p>
        </w:tc>
        <w:tc>
          <w:tcPr>
            <w:tcW w:w="681" w:type="pct"/>
            <w:tcBorders>
              <w:left w:val="single" w:sz="8" w:space="0" w:color="F6F4EC" w:themeColor="background1"/>
            </w:tcBorders>
            <w:shd w:val="clear" w:color="auto" w:fill="auto"/>
            <w:vAlign w:val="center"/>
          </w:tcPr>
          <w:p w14:paraId="72F17D24" w14:textId="73CAC269" w:rsidR="007520EB" w:rsidRPr="00AE4DBA" w:rsidRDefault="007520EB" w:rsidP="007520EB">
            <w:pPr>
              <w:pStyle w:val="BodyText1"/>
              <w:spacing w:before="0"/>
              <w:jc w:val="right"/>
              <w:rPr>
                <w:rFonts w:eastAsia="Times New Roman" w:cs="Calibri"/>
                <w:lang w:val="en-NZ"/>
              </w:rPr>
            </w:pPr>
            <w:r w:rsidRPr="00AE4DBA">
              <w:rPr>
                <w:rFonts w:eastAsia="Times New Roman" w:cs="Calibri"/>
                <w:lang w:val="en-NZ"/>
              </w:rPr>
              <w:t>3,298</w:t>
            </w:r>
          </w:p>
        </w:tc>
      </w:tr>
      <w:tr w:rsidR="00714741" w:rsidRPr="00AE4DBA" w14:paraId="32C4C940" w14:textId="77777777" w:rsidTr="2864371F">
        <w:trPr>
          <w:trHeight w:val="397"/>
        </w:trPr>
        <w:tc>
          <w:tcPr>
            <w:tcW w:w="2749" w:type="pct"/>
            <w:shd w:val="clear" w:color="auto" w:fill="auto"/>
            <w:vAlign w:val="center"/>
          </w:tcPr>
          <w:p w14:paraId="0891CCE9" w14:textId="77777777" w:rsidR="00714741" w:rsidRPr="00AE4DBA" w:rsidRDefault="00714741">
            <w:pPr>
              <w:pStyle w:val="BodyText1"/>
              <w:spacing w:before="0"/>
              <w:rPr>
                <w:rFonts w:eastAsia="Times New Roman" w:cs="Calibri"/>
                <w:lang w:val="en-NZ"/>
              </w:rPr>
            </w:pPr>
            <w:r w:rsidRPr="00AE4DBA">
              <w:rPr>
                <w:rFonts w:eastAsia="Times New Roman" w:cs="Calibri"/>
                <w:lang w:val="en-NZ"/>
              </w:rPr>
              <w:t xml:space="preserve">Refrigerants controlled by the Montreal protocol  </w:t>
            </w:r>
          </w:p>
        </w:tc>
        <w:tc>
          <w:tcPr>
            <w:tcW w:w="1020" w:type="pct"/>
            <w:shd w:val="clear" w:color="auto" w:fill="auto"/>
            <w:vAlign w:val="center"/>
          </w:tcPr>
          <w:p w14:paraId="5C6EBB3E" w14:textId="77777777" w:rsidR="00714741" w:rsidRPr="00AE4DBA" w:rsidRDefault="00714741">
            <w:pPr>
              <w:pStyle w:val="BodyText1"/>
              <w:spacing w:before="0"/>
              <w:jc w:val="right"/>
              <w:rPr>
                <w:rFonts w:eastAsia="Times New Roman" w:cs="Calibri"/>
                <w:lang w:val="en-NZ"/>
              </w:rPr>
            </w:pPr>
            <w:r w:rsidRPr="00AE4DBA">
              <w:rPr>
                <w:rFonts w:eastAsia="Times New Roman" w:cs="Calibri"/>
                <w:lang w:val="en-NZ"/>
              </w:rPr>
              <w:t>4,554</w:t>
            </w:r>
          </w:p>
        </w:tc>
        <w:tc>
          <w:tcPr>
            <w:tcW w:w="550" w:type="pct"/>
            <w:tcBorders>
              <w:right w:val="single" w:sz="8" w:space="0" w:color="F6F4EC" w:themeColor="background1"/>
            </w:tcBorders>
            <w:shd w:val="clear" w:color="auto" w:fill="auto"/>
            <w:vAlign w:val="center"/>
          </w:tcPr>
          <w:p w14:paraId="1F1226FF" w14:textId="77777777" w:rsidR="00714741" w:rsidRPr="00AE4DBA" w:rsidRDefault="00714741">
            <w:pPr>
              <w:pStyle w:val="BodyText1"/>
              <w:spacing w:before="0"/>
              <w:jc w:val="center"/>
              <w:rPr>
                <w:rFonts w:eastAsia="Times New Roman" w:cs="Calibri"/>
                <w:lang w:val="en-NZ"/>
              </w:rPr>
            </w:pPr>
            <w:r w:rsidRPr="00AE4DBA">
              <w:rPr>
                <w:rFonts w:eastAsia="Times New Roman" w:cs="Calibri"/>
                <w:lang w:val="en-NZ"/>
              </w:rPr>
              <w:t>Kg</w:t>
            </w:r>
          </w:p>
        </w:tc>
        <w:tc>
          <w:tcPr>
            <w:tcW w:w="681" w:type="pct"/>
            <w:tcBorders>
              <w:left w:val="single" w:sz="8" w:space="0" w:color="F6F4EC" w:themeColor="background1"/>
            </w:tcBorders>
            <w:shd w:val="clear" w:color="auto" w:fill="auto"/>
            <w:vAlign w:val="center"/>
          </w:tcPr>
          <w:p w14:paraId="166EC694" w14:textId="77777777" w:rsidR="00714741" w:rsidRPr="00AE4DBA" w:rsidRDefault="00714741">
            <w:pPr>
              <w:pStyle w:val="BodyText1"/>
              <w:spacing w:before="0"/>
              <w:jc w:val="right"/>
              <w:rPr>
                <w:rFonts w:eastAsia="Times New Roman" w:cs="Calibri"/>
                <w:lang w:val="en-NZ"/>
              </w:rPr>
            </w:pPr>
            <w:r w:rsidRPr="00AE4DBA">
              <w:rPr>
                <w:rFonts w:eastAsia="Times New Roman" w:cs="Calibri"/>
                <w:lang w:val="en-NZ"/>
              </w:rPr>
              <w:t>2,426</w:t>
            </w:r>
          </w:p>
        </w:tc>
      </w:tr>
      <w:tr w:rsidR="00714741" w:rsidRPr="00AE4DBA" w14:paraId="5FF070E3" w14:textId="77777777" w:rsidTr="2864371F">
        <w:trPr>
          <w:trHeight w:val="397"/>
        </w:trPr>
        <w:tc>
          <w:tcPr>
            <w:tcW w:w="2749" w:type="pct"/>
            <w:shd w:val="clear" w:color="auto" w:fill="auto"/>
            <w:vAlign w:val="center"/>
          </w:tcPr>
          <w:p w14:paraId="4269598B" w14:textId="13E3FBFB" w:rsidR="00714741" w:rsidRPr="00AE4DBA" w:rsidRDefault="007520EB">
            <w:pPr>
              <w:pStyle w:val="BodyText1"/>
              <w:spacing w:before="0"/>
              <w:rPr>
                <w:rFonts w:eastAsia="Times New Roman" w:cs="Calibri"/>
                <w:lang w:val="en-NZ"/>
              </w:rPr>
            </w:pPr>
            <w:r w:rsidRPr="00AE4DBA">
              <w:rPr>
                <w:rFonts w:eastAsia="Times New Roman" w:cs="Calibri"/>
                <w:lang w:val="en-NZ"/>
              </w:rPr>
              <w:t>Medical gases</w:t>
            </w:r>
          </w:p>
        </w:tc>
        <w:tc>
          <w:tcPr>
            <w:tcW w:w="1020" w:type="pct"/>
            <w:shd w:val="clear" w:color="auto" w:fill="auto"/>
            <w:vAlign w:val="center"/>
          </w:tcPr>
          <w:p w14:paraId="5E9CF34D" w14:textId="2C467C24" w:rsidR="00714741" w:rsidRPr="00AE4DBA" w:rsidDel="004B3781" w:rsidRDefault="007520EB">
            <w:pPr>
              <w:pStyle w:val="BodyText1"/>
              <w:spacing w:before="0"/>
              <w:jc w:val="right"/>
              <w:rPr>
                <w:rFonts w:eastAsia="Times New Roman" w:cs="Calibri"/>
                <w:lang w:val="en-NZ"/>
              </w:rPr>
            </w:pPr>
            <w:r w:rsidRPr="2864371F">
              <w:rPr>
                <w:rFonts w:eastAsia="Times New Roman" w:cs="Calibri"/>
                <w:lang w:val="en-NZ"/>
              </w:rPr>
              <w:t>6,753</w:t>
            </w:r>
          </w:p>
        </w:tc>
        <w:tc>
          <w:tcPr>
            <w:tcW w:w="550" w:type="pct"/>
            <w:tcBorders>
              <w:right w:val="single" w:sz="8" w:space="0" w:color="F6F4EC" w:themeColor="background1"/>
            </w:tcBorders>
            <w:shd w:val="clear" w:color="auto" w:fill="auto"/>
            <w:vAlign w:val="center"/>
          </w:tcPr>
          <w:p w14:paraId="462EA797" w14:textId="72981CB4" w:rsidR="00714741" w:rsidRPr="00AE4DBA" w:rsidRDefault="00714741">
            <w:pPr>
              <w:pStyle w:val="BodyText1"/>
              <w:spacing w:before="0"/>
              <w:jc w:val="center"/>
              <w:rPr>
                <w:rFonts w:eastAsia="Times New Roman" w:cs="Calibri"/>
                <w:lang w:val="en-NZ"/>
              </w:rPr>
            </w:pPr>
            <w:r w:rsidRPr="00AE4DBA">
              <w:rPr>
                <w:rFonts w:eastAsia="Times New Roman" w:cs="Calibri"/>
                <w:lang w:val="en-NZ"/>
              </w:rPr>
              <w:t>Kg</w:t>
            </w:r>
          </w:p>
        </w:tc>
        <w:tc>
          <w:tcPr>
            <w:tcW w:w="681" w:type="pct"/>
            <w:tcBorders>
              <w:left w:val="single" w:sz="8" w:space="0" w:color="F6F4EC" w:themeColor="background1"/>
            </w:tcBorders>
            <w:shd w:val="clear" w:color="auto" w:fill="auto"/>
            <w:vAlign w:val="center"/>
          </w:tcPr>
          <w:p w14:paraId="06E024CD" w14:textId="5092085F" w:rsidR="00714741" w:rsidRPr="00AE4DBA" w:rsidDel="004B3781" w:rsidRDefault="007520EB">
            <w:pPr>
              <w:pStyle w:val="BodyText1"/>
              <w:spacing w:before="0"/>
              <w:jc w:val="right"/>
              <w:rPr>
                <w:rFonts w:eastAsia="Times New Roman" w:cs="Calibri"/>
                <w:lang w:val="en-NZ"/>
              </w:rPr>
            </w:pPr>
            <w:r w:rsidRPr="00AE4DBA">
              <w:rPr>
                <w:rFonts w:eastAsia="Times New Roman" w:cs="Calibri"/>
                <w:lang w:val="en-NZ"/>
              </w:rPr>
              <w:t>2,107</w:t>
            </w:r>
          </w:p>
        </w:tc>
      </w:tr>
      <w:tr w:rsidR="00714741" w:rsidRPr="00AE4DBA" w14:paraId="1ED854C7" w14:textId="77777777" w:rsidTr="2864371F">
        <w:trPr>
          <w:trHeight w:val="397"/>
        </w:trPr>
        <w:tc>
          <w:tcPr>
            <w:tcW w:w="2749" w:type="pct"/>
            <w:shd w:val="clear" w:color="auto" w:fill="auto"/>
            <w:vAlign w:val="center"/>
          </w:tcPr>
          <w:p w14:paraId="262798F2" w14:textId="0FE4B857" w:rsidR="00714741" w:rsidRPr="00AE4DBA" w:rsidRDefault="007520EB">
            <w:pPr>
              <w:pStyle w:val="BodyText1"/>
              <w:spacing w:before="0"/>
              <w:rPr>
                <w:rFonts w:eastAsia="Times New Roman" w:cs="Calibri"/>
                <w:lang w:val="en-NZ"/>
              </w:rPr>
            </w:pPr>
            <w:r w:rsidRPr="00AE4DBA">
              <w:rPr>
                <w:rFonts w:eastAsia="Times New Roman" w:cs="Calibri"/>
                <w:lang w:val="en-NZ"/>
              </w:rPr>
              <w:t>Refrigerants other</w:t>
            </w:r>
          </w:p>
        </w:tc>
        <w:tc>
          <w:tcPr>
            <w:tcW w:w="1020" w:type="pct"/>
            <w:shd w:val="clear" w:color="auto" w:fill="auto"/>
            <w:vAlign w:val="center"/>
          </w:tcPr>
          <w:p w14:paraId="582345A4" w14:textId="5480892B" w:rsidR="00714741" w:rsidRPr="00AE4DBA" w:rsidDel="004B3781" w:rsidRDefault="007520EB">
            <w:pPr>
              <w:pStyle w:val="BodyText1"/>
              <w:spacing w:before="0"/>
              <w:jc w:val="right"/>
              <w:rPr>
                <w:rFonts w:eastAsia="Times New Roman" w:cs="Calibri"/>
                <w:lang w:val="en-NZ"/>
              </w:rPr>
            </w:pPr>
            <w:r w:rsidRPr="00AE4DBA">
              <w:rPr>
                <w:rFonts w:eastAsia="Times New Roman" w:cs="Calibri"/>
                <w:lang w:val="en-NZ"/>
              </w:rPr>
              <w:t>1,329</w:t>
            </w:r>
          </w:p>
        </w:tc>
        <w:tc>
          <w:tcPr>
            <w:tcW w:w="550" w:type="pct"/>
            <w:tcBorders>
              <w:right w:val="single" w:sz="8" w:space="0" w:color="F6F4EC" w:themeColor="background1"/>
            </w:tcBorders>
            <w:shd w:val="clear" w:color="auto" w:fill="auto"/>
            <w:vAlign w:val="center"/>
          </w:tcPr>
          <w:p w14:paraId="5C339A97" w14:textId="621B0CDD" w:rsidR="00714741" w:rsidRPr="00AE4DBA" w:rsidRDefault="007520EB">
            <w:pPr>
              <w:pStyle w:val="BodyText1"/>
              <w:spacing w:before="0"/>
              <w:jc w:val="center"/>
              <w:rPr>
                <w:rFonts w:eastAsia="Times New Roman" w:cs="Calibri"/>
                <w:lang w:val="en-NZ"/>
              </w:rPr>
            </w:pPr>
            <w:r w:rsidRPr="00AE4DBA">
              <w:rPr>
                <w:rFonts w:eastAsia="Times New Roman" w:cs="Calibri"/>
                <w:lang w:val="en-NZ"/>
              </w:rPr>
              <w:t>Kg</w:t>
            </w:r>
          </w:p>
        </w:tc>
        <w:tc>
          <w:tcPr>
            <w:tcW w:w="681" w:type="pct"/>
            <w:tcBorders>
              <w:left w:val="single" w:sz="8" w:space="0" w:color="F6F4EC" w:themeColor="background1"/>
            </w:tcBorders>
            <w:shd w:val="clear" w:color="auto" w:fill="auto"/>
            <w:vAlign w:val="center"/>
          </w:tcPr>
          <w:p w14:paraId="42BE6FEB" w14:textId="42C956BF" w:rsidR="00714741" w:rsidRPr="00AE4DBA" w:rsidDel="004B3781" w:rsidRDefault="007520EB">
            <w:pPr>
              <w:pStyle w:val="BodyText1"/>
              <w:spacing w:before="0"/>
              <w:jc w:val="right"/>
              <w:rPr>
                <w:rFonts w:eastAsia="Times New Roman" w:cs="Calibri"/>
                <w:lang w:val="en-NZ"/>
              </w:rPr>
            </w:pPr>
            <w:r w:rsidRPr="00AE4DBA">
              <w:rPr>
                <w:rFonts w:eastAsia="Times New Roman" w:cs="Calibri"/>
                <w:lang w:val="en-NZ"/>
              </w:rPr>
              <w:t>1,720</w:t>
            </w:r>
          </w:p>
        </w:tc>
      </w:tr>
      <w:tr w:rsidR="00714741" w:rsidRPr="00AE4DBA" w14:paraId="551E3A88" w14:textId="77777777" w:rsidTr="2864371F">
        <w:trPr>
          <w:trHeight w:val="397"/>
        </w:trPr>
        <w:tc>
          <w:tcPr>
            <w:tcW w:w="2749" w:type="pct"/>
            <w:shd w:val="clear" w:color="auto" w:fill="auto"/>
            <w:vAlign w:val="center"/>
            <w:hideMark/>
          </w:tcPr>
          <w:p w14:paraId="110E21A6" w14:textId="77777777" w:rsidR="00714741" w:rsidRPr="00AE4DBA" w:rsidRDefault="00714741">
            <w:pPr>
              <w:pStyle w:val="BodyText1"/>
              <w:spacing w:before="0"/>
              <w:rPr>
                <w:rFonts w:eastAsia="Times New Roman" w:cs="Calibri"/>
                <w:lang w:val="en-NZ"/>
              </w:rPr>
            </w:pPr>
            <w:r w:rsidRPr="00AE4DBA">
              <w:rPr>
                <w:rFonts w:eastAsia="Times New Roman" w:cs="Calibri"/>
                <w:lang w:val="en-NZ"/>
              </w:rPr>
              <w:t>Coal</w:t>
            </w:r>
          </w:p>
        </w:tc>
        <w:tc>
          <w:tcPr>
            <w:tcW w:w="1020" w:type="pct"/>
            <w:shd w:val="clear" w:color="auto" w:fill="auto"/>
            <w:vAlign w:val="center"/>
          </w:tcPr>
          <w:p w14:paraId="662D94D3" w14:textId="77777777" w:rsidR="00714741" w:rsidRPr="00AE4DBA" w:rsidRDefault="00714741">
            <w:pPr>
              <w:pStyle w:val="BodyText1"/>
              <w:spacing w:before="0"/>
              <w:jc w:val="right"/>
              <w:rPr>
                <w:rFonts w:eastAsia="Times New Roman" w:cs="Calibri"/>
                <w:lang w:val="en-NZ"/>
              </w:rPr>
            </w:pPr>
            <w:r w:rsidRPr="00AE4DBA">
              <w:rPr>
                <w:rFonts w:eastAsia="Times New Roman" w:cs="Calibri"/>
                <w:lang w:val="en-NZ"/>
              </w:rPr>
              <w:t>142,000</w:t>
            </w:r>
          </w:p>
        </w:tc>
        <w:tc>
          <w:tcPr>
            <w:tcW w:w="550" w:type="pct"/>
            <w:tcBorders>
              <w:right w:val="single" w:sz="8" w:space="0" w:color="F6F4EC" w:themeColor="background1"/>
            </w:tcBorders>
            <w:shd w:val="clear" w:color="auto" w:fill="auto"/>
            <w:vAlign w:val="center"/>
          </w:tcPr>
          <w:p w14:paraId="7DB35357" w14:textId="77777777" w:rsidR="00714741" w:rsidRPr="00AE4DBA" w:rsidRDefault="00714741">
            <w:pPr>
              <w:pStyle w:val="BodyText1"/>
              <w:spacing w:before="0"/>
              <w:jc w:val="center"/>
              <w:rPr>
                <w:rFonts w:eastAsia="Times New Roman" w:cs="Calibri"/>
                <w:lang w:val="en-NZ"/>
              </w:rPr>
            </w:pPr>
            <w:r w:rsidRPr="00AE4DBA">
              <w:rPr>
                <w:rFonts w:eastAsia="Times New Roman" w:cs="Calibri"/>
                <w:lang w:val="en-NZ"/>
              </w:rPr>
              <w:t>Tonne</w:t>
            </w:r>
          </w:p>
        </w:tc>
        <w:tc>
          <w:tcPr>
            <w:tcW w:w="681" w:type="pct"/>
            <w:tcBorders>
              <w:left w:val="single" w:sz="8" w:space="0" w:color="F6F4EC" w:themeColor="background1"/>
            </w:tcBorders>
            <w:shd w:val="clear" w:color="auto" w:fill="auto"/>
            <w:vAlign w:val="center"/>
          </w:tcPr>
          <w:p w14:paraId="63913800" w14:textId="77777777" w:rsidR="00714741" w:rsidRPr="00AE4DBA" w:rsidRDefault="00714741">
            <w:pPr>
              <w:pStyle w:val="BodyText1"/>
              <w:spacing w:before="0"/>
              <w:jc w:val="right"/>
              <w:rPr>
                <w:rFonts w:eastAsia="Times New Roman" w:cs="Calibri"/>
                <w:lang w:val="en-NZ"/>
              </w:rPr>
            </w:pPr>
            <w:r w:rsidRPr="00AE4DBA">
              <w:rPr>
                <w:rFonts w:eastAsia="Times New Roman" w:cs="Calibri"/>
                <w:lang w:val="en-NZ"/>
              </w:rPr>
              <w:t>284</w:t>
            </w:r>
          </w:p>
        </w:tc>
      </w:tr>
      <w:tr w:rsidR="00714741" w:rsidRPr="00AE4DBA" w14:paraId="1C624E32" w14:textId="77777777" w:rsidTr="2864371F">
        <w:trPr>
          <w:trHeight w:val="397"/>
        </w:trPr>
        <w:tc>
          <w:tcPr>
            <w:tcW w:w="2749" w:type="pct"/>
            <w:shd w:val="clear" w:color="auto" w:fill="auto"/>
            <w:vAlign w:val="center"/>
          </w:tcPr>
          <w:p w14:paraId="03B847C8" w14:textId="77777777" w:rsidR="00714741" w:rsidRPr="00AE4DBA" w:rsidRDefault="00714741">
            <w:pPr>
              <w:pStyle w:val="BodyText1"/>
              <w:spacing w:before="0"/>
              <w:rPr>
                <w:rFonts w:eastAsia="Times New Roman" w:cs="Calibri"/>
                <w:lang w:val="en-NZ"/>
              </w:rPr>
            </w:pPr>
            <w:r w:rsidRPr="00AE4DBA">
              <w:rPr>
                <w:rFonts w:eastAsia="Times New Roman" w:cs="Calibri"/>
                <w:lang w:val="en-NZ"/>
              </w:rPr>
              <w:t>LPG</w:t>
            </w:r>
          </w:p>
        </w:tc>
        <w:tc>
          <w:tcPr>
            <w:tcW w:w="1020" w:type="pct"/>
            <w:shd w:val="clear" w:color="auto" w:fill="auto"/>
            <w:vAlign w:val="center"/>
          </w:tcPr>
          <w:p w14:paraId="4FA66500" w14:textId="77777777" w:rsidR="00714741" w:rsidRPr="00AE4DBA" w:rsidRDefault="00714741">
            <w:pPr>
              <w:pStyle w:val="BodyText1"/>
              <w:spacing w:before="0"/>
              <w:jc w:val="right"/>
              <w:rPr>
                <w:rFonts w:eastAsia="Times New Roman" w:cs="Calibri"/>
                <w:lang w:val="en-NZ"/>
              </w:rPr>
            </w:pPr>
            <w:r w:rsidRPr="00AE4DBA">
              <w:rPr>
                <w:rFonts w:eastAsia="Times New Roman" w:cs="Calibri"/>
                <w:lang w:val="en-NZ"/>
              </w:rPr>
              <w:t>36,167</w:t>
            </w:r>
          </w:p>
        </w:tc>
        <w:tc>
          <w:tcPr>
            <w:tcW w:w="550" w:type="pct"/>
            <w:tcBorders>
              <w:right w:val="single" w:sz="8" w:space="0" w:color="F6F4EC" w:themeColor="background1"/>
            </w:tcBorders>
            <w:shd w:val="clear" w:color="auto" w:fill="auto"/>
            <w:vAlign w:val="center"/>
          </w:tcPr>
          <w:p w14:paraId="3D7D8452" w14:textId="77777777" w:rsidR="00714741" w:rsidRPr="00AE4DBA" w:rsidRDefault="00714741">
            <w:pPr>
              <w:pStyle w:val="BodyText1"/>
              <w:spacing w:before="0"/>
              <w:jc w:val="center"/>
              <w:rPr>
                <w:rFonts w:eastAsia="Times New Roman" w:cs="Calibri"/>
                <w:lang w:val="en-NZ"/>
              </w:rPr>
            </w:pPr>
            <w:r w:rsidRPr="00AE4DBA">
              <w:rPr>
                <w:rFonts w:eastAsia="Times New Roman" w:cs="Calibri"/>
                <w:lang w:val="en-NZ"/>
              </w:rPr>
              <w:t>Kg</w:t>
            </w:r>
          </w:p>
        </w:tc>
        <w:tc>
          <w:tcPr>
            <w:tcW w:w="681" w:type="pct"/>
            <w:tcBorders>
              <w:left w:val="single" w:sz="8" w:space="0" w:color="F6F4EC" w:themeColor="background1"/>
            </w:tcBorders>
            <w:shd w:val="clear" w:color="auto" w:fill="auto"/>
            <w:vAlign w:val="center"/>
          </w:tcPr>
          <w:p w14:paraId="134A1708" w14:textId="77777777" w:rsidR="00714741" w:rsidRPr="00AE4DBA" w:rsidRDefault="00714741">
            <w:pPr>
              <w:pStyle w:val="BodyText1"/>
              <w:spacing w:before="0"/>
              <w:jc w:val="right"/>
              <w:rPr>
                <w:rFonts w:eastAsia="Times New Roman" w:cs="Calibri"/>
                <w:lang w:val="en-NZ"/>
              </w:rPr>
            </w:pPr>
            <w:r w:rsidRPr="00AE4DBA">
              <w:rPr>
                <w:rFonts w:eastAsia="Times New Roman" w:cs="Calibri"/>
                <w:lang w:val="en-NZ"/>
              </w:rPr>
              <w:t>107</w:t>
            </w:r>
          </w:p>
        </w:tc>
      </w:tr>
      <w:tr w:rsidR="00714741" w:rsidRPr="00AE4DBA" w14:paraId="7EB34204" w14:textId="77777777" w:rsidTr="2864371F">
        <w:trPr>
          <w:trHeight w:val="397"/>
        </w:trPr>
        <w:tc>
          <w:tcPr>
            <w:tcW w:w="2749" w:type="pct"/>
            <w:shd w:val="clear" w:color="auto" w:fill="auto"/>
            <w:vAlign w:val="center"/>
          </w:tcPr>
          <w:p w14:paraId="025EA82A" w14:textId="77777777" w:rsidR="00714741" w:rsidRPr="00AE4DBA" w:rsidRDefault="00714741">
            <w:pPr>
              <w:pStyle w:val="BodyText1"/>
              <w:spacing w:before="0"/>
              <w:rPr>
                <w:rFonts w:eastAsia="Times New Roman" w:cs="Calibri"/>
                <w:lang w:val="en-NZ"/>
              </w:rPr>
            </w:pPr>
            <w:r w:rsidRPr="00AE4DBA">
              <w:rPr>
                <w:rFonts w:eastAsia="Times New Roman" w:cs="Calibri"/>
                <w:lang w:val="en-NZ"/>
              </w:rPr>
              <w:t>Anaesthetic vapours</w:t>
            </w:r>
          </w:p>
        </w:tc>
        <w:tc>
          <w:tcPr>
            <w:tcW w:w="1020" w:type="pct"/>
            <w:shd w:val="clear" w:color="auto" w:fill="auto"/>
            <w:vAlign w:val="center"/>
          </w:tcPr>
          <w:p w14:paraId="0465F820" w14:textId="552F63E0" w:rsidR="00714741" w:rsidRPr="00AE4DBA" w:rsidDel="00BA0EDA" w:rsidRDefault="2E8E63D7">
            <w:pPr>
              <w:pStyle w:val="BodyText1"/>
              <w:spacing w:before="0"/>
              <w:jc w:val="right"/>
              <w:rPr>
                <w:rFonts w:eastAsia="Times New Roman" w:cs="Calibri"/>
                <w:lang w:val="en-NZ"/>
              </w:rPr>
            </w:pPr>
            <w:r w:rsidRPr="2864371F">
              <w:rPr>
                <w:rFonts w:eastAsia="Times New Roman" w:cs="Calibri"/>
                <w:lang w:val="en-NZ"/>
              </w:rPr>
              <w:t>900</w:t>
            </w:r>
          </w:p>
        </w:tc>
        <w:tc>
          <w:tcPr>
            <w:tcW w:w="550" w:type="pct"/>
            <w:tcBorders>
              <w:right w:val="single" w:sz="8" w:space="0" w:color="F6F4EC" w:themeColor="background1"/>
            </w:tcBorders>
            <w:shd w:val="clear" w:color="auto" w:fill="auto"/>
            <w:vAlign w:val="center"/>
          </w:tcPr>
          <w:p w14:paraId="56ECA530" w14:textId="77777777" w:rsidR="00714741" w:rsidRPr="00AE4DBA" w:rsidRDefault="00714741">
            <w:pPr>
              <w:pStyle w:val="BodyText1"/>
              <w:spacing w:before="0"/>
              <w:jc w:val="center"/>
              <w:rPr>
                <w:rFonts w:eastAsia="Times New Roman" w:cs="Calibri"/>
                <w:lang w:val="en-NZ"/>
              </w:rPr>
            </w:pPr>
            <w:r w:rsidRPr="00AE4DBA">
              <w:rPr>
                <w:rFonts w:eastAsia="Times New Roman" w:cs="Calibri"/>
                <w:lang w:val="en-NZ"/>
              </w:rPr>
              <w:t>Kg</w:t>
            </w:r>
          </w:p>
        </w:tc>
        <w:tc>
          <w:tcPr>
            <w:tcW w:w="681" w:type="pct"/>
            <w:tcBorders>
              <w:left w:val="single" w:sz="8" w:space="0" w:color="F6F4EC" w:themeColor="background1"/>
            </w:tcBorders>
            <w:shd w:val="clear" w:color="auto" w:fill="auto"/>
            <w:vAlign w:val="center"/>
          </w:tcPr>
          <w:p w14:paraId="4F8A10CC" w14:textId="77777777" w:rsidR="00714741" w:rsidRPr="00AE4DBA" w:rsidDel="00F85B58" w:rsidRDefault="00714741">
            <w:pPr>
              <w:pStyle w:val="BodyText1"/>
              <w:spacing w:before="0"/>
              <w:jc w:val="right"/>
              <w:rPr>
                <w:rFonts w:eastAsia="Times New Roman" w:cs="Calibri"/>
                <w:lang w:val="en-NZ"/>
              </w:rPr>
            </w:pPr>
            <w:r w:rsidRPr="00AE4DBA">
              <w:rPr>
                <w:rFonts w:eastAsia="Times New Roman" w:cs="Calibri"/>
                <w:lang w:val="en-NZ"/>
              </w:rPr>
              <w:t>101</w:t>
            </w:r>
          </w:p>
        </w:tc>
      </w:tr>
      <w:tr w:rsidR="00714741" w:rsidRPr="00AE4DBA" w14:paraId="27227019" w14:textId="77777777" w:rsidTr="2864371F">
        <w:trPr>
          <w:trHeight w:val="397"/>
        </w:trPr>
        <w:tc>
          <w:tcPr>
            <w:tcW w:w="2749" w:type="pct"/>
            <w:shd w:val="clear" w:color="auto" w:fill="auto"/>
            <w:vAlign w:val="center"/>
            <w:hideMark/>
          </w:tcPr>
          <w:p w14:paraId="3DF88079" w14:textId="77777777" w:rsidR="00714741" w:rsidRPr="00AE4DBA" w:rsidRDefault="00714741">
            <w:pPr>
              <w:pStyle w:val="BodyText1"/>
              <w:spacing w:before="0"/>
              <w:rPr>
                <w:rFonts w:eastAsia="Times New Roman" w:cs="Calibri"/>
                <w:lang w:val="en-NZ"/>
              </w:rPr>
            </w:pPr>
            <w:r w:rsidRPr="00AE4DBA">
              <w:rPr>
                <w:rFonts w:eastAsia="Times New Roman" w:cs="Calibri"/>
                <w:lang w:val="en-NZ"/>
              </w:rPr>
              <w:t>Biomass</w:t>
            </w:r>
          </w:p>
        </w:tc>
        <w:tc>
          <w:tcPr>
            <w:tcW w:w="1020" w:type="pct"/>
            <w:shd w:val="clear" w:color="auto" w:fill="auto"/>
            <w:vAlign w:val="center"/>
          </w:tcPr>
          <w:p w14:paraId="016586E4" w14:textId="77777777" w:rsidR="00714741" w:rsidRPr="00AE4DBA" w:rsidRDefault="00714741">
            <w:pPr>
              <w:pStyle w:val="BodyText1"/>
              <w:spacing w:before="0"/>
              <w:jc w:val="right"/>
              <w:rPr>
                <w:rFonts w:eastAsia="Times New Roman" w:cs="Calibri"/>
                <w:lang w:val="en-NZ"/>
              </w:rPr>
            </w:pPr>
            <w:r w:rsidRPr="00AE4DBA">
              <w:rPr>
                <w:rFonts w:eastAsia="Times New Roman" w:cs="Calibri"/>
                <w:lang w:val="en-NZ"/>
              </w:rPr>
              <w:t>362,000</w:t>
            </w:r>
          </w:p>
        </w:tc>
        <w:tc>
          <w:tcPr>
            <w:tcW w:w="550" w:type="pct"/>
            <w:tcBorders>
              <w:right w:val="single" w:sz="8" w:space="0" w:color="F6F4EC" w:themeColor="background1"/>
            </w:tcBorders>
            <w:shd w:val="clear" w:color="auto" w:fill="auto"/>
            <w:vAlign w:val="center"/>
          </w:tcPr>
          <w:p w14:paraId="2EF47FA4" w14:textId="77777777" w:rsidR="00714741" w:rsidRPr="00AE4DBA" w:rsidRDefault="00714741">
            <w:pPr>
              <w:pStyle w:val="BodyText1"/>
              <w:spacing w:before="0"/>
              <w:jc w:val="center"/>
              <w:rPr>
                <w:rFonts w:eastAsia="Times New Roman" w:cs="Calibri"/>
                <w:lang w:val="en-NZ"/>
              </w:rPr>
            </w:pPr>
            <w:r w:rsidRPr="00AE4DBA">
              <w:rPr>
                <w:rFonts w:eastAsia="Times New Roman" w:cs="Calibri"/>
                <w:lang w:val="en-NZ"/>
              </w:rPr>
              <w:t>Tonne</w:t>
            </w:r>
          </w:p>
        </w:tc>
        <w:tc>
          <w:tcPr>
            <w:tcW w:w="681" w:type="pct"/>
            <w:tcBorders>
              <w:left w:val="single" w:sz="8" w:space="0" w:color="F6F4EC" w:themeColor="background1"/>
            </w:tcBorders>
            <w:shd w:val="clear" w:color="auto" w:fill="auto"/>
            <w:vAlign w:val="center"/>
          </w:tcPr>
          <w:p w14:paraId="74D193DD" w14:textId="77777777" w:rsidR="00714741" w:rsidRPr="00AE4DBA" w:rsidRDefault="00714741">
            <w:pPr>
              <w:pStyle w:val="BodyText1"/>
              <w:spacing w:before="0"/>
              <w:jc w:val="right"/>
              <w:rPr>
                <w:rFonts w:eastAsia="Times New Roman" w:cs="Calibri"/>
                <w:lang w:val="en-NZ"/>
              </w:rPr>
            </w:pPr>
            <w:r w:rsidRPr="00AE4DBA">
              <w:rPr>
                <w:rFonts w:eastAsia="Times New Roman" w:cs="Calibri"/>
                <w:lang w:val="en-NZ"/>
              </w:rPr>
              <w:t>5</w:t>
            </w:r>
          </w:p>
        </w:tc>
      </w:tr>
      <w:tr w:rsidR="00714741" w:rsidRPr="00AE4DBA" w14:paraId="3DB2423F" w14:textId="77777777" w:rsidTr="2864371F">
        <w:trPr>
          <w:trHeight w:val="472"/>
        </w:trPr>
        <w:tc>
          <w:tcPr>
            <w:tcW w:w="4319" w:type="pct"/>
            <w:gridSpan w:val="3"/>
            <w:tcBorders>
              <w:right w:val="single" w:sz="8" w:space="0" w:color="F6F4EC" w:themeColor="background1"/>
            </w:tcBorders>
            <w:shd w:val="clear" w:color="auto" w:fill="auto"/>
            <w:vAlign w:val="center"/>
          </w:tcPr>
          <w:p w14:paraId="6F33330A" w14:textId="77777777" w:rsidR="00714741" w:rsidRPr="00AE4DBA" w:rsidRDefault="00714741">
            <w:pPr>
              <w:pStyle w:val="BodyText1"/>
              <w:spacing w:before="0"/>
              <w:jc w:val="right"/>
              <w:rPr>
                <w:rFonts w:eastAsia="Times New Roman" w:cs="Calibri"/>
                <w:b/>
                <w:bCs/>
                <w:color w:val="002672" w:themeColor="accent2" w:themeShade="BF"/>
                <w:sz w:val="24"/>
                <w:lang w:val="en-NZ"/>
              </w:rPr>
            </w:pPr>
            <w:r w:rsidRPr="00AE4DBA">
              <w:rPr>
                <w:rFonts w:eastAsia="Times New Roman" w:cs="Calibri"/>
                <w:b/>
                <w:color w:val="002672" w:themeColor="accent2" w:themeShade="BF"/>
                <w:sz w:val="24"/>
                <w:lang w:val="en-NZ"/>
              </w:rPr>
              <w:t>Total potential liability tCO</w:t>
            </w:r>
            <w:r w:rsidRPr="00AE4DBA">
              <w:rPr>
                <w:rFonts w:eastAsia="Times New Roman" w:cs="Calibri"/>
                <w:b/>
                <w:color w:val="002672" w:themeColor="accent2" w:themeShade="BF"/>
                <w:sz w:val="24"/>
                <w:vertAlign w:val="subscript"/>
                <w:lang w:val="en-NZ"/>
              </w:rPr>
              <w:t>2</w:t>
            </w:r>
            <w:r w:rsidRPr="00AE4DBA">
              <w:rPr>
                <w:rFonts w:eastAsia="Times New Roman" w:cs="Calibri"/>
                <w:b/>
                <w:color w:val="002672" w:themeColor="accent2" w:themeShade="BF"/>
                <w:sz w:val="24"/>
                <w:lang w:val="en-NZ"/>
              </w:rPr>
              <w:t>e</w:t>
            </w:r>
          </w:p>
        </w:tc>
        <w:tc>
          <w:tcPr>
            <w:tcW w:w="681" w:type="pct"/>
            <w:tcBorders>
              <w:left w:val="single" w:sz="8" w:space="0" w:color="F6F4EC" w:themeColor="background1"/>
            </w:tcBorders>
            <w:shd w:val="clear" w:color="auto" w:fill="auto"/>
            <w:vAlign w:val="center"/>
          </w:tcPr>
          <w:p w14:paraId="1A39FD2C" w14:textId="77777777" w:rsidR="00714741" w:rsidRPr="00AE4DBA" w:rsidRDefault="00714741">
            <w:pPr>
              <w:pStyle w:val="BodyText1"/>
              <w:spacing w:before="0"/>
              <w:jc w:val="right"/>
              <w:rPr>
                <w:rFonts w:eastAsia="Times New Roman" w:cs="Calibri"/>
                <w:b/>
                <w:bCs/>
                <w:color w:val="002672" w:themeColor="accent2" w:themeShade="BF"/>
                <w:sz w:val="24"/>
                <w:lang w:val="en-NZ"/>
              </w:rPr>
            </w:pPr>
            <w:r w:rsidRPr="00AE4DBA">
              <w:rPr>
                <w:rFonts w:eastAsia="Times New Roman" w:cs="Calibri"/>
                <w:b/>
                <w:bCs/>
                <w:color w:val="002672" w:themeColor="accent2" w:themeShade="BF"/>
                <w:sz w:val="24"/>
                <w:lang w:val="en-NZ"/>
              </w:rPr>
              <w:t>56,825</w:t>
            </w:r>
          </w:p>
        </w:tc>
      </w:tr>
    </w:tbl>
    <w:p w14:paraId="04722517" w14:textId="77777777" w:rsidR="0075744C" w:rsidRPr="00AE4DBA" w:rsidRDefault="0075744C" w:rsidP="005146FC">
      <w:pPr>
        <w:pStyle w:val="Tableheading-reverse"/>
        <w:numPr>
          <w:ilvl w:val="1"/>
          <w:numId w:val="5"/>
        </w:numPr>
      </w:pPr>
      <w:bookmarkStart w:id="65" w:name="_Toc176345130"/>
      <w:bookmarkEnd w:id="64"/>
      <w:r w:rsidRPr="00AE4DBA">
        <w:t>Land-use change</w:t>
      </w:r>
      <w:bookmarkEnd w:id="65"/>
    </w:p>
    <w:p w14:paraId="0EA28435" w14:textId="2EAA6678" w:rsidR="0075744C" w:rsidRPr="00AE4DBA" w:rsidRDefault="0075744C" w:rsidP="0075744C">
      <w:pPr>
        <w:pStyle w:val="BodyText1"/>
        <w:rPr>
          <w:lang w:val="en-NZ"/>
        </w:rPr>
      </w:pPr>
      <w:r w:rsidRPr="00AE4DBA">
        <w:rPr>
          <w:lang w:val="en-NZ"/>
        </w:rPr>
        <w:t xml:space="preserve">Land-use change has not been included in this inventory as </w:t>
      </w:r>
      <w:r w:rsidR="00E40E6B" w:rsidRPr="00AE4DBA">
        <w:rPr>
          <w:lang w:val="en-NZ"/>
        </w:rPr>
        <w:t>Health NZ</w:t>
      </w:r>
      <w:r w:rsidRPr="00AE4DBA">
        <w:rPr>
          <w:lang w:val="en-NZ"/>
        </w:rPr>
        <w:t xml:space="preserve"> does not own land subject to significant land use change.</w:t>
      </w:r>
    </w:p>
    <w:p w14:paraId="7552A81B" w14:textId="058779E2" w:rsidR="003014DC" w:rsidRPr="00AE4DBA" w:rsidRDefault="0075744C" w:rsidP="003014DC">
      <w:pPr>
        <w:pStyle w:val="Tableheading-reverse"/>
        <w:numPr>
          <w:ilvl w:val="1"/>
          <w:numId w:val="5"/>
        </w:numPr>
      </w:pPr>
      <w:bookmarkStart w:id="66" w:name="_Toc176345131"/>
      <w:r w:rsidRPr="00AE4DBA">
        <w:t>Supplementary results</w:t>
      </w:r>
      <w:bookmarkEnd w:id="66"/>
    </w:p>
    <w:p w14:paraId="33A3F61E" w14:textId="77777777" w:rsidR="0075744C" w:rsidRPr="00AE4DBA" w:rsidRDefault="5A5CF09D" w:rsidP="00141DF0">
      <w:pPr>
        <w:pStyle w:val="ListParagraph"/>
        <w:numPr>
          <w:ilvl w:val="0"/>
          <w:numId w:val="9"/>
        </w:numPr>
        <w:spacing w:after="200"/>
      </w:pPr>
      <w:r>
        <w:t>Contractual instruments are not applicable for this reporting period.</w:t>
      </w:r>
    </w:p>
    <w:p w14:paraId="6B667B1D" w14:textId="247A260D" w:rsidR="0075744C" w:rsidRPr="00AE4DBA" w:rsidRDefault="0075744C" w:rsidP="00141DF0">
      <w:pPr>
        <w:pStyle w:val="ListParagraph"/>
        <w:numPr>
          <w:ilvl w:val="0"/>
          <w:numId w:val="9"/>
        </w:numPr>
        <w:spacing w:after="200"/>
      </w:pPr>
      <w:r w:rsidRPr="00AE4DBA">
        <w:t xml:space="preserve">No offsets have been purchased for this reporting period. </w:t>
      </w:r>
    </w:p>
    <w:p w14:paraId="3504E934" w14:textId="77777777" w:rsidR="0075744C" w:rsidRPr="00AE4DBA" w:rsidRDefault="0075744C" w:rsidP="005146FC">
      <w:pPr>
        <w:pStyle w:val="Tableheading-reverse"/>
        <w:numPr>
          <w:ilvl w:val="1"/>
          <w:numId w:val="5"/>
        </w:numPr>
      </w:pPr>
      <w:bookmarkStart w:id="67" w:name="_Toc176345132"/>
      <w:r w:rsidRPr="00AE4DBA">
        <w:lastRenderedPageBreak/>
        <w:t>Data collection and uncertainties</w:t>
      </w:r>
      <w:bookmarkEnd w:id="67"/>
    </w:p>
    <w:p w14:paraId="7BE33395" w14:textId="77777777" w:rsidR="0075744C" w:rsidRPr="00AE4DBA" w:rsidRDefault="0075744C" w:rsidP="0075744C">
      <w:pPr>
        <w:pStyle w:val="BodyText1"/>
        <w:spacing w:after="120"/>
        <w:rPr>
          <w:lang w:val="en-NZ"/>
        </w:rPr>
      </w:pPr>
      <w:r w:rsidRPr="00AE4DBA">
        <w:rPr>
          <w:lang w:val="en-NZ"/>
        </w:rPr>
        <w:t>The following approaches were used during data gathering:</w:t>
      </w:r>
    </w:p>
    <w:p w14:paraId="563EE346" w14:textId="0282AA5C" w:rsidR="0075744C" w:rsidRPr="00AE4DBA" w:rsidRDefault="0075744C" w:rsidP="0075744C">
      <w:pPr>
        <w:pStyle w:val="Bulletpoints"/>
        <w:suppressAutoHyphens/>
        <w:autoSpaceDE w:val="0"/>
        <w:autoSpaceDN w:val="0"/>
        <w:adjustRightInd w:val="0"/>
        <w:spacing w:line="288" w:lineRule="auto"/>
        <w:ind w:left="720" w:hanging="360"/>
        <w:textAlignment w:val="center"/>
      </w:pPr>
      <w:r w:rsidRPr="00AE4DBA">
        <w:t xml:space="preserve">National data collection – involving engagement with companies holding contracts or providing services to several </w:t>
      </w:r>
      <w:r w:rsidR="00E40E6B" w:rsidRPr="00AE4DBA">
        <w:t>Health NZ</w:t>
      </w:r>
      <w:r w:rsidRPr="00AE4DBA">
        <w:t xml:space="preserve"> sites to provide activity data such as waste to landfill, electricity </w:t>
      </w:r>
      <w:r w:rsidR="00C4359A" w:rsidRPr="00AE4DBA">
        <w:t xml:space="preserve">and </w:t>
      </w:r>
      <w:r w:rsidRPr="00AE4DBA">
        <w:t>fuel consumption.</w:t>
      </w:r>
    </w:p>
    <w:p w14:paraId="45A1CFEB" w14:textId="77777777" w:rsidR="0075744C" w:rsidRPr="00AE4DBA" w:rsidRDefault="0075744C" w:rsidP="0075744C">
      <w:pPr>
        <w:pStyle w:val="Bulletpoints"/>
        <w:suppressAutoHyphens/>
        <w:autoSpaceDE w:val="0"/>
        <w:autoSpaceDN w:val="0"/>
        <w:adjustRightInd w:val="0"/>
        <w:spacing w:line="288" w:lineRule="auto"/>
        <w:ind w:left="720" w:hanging="360"/>
        <w:textAlignment w:val="center"/>
      </w:pPr>
      <w:r w:rsidRPr="00AE4DBA">
        <w:t>Regional and local data collection – involving engagement with key contacts at regional and local sites and companies where national data collection was not possible, to provide activity data such as refrigerant, stationary diesel, liabilities and top-ups.</w:t>
      </w:r>
    </w:p>
    <w:p w14:paraId="6BB23BE4" w14:textId="15229D4D" w:rsidR="0075744C" w:rsidRPr="00AE4DBA" w:rsidRDefault="0075744C" w:rsidP="0075744C">
      <w:pPr>
        <w:pStyle w:val="BodyText1"/>
        <w:rPr>
          <w:lang w:val="en-NZ"/>
        </w:rPr>
      </w:pPr>
      <w:r w:rsidRPr="00AE4DBA">
        <w:rPr>
          <w:lang w:val="en-NZ"/>
        </w:rPr>
        <w:t xml:space="preserve">Emissions are calculated by multiplying emissions activity data with appropriate emissions factors. Most emission factors are sourced from the Te </w:t>
      </w:r>
      <w:proofErr w:type="spellStart"/>
      <w:r w:rsidRPr="00AE4DBA">
        <w:rPr>
          <w:lang w:val="en-NZ"/>
        </w:rPr>
        <w:t>ine</w:t>
      </w:r>
      <w:proofErr w:type="spellEnd"/>
      <w:r w:rsidRPr="00AE4DBA">
        <w:rPr>
          <w:lang w:val="en-NZ"/>
        </w:rPr>
        <w:t xml:space="preserve"> </w:t>
      </w:r>
      <w:proofErr w:type="spellStart"/>
      <w:r w:rsidRPr="00AE4DBA">
        <w:rPr>
          <w:lang w:val="en-NZ"/>
        </w:rPr>
        <w:t>tukunga</w:t>
      </w:r>
      <w:proofErr w:type="spellEnd"/>
      <w:r w:rsidRPr="00AE4DBA">
        <w:rPr>
          <w:lang w:val="en-NZ"/>
        </w:rPr>
        <w:t xml:space="preserve">: He </w:t>
      </w:r>
      <w:proofErr w:type="spellStart"/>
      <w:r w:rsidRPr="00AE4DBA">
        <w:rPr>
          <w:lang w:val="en-NZ"/>
        </w:rPr>
        <w:t>tohutohu</w:t>
      </w:r>
      <w:proofErr w:type="spellEnd"/>
      <w:r w:rsidRPr="00AE4DBA">
        <w:rPr>
          <w:lang w:val="en-NZ"/>
        </w:rPr>
        <w:t xml:space="preserve"> </w:t>
      </w:r>
      <w:proofErr w:type="spellStart"/>
      <w:r w:rsidRPr="00AE4DBA">
        <w:rPr>
          <w:lang w:val="en-NZ"/>
        </w:rPr>
        <w:t>pakihi</w:t>
      </w:r>
      <w:proofErr w:type="spellEnd"/>
      <w:r w:rsidRPr="00AE4DBA">
        <w:rPr>
          <w:lang w:val="en-NZ"/>
        </w:rPr>
        <w:t xml:space="preserve"> – Measuring emissions: A guide for organisations (Ministry for the Environment [</w:t>
      </w:r>
      <w:proofErr w:type="spellStart"/>
      <w:r w:rsidRPr="00AE4DBA">
        <w:rPr>
          <w:lang w:val="en-NZ"/>
        </w:rPr>
        <w:t>MfE</w:t>
      </w:r>
      <w:proofErr w:type="spellEnd"/>
      <w:r w:rsidRPr="00AE4DBA">
        <w:rPr>
          <w:lang w:val="en-NZ"/>
        </w:rPr>
        <w:t>], 2024)</w:t>
      </w:r>
      <w:r w:rsidR="00E45D90" w:rsidRPr="00AE4DBA">
        <w:rPr>
          <w:lang w:val="en-NZ"/>
        </w:rPr>
        <w:t xml:space="preserve"> (MEG)</w:t>
      </w:r>
      <w:r w:rsidRPr="00AE4DBA">
        <w:rPr>
          <w:lang w:val="en-NZ"/>
        </w:rPr>
        <w:t xml:space="preserve">. Custom emission factors were created or derived where not available in the </w:t>
      </w:r>
      <w:proofErr w:type="spellStart"/>
      <w:r w:rsidRPr="00AE4DBA">
        <w:rPr>
          <w:lang w:val="en-NZ"/>
        </w:rPr>
        <w:t>MfE</w:t>
      </w:r>
      <w:proofErr w:type="spellEnd"/>
      <w:r w:rsidRPr="00AE4DBA">
        <w:rPr>
          <w:lang w:val="en-NZ"/>
        </w:rPr>
        <w:t xml:space="preserve"> </w:t>
      </w:r>
      <w:r w:rsidR="00E45D90" w:rsidRPr="00AE4DBA">
        <w:rPr>
          <w:lang w:val="en-NZ"/>
        </w:rPr>
        <w:t xml:space="preserve">MEG </w:t>
      </w:r>
      <w:r w:rsidRPr="00AE4DBA">
        <w:rPr>
          <w:lang w:val="en-NZ"/>
        </w:rPr>
        <w:t xml:space="preserve">and recorded in the </w:t>
      </w:r>
      <w:proofErr w:type="gramStart"/>
      <w:r w:rsidR="00E45D90" w:rsidRPr="00AE4DBA">
        <w:rPr>
          <w:lang w:val="en-NZ"/>
        </w:rPr>
        <w:t>Health</w:t>
      </w:r>
      <w:proofErr w:type="gramEnd"/>
      <w:r w:rsidR="00E45D90" w:rsidRPr="00AE4DBA">
        <w:rPr>
          <w:lang w:val="en-NZ"/>
        </w:rPr>
        <w:t xml:space="preserve"> NZ </w:t>
      </w:r>
      <w:r w:rsidRPr="00AE4DBA">
        <w:rPr>
          <w:lang w:val="en-NZ"/>
        </w:rPr>
        <w:t>emission conversions and calculation documentation. Tables</w:t>
      </w:r>
      <w:r w:rsidRPr="00AE4DBA" w:rsidDel="00C26AAA">
        <w:rPr>
          <w:lang w:val="en-NZ"/>
        </w:rPr>
        <w:t xml:space="preserve"> </w:t>
      </w:r>
      <w:r w:rsidR="0047465F" w:rsidRPr="00AE4DBA" w:rsidDel="00552B7C">
        <w:rPr>
          <w:lang w:val="en-NZ"/>
        </w:rPr>
        <w:t>9</w:t>
      </w:r>
      <w:r w:rsidRPr="00AE4DBA" w:rsidDel="00552B7C">
        <w:rPr>
          <w:lang w:val="en-NZ"/>
        </w:rPr>
        <w:t xml:space="preserve"> </w:t>
      </w:r>
      <w:r w:rsidR="00C26AAA">
        <w:rPr>
          <w:lang w:val="en-NZ"/>
        </w:rPr>
        <w:t>to 11</w:t>
      </w:r>
      <w:r w:rsidR="00552B7C" w:rsidRPr="00AE4DBA">
        <w:rPr>
          <w:lang w:val="en-NZ"/>
        </w:rPr>
        <w:t xml:space="preserve"> </w:t>
      </w:r>
      <w:r w:rsidRPr="00AE4DBA">
        <w:rPr>
          <w:lang w:val="en-NZ"/>
        </w:rPr>
        <w:t>summarise the custom emission factors used in this inventory. Unless otherwise specified, all calculations in this report are expressed in total tonnes of carbon dioxide equivalent (tCO</w:t>
      </w:r>
      <w:r w:rsidRPr="00AE4DBA">
        <w:rPr>
          <w:vertAlign w:val="subscript"/>
          <w:lang w:val="en-NZ"/>
        </w:rPr>
        <w:t>2</w:t>
      </w:r>
      <w:r w:rsidRPr="00AE4DBA">
        <w:rPr>
          <w:lang w:val="en-NZ"/>
        </w:rPr>
        <w:t>e).</w:t>
      </w:r>
    </w:p>
    <w:p w14:paraId="2A8536AB" w14:textId="77777777" w:rsidR="0075744C" w:rsidRPr="00AE4DBA" w:rsidRDefault="0075744C" w:rsidP="0075744C">
      <w:pPr>
        <w:pStyle w:val="BodyText1"/>
        <w:rPr>
          <w:lang w:val="en-NZ"/>
        </w:rPr>
      </w:pPr>
    </w:p>
    <w:p w14:paraId="122D1BBF" w14:textId="11373874" w:rsidR="00E40E6B" w:rsidRPr="00AE4DBA" w:rsidRDefault="00E40E6B" w:rsidP="00E40E6B">
      <w:pPr>
        <w:pStyle w:val="Caption"/>
        <w:keepNext/>
      </w:pPr>
      <w:bookmarkStart w:id="68" w:name="_Toc176252087"/>
      <w:r w:rsidRPr="00AE4DBA">
        <w:t xml:space="preserve">Table </w:t>
      </w:r>
      <w:r>
        <w:fldChar w:fldCharType="begin"/>
      </w:r>
      <w:r>
        <w:instrText>SEQ Table \* ARABIC</w:instrText>
      </w:r>
      <w:r>
        <w:fldChar w:fldCharType="separate"/>
      </w:r>
      <w:r w:rsidR="003130CC" w:rsidRPr="00AE4DBA">
        <w:rPr>
          <w:noProof/>
        </w:rPr>
        <w:t>9</w:t>
      </w:r>
      <w:r>
        <w:fldChar w:fldCharType="end"/>
      </w:r>
      <w:r w:rsidRPr="00AE4DBA">
        <w:t xml:space="preserve"> Custom created or derived emissions factors</w:t>
      </w:r>
      <w:bookmarkEnd w:id="68"/>
    </w:p>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992"/>
        <w:gridCol w:w="2121"/>
      </w:tblGrid>
      <w:tr w:rsidR="0075744C" w:rsidRPr="00AE4DBA" w14:paraId="5CE4E769" w14:textId="77777777">
        <w:trPr>
          <w:cnfStyle w:val="100000000000" w:firstRow="1" w:lastRow="0" w:firstColumn="0" w:lastColumn="0" w:oddVBand="0" w:evenVBand="0" w:oddHBand="0" w:evenHBand="0" w:firstRowFirstColumn="0" w:firstRowLastColumn="0" w:lastRowFirstColumn="0" w:lastRowLastColumn="0"/>
          <w:trHeight w:hRule="exact" w:val="20"/>
        </w:trPr>
        <w:tc>
          <w:tcPr>
            <w:tcW w:w="5387" w:type="dxa"/>
            <w:tcBorders>
              <w:top w:val="nil"/>
              <w:left w:val="nil"/>
              <w:bottom w:val="nil"/>
              <w:right w:val="nil"/>
            </w:tcBorders>
            <w:shd w:val="clear" w:color="auto" w:fill="002672" w:themeFill="accent2" w:themeFillShade="BF"/>
          </w:tcPr>
          <w:p w14:paraId="19194EC8" w14:textId="77777777" w:rsidR="0075744C" w:rsidRPr="00AE4DBA" w:rsidRDefault="0075744C">
            <w:pPr>
              <w:rPr>
                <w:sz w:val="2"/>
              </w:rPr>
            </w:pPr>
            <w:bookmarkStart w:id="69" w:name="_199836ec_8b7f_4142_9ceb_204fe9f5249f"/>
            <w:bookmarkStart w:id="70" w:name="_af356b5a_675f_47bc_bd61_ce85283b4c3f"/>
          </w:p>
        </w:tc>
        <w:tc>
          <w:tcPr>
            <w:tcW w:w="992" w:type="dxa"/>
            <w:tcBorders>
              <w:top w:val="nil"/>
              <w:left w:val="nil"/>
              <w:bottom w:val="nil"/>
              <w:right w:val="nil"/>
            </w:tcBorders>
            <w:shd w:val="clear" w:color="auto" w:fill="002672" w:themeFill="accent2" w:themeFillShade="BF"/>
          </w:tcPr>
          <w:p w14:paraId="7AF00666" w14:textId="77777777" w:rsidR="0075744C" w:rsidRPr="00AE4DBA" w:rsidRDefault="0075744C">
            <w:pPr>
              <w:rPr>
                <w:sz w:val="2"/>
              </w:rPr>
            </w:pPr>
          </w:p>
        </w:tc>
        <w:tc>
          <w:tcPr>
            <w:tcW w:w="2121" w:type="dxa"/>
            <w:tcBorders>
              <w:top w:val="nil"/>
              <w:left w:val="nil"/>
              <w:bottom w:val="nil"/>
              <w:right w:val="nil"/>
            </w:tcBorders>
            <w:shd w:val="clear" w:color="auto" w:fill="002672" w:themeFill="accent2" w:themeFillShade="BF"/>
          </w:tcPr>
          <w:p w14:paraId="65327CA6" w14:textId="77777777" w:rsidR="0075744C" w:rsidRPr="00AE4DBA" w:rsidRDefault="0075744C">
            <w:pPr>
              <w:rPr>
                <w:sz w:val="2"/>
              </w:rPr>
            </w:pPr>
          </w:p>
        </w:tc>
      </w:tr>
      <w:tr w:rsidR="0075744C" w:rsidRPr="00AE4DBA" w14:paraId="50E87DBD" w14:textId="77777777" w:rsidTr="00536A9E">
        <w:tc>
          <w:tcPr>
            <w:tcW w:w="5387" w:type="dxa"/>
            <w:shd w:val="clear" w:color="auto" w:fill="15284C" w:themeFill="text2"/>
          </w:tcPr>
          <w:p w14:paraId="548E91B1" w14:textId="77777777" w:rsidR="0075744C" w:rsidRPr="00AE4DBA" w:rsidRDefault="0075744C">
            <w:pPr>
              <w:spacing w:line="360" w:lineRule="auto"/>
              <w:rPr>
                <w:b/>
                <w:color w:val="F6F4EC" w:themeColor="background1"/>
                <w:sz w:val="24"/>
              </w:rPr>
            </w:pPr>
            <w:r w:rsidRPr="00AE4DBA">
              <w:rPr>
                <w:b/>
                <w:color w:val="F6F4EC" w:themeColor="background1"/>
                <w:sz w:val="24"/>
              </w:rPr>
              <w:t>Created custom or derived factor name</w:t>
            </w:r>
          </w:p>
        </w:tc>
        <w:tc>
          <w:tcPr>
            <w:tcW w:w="992" w:type="dxa"/>
            <w:shd w:val="clear" w:color="auto" w:fill="15284C" w:themeFill="text2"/>
          </w:tcPr>
          <w:p w14:paraId="7C781860" w14:textId="77777777" w:rsidR="0075744C" w:rsidRPr="00AE4DBA" w:rsidRDefault="0075744C">
            <w:pPr>
              <w:spacing w:line="360" w:lineRule="auto"/>
              <w:rPr>
                <w:b/>
                <w:color w:val="F6F4EC" w:themeColor="background1"/>
                <w:sz w:val="24"/>
              </w:rPr>
            </w:pPr>
            <w:r w:rsidRPr="00AE4DBA">
              <w:rPr>
                <w:b/>
                <w:color w:val="F6F4EC" w:themeColor="background1"/>
                <w:sz w:val="24"/>
              </w:rPr>
              <w:t>Unit</w:t>
            </w:r>
          </w:p>
        </w:tc>
        <w:tc>
          <w:tcPr>
            <w:tcW w:w="2121" w:type="dxa"/>
            <w:shd w:val="clear" w:color="auto" w:fill="15284C" w:themeFill="text2"/>
          </w:tcPr>
          <w:p w14:paraId="264C1C5A" w14:textId="77777777" w:rsidR="0075744C" w:rsidRPr="00AE4DBA" w:rsidRDefault="0075744C">
            <w:pPr>
              <w:spacing w:line="360" w:lineRule="auto"/>
              <w:jc w:val="right"/>
              <w:rPr>
                <w:b/>
                <w:color w:val="F6F4EC" w:themeColor="background1"/>
                <w:sz w:val="24"/>
                <w:highlight w:val="yellow"/>
              </w:rPr>
            </w:pPr>
            <w:r w:rsidRPr="00AE4DBA">
              <w:rPr>
                <w:b/>
                <w:color w:val="F6F4EC" w:themeColor="background1"/>
                <w:sz w:val="24"/>
              </w:rPr>
              <w:t>Emission factor kgCO</w:t>
            </w:r>
            <w:r w:rsidRPr="00AE4DBA">
              <w:rPr>
                <w:b/>
                <w:color w:val="F6F4EC" w:themeColor="background1"/>
                <w:sz w:val="24"/>
                <w:vertAlign w:val="subscript"/>
              </w:rPr>
              <w:t>2</w:t>
            </w:r>
            <w:r w:rsidRPr="00AE4DBA">
              <w:rPr>
                <w:b/>
                <w:color w:val="F6F4EC" w:themeColor="background1"/>
                <w:sz w:val="24"/>
              </w:rPr>
              <w:t>e/ unit</w:t>
            </w:r>
          </w:p>
        </w:tc>
      </w:tr>
      <w:tr w:rsidR="0075744C" w:rsidRPr="00AE4DBA" w14:paraId="00163EED" w14:textId="77777777">
        <w:tc>
          <w:tcPr>
            <w:tcW w:w="5387" w:type="dxa"/>
          </w:tcPr>
          <w:p w14:paraId="022C9BB9" w14:textId="1305F93A" w:rsidR="0075744C" w:rsidRPr="00AE4DBA" w:rsidRDefault="0075744C">
            <w:pPr>
              <w:spacing w:line="360" w:lineRule="auto"/>
              <w:rPr>
                <w:b/>
                <w:bCs/>
              </w:rPr>
            </w:pPr>
            <w:r w:rsidRPr="00AE4DBA">
              <w:t>Biomass (CH</w:t>
            </w:r>
            <w:r w:rsidRPr="00AE4DBA">
              <w:rPr>
                <w:vertAlign w:val="subscript"/>
              </w:rPr>
              <w:t>4</w:t>
            </w:r>
            <w:r w:rsidRPr="00AE4DBA">
              <w:t>-N</w:t>
            </w:r>
            <w:r w:rsidRPr="00AE4DBA">
              <w:rPr>
                <w:vertAlign w:val="subscript"/>
              </w:rPr>
              <w:t>2</w:t>
            </w:r>
            <w:r w:rsidRPr="00AE4DBA">
              <w:t>O) - Wood chip Industry - GJ</w:t>
            </w:r>
          </w:p>
        </w:tc>
        <w:tc>
          <w:tcPr>
            <w:tcW w:w="992" w:type="dxa"/>
          </w:tcPr>
          <w:p w14:paraId="045EB671" w14:textId="77777777" w:rsidR="0075744C" w:rsidRPr="00AE4DBA" w:rsidRDefault="0075744C">
            <w:pPr>
              <w:spacing w:line="360" w:lineRule="auto"/>
              <w:rPr>
                <w:b/>
                <w:bCs/>
              </w:rPr>
            </w:pPr>
            <w:r w:rsidRPr="00AE4DBA">
              <w:t>GJ</w:t>
            </w:r>
          </w:p>
        </w:tc>
        <w:tc>
          <w:tcPr>
            <w:tcW w:w="2121" w:type="dxa"/>
          </w:tcPr>
          <w:p w14:paraId="4089C34D" w14:textId="77777777" w:rsidR="0075744C" w:rsidRPr="00AE4DBA" w:rsidRDefault="0075744C">
            <w:pPr>
              <w:spacing w:line="360" w:lineRule="auto"/>
              <w:jc w:val="right"/>
              <w:rPr>
                <w:highlight w:val="yellow"/>
              </w:rPr>
            </w:pPr>
            <w:r w:rsidRPr="00AE4DBA">
              <w:t>0.023</w:t>
            </w:r>
          </w:p>
        </w:tc>
      </w:tr>
      <w:tr w:rsidR="0075744C" w:rsidRPr="00AE4DBA" w14:paraId="02B27704" w14:textId="77777777">
        <w:tc>
          <w:tcPr>
            <w:tcW w:w="5387" w:type="dxa"/>
          </w:tcPr>
          <w:p w14:paraId="7078CC1B" w14:textId="7CF9E3C4" w:rsidR="0075744C" w:rsidRPr="00AE4DBA" w:rsidRDefault="0075744C">
            <w:pPr>
              <w:spacing w:line="360" w:lineRule="auto"/>
              <w:rPr>
                <w:b/>
                <w:bCs/>
              </w:rPr>
            </w:pPr>
            <w:r w:rsidRPr="00AE4DBA">
              <w:t>Biogenic (CO</w:t>
            </w:r>
            <w:r w:rsidRPr="00AE4DBA">
              <w:rPr>
                <w:vertAlign w:val="subscript"/>
              </w:rPr>
              <w:t>2</w:t>
            </w:r>
            <w:r w:rsidRPr="00AE4DBA">
              <w:t>) - Wood chip Industry - GJ</w:t>
            </w:r>
          </w:p>
        </w:tc>
        <w:tc>
          <w:tcPr>
            <w:tcW w:w="992" w:type="dxa"/>
          </w:tcPr>
          <w:p w14:paraId="653B28FC" w14:textId="77777777" w:rsidR="0075744C" w:rsidRPr="00AE4DBA" w:rsidRDefault="0075744C">
            <w:pPr>
              <w:spacing w:line="360" w:lineRule="auto"/>
              <w:rPr>
                <w:b/>
                <w:bCs/>
              </w:rPr>
            </w:pPr>
            <w:r w:rsidRPr="00AE4DBA">
              <w:t>GJ</w:t>
            </w:r>
          </w:p>
        </w:tc>
        <w:tc>
          <w:tcPr>
            <w:tcW w:w="2121" w:type="dxa"/>
          </w:tcPr>
          <w:p w14:paraId="29A038DE" w14:textId="77777777" w:rsidR="0075744C" w:rsidRPr="00AE4DBA" w:rsidRDefault="0075744C">
            <w:pPr>
              <w:spacing w:line="360" w:lineRule="auto"/>
              <w:jc w:val="right"/>
              <w:rPr>
                <w:color w:val="000000"/>
              </w:rPr>
            </w:pPr>
            <w:r w:rsidRPr="00AE4DBA">
              <w:rPr>
                <w:color w:val="000000"/>
              </w:rPr>
              <w:t>89.47</w:t>
            </w:r>
          </w:p>
        </w:tc>
      </w:tr>
      <w:tr w:rsidR="0075744C" w:rsidRPr="00AE4DBA" w14:paraId="19ABB1A2" w14:textId="77777777">
        <w:tc>
          <w:tcPr>
            <w:tcW w:w="5387" w:type="dxa"/>
          </w:tcPr>
          <w:p w14:paraId="138C8A2E" w14:textId="28ACA19D" w:rsidR="0075744C" w:rsidRPr="00AE4DBA" w:rsidRDefault="0075744C">
            <w:pPr>
              <w:spacing w:line="360" w:lineRule="auto"/>
            </w:pPr>
            <w:r w:rsidRPr="00AE4DBA">
              <w:t>Coal - Bituminous - Industrial Use - GJ</w:t>
            </w:r>
          </w:p>
        </w:tc>
        <w:tc>
          <w:tcPr>
            <w:tcW w:w="992" w:type="dxa"/>
          </w:tcPr>
          <w:p w14:paraId="119DC342" w14:textId="77777777" w:rsidR="0075744C" w:rsidRPr="00AE4DBA" w:rsidRDefault="0075744C">
            <w:pPr>
              <w:spacing w:line="360" w:lineRule="auto"/>
            </w:pPr>
            <w:r w:rsidRPr="00AE4DBA">
              <w:t>GJ</w:t>
            </w:r>
          </w:p>
        </w:tc>
        <w:tc>
          <w:tcPr>
            <w:tcW w:w="2121" w:type="dxa"/>
          </w:tcPr>
          <w:p w14:paraId="6C587C76" w14:textId="77777777" w:rsidR="0075744C" w:rsidRPr="00AE4DBA" w:rsidRDefault="0075744C">
            <w:pPr>
              <w:spacing w:line="360" w:lineRule="auto"/>
              <w:jc w:val="right"/>
            </w:pPr>
            <w:r w:rsidRPr="00AE4DBA">
              <w:t>89.1405</w:t>
            </w:r>
          </w:p>
        </w:tc>
      </w:tr>
      <w:tr w:rsidR="0075744C" w:rsidRPr="00AE4DBA" w14:paraId="092E962E" w14:textId="77777777">
        <w:tc>
          <w:tcPr>
            <w:tcW w:w="5387" w:type="dxa"/>
          </w:tcPr>
          <w:p w14:paraId="6ACA4394" w14:textId="132E4BA2" w:rsidR="0075744C" w:rsidRPr="00AE4DBA" w:rsidRDefault="0075744C">
            <w:pPr>
              <w:spacing w:line="360" w:lineRule="auto"/>
            </w:pPr>
            <w:r w:rsidRPr="00AE4DBA">
              <w:t>Coal - Sub-Bituminous - Industrial Use - GJ</w:t>
            </w:r>
          </w:p>
        </w:tc>
        <w:tc>
          <w:tcPr>
            <w:tcW w:w="992" w:type="dxa"/>
          </w:tcPr>
          <w:p w14:paraId="6C8F79A7" w14:textId="77777777" w:rsidR="0075744C" w:rsidRPr="00AE4DBA" w:rsidRDefault="0075744C">
            <w:pPr>
              <w:spacing w:line="360" w:lineRule="auto"/>
            </w:pPr>
            <w:r w:rsidRPr="00AE4DBA">
              <w:t>GJ</w:t>
            </w:r>
          </w:p>
        </w:tc>
        <w:tc>
          <w:tcPr>
            <w:tcW w:w="2121" w:type="dxa"/>
          </w:tcPr>
          <w:p w14:paraId="573AE34B" w14:textId="77777777" w:rsidR="0075744C" w:rsidRPr="00AE4DBA" w:rsidRDefault="0075744C">
            <w:pPr>
              <w:spacing w:line="360" w:lineRule="auto"/>
              <w:jc w:val="right"/>
            </w:pPr>
            <w:r w:rsidRPr="00AE4DBA">
              <w:t>92.0005</w:t>
            </w:r>
          </w:p>
        </w:tc>
      </w:tr>
      <w:tr w:rsidR="0075744C" w:rsidRPr="00AE4DBA" w14:paraId="041C0484" w14:textId="77777777">
        <w:tc>
          <w:tcPr>
            <w:tcW w:w="5387" w:type="dxa"/>
          </w:tcPr>
          <w:p w14:paraId="5B4425B2" w14:textId="433AA05F" w:rsidR="0075744C" w:rsidRPr="00AE4DBA" w:rsidRDefault="0075744C">
            <w:pPr>
              <w:spacing w:line="360" w:lineRule="auto"/>
            </w:pPr>
            <w:r w:rsidRPr="00AE4DBA">
              <w:t>Biogas - Landfill Gas - GJ</w:t>
            </w:r>
          </w:p>
        </w:tc>
        <w:tc>
          <w:tcPr>
            <w:tcW w:w="992" w:type="dxa"/>
          </w:tcPr>
          <w:p w14:paraId="60670656" w14:textId="77777777" w:rsidR="0075744C" w:rsidRPr="00AE4DBA" w:rsidRDefault="0075744C">
            <w:pPr>
              <w:spacing w:line="360" w:lineRule="auto"/>
            </w:pPr>
            <w:r w:rsidRPr="00AE4DBA">
              <w:t>GJ</w:t>
            </w:r>
          </w:p>
        </w:tc>
        <w:tc>
          <w:tcPr>
            <w:tcW w:w="2121" w:type="dxa"/>
          </w:tcPr>
          <w:p w14:paraId="6B6B07ED" w14:textId="77777777" w:rsidR="0075744C" w:rsidRPr="00AE4DBA" w:rsidRDefault="0075744C">
            <w:pPr>
              <w:spacing w:line="360" w:lineRule="auto"/>
              <w:jc w:val="right"/>
              <w:rPr>
                <w:color w:val="000000"/>
              </w:rPr>
            </w:pPr>
            <w:r w:rsidRPr="00AE4DBA">
              <w:rPr>
                <w:color w:val="000000"/>
              </w:rPr>
              <w:t>0.00000072</w:t>
            </w:r>
          </w:p>
        </w:tc>
      </w:tr>
      <w:tr w:rsidR="0075744C" w:rsidRPr="00AE4DBA" w14:paraId="5657F2A1" w14:textId="77777777">
        <w:tc>
          <w:tcPr>
            <w:tcW w:w="5387" w:type="dxa"/>
          </w:tcPr>
          <w:p w14:paraId="41E5E158" w14:textId="07268017" w:rsidR="0075744C" w:rsidRPr="00AE4DBA" w:rsidRDefault="0075744C">
            <w:pPr>
              <w:spacing w:line="360" w:lineRule="auto"/>
            </w:pPr>
            <w:r w:rsidRPr="00AE4DBA">
              <w:t>HFE-236ea2 (Desflurane) - Bottle</w:t>
            </w:r>
          </w:p>
        </w:tc>
        <w:tc>
          <w:tcPr>
            <w:tcW w:w="992" w:type="dxa"/>
          </w:tcPr>
          <w:p w14:paraId="2B02B8F3" w14:textId="77777777" w:rsidR="0075744C" w:rsidRPr="00AE4DBA" w:rsidRDefault="0075744C">
            <w:pPr>
              <w:spacing w:line="360" w:lineRule="auto"/>
            </w:pPr>
            <w:r w:rsidRPr="00AE4DBA">
              <w:t>Bottle</w:t>
            </w:r>
          </w:p>
        </w:tc>
        <w:tc>
          <w:tcPr>
            <w:tcW w:w="2121" w:type="dxa"/>
          </w:tcPr>
          <w:p w14:paraId="227DFCCC" w14:textId="77777777" w:rsidR="0075744C" w:rsidRPr="00AE4DBA" w:rsidRDefault="0075744C">
            <w:pPr>
              <w:spacing w:line="360" w:lineRule="auto"/>
              <w:jc w:val="right"/>
              <w:rPr>
                <w:color w:val="000000"/>
              </w:rPr>
            </w:pPr>
            <w:r w:rsidRPr="00AE4DBA">
              <w:rPr>
                <w:color w:val="000000"/>
              </w:rPr>
              <w:t>630.31</w:t>
            </w:r>
          </w:p>
        </w:tc>
      </w:tr>
      <w:tr w:rsidR="0075744C" w:rsidRPr="00AE4DBA" w14:paraId="6C2CC5E2" w14:textId="77777777">
        <w:tc>
          <w:tcPr>
            <w:tcW w:w="5387" w:type="dxa"/>
          </w:tcPr>
          <w:p w14:paraId="0703E023" w14:textId="16AB8BF1" w:rsidR="0075744C" w:rsidRPr="00AE4DBA" w:rsidRDefault="0075744C">
            <w:pPr>
              <w:spacing w:line="360" w:lineRule="auto"/>
            </w:pPr>
            <w:r w:rsidRPr="00AE4DBA">
              <w:t>HCFE-235da2 (Isoflurane) - Bottle</w:t>
            </w:r>
          </w:p>
        </w:tc>
        <w:tc>
          <w:tcPr>
            <w:tcW w:w="992" w:type="dxa"/>
          </w:tcPr>
          <w:p w14:paraId="3ABA436E" w14:textId="77777777" w:rsidR="0075744C" w:rsidRPr="00AE4DBA" w:rsidRDefault="0075744C">
            <w:pPr>
              <w:spacing w:line="360" w:lineRule="auto"/>
            </w:pPr>
            <w:r w:rsidRPr="00AE4DBA">
              <w:t>Bottle</w:t>
            </w:r>
          </w:p>
        </w:tc>
        <w:tc>
          <w:tcPr>
            <w:tcW w:w="2121" w:type="dxa"/>
          </w:tcPr>
          <w:p w14:paraId="16B9ACF4" w14:textId="77777777" w:rsidR="0075744C" w:rsidRPr="00AE4DBA" w:rsidRDefault="0075744C">
            <w:pPr>
              <w:spacing w:line="360" w:lineRule="auto"/>
              <w:jc w:val="right"/>
              <w:rPr>
                <w:color w:val="000000"/>
              </w:rPr>
            </w:pPr>
            <w:r w:rsidRPr="00AE4DBA">
              <w:rPr>
                <w:color w:val="000000"/>
              </w:rPr>
              <w:t>183.634</w:t>
            </w:r>
          </w:p>
        </w:tc>
      </w:tr>
      <w:tr w:rsidR="0075744C" w:rsidRPr="00AE4DBA" w14:paraId="41906A7E" w14:textId="77777777">
        <w:tc>
          <w:tcPr>
            <w:tcW w:w="5387" w:type="dxa"/>
          </w:tcPr>
          <w:p w14:paraId="0CB0669E" w14:textId="0F3F36B9" w:rsidR="0075744C" w:rsidRPr="00AE4DBA" w:rsidRDefault="0075744C">
            <w:pPr>
              <w:spacing w:line="360" w:lineRule="auto"/>
            </w:pPr>
            <w:r w:rsidRPr="00AE4DBA">
              <w:t>HFE-347mmz1 (Sevoflurane) - Bottle</w:t>
            </w:r>
          </w:p>
        </w:tc>
        <w:tc>
          <w:tcPr>
            <w:tcW w:w="992" w:type="dxa"/>
          </w:tcPr>
          <w:p w14:paraId="665D6415" w14:textId="77777777" w:rsidR="0075744C" w:rsidRPr="00AE4DBA" w:rsidRDefault="0075744C">
            <w:pPr>
              <w:spacing w:line="360" w:lineRule="auto"/>
            </w:pPr>
            <w:r w:rsidRPr="00AE4DBA">
              <w:t>Bottle</w:t>
            </w:r>
          </w:p>
        </w:tc>
        <w:tc>
          <w:tcPr>
            <w:tcW w:w="2121" w:type="dxa"/>
          </w:tcPr>
          <w:p w14:paraId="27D56BAC" w14:textId="77777777" w:rsidR="0075744C" w:rsidRPr="00AE4DBA" w:rsidRDefault="0075744C">
            <w:pPr>
              <w:spacing w:line="360" w:lineRule="auto"/>
              <w:jc w:val="right"/>
              <w:rPr>
                <w:color w:val="000000"/>
              </w:rPr>
            </w:pPr>
            <w:r w:rsidRPr="00AE4DBA">
              <w:rPr>
                <w:color w:val="000000"/>
              </w:rPr>
              <w:t>82.242</w:t>
            </w:r>
          </w:p>
        </w:tc>
      </w:tr>
      <w:tr w:rsidR="0075744C" w:rsidRPr="00AE4DBA" w14:paraId="73BCC5E0" w14:textId="77777777">
        <w:tc>
          <w:tcPr>
            <w:tcW w:w="5387" w:type="dxa"/>
          </w:tcPr>
          <w:p w14:paraId="5C5248C6" w14:textId="0A0E1C32" w:rsidR="0075744C" w:rsidRPr="00AE4DBA" w:rsidRDefault="0075744C">
            <w:pPr>
              <w:spacing w:line="360" w:lineRule="auto"/>
            </w:pPr>
            <w:r w:rsidRPr="00AE4DBA">
              <w:t>Public Transport - $</w:t>
            </w:r>
          </w:p>
        </w:tc>
        <w:tc>
          <w:tcPr>
            <w:tcW w:w="992" w:type="dxa"/>
          </w:tcPr>
          <w:p w14:paraId="5BBECE70" w14:textId="77777777" w:rsidR="0075744C" w:rsidRPr="00AE4DBA" w:rsidRDefault="0075744C">
            <w:pPr>
              <w:spacing w:line="360" w:lineRule="auto"/>
            </w:pPr>
            <w:r w:rsidRPr="00AE4DBA">
              <w:t>$</w:t>
            </w:r>
          </w:p>
        </w:tc>
        <w:tc>
          <w:tcPr>
            <w:tcW w:w="2121" w:type="dxa"/>
          </w:tcPr>
          <w:p w14:paraId="420277DA" w14:textId="77777777" w:rsidR="0075744C" w:rsidRPr="00AE4DBA" w:rsidRDefault="0075744C">
            <w:pPr>
              <w:spacing w:line="360" w:lineRule="auto"/>
              <w:jc w:val="right"/>
              <w:rPr>
                <w:color w:val="000000"/>
              </w:rPr>
            </w:pPr>
            <w:r w:rsidRPr="00AE4DBA">
              <w:rPr>
                <w:color w:val="000000"/>
              </w:rPr>
              <w:t>0.649</w:t>
            </w:r>
          </w:p>
        </w:tc>
      </w:tr>
      <w:tr w:rsidR="0075744C" w:rsidRPr="00AE4DBA" w14:paraId="715253D3" w14:textId="77777777">
        <w:tc>
          <w:tcPr>
            <w:tcW w:w="5387" w:type="dxa"/>
          </w:tcPr>
          <w:p w14:paraId="2C0020DB" w14:textId="69F05F47" w:rsidR="0075744C" w:rsidRPr="00AE4DBA" w:rsidRDefault="0075744C">
            <w:pPr>
              <w:spacing w:line="360" w:lineRule="auto"/>
            </w:pPr>
            <w:r w:rsidRPr="00AE4DBA">
              <w:t>Medical waste – Kg</w:t>
            </w:r>
          </w:p>
        </w:tc>
        <w:tc>
          <w:tcPr>
            <w:tcW w:w="992" w:type="dxa"/>
          </w:tcPr>
          <w:p w14:paraId="1BF93C6A" w14:textId="77777777" w:rsidR="0075744C" w:rsidRPr="00AE4DBA" w:rsidRDefault="0075744C">
            <w:pPr>
              <w:spacing w:line="360" w:lineRule="auto"/>
            </w:pPr>
            <w:r w:rsidRPr="00AE4DBA">
              <w:t>Kg</w:t>
            </w:r>
          </w:p>
        </w:tc>
        <w:tc>
          <w:tcPr>
            <w:tcW w:w="2121" w:type="dxa"/>
          </w:tcPr>
          <w:p w14:paraId="438F7398" w14:textId="77777777" w:rsidR="0075744C" w:rsidRPr="00AE4DBA" w:rsidRDefault="0075744C">
            <w:pPr>
              <w:spacing w:line="360" w:lineRule="auto"/>
              <w:jc w:val="right"/>
            </w:pPr>
            <w:r w:rsidRPr="00AE4DBA">
              <w:t>0.442</w:t>
            </w:r>
          </w:p>
        </w:tc>
      </w:tr>
      <w:tr w:rsidR="0075744C" w:rsidRPr="00AE4DBA" w14:paraId="40390630" w14:textId="77777777">
        <w:tc>
          <w:tcPr>
            <w:tcW w:w="5387" w:type="dxa"/>
          </w:tcPr>
          <w:p w14:paraId="7E66BC09" w14:textId="285C00F3" w:rsidR="0075744C" w:rsidRPr="00AE4DBA" w:rsidRDefault="0075744C">
            <w:pPr>
              <w:spacing w:line="360" w:lineRule="auto"/>
            </w:pPr>
            <w:r w:rsidRPr="00AE4DBA">
              <w:t>Cytotoxic waste – Kg</w:t>
            </w:r>
          </w:p>
        </w:tc>
        <w:tc>
          <w:tcPr>
            <w:tcW w:w="992" w:type="dxa"/>
          </w:tcPr>
          <w:p w14:paraId="4648A52C" w14:textId="77777777" w:rsidR="0075744C" w:rsidRPr="00AE4DBA" w:rsidRDefault="0075744C">
            <w:pPr>
              <w:spacing w:line="360" w:lineRule="auto"/>
            </w:pPr>
            <w:r w:rsidRPr="00AE4DBA">
              <w:t>Kg</w:t>
            </w:r>
          </w:p>
        </w:tc>
        <w:tc>
          <w:tcPr>
            <w:tcW w:w="2121" w:type="dxa"/>
          </w:tcPr>
          <w:p w14:paraId="6BF56538" w14:textId="77777777" w:rsidR="0075744C" w:rsidRPr="00AE4DBA" w:rsidRDefault="0075744C">
            <w:pPr>
              <w:spacing w:line="360" w:lineRule="auto"/>
              <w:jc w:val="right"/>
            </w:pPr>
            <w:r w:rsidRPr="00AE4DBA">
              <w:t>0.879</w:t>
            </w:r>
          </w:p>
        </w:tc>
      </w:tr>
      <w:tr w:rsidR="0075744C" w:rsidRPr="00AE4DBA" w14:paraId="55E663C1" w14:textId="77777777">
        <w:tc>
          <w:tcPr>
            <w:tcW w:w="5387" w:type="dxa"/>
          </w:tcPr>
          <w:p w14:paraId="66AF2831" w14:textId="72DF53B2" w:rsidR="0075744C" w:rsidRPr="00AE4DBA" w:rsidRDefault="0075744C">
            <w:pPr>
              <w:spacing w:line="360" w:lineRule="auto"/>
            </w:pPr>
            <w:r w:rsidRPr="00AE4DBA">
              <w:t>Acetylene - kg</w:t>
            </w:r>
          </w:p>
        </w:tc>
        <w:tc>
          <w:tcPr>
            <w:tcW w:w="992" w:type="dxa"/>
          </w:tcPr>
          <w:p w14:paraId="68A5C7F3" w14:textId="77777777" w:rsidR="0075744C" w:rsidRPr="00AE4DBA" w:rsidRDefault="0075744C">
            <w:pPr>
              <w:spacing w:line="360" w:lineRule="auto"/>
            </w:pPr>
            <w:r w:rsidRPr="00AE4DBA">
              <w:t>Kg</w:t>
            </w:r>
          </w:p>
        </w:tc>
        <w:tc>
          <w:tcPr>
            <w:tcW w:w="2121" w:type="dxa"/>
          </w:tcPr>
          <w:p w14:paraId="3AF4A18D" w14:textId="77777777" w:rsidR="0075744C" w:rsidRPr="00AE4DBA" w:rsidRDefault="0075744C">
            <w:pPr>
              <w:spacing w:line="360" w:lineRule="auto"/>
              <w:jc w:val="right"/>
            </w:pPr>
            <w:r w:rsidRPr="00AE4DBA">
              <w:t>3.385</w:t>
            </w:r>
          </w:p>
        </w:tc>
      </w:tr>
      <w:tr w:rsidR="0075744C" w:rsidRPr="00AE4DBA" w14:paraId="793B6934" w14:textId="77777777">
        <w:tc>
          <w:tcPr>
            <w:tcW w:w="5387" w:type="dxa"/>
          </w:tcPr>
          <w:p w14:paraId="333A48D6" w14:textId="77777777" w:rsidR="0075744C" w:rsidRPr="00AE4DBA" w:rsidRDefault="0075744C">
            <w:pPr>
              <w:spacing w:line="360" w:lineRule="auto"/>
            </w:pPr>
          </w:p>
        </w:tc>
        <w:tc>
          <w:tcPr>
            <w:tcW w:w="992" w:type="dxa"/>
          </w:tcPr>
          <w:p w14:paraId="5E091407" w14:textId="77777777" w:rsidR="0075744C" w:rsidRPr="00AE4DBA" w:rsidRDefault="0075744C">
            <w:pPr>
              <w:spacing w:line="360" w:lineRule="auto"/>
            </w:pPr>
          </w:p>
        </w:tc>
        <w:tc>
          <w:tcPr>
            <w:tcW w:w="2121" w:type="dxa"/>
          </w:tcPr>
          <w:p w14:paraId="1D524C07" w14:textId="77777777" w:rsidR="0075744C" w:rsidRPr="00AE4DBA" w:rsidRDefault="0075744C">
            <w:pPr>
              <w:spacing w:line="360" w:lineRule="auto"/>
              <w:jc w:val="right"/>
            </w:pPr>
          </w:p>
        </w:tc>
      </w:tr>
    </w:tbl>
    <w:p w14:paraId="1901E03E" w14:textId="3AEBCC85" w:rsidR="003F2D5A" w:rsidRPr="00AE4DBA" w:rsidRDefault="003F2D5A" w:rsidP="00A4251B">
      <w:pPr>
        <w:pStyle w:val="Caption"/>
        <w:keepNext/>
      </w:pPr>
      <w:bookmarkStart w:id="71" w:name="_Toc176252088"/>
      <w:r w:rsidRPr="00AE4DBA">
        <w:lastRenderedPageBreak/>
        <w:t xml:space="preserve">Table </w:t>
      </w:r>
      <w:r>
        <w:fldChar w:fldCharType="begin"/>
      </w:r>
      <w:r>
        <w:instrText>SEQ Table \* ARABIC</w:instrText>
      </w:r>
      <w:r>
        <w:fldChar w:fldCharType="separate"/>
      </w:r>
      <w:r w:rsidR="003130CC" w:rsidRPr="00AE4DBA">
        <w:rPr>
          <w:noProof/>
        </w:rPr>
        <w:t>10</w:t>
      </w:r>
      <w:r>
        <w:fldChar w:fldCharType="end"/>
      </w:r>
      <w:r w:rsidRPr="00AE4DBA">
        <w:t xml:space="preserve"> Derived emissions factors for aviation</w:t>
      </w:r>
      <w:bookmarkEnd w:id="71"/>
    </w:p>
    <w:tbl>
      <w:tblPr>
        <w:tblStyle w:val="TableGrid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406"/>
        <w:gridCol w:w="1559"/>
        <w:gridCol w:w="992"/>
        <w:gridCol w:w="1146"/>
      </w:tblGrid>
      <w:tr w:rsidR="0075744C" w:rsidRPr="00AE4DBA" w14:paraId="221FFFE3" w14:textId="77777777" w:rsidTr="17F2D0F5">
        <w:trPr>
          <w:trHeight w:hRule="exact" w:val="20"/>
        </w:trPr>
        <w:tc>
          <w:tcPr>
            <w:tcW w:w="4106" w:type="dxa"/>
            <w:tcBorders>
              <w:top w:val="nil"/>
              <w:left w:val="nil"/>
              <w:bottom w:val="nil"/>
              <w:right w:val="nil"/>
            </w:tcBorders>
            <w:shd w:val="clear" w:color="auto" w:fill="002672" w:themeFill="accent2" w:themeFillShade="BF"/>
            <w:vAlign w:val="center"/>
            <w:hideMark/>
          </w:tcPr>
          <w:p w14:paraId="1DCD79CE" w14:textId="77777777" w:rsidR="0075744C" w:rsidRPr="00AE4DBA" w:rsidRDefault="0075744C">
            <w:pPr>
              <w:rPr>
                <w:sz w:val="2"/>
              </w:rPr>
            </w:pPr>
            <w:bookmarkStart w:id="72" w:name="_45d051b3_8cf1_46d7_9214_1a3afa1c3ae7"/>
            <w:bookmarkEnd w:id="69"/>
            <w:bookmarkEnd w:id="70"/>
          </w:p>
        </w:tc>
        <w:tc>
          <w:tcPr>
            <w:tcW w:w="1406" w:type="dxa"/>
            <w:tcBorders>
              <w:top w:val="nil"/>
              <w:left w:val="nil"/>
              <w:bottom w:val="nil"/>
              <w:right w:val="nil"/>
            </w:tcBorders>
            <w:shd w:val="clear" w:color="auto" w:fill="002672" w:themeFill="accent2" w:themeFillShade="BF"/>
            <w:vAlign w:val="center"/>
          </w:tcPr>
          <w:p w14:paraId="6EC68C67" w14:textId="77777777" w:rsidR="0075744C" w:rsidRPr="00AE4DBA" w:rsidRDefault="0075744C">
            <w:pPr>
              <w:rPr>
                <w:sz w:val="2"/>
              </w:rPr>
            </w:pPr>
          </w:p>
        </w:tc>
        <w:tc>
          <w:tcPr>
            <w:tcW w:w="1559" w:type="dxa"/>
            <w:tcBorders>
              <w:top w:val="nil"/>
              <w:left w:val="nil"/>
              <w:bottom w:val="nil"/>
              <w:right w:val="nil"/>
            </w:tcBorders>
            <w:shd w:val="clear" w:color="auto" w:fill="002672" w:themeFill="accent2" w:themeFillShade="BF"/>
            <w:vAlign w:val="center"/>
            <w:hideMark/>
          </w:tcPr>
          <w:p w14:paraId="520550F0" w14:textId="77777777" w:rsidR="0075744C" w:rsidRPr="00AE4DBA" w:rsidRDefault="0075744C">
            <w:pPr>
              <w:rPr>
                <w:sz w:val="2"/>
              </w:rPr>
            </w:pPr>
          </w:p>
        </w:tc>
        <w:tc>
          <w:tcPr>
            <w:tcW w:w="992" w:type="dxa"/>
            <w:tcBorders>
              <w:top w:val="nil"/>
              <w:left w:val="nil"/>
              <w:bottom w:val="nil"/>
              <w:right w:val="nil"/>
            </w:tcBorders>
            <w:shd w:val="clear" w:color="auto" w:fill="002672" w:themeFill="accent2" w:themeFillShade="BF"/>
            <w:vAlign w:val="center"/>
            <w:hideMark/>
          </w:tcPr>
          <w:p w14:paraId="30FEFB67" w14:textId="77777777" w:rsidR="0075744C" w:rsidRPr="00AE4DBA" w:rsidRDefault="0075744C">
            <w:pPr>
              <w:rPr>
                <w:sz w:val="2"/>
              </w:rPr>
            </w:pPr>
          </w:p>
        </w:tc>
        <w:tc>
          <w:tcPr>
            <w:tcW w:w="1146" w:type="dxa"/>
            <w:tcBorders>
              <w:top w:val="nil"/>
              <w:left w:val="nil"/>
              <w:bottom w:val="nil"/>
              <w:right w:val="nil"/>
            </w:tcBorders>
            <w:shd w:val="clear" w:color="auto" w:fill="002672" w:themeFill="accent2" w:themeFillShade="BF"/>
            <w:vAlign w:val="center"/>
            <w:hideMark/>
          </w:tcPr>
          <w:p w14:paraId="40FF6DB1" w14:textId="77777777" w:rsidR="0075744C" w:rsidRPr="00AE4DBA" w:rsidRDefault="0075744C">
            <w:pPr>
              <w:rPr>
                <w:sz w:val="2"/>
              </w:rPr>
            </w:pPr>
          </w:p>
        </w:tc>
      </w:tr>
      <w:tr w:rsidR="0075744C" w:rsidRPr="00AE4DBA" w14:paraId="605F2AA9" w14:textId="77777777" w:rsidTr="17F2D0F5">
        <w:trPr>
          <w:trHeight w:val="638"/>
        </w:trPr>
        <w:tc>
          <w:tcPr>
            <w:tcW w:w="4106" w:type="dxa"/>
            <w:shd w:val="clear" w:color="auto" w:fill="15284C" w:themeFill="accent5"/>
            <w:vAlign w:val="center"/>
            <w:hideMark/>
          </w:tcPr>
          <w:p w14:paraId="40A8601C" w14:textId="77777777" w:rsidR="0075744C" w:rsidRPr="00AE4DBA" w:rsidRDefault="0075744C">
            <w:pPr>
              <w:rPr>
                <w:b/>
                <w:color w:val="F6F4EC" w:themeColor="background1"/>
                <w:sz w:val="24"/>
              </w:rPr>
            </w:pPr>
            <w:r w:rsidRPr="00AE4DBA">
              <w:rPr>
                <w:b/>
                <w:color w:val="F6F4EC" w:themeColor="background1"/>
                <w:sz w:val="24"/>
              </w:rPr>
              <w:t>Created custom or derived factor name</w:t>
            </w:r>
          </w:p>
        </w:tc>
        <w:tc>
          <w:tcPr>
            <w:tcW w:w="1406" w:type="dxa"/>
            <w:shd w:val="clear" w:color="auto" w:fill="15284C" w:themeFill="accent5"/>
            <w:vAlign w:val="center"/>
          </w:tcPr>
          <w:p w14:paraId="167BF84D" w14:textId="77777777" w:rsidR="0075744C" w:rsidRPr="00AE4DBA" w:rsidRDefault="0075744C">
            <w:pPr>
              <w:jc w:val="center"/>
              <w:rPr>
                <w:b/>
                <w:color w:val="F6F4EC" w:themeColor="background1"/>
                <w:sz w:val="24"/>
              </w:rPr>
            </w:pPr>
            <w:r w:rsidRPr="00AE4DBA">
              <w:rPr>
                <w:b/>
                <w:color w:val="F6F4EC" w:themeColor="background1"/>
                <w:sz w:val="24"/>
              </w:rPr>
              <w:t>Aircraft Reg / type</w:t>
            </w:r>
          </w:p>
        </w:tc>
        <w:tc>
          <w:tcPr>
            <w:tcW w:w="1559" w:type="dxa"/>
            <w:shd w:val="clear" w:color="auto" w:fill="15284C" w:themeFill="accent5"/>
            <w:vAlign w:val="center"/>
            <w:hideMark/>
          </w:tcPr>
          <w:p w14:paraId="2CF16B8E" w14:textId="77777777" w:rsidR="0075744C" w:rsidRPr="00AE4DBA" w:rsidRDefault="0075744C">
            <w:pPr>
              <w:jc w:val="center"/>
              <w:rPr>
                <w:b/>
                <w:color w:val="F6F4EC" w:themeColor="background1"/>
                <w:sz w:val="24"/>
              </w:rPr>
            </w:pPr>
            <w:r w:rsidRPr="00AE4DBA">
              <w:rPr>
                <w:b/>
                <w:color w:val="F6F4EC" w:themeColor="background1"/>
                <w:sz w:val="24"/>
              </w:rPr>
              <w:t>Fuel litres/ hour</w:t>
            </w:r>
          </w:p>
        </w:tc>
        <w:tc>
          <w:tcPr>
            <w:tcW w:w="992" w:type="dxa"/>
            <w:shd w:val="clear" w:color="auto" w:fill="15284C" w:themeFill="accent5"/>
            <w:vAlign w:val="center"/>
            <w:hideMark/>
          </w:tcPr>
          <w:p w14:paraId="44B7E84C" w14:textId="77777777" w:rsidR="0075744C" w:rsidRPr="00AE4DBA" w:rsidRDefault="0075744C">
            <w:pPr>
              <w:jc w:val="center"/>
              <w:rPr>
                <w:b/>
                <w:color w:val="F6F4EC" w:themeColor="background1"/>
                <w:sz w:val="24"/>
              </w:rPr>
            </w:pPr>
            <w:r w:rsidRPr="00AE4DBA">
              <w:rPr>
                <w:b/>
                <w:color w:val="F6F4EC" w:themeColor="background1"/>
                <w:sz w:val="24"/>
              </w:rPr>
              <w:t>Jet A1 EF</w:t>
            </w:r>
          </w:p>
        </w:tc>
        <w:tc>
          <w:tcPr>
            <w:tcW w:w="1146" w:type="dxa"/>
            <w:shd w:val="clear" w:color="auto" w:fill="15284C" w:themeFill="accent5"/>
            <w:vAlign w:val="center"/>
            <w:hideMark/>
          </w:tcPr>
          <w:p w14:paraId="5E5790E9" w14:textId="77777777" w:rsidR="0075744C" w:rsidRPr="00AE4DBA" w:rsidRDefault="0075744C">
            <w:pPr>
              <w:jc w:val="center"/>
              <w:rPr>
                <w:b/>
                <w:color w:val="F6F4EC" w:themeColor="background1"/>
                <w:sz w:val="24"/>
              </w:rPr>
            </w:pPr>
            <w:r w:rsidRPr="00AE4DBA">
              <w:rPr>
                <w:b/>
                <w:color w:val="F6F4EC" w:themeColor="background1"/>
                <w:sz w:val="24"/>
              </w:rPr>
              <w:t>kgCO</w:t>
            </w:r>
            <w:r w:rsidRPr="00AE4DBA">
              <w:rPr>
                <w:b/>
                <w:color w:val="F6F4EC" w:themeColor="background1"/>
                <w:sz w:val="24"/>
                <w:vertAlign w:val="subscript"/>
              </w:rPr>
              <w:t>2</w:t>
            </w:r>
            <w:r w:rsidRPr="00AE4DBA">
              <w:rPr>
                <w:b/>
                <w:color w:val="F6F4EC" w:themeColor="background1"/>
                <w:sz w:val="24"/>
              </w:rPr>
              <w:t>e/ hr</w:t>
            </w:r>
          </w:p>
        </w:tc>
      </w:tr>
      <w:tr w:rsidR="0075744C" w:rsidRPr="00AE4DBA" w14:paraId="1A2B0D14" w14:textId="77777777" w:rsidTr="17F2D0F5">
        <w:trPr>
          <w:trHeight w:val="300"/>
        </w:trPr>
        <w:tc>
          <w:tcPr>
            <w:tcW w:w="4106" w:type="dxa"/>
            <w:noWrap/>
            <w:hideMark/>
          </w:tcPr>
          <w:p w14:paraId="3DF48470" w14:textId="7D6FA629" w:rsidR="0075744C" w:rsidRPr="00AE4DBA" w:rsidRDefault="0075744C">
            <w:pPr>
              <w:spacing w:line="360" w:lineRule="auto"/>
              <w:rPr>
                <w:color w:val="000000"/>
              </w:rPr>
            </w:pPr>
            <w:r w:rsidRPr="00AE4DBA">
              <w:rPr>
                <w:color w:val="000000"/>
              </w:rPr>
              <w:t>Aviation fuels - B350 - hours</w:t>
            </w:r>
          </w:p>
        </w:tc>
        <w:tc>
          <w:tcPr>
            <w:tcW w:w="1406" w:type="dxa"/>
          </w:tcPr>
          <w:p w14:paraId="68899DDE" w14:textId="77777777" w:rsidR="0075744C" w:rsidRPr="00AE4DBA" w:rsidRDefault="0075744C">
            <w:pPr>
              <w:spacing w:line="360" w:lineRule="auto"/>
              <w:jc w:val="right"/>
              <w:rPr>
                <w:color w:val="000000"/>
              </w:rPr>
            </w:pPr>
            <w:r w:rsidRPr="00AE4DBA">
              <w:rPr>
                <w:color w:val="000000"/>
              </w:rPr>
              <w:t>B350</w:t>
            </w:r>
          </w:p>
        </w:tc>
        <w:tc>
          <w:tcPr>
            <w:tcW w:w="1559" w:type="dxa"/>
            <w:noWrap/>
            <w:hideMark/>
          </w:tcPr>
          <w:p w14:paraId="027A3E0C" w14:textId="77777777" w:rsidR="0075744C" w:rsidRPr="00AE4DBA" w:rsidRDefault="0075744C">
            <w:pPr>
              <w:spacing w:line="360" w:lineRule="auto"/>
              <w:jc w:val="right"/>
              <w:rPr>
                <w:color w:val="000000"/>
              </w:rPr>
            </w:pPr>
            <w:r w:rsidRPr="00AE4DBA">
              <w:rPr>
                <w:color w:val="000000"/>
              </w:rPr>
              <w:t>450</w:t>
            </w:r>
          </w:p>
        </w:tc>
        <w:tc>
          <w:tcPr>
            <w:tcW w:w="992" w:type="dxa"/>
            <w:noWrap/>
            <w:hideMark/>
          </w:tcPr>
          <w:p w14:paraId="26AAF128" w14:textId="0BCB789F" w:rsidR="0075744C" w:rsidRPr="00AE4DBA" w:rsidRDefault="0075744C">
            <w:pPr>
              <w:spacing w:line="360" w:lineRule="auto"/>
              <w:jc w:val="right"/>
              <w:rPr>
                <w:color w:val="000000"/>
              </w:rPr>
            </w:pPr>
            <w:r w:rsidRPr="00AE4DBA">
              <w:rPr>
                <w:color w:val="000000"/>
              </w:rPr>
              <w:t>2.</w:t>
            </w:r>
            <w:r w:rsidR="00984389" w:rsidRPr="00AE4DBA">
              <w:rPr>
                <w:color w:val="000000"/>
              </w:rPr>
              <w:t>52</w:t>
            </w:r>
          </w:p>
        </w:tc>
        <w:tc>
          <w:tcPr>
            <w:tcW w:w="1146" w:type="dxa"/>
            <w:noWrap/>
            <w:hideMark/>
          </w:tcPr>
          <w:p w14:paraId="06F2581D" w14:textId="688080ED" w:rsidR="0075744C" w:rsidRPr="00AE4DBA" w:rsidRDefault="0075744C">
            <w:pPr>
              <w:spacing w:line="360" w:lineRule="auto"/>
              <w:jc w:val="right"/>
              <w:rPr>
                <w:color w:val="000000"/>
              </w:rPr>
            </w:pPr>
            <w:r w:rsidRPr="00AE4DBA">
              <w:rPr>
                <w:color w:val="000000"/>
              </w:rPr>
              <w:t>1,</w:t>
            </w:r>
            <w:r w:rsidR="00984389" w:rsidRPr="00AE4DBA">
              <w:rPr>
                <w:color w:val="000000"/>
              </w:rPr>
              <w:t>132</w:t>
            </w:r>
          </w:p>
        </w:tc>
      </w:tr>
      <w:tr w:rsidR="0075744C" w:rsidRPr="00AE4DBA" w14:paraId="3BBED85F" w14:textId="77777777" w:rsidTr="17F2D0F5">
        <w:trPr>
          <w:trHeight w:val="300"/>
        </w:trPr>
        <w:tc>
          <w:tcPr>
            <w:tcW w:w="4106" w:type="dxa"/>
            <w:noWrap/>
            <w:hideMark/>
          </w:tcPr>
          <w:p w14:paraId="00A1891E" w14:textId="789505B2" w:rsidR="0075744C" w:rsidRPr="00AE4DBA" w:rsidRDefault="0075744C">
            <w:pPr>
              <w:spacing w:line="360" w:lineRule="auto"/>
              <w:rPr>
                <w:color w:val="000000"/>
              </w:rPr>
            </w:pPr>
            <w:r w:rsidRPr="00AE4DBA">
              <w:rPr>
                <w:color w:val="000000"/>
              </w:rPr>
              <w:t>Aviation fuels - B200 - hours</w:t>
            </w:r>
          </w:p>
        </w:tc>
        <w:tc>
          <w:tcPr>
            <w:tcW w:w="1406" w:type="dxa"/>
          </w:tcPr>
          <w:p w14:paraId="5015F700" w14:textId="77777777" w:rsidR="0075744C" w:rsidRPr="00AE4DBA" w:rsidRDefault="0075744C">
            <w:pPr>
              <w:spacing w:line="360" w:lineRule="auto"/>
              <w:jc w:val="right"/>
              <w:rPr>
                <w:color w:val="000000"/>
              </w:rPr>
            </w:pPr>
            <w:r w:rsidRPr="00AE4DBA">
              <w:rPr>
                <w:color w:val="000000"/>
              </w:rPr>
              <w:t>B200</w:t>
            </w:r>
          </w:p>
        </w:tc>
        <w:tc>
          <w:tcPr>
            <w:tcW w:w="1559" w:type="dxa"/>
            <w:noWrap/>
            <w:hideMark/>
          </w:tcPr>
          <w:p w14:paraId="75B19031" w14:textId="77777777" w:rsidR="0075744C" w:rsidRPr="00AE4DBA" w:rsidRDefault="0075744C">
            <w:pPr>
              <w:spacing w:line="360" w:lineRule="auto"/>
              <w:jc w:val="right"/>
              <w:rPr>
                <w:color w:val="000000"/>
              </w:rPr>
            </w:pPr>
            <w:r w:rsidRPr="00AE4DBA">
              <w:rPr>
                <w:color w:val="000000"/>
              </w:rPr>
              <w:t>380</w:t>
            </w:r>
          </w:p>
        </w:tc>
        <w:tc>
          <w:tcPr>
            <w:tcW w:w="992" w:type="dxa"/>
            <w:noWrap/>
            <w:hideMark/>
          </w:tcPr>
          <w:p w14:paraId="37F5A143" w14:textId="7A625346" w:rsidR="0075744C" w:rsidRPr="00AE4DBA" w:rsidRDefault="0075744C">
            <w:pPr>
              <w:spacing w:line="360" w:lineRule="auto"/>
              <w:jc w:val="right"/>
              <w:rPr>
                <w:color w:val="000000"/>
              </w:rPr>
            </w:pPr>
            <w:r w:rsidRPr="00AE4DBA">
              <w:rPr>
                <w:color w:val="000000"/>
              </w:rPr>
              <w:t>2.</w:t>
            </w:r>
            <w:r w:rsidR="00984389" w:rsidRPr="00AE4DBA">
              <w:rPr>
                <w:color w:val="000000"/>
              </w:rPr>
              <w:t>52</w:t>
            </w:r>
          </w:p>
        </w:tc>
        <w:tc>
          <w:tcPr>
            <w:tcW w:w="1146" w:type="dxa"/>
            <w:noWrap/>
            <w:hideMark/>
          </w:tcPr>
          <w:p w14:paraId="65384BBF" w14:textId="7B5FDD8A" w:rsidR="0075744C" w:rsidRPr="00AE4DBA" w:rsidRDefault="00984389">
            <w:pPr>
              <w:spacing w:line="360" w:lineRule="auto"/>
              <w:jc w:val="right"/>
              <w:rPr>
                <w:color w:val="000000"/>
              </w:rPr>
            </w:pPr>
            <w:r w:rsidRPr="00AE4DBA">
              <w:rPr>
                <w:color w:val="000000"/>
              </w:rPr>
              <w:t>956</w:t>
            </w:r>
          </w:p>
        </w:tc>
      </w:tr>
      <w:tr w:rsidR="0075744C" w:rsidRPr="00AE4DBA" w14:paraId="15509211" w14:textId="77777777" w:rsidTr="17F2D0F5">
        <w:trPr>
          <w:trHeight w:val="300"/>
        </w:trPr>
        <w:tc>
          <w:tcPr>
            <w:tcW w:w="4106" w:type="dxa"/>
            <w:noWrap/>
            <w:hideMark/>
          </w:tcPr>
          <w:p w14:paraId="237F8343" w14:textId="4A8382E0" w:rsidR="0075744C" w:rsidRPr="00AE4DBA" w:rsidRDefault="0075744C">
            <w:pPr>
              <w:spacing w:line="360" w:lineRule="auto"/>
              <w:rPr>
                <w:color w:val="000000"/>
              </w:rPr>
            </w:pPr>
            <w:r w:rsidRPr="00AE4DBA">
              <w:rPr>
                <w:color w:val="000000"/>
              </w:rPr>
              <w:t>Aviation fuels - C90 - hours</w:t>
            </w:r>
          </w:p>
        </w:tc>
        <w:tc>
          <w:tcPr>
            <w:tcW w:w="1406" w:type="dxa"/>
          </w:tcPr>
          <w:p w14:paraId="6DDB7781" w14:textId="77777777" w:rsidR="0075744C" w:rsidRPr="00AE4DBA" w:rsidRDefault="0075744C">
            <w:pPr>
              <w:spacing w:line="360" w:lineRule="auto"/>
              <w:jc w:val="right"/>
              <w:rPr>
                <w:color w:val="000000"/>
              </w:rPr>
            </w:pPr>
            <w:r w:rsidRPr="00AE4DBA">
              <w:rPr>
                <w:color w:val="000000"/>
              </w:rPr>
              <w:t>C90</w:t>
            </w:r>
          </w:p>
        </w:tc>
        <w:tc>
          <w:tcPr>
            <w:tcW w:w="1559" w:type="dxa"/>
            <w:noWrap/>
            <w:hideMark/>
          </w:tcPr>
          <w:p w14:paraId="17848BB9" w14:textId="0207A602" w:rsidR="0075744C" w:rsidRPr="00AE4DBA" w:rsidRDefault="0B5A0357">
            <w:pPr>
              <w:spacing w:line="360" w:lineRule="auto"/>
              <w:jc w:val="right"/>
              <w:rPr>
                <w:color w:val="000000"/>
              </w:rPr>
            </w:pPr>
            <w:r w:rsidRPr="00AE4DBA">
              <w:rPr>
                <w:color w:val="000000"/>
              </w:rPr>
              <w:t>330</w:t>
            </w:r>
          </w:p>
        </w:tc>
        <w:tc>
          <w:tcPr>
            <w:tcW w:w="992" w:type="dxa"/>
            <w:noWrap/>
            <w:hideMark/>
          </w:tcPr>
          <w:p w14:paraId="52F0F56C" w14:textId="39A599BC" w:rsidR="0075744C" w:rsidRPr="00AE4DBA" w:rsidRDefault="0075744C">
            <w:pPr>
              <w:spacing w:line="360" w:lineRule="auto"/>
              <w:jc w:val="right"/>
              <w:rPr>
                <w:color w:val="000000"/>
              </w:rPr>
            </w:pPr>
            <w:r w:rsidRPr="00AE4DBA">
              <w:rPr>
                <w:color w:val="000000"/>
              </w:rPr>
              <w:t>2.</w:t>
            </w:r>
            <w:r w:rsidR="00984389" w:rsidRPr="00AE4DBA">
              <w:rPr>
                <w:color w:val="000000"/>
              </w:rPr>
              <w:t>52</w:t>
            </w:r>
          </w:p>
        </w:tc>
        <w:tc>
          <w:tcPr>
            <w:tcW w:w="1146" w:type="dxa"/>
            <w:noWrap/>
            <w:hideMark/>
          </w:tcPr>
          <w:p w14:paraId="01041970" w14:textId="76CC8D66" w:rsidR="0075744C" w:rsidRPr="00AE4DBA" w:rsidRDefault="44CC3302">
            <w:pPr>
              <w:spacing w:line="360" w:lineRule="auto"/>
              <w:jc w:val="right"/>
              <w:rPr>
                <w:color w:val="000000"/>
              </w:rPr>
            </w:pPr>
            <w:r w:rsidRPr="00AE4DBA">
              <w:rPr>
                <w:color w:val="000000"/>
              </w:rPr>
              <w:t>83</w:t>
            </w:r>
            <w:r w:rsidR="395A5EAF" w:rsidRPr="00AE4DBA">
              <w:rPr>
                <w:color w:val="000000"/>
              </w:rPr>
              <w:t>0</w:t>
            </w:r>
          </w:p>
        </w:tc>
      </w:tr>
      <w:tr w:rsidR="0075744C" w:rsidRPr="00AE4DBA" w14:paraId="19888251" w14:textId="77777777" w:rsidTr="17F2D0F5">
        <w:trPr>
          <w:trHeight w:val="300"/>
        </w:trPr>
        <w:tc>
          <w:tcPr>
            <w:tcW w:w="4106" w:type="dxa"/>
            <w:noWrap/>
            <w:hideMark/>
          </w:tcPr>
          <w:p w14:paraId="4F004861" w14:textId="42841600" w:rsidR="0075744C" w:rsidRPr="00AE4DBA" w:rsidRDefault="0075744C">
            <w:pPr>
              <w:spacing w:line="360" w:lineRule="auto"/>
              <w:rPr>
                <w:color w:val="000000"/>
              </w:rPr>
            </w:pPr>
            <w:r w:rsidRPr="00AE4DBA">
              <w:rPr>
                <w:color w:val="000000"/>
              </w:rPr>
              <w:t>Aviation fuels – Mustang - hours</w:t>
            </w:r>
          </w:p>
        </w:tc>
        <w:tc>
          <w:tcPr>
            <w:tcW w:w="1406" w:type="dxa"/>
          </w:tcPr>
          <w:p w14:paraId="58E58B0A" w14:textId="77777777" w:rsidR="0075744C" w:rsidRPr="00AE4DBA" w:rsidRDefault="0075744C">
            <w:pPr>
              <w:spacing w:line="360" w:lineRule="auto"/>
              <w:jc w:val="right"/>
              <w:rPr>
                <w:color w:val="000000"/>
              </w:rPr>
            </w:pPr>
            <w:r w:rsidRPr="00AE4DBA">
              <w:rPr>
                <w:color w:val="000000"/>
              </w:rPr>
              <w:t>Mustang</w:t>
            </w:r>
          </w:p>
        </w:tc>
        <w:tc>
          <w:tcPr>
            <w:tcW w:w="1559" w:type="dxa"/>
            <w:noWrap/>
            <w:hideMark/>
          </w:tcPr>
          <w:p w14:paraId="7913E009" w14:textId="77777777" w:rsidR="0075744C" w:rsidRPr="00AE4DBA" w:rsidRDefault="0075744C">
            <w:pPr>
              <w:spacing w:line="360" w:lineRule="auto"/>
              <w:jc w:val="right"/>
              <w:rPr>
                <w:color w:val="000000"/>
              </w:rPr>
            </w:pPr>
            <w:r w:rsidRPr="00AE4DBA">
              <w:rPr>
                <w:color w:val="000000"/>
              </w:rPr>
              <w:t>400</w:t>
            </w:r>
          </w:p>
        </w:tc>
        <w:tc>
          <w:tcPr>
            <w:tcW w:w="992" w:type="dxa"/>
            <w:noWrap/>
            <w:hideMark/>
          </w:tcPr>
          <w:p w14:paraId="0A86BE92" w14:textId="0821E500" w:rsidR="0075744C" w:rsidRPr="00AE4DBA" w:rsidRDefault="0075744C">
            <w:pPr>
              <w:spacing w:line="360" w:lineRule="auto"/>
              <w:jc w:val="right"/>
              <w:rPr>
                <w:color w:val="000000"/>
              </w:rPr>
            </w:pPr>
            <w:r w:rsidRPr="00AE4DBA">
              <w:rPr>
                <w:color w:val="000000"/>
              </w:rPr>
              <w:t>2.</w:t>
            </w:r>
            <w:r w:rsidR="00984389" w:rsidRPr="00AE4DBA">
              <w:rPr>
                <w:color w:val="000000"/>
              </w:rPr>
              <w:t>52</w:t>
            </w:r>
          </w:p>
        </w:tc>
        <w:tc>
          <w:tcPr>
            <w:tcW w:w="1146" w:type="dxa"/>
            <w:noWrap/>
            <w:hideMark/>
          </w:tcPr>
          <w:p w14:paraId="6E499FE8" w14:textId="4F17B778" w:rsidR="0075744C" w:rsidRPr="00AE4DBA" w:rsidRDefault="00984389">
            <w:pPr>
              <w:spacing w:line="360" w:lineRule="auto"/>
              <w:jc w:val="right"/>
              <w:rPr>
                <w:color w:val="000000"/>
              </w:rPr>
            </w:pPr>
            <w:r w:rsidRPr="00AE4DBA">
              <w:rPr>
                <w:color w:val="000000"/>
              </w:rPr>
              <w:t>1,006</w:t>
            </w:r>
          </w:p>
        </w:tc>
      </w:tr>
      <w:tr w:rsidR="0075744C" w:rsidRPr="00AE4DBA" w14:paraId="1E270859" w14:textId="77777777" w:rsidTr="17F2D0F5">
        <w:trPr>
          <w:trHeight w:val="300"/>
        </w:trPr>
        <w:tc>
          <w:tcPr>
            <w:tcW w:w="4106" w:type="dxa"/>
            <w:noWrap/>
            <w:hideMark/>
          </w:tcPr>
          <w:p w14:paraId="24FC1ACB" w14:textId="6B9EC857" w:rsidR="0075744C" w:rsidRPr="00AE4DBA" w:rsidRDefault="0075744C">
            <w:pPr>
              <w:spacing w:line="360" w:lineRule="auto"/>
              <w:rPr>
                <w:color w:val="000000"/>
              </w:rPr>
            </w:pPr>
            <w:r w:rsidRPr="00AE4DBA">
              <w:rPr>
                <w:color w:val="000000"/>
              </w:rPr>
              <w:t>Aviation fuels - 400XT - hours</w:t>
            </w:r>
          </w:p>
        </w:tc>
        <w:tc>
          <w:tcPr>
            <w:tcW w:w="1406" w:type="dxa"/>
          </w:tcPr>
          <w:p w14:paraId="769CAE84" w14:textId="77777777" w:rsidR="0075744C" w:rsidRPr="00AE4DBA" w:rsidRDefault="0075744C">
            <w:pPr>
              <w:spacing w:line="360" w:lineRule="auto"/>
              <w:jc w:val="right"/>
              <w:rPr>
                <w:color w:val="000000"/>
              </w:rPr>
            </w:pPr>
            <w:r w:rsidRPr="00AE4DBA">
              <w:rPr>
                <w:color w:val="000000"/>
              </w:rPr>
              <w:t>400XT</w:t>
            </w:r>
          </w:p>
        </w:tc>
        <w:tc>
          <w:tcPr>
            <w:tcW w:w="1559" w:type="dxa"/>
            <w:noWrap/>
            <w:hideMark/>
          </w:tcPr>
          <w:p w14:paraId="73DFF6CF" w14:textId="77777777" w:rsidR="0075744C" w:rsidRPr="00AE4DBA" w:rsidRDefault="0075744C">
            <w:pPr>
              <w:spacing w:line="360" w:lineRule="auto"/>
              <w:jc w:val="right"/>
              <w:rPr>
                <w:color w:val="000000"/>
              </w:rPr>
            </w:pPr>
            <w:r w:rsidRPr="00AE4DBA">
              <w:rPr>
                <w:color w:val="000000"/>
              </w:rPr>
              <w:t>600</w:t>
            </w:r>
          </w:p>
        </w:tc>
        <w:tc>
          <w:tcPr>
            <w:tcW w:w="992" w:type="dxa"/>
            <w:noWrap/>
            <w:hideMark/>
          </w:tcPr>
          <w:p w14:paraId="720C62F3" w14:textId="015613DE" w:rsidR="0075744C" w:rsidRPr="00AE4DBA" w:rsidRDefault="0075744C">
            <w:pPr>
              <w:spacing w:line="360" w:lineRule="auto"/>
              <w:jc w:val="right"/>
              <w:rPr>
                <w:color w:val="000000"/>
              </w:rPr>
            </w:pPr>
            <w:r w:rsidRPr="00AE4DBA">
              <w:rPr>
                <w:color w:val="000000"/>
              </w:rPr>
              <w:t>2.</w:t>
            </w:r>
            <w:r w:rsidR="00984389" w:rsidRPr="00AE4DBA">
              <w:rPr>
                <w:color w:val="000000"/>
              </w:rPr>
              <w:t>52</w:t>
            </w:r>
          </w:p>
        </w:tc>
        <w:tc>
          <w:tcPr>
            <w:tcW w:w="1146" w:type="dxa"/>
            <w:noWrap/>
            <w:hideMark/>
          </w:tcPr>
          <w:p w14:paraId="603CF8F0" w14:textId="028C3D9A" w:rsidR="0075744C" w:rsidRPr="00AE4DBA" w:rsidRDefault="0075744C">
            <w:pPr>
              <w:spacing w:line="360" w:lineRule="auto"/>
              <w:jc w:val="right"/>
              <w:rPr>
                <w:color w:val="000000"/>
              </w:rPr>
            </w:pPr>
            <w:r w:rsidRPr="00AE4DBA">
              <w:rPr>
                <w:color w:val="000000"/>
              </w:rPr>
              <w:t>1,</w:t>
            </w:r>
            <w:r w:rsidR="00984389" w:rsidRPr="00AE4DBA">
              <w:rPr>
                <w:color w:val="000000"/>
              </w:rPr>
              <w:t>510</w:t>
            </w:r>
          </w:p>
        </w:tc>
      </w:tr>
      <w:tr w:rsidR="0075744C" w:rsidRPr="00AE4DBA" w14:paraId="577A3A7E" w14:textId="77777777" w:rsidTr="17F2D0F5">
        <w:trPr>
          <w:trHeight w:val="300"/>
        </w:trPr>
        <w:tc>
          <w:tcPr>
            <w:tcW w:w="4106" w:type="dxa"/>
            <w:shd w:val="clear" w:color="auto" w:fill="auto"/>
            <w:noWrap/>
            <w:hideMark/>
          </w:tcPr>
          <w:p w14:paraId="5A780D28" w14:textId="10912FF7" w:rsidR="0075744C" w:rsidRPr="00AE4DBA" w:rsidRDefault="0075744C">
            <w:pPr>
              <w:spacing w:line="360" w:lineRule="auto"/>
              <w:rPr>
                <w:color w:val="000000"/>
              </w:rPr>
            </w:pPr>
            <w:r w:rsidRPr="00AE4DBA">
              <w:rPr>
                <w:color w:val="000000"/>
              </w:rPr>
              <w:t>Aviation fuels – Sovereign - hours</w:t>
            </w:r>
          </w:p>
        </w:tc>
        <w:tc>
          <w:tcPr>
            <w:tcW w:w="1406" w:type="dxa"/>
          </w:tcPr>
          <w:p w14:paraId="4A9D94AB" w14:textId="77777777" w:rsidR="0075744C" w:rsidRPr="00AE4DBA" w:rsidRDefault="0075744C">
            <w:pPr>
              <w:spacing w:line="360" w:lineRule="auto"/>
              <w:jc w:val="right"/>
              <w:rPr>
                <w:color w:val="000000"/>
              </w:rPr>
            </w:pPr>
            <w:r w:rsidRPr="00AE4DBA">
              <w:rPr>
                <w:color w:val="000000"/>
              </w:rPr>
              <w:t>Sovereign</w:t>
            </w:r>
          </w:p>
        </w:tc>
        <w:tc>
          <w:tcPr>
            <w:tcW w:w="1559" w:type="dxa"/>
            <w:noWrap/>
            <w:hideMark/>
          </w:tcPr>
          <w:p w14:paraId="1A5D357F" w14:textId="77777777" w:rsidR="0075744C" w:rsidRPr="00AE4DBA" w:rsidRDefault="0075744C">
            <w:pPr>
              <w:spacing w:line="360" w:lineRule="auto"/>
              <w:jc w:val="right"/>
              <w:rPr>
                <w:color w:val="000000"/>
              </w:rPr>
            </w:pPr>
            <w:r w:rsidRPr="00AE4DBA">
              <w:rPr>
                <w:color w:val="000000"/>
              </w:rPr>
              <w:t>950</w:t>
            </w:r>
          </w:p>
        </w:tc>
        <w:tc>
          <w:tcPr>
            <w:tcW w:w="992" w:type="dxa"/>
            <w:noWrap/>
            <w:hideMark/>
          </w:tcPr>
          <w:p w14:paraId="04DA06A8" w14:textId="3AAE88B6" w:rsidR="0075744C" w:rsidRPr="00AE4DBA" w:rsidRDefault="0075744C">
            <w:pPr>
              <w:spacing w:line="360" w:lineRule="auto"/>
              <w:jc w:val="right"/>
              <w:rPr>
                <w:color w:val="000000"/>
              </w:rPr>
            </w:pPr>
            <w:r w:rsidRPr="00AE4DBA">
              <w:rPr>
                <w:color w:val="000000"/>
              </w:rPr>
              <w:t>2.</w:t>
            </w:r>
            <w:r w:rsidR="00984389" w:rsidRPr="00AE4DBA">
              <w:rPr>
                <w:color w:val="000000"/>
              </w:rPr>
              <w:t>52</w:t>
            </w:r>
          </w:p>
        </w:tc>
        <w:tc>
          <w:tcPr>
            <w:tcW w:w="1146" w:type="dxa"/>
            <w:noWrap/>
            <w:hideMark/>
          </w:tcPr>
          <w:p w14:paraId="3B3E1361" w14:textId="73A2C3C3" w:rsidR="0075744C" w:rsidRPr="00AE4DBA" w:rsidRDefault="0075744C">
            <w:pPr>
              <w:spacing w:line="360" w:lineRule="auto"/>
              <w:jc w:val="right"/>
              <w:rPr>
                <w:color w:val="000000"/>
              </w:rPr>
            </w:pPr>
            <w:r w:rsidRPr="00AE4DBA">
              <w:rPr>
                <w:color w:val="000000"/>
              </w:rPr>
              <w:t>2,</w:t>
            </w:r>
            <w:r w:rsidR="00984389" w:rsidRPr="00AE4DBA">
              <w:rPr>
                <w:color w:val="000000"/>
              </w:rPr>
              <w:t>390</w:t>
            </w:r>
          </w:p>
        </w:tc>
      </w:tr>
      <w:tr w:rsidR="0075744C" w:rsidRPr="00AE4DBA" w14:paraId="3601D26A" w14:textId="77777777" w:rsidTr="17F2D0F5">
        <w:trPr>
          <w:trHeight w:val="300"/>
        </w:trPr>
        <w:tc>
          <w:tcPr>
            <w:tcW w:w="4106" w:type="dxa"/>
            <w:noWrap/>
          </w:tcPr>
          <w:p w14:paraId="03FDD02C" w14:textId="77777777" w:rsidR="00984389" w:rsidRPr="00AE4DBA" w:rsidRDefault="00984389" w:rsidP="00984389">
            <w:pPr>
              <w:pStyle w:val="Caption"/>
              <w:keepNext/>
            </w:pPr>
          </w:p>
          <w:p w14:paraId="7A3629DD" w14:textId="4BA8D03B" w:rsidR="0075744C" w:rsidRPr="00AE4DBA" w:rsidRDefault="003F2D5A" w:rsidP="00984389">
            <w:pPr>
              <w:pStyle w:val="Caption"/>
              <w:keepNext/>
            </w:pPr>
            <w:bookmarkStart w:id="73" w:name="_Toc176252089"/>
            <w:r w:rsidRPr="00AE4DBA">
              <w:t xml:space="preserve">Table </w:t>
            </w:r>
            <w:r>
              <w:fldChar w:fldCharType="begin"/>
            </w:r>
            <w:r>
              <w:instrText>SEQ Table \* ARABIC</w:instrText>
            </w:r>
            <w:r>
              <w:fldChar w:fldCharType="separate"/>
            </w:r>
            <w:r w:rsidR="003130CC" w:rsidRPr="00AE4DBA">
              <w:rPr>
                <w:noProof/>
              </w:rPr>
              <w:t>11</w:t>
            </w:r>
            <w:r>
              <w:fldChar w:fldCharType="end"/>
            </w:r>
            <w:r w:rsidRPr="00AE4DBA">
              <w:t xml:space="preserve"> Refrigerant GWP</w:t>
            </w:r>
            <w:bookmarkEnd w:id="73"/>
          </w:p>
        </w:tc>
        <w:tc>
          <w:tcPr>
            <w:tcW w:w="1406" w:type="dxa"/>
          </w:tcPr>
          <w:p w14:paraId="0AF0F45B" w14:textId="77777777" w:rsidR="0075744C" w:rsidRPr="00AE4DBA" w:rsidRDefault="0075744C">
            <w:pPr>
              <w:spacing w:line="360" w:lineRule="auto"/>
              <w:jc w:val="right"/>
              <w:rPr>
                <w:color w:val="000000"/>
              </w:rPr>
            </w:pPr>
          </w:p>
        </w:tc>
        <w:tc>
          <w:tcPr>
            <w:tcW w:w="1559" w:type="dxa"/>
            <w:noWrap/>
          </w:tcPr>
          <w:p w14:paraId="58DAFE48" w14:textId="77777777" w:rsidR="0075744C" w:rsidRPr="00AE4DBA" w:rsidRDefault="0075744C">
            <w:pPr>
              <w:spacing w:line="360" w:lineRule="auto"/>
              <w:jc w:val="right"/>
              <w:rPr>
                <w:color w:val="000000"/>
              </w:rPr>
            </w:pPr>
          </w:p>
        </w:tc>
        <w:tc>
          <w:tcPr>
            <w:tcW w:w="992" w:type="dxa"/>
            <w:noWrap/>
          </w:tcPr>
          <w:p w14:paraId="6459E4F9" w14:textId="77777777" w:rsidR="0075744C" w:rsidRPr="00AE4DBA" w:rsidRDefault="0075744C">
            <w:pPr>
              <w:spacing w:line="360" w:lineRule="auto"/>
              <w:jc w:val="right"/>
              <w:rPr>
                <w:color w:val="000000"/>
              </w:rPr>
            </w:pPr>
          </w:p>
        </w:tc>
        <w:tc>
          <w:tcPr>
            <w:tcW w:w="1146" w:type="dxa"/>
            <w:noWrap/>
          </w:tcPr>
          <w:p w14:paraId="67B215F9" w14:textId="77777777" w:rsidR="0075744C" w:rsidRPr="00AE4DBA" w:rsidRDefault="0075744C">
            <w:pPr>
              <w:spacing w:line="360" w:lineRule="auto"/>
              <w:jc w:val="right"/>
              <w:rPr>
                <w:color w:val="000000"/>
              </w:rPr>
            </w:pPr>
          </w:p>
        </w:tc>
      </w:tr>
    </w:tbl>
    <w:tbl>
      <w:tblPr>
        <w:tblStyle w:val="TableGrid2"/>
        <w:tblW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3"/>
      </w:tblGrid>
      <w:tr w:rsidR="0075744C" w:rsidRPr="00AE4DBA" w14:paraId="3D1E04E4" w14:textId="77777777">
        <w:trPr>
          <w:trHeight w:hRule="exact" w:val="20"/>
        </w:trPr>
        <w:tc>
          <w:tcPr>
            <w:tcW w:w="2268" w:type="dxa"/>
            <w:tcBorders>
              <w:top w:val="nil"/>
              <w:left w:val="nil"/>
              <w:bottom w:val="nil"/>
              <w:right w:val="nil"/>
            </w:tcBorders>
            <w:shd w:val="clear" w:color="auto" w:fill="002672" w:themeFill="accent2" w:themeFillShade="BF"/>
            <w:vAlign w:val="center"/>
            <w:hideMark/>
          </w:tcPr>
          <w:p w14:paraId="57F06465" w14:textId="77777777" w:rsidR="0075744C" w:rsidRPr="00AE4DBA" w:rsidRDefault="0075744C">
            <w:pPr>
              <w:rPr>
                <w:sz w:val="2"/>
              </w:rPr>
            </w:pPr>
            <w:bookmarkStart w:id="74" w:name="_13969ca2_3d3e_406f_b6c8_fc1fa52b6240"/>
            <w:bookmarkStart w:id="75" w:name="_d32aeb03_c58e_435e_95e9_92c9ceb60710"/>
            <w:bookmarkEnd w:id="72"/>
          </w:p>
        </w:tc>
        <w:tc>
          <w:tcPr>
            <w:tcW w:w="1843" w:type="dxa"/>
            <w:tcBorders>
              <w:top w:val="nil"/>
              <w:left w:val="nil"/>
              <w:bottom w:val="nil"/>
              <w:right w:val="nil"/>
            </w:tcBorders>
            <w:shd w:val="clear" w:color="auto" w:fill="002672" w:themeFill="accent2" w:themeFillShade="BF"/>
            <w:vAlign w:val="center"/>
          </w:tcPr>
          <w:p w14:paraId="3C484F7B" w14:textId="77777777" w:rsidR="0075744C" w:rsidRPr="00AE4DBA" w:rsidRDefault="0075744C">
            <w:pPr>
              <w:rPr>
                <w:sz w:val="2"/>
              </w:rPr>
            </w:pPr>
          </w:p>
        </w:tc>
      </w:tr>
      <w:tr w:rsidR="0075744C" w:rsidRPr="00AE4DBA" w14:paraId="27F8FE91" w14:textId="77777777" w:rsidTr="00B246A3">
        <w:trPr>
          <w:trHeight w:val="352"/>
        </w:trPr>
        <w:tc>
          <w:tcPr>
            <w:tcW w:w="2268" w:type="dxa"/>
            <w:shd w:val="clear" w:color="auto" w:fill="15284C" w:themeFill="text1"/>
            <w:vAlign w:val="center"/>
            <w:hideMark/>
          </w:tcPr>
          <w:p w14:paraId="43AE6530" w14:textId="77777777" w:rsidR="0075744C" w:rsidRPr="00AE4DBA" w:rsidRDefault="0075744C">
            <w:pPr>
              <w:jc w:val="center"/>
              <w:rPr>
                <w:b/>
                <w:color w:val="F6F4EC" w:themeColor="background1"/>
                <w:sz w:val="24"/>
              </w:rPr>
            </w:pPr>
            <w:r w:rsidRPr="00AE4DBA">
              <w:rPr>
                <w:b/>
                <w:color w:val="F6F4EC" w:themeColor="background1"/>
                <w:sz w:val="24"/>
              </w:rPr>
              <w:t>Refrigerant name</w:t>
            </w:r>
          </w:p>
        </w:tc>
        <w:tc>
          <w:tcPr>
            <w:tcW w:w="1843" w:type="dxa"/>
            <w:shd w:val="clear" w:color="auto" w:fill="15284C" w:themeFill="text1"/>
            <w:vAlign w:val="center"/>
          </w:tcPr>
          <w:p w14:paraId="146CAB6C" w14:textId="77777777" w:rsidR="0075744C" w:rsidRPr="00AE4DBA" w:rsidRDefault="0075744C">
            <w:pPr>
              <w:jc w:val="right"/>
              <w:rPr>
                <w:b/>
                <w:color w:val="F6F4EC" w:themeColor="background1"/>
                <w:sz w:val="24"/>
              </w:rPr>
            </w:pPr>
            <w:r w:rsidRPr="00AE4DBA">
              <w:rPr>
                <w:b/>
                <w:color w:val="F6F4EC" w:themeColor="background1"/>
                <w:sz w:val="24"/>
              </w:rPr>
              <w:t>GWP</w:t>
            </w:r>
          </w:p>
        </w:tc>
      </w:tr>
      <w:tr w:rsidR="0075744C" w:rsidRPr="00AE4DBA" w14:paraId="0DDD4BA4" w14:textId="77777777">
        <w:trPr>
          <w:trHeight w:val="300"/>
        </w:trPr>
        <w:tc>
          <w:tcPr>
            <w:tcW w:w="2268" w:type="dxa"/>
            <w:noWrap/>
            <w:hideMark/>
          </w:tcPr>
          <w:p w14:paraId="164ABA39" w14:textId="77777777" w:rsidR="0075744C" w:rsidRPr="00AE4DBA" w:rsidRDefault="0075744C">
            <w:pPr>
              <w:spacing w:line="360" w:lineRule="auto"/>
              <w:rPr>
                <w:color w:val="000000"/>
              </w:rPr>
            </w:pPr>
            <w:r w:rsidRPr="00AE4DBA">
              <w:rPr>
                <w:color w:val="000000"/>
              </w:rPr>
              <w:t>R448a</w:t>
            </w:r>
          </w:p>
        </w:tc>
        <w:tc>
          <w:tcPr>
            <w:tcW w:w="1843" w:type="dxa"/>
          </w:tcPr>
          <w:p w14:paraId="4BD6E35D" w14:textId="77777777" w:rsidR="0075744C" w:rsidRPr="00AE4DBA" w:rsidRDefault="0075744C">
            <w:pPr>
              <w:spacing w:line="360" w:lineRule="auto"/>
              <w:jc w:val="right"/>
              <w:rPr>
                <w:color w:val="000000"/>
              </w:rPr>
            </w:pPr>
            <w:r w:rsidRPr="00AE4DBA">
              <w:rPr>
                <w:color w:val="000000"/>
              </w:rPr>
              <w:t>1,273</w:t>
            </w:r>
          </w:p>
        </w:tc>
      </w:tr>
      <w:tr w:rsidR="0075744C" w:rsidRPr="00AE4DBA" w14:paraId="1EAE8C89" w14:textId="77777777">
        <w:trPr>
          <w:trHeight w:val="300"/>
        </w:trPr>
        <w:tc>
          <w:tcPr>
            <w:tcW w:w="2268" w:type="dxa"/>
            <w:noWrap/>
            <w:hideMark/>
          </w:tcPr>
          <w:p w14:paraId="7DAB98C8" w14:textId="77777777" w:rsidR="0075744C" w:rsidRPr="00AE4DBA" w:rsidRDefault="0075744C">
            <w:pPr>
              <w:spacing w:line="360" w:lineRule="auto"/>
              <w:rPr>
                <w:color w:val="000000"/>
              </w:rPr>
            </w:pPr>
            <w:r w:rsidRPr="00AE4DBA">
              <w:rPr>
                <w:color w:val="000000"/>
              </w:rPr>
              <w:t>R412A</w:t>
            </w:r>
          </w:p>
        </w:tc>
        <w:tc>
          <w:tcPr>
            <w:tcW w:w="1843" w:type="dxa"/>
          </w:tcPr>
          <w:p w14:paraId="3B11386D" w14:textId="77777777" w:rsidR="0075744C" w:rsidRPr="00AE4DBA" w:rsidRDefault="0075744C">
            <w:pPr>
              <w:spacing w:line="360" w:lineRule="auto"/>
              <w:jc w:val="right"/>
              <w:rPr>
                <w:color w:val="000000"/>
              </w:rPr>
            </w:pPr>
            <w:r w:rsidRPr="00AE4DBA">
              <w:rPr>
                <w:color w:val="000000"/>
              </w:rPr>
              <w:t>2,286</w:t>
            </w:r>
          </w:p>
        </w:tc>
      </w:tr>
      <w:tr w:rsidR="0075744C" w:rsidRPr="00AE4DBA" w14:paraId="0AFAAE94" w14:textId="77777777">
        <w:trPr>
          <w:trHeight w:val="300"/>
        </w:trPr>
        <w:tc>
          <w:tcPr>
            <w:tcW w:w="2268" w:type="dxa"/>
            <w:noWrap/>
            <w:hideMark/>
          </w:tcPr>
          <w:p w14:paraId="29521C91" w14:textId="77777777" w:rsidR="0075744C" w:rsidRPr="00AE4DBA" w:rsidRDefault="0075744C">
            <w:pPr>
              <w:spacing w:line="360" w:lineRule="auto"/>
              <w:rPr>
                <w:color w:val="000000"/>
              </w:rPr>
            </w:pPr>
            <w:r w:rsidRPr="00AE4DBA">
              <w:rPr>
                <w:color w:val="000000"/>
              </w:rPr>
              <w:t>R449A</w:t>
            </w:r>
          </w:p>
        </w:tc>
        <w:tc>
          <w:tcPr>
            <w:tcW w:w="1843" w:type="dxa"/>
          </w:tcPr>
          <w:p w14:paraId="4E1EB460" w14:textId="77777777" w:rsidR="0075744C" w:rsidRPr="00AE4DBA" w:rsidRDefault="0075744C">
            <w:pPr>
              <w:spacing w:line="360" w:lineRule="auto"/>
              <w:jc w:val="right"/>
              <w:rPr>
                <w:color w:val="000000"/>
              </w:rPr>
            </w:pPr>
            <w:r w:rsidRPr="00AE4DBA">
              <w:rPr>
                <w:color w:val="000000"/>
              </w:rPr>
              <w:t>1,282</w:t>
            </w:r>
          </w:p>
        </w:tc>
      </w:tr>
      <w:tr w:rsidR="0075744C" w:rsidRPr="00AE4DBA" w14:paraId="479C4CB0" w14:textId="77777777">
        <w:trPr>
          <w:trHeight w:val="300"/>
        </w:trPr>
        <w:tc>
          <w:tcPr>
            <w:tcW w:w="2268" w:type="dxa"/>
            <w:noWrap/>
            <w:hideMark/>
          </w:tcPr>
          <w:p w14:paraId="4E08263A" w14:textId="77777777" w:rsidR="0075744C" w:rsidRPr="00AE4DBA" w:rsidRDefault="0075744C">
            <w:pPr>
              <w:spacing w:line="360" w:lineRule="auto"/>
              <w:rPr>
                <w:color w:val="000000"/>
              </w:rPr>
            </w:pPr>
            <w:r w:rsidRPr="00AE4DBA">
              <w:rPr>
                <w:color w:val="000000"/>
              </w:rPr>
              <w:t>R508</w:t>
            </w:r>
          </w:p>
        </w:tc>
        <w:tc>
          <w:tcPr>
            <w:tcW w:w="1843" w:type="dxa"/>
          </w:tcPr>
          <w:p w14:paraId="29AF5D55" w14:textId="77777777" w:rsidR="0075744C" w:rsidRPr="00AE4DBA" w:rsidRDefault="0075744C">
            <w:pPr>
              <w:spacing w:line="360" w:lineRule="auto"/>
              <w:jc w:val="right"/>
              <w:rPr>
                <w:color w:val="000000"/>
              </w:rPr>
            </w:pPr>
            <w:r w:rsidRPr="00AE4DBA">
              <w:rPr>
                <w:color w:val="000000"/>
              </w:rPr>
              <w:t>13,214</w:t>
            </w:r>
          </w:p>
        </w:tc>
      </w:tr>
      <w:tr w:rsidR="0075744C" w:rsidRPr="00AE4DBA" w14:paraId="25F346B1" w14:textId="77777777">
        <w:trPr>
          <w:trHeight w:val="300"/>
        </w:trPr>
        <w:tc>
          <w:tcPr>
            <w:tcW w:w="2268" w:type="dxa"/>
            <w:noWrap/>
            <w:hideMark/>
          </w:tcPr>
          <w:p w14:paraId="5236C85D" w14:textId="77777777" w:rsidR="0075744C" w:rsidRPr="00AE4DBA" w:rsidRDefault="0075744C">
            <w:pPr>
              <w:spacing w:line="360" w:lineRule="auto"/>
              <w:rPr>
                <w:color w:val="000000"/>
              </w:rPr>
            </w:pPr>
            <w:r w:rsidRPr="00AE4DBA">
              <w:rPr>
                <w:color w:val="000000"/>
              </w:rPr>
              <w:t>R132A</w:t>
            </w:r>
          </w:p>
        </w:tc>
        <w:tc>
          <w:tcPr>
            <w:tcW w:w="1843" w:type="dxa"/>
          </w:tcPr>
          <w:p w14:paraId="1AB17C1E" w14:textId="77777777" w:rsidR="0075744C" w:rsidRPr="00AE4DBA" w:rsidRDefault="0075744C">
            <w:pPr>
              <w:spacing w:line="360" w:lineRule="auto"/>
              <w:jc w:val="right"/>
              <w:rPr>
                <w:color w:val="000000"/>
              </w:rPr>
            </w:pPr>
            <w:r w:rsidRPr="00AE4DBA">
              <w:rPr>
                <w:color w:val="000000"/>
              </w:rPr>
              <w:t>338</w:t>
            </w:r>
          </w:p>
        </w:tc>
      </w:tr>
      <w:tr w:rsidR="0075744C" w:rsidRPr="00AE4DBA" w14:paraId="73DF39FB" w14:textId="77777777">
        <w:trPr>
          <w:trHeight w:val="300"/>
        </w:trPr>
        <w:tc>
          <w:tcPr>
            <w:tcW w:w="2268" w:type="dxa"/>
            <w:noWrap/>
            <w:hideMark/>
          </w:tcPr>
          <w:p w14:paraId="00EBCC32" w14:textId="77777777" w:rsidR="0075744C" w:rsidRPr="00AE4DBA" w:rsidRDefault="0075744C">
            <w:pPr>
              <w:spacing w:line="360" w:lineRule="auto"/>
              <w:rPr>
                <w:color w:val="000000"/>
              </w:rPr>
            </w:pPr>
            <w:r w:rsidRPr="00AE4DBA">
              <w:rPr>
                <w:color w:val="000000"/>
              </w:rPr>
              <w:t>R170</w:t>
            </w:r>
          </w:p>
        </w:tc>
        <w:tc>
          <w:tcPr>
            <w:tcW w:w="1843" w:type="dxa"/>
          </w:tcPr>
          <w:p w14:paraId="7105501C" w14:textId="77777777" w:rsidR="0075744C" w:rsidRPr="00AE4DBA" w:rsidRDefault="0075744C">
            <w:pPr>
              <w:spacing w:line="360" w:lineRule="auto"/>
              <w:jc w:val="right"/>
              <w:rPr>
                <w:color w:val="000000"/>
              </w:rPr>
            </w:pPr>
            <w:r w:rsidRPr="00AE4DBA">
              <w:rPr>
                <w:color w:val="000000"/>
              </w:rPr>
              <w:t>10.2</w:t>
            </w:r>
          </w:p>
        </w:tc>
      </w:tr>
      <w:tr w:rsidR="0075744C" w:rsidRPr="00AE4DBA" w14:paraId="0DC66DB1" w14:textId="77777777">
        <w:trPr>
          <w:trHeight w:val="300"/>
        </w:trPr>
        <w:tc>
          <w:tcPr>
            <w:tcW w:w="2268" w:type="dxa"/>
            <w:noWrap/>
          </w:tcPr>
          <w:p w14:paraId="55C048A5" w14:textId="77777777" w:rsidR="0075744C" w:rsidRPr="00AE4DBA" w:rsidRDefault="0075744C">
            <w:pPr>
              <w:spacing w:line="360" w:lineRule="auto"/>
              <w:rPr>
                <w:color w:val="000000"/>
              </w:rPr>
            </w:pPr>
            <w:r w:rsidRPr="00AE4DBA">
              <w:rPr>
                <w:color w:val="000000"/>
              </w:rPr>
              <w:t>R1324</w:t>
            </w:r>
          </w:p>
        </w:tc>
        <w:tc>
          <w:tcPr>
            <w:tcW w:w="1843" w:type="dxa"/>
          </w:tcPr>
          <w:p w14:paraId="4CAFC286" w14:textId="77777777" w:rsidR="0075744C" w:rsidRPr="00AE4DBA" w:rsidRDefault="0075744C">
            <w:pPr>
              <w:spacing w:line="360" w:lineRule="auto"/>
              <w:jc w:val="right"/>
              <w:rPr>
                <w:color w:val="000000"/>
              </w:rPr>
            </w:pPr>
            <w:r w:rsidRPr="00AE4DBA">
              <w:rPr>
                <w:color w:val="000000"/>
              </w:rPr>
              <w:t>338</w:t>
            </w:r>
          </w:p>
        </w:tc>
      </w:tr>
      <w:tr w:rsidR="0075744C" w:rsidRPr="00AE4DBA" w14:paraId="61E5CC30" w14:textId="77777777">
        <w:trPr>
          <w:trHeight w:val="300"/>
        </w:trPr>
        <w:tc>
          <w:tcPr>
            <w:tcW w:w="2268" w:type="dxa"/>
            <w:noWrap/>
          </w:tcPr>
          <w:p w14:paraId="106ADF11" w14:textId="77777777" w:rsidR="0075744C" w:rsidRPr="00AE4DBA" w:rsidRDefault="0075744C">
            <w:pPr>
              <w:spacing w:line="360" w:lineRule="auto"/>
              <w:rPr>
                <w:color w:val="000000"/>
              </w:rPr>
            </w:pPr>
            <w:r w:rsidRPr="00AE4DBA">
              <w:rPr>
                <w:color w:val="000000"/>
              </w:rPr>
              <w:t>R438A</w:t>
            </w:r>
          </w:p>
        </w:tc>
        <w:tc>
          <w:tcPr>
            <w:tcW w:w="1843" w:type="dxa"/>
          </w:tcPr>
          <w:p w14:paraId="6EFC58C1" w14:textId="77777777" w:rsidR="0075744C" w:rsidRPr="00AE4DBA" w:rsidRDefault="0075744C">
            <w:pPr>
              <w:spacing w:line="360" w:lineRule="auto"/>
              <w:jc w:val="right"/>
              <w:rPr>
                <w:color w:val="000000"/>
              </w:rPr>
            </w:pPr>
            <w:r w:rsidRPr="00AE4DBA">
              <w:rPr>
                <w:color w:val="000000"/>
              </w:rPr>
              <w:t>2,265</w:t>
            </w:r>
          </w:p>
        </w:tc>
      </w:tr>
      <w:tr w:rsidR="0075744C" w:rsidRPr="00AE4DBA" w14:paraId="1D1681C9" w14:textId="77777777">
        <w:trPr>
          <w:trHeight w:val="300"/>
        </w:trPr>
        <w:tc>
          <w:tcPr>
            <w:tcW w:w="2268" w:type="dxa"/>
            <w:noWrap/>
          </w:tcPr>
          <w:p w14:paraId="47D732D1" w14:textId="77777777" w:rsidR="0075744C" w:rsidRPr="00AE4DBA" w:rsidRDefault="0075744C">
            <w:pPr>
              <w:spacing w:line="360" w:lineRule="auto"/>
              <w:rPr>
                <w:color w:val="000000"/>
              </w:rPr>
            </w:pPr>
            <w:r w:rsidRPr="00AE4DBA">
              <w:rPr>
                <w:color w:val="000000"/>
              </w:rPr>
              <w:t>R455A</w:t>
            </w:r>
          </w:p>
        </w:tc>
        <w:tc>
          <w:tcPr>
            <w:tcW w:w="1843" w:type="dxa"/>
          </w:tcPr>
          <w:p w14:paraId="25C54C8D" w14:textId="77777777" w:rsidR="0075744C" w:rsidRPr="00AE4DBA" w:rsidRDefault="0075744C">
            <w:pPr>
              <w:spacing w:line="360" w:lineRule="auto"/>
              <w:jc w:val="right"/>
              <w:rPr>
                <w:color w:val="000000"/>
              </w:rPr>
            </w:pPr>
            <w:r w:rsidRPr="00AE4DBA">
              <w:rPr>
                <w:color w:val="000000"/>
              </w:rPr>
              <w:t>146</w:t>
            </w:r>
          </w:p>
        </w:tc>
      </w:tr>
      <w:tr w:rsidR="0075744C" w:rsidRPr="00AE4DBA" w14:paraId="6A3BA76C" w14:textId="77777777">
        <w:trPr>
          <w:trHeight w:val="300"/>
        </w:trPr>
        <w:tc>
          <w:tcPr>
            <w:tcW w:w="2268" w:type="dxa"/>
            <w:noWrap/>
          </w:tcPr>
          <w:p w14:paraId="0B23D220" w14:textId="77777777" w:rsidR="0075744C" w:rsidRPr="00AE4DBA" w:rsidRDefault="0075744C">
            <w:pPr>
              <w:spacing w:line="360" w:lineRule="auto"/>
              <w:rPr>
                <w:color w:val="000000"/>
              </w:rPr>
            </w:pPr>
          </w:p>
        </w:tc>
        <w:tc>
          <w:tcPr>
            <w:tcW w:w="1843" w:type="dxa"/>
          </w:tcPr>
          <w:p w14:paraId="7840D516" w14:textId="77777777" w:rsidR="0075744C" w:rsidRPr="00AE4DBA" w:rsidRDefault="0075744C">
            <w:pPr>
              <w:spacing w:line="360" w:lineRule="auto"/>
              <w:jc w:val="right"/>
              <w:rPr>
                <w:color w:val="000000"/>
              </w:rPr>
            </w:pPr>
          </w:p>
        </w:tc>
      </w:tr>
    </w:tbl>
    <w:bookmarkEnd w:id="74"/>
    <w:bookmarkEnd w:id="75"/>
    <w:p w14:paraId="6B8C2E90" w14:textId="3F230080" w:rsidR="0075744C" w:rsidRPr="00AE4DBA" w:rsidRDefault="0075744C" w:rsidP="0075744C">
      <w:pPr>
        <w:pStyle w:val="BodyText1"/>
        <w:rPr>
          <w:lang w:val="en-NZ"/>
        </w:rPr>
      </w:pPr>
      <w:r w:rsidRPr="00AE4DBA">
        <w:rPr>
          <w:lang w:val="en-NZ"/>
        </w:rPr>
        <w:t xml:space="preserve">Appendix F lists the data sources, collection methods, uncertainties and assumptions for each emissions source and factor. </w:t>
      </w:r>
      <w:r w:rsidR="00AC692D" w:rsidRPr="00AE4DBA">
        <w:rPr>
          <w:lang w:val="en-NZ"/>
        </w:rPr>
        <w:t>Health NZ</w:t>
      </w:r>
      <w:r w:rsidRPr="00AE4DBA">
        <w:rPr>
          <w:lang w:val="en-NZ"/>
        </w:rPr>
        <w:t xml:space="preserve"> utilises the ‘Accelerate to Zero’ emission reporting tool, developed by Deloitte, for emissions data management, monitoring, reporting and planning.</w:t>
      </w:r>
      <w:bookmarkStart w:id="76" w:name="_Toc141039121"/>
      <w:bookmarkEnd w:id="76"/>
    </w:p>
    <w:p w14:paraId="7E8920E0" w14:textId="5D0CE422" w:rsidR="006A5D29" w:rsidRPr="00AE4DBA" w:rsidRDefault="76EB1B75" w:rsidP="00DB7ABB">
      <w:pPr>
        <w:pStyle w:val="Tableheading-reverse"/>
        <w:ind w:firstLine="720"/>
      </w:pPr>
      <w:bookmarkStart w:id="77" w:name="_Toc176345133"/>
      <w:r>
        <w:t xml:space="preserve">1.10 </w:t>
      </w:r>
      <w:r w:rsidR="00DB7ABB">
        <w:tab/>
      </w:r>
      <w:r w:rsidR="00DB7ABB">
        <w:tab/>
      </w:r>
      <w:r w:rsidR="006A5D29" w:rsidRPr="5B7F9A97">
        <w:t>Engagement and communication</w:t>
      </w:r>
      <w:bookmarkEnd w:id="77"/>
    </w:p>
    <w:p w14:paraId="6DBF2476" w14:textId="6E5ECB8D" w:rsidR="006A5D29" w:rsidRPr="00AE4DBA" w:rsidRDefault="006A5D29" w:rsidP="006A5D29">
      <w:pPr>
        <w:pStyle w:val="BodyText1"/>
        <w:rPr>
          <w:rStyle w:val="ui-provider"/>
          <w:lang w:val="en-NZ"/>
        </w:rPr>
      </w:pPr>
      <w:r w:rsidRPr="00AE4DBA">
        <w:rPr>
          <w:rStyle w:val="ui-provider"/>
          <w:lang w:val="en-NZ"/>
        </w:rPr>
        <w:t>Health NZ is a</w:t>
      </w:r>
      <w:r w:rsidRPr="00AE4DBA" w:rsidDel="004C1DAF">
        <w:rPr>
          <w:rStyle w:val="ui-provider"/>
          <w:lang w:val="en-NZ"/>
        </w:rPr>
        <w:t xml:space="preserve"> </w:t>
      </w:r>
      <w:r w:rsidRPr="00AE4DBA">
        <w:rPr>
          <w:rStyle w:val="ui-provider"/>
          <w:lang w:val="en-NZ"/>
        </w:rPr>
        <w:t>member of the Sustainable Business Council</w:t>
      </w:r>
      <w:r w:rsidRPr="00AE4DBA">
        <w:rPr>
          <w:rStyle w:val="FootnoteReference"/>
          <w:lang w:val="en-NZ"/>
        </w:rPr>
        <w:footnoteReference w:id="7"/>
      </w:r>
      <w:r w:rsidRPr="00AE4DBA">
        <w:rPr>
          <w:rStyle w:val="ui-provider"/>
          <w:lang w:val="en-NZ"/>
        </w:rPr>
        <w:t xml:space="preserve"> and the Global Green and Healthy Hospitals</w:t>
      </w:r>
      <w:r w:rsidRPr="00AE4DBA">
        <w:rPr>
          <w:rStyle w:val="FootnoteReference"/>
          <w:lang w:val="en-NZ"/>
        </w:rPr>
        <w:footnoteReference w:id="8"/>
      </w:r>
      <w:r w:rsidRPr="00AE4DBA">
        <w:rPr>
          <w:rStyle w:val="ui-provider"/>
          <w:lang w:val="en-NZ"/>
        </w:rPr>
        <w:t xml:space="preserve"> international network, as well as being connected across the motu through engagement with networks such as Sustainable Healthcare Aotearoa</w:t>
      </w:r>
      <w:r w:rsidRPr="00AE4DBA">
        <w:rPr>
          <w:rStyle w:val="FootnoteReference"/>
          <w:lang w:val="en-NZ"/>
        </w:rPr>
        <w:footnoteReference w:id="9"/>
      </w:r>
      <w:r w:rsidRPr="00AE4DBA">
        <w:rPr>
          <w:rStyle w:val="ui-provider"/>
          <w:lang w:val="en-NZ"/>
        </w:rPr>
        <w:t xml:space="preserve">. </w:t>
      </w:r>
    </w:p>
    <w:p w14:paraId="58E6C311" w14:textId="77777777" w:rsidR="006A5D29" w:rsidRPr="00AE4DBA" w:rsidRDefault="006A5D29" w:rsidP="006A5D29">
      <w:pPr>
        <w:pStyle w:val="BodyText1"/>
        <w:rPr>
          <w:rStyle w:val="ui-provider"/>
          <w:lang w:val="en-NZ"/>
        </w:rPr>
      </w:pPr>
      <w:r w:rsidRPr="00AE4DBA">
        <w:rPr>
          <w:rStyle w:val="ui-provider"/>
          <w:lang w:val="en-NZ"/>
        </w:rPr>
        <w:t xml:space="preserve">Health NZ’s Sustainability Advisory Panel, made up from internal and external sustainability and healthcare sector members, are regularly updated on progress in relation to emissions reporting and emissions reduction. The Panel provides challenge and enablement of Health NZ’s sustainability work programme; inclusive of the annual Emissions Inventory Report., </w:t>
      </w:r>
    </w:p>
    <w:p w14:paraId="27D65B4A" w14:textId="088CAEAF" w:rsidR="006A5D29" w:rsidRPr="00AE4DBA" w:rsidRDefault="006A5D29" w:rsidP="006A5D29">
      <w:pPr>
        <w:pStyle w:val="BodyText1"/>
        <w:rPr>
          <w:rStyle w:val="ui-provider"/>
          <w:lang w:val="en-NZ"/>
        </w:rPr>
      </w:pPr>
      <w:r w:rsidRPr="00AE4DBA">
        <w:rPr>
          <w:rStyle w:val="ui-provider"/>
          <w:lang w:val="en-NZ"/>
        </w:rPr>
        <w:lastRenderedPageBreak/>
        <w:t xml:space="preserve">Health NZ has an internal sustainability network of over </w:t>
      </w:r>
      <w:r w:rsidR="00984389" w:rsidRPr="00AE4DBA">
        <w:rPr>
          <w:rStyle w:val="ui-provider"/>
          <w:lang w:val="en-NZ"/>
        </w:rPr>
        <w:t>350</w:t>
      </w:r>
      <w:r w:rsidRPr="00AE4DBA">
        <w:rPr>
          <w:rStyle w:val="ui-provider"/>
          <w:lang w:val="en-NZ"/>
        </w:rPr>
        <w:t xml:space="preserve"> </w:t>
      </w:r>
      <w:proofErr w:type="spellStart"/>
      <w:r w:rsidRPr="00AE4DBA">
        <w:rPr>
          <w:rStyle w:val="ui-provider"/>
          <w:lang w:val="en-NZ"/>
        </w:rPr>
        <w:t>kaimahi</w:t>
      </w:r>
      <w:proofErr w:type="spellEnd"/>
      <w:r w:rsidRPr="00AE4DBA">
        <w:rPr>
          <w:rStyle w:val="ui-provider"/>
          <w:lang w:val="en-NZ"/>
        </w:rPr>
        <w:t>. This network is updated via webinar on a bi-monthly basis of progress against the interim work programme and is regularly invited to share its issues and ideas.</w:t>
      </w:r>
    </w:p>
    <w:p w14:paraId="6578DFE0" w14:textId="77777777" w:rsidR="006A5D29" w:rsidRPr="00AE4DBA" w:rsidRDefault="006A5D29" w:rsidP="006A5D29">
      <w:pPr>
        <w:pStyle w:val="BodyText1"/>
        <w:rPr>
          <w:color w:val="auto"/>
          <w:sz w:val="28"/>
          <w:szCs w:val="28"/>
          <w:lang w:val="en-NZ"/>
        </w:rPr>
      </w:pPr>
      <w:r w:rsidRPr="00AE4DBA">
        <w:rPr>
          <w:rStyle w:val="ui-provider"/>
          <w:lang w:val="en-NZ"/>
        </w:rPr>
        <w:t xml:space="preserve">Health NZ is also a member of </w:t>
      </w:r>
      <w:proofErr w:type="spellStart"/>
      <w:r w:rsidRPr="00AE4DBA">
        <w:rPr>
          <w:rStyle w:val="ui-provider"/>
          <w:lang w:val="en-NZ"/>
        </w:rPr>
        <w:t>WasteMINZ</w:t>
      </w:r>
      <w:proofErr w:type="spellEnd"/>
      <w:r w:rsidRPr="00AE4DBA">
        <w:rPr>
          <w:rStyle w:val="FootnoteReference"/>
          <w:lang w:val="en-NZ"/>
        </w:rPr>
        <w:footnoteReference w:id="10"/>
      </w:r>
      <w:r w:rsidRPr="00AE4DBA">
        <w:rPr>
          <w:rStyle w:val="ui-provider"/>
          <w:lang w:val="en-NZ"/>
        </w:rPr>
        <w:t xml:space="preserve">. </w:t>
      </w:r>
      <w:r w:rsidRPr="00AE4DBA">
        <w:rPr>
          <w:lang w:val="en-NZ"/>
        </w:rPr>
        <w:t xml:space="preserve">As a </w:t>
      </w:r>
      <w:proofErr w:type="spellStart"/>
      <w:r w:rsidRPr="00AE4DBA">
        <w:rPr>
          <w:lang w:val="en-NZ"/>
        </w:rPr>
        <w:t>WasteMINZ</w:t>
      </w:r>
      <w:proofErr w:type="spellEnd"/>
      <w:r w:rsidRPr="00AE4DBA">
        <w:rPr>
          <w:lang w:val="en-NZ"/>
        </w:rPr>
        <w:t xml:space="preserve"> member, Health NZ can actively support discussions and initiatives that deliver circular economy outcomes, and waste minimisation benefits, and promote waste education and awareness.</w:t>
      </w:r>
    </w:p>
    <w:p w14:paraId="693184D7" w14:textId="2A838D76" w:rsidR="006A5D29" w:rsidRPr="00AE4DBA" w:rsidRDefault="3601A98E" w:rsidP="00A3562A">
      <w:pPr>
        <w:pStyle w:val="Tableheading-reverse"/>
        <w:ind w:left="142" w:firstLine="284"/>
      </w:pPr>
      <w:r w:rsidRPr="5B7F9A97">
        <w:t xml:space="preserve"> </w:t>
      </w:r>
      <w:r w:rsidR="00DB7ABB">
        <w:tab/>
      </w:r>
      <w:bookmarkStart w:id="78" w:name="_Toc176345134"/>
      <w:r w:rsidR="34384384">
        <w:t>1.11.</w:t>
      </w:r>
      <w:r w:rsidR="006A5D29">
        <w:t xml:space="preserve"> </w:t>
      </w:r>
      <w:r w:rsidR="00DB7ABB">
        <w:tab/>
      </w:r>
      <w:r w:rsidR="006A5D29" w:rsidRPr="00AE4DBA">
        <w:t>Continuous improvement</w:t>
      </w:r>
      <w:bookmarkEnd w:id="78"/>
    </w:p>
    <w:p w14:paraId="2BC21E99" w14:textId="77777777" w:rsidR="006A5D29" w:rsidRPr="00AE4DBA" w:rsidRDefault="006A5D29" w:rsidP="006A5D29">
      <w:pPr>
        <w:pStyle w:val="BodyText1"/>
        <w:rPr>
          <w:lang w:val="en-NZ"/>
        </w:rPr>
      </w:pPr>
      <w:r w:rsidRPr="00AE4DBA">
        <w:rPr>
          <w:lang w:val="en-NZ"/>
        </w:rPr>
        <w:t>Health NZ is committed to continuously improving its GHG inventory processes. This includes improving data collection processes, reporting practices and stakeholder engagement. Specific actions taken during FY2023/24 include:</w:t>
      </w:r>
    </w:p>
    <w:p w14:paraId="511C9C09" w14:textId="77777777" w:rsidR="006A5D29" w:rsidRPr="00AE4DBA" w:rsidRDefault="3601A98E" w:rsidP="006A5D29">
      <w:pPr>
        <w:pStyle w:val="BodyText1"/>
        <w:numPr>
          <w:ilvl w:val="0"/>
          <w:numId w:val="19"/>
        </w:numPr>
        <w:rPr>
          <w:lang w:val="en-NZ"/>
        </w:rPr>
      </w:pPr>
      <w:r w:rsidRPr="2864371F">
        <w:rPr>
          <w:lang w:val="en-NZ"/>
        </w:rPr>
        <w:t>Supplied data improvements: working with suppliers to produce monthly reports from their finance systems instead of needing to rely on invoices for data. For instance, working with Air New Zealand to develop a report in their customer portal system that detail flights taken by staff and patients which have been purchased directly from them.</w:t>
      </w:r>
    </w:p>
    <w:p w14:paraId="519AF7E9" w14:textId="77777777" w:rsidR="006A5D29" w:rsidRPr="00AE4DBA" w:rsidRDefault="006A5D29" w:rsidP="006A5D29">
      <w:pPr>
        <w:pStyle w:val="BodyText1"/>
        <w:numPr>
          <w:ilvl w:val="0"/>
          <w:numId w:val="19"/>
        </w:numPr>
        <w:rPr>
          <w:lang w:val="en-NZ"/>
        </w:rPr>
      </w:pPr>
      <w:r w:rsidRPr="00AE4DBA">
        <w:rPr>
          <w:lang w:val="en-NZ"/>
        </w:rPr>
        <w:t xml:space="preserve">Emissions factor revisions: emissions factors and calculations are periodically reviewed to ensure that they are up to date with the latest guidance. Emissions factors were reviewed and changed following the release of </w:t>
      </w:r>
      <w:proofErr w:type="spellStart"/>
      <w:r w:rsidRPr="00AE4DBA">
        <w:rPr>
          <w:lang w:val="en-NZ"/>
        </w:rPr>
        <w:t>MfE’s</w:t>
      </w:r>
      <w:proofErr w:type="spellEnd"/>
      <w:r w:rsidRPr="00AE4DBA">
        <w:rPr>
          <w:lang w:val="en-NZ"/>
        </w:rPr>
        <w:t xml:space="preserve"> Measuring Emissions Guidance in June 2024.</w:t>
      </w:r>
    </w:p>
    <w:p w14:paraId="41257C09" w14:textId="77777777" w:rsidR="006A5D29" w:rsidRPr="00AE4DBA" w:rsidRDefault="006A5D29" w:rsidP="006A5D29">
      <w:pPr>
        <w:pStyle w:val="BodyText1"/>
        <w:numPr>
          <w:ilvl w:val="0"/>
          <w:numId w:val="19"/>
        </w:numPr>
        <w:rPr>
          <w:lang w:val="en-NZ"/>
        </w:rPr>
      </w:pPr>
      <w:r w:rsidRPr="00AE4DBA">
        <w:rPr>
          <w:lang w:val="en-NZ"/>
        </w:rPr>
        <w:t>Data accuracy: we are continuously developing processes for ensuring the data we received is checked internally before loading into our emissions reporting tool. For some datasets, specifically those that relate to Category 1 and 2 sources, this happens monthly.</w:t>
      </w:r>
    </w:p>
    <w:p w14:paraId="56144FAB" w14:textId="77777777" w:rsidR="006A5D29" w:rsidRPr="00AE4DBA" w:rsidRDefault="006A5D29" w:rsidP="006A5D29">
      <w:pPr>
        <w:pStyle w:val="BodyText1"/>
        <w:numPr>
          <w:ilvl w:val="0"/>
          <w:numId w:val="19"/>
        </w:numPr>
        <w:rPr>
          <w:lang w:val="en-NZ"/>
        </w:rPr>
      </w:pPr>
      <w:r w:rsidRPr="00AE4DBA">
        <w:rPr>
          <w:lang w:val="en-NZ"/>
        </w:rPr>
        <w:t>Quality control: significant data sets received and entered by team members is peer- reviewed. Updates and corrections are made timeously when required.</w:t>
      </w:r>
    </w:p>
    <w:p w14:paraId="64412A43" w14:textId="77777777" w:rsidR="006A5D29" w:rsidRPr="00AE4DBA" w:rsidRDefault="006A5D29" w:rsidP="006A5D29">
      <w:pPr>
        <w:pStyle w:val="BodyText1"/>
        <w:numPr>
          <w:ilvl w:val="0"/>
          <w:numId w:val="19"/>
        </w:numPr>
        <w:rPr>
          <w:lang w:val="en-NZ"/>
        </w:rPr>
      </w:pPr>
      <w:r w:rsidRPr="00AE4DBA">
        <w:rPr>
          <w:lang w:val="en-NZ"/>
        </w:rPr>
        <w:t xml:space="preserve">Stakeholder engagement: in addition to reporting on and publishing data from main emissions sources in Health NZ’s quarterly reports, inventory data is increasingly being used internally to communicate progress in sustainability actions and to guide planning for future activities.   </w:t>
      </w:r>
    </w:p>
    <w:p w14:paraId="32FF2FB2" w14:textId="77777777" w:rsidR="006A5D29" w:rsidRPr="00AE4DBA" w:rsidRDefault="006A5D29" w:rsidP="006A5D29">
      <w:pPr>
        <w:pStyle w:val="BodyText1"/>
        <w:rPr>
          <w:lang w:val="en-NZ"/>
        </w:rPr>
      </w:pPr>
      <w:r w:rsidRPr="00AE4DBA">
        <w:rPr>
          <w:lang w:val="en-NZ"/>
        </w:rPr>
        <w:t>While good progress has been made in the last year, improvements to our systems and processes for collecting, calculating and then reporting on our GHG emissions is ongoing. Immediate actions in this regard include:</w:t>
      </w:r>
    </w:p>
    <w:p w14:paraId="02D593F6" w14:textId="1D7176E1" w:rsidR="006A5D29" w:rsidRPr="00AE4DBA" w:rsidRDefault="00816D56" w:rsidP="006A5D29">
      <w:pPr>
        <w:pStyle w:val="BodyText1"/>
        <w:numPr>
          <w:ilvl w:val="0"/>
          <w:numId w:val="20"/>
        </w:numPr>
        <w:rPr>
          <w:lang w:val="en-NZ"/>
        </w:rPr>
      </w:pPr>
      <w:r>
        <w:rPr>
          <w:lang w:val="en-NZ"/>
        </w:rPr>
        <w:t>Updates</w:t>
      </w:r>
      <w:r w:rsidR="45F75E2F" w:rsidRPr="2864371F">
        <w:rPr>
          <w:lang w:val="en-NZ"/>
        </w:rPr>
        <w:t xml:space="preserve"> to the </w:t>
      </w:r>
      <w:r w:rsidR="1BAD6AE8" w:rsidRPr="2864371F">
        <w:rPr>
          <w:lang w:val="en-NZ"/>
        </w:rPr>
        <w:t>Health New Zealand GHG Emissions Standard Operating Procedure (SOP)</w:t>
      </w:r>
      <w:r w:rsidR="002A2E26">
        <w:rPr>
          <w:lang w:val="en-NZ"/>
        </w:rPr>
        <w:t xml:space="preserve"> will be made to account for</w:t>
      </w:r>
      <w:r w:rsidR="514D9F55" w:rsidRPr="2864371F">
        <w:rPr>
          <w:lang w:val="en-NZ"/>
        </w:rPr>
        <w:t xml:space="preserve"> emission</w:t>
      </w:r>
      <w:r w:rsidR="002A2E26">
        <w:rPr>
          <w:lang w:val="en-NZ"/>
        </w:rPr>
        <w:t xml:space="preserve"> </w:t>
      </w:r>
      <w:r w:rsidR="514D9F55" w:rsidRPr="2864371F">
        <w:rPr>
          <w:lang w:val="en-NZ"/>
        </w:rPr>
        <w:t>source</w:t>
      </w:r>
      <w:r w:rsidR="002A2E26">
        <w:rPr>
          <w:lang w:val="en-NZ"/>
        </w:rPr>
        <w:t xml:space="preserve"> changes</w:t>
      </w:r>
      <w:r w:rsidR="514D9F55" w:rsidRPr="2864371F">
        <w:rPr>
          <w:lang w:val="en-NZ"/>
        </w:rPr>
        <w:t xml:space="preserve"> and</w:t>
      </w:r>
      <w:r w:rsidR="002A2E26">
        <w:rPr>
          <w:lang w:val="en-NZ"/>
        </w:rPr>
        <w:t xml:space="preserve"> data</w:t>
      </w:r>
      <w:r w:rsidR="514D9F55" w:rsidRPr="2864371F">
        <w:rPr>
          <w:lang w:val="en-NZ"/>
        </w:rPr>
        <w:t xml:space="preserve"> management</w:t>
      </w:r>
      <w:r w:rsidR="002A2E26">
        <w:rPr>
          <w:lang w:val="en-NZ"/>
        </w:rPr>
        <w:t xml:space="preserve"> processes are </w:t>
      </w:r>
      <w:r w:rsidR="002C164D">
        <w:rPr>
          <w:lang w:val="en-NZ"/>
        </w:rPr>
        <w:t xml:space="preserve">continually </w:t>
      </w:r>
      <w:r w:rsidR="002A2E26">
        <w:rPr>
          <w:lang w:val="en-NZ"/>
        </w:rPr>
        <w:t>improved</w:t>
      </w:r>
      <w:r w:rsidR="2F0D6844" w:rsidRPr="2864371F">
        <w:rPr>
          <w:lang w:val="en-NZ"/>
        </w:rPr>
        <w:t xml:space="preserve">. This SOP will </w:t>
      </w:r>
      <w:r w:rsidR="76E5DCF0" w:rsidRPr="2864371F">
        <w:rPr>
          <w:lang w:val="en-NZ"/>
        </w:rPr>
        <w:t xml:space="preserve">continue to </w:t>
      </w:r>
      <w:r w:rsidR="2F0D6844" w:rsidRPr="2864371F">
        <w:rPr>
          <w:lang w:val="en-NZ"/>
        </w:rPr>
        <w:t>detail the approaches to data collection, processing and reporting for each emissions source. The purpose of this SOP is to ensure accuracy, consistency and continuity in Health NZ’s approach to GHG emissions reporting over time.</w:t>
      </w:r>
    </w:p>
    <w:p w14:paraId="11F5D544" w14:textId="09A1C5D9" w:rsidR="00A06312" w:rsidRPr="00AE4DBA" w:rsidRDefault="00A06312" w:rsidP="006A5D29">
      <w:pPr>
        <w:pStyle w:val="BodyText1"/>
        <w:numPr>
          <w:ilvl w:val="0"/>
          <w:numId w:val="20"/>
        </w:numPr>
        <w:rPr>
          <w:lang w:val="en-NZ"/>
        </w:rPr>
      </w:pPr>
      <w:r w:rsidRPr="00AE4DBA">
        <w:rPr>
          <w:lang w:val="en-NZ"/>
        </w:rPr>
        <w:lastRenderedPageBreak/>
        <w:t xml:space="preserve">Implement a process for routine peer review of data </w:t>
      </w:r>
      <w:proofErr w:type="gramStart"/>
      <w:r w:rsidRPr="00AE4DBA">
        <w:rPr>
          <w:lang w:val="en-NZ"/>
        </w:rPr>
        <w:t xml:space="preserve">entered </w:t>
      </w:r>
      <w:r w:rsidR="00D8661D" w:rsidRPr="7C571EA4">
        <w:rPr>
          <w:lang w:val="en-NZ"/>
        </w:rPr>
        <w:t>into</w:t>
      </w:r>
      <w:proofErr w:type="gramEnd"/>
      <w:r w:rsidRPr="00AE4DBA">
        <w:rPr>
          <w:lang w:val="en-NZ"/>
        </w:rPr>
        <w:t xml:space="preserve"> Health New Zealand’s emissions source templates and processing in its GHG Emissions reporting tool.</w:t>
      </w:r>
    </w:p>
    <w:p w14:paraId="74355222" w14:textId="16402A58" w:rsidR="00A06312" w:rsidRPr="00AE4DBA" w:rsidRDefault="00A06312" w:rsidP="006A5D29">
      <w:pPr>
        <w:pStyle w:val="BodyText1"/>
        <w:numPr>
          <w:ilvl w:val="0"/>
          <w:numId w:val="20"/>
        </w:numPr>
        <w:rPr>
          <w:lang w:val="en-NZ"/>
        </w:rPr>
      </w:pPr>
      <w:r w:rsidRPr="00AE4DBA">
        <w:rPr>
          <w:lang w:val="en-NZ"/>
        </w:rPr>
        <w:t>Work closely with district stakeholders and their respective line-function structures to develop an approach that ensures the complete, accurate and timely submission of district level data. This data includes, amongst others: refrigerant liabilities and top-ups, stationary diesel liabilities and use, and water consumption.</w:t>
      </w:r>
    </w:p>
    <w:p w14:paraId="569A051B" w14:textId="77777777" w:rsidR="006A5D29" w:rsidRPr="00AE4DBA" w:rsidRDefault="006A5D29" w:rsidP="002C164D">
      <w:pPr>
        <w:pStyle w:val="Tableheading-reverse"/>
        <w:numPr>
          <w:ilvl w:val="1"/>
          <w:numId w:val="22"/>
        </w:numPr>
      </w:pPr>
      <w:bookmarkStart w:id="79" w:name="_Toc176345135"/>
      <w:r w:rsidRPr="5B7F9A97">
        <w:t>Monitoring and reporting</w:t>
      </w:r>
      <w:bookmarkEnd w:id="79"/>
    </w:p>
    <w:p w14:paraId="6DC2B440" w14:textId="77777777" w:rsidR="006A5D29" w:rsidRPr="00AE4DBA" w:rsidRDefault="006A5D29" w:rsidP="006A5D29">
      <w:pPr>
        <w:pStyle w:val="BodyText1"/>
        <w:rPr>
          <w:lang w:val="en-NZ"/>
        </w:rPr>
      </w:pPr>
      <w:r w:rsidRPr="00AE4DBA">
        <w:rPr>
          <w:lang w:val="en-NZ"/>
        </w:rPr>
        <w:t xml:space="preserve">Health NZ’s sustainability reporting aligns with CNGP guidance, Aotearoa New Zealand Climate Standards, ISO 14064-1:2018 and the Greenhouse Gas Protocol, and is verified by </w:t>
      </w:r>
      <w:proofErr w:type="spellStart"/>
      <w:r w:rsidRPr="00AE4DBA">
        <w:rPr>
          <w:lang w:val="en-NZ"/>
        </w:rPr>
        <w:t>Toitū</w:t>
      </w:r>
      <w:proofErr w:type="spellEnd"/>
      <w:r w:rsidRPr="00AE4DBA">
        <w:rPr>
          <w:lang w:val="en-NZ"/>
        </w:rPr>
        <w:t xml:space="preserve"> </w:t>
      </w:r>
      <w:proofErr w:type="spellStart"/>
      <w:r w:rsidRPr="00AE4DBA">
        <w:rPr>
          <w:lang w:val="en-NZ"/>
        </w:rPr>
        <w:t>Envirocare</w:t>
      </w:r>
      <w:proofErr w:type="spellEnd"/>
      <w:r w:rsidRPr="00AE4DBA">
        <w:rPr>
          <w:lang w:val="en-NZ"/>
        </w:rPr>
        <w:t>.</w:t>
      </w:r>
    </w:p>
    <w:p w14:paraId="6189EB1E" w14:textId="77777777" w:rsidR="006A5D29" w:rsidRPr="00AE4DBA" w:rsidRDefault="006A5D29" w:rsidP="006A5D29">
      <w:pPr>
        <w:pStyle w:val="BodyText1"/>
        <w:rPr>
          <w:lang w:val="en-NZ"/>
        </w:rPr>
      </w:pPr>
      <w:r w:rsidRPr="00AE4DBA">
        <w:rPr>
          <w:lang w:val="en-NZ"/>
        </w:rPr>
        <w:t>This report covers Health NZ’s second inventory following our baseline year FY2022/23. It is the first to establish how we are progressing toward targets detailed in our Emissions Reduction Plan (ERP).</w:t>
      </w:r>
    </w:p>
    <w:p w14:paraId="030DBF16" w14:textId="05E70E78" w:rsidR="006A5D29" w:rsidRPr="00AE4DBA" w:rsidRDefault="006A5D29" w:rsidP="006A5D29">
      <w:pPr>
        <w:pStyle w:val="BodyText1"/>
        <w:rPr>
          <w:lang w:val="en-NZ"/>
        </w:rPr>
      </w:pPr>
      <w:r w:rsidRPr="00AE4DBA">
        <w:rPr>
          <w:lang w:val="en-NZ"/>
        </w:rPr>
        <w:t xml:space="preserve">Health NZ also publishes quarterly Sustainability Reports, which detail in-year trends </w:t>
      </w:r>
      <w:r w:rsidR="00A2404F">
        <w:rPr>
          <w:lang w:val="en-NZ"/>
        </w:rPr>
        <w:t>of</w:t>
      </w:r>
      <w:r w:rsidR="00A2404F" w:rsidRPr="00AE4DBA">
        <w:rPr>
          <w:lang w:val="en-NZ"/>
        </w:rPr>
        <w:t xml:space="preserve"> </w:t>
      </w:r>
      <w:r w:rsidRPr="00AE4DBA">
        <w:rPr>
          <w:lang w:val="en-NZ"/>
        </w:rPr>
        <w:t>key emissions sources like natural gas, electricity, fleet fuels and waste</w:t>
      </w:r>
    </w:p>
    <w:p w14:paraId="18735007" w14:textId="77777777" w:rsidR="0075744C" w:rsidRPr="00AE4DBA" w:rsidRDefault="0075744C" w:rsidP="7C571EA4">
      <w:pPr>
        <w:pStyle w:val="Tableheading-reverse"/>
        <w:numPr>
          <w:ilvl w:val="1"/>
          <w:numId w:val="22"/>
        </w:numPr>
      </w:pPr>
      <w:bookmarkStart w:id="80" w:name="_Toc176345136"/>
      <w:r w:rsidRPr="00AE4DBA">
        <w:t>Disclosure</w:t>
      </w:r>
      <w:bookmarkEnd w:id="80"/>
    </w:p>
    <w:p w14:paraId="1DF1A83D" w14:textId="520284F6" w:rsidR="31B2FFA8" w:rsidRPr="00AE4DBA" w:rsidRDefault="31B2FFA8" w:rsidP="59B5A364">
      <w:pPr>
        <w:pStyle w:val="BodyText1"/>
        <w:rPr>
          <w:lang w:val="en-NZ"/>
        </w:rPr>
      </w:pPr>
      <w:r w:rsidRPr="00AE4DBA">
        <w:rPr>
          <w:lang w:val="en-NZ"/>
        </w:rPr>
        <w:t xml:space="preserve">The GHG inventory has been third-party verified by </w:t>
      </w:r>
      <w:proofErr w:type="spellStart"/>
      <w:r w:rsidRPr="00AE4DBA">
        <w:rPr>
          <w:lang w:val="en-NZ"/>
        </w:rPr>
        <w:t>Toitū</w:t>
      </w:r>
      <w:proofErr w:type="spellEnd"/>
      <w:r w:rsidRPr="00AE4DBA">
        <w:rPr>
          <w:lang w:val="en-NZ"/>
        </w:rPr>
        <w:t xml:space="preserve"> according to ISO 14064-1:2018. </w:t>
      </w:r>
    </w:p>
    <w:p w14:paraId="3EEFDCE9" w14:textId="6A84BCFB" w:rsidR="31B2FFA8" w:rsidRPr="00AE4DBA" w:rsidRDefault="31B2FFA8" w:rsidP="59B5A364">
      <w:pPr>
        <w:pStyle w:val="BodyText1"/>
        <w:rPr>
          <w:lang w:val="en-NZ"/>
        </w:rPr>
      </w:pPr>
      <w:r w:rsidRPr="00AE4DBA">
        <w:rPr>
          <w:lang w:val="en-NZ"/>
        </w:rPr>
        <w:t>Financial year 01 July 2023 to 30 June 2024</w:t>
      </w:r>
    </w:p>
    <w:p w14:paraId="6941C601" w14:textId="35E298B3" w:rsidR="31B2FFA8" w:rsidRPr="00AE4DBA" w:rsidRDefault="31B2FFA8" w:rsidP="59B5A364">
      <w:pPr>
        <w:pStyle w:val="BodyText1"/>
        <w:rPr>
          <w:lang w:val="en-NZ"/>
        </w:rPr>
      </w:pPr>
      <w:r w:rsidRPr="00AE4DBA">
        <w:rPr>
          <w:lang w:val="en-NZ"/>
        </w:rPr>
        <w:t>Level of assurance – Reasonable for all categories except category 3 CME travel. Limited for category 3 CME travel</w:t>
      </w:r>
    </w:p>
    <w:p w14:paraId="456A95DC" w14:textId="69B0E647" w:rsidR="31B2FFA8" w:rsidRPr="00AE4DBA" w:rsidRDefault="31B2FFA8" w:rsidP="59B5A364">
      <w:pPr>
        <w:pStyle w:val="BodyText1"/>
        <w:rPr>
          <w:lang w:val="en-NZ"/>
        </w:rPr>
      </w:pPr>
      <w:r w:rsidRPr="00AE4DBA">
        <w:rPr>
          <w:lang w:val="en-NZ"/>
        </w:rPr>
        <w:t>From the analysis conducted, the inventory is classified as: Good</w:t>
      </w:r>
    </w:p>
    <w:p w14:paraId="7875732C" w14:textId="24364C96" w:rsidR="31B2FFA8" w:rsidRPr="00AE4DBA" w:rsidRDefault="31B2FFA8" w:rsidP="59B5A364">
      <w:pPr>
        <w:pStyle w:val="BodyText1"/>
        <w:rPr>
          <w:lang w:val="en-NZ"/>
        </w:rPr>
      </w:pPr>
      <w:r w:rsidRPr="00AE4DBA">
        <w:rPr>
          <w:lang w:val="en-NZ"/>
        </w:rPr>
        <w:t>As part of the audit the organisational boundaries, GHG Emissions Inventory Report and application of accounting principles were reviewed and classified as: meets the requirements.</w:t>
      </w:r>
    </w:p>
    <w:p w14:paraId="5529BE56" w14:textId="77777777" w:rsidR="0075744C" w:rsidRPr="00AE4DBA" w:rsidRDefault="0075744C" w:rsidP="7C571EA4">
      <w:pPr>
        <w:pStyle w:val="Subheading1"/>
        <w:numPr>
          <w:ilvl w:val="0"/>
          <w:numId w:val="22"/>
        </w:numPr>
      </w:pPr>
      <w:bookmarkStart w:id="81" w:name="_Toc176345137"/>
      <w:r w:rsidRPr="00AE4DBA">
        <w:t>Chapter 2: Emissions Management Report</w:t>
      </w:r>
      <w:bookmarkEnd w:id="81"/>
    </w:p>
    <w:p w14:paraId="40656243" w14:textId="7A48C7E6" w:rsidR="0075744C" w:rsidRPr="00AE4DBA" w:rsidRDefault="0075744C" w:rsidP="7C571EA4">
      <w:pPr>
        <w:pStyle w:val="Subheading1"/>
        <w:numPr>
          <w:ilvl w:val="1"/>
          <w:numId w:val="23"/>
        </w:numPr>
        <w:rPr>
          <w:color w:val="auto"/>
          <w:sz w:val="28"/>
          <w:szCs w:val="28"/>
        </w:rPr>
      </w:pPr>
      <w:bookmarkStart w:id="82" w:name="_Toc176345138"/>
      <w:bookmarkStart w:id="83" w:name="_Hlk172888433"/>
      <w:r w:rsidRPr="00AE4DBA">
        <w:rPr>
          <w:color w:val="auto"/>
          <w:sz w:val="28"/>
          <w:szCs w:val="28"/>
        </w:rPr>
        <w:t>Organisational emissions reduction targets</w:t>
      </w:r>
      <w:bookmarkEnd w:id="82"/>
    </w:p>
    <w:bookmarkEnd w:id="83"/>
    <w:p w14:paraId="576CBBB2" w14:textId="2F3FE05D" w:rsidR="00D80C16" w:rsidRPr="005C58F7" w:rsidRDefault="00BF4A30" w:rsidP="0075744C">
      <w:pPr>
        <w:pStyle w:val="BodyText1"/>
        <w:rPr>
          <w:lang w:val="en-NZ"/>
        </w:rPr>
      </w:pPr>
      <w:r w:rsidRPr="005C58F7">
        <w:rPr>
          <w:lang w:val="en-NZ"/>
        </w:rPr>
        <w:t xml:space="preserve">Te Pae Tata | </w:t>
      </w:r>
      <w:r w:rsidR="003B6F57" w:rsidRPr="005C58F7">
        <w:rPr>
          <w:lang w:val="en-NZ"/>
        </w:rPr>
        <w:t>Interim New Zealand Health Plan 2022-2024 stated the following reduction targets:</w:t>
      </w:r>
    </w:p>
    <w:p w14:paraId="19D8B969" w14:textId="2C4B7FE3" w:rsidR="003B6F57" w:rsidRPr="005C58F7" w:rsidRDefault="003B6F57" w:rsidP="003B6F57">
      <w:pPr>
        <w:pStyle w:val="BodyText1"/>
        <w:numPr>
          <w:ilvl w:val="0"/>
          <w:numId w:val="13"/>
        </w:numPr>
        <w:rPr>
          <w:lang w:val="en-NZ"/>
        </w:rPr>
      </w:pPr>
      <w:r w:rsidRPr="005C58F7">
        <w:rPr>
          <w:lang w:val="en-NZ"/>
        </w:rPr>
        <w:t>25% reduction to Category 1 emissions between FY</w:t>
      </w:r>
      <w:r w:rsidR="00AE4DA3" w:rsidRPr="005C58F7">
        <w:rPr>
          <w:lang w:val="en-NZ"/>
        </w:rPr>
        <w:t>202</w:t>
      </w:r>
      <w:r w:rsidRPr="005C58F7">
        <w:rPr>
          <w:lang w:val="en-NZ"/>
        </w:rPr>
        <w:t xml:space="preserve">2/23 and FY24/25 </w:t>
      </w:r>
    </w:p>
    <w:p w14:paraId="768AD84C" w14:textId="5C752D29" w:rsidR="003B6F57" w:rsidRPr="005C58F7" w:rsidRDefault="003B6F57" w:rsidP="003B6F57">
      <w:pPr>
        <w:pStyle w:val="BodyText1"/>
        <w:numPr>
          <w:ilvl w:val="0"/>
          <w:numId w:val="13"/>
        </w:numPr>
        <w:rPr>
          <w:lang w:val="en-NZ"/>
        </w:rPr>
      </w:pPr>
      <w:r w:rsidRPr="005C58F7">
        <w:rPr>
          <w:lang w:val="en-NZ"/>
        </w:rPr>
        <w:t>25% reduction to Category 2 emissions between FY2</w:t>
      </w:r>
      <w:r w:rsidR="29CEA661" w:rsidRPr="005C58F7">
        <w:rPr>
          <w:lang w:val="en-NZ"/>
        </w:rPr>
        <w:t>0</w:t>
      </w:r>
      <w:r w:rsidRPr="005C58F7">
        <w:rPr>
          <w:lang w:val="en-NZ"/>
        </w:rPr>
        <w:t>2</w:t>
      </w:r>
      <w:r w:rsidR="1780459C" w:rsidRPr="005C58F7">
        <w:rPr>
          <w:lang w:val="en-NZ"/>
        </w:rPr>
        <w:t>2</w:t>
      </w:r>
      <w:r w:rsidRPr="005C58F7">
        <w:rPr>
          <w:lang w:val="en-NZ"/>
        </w:rPr>
        <w:t xml:space="preserve">/23 and FY24/25 </w:t>
      </w:r>
    </w:p>
    <w:p w14:paraId="3DC3DAAB" w14:textId="77790731" w:rsidR="003B6F57" w:rsidRPr="00AE4DBA" w:rsidRDefault="003B6F57" w:rsidP="003B6F57">
      <w:pPr>
        <w:pStyle w:val="BodyText1"/>
        <w:rPr>
          <w:lang w:val="en-NZ"/>
        </w:rPr>
      </w:pPr>
      <w:r w:rsidRPr="005C58F7">
        <w:rPr>
          <w:lang w:val="en-NZ"/>
        </w:rPr>
        <w:t xml:space="preserve">Te Pae Waenga | New Zealand Health Plan 2024-2027 </w:t>
      </w:r>
      <w:r w:rsidR="00F43235" w:rsidRPr="005C58F7">
        <w:rPr>
          <w:lang w:val="en-NZ"/>
        </w:rPr>
        <w:t xml:space="preserve">and the 2024 </w:t>
      </w:r>
      <w:r w:rsidR="009332D5" w:rsidRPr="005C58F7">
        <w:rPr>
          <w:lang w:val="en-NZ"/>
        </w:rPr>
        <w:t>Statement of</w:t>
      </w:r>
      <w:r w:rsidR="00F43235" w:rsidRPr="005C58F7">
        <w:rPr>
          <w:lang w:val="en-NZ"/>
        </w:rPr>
        <w:t xml:space="preserve"> Performance Expectations states </w:t>
      </w:r>
      <w:r w:rsidR="00021270" w:rsidRPr="005C58F7">
        <w:rPr>
          <w:lang w:val="en-NZ"/>
        </w:rPr>
        <w:t xml:space="preserve">a combined 25% </w:t>
      </w:r>
      <w:r w:rsidR="00F72043" w:rsidRPr="005C58F7">
        <w:rPr>
          <w:lang w:val="en-NZ"/>
        </w:rPr>
        <w:t xml:space="preserve">gross </w:t>
      </w:r>
      <w:r w:rsidR="00021270" w:rsidRPr="005C58F7">
        <w:rPr>
          <w:lang w:val="en-NZ"/>
        </w:rPr>
        <w:t>reduction target for Category 1 &amp; 2 emissions between FY</w:t>
      </w:r>
      <w:r w:rsidR="50B17BA1" w:rsidRPr="005C58F7">
        <w:rPr>
          <w:lang w:val="en-NZ"/>
        </w:rPr>
        <w:t>20</w:t>
      </w:r>
      <w:r w:rsidR="00021270" w:rsidRPr="005C58F7">
        <w:rPr>
          <w:lang w:val="en-NZ"/>
        </w:rPr>
        <w:t>22/23 and FY</w:t>
      </w:r>
      <w:r w:rsidR="10F20383" w:rsidRPr="005C58F7">
        <w:rPr>
          <w:lang w:val="en-NZ"/>
        </w:rPr>
        <w:t>20</w:t>
      </w:r>
      <w:r w:rsidR="00021270" w:rsidRPr="005C58F7">
        <w:rPr>
          <w:lang w:val="en-NZ"/>
        </w:rPr>
        <w:t>24/25.</w:t>
      </w:r>
      <w:r w:rsidR="00021270" w:rsidRPr="00AE4DBA">
        <w:rPr>
          <w:lang w:val="en-NZ"/>
        </w:rPr>
        <w:t xml:space="preserve"> </w:t>
      </w:r>
    </w:p>
    <w:p w14:paraId="7CD4F991" w14:textId="254D0B03" w:rsidR="00021270" w:rsidRPr="00AE4DBA" w:rsidRDefault="00021270" w:rsidP="003B6F57">
      <w:pPr>
        <w:pStyle w:val="BodyText1"/>
        <w:rPr>
          <w:lang w:val="en-NZ"/>
        </w:rPr>
      </w:pPr>
      <w:r w:rsidRPr="00AE4DBA">
        <w:rPr>
          <w:lang w:val="en-NZ"/>
        </w:rPr>
        <w:lastRenderedPageBreak/>
        <w:t>Health NZ is in the process of finalising its first organisation wide detailed Emissions Reduction Plan</w:t>
      </w:r>
      <w:r w:rsidR="00D17D00" w:rsidRPr="00AE4DBA">
        <w:rPr>
          <w:lang w:val="en-NZ"/>
        </w:rPr>
        <w:t xml:space="preserve"> (ERP)</w:t>
      </w:r>
      <w:r w:rsidRPr="00AE4DBA">
        <w:rPr>
          <w:lang w:val="en-NZ"/>
        </w:rPr>
        <w:t xml:space="preserve"> in line with CNGP direction. This is due to be </w:t>
      </w:r>
      <w:r w:rsidR="006C1132" w:rsidRPr="00AE4DBA">
        <w:rPr>
          <w:lang w:val="en-NZ"/>
        </w:rPr>
        <w:t xml:space="preserve">submitted to </w:t>
      </w:r>
      <w:r w:rsidR="00874D9C">
        <w:rPr>
          <w:lang w:val="en-NZ"/>
        </w:rPr>
        <w:t xml:space="preserve">Ministry for the Environment </w:t>
      </w:r>
      <w:r w:rsidR="00404C99">
        <w:rPr>
          <w:rFonts w:cs="Arial"/>
          <w:lang w:val="en-NZ"/>
        </w:rPr>
        <w:t>|</w:t>
      </w:r>
      <w:r w:rsidR="00404C99">
        <w:rPr>
          <w:lang w:val="en-NZ"/>
        </w:rPr>
        <w:t xml:space="preserve"> </w:t>
      </w:r>
      <w:r w:rsidR="00404C99" w:rsidRPr="00404C99">
        <w:rPr>
          <w:lang w:val="en-NZ"/>
        </w:rPr>
        <w:t xml:space="preserve">Manatū </w:t>
      </w:r>
      <w:proofErr w:type="spellStart"/>
      <w:r w:rsidR="00404C99" w:rsidRPr="00404C99">
        <w:rPr>
          <w:lang w:val="en-NZ"/>
        </w:rPr>
        <w:t>Mō</w:t>
      </w:r>
      <w:proofErr w:type="spellEnd"/>
      <w:r w:rsidR="00404C99" w:rsidRPr="00404C99">
        <w:rPr>
          <w:lang w:val="en-NZ"/>
        </w:rPr>
        <w:t xml:space="preserve"> Te Taiao</w:t>
      </w:r>
      <w:r w:rsidR="00874D9C" w:rsidRPr="00AE4DBA">
        <w:rPr>
          <w:lang w:val="en-NZ"/>
        </w:rPr>
        <w:t xml:space="preserve"> </w:t>
      </w:r>
      <w:r w:rsidR="006C1132" w:rsidRPr="00AE4DBA">
        <w:rPr>
          <w:lang w:val="en-NZ"/>
        </w:rPr>
        <w:t xml:space="preserve">at end of 2024 and </w:t>
      </w:r>
      <w:r w:rsidRPr="00AE4DBA">
        <w:rPr>
          <w:lang w:val="en-NZ"/>
        </w:rPr>
        <w:t>published in 2025</w:t>
      </w:r>
      <w:r w:rsidR="006C1132" w:rsidRPr="00AE4DBA">
        <w:rPr>
          <w:lang w:val="en-NZ"/>
        </w:rPr>
        <w:t xml:space="preserve">. Future iterations of the Emissions Reduction Plan are likely to set emissions reduction targets beyond FY24/25. </w:t>
      </w:r>
    </w:p>
    <w:p w14:paraId="031DFF22" w14:textId="6CBD50EF" w:rsidR="00AC692D" w:rsidRPr="00AE4DBA" w:rsidRDefault="00AC692D" w:rsidP="7C571EA4">
      <w:pPr>
        <w:pStyle w:val="Subheading1"/>
        <w:numPr>
          <w:ilvl w:val="1"/>
          <w:numId w:val="23"/>
        </w:numPr>
        <w:rPr>
          <w:color w:val="auto"/>
          <w:sz w:val="28"/>
          <w:szCs w:val="28"/>
        </w:rPr>
      </w:pPr>
      <w:bookmarkStart w:id="84" w:name="_Toc176345139"/>
      <w:r w:rsidRPr="00AE4DBA">
        <w:rPr>
          <w:color w:val="auto"/>
          <w:sz w:val="28"/>
          <w:szCs w:val="28"/>
        </w:rPr>
        <w:t>Key performance indicators</w:t>
      </w:r>
      <w:bookmarkEnd w:id="84"/>
    </w:p>
    <w:p w14:paraId="51DD3702" w14:textId="77777777" w:rsidR="003E6C45" w:rsidRPr="00AE4DBA" w:rsidRDefault="00AC692D" w:rsidP="00AC692D">
      <w:pPr>
        <w:spacing w:before="114" w:line="276" w:lineRule="auto"/>
      </w:pPr>
      <w:r w:rsidRPr="00AE4DBA">
        <w:t xml:space="preserve">To be able to compare emissions across organisations and industries, and to comply with CNGP and ISO standards, Health NZ considers its emissions against funding received and FTE. Patient Bed Days is also used as an intensity metric to enable benchmarking between regions and against other healthcare facilities globally. It is a metric recommended in Global Green and Healthy Hospitals reporting initiatives.  </w:t>
      </w:r>
    </w:p>
    <w:p w14:paraId="30BE2C08" w14:textId="36A52AD7" w:rsidR="00AC692D" w:rsidRPr="00AE4DBA" w:rsidRDefault="00155A2B" w:rsidP="00AC692D">
      <w:pPr>
        <w:spacing w:before="114" w:line="276" w:lineRule="auto"/>
      </w:pPr>
      <w:r w:rsidRPr="00AE4DBA">
        <w:t xml:space="preserve">Every 2-3 years Health NZ </w:t>
      </w:r>
      <w:r w:rsidR="00D27C73" w:rsidRPr="00AE4DBA">
        <w:t xml:space="preserve">sets out </w:t>
      </w:r>
      <w:r w:rsidR="00F72043" w:rsidRPr="00AE4DBA">
        <w:t xml:space="preserve">a Statement of Performance Expectations (SPE) 2024-2027 details a specific gross emissions reduction KPI to track progress against the 25% Category 1 &amp; 2 emissions reduction target. </w:t>
      </w:r>
    </w:p>
    <w:p w14:paraId="0876B669" w14:textId="53BCBBD0" w:rsidR="00AC692D" w:rsidRPr="00AE4DBA" w:rsidRDefault="00AC692D" w:rsidP="00AC692D">
      <w:pPr>
        <w:pStyle w:val="BodyText1"/>
        <w:rPr>
          <w:lang w:val="en-NZ"/>
        </w:rPr>
      </w:pPr>
      <w:r w:rsidRPr="00AE4DBA">
        <w:rPr>
          <w:lang w:val="en-NZ"/>
        </w:rPr>
        <w:t xml:space="preserve">The baseline year’s emissions per intensity metrics are defined in Table </w:t>
      </w:r>
      <w:r w:rsidR="009549C0" w:rsidRPr="7C571EA4">
        <w:rPr>
          <w:lang w:val="en-NZ"/>
        </w:rPr>
        <w:t>11</w:t>
      </w:r>
      <w:r w:rsidR="009549C0">
        <w:rPr>
          <w:lang w:val="en-NZ"/>
        </w:rPr>
        <w:t xml:space="preserve">. </w:t>
      </w:r>
    </w:p>
    <w:p w14:paraId="3041C627" w14:textId="77777777" w:rsidR="00C03AC1" w:rsidRPr="00AE4DBA" w:rsidRDefault="00C03AC1" w:rsidP="00C03AC1">
      <w:pPr>
        <w:pStyle w:val="Caption"/>
      </w:pPr>
    </w:p>
    <w:p w14:paraId="110879F7" w14:textId="78A4016C" w:rsidR="00C03AC1" w:rsidRPr="00AE4DBA" w:rsidRDefault="00C03AC1" w:rsidP="00C03AC1">
      <w:pPr>
        <w:pStyle w:val="Caption"/>
      </w:pPr>
      <w:r w:rsidRPr="00AE4DBA">
        <w:t>Table</w:t>
      </w:r>
      <w:r w:rsidR="00A70024" w:rsidRPr="00AE4DBA">
        <w:t xml:space="preserve"> 11</w:t>
      </w:r>
      <w:r w:rsidRPr="00AE4DBA">
        <w:t xml:space="preserve"> Emissions intensity metrics</w:t>
      </w:r>
    </w:p>
    <w:tbl>
      <w:tblPr>
        <w:tblStyle w:val="ListTable3-Accent2"/>
        <w:tblW w:w="0" w:type="auto"/>
        <w:tblLook w:val="04A0" w:firstRow="1" w:lastRow="0" w:firstColumn="1" w:lastColumn="0" w:noHBand="0" w:noVBand="1"/>
      </w:tblPr>
      <w:tblGrid>
        <w:gridCol w:w="3804"/>
        <w:gridCol w:w="1695"/>
        <w:gridCol w:w="424"/>
        <w:gridCol w:w="846"/>
        <w:gridCol w:w="2257"/>
      </w:tblGrid>
      <w:tr w:rsidR="00B913A8" w:rsidRPr="00AE4DBA" w14:paraId="37E82A22" w14:textId="77777777" w:rsidTr="2864371F">
        <w:trPr>
          <w:cnfStyle w:val="100000000000" w:firstRow="1" w:lastRow="0" w:firstColumn="0" w:lastColumn="0" w:oddVBand="0" w:evenVBand="0" w:oddHBand="0" w:evenHBand="0" w:firstRowFirstColumn="0" w:firstRowLastColumn="0" w:lastRowFirstColumn="0" w:lastRowLastColumn="0"/>
          <w:trHeight w:hRule="exact" w:val="20"/>
        </w:trPr>
        <w:tc>
          <w:tcPr>
            <w:cnfStyle w:val="001000000100" w:firstRow="0" w:lastRow="0" w:firstColumn="1" w:lastColumn="0" w:oddVBand="0" w:evenVBand="0" w:oddHBand="0" w:evenHBand="0" w:firstRowFirstColumn="1" w:firstRowLastColumn="0" w:lastRowFirstColumn="0" w:lastRowLastColumn="0"/>
            <w:tcW w:w="3823" w:type="dxa"/>
            <w:tcBorders>
              <w:top w:val="nil"/>
              <w:left w:val="nil"/>
            </w:tcBorders>
            <w:vAlign w:val="center"/>
          </w:tcPr>
          <w:p w14:paraId="4998D5FA" w14:textId="77777777" w:rsidR="00B913A8" w:rsidRPr="00AE4DBA" w:rsidRDefault="00B913A8">
            <w:pPr>
              <w:rPr>
                <w:sz w:val="2"/>
              </w:rPr>
            </w:pPr>
            <w:bookmarkStart w:id="85" w:name="_4369a25d_4348_4ae6_aa0e_e6bd3225e25e"/>
          </w:p>
        </w:tc>
        <w:tc>
          <w:tcPr>
            <w:tcW w:w="1701" w:type="dxa"/>
            <w:tcBorders>
              <w:top w:val="nil"/>
              <w:left w:val="nil"/>
              <w:bottom w:val="nil"/>
              <w:right w:val="nil"/>
            </w:tcBorders>
            <w:vAlign w:val="center"/>
          </w:tcPr>
          <w:p w14:paraId="0755C2BF" w14:textId="77777777" w:rsidR="00B913A8" w:rsidRPr="00AE4DBA" w:rsidRDefault="00B913A8">
            <w:pPr>
              <w:cnfStyle w:val="100000000000" w:firstRow="1" w:lastRow="0" w:firstColumn="0" w:lastColumn="0" w:oddVBand="0" w:evenVBand="0" w:oddHBand="0" w:evenHBand="0" w:firstRowFirstColumn="0" w:firstRowLastColumn="0" w:lastRowFirstColumn="0" w:lastRowLastColumn="0"/>
              <w:rPr>
                <w:sz w:val="2"/>
              </w:rPr>
            </w:pPr>
          </w:p>
        </w:tc>
        <w:tc>
          <w:tcPr>
            <w:tcW w:w="1275" w:type="dxa"/>
            <w:gridSpan w:val="2"/>
            <w:tcBorders>
              <w:top w:val="nil"/>
              <w:left w:val="nil"/>
              <w:bottom w:val="nil"/>
              <w:right w:val="nil"/>
            </w:tcBorders>
            <w:vAlign w:val="center"/>
          </w:tcPr>
          <w:p w14:paraId="001CD496" w14:textId="77777777" w:rsidR="00B913A8" w:rsidRPr="00AE4DBA" w:rsidRDefault="00B913A8">
            <w:pPr>
              <w:cnfStyle w:val="100000000000" w:firstRow="1" w:lastRow="0" w:firstColumn="0" w:lastColumn="0" w:oddVBand="0" w:evenVBand="0" w:oddHBand="0" w:evenHBand="0" w:firstRowFirstColumn="0" w:firstRowLastColumn="0" w:lastRowFirstColumn="0" w:lastRowLastColumn="0"/>
              <w:rPr>
                <w:sz w:val="2"/>
              </w:rPr>
            </w:pPr>
          </w:p>
        </w:tc>
        <w:tc>
          <w:tcPr>
            <w:tcW w:w="2268" w:type="dxa"/>
            <w:tcBorders>
              <w:top w:val="nil"/>
              <w:left w:val="nil"/>
              <w:bottom w:val="nil"/>
              <w:right w:val="nil"/>
            </w:tcBorders>
            <w:vAlign w:val="center"/>
          </w:tcPr>
          <w:p w14:paraId="6D141EA2" w14:textId="77777777" w:rsidR="00B913A8" w:rsidRPr="00AE4DBA" w:rsidRDefault="00B913A8">
            <w:pPr>
              <w:cnfStyle w:val="100000000000" w:firstRow="1" w:lastRow="0" w:firstColumn="0" w:lastColumn="0" w:oddVBand="0" w:evenVBand="0" w:oddHBand="0" w:evenHBand="0" w:firstRowFirstColumn="0" w:firstRowLastColumn="0" w:lastRowFirstColumn="0" w:lastRowLastColumn="0"/>
              <w:rPr>
                <w:sz w:val="2"/>
              </w:rPr>
            </w:pPr>
          </w:p>
        </w:tc>
      </w:tr>
      <w:tr w:rsidR="00B913A8" w:rsidRPr="00AE4DBA" w14:paraId="1E7D10AC" w14:textId="77777777" w:rsidTr="2864371F">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823" w:type="dxa"/>
            <w:tcBorders>
              <w:top w:val="nil"/>
              <w:left w:val="nil"/>
              <w:bottom w:val="nil"/>
            </w:tcBorders>
            <w:shd w:val="clear" w:color="auto" w:fill="15284C" w:themeFill="accent5"/>
            <w:vAlign w:val="center"/>
          </w:tcPr>
          <w:p w14:paraId="60A53730" w14:textId="77777777" w:rsidR="00B913A8" w:rsidRPr="00AE4DBA" w:rsidRDefault="00B913A8">
            <w:pPr>
              <w:pStyle w:val="BodyText1"/>
              <w:spacing w:before="0"/>
              <w:rPr>
                <w:color w:val="F6F4EC" w:themeColor="background1"/>
                <w:highlight w:val="yellow"/>
                <w:lang w:val="en-NZ"/>
              </w:rPr>
            </w:pPr>
            <w:r w:rsidRPr="00AE4DBA">
              <w:rPr>
                <w:color w:val="F6F4EC" w:themeColor="background1"/>
                <w:sz w:val="24"/>
                <w:lang w:val="en-NZ"/>
              </w:rPr>
              <w:t>Emission intensity metric</w:t>
            </w:r>
          </w:p>
        </w:tc>
        <w:tc>
          <w:tcPr>
            <w:tcW w:w="2126" w:type="dxa"/>
            <w:gridSpan w:val="2"/>
            <w:tcBorders>
              <w:top w:val="nil"/>
              <w:bottom w:val="nil"/>
            </w:tcBorders>
            <w:shd w:val="clear" w:color="auto" w:fill="15284C" w:themeFill="accent5"/>
            <w:vAlign w:val="center"/>
          </w:tcPr>
          <w:p w14:paraId="3D43084D" w14:textId="77777777" w:rsidR="00B913A8" w:rsidRPr="00AE4DBA" w:rsidRDefault="00B913A8">
            <w:pPr>
              <w:pStyle w:val="BodyText1"/>
              <w:spacing w:before="0"/>
              <w:cnfStyle w:val="000000100000" w:firstRow="0" w:lastRow="0" w:firstColumn="0" w:lastColumn="0" w:oddVBand="0" w:evenVBand="0" w:oddHBand="1" w:evenHBand="0" w:firstRowFirstColumn="0" w:firstRowLastColumn="0" w:lastRowFirstColumn="0" w:lastRowLastColumn="0"/>
              <w:rPr>
                <w:color w:val="F6F4EC" w:themeColor="background1"/>
                <w:sz w:val="24"/>
                <w:lang w:val="en-NZ"/>
              </w:rPr>
            </w:pPr>
            <w:r w:rsidRPr="00AE4DBA">
              <w:rPr>
                <w:color w:val="F6F4EC" w:themeColor="background1"/>
                <w:sz w:val="24"/>
                <w:lang w:val="en-NZ"/>
              </w:rPr>
              <w:t xml:space="preserve">   Intensity Unit</w:t>
            </w:r>
          </w:p>
        </w:tc>
        <w:tc>
          <w:tcPr>
            <w:tcW w:w="3118" w:type="dxa"/>
            <w:gridSpan w:val="2"/>
            <w:tcBorders>
              <w:top w:val="nil"/>
              <w:bottom w:val="nil"/>
              <w:right w:val="nil"/>
            </w:tcBorders>
            <w:shd w:val="clear" w:color="auto" w:fill="15284C" w:themeFill="accent5"/>
            <w:vAlign w:val="center"/>
          </w:tcPr>
          <w:p w14:paraId="4FA23FF9" w14:textId="77777777" w:rsidR="00B913A8" w:rsidRPr="00AE4DBA" w:rsidRDefault="00B913A8">
            <w:pPr>
              <w:pStyle w:val="BodyText1"/>
              <w:spacing w:before="0"/>
              <w:cnfStyle w:val="000000100000" w:firstRow="0" w:lastRow="0" w:firstColumn="0" w:lastColumn="0" w:oddVBand="0" w:evenVBand="0" w:oddHBand="1" w:evenHBand="0" w:firstRowFirstColumn="0" w:firstRowLastColumn="0" w:lastRowFirstColumn="0" w:lastRowLastColumn="0"/>
              <w:rPr>
                <w:color w:val="F6F4EC" w:themeColor="background1"/>
                <w:sz w:val="24"/>
                <w:highlight w:val="yellow"/>
                <w:lang w:val="en-NZ"/>
              </w:rPr>
            </w:pPr>
            <w:r w:rsidRPr="00AE4DBA">
              <w:rPr>
                <w:color w:val="F6F4EC" w:themeColor="background1"/>
                <w:sz w:val="24"/>
                <w:lang w:val="en-NZ"/>
              </w:rPr>
              <w:t>tCO</w:t>
            </w:r>
            <w:r w:rsidRPr="00AE4DBA">
              <w:rPr>
                <w:color w:val="F6F4EC" w:themeColor="background1"/>
                <w:sz w:val="24"/>
                <w:vertAlign w:val="subscript"/>
                <w:lang w:val="en-NZ"/>
              </w:rPr>
              <w:t>2</w:t>
            </w:r>
            <w:r w:rsidRPr="00AE4DBA">
              <w:rPr>
                <w:color w:val="F6F4EC" w:themeColor="background1"/>
                <w:sz w:val="24"/>
                <w:lang w:val="en-NZ"/>
              </w:rPr>
              <w:t>e per unit</w:t>
            </w:r>
          </w:p>
        </w:tc>
      </w:tr>
      <w:tr w:rsidR="00B913A8" w:rsidRPr="00AE4DBA" w14:paraId="7C86D727" w14:textId="77777777" w:rsidTr="2864371F">
        <w:trPr>
          <w:trHeight w:val="378"/>
        </w:trPr>
        <w:tc>
          <w:tcPr>
            <w:cnfStyle w:val="001000000000" w:firstRow="0" w:lastRow="0" w:firstColumn="1" w:lastColumn="0" w:oddVBand="0" w:evenVBand="0" w:oddHBand="0" w:evenHBand="0" w:firstRowFirstColumn="0" w:firstRowLastColumn="0" w:lastRowFirstColumn="0" w:lastRowLastColumn="0"/>
            <w:tcW w:w="3823" w:type="dxa"/>
            <w:tcBorders>
              <w:top w:val="nil"/>
              <w:left w:val="single" w:sz="4" w:space="0" w:color="F6F4EC" w:themeColor="background1"/>
              <w:bottom w:val="single" w:sz="8" w:space="0" w:color="002672" w:themeColor="accent2" w:themeShade="BF"/>
            </w:tcBorders>
            <w:vAlign w:val="center"/>
          </w:tcPr>
          <w:p w14:paraId="3EF54876" w14:textId="77777777" w:rsidR="00B913A8" w:rsidRPr="00AE4DBA" w:rsidRDefault="00B913A8">
            <w:pPr>
              <w:pStyle w:val="BodyText1"/>
              <w:rPr>
                <w:lang w:val="en-NZ"/>
              </w:rPr>
            </w:pPr>
            <w:r w:rsidRPr="00AE4DBA">
              <w:rPr>
                <w:lang w:val="en-NZ"/>
              </w:rPr>
              <w:t>Expenditure</w:t>
            </w:r>
          </w:p>
        </w:tc>
        <w:tc>
          <w:tcPr>
            <w:tcW w:w="1701" w:type="dxa"/>
            <w:tcBorders>
              <w:top w:val="nil"/>
              <w:bottom w:val="single" w:sz="8" w:space="0" w:color="002672" w:themeColor="accent2" w:themeShade="BF"/>
            </w:tcBorders>
            <w:vAlign w:val="center"/>
          </w:tcPr>
          <w:p w14:paraId="62E9B6A0" w14:textId="0AEB7CAE" w:rsidR="00B913A8" w:rsidRPr="00AE4DBA" w:rsidRDefault="430AB20D">
            <w:pPr>
              <w:pStyle w:val="BodyText1"/>
              <w:jc w:val="center"/>
              <w:cnfStyle w:val="000000000000" w:firstRow="0" w:lastRow="0" w:firstColumn="0" w:lastColumn="0" w:oddVBand="0" w:evenVBand="0" w:oddHBand="0" w:evenHBand="0" w:firstRowFirstColumn="0" w:firstRowLastColumn="0" w:lastRowFirstColumn="0" w:lastRowLastColumn="0"/>
              <w:rPr>
                <w:highlight w:val="yellow"/>
                <w:lang w:val="en-NZ"/>
              </w:rPr>
            </w:pPr>
            <w:r w:rsidRPr="2864371F">
              <w:rPr>
                <w:lang w:val="en-NZ"/>
              </w:rPr>
              <w:t>$</w:t>
            </w:r>
            <w:r w:rsidR="00E82BE4">
              <w:rPr>
                <w:lang w:val="en-NZ"/>
              </w:rPr>
              <w:t>27</w:t>
            </w:r>
            <w:r w:rsidR="00C44CDE">
              <w:rPr>
                <w:lang w:val="en-NZ"/>
              </w:rPr>
              <w:t>.9</w:t>
            </w:r>
            <w:r w:rsidRPr="2864371F">
              <w:rPr>
                <w:lang w:val="en-NZ"/>
              </w:rPr>
              <w:t xml:space="preserve"> billion</w:t>
            </w:r>
          </w:p>
        </w:tc>
        <w:tc>
          <w:tcPr>
            <w:tcW w:w="1275" w:type="dxa"/>
            <w:gridSpan w:val="2"/>
            <w:tcBorders>
              <w:top w:val="nil"/>
              <w:bottom w:val="single" w:sz="8" w:space="0" w:color="002672" w:themeColor="accent2" w:themeShade="BF"/>
            </w:tcBorders>
            <w:vAlign w:val="center"/>
          </w:tcPr>
          <w:p w14:paraId="3B0FF736" w14:textId="5394231D" w:rsidR="00B913A8" w:rsidRPr="00AE4DBA" w:rsidRDefault="00C969A4">
            <w:pPr>
              <w:pStyle w:val="BodyText1"/>
              <w:jc w:val="right"/>
              <w:cnfStyle w:val="000000000000" w:firstRow="0" w:lastRow="0" w:firstColumn="0" w:lastColumn="0" w:oddVBand="0" w:evenVBand="0" w:oddHBand="0" w:evenHBand="0" w:firstRowFirstColumn="0" w:firstRowLastColumn="0" w:lastRowFirstColumn="0" w:lastRowLastColumn="0"/>
              <w:rPr>
                <w:b/>
                <w:bCs/>
                <w:color w:val="002672" w:themeColor="accent2" w:themeShade="BF"/>
                <w:lang w:val="en-NZ"/>
              </w:rPr>
            </w:pPr>
            <w:r>
              <w:rPr>
                <w:b/>
                <w:bCs/>
                <w:color w:val="002672" w:themeColor="accent2" w:themeShade="BF"/>
                <w:lang w:val="en-NZ"/>
              </w:rPr>
              <w:t>7.</w:t>
            </w:r>
            <w:r w:rsidR="008A5115" w:rsidRPr="009738DE">
              <w:rPr>
                <w:b/>
                <w:bCs/>
                <w:color w:val="002672" w:themeColor="accent2" w:themeShade="BF"/>
                <w:lang w:val="en-NZ"/>
              </w:rPr>
              <w:t>3</w:t>
            </w:r>
            <w:r>
              <w:rPr>
                <w:b/>
                <w:bCs/>
                <w:color w:val="002672" w:themeColor="accent2" w:themeShade="BF"/>
                <w:lang w:val="en-NZ"/>
              </w:rPr>
              <w:t>6</w:t>
            </w:r>
          </w:p>
        </w:tc>
        <w:tc>
          <w:tcPr>
            <w:tcW w:w="2268" w:type="dxa"/>
            <w:tcBorders>
              <w:top w:val="nil"/>
              <w:bottom w:val="single" w:sz="8" w:space="0" w:color="002672" w:themeColor="accent2" w:themeShade="BF"/>
              <w:right w:val="single" w:sz="4" w:space="0" w:color="F6F4EC" w:themeColor="background1"/>
            </w:tcBorders>
            <w:vAlign w:val="center"/>
          </w:tcPr>
          <w:p w14:paraId="6E8B9959" w14:textId="4DFCF95E" w:rsidR="00B913A8" w:rsidRPr="00AE4DBA" w:rsidRDefault="430AB20D">
            <w:pPr>
              <w:pStyle w:val="BodyText1"/>
              <w:cnfStyle w:val="000000000000" w:firstRow="0" w:lastRow="0" w:firstColumn="0" w:lastColumn="0" w:oddVBand="0" w:evenVBand="0" w:oddHBand="0" w:evenHBand="0" w:firstRowFirstColumn="0" w:firstRowLastColumn="0" w:lastRowFirstColumn="0" w:lastRowLastColumn="0"/>
              <w:rPr>
                <w:lang w:val="en-NZ"/>
              </w:rPr>
            </w:pPr>
            <w:r w:rsidRPr="2864371F">
              <w:rPr>
                <w:lang w:val="en-NZ"/>
              </w:rPr>
              <w:t xml:space="preserve">     tCO</w:t>
            </w:r>
            <w:r w:rsidRPr="2864371F">
              <w:rPr>
                <w:vertAlign w:val="subscript"/>
                <w:lang w:val="en-NZ"/>
              </w:rPr>
              <w:t>2</w:t>
            </w:r>
            <w:r w:rsidRPr="2864371F">
              <w:rPr>
                <w:lang w:val="en-NZ"/>
              </w:rPr>
              <w:t>e / $</w:t>
            </w:r>
            <w:r w:rsidR="2F6D2578" w:rsidRPr="2864371F">
              <w:rPr>
                <w:lang w:val="en-NZ"/>
              </w:rPr>
              <w:t>m</w:t>
            </w:r>
          </w:p>
        </w:tc>
      </w:tr>
      <w:tr w:rsidR="00B913A8" w:rsidRPr="00AE4DBA" w14:paraId="38A66F99" w14:textId="77777777" w:rsidTr="2864371F">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823" w:type="dxa"/>
            <w:tcBorders>
              <w:top w:val="single" w:sz="8" w:space="0" w:color="002672" w:themeColor="accent2" w:themeShade="BF"/>
              <w:left w:val="single" w:sz="4" w:space="0" w:color="F6F4EC" w:themeColor="background1"/>
              <w:bottom w:val="single" w:sz="8" w:space="0" w:color="002672" w:themeColor="accent2" w:themeShade="BF"/>
            </w:tcBorders>
            <w:vAlign w:val="center"/>
          </w:tcPr>
          <w:p w14:paraId="5BF8DBB1" w14:textId="77777777" w:rsidR="00B913A8" w:rsidRPr="00AE4DBA" w:rsidRDefault="00B913A8">
            <w:pPr>
              <w:pStyle w:val="BodyText1"/>
              <w:rPr>
                <w:lang w:val="en-NZ"/>
              </w:rPr>
            </w:pPr>
            <w:r w:rsidRPr="00AE4DBA">
              <w:rPr>
                <w:lang w:val="en-NZ"/>
              </w:rPr>
              <w:t>FTE</w:t>
            </w:r>
          </w:p>
        </w:tc>
        <w:tc>
          <w:tcPr>
            <w:tcW w:w="1701" w:type="dxa"/>
            <w:tcBorders>
              <w:top w:val="single" w:sz="8" w:space="0" w:color="002672" w:themeColor="accent2" w:themeShade="BF"/>
              <w:bottom w:val="single" w:sz="8" w:space="0" w:color="002672" w:themeColor="accent2" w:themeShade="BF"/>
            </w:tcBorders>
            <w:vAlign w:val="center"/>
          </w:tcPr>
          <w:p w14:paraId="7510FE1F" w14:textId="752D2ACD" w:rsidR="00B913A8" w:rsidRPr="00AE4DBA" w:rsidRDefault="00984389">
            <w:pPr>
              <w:pStyle w:val="BodyText1"/>
              <w:jc w:val="center"/>
              <w:cnfStyle w:val="000000100000" w:firstRow="0" w:lastRow="0" w:firstColumn="0" w:lastColumn="0" w:oddVBand="0" w:evenVBand="0" w:oddHBand="1" w:evenHBand="0" w:firstRowFirstColumn="0" w:firstRowLastColumn="0" w:lastRowFirstColumn="0" w:lastRowLastColumn="0"/>
              <w:rPr>
                <w:lang w:val="en-NZ"/>
              </w:rPr>
            </w:pPr>
            <w:r w:rsidRPr="00AE4DBA">
              <w:rPr>
                <w:lang w:val="en-NZ"/>
              </w:rPr>
              <w:t>87,000</w:t>
            </w:r>
            <w:r w:rsidR="00B913A8" w:rsidRPr="00AE4DBA">
              <w:rPr>
                <w:rStyle w:val="FootnoteReference"/>
                <w:lang w:val="en-NZ"/>
              </w:rPr>
              <w:footnoteReference w:id="11"/>
            </w:r>
          </w:p>
        </w:tc>
        <w:tc>
          <w:tcPr>
            <w:tcW w:w="1275" w:type="dxa"/>
            <w:gridSpan w:val="2"/>
            <w:tcBorders>
              <w:top w:val="single" w:sz="8" w:space="0" w:color="002672" w:themeColor="accent2" w:themeShade="BF"/>
              <w:bottom w:val="single" w:sz="8" w:space="0" w:color="002672" w:themeColor="accent2" w:themeShade="BF"/>
            </w:tcBorders>
            <w:vAlign w:val="center"/>
          </w:tcPr>
          <w:p w14:paraId="27F1EFE3" w14:textId="3FA9A3B2" w:rsidR="00B913A8" w:rsidRPr="00AE4DBA" w:rsidRDefault="00984389">
            <w:pPr>
              <w:pStyle w:val="BodyText1"/>
              <w:jc w:val="right"/>
              <w:cnfStyle w:val="000000100000" w:firstRow="0" w:lastRow="0" w:firstColumn="0" w:lastColumn="0" w:oddVBand="0" w:evenVBand="0" w:oddHBand="1" w:evenHBand="0" w:firstRowFirstColumn="0" w:firstRowLastColumn="0" w:lastRowFirstColumn="0" w:lastRowLastColumn="0"/>
              <w:rPr>
                <w:b/>
                <w:bCs/>
                <w:color w:val="002672" w:themeColor="accent2" w:themeShade="BF"/>
                <w:lang w:val="en-NZ"/>
              </w:rPr>
            </w:pPr>
            <w:r w:rsidRPr="00AE4DBA">
              <w:rPr>
                <w:b/>
                <w:bCs/>
                <w:color w:val="002672" w:themeColor="accent2" w:themeShade="BF"/>
                <w:lang w:val="en-NZ"/>
              </w:rPr>
              <w:t>2.36</w:t>
            </w:r>
          </w:p>
        </w:tc>
        <w:tc>
          <w:tcPr>
            <w:tcW w:w="2268" w:type="dxa"/>
            <w:tcBorders>
              <w:top w:val="single" w:sz="8" w:space="0" w:color="002672" w:themeColor="accent2" w:themeShade="BF"/>
              <w:bottom w:val="single" w:sz="8" w:space="0" w:color="002672" w:themeColor="accent2" w:themeShade="BF"/>
              <w:right w:val="single" w:sz="4" w:space="0" w:color="F6F4EC" w:themeColor="background1"/>
            </w:tcBorders>
            <w:vAlign w:val="center"/>
          </w:tcPr>
          <w:p w14:paraId="078C9E6D" w14:textId="77777777" w:rsidR="00B913A8" w:rsidRPr="00AE4DBA" w:rsidRDefault="00B913A8">
            <w:pPr>
              <w:pStyle w:val="BodyText1"/>
              <w:cnfStyle w:val="000000100000" w:firstRow="0" w:lastRow="0" w:firstColumn="0" w:lastColumn="0" w:oddVBand="0" w:evenVBand="0" w:oddHBand="1" w:evenHBand="0" w:firstRowFirstColumn="0" w:firstRowLastColumn="0" w:lastRowFirstColumn="0" w:lastRowLastColumn="0"/>
              <w:rPr>
                <w:lang w:val="en-NZ"/>
              </w:rPr>
            </w:pPr>
            <w:r w:rsidRPr="00AE4DBA">
              <w:rPr>
                <w:lang w:val="en-NZ"/>
              </w:rPr>
              <w:t xml:space="preserve">     tCO</w:t>
            </w:r>
            <w:r w:rsidRPr="00AE4DBA">
              <w:rPr>
                <w:vertAlign w:val="subscript"/>
                <w:lang w:val="en-NZ"/>
              </w:rPr>
              <w:t>2</w:t>
            </w:r>
            <w:r w:rsidRPr="00AE4DBA">
              <w:rPr>
                <w:lang w:val="en-NZ"/>
              </w:rPr>
              <w:t>e / FTE</w:t>
            </w:r>
          </w:p>
        </w:tc>
      </w:tr>
      <w:tr w:rsidR="00B913A8" w:rsidRPr="00AE4DBA" w14:paraId="55BB71E2" w14:textId="77777777" w:rsidTr="2864371F">
        <w:trPr>
          <w:trHeight w:val="385"/>
        </w:trPr>
        <w:tc>
          <w:tcPr>
            <w:cnfStyle w:val="001000000000" w:firstRow="0" w:lastRow="0" w:firstColumn="1" w:lastColumn="0" w:oddVBand="0" w:evenVBand="0" w:oddHBand="0" w:evenHBand="0" w:firstRowFirstColumn="0" w:firstRowLastColumn="0" w:lastRowFirstColumn="0" w:lastRowLastColumn="0"/>
            <w:tcW w:w="3823" w:type="dxa"/>
            <w:tcBorders>
              <w:top w:val="single" w:sz="8" w:space="0" w:color="002672" w:themeColor="accent2" w:themeShade="BF"/>
              <w:left w:val="single" w:sz="4" w:space="0" w:color="F6F4EC" w:themeColor="background1"/>
              <w:bottom w:val="single" w:sz="8" w:space="0" w:color="002672" w:themeColor="accent2" w:themeShade="BF"/>
            </w:tcBorders>
            <w:vAlign w:val="center"/>
          </w:tcPr>
          <w:p w14:paraId="64141CAB" w14:textId="62B69551" w:rsidR="00B913A8" w:rsidRPr="00AE4DBA" w:rsidRDefault="00F70533">
            <w:pPr>
              <w:pStyle w:val="BodyText1"/>
              <w:rPr>
                <w:lang w:val="en-NZ"/>
              </w:rPr>
            </w:pPr>
            <w:r w:rsidRPr="00AE4DBA">
              <w:rPr>
                <w:lang w:val="en-NZ"/>
              </w:rPr>
              <w:t>Bed Day Equivalent (BDE)</w:t>
            </w:r>
          </w:p>
        </w:tc>
        <w:tc>
          <w:tcPr>
            <w:tcW w:w="1701" w:type="dxa"/>
            <w:tcBorders>
              <w:top w:val="single" w:sz="8" w:space="0" w:color="002672" w:themeColor="accent2" w:themeShade="BF"/>
              <w:bottom w:val="single" w:sz="8" w:space="0" w:color="002672" w:themeColor="accent2" w:themeShade="BF"/>
            </w:tcBorders>
            <w:vAlign w:val="center"/>
          </w:tcPr>
          <w:p w14:paraId="729CAF06" w14:textId="64A73D5E" w:rsidR="00B913A8" w:rsidRPr="00AE4DBA" w:rsidRDefault="02441044">
            <w:pPr>
              <w:pStyle w:val="BodyText1"/>
              <w:jc w:val="center"/>
              <w:cnfStyle w:val="000000000000" w:firstRow="0" w:lastRow="0" w:firstColumn="0" w:lastColumn="0" w:oddVBand="0" w:evenVBand="0" w:oddHBand="0" w:evenHBand="0" w:firstRowFirstColumn="0" w:firstRowLastColumn="0" w:lastRowFirstColumn="0" w:lastRowLastColumn="0"/>
              <w:rPr>
                <w:lang w:val="en-NZ"/>
              </w:rPr>
            </w:pPr>
            <w:r w:rsidRPr="00AE4DBA">
              <w:rPr>
                <w:lang w:val="en-NZ"/>
              </w:rPr>
              <w:t>3.5</w:t>
            </w:r>
            <w:r w:rsidR="00F70533" w:rsidRPr="00AE4DBA">
              <w:rPr>
                <w:lang w:val="en-NZ"/>
              </w:rPr>
              <w:t xml:space="preserve"> million</w:t>
            </w:r>
            <w:r w:rsidR="00B913A8" w:rsidRPr="00AE4DBA">
              <w:rPr>
                <w:rStyle w:val="FootnoteReference"/>
                <w:lang w:val="en-NZ"/>
              </w:rPr>
              <w:footnoteReference w:id="12"/>
            </w:r>
          </w:p>
        </w:tc>
        <w:tc>
          <w:tcPr>
            <w:tcW w:w="1275" w:type="dxa"/>
            <w:gridSpan w:val="2"/>
            <w:tcBorders>
              <w:top w:val="single" w:sz="8" w:space="0" w:color="002672" w:themeColor="accent2" w:themeShade="BF"/>
              <w:bottom w:val="single" w:sz="8" w:space="0" w:color="002672" w:themeColor="accent2" w:themeShade="BF"/>
            </w:tcBorders>
            <w:vAlign w:val="center"/>
          </w:tcPr>
          <w:p w14:paraId="7FF37063" w14:textId="0685914E" w:rsidR="00B913A8" w:rsidRPr="00AE4DBA" w:rsidRDefault="346888CD">
            <w:pPr>
              <w:pStyle w:val="BodyText1"/>
              <w:jc w:val="right"/>
              <w:cnfStyle w:val="000000000000" w:firstRow="0" w:lastRow="0" w:firstColumn="0" w:lastColumn="0" w:oddVBand="0" w:evenVBand="0" w:oddHBand="0" w:evenHBand="0" w:firstRowFirstColumn="0" w:firstRowLastColumn="0" w:lastRowFirstColumn="0" w:lastRowLastColumn="0"/>
              <w:rPr>
                <w:b/>
                <w:bCs/>
                <w:color w:val="002672" w:themeColor="accent2" w:themeShade="BF"/>
                <w:lang w:val="en-NZ"/>
              </w:rPr>
            </w:pPr>
            <w:r w:rsidRPr="7C571EA4">
              <w:rPr>
                <w:b/>
                <w:bCs/>
                <w:color w:val="002672" w:themeColor="accent2" w:themeShade="BF"/>
                <w:lang w:val="en-NZ"/>
              </w:rPr>
              <w:t>58</w:t>
            </w:r>
          </w:p>
        </w:tc>
        <w:tc>
          <w:tcPr>
            <w:tcW w:w="2268" w:type="dxa"/>
            <w:tcBorders>
              <w:top w:val="single" w:sz="8" w:space="0" w:color="002672" w:themeColor="accent2" w:themeShade="BF"/>
              <w:bottom w:val="single" w:sz="8" w:space="0" w:color="002672" w:themeColor="accent2" w:themeShade="BF"/>
              <w:right w:val="single" w:sz="4" w:space="0" w:color="F6F4EC" w:themeColor="background1"/>
            </w:tcBorders>
            <w:vAlign w:val="center"/>
          </w:tcPr>
          <w:p w14:paraId="392B85DE" w14:textId="47FCB0BE" w:rsidR="00B913A8" w:rsidRPr="00AE4DBA" w:rsidRDefault="00B913A8">
            <w:pPr>
              <w:pStyle w:val="BodyText1"/>
              <w:cnfStyle w:val="000000000000" w:firstRow="0" w:lastRow="0" w:firstColumn="0" w:lastColumn="0" w:oddVBand="0" w:evenVBand="0" w:oddHBand="0" w:evenHBand="0" w:firstRowFirstColumn="0" w:firstRowLastColumn="0" w:lastRowFirstColumn="0" w:lastRowLastColumn="0"/>
              <w:rPr>
                <w:lang w:val="en-NZ"/>
              </w:rPr>
            </w:pPr>
            <w:r w:rsidRPr="00AE4DBA">
              <w:rPr>
                <w:lang w:val="en-NZ"/>
              </w:rPr>
              <w:t xml:space="preserve">     </w:t>
            </w:r>
            <w:r w:rsidR="00F70533" w:rsidRPr="00AE4DBA">
              <w:rPr>
                <w:lang w:val="en-NZ"/>
              </w:rPr>
              <w:t>kg</w:t>
            </w:r>
            <w:r w:rsidRPr="00AE4DBA">
              <w:rPr>
                <w:lang w:val="en-NZ"/>
              </w:rPr>
              <w:t>CO</w:t>
            </w:r>
            <w:r w:rsidRPr="00AE4DBA">
              <w:rPr>
                <w:vertAlign w:val="subscript"/>
                <w:lang w:val="en-NZ"/>
              </w:rPr>
              <w:t>2</w:t>
            </w:r>
            <w:r w:rsidRPr="00AE4DBA">
              <w:rPr>
                <w:lang w:val="en-NZ"/>
              </w:rPr>
              <w:t xml:space="preserve">e / </w:t>
            </w:r>
            <w:r w:rsidR="00F70533" w:rsidRPr="00AE4DBA">
              <w:rPr>
                <w:lang w:val="en-NZ"/>
              </w:rPr>
              <w:t>BDE</w:t>
            </w:r>
          </w:p>
        </w:tc>
      </w:tr>
    </w:tbl>
    <w:p w14:paraId="54B91021" w14:textId="3000680D" w:rsidR="00AC692D" w:rsidRPr="00AE4DBA" w:rsidRDefault="00AC692D" w:rsidP="7C571EA4">
      <w:pPr>
        <w:pStyle w:val="Subheading1"/>
        <w:numPr>
          <w:ilvl w:val="1"/>
          <w:numId w:val="23"/>
        </w:numPr>
        <w:rPr>
          <w:color w:val="auto"/>
          <w:sz w:val="28"/>
          <w:szCs w:val="28"/>
        </w:rPr>
      </w:pPr>
      <w:bookmarkStart w:id="86" w:name="_Toc176345140"/>
      <w:bookmarkEnd w:id="85"/>
      <w:r w:rsidRPr="00AE4DBA">
        <w:rPr>
          <w:color w:val="auto"/>
          <w:sz w:val="28"/>
          <w:szCs w:val="28"/>
        </w:rPr>
        <w:t>Initiatives</w:t>
      </w:r>
      <w:bookmarkEnd w:id="86"/>
    </w:p>
    <w:p w14:paraId="78FA1893" w14:textId="445D2835" w:rsidR="00AC692D" w:rsidRPr="00AE4DBA" w:rsidRDefault="00AC692D" w:rsidP="00AC692D">
      <w:pPr>
        <w:pStyle w:val="BodyText1"/>
        <w:rPr>
          <w:lang w:val="en-NZ"/>
        </w:rPr>
      </w:pPr>
      <w:r w:rsidRPr="1D86F286">
        <w:rPr>
          <w:lang w:val="en-NZ"/>
        </w:rPr>
        <w:t>During the reporting year, Health New Zealand has implemented several emissions reduction initiatives that have contributed significantly emissions reductions against our baseline year. The most impactful initiatives and their contribution to emissions reductions include:</w:t>
      </w:r>
    </w:p>
    <w:p w14:paraId="34351CA5" w14:textId="217E9B7A" w:rsidR="002623AE" w:rsidRDefault="0000140C" w:rsidP="00141DF0">
      <w:pPr>
        <w:pStyle w:val="BodyText1"/>
        <w:numPr>
          <w:ilvl w:val="0"/>
          <w:numId w:val="11"/>
        </w:numPr>
        <w:rPr>
          <w:lang w:val="en-NZ"/>
        </w:rPr>
      </w:pPr>
      <w:r w:rsidRPr="1D86F286">
        <w:rPr>
          <w:lang w:val="en-NZ"/>
        </w:rPr>
        <w:t>Substantial progress in removing coal as a source of energy</w:t>
      </w:r>
      <w:r w:rsidR="00AA359D" w:rsidRPr="1D86F286">
        <w:rPr>
          <w:lang w:val="en-NZ"/>
        </w:rPr>
        <w:t xml:space="preserve">. The removal </w:t>
      </w:r>
      <w:r w:rsidR="007F2671" w:rsidRPr="1D86F286">
        <w:rPr>
          <w:lang w:val="en-NZ"/>
        </w:rPr>
        <w:t xml:space="preserve">of coal boilers from </w:t>
      </w:r>
      <w:r w:rsidR="00315109">
        <w:rPr>
          <w:lang w:val="en-NZ"/>
        </w:rPr>
        <w:t>3</w:t>
      </w:r>
      <w:r w:rsidR="007F2671" w:rsidRPr="1D86F286">
        <w:rPr>
          <w:lang w:val="en-NZ"/>
        </w:rPr>
        <w:t xml:space="preserve"> Health NZ sites has resulted in </w:t>
      </w:r>
      <w:r w:rsidR="008F0C9C" w:rsidRPr="1D86F286">
        <w:rPr>
          <w:lang w:val="en-NZ"/>
        </w:rPr>
        <w:t xml:space="preserve">direct emissions reductions from coal of </w:t>
      </w:r>
      <w:r w:rsidR="00B85073" w:rsidRPr="1D86F286">
        <w:rPr>
          <w:lang w:val="en-NZ"/>
        </w:rPr>
        <w:t>12,700tCO</w:t>
      </w:r>
      <w:r w:rsidR="00B85073" w:rsidRPr="1D86F286">
        <w:rPr>
          <w:vertAlign w:val="subscript"/>
          <w:lang w:val="en-NZ"/>
        </w:rPr>
        <w:t>2</w:t>
      </w:r>
      <w:r w:rsidR="00B85073" w:rsidRPr="1D86F286">
        <w:rPr>
          <w:lang w:val="en-NZ"/>
        </w:rPr>
        <w:t xml:space="preserve">e or </w:t>
      </w:r>
      <w:r w:rsidR="00431A3F" w:rsidRPr="1D86F286">
        <w:rPr>
          <w:lang w:val="en-NZ"/>
        </w:rPr>
        <w:t>6</w:t>
      </w:r>
      <w:r w:rsidR="00981700" w:rsidRPr="1D86F286">
        <w:rPr>
          <w:lang w:val="en-NZ"/>
        </w:rPr>
        <w:t>3%</w:t>
      </w:r>
      <w:r w:rsidR="00B85073" w:rsidRPr="1D86F286">
        <w:rPr>
          <w:lang w:val="en-NZ"/>
        </w:rPr>
        <w:t xml:space="preserve"> from baseline FY20</w:t>
      </w:r>
      <w:r w:rsidR="0009746A" w:rsidRPr="1D86F286">
        <w:rPr>
          <w:lang w:val="en-NZ"/>
        </w:rPr>
        <w:t>22/23.</w:t>
      </w:r>
    </w:p>
    <w:p w14:paraId="0DC09EDE" w14:textId="0926E53D" w:rsidR="00AC692D" w:rsidRPr="00AE4DBA" w:rsidRDefault="0009746A" w:rsidP="00141DF0">
      <w:pPr>
        <w:pStyle w:val="BodyText1"/>
        <w:numPr>
          <w:ilvl w:val="0"/>
          <w:numId w:val="11"/>
        </w:numPr>
        <w:rPr>
          <w:lang w:val="en-NZ"/>
        </w:rPr>
      </w:pPr>
      <w:r w:rsidRPr="00AE4DBA">
        <w:rPr>
          <w:lang w:val="en-NZ"/>
        </w:rPr>
        <w:t xml:space="preserve"> Additional coal emissions reductions </w:t>
      </w:r>
      <w:r w:rsidR="00611711" w:rsidRPr="00AE4DBA">
        <w:rPr>
          <w:lang w:val="en-NZ"/>
        </w:rPr>
        <w:t xml:space="preserve">of 13,900 </w:t>
      </w:r>
      <w:r w:rsidR="00F23D7D" w:rsidRPr="00AE4DBA">
        <w:rPr>
          <w:lang w:val="en-NZ"/>
        </w:rPr>
        <w:t>tCO</w:t>
      </w:r>
      <w:r w:rsidR="00F23D7D" w:rsidRPr="00AE4DBA">
        <w:rPr>
          <w:vertAlign w:val="subscript"/>
          <w:lang w:val="en-NZ"/>
        </w:rPr>
        <w:t>2</w:t>
      </w:r>
      <w:r w:rsidR="00F23D7D" w:rsidRPr="00AE4DBA">
        <w:rPr>
          <w:lang w:val="en-NZ"/>
        </w:rPr>
        <w:t xml:space="preserve">e, or 96% from baseline, </w:t>
      </w:r>
      <w:r w:rsidRPr="00AE4DBA">
        <w:rPr>
          <w:lang w:val="en-NZ"/>
        </w:rPr>
        <w:t xml:space="preserve">were achieved by partnering with </w:t>
      </w:r>
      <w:r w:rsidR="00611711" w:rsidRPr="00AE4DBA">
        <w:rPr>
          <w:lang w:val="en-NZ"/>
        </w:rPr>
        <w:t xml:space="preserve">a supplier of steam to switch their boilers </w:t>
      </w:r>
      <w:r w:rsidR="00F23D7D" w:rsidRPr="00AE4DBA">
        <w:rPr>
          <w:lang w:val="en-NZ"/>
        </w:rPr>
        <w:t xml:space="preserve">to </w:t>
      </w:r>
      <w:r w:rsidR="009F54C8" w:rsidRPr="00AE4DBA">
        <w:rPr>
          <w:lang w:val="en-NZ"/>
        </w:rPr>
        <w:t>biomass.</w:t>
      </w:r>
      <w:r w:rsidR="00611711" w:rsidRPr="00AE4DBA">
        <w:rPr>
          <w:lang w:val="en-NZ"/>
        </w:rPr>
        <w:t xml:space="preserve"> </w:t>
      </w:r>
    </w:p>
    <w:p w14:paraId="49E07C0A" w14:textId="787CCFC4" w:rsidR="00AC692D" w:rsidRPr="00AE4DBA" w:rsidRDefault="00C319A2" w:rsidP="00141DF0">
      <w:pPr>
        <w:pStyle w:val="BodyText1"/>
        <w:numPr>
          <w:ilvl w:val="0"/>
          <w:numId w:val="11"/>
        </w:numPr>
        <w:rPr>
          <w:lang w:val="en-NZ"/>
        </w:rPr>
      </w:pPr>
      <w:r w:rsidRPr="00AE4DBA">
        <w:rPr>
          <w:lang w:val="en-NZ"/>
        </w:rPr>
        <w:t xml:space="preserve">Over the course of FY2023/24 Health NZ has </w:t>
      </w:r>
      <w:r w:rsidR="006F2E94" w:rsidRPr="00AE4DBA">
        <w:rPr>
          <w:lang w:val="en-NZ"/>
        </w:rPr>
        <w:t>transitioned</w:t>
      </w:r>
      <w:r w:rsidRPr="00AE4DBA">
        <w:rPr>
          <w:lang w:val="en-NZ"/>
        </w:rPr>
        <w:t xml:space="preserve"> </w:t>
      </w:r>
      <w:r w:rsidR="5520CC77" w:rsidRPr="7C571EA4">
        <w:rPr>
          <w:lang w:val="en-NZ"/>
        </w:rPr>
        <w:t>325</w:t>
      </w:r>
      <w:r w:rsidR="006F2E94" w:rsidRPr="00AE4DBA">
        <w:rPr>
          <w:lang w:val="en-NZ"/>
        </w:rPr>
        <w:t xml:space="preserve"> of its internal combustion engine fleet </w:t>
      </w:r>
      <w:r w:rsidR="00B74467" w:rsidRPr="00AE4DBA">
        <w:rPr>
          <w:lang w:val="en-NZ"/>
        </w:rPr>
        <w:t xml:space="preserve">vehicles to battery electric variants. This has resulted in fleet </w:t>
      </w:r>
      <w:r w:rsidR="00B74467" w:rsidRPr="00AE4DBA">
        <w:rPr>
          <w:lang w:val="en-NZ"/>
        </w:rPr>
        <w:lastRenderedPageBreak/>
        <w:t xml:space="preserve">fuel emissions reductions of </w:t>
      </w:r>
      <w:r w:rsidR="00EA69C4" w:rsidRPr="00AE4DBA">
        <w:rPr>
          <w:lang w:val="en-NZ"/>
        </w:rPr>
        <w:t>1,290 tCO</w:t>
      </w:r>
      <w:r w:rsidR="00EA69C4" w:rsidRPr="00AE4DBA">
        <w:rPr>
          <w:vertAlign w:val="subscript"/>
          <w:lang w:val="en-NZ"/>
        </w:rPr>
        <w:t>2</w:t>
      </w:r>
      <w:r w:rsidR="00EA69C4" w:rsidRPr="00AE4DBA">
        <w:rPr>
          <w:lang w:val="en-NZ"/>
        </w:rPr>
        <w:t>e</w:t>
      </w:r>
      <w:r w:rsidR="00306EAB" w:rsidRPr="00AE4DBA">
        <w:rPr>
          <w:lang w:val="en-NZ"/>
        </w:rPr>
        <w:t>, which represents a decrease of 14% against baseline FY2022/23.</w:t>
      </w:r>
    </w:p>
    <w:p w14:paraId="3E69690A" w14:textId="30B8C401" w:rsidR="00B66B4F" w:rsidRPr="00AE4DBA" w:rsidRDefault="00AC692D" w:rsidP="00AC692D">
      <w:pPr>
        <w:pStyle w:val="BodyText1"/>
        <w:rPr>
          <w:lang w:val="en-NZ"/>
        </w:rPr>
      </w:pPr>
      <w:r w:rsidRPr="00AE4DBA">
        <w:rPr>
          <w:lang w:val="en-NZ"/>
        </w:rPr>
        <w:t xml:space="preserve">In addition to initiatives that have already delivered emissions reductions, Health NZ continues to implement programmes and initiatives that will continue to drive down our emissions in the next few years. </w:t>
      </w:r>
      <w:r w:rsidR="00B66B4F" w:rsidRPr="00AE4DBA">
        <w:rPr>
          <w:lang w:val="en-NZ"/>
        </w:rPr>
        <w:t xml:space="preserve">The detail of these initiatives will be included in our first </w:t>
      </w:r>
      <w:r w:rsidR="00D5220A" w:rsidRPr="00AE4DBA">
        <w:rPr>
          <w:lang w:val="en-NZ"/>
        </w:rPr>
        <w:t>detailed</w:t>
      </w:r>
      <w:r w:rsidR="00B66B4F" w:rsidRPr="00AE4DBA">
        <w:rPr>
          <w:lang w:val="en-NZ"/>
        </w:rPr>
        <w:t xml:space="preserve"> Emissions Reduction Plan</w:t>
      </w:r>
      <w:r w:rsidR="006A5D29" w:rsidRPr="00AE4DBA">
        <w:rPr>
          <w:lang w:val="en-NZ"/>
        </w:rPr>
        <w:t>, due to be published in 2025</w:t>
      </w:r>
      <w:r w:rsidR="00D5220A" w:rsidRPr="00AE4DBA">
        <w:rPr>
          <w:lang w:val="en-NZ"/>
        </w:rPr>
        <w:t xml:space="preserve">. </w:t>
      </w:r>
    </w:p>
    <w:p w14:paraId="115676C2" w14:textId="77777777" w:rsidR="000B3B63" w:rsidRPr="00AE4DBA" w:rsidRDefault="000B3B63" w:rsidP="000B3B63">
      <w:pPr>
        <w:pStyle w:val="BodyText1"/>
        <w:rPr>
          <w:lang w:val="en-NZ"/>
        </w:rPr>
      </w:pPr>
    </w:p>
    <w:p w14:paraId="2C512EA3" w14:textId="77777777" w:rsidR="000B3B63" w:rsidRPr="00AE4DBA" w:rsidRDefault="000B3B63" w:rsidP="000B3B63">
      <w:pPr>
        <w:pStyle w:val="BodyText1"/>
        <w:rPr>
          <w:lang w:val="en-NZ"/>
        </w:rPr>
      </w:pPr>
    </w:p>
    <w:p w14:paraId="0A307248" w14:textId="77777777" w:rsidR="000B3B63" w:rsidRPr="00AE4DBA" w:rsidRDefault="000B3B63" w:rsidP="000B3B63">
      <w:pPr>
        <w:pStyle w:val="BodyText1"/>
        <w:rPr>
          <w:lang w:val="en-NZ"/>
        </w:rPr>
      </w:pPr>
    </w:p>
    <w:p w14:paraId="43632D05" w14:textId="77777777" w:rsidR="000B3B63" w:rsidRPr="00AE4DBA" w:rsidRDefault="000B3B63" w:rsidP="000B3B63">
      <w:pPr>
        <w:pStyle w:val="BodyText1"/>
        <w:rPr>
          <w:lang w:val="en-NZ"/>
        </w:rPr>
      </w:pPr>
    </w:p>
    <w:p w14:paraId="2998D50C" w14:textId="77777777" w:rsidR="000B3B63" w:rsidRPr="00AE4DBA" w:rsidRDefault="000B3B63" w:rsidP="000B3B63">
      <w:pPr>
        <w:pStyle w:val="BodyText1"/>
        <w:rPr>
          <w:lang w:val="en-NZ"/>
        </w:rPr>
      </w:pPr>
    </w:p>
    <w:p w14:paraId="0356D7B5" w14:textId="77777777" w:rsidR="000B3B63" w:rsidRPr="00AE4DBA" w:rsidRDefault="000B3B63" w:rsidP="000B3B63">
      <w:pPr>
        <w:pStyle w:val="BodyText1"/>
        <w:rPr>
          <w:lang w:val="en-NZ"/>
        </w:rPr>
      </w:pPr>
    </w:p>
    <w:p w14:paraId="04F1B452" w14:textId="77777777" w:rsidR="000B3B63" w:rsidRPr="00AE4DBA" w:rsidRDefault="000B3B63" w:rsidP="000B3B63">
      <w:pPr>
        <w:pStyle w:val="BodyText1"/>
        <w:rPr>
          <w:lang w:val="en-NZ"/>
        </w:rPr>
      </w:pPr>
    </w:p>
    <w:p w14:paraId="461E9980" w14:textId="77777777" w:rsidR="000B3B63" w:rsidRPr="00AE4DBA" w:rsidRDefault="000B3B63" w:rsidP="000B3B63">
      <w:pPr>
        <w:pStyle w:val="BodyText1"/>
        <w:rPr>
          <w:lang w:val="en-NZ"/>
        </w:rPr>
      </w:pPr>
    </w:p>
    <w:p w14:paraId="011BF8F9" w14:textId="77777777" w:rsidR="000B3B63" w:rsidRPr="00AE4DBA" w:rsidRDefault="000B3B63" w:rsidP="000B3B63">
      <w:pPr>
        <w:pStyle w:val="BodyText1"/>
        <w:rPr>
          <w:lang w:val="en-NZ"/>
        </w:rPr>
      </w:pPr>
    </w:p>
    <w:p w14:paraId="76DE25DB" w14:textId="5E99AD8C" w:rsidR="000B3B63" w:rsidRPr="00AE4DBA" w:rsidRDefault="000B3B63" w:rsidP="00734047">
      <w:pPr>
        <w:pStyle w:val="BodyText1"/>
        <w:tabs>
          <w:tab w:val="left" w:pos="3159"/>
        </w:tabs>
        <w:rPr>
          <w:lang w:val="en-NZ"/>
        </w:rPr>
      </w:pPr>
    </w:p>
    <w:p w14:paraId="3661EDC7" w14:textId="77777777" w:rsidR="000B3B63" w:rsidRPr="00AE4DBA" w:rsidRDefault="000B3B63" w:rsidP="000B3B63">
      <w:pPr>
        <w:pStyle w:val="BodyText1"/>
        <w:rPr>
          <w:lang w:val="en-NZ"/>
        </w:rPr>
      </w:pPr>
    </w:p>
    <w:p w14:paraId="2A1B7483" w14:textId="77777777" w:rsidR="00E27A4C" w:rsidRPr="00AE4DBA" w:rsidRDefault="00E27A4C" w:rsidP="00E53E2E">
      <w:pPr>
        <w:pStyle w:val="Subheading1"/>
        <w:sectPr w:rsidR="00E27A4C" w:rsidRPr="00AE4DBA" w:rsidSect="00764802">
          <w:headerReference w:type="default" r:id="rId14"/>
          <w:footerReference w:type="default" r:id="rId15"/>
          <w:headerReference w:type="first" r:id="rId16"/>
          <w:footerReference w:type="first" r:id="rId17"/>
          <w:pgSz w:w="11906" w:h="16838"/>
          <w:pgMar w:top="1530" w:right="1440" w:bottom="1702" w:left="1440" w:header="851" w:footer="199" w:gutter="0"/>
          <w:pgNumType w:start="0"/>
          <w:cols w:space="708"/>
          <w:titlePg/>
          <w:docGrid w:linePitch="360"/>
        </w:sectPr>
      </w:pPr>
    </w:p>
    <w:p w14:paraId="2648E896" w14:textId="61579CE2" w:rsidR="00E53E2E" w:rsidRPr="00AE4DBA" w:rsidRDefault="00E53E2E" w:rsidP="00E53E2E">
      <w:pPr>
        <w:pStyle w:val="Subheading1"/>
      </w:pPr>
      <w:bookmarkStart w:id="87" w:name="_Toc176345141"/>
      <w:r w:rsidRPr="00AE4DBA">
        <w:lastRenderedPageBreak/>
        <w:t>Appendix A emissions inventory and total Units of Measure (UOM)</w:t>
      </w:r>
      <w:bookmarkEnd w:id="87"/>
    </w:p>
    <w:tbl>
      <w:tblPr>
        <w:tblW w:w="13100" w:type="dxa"/>
        <w:tblLook w:val="04A0" w:firstRow="1" w:lastRow="0" w:firstColumn="1" w:lastColumn="0" w:noHBand="0" w:noVBand="1"/>
      </w:tblPr>
      <w:tblGrid>
        <w:gridCol w:w="8200"/>
        <w:gridCol w:w="2852"/>
        <w:gridCol w:w="2048"/>
      </w:tblGrid>
      <w:tr w:rsidR="00FC3EE3" w:rsidRPr="00AE4DBA" w14:paraId="5064BB5A" w14:textId="77777777" w:rsidTr="2864371F">
        <w:trPr>
          <w:trHeight w:val="264"/>
        </w:trPr>
        <w:tc>
          <w:tcPr>
            <w:tcW w:w="8200"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19033D4D" w14:textId="77777777" w:rsidR="00FC3EE3" w:rsidRPr="00AE4DBA" w:rsidRDefault="00FC3EE3" w:rsidP="00FC3EE3">
            <w:pPr>
              <w:rPr>
                <w:rFonts w:cs="Arial"/>
                <w:b/>
                <w:bCs/>
                <w:sz w:val="20"/>
                <w:szCs w:val="20"/>
              </w:rPr>
            </w:pPr>
            <w:r w:rsidRPr="00AE4DBA">
              <w:rPr>
                <w:rFonts w:cs="Arial"/>
                <w:b/>
                <w:bCs/>
                <w:sz w:val="20"/>
                <w:szCs w:val="20"/>
              </w:rPr>
              <w:t>Emissions Source</w:t>
            </w:r>
          </w:p>
        </w:tc>
        <w:tc>
          <w:tcPr>
            <w:tcW w:w="2852" w:type="dxa"/>
            <w:tcBorders>
              <w:top w:val="single" w:sz="4" w:space="0" w:color="auto"/>
              <w:left w:val="nil"/>
              <w:bottom w:val="single" w:sz="4" w:space="0" w:color="auto"/>
              <w:right w:val="single" w:sz="4" w:space="0" w:color="auto"/>
            </w:tcBorders>
            <w:shd w:val="clear" w:color="auto" w:fill="002060"/>
            <w:noWrap/>
            <w:vAlign w:val="bottom"/>
            <w:hideMark/>
          </w:tcPr>
          <w:p w14:paraId="2C53810D" w14:textId="77777777" w:rsidR="00FC3EE3" w:rsidRPr="00AE4DBA" w:rsidRDefault="00FC3EE3" w:rsidP="00FC3EE3">
            <w:pPr>
              <w:rPr>
                <w:rFonts w:cs="Arial"/>
                <w:b/>
                <w:bCs/>
                <w:sz w:val="20"/>
                <w:szCs w:val="20"/>
              </w:rPr>
            </w:pPr>
            <w:r w:rsidRPr="00AE4DBA">
              <w:rPr>
                <w:rFonts w:cs="Arial"/>
                <w:b/>
                <w:bCs/>
                <w:sz w:val="20"/>
                <w:szCs w:val="20"/>
              </w:rPr>
              <w:t>Unit of Measure</w:t>
            </w:r>
          </w:p>
        </w:tc>
        <w:tc>
          <w:tcPr>
            <w:tcW w:w="2048" w:type="dxa"/>
            <w:tcBorders>
              <w:top w:val="single" w:sz="4" w:space="0" w:color="auto"/>
              <w:left w:val="nil"/>
              <w:bottom w:val="single" w:sz="4" w:space="0" w:color="auto"/>
              <w:right w:val="single" w:sz="4" w:space="0" w:color="auto"/>
            </w:tcBorders>
            <w:shd w:val="clear" w:color="auto" w:fill="002060"/>
            <w:noWrap/>
            <w:vAlign w:val="bottom"/>
            <w:hideMark/>
          </w:tcPr>
          <w:p w14:paraId="1A8A8D8B" w14:textId="77777777" w:rsidR="00FC3EE3" w:rsidRPr="00AE4DBA" w:rsidRDefault="00FC3EE3" w:rsidP="00FC3EE3">
            <w:pPr>
              <w:rPr>
                <w:rFonts w:cs="Arial"/>
                <w:b/>
                <w:bCs/>
                <w:sz w:val="20"/>
                <w:szCs w:val="20"/>
              </w:rPr>
            </w:pPr>
            <w:r w:rsidRPr="00AE4DBA">
              <w:rPr>
                <w:rFonts w:cs="Arial"/>
                <w:b/>
                <w:bCs/>
                <w:sz w:val="20"/>
                <w:szCs w:val="20"/>
              </w:rPr>
              <w:t>tCO2e</w:t>
            </w:r>
          </w:p>
        </w:tc>
      </w:tr>
      <w:tr w:rsidR="00FC3EE3" w:rsidRPr="00AE4DBA" w14:paraId="4EBAF04F"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43744BD4" w14:textId="77777777" w:rsidR="00FC3EE3" w:rsidRPr="00AE4DBA" w:rsidRDefault="00FC3EE3" w:rsidP="00FC3EE3">
            <w:pPr>
              <w:rPr>
                <w:rFonts w:cs="Arial"/>
                <w:sz w:val="20"/>
                <w:szCs w:val="20"/>
              </w:rPr>
            </w:pPr>
            <w:r w:rsidRPr="00AE4DBA">
              <w:rPr>
                <w:rFonts w:cs="Arial"/>
                <w:sz w:val="20"/>
                <w:szCs w:val="20"/>
              </w:rPr>
              <w:t>Nat Gas - Industrial - GJ</w:t>
            </w:r>
          </w:p>
        </w:tc>
        <w:tc>
          <w:tcPr>
            <w:tcW w:w="2852" w:type="dxa"/>
            <w:tcBorders>
              <w:top w:val="nil"/>
              <w:left w:val="nil"/>
              <w:bottom w:val="single" w:sz="4" w:space="0" w:color="auto"/>
              <w:right w:val="single" w:sz="4" w:space="0" w:color="auto"/>
            </w:tcBorders>
            <w:shd w:val="clear" w:color="auto" w:fill="auto"/>
            <w:noWrap/>
            <w:vAlign w:val="bottom"/>
            <w:hideMark/>
          </w:tcPr>
          <w:p w14:paraId="5F8DDF94" w14:textId="77777777" w:rsidR="00FC3EE3" w:rsidRPr="00AE4DBA" w:rsidRDefault="00FC3EE3" w:rsidP="00FC3EE3">
            <w:pPr>
              <w:rPr>
                <w:rFonts w:cs="Arial"/>
                <w:sz w:val="20"/>
                <w:szCs w:val="20"/>
              </w:rPr>
            </w:pPr>
            <w:r w:rsidRPr="00AE4DBA">
              <w:rPr>
                <w:rFonts w:cs="Arial"/>
                <w:sz w:val="20"/>
                <w:szCs w:val="20"/>
              </w:rPr>
              <w:t>GJ</w:t>
            </w:r>
          </w:p>
        </w:tc>
        <w:tc>
          <w:tcPr>
            <w:tcW w:w="2048" w:type="dxa"/>
            <w:tcBorders>
              <w:top w:val="nil"/>
              <w:left w:val="nil"/>
              <w:bottom w:val="single" w:sz="4" w:space="0" w:color="auto"/>
              <w:right w:val="single" w:sz="4" w:space="0" w:color="auto"/>
            </w:tcBorders>
            <w:shd w:val="clear" w:color="auto" w:fill="auto"/>
            <w:noWrap/>
            <w:vAlign w:val="bottom"/>
            <w:hideMark/>
          </w:tcPr>
          <w:p w14:paraId="60C70941" w14:textId="65D1AD7C" w:rsidR="00FC3EE3" w:rsidRPr="00AE4DBA" w:rsidRDefault="422E2AA6" w:rsidP="00FC3EE3">
            <w:pPr>
              <w:jc w:val="right"/>
              <w:rPr>
                <w:rFonts w:cs="Arial"/>
                <w:sz w:val="20"/>
                <w:szCs w:val="20"/>
              </w:rPr>
            </w:pPr>
            <w:r w:rsidRPr="2864371F">
              <w:rPr>
                <w:rFonts w:cs="Arial"/>
                <w:sz w:val="20"/>
                <w:szCs w:val="20"/>
              </w:rPr>
              <w:t>48,972</w:t>
            </w:r>
          </w:p>
        </w:tc>
      </w:tr>
      <w:tr w:rsidR="00FC3EE3" w:rsidRPr="00AE4DBA" w14:paraId="1A99A5EE"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74A1DD8A" w14:textId="77777777" w:rsidR="00FC3EE3" w:rsidRPr="00AE4DBA" w:rsidRDefault="00FC3EE3" w:rsidP="00FC3EE3">
            <w:pPr>
              <w:rPr>
                <w:rFonts w:cs="Arial"/>
                <w:sz w:val="20"/>
                <w:szCs w:val="20"/>
              </w:rPr>
            </w:pPr>
            <w:r w:rsidRPr="00AE4DBA">
              <w:rPr>
                <w:rFonts w:cs="Arial"/>
                <w:sz w:val="20"/>
                <w:szCs w:val="20"/>
              </w:rPr>
              <w:t xml:space="preserve">Electricity - </w:t>
            </w:r>
            <w:proofErr w:type="spellStart"/>
            <w:r w:rsidRPr="00AE4DBA">
              <w:rPr>
                <w:rFonts w:cs="Arial"/>
                <w:sz w:val="20"/>
                <w:szCs w:val="20"/>
              </w:rPr>
              <w:t>Kwh</w:t>
            </w:r>
            <w:proofErr w:type="spellEnd"/>
          </w:p>
        </w:tc>
        <w:tc>
          <w:tcPr>
            <w:tcW w:w="2852" w:type="dxa"/>
            <w:tcBorders>
              <w:top w:val="nil"/>
              <w:left w:val="nil"/>
              <w:bottom w:val="single" w:sz="4" w:space="0" w:color="auto"/>
              <w:right w:val="single" w:sz="4" w:space="0" w:color="auto"/>
            </w:tcBorders>
            <w:shd w:val="clear" w:color="auto" w:fill="auto"/>
            <w:noWrap/>
            <w:vAlign w:val="bottom"/>
            <w:hideMark/>
          </w:tcPr>
          <w:p w14:paraId="00BCE4FB" w14:textId="77777777" w:rsidR="00FC3EE3" w:rsidRPr="00AE4DBA" w:rsidRDefault="00FC3EE3" w:rsidP="00FC3EE3">
            <w:pPr>
              <w:rPr>
                <w:rFonts w:cs="Arial"/>
                <w:sz w:val="20"/>
                <w:szCs w:val="20"/>
              </w:rPr>
            </w:pPr>
            <w:proofErr w:type="spellStart"/>
            <w:r w:rsidRPr="00AE4DBA">
              <w:rPr>
                <w:rFonts w:cs="Arial"/>
                <w:sz w:val="20"/>
                <w:szCs w:val="20"/>
              </w:rPr>
              <w:t>Kwh</w:t>
            </w:r>
            <w:proofErr w:type="spellEnd"/>
          </w:p>
        </w:tc>
        <w:tc>
          <w:tcPr>
            <w:tcW w:w="2048" w:type="dxa"/>
            <w:tcBorders>
              <w:top w:val="nil"/>
              <w:left w:val="nil"/>
              <w:bottom w:val="single" w:sz="4" w:space="0" w:color="auto"/>
              <w:right w:val="single" w:sz="4" w:space="0" w:color="auto"/>
            </w:tcBorders>
            <w:shd w:val="clear" w:color="auto" w:fill="auto"/>
            <w:noWrap/>
            <w:vAlign w:val="bottom"/>
            <w:hideMark/>
          </w:tcPr>
          <w:p w14:paraId="69A92FBF" w14:textId="77777777" w:rsidR="00FC3EE3" w:rsidRPr="00AE4DBA" w:rsidRDefault="00FC3EE3" w:rsidP="00FC3EE3">
            <w:pPr>
              <w:jc w:val="right"/>
              <w:rPr>
                <w:rFonts w:cs="Arial"/>
                <w:sz w:val="20"/>
                <w:szCs w:val="20"/>
              </w:rPr>
            </w:pPr>
            <w:r w:rsidRPr="00AE4DBA">
              <w:rPr>
                <w:rFonts w:cs="Arial"/>
                <w:sz w:val="20"/>
                <w:szCs w:val="20"/>
              </w:rPr>
              <w:t>26,425</w:t>
            </w:r>
          </w:p>
        </w:tc>
      </w:tr>
      <w:tr w:rsidR="00FC3EE3" w:rsidRPr="00AE4DBA" w14:paraId="0D779EA4"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137F5DDA" w14:textId="77777777" w:rsidR="00FC3EE3" w:rsidRPr="00AE4DBA" w:rsidRDefault="00FC3EE3" w:rsidP="00FC3EE3">
            <w:pPr>
              <w:rPr>
                <w:rFonts w:cs="Arial"/>
                <w:sz w:val="20"/>
                <w:szCs w:val="20"/>
              </w:rPr>
            </w:pPr>
            <w:r w:rsidRPr="00AE4DBA">
              <w:rPr>
                <w:rFonts w:cs="Arial"/>
                <w:sz w:val="20"/>
                <w:szCs w:val="20"/>
              </w:rPr>
              <w:t>Long-haul (&gt;3700km) - Business class - With Radiative Forcing</w:t>
            </w:r>
          </w:p>
        </w:tc>
        <w:tc>
          <w:tcPr>
            <w:tcW w:w="2852" w:type="dxa"/>
            <w:tcBorders>
              <w:top w:val="nil"/>
              <w:left w:val="nil"/>
              <w:bottom w:val="single" w:sz="4" w:space="0" w:color="auto"/>
              <w:right w:val="single" w:sz="4" w:space="0" w:color="auto"/>
            </w:tcBorders>
            <w:shd w:val="clear" w:color="auto" w:fill="auto"/>
            <w:noWrap/>
            <w:vAlign w:val="bottom"/>
            <w:hideMark/>
          </w:tcPr>
          <w:p w14:paraId="18402520" w14:textId="77777777" w:rsidR="00FC3EE3" w:rsidRPr="00AE4DBA" w:rsidRDefault="00FC3EE3" w:rsidP="00FC3EE3">
            <w:pPr>
              <w:rPr>
                <w:rFonts w:cs="Arial"/>
                <w:sz w:val="20"/>
                <w:szCs w:val="20"/>
              </w:rPr>
            </w:pPr>
            <w:r w:rsidRPr="00AE4DBA">
              <w:rPr>
                <w:rFonts w:cs="Arial"/>
                <w:sz w:val="20"/>
                <w:szCs w:val="20"/>
              </w:rPr>
              <w:t>Passenger Kms</w:t>
            </w:r>
          </w:p>
        </w:tc>
        <w:tc>
          <w:tcPr>
            <w:tcW w:w="2048" w:type="dxa"/>
            <w:tcBorders>
              <w:top w:val="nil"/>
              <w:left w:val="nil"/>
              <w:bottom w:val="single" w:sz="4" w:space="0" w:color="auto"/>
              <w:right w:val="single" w:sz="4" w:space="0" w:color="auto"/>
            </w:tcBorders>
            <w:shd w:val="clear" w:color="auto" w:fill="auto"/>
            <w:noWrap/>
            <w:vAlign w:val="bottom"/>
            <w:hideMark/>
          </w:tcPr>
          <w:p w14:paraId="6FDD078D" w14:textId="77777777" w:rsidR="00FC3EE3" w:rsidRPr="00AE4DBA" w:rsidRDefault="00FC3EE3" w:rsidP="00FC3EE3">
            <w:pPr>
              <w:jc w:val="right"/>
              <w:rPr>
                <w:rFonts w:cs="Arial"/>
                <w:sz w:val="20"/>
                <w:szCs w:val="20"/>
              </w:rPr>
            </w:pPr>
            <w:r w:rsidRPr="00AE4DBA">
              <w:rPr>
                <w:rFonts w:cs="Arial"/>
                <w:sz w:val="20"/>
                <w:szCs w:val="20"/>
              </w:rPr>
              <w:t>16,290</w:t>
            </w:r>
          </w:p>
        </w:tc>
      </w:tr>
      <w:tr w:rsidR="00FC3EE3" w:rsidRPr="00AE4DBA" w14:paraId="013972FF"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410DBB24" w14:textId="77777777" w:rsidR="00FC3EE3" w:rsidRPr="00AE4DBA" w:rsidRDefault="00FC3EE3" w:rsidP="00FC3EE3">
            <w:pPr>
              <w:rPr>
                <w:rFonts w:cs="Arial"/>
                <w:sz w:val="20"/>
                <w:szCs w:val="20"/>
              </w:rPr>
            </w:pPr>
            <w:r w:rsidRPr="00AE4DBA">
              <w:rPr>
                <w:rFonts w:cs="Arial"/>
                <w:sz w:val="20"/>
                <w:szCs w:val="20"/>
              </w:rPr>
              <w:t>TWO Air travel Default - KgCO2-e</w:t>
            </w:r>
          </w:p>
        </w:tc>
        <w:tc>
          <w:tcPr>
            <w:tcW w:w="2852" w:type="dxa"/>
            <w:tcBorders>
              <w:top w:val="nil"/>
              <w:left w:val="nil"/>
              <w:bottom w:val="single" w:sz="4" w:space="0" w:color="auto"/>
              <w:right w:val="single" w:sz="4" w:space="0" w:color="auto"/>
            </w:tcBorders>
            <w:shd w:val="clear" w:color="auto" w:fill="auto"/>
            <w:noWrap/>
            <w:vAlign w:val="bottom"/>
            <w:hideMark/>
          </w:tcPr>
          <w:p w14:paraId="46D12B72" w14:textId="77777777" w:rsidR="00FC3EE3" w:rsidRPr="00AE4DBA" w:rsidRDefault="00FC3EE3" w:rsidP="00FC3EE3">
            <w:pPr>
              <w:rPr>
                <w:rFonts w:cs="Arial"/>
                <w:sz w:val="20"/>
                <w:szCs w:val="20"/>
              </w:rPr>
            </w:pPr>
            <w:r w:rsidRPr="00AE4DBA">
              <w:rPr>
                <w:rFonts w:cs="Arial"/>
                <w:sz w:val="20"/>
                <w:szCs w:val="20"/>
              </w:rPr>
              <w:t>KgCO2-e direct</w:t>
            </w:r>
          </w:p>
        </w:tc>
        <w:tc>
          <w:tcPr>
            <w:tcW w:w="2048" w:type="dxa"/>
            <w:tcBorders>
              <w:top w:val="nil"/>
              <w:left w:val="nil"/>
              <w:bottom w:val="single" w:sz="4" w:space="0" w:color="auto"/>
              <w:right w:val="single" w:sz="4" w:space="0" w:color="auto"/>
            </w:tcBorders>
            <w:shd w:val="clear" w:color="auto" w:fill="auto"/>
            <w:noWrap/>
            <w:vAlign w:val="bottom"/>
            <w:hideMark/>
          </w:tcPr>
          <w:p w14:paraId="617C864F" w14:textId="77777777" w:rsidR="00FC3EE3" w:rsidRPr="00AE4DBA" w:rsidRDefault="00FC3EE3" w:rsidP="00FC3EE3">
            <w:pPr>
              <w:jc w:val="right"/>
              <w:rPr>
                <w:rFonts w:cs="Arial"/>
                <w:sz w:val="20"/>
                <w:szCs w:val="20"/>
              </w:rPr>
            </w:pPr>
            <w:r w:rsidRPr="00AE4DBA">
              <w:rPr>
                <w:rFonts w:cs="Arial"/>
                <w:sz w:val="20"/>
                <w:szCs w:val="20"/>
              </w:rPr>
              <w:t>13,425</w:t>
            </w:r>
          </w:p>
        </w:tc>
      </w:tr>
      <w:tr w:rsidR="00FC3EE3" w:rsidRPr="00AE4DBA" w14:paraId="4EB2EB5C"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13FD6280" w14:textId="77777777" w:rsidR="00FC3EE3" w:rsidRPr="00AE4DBA" w:rsidRDefault="00FC3EE3" w:rsidP="00FC3EE3">
            <w:pPr>
              <w:rPr>
                <w:rFonts w:cs="Arial"/>
                <w:sz w:val="20"/>
                <w:szCs w:val="20"/>
              </w:rPr>
            </w:pPr>
            <w:r w:rsidRPr="00AE4DBA">
              <w:rPr>
                <w:rFonts w:cs="Arial"/>
                <w:sz w:val="20"/>
                <w:szCs w:val="20"/>
              </w:rPr>
              <w:t>Nitrous oxide</w:t>
            </w:r>
          </w:p>
        </w:tc>
        <w:tc>
          <w:tcPr>
            <w:tcW w:w="2852" w:type="dxa"/>
            <w:tcBorders>
              <w:top w:val="nil"/>
              <w:left w:val="nil"/>
              <w:bottom w:val="single" w:sz="4" w:space="0" w:color="auto"/>
              <w:right w:val="single" w:sz="4" w:space="0" w:color="auto"/>
            </w:tcBorders>
            <w:shd w:val="clear" w:color="auto" w:fill="auto"/>
            <w:noWrap/>
            <w:vAlign w:val="bottom"/>
            <w:hideMark/>
          </w:tcPr>
          <w:p w14:paraId="7AB89560" w14:textId="77777777" w:rsidR="00FC3EE3" w:rsidRPr="00AE4DBA" w:rsidRDefault="00FC3EE3" w:rsidP="00FC3EE3">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16477728" w14:textId="77777777" w:rsidR="00FC3EE3" w:rsidRPr="00AE4DBA" w:rsidRDefault="00FC3EE3" w:rsidP="00FC3EE3">
            <w:pPr>
              <w:jc w:val="right"/>
              <w:rPr>
                <w:rFonts w:cs="Arial"/>
                <w:sz w:val="20"/>
                <w:szCs w:val="20"/>
              </w:rPr>
            </w:pPr>
            <w:r w:rsidRPr="00AE4DBA">
              <w:rPr>
                <w:rFonts w:cs="Arial"/>
                <w:sz w:val="20"/>
                <w:szCs w:val="20"/>
              </w:rPr>
              <w:t>13,094</w:t>
            </w:r>
          </w:p>
        </w:tc>
      </w:tr>
      <w:tr w:rsidR="00FC3EE3" w:rsidRPr="00AE4DBA" w14:paraId="1D311937"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40FBFA3E" w14:textId="77777777" w:rsidR="00FC3EE3" w:rsidRPr="00AE4DBA" w:rsidRDefault="00FC3EE3" w:rsidP="00FC3EE3">
            <w:pPr>
              <w:rPr>
                <w:rFonts w:cs="Arial"/>
                <w:sz w:val="20"/>
                <w:szCs w:val="20"/>
              </w:rPr>
            </w:pPr>
            <w:r w:rsidRPr="00AE4DBA">
              <w:rPr>
                <w:rFonts w:cs="Arial"/>
                <w:sz w:val="20"/>
                <w:szCs w:val="20"/>
              </w:rPr>
              <w:t>TWO Air travel Default - tCO2-e</w:t>
            </w:r>
          </w:p>
        </w:tc>
        <w:tc>
          <w:tcPr>
            <w:tcW w:w="2852" w:type="dxa"/>
            <w:tcBorders>
              <w:top w:val="nil"/>
              <w:left w:val="nil"/>
              <w:bottom w:val="single" w:sz="4" w:space="0" w:color="auto"/>
              <w:right w:val="single" w:sz="4" w:space="0" w:color="auto"/>
            </w:tcBorders>
            <w:shd w:val="clear" w:color="auto" w:fill="auto"/>
            <w:noWrap/>
            <w:vAlign w:val="bottom"/>
            <w:hideMark/>
          </w:tcPr>
          <w:p w14:paraId="1DBC03DA" w14:textId="77777777" w:rsidR="00FC3EE3" w:rsidRPr="00AE4DBA" w:rsidRDefault="00FC3EE3" w:rsidP="00FC3EE3">
            <w:pPr>
              <w:rPr>
                <w:rFonts w:cs="Arial"/>
                <w:sz w:val="20"/>
                <w:szCs w:val="20"/>
              </w:rPr>
            </w:pPr>
            <w:r w:rsidRPr="00AE4DBA">
              <w:rPr>
                <w:rFonts w:cs="Arial"/>
                <w:sz w:val="20"/>
                <w:szCs w:val="20"/>
              </w:rPr>
              <w:t>tCO2-e direct</w:t>
            </w:r>
          </w:p>
        </w:tc>
        <w:tc>
          <w:tcPr>
            <w:tcW w:w="2048" w:type="dxa"/>
            <w:tcBorders>
              <w:top w:val="nil"/>
              <w:left w:val="nil"/>
              <w:bottom w:val="single" w:sz="4" w:space="0" w:color="auto"/>
              <w:right w:val="single" w:sz="4" w:space="0" w:color="auto"/>
            </w:tcBorders>
            <w:shd w:val="clear" w:color="auto" w:fill="auto"/>
            <w:noWrap/>
            <w:vAlign w:val="bottom"/>
            <w:hideMark/>
          </w:tcPr>
          <w:p w14:paraId="50EC882D" w14:textId="77777777" w:rsidR="00FC3EE3" w:rsidRPr="00AE4DBA" w:rsidRDefault="00FC3EE3" w:rsidP="00FC3EE3">
            <w:pPr>
              <w:jc w:val="right"/>
              <w:rPr>
                <w:rFonts w:cs="Arial"/>
                <w:sz w:val="20"/>
                <w:szCs w:val="20"/>
              </w:rPr>
            </w:pPr>
            <w:r w:rsidRPr="00AE4DBA">
              <w:rPr>
                <w:rFonts w:cs="Arial"/>
                <w:sz w:val="20"/>
                <w:szCs w:val="20"/>
              </w:rPr>
              <w:t>11,735</w:t>
            </w:r>
          </w:p>
        </w:tc>
      </w:tr>
      <w:tr w:rsidR="00FC3EE3" w:rsidRPr="00AE4DBA" w14:paraId="7044A2FF"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7FA117E9" w14:textId="77777777" w:rsidR="00FC3EE3" w:rsidRPr="00AE4DBA" w:rsidRDefault="00FC3EE3" w:rsidP="00FC3EE3">
            <w:pPr>
              <w:rPr>
                <w:rFonts w:cs="Arial"/>
                <w:sz w:val="20"/>
                <w:szCs w:val="20"/>
              </w:rPr>
            </w:pPr>
            <w:r w:rsidRPr="00AE4DBA">
              <w:rPr>
                <w:rFonts w:cs="Arial"/>
                <w:sz w:val="20"/>
                <w:szCs w:val="20"/>
              </w:rPr>
              <w:t>Petrol - Default* - Petrol - Default* - litre</w:t>
            </w:r>
          </w:p>
        </w:tc>
        <w:tc>
          <w:tcPr>
            <w:tcW w:w="2852" w:type="dxa"/>
            <w:tcBorders>
              <w:top w:val="nil"/>
              <w:left w:val="nil"/>
              <w:bottom w:val="single" w:sz="4" w:space="0" w:color="auto"/>
              <w:right w:val="single" w:sz="4" w:space="0" w:color="auto"/>
            </w:tcBorders>
            <w:shd w:val="clear" w:color="auto" w:fill="auto"/>
            <w:noWrap/>
            <w:vAlign w:val="bottom"/>
            <w:hideMark/>
          </w:tcPr>
          <w:p w14:paraId="621F4A0B" w14:textId="77777777" w:rsidR="00FC3EE3" w:rsidRPr="00AE4DBA" w:rsidRDefault="00FC3EE3" w:rsidP="00FC3EE3">
            <w:pPr>
              <w:rPr>
                <w:rFonts w:cs="Arial"/>
                <w:sz w:val="20"/>
                <w:szCs w:val="20"/>
              </w:rPr>
            </w:pPr>
            <w:r w:rsidRPr="00AE4DBA">
              <w:rPr>
                <w:rFonts w:cs="Arial"/>
                <w:sz w:val="20"/>
                <w:szCs w:val="20"/>
              </w:rPr>
              <w:t>Litre</w:t>
            </w:r>
          </w:p>
        </w:tc>
        <w:tc>
          <w:tcPr>
            <w:tcW w:w="2048" w:type="dxa"/>
            <w:tcBorders>
              <w:top w:val="nil"/>
              <w:left w:val="nil"/>
              <w:bottom w:val="single" w:sz="4" w:space="0" w:color="auto"/>
              <w:right w:val="single" w:sz="4" w:space="0" w:color="auto"/>
            </w:tcBorders>
            <w:shd w:val="clear" w:color="auto" w:fill="auto"/>
            <w:noWrap/>
            <w:vAlign w:val="bottom"/>
            <w:hideMark/>
          </w:tcPr>
          <w:p w14:paraId="65686056" w14:textId="77777777" w:rsidR="00FC3EE3" w:rsidRPr="00AE4DBA" w:rsidRDefault="00FC3EE3" w:rsidP="00FC3EE3">
            <w:pPr>
              <w:jc w:val="right"/>
              <w:rPr>
                <w:rFonts w:cs="Arial"/>
                <w:sz w:val="20"/>
                <w:szCs w:val="20"/>
              </w:rPr>
            </w:pPr>
            <w:r w:rsidRPr="00AE4DBA">
              <w:rPr>
                <w:rFonts w:cs="Arial"/>
                <w:sz w:val="20"/>
                <w:szCs w:val="20"/>
              </w:rPr>
              <w:t>6,501</w:t>
            </w:r>
          </w:p>
        </w:tc>
      </w:tr>
      <w:tr w:rsidR="00FC3EE3" w:rsidRPr="00AE4DBA" w14:paraId="0294DFE3"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142E1616" w14:textId="3A2947B5" w:rsidR="00FC3EE3" w:rsidRPr="00AE4DBA" w:rsidRDefault="00FC3EE3" w:rsidP="00FC3EE3">
            <w:pPr>
              <w:rPr>
                <w:rFonts w:cs="Arial"/>
                <w:sz w:val="20"/>
                <w:szCs w:val="20"/>
              </w:rPr>
            </w:pPr>
            <w:r w:rsidRPr="00AE4DBA">
              <w:rPr>
                <w:rFonts w:cs="Arial"/>
                <w:sz w:val="20"/>
                <w:szCs w:val="20"/>
              </w:rPr>
              <w:t>Passenger Vehicle - Petrol Vehicle - Default - Km (NTA)</w:t>
            </w:r>
          </w:p>
        </w:tc>
        <w:tc>
          <w:tcPr>
            <w:tcW w:w="2852" w:type="dxa"/>
            <w:tcBorders>
              <w:top w:val="nil"/>
              <w:left w:val="nil"/>
              <w:bottom w:val="single" w:sz="4" w:space="0" w:color="auto"/>
              <w:right w:val="single" w:sz="4" w:space="0" w:color="auto"/>
            </w:tcBorders>
            <w:shd w:val="clear" w:color="auto" w:fill="auto"/>
            <w:noWrap/>
            <w:vAlign w:val="bottom"/>
            <w:hideMark/>
          </w:tcPr>
          <w:p w14:paraId="471210CD" w14:textId="77777777" w:rsidR="00FC3EE3" w:rsidRPr="00AE4DBA" w:rsidRDefault="00FC3EE3" w:rsidP="00FC3EE3">
            <w:pPr>
              <w:rPr>
                <w:rFonts w:cs="Arial"/>
                <w:sz w:val="20"/>
                <w:szCs w:val="20"/>
              </w:rPr>
            </w:pPr>
            <w:r w:rsidRPr="00AE4DBA">
              <w:rPr>
                <w:rFonts w:cs="Arial"/>
                <w:sz w:val="20"/>
                <w:szCs w:val="20"/>
              </w:rPr>
              <w:t>Km</w:t>
            </w:r>
          </w:p>
        </w:tc>
        <w:tc>
          <w:tcPr>
            <w:tcW w:w="2048" w:type="dxa"/>
            <w:tcBorders>
              <w:top w:val="nil"/>
              <w:left w:val="nil"/>
              <w:bottom w:val="single" w:sz="4" w:space="0" w:color="auto"/>
              <w:right w:val="single" w:sz="4" w:space="0" w:color="auto"/>
            </w:tcBorders>
            <w:shd w:val="clear" w:color="auto" w:fill="auto"/>
            <w:noWrap/>
            <w:vAlign w:val="bottom"/>
            <w:hideMark/>
          </w:tcPr>
          <w:p w14:paraId="1B1B54E7" w14:textId="77777777" w:rsidR="00FC3EE3" w:rsidRPr="00AE4DBA" w:rsidRDefault="00FC3EE3" w:rsidP="00FC3EE3">
            <w:pPr>
              <w:jc w:val="right"/>
              <w:rPr>
                <w:rFonts w:cs="Arial"/>
                <w:sz w:val="20"/>
                <w:szCs w:val="20"/>
              </w:rPr>
            </w:pPr>
            <w:r w:rsidRPr="00AE4DBA">
              <w:rPr>
                <w:rFonts w:cs="Arial"/>
                <w:sz w:val="20"/>
                <w:szCs w:val="20"/>
              </w:rPr>
              <w:t>5,391</w:t>
            </w:r>
          </w:p>
        </w:tc>
      </w:tr>
      <w:tr w:rsidR="00FC3EE3" w:rsidRPr="00AE4DBA" w14:paraId="183A691D"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245DC342" w14:textId="77777777" w:rsidR="00FC3EE3" w:rsidRPr="00AE4DBA" w:rsidRDefault="00FC3EE3" w:rsidP="00FC3EE3">
            <w:pPr>
              <w:rPr>
                <w:rFonts w:cs="Arial"/>
                <w:sz w:val="20"/>
                <w:szCs w:val="20"/>
              </w:rPr>
            </w:pPr>
            <w:r w:rsidRPr="00AE4DBA">
              <w:rPr>
                <w:rFonts w:cs="Arial"/>
                <w:sz w:val="20"/>
                <w:szCs w:val="20"/>
              </w:rPr>
              <w:t>Long-haul (&gt;3700km) - Economy class - With Radiative Forcing</w:t>
            </w:r>
          </w:p>
        </w:tc>
        <w:tc>
          <w:tcPr>
            <w:tcW w:w="2852" w:type="dxa"/>
            <w:tcBorders>
              <w:top w:val="nil"/>
              <w:left w:val="nil"/>
              <w:bottom w:val="single" w:sz="4" w:space="0" w:color="auto"/>
              <w:right w:val="single" w:sz="4" w:space="0" w:color="auto"/>
            </w:tcBorders>
            <w:shd w:val="clear" w:color="auto" w:fill="auto"/>
            <w:noWrap/>
            <w:vAlign w:val="bottom"/>
            <w:hideMark/>
          </w:tcPr>
          <w:p w14:paraId="3C1892DF" w14:textId="77777777" w:rsidR="00FC3EE3" w:rsidRPr="00AE4DBA" w:rsidRDefault="00FC3EE3" w:rsidP="00FC3EE3">
            <w:pPr>
              <w:rPr>
                <w:rFonts w:cs="Arial"/>
                <w:sz w:val="20"/>
                <w:szCs w:val="20"/>
              </w:rPr>
            </w:pPr>
            <w:r w:rsidRPr="00AE4DBA">
              <w:rPr>
                <w:rFonts w:cs="Arial"/>
                <w:sz w:val="20"/>
                <w:szCs w:val="20"/>
              </w:rPr>
              <w:t>Passenger Kms</w:t>
            </w:r>
          </w:p>
        </w:tc>
        <w:tc>
          <w:tcPr>
            <w:tcW w:w="2048" w:type="dxa"/>
            <w:tcBorders>
              <w:top w:val="nil"/>
              <w:left w:val="nil"/>
              <w:bottom w:val="single" w:sz="4" w:space="0" w:color="auto"/>
              <w:right w:val="single" w:sz="4" w:space="0" w:color="auto"/>
            </w:tcBorders>
            <w:shd w:val="clear" w:color="auto" w:fill="auto"/>
            <w:noWrap/>
            <w:vAlign w:val="bottom"/>
            <w:hideMark/>
          </w:tcPr>
          <w:p w14:paraId="15C741F7" w14:textId="77777777" w:rsidR="00FC3EE3" w:rsidRPr="00AE4DBA" w:rsidRDefault="00FC3EE3" w:rsidP="00FC3EE3">
            <w:pPr>
              <w:jc w:val="right"/>
              <w:rPr>
                <w:rFonts w:cs="Arial"/>
                <w:sz w:val="20"/>
                <w:szCs w:val="20"/>
              </w:rPr>
            </w:pPr>
            <w:r w:rsidRPr="00AE4DBA">
              <w:rPr>
                <w:rFonts w:cs="Arial"/>
                <w:sz w:val="20"/>
                <w:szCs w:val="20"/>
              </w:rPr>
              <w:t>5,135</w:t>
            </w:r>
          </w:p>
        </w:tc>
      </w:tr>
      <w:tr w:rsidR="00FC3EE3" w:rsidRPr="00AE4DBA" w14:paraId="323F18FE"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13DF42D9" w14:textId="77777777" w:rsidR="00FC3EE3" w:rsidRPr="00AE4DBA" w:rsidRDefault="00FC3EE3" w:rsidP="00FC3EE3">
            <w:pPr>
              <w:rPr>
                <w:rFonts w:cs="Arial"/>
                <w:sz w:val="20"/>
                <w:szCs w:val="20"/>
              </w:rPr>
            </w:pPr>
            <w:r w:rsidRPr="00AE4DBA">
              <w:rPr>
                <w:rFonts w:cs="Arial"/>
                <w:sz w:val="20"/>
                <w:szCs w:val="20"/>
              </w:rPr>
              <w:t>Aviation fuel (Kerosene) - litre (Cat 3)</w:t>
            </w:r>
          </w:p>
        </w:tc>
        <w:tc>
          <w:tcPr>
            <w:tcW w:w="2852" w:type="dxa"/>
            <w:tcBorders>
              <w:top w:val="nil"/>
              <w:left w:val="nil"/>
              <w:bottom w:val="single" w:sz="4" w:space="0" w:color="auto"/>
              <w:right w:val="single" w:sz="4" w:space="0" w:color="auto"/>
            </w:tcBorders>
            <w:shd w:val="clear" w:color="auto" w:fill="auto"/>
            <w:noWrap/>
            <w:vAlign w:val="bottom"/>
            <w:hideMark/>
          </w:tcPr>
          <w:p w14:paraId="771432FB" w14:textId="77777777" w:rsidR="00FC3EE3" w:rsidRPr="00AE4DBA" w:rsidRDefault="00FC3EE3" w:rsidP="00FC3EE3">
            <w:pPr>
              <w:rPr>
                <w:rFonts w:cs="Arial"/>
                <w:sz w:val="20"/>
                <w:szCs w:val="20"/>
              </w:rPr>
            </w:pPr>
            <w:r w:rsidRPr="00AE4DBA">
              <w:rPr>
                <w:rFonts w:cs="Arial"/>
                <w:sz w:val="20"/>
                <w:szCs w:val="20"/>
              </w:rPr>
              <w:t>Litres</w:t>
            </w:r>
          </w:p>
        </w:tc>
        <w:tc>
          <w:tcPr>
            <w:tcW w:w="2048" w:type="dxa"/>
            <w:tcBorders>
              <w:top w:val="nil"/>
              <w:left w:val="nil"/>
              <w:bottom w:val="single" w:sz="4" w:space="0" w:color="auto"/>
              <w:right w:val="single" w:sz="4" w:space="0" w:color="auto"/>
            </w:tcBorders>
            <w:shd w:val="clear" w:color="auto" w:fill="auto"/>
            <w:noWrap/>
            <w:vAlign w:val="bottom"/>
            <w:hideMark/>
          </w:tcPr>
          <w:p w14:paraId="5CF4B135" w14:textId="77777777" w:rsidR="00FC3EE3" w:rsidRPr="00AE4DBA" w:rsidRDefault="00FC3EE3" w:rsidP="00FC3EE3">
            <w:pPr>
              <w:jc w:val="right"/>
              <w:rPr>
                <w:rFonts w:cs="Arial"/>
                <w:sz w:val="20"/>
                <w:szCs w:val="20"/>
              </w:rPr>
            </w:pPr>
            <w:r w:rsidRPr="00AE4DBA">
              <w:rPr>
                <w:rFonts w:cs="Arial"/>
                <w:sz w:val="20"/>
                <w:szCs w:val="20"/>
              </w:rPr>
              <w:t>5,106</w:t>
            </w:r>
          </w:p>
        </w:tc>
      </w:tr>
      <w:tr w:rsidR="00FC3EE3" w:rsidRPr="00AE4DBA" w14:paraId="2712BAB9"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39AEA0D7" w14:textId="77777777" w:rsidR="00FC3EE3" w:rsidRPr="00AE4DBA" w:rsidRDefault="00FC3EE3" w:rsidP="00FC3EE3">
            <w:pPr>
              <w:rPr>
                <w:rFonts w:cs="Arial"/>
                <w:sz w:val="20"/>
                <w:szCs w:val="20"/>
              </w:rPr>
            </w:pPr>
            <w:r w:rsidRPr="00AE4DBA">
              <w:rPr>
                <w:rFonts w:cs="Arial"/>
                <w:sz w:val="20"/>
                <w:szCs w:val="20"/>
              </w:rPr>
              <w:t>Coal - Sub-Bituminous - Industrial Use - GJ</w:t>
            </w:r>
          </w:p>
        </w:tc>
        <w:tc>
          <w:tcPr>
            <w:tcW w:w="2852" w:type="dxa"/>
            <w:tcBorders>
              <w:top w:val="nil"/>
              <w:left w:val="nil"/>
              <w:bottom w:val="single" w:sz="4" w:space="0" w:color="auto"/>
              <w:right w:val="single" w:sz="4" w:space="0" w:color="auto"/>
            </w:tcBorders>
            <w:shd w:val="clear" w:color="auto" w:fill="auto"/>
            <w:noWrap/>
            <w:vAlign w:val="bottom"/>
            <w:hideMark/>
          </w:tcPr>
          <w:p w14:paraId="7B5D2667" w14:textId="77777777" w:rsidR="00FC3EE3" w:rsidRPr="00AE4DBA" w:rsidRDefault="00FC3EE3" w:rsidP="00FC3EE3">
            <w:pPr>
              <w:rPr>
                <w:rFonts w:cs="Arial"/>
                <w:sz w:val="20"/>
                <w:szCs w:val="20"/>
              </w:rPr>
            </w:pPr>
            <w:r w:rsidRPr="00AE4DBA">
              <w:rPr>
                <w:rFonts w:cs="Arial"/>
                <w:sz w:val="20"/>
                <w:szCs w:val="20"/>
              </w:rPr>
              <w:t>GJ</w:t>
            </w:r>
          </w:p>
        </w:tc>
        <w:tc>
          <w:tcPr>
            <w:tcW w:w="2048" w:type="dxa"/>
            <w:tcBorders>
              <w:top w:val="nil"/>
              <w:left w:val="nil"/>
              <w:bottom w:val="single" w:sz="4" w:space="0" w:color="auto"/>
              <w:right w:val="single" w:sz="4" w:space="0" w:color="auto"/>
            </w:tcBorders>
            <w:shd w:val="clear" w:color="auto" w:fill="auto"/>
            <w:noWrap/>
            <w:vAlign w:val="bottom"/>
            <w:hideMark/>
          </w:tcPr>
          <w:p w14:paraId="3F973681" w14:textId="77777777" w:rsidR="00FC3EE3" w:rsidRPr="00AE4DBA" w:rsidRDefault="00FC3EE3" w:rsidP="00FC3EE3">
            <w:pPr>
              <w:jc w:val="right"/>
              <w:rPr>
                <w:rFonts w:cs="Arial"/>
                <w:sz w:val="20"/>
                <w:szCs w:val="20"/>
              </w:rPr>
            </w:pPr>
            <w:r w:rsidRPr="00AE4DBA">
              <w:rPr>
                <w:rFonts w:cs="Arial"/>
                <w:sz w:val="20"/>
                <w:szCs w:val="20"/>
              </w:rPr>
              <w:t>4,662</w:t>
            </w:r>
          </w:p>
        </w:tc>
      </w:tr>
      <w:tr w:rsidR="00FC3EE3" w:rsidRPr="00AE4DBA" w14:paraId="30BFF118"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1492061B" w14:textId="77777777" w:rsidR="00FC3EE3" w:rsidRPr="00AE4DBA" w:rsidRDefault="00FC3EE3" w:rsidP="00FC3EE3">
            <w:pPr>
              <w:rPr>
                <w:rFonts w:cs="Arial"/>
                <w:sz w:val="20"/>
                <w:szCs w:val="20"/>
              </w:rPr>
            </w:pPr>
            <w:r w:rsidRPr="00AE4DBA">
              <w:rPr>
                <w:rFonts w:cs="Arial"/>
                <w:sz w:val="20"/>
                <w:szCs w:val="20"/>
              </w:rPr>
              <w:t>Waste with gas recovery (unknown composition) - General Waste - Kg</w:t>
            </w:r>
          </w:p>
        </w:tc>
        <w:tc>
          <w:tcPr>
            <w:tcW w:w="2852" w:type="dxa"/>
            <w:tcBorders>
              <w:top w:val="nil"/>
              <w:left w:val="nil"/>
              <w:bottom w:val="single" w:sz="4" w:space="0" w:color="auto"/>
              <w:right w:val="single" w:sz="4" w:space="0" w:color="auto"/>
            </w:tcBorders>
            <w:shd w:val="clear" w:color="auto" w:fill="auto"/>
            <w:noWrap/>
            <w:vAlign w:val="bottom"/>
            <w:hideMark/>
          </w:tcPr>
          <w:p w14:paraId="4100E471" w14:textId="77777777" w:rsidR="00FC3EE3" w:rsidRPr="00AE4DBA" w:rsidRDefault="00FC3EE3" w:rsidP="00FC3EE3">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5A48AA73" w14:textId="77777777" w:rsidR="00FC3EE3" w:rsidRPr="00AE4DBA" w:rsidRDefault="00FC3EE3" w:rsidP="00FC3EE3">
            <w:pPr>
              <w:jc w:val="right"/>
              <w:rPr>
                <w:rFonts w:cs="Arial"/>
                <w:sz w:val="20"/>
                <w:szCs w:val="20"/>
              </w:rPr>
            </w:pPr>
            <w:r w:rsidRPr="00AE4DBA">
              <w:rPr>
                <w:rFonts w:cs="Arial"/>
                <w:sz w:val="20"/>
                <w:szCs w:val="20"/>
              </w:rPr>
              <w:t>4,068</w:t>
            </w:r>
          </w:p>
        </w:tc>
      </w:tr>
      <w:tr w:rsidR="00FC3EE3" w:rsidRPr="00AE4DBA" w14:paraId="7D11F225"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4E90EE19" w14:textId="77777777" w:rsidR="00FC3EE3" w:rsidRPr="00AE4DBA" w:rsidRDefault="00FC3EE3" w:rsidP="00FC3EE3">
            <w:pPr>
              <w:rPr>
                <w:rFonts w:cs="Arial"/>
                <w:sz w:val="20"/>
                <w:szCs w:val="20"/>
              </w:rPr>
            </w:pPr>
            <w:r w:rsidRPr="00AE4DBA">
              <w:rPr>
                <w:rFonts w:cs="Arial"/>
                <w:sz w:val="20"/>
                <w:szCs w:val="20"/>
              </w:rPr>
              <w:t>Passenger Vehicle - Diesel Vehicle - 2000–&lt;3000 cc - Post 2015 - Km</w:t>
            </w:r>
          </w:p>
        </w:tc>
        <w:tc>
          <w:tcPr>
            <w:tcW w:w="2852" w:type="dxa"/>
            <w:tcBorders>
              <w:top w:val="nil"/>
              <w:left w:val="nil"/>
              <w:bottom w:val="single" w:sz="4" w:space="0" w:color="auto"/>
              <w:right w:val="single" w:sz="4" w:space="0" w:color="auto"/>
            </w:tcBorders>
            <w:shd w:val="clear" w:color="auto" w:fill="auto"/>
            <w:noWrap/>
            <w:vAlign w:val="bottom"/>
            <w:hideMark/>
          </w:tcPr>
          <w:p w14:paraId="290B20C1" w14:textId="77777777" w:rsidR="00FC3EE3" w:rsidRPr="00AE4DBA" w:rsidRDefault="00FC3EE3" w:rsidP="00FC3EE3">
            <w:pPr>
              <w:rPr>
                <w:rFonts w:cs="Arial"/>
                <w:sz w:val="20"/>
                <w:szCs w:val="20"/>
              </w:rPr>
            </w:pPr>
            <w:r w:rsidRPr="00AE4DBA">
              <w:rPr>
                <w:rFonts w:cs="Arial"/>
                <w:sz w:val="20"/>
                <w:szCs w:val="20"/>
              </w:rPr>
              <w:t>Km</w:t>
            </w:r>
          </w:p>
        </w:tc>
        <w:tc>
          <w:tcPr>
            <w:tcW w:w="2048" w:type="dxa"/>
            <w:tcBorders>
              <w:top w:val="nil"/>
              <w:left w:val="nil"/>
              <w:bottom w:val="single" w:sz="4" w:space="0" w:color="auto"/>
              <w:right w:val="single" w:sz="4" w:space="0" w:color="auto"/>
            </w:tcBorders>
            <w:shd w:val="clear" w:color="auto" w:fill="auto"/>
            <w:noWrap/>
            <w:vAlign w:val="bottom"/>
            <w:hideMark/>
          </w:tcPr>
          <w:p w14:paraId="2AF466A1" w14:textId="77777777" w:rsidR="00FC3EE3" w:rsidRPr="00AE4DBA" w:rsidRDefault="00FC3EE3" w:rsidP="00FC3EE3">
            <w:pPr>
              <w:jc w:val="right"/>
              <w:rPr>
                <w:rFonts w:cs="Arial"/>
                <w:sz w:val="20"/>
                <w:szCs w:val="20"/>
              </w:rPr>
            </w:pPr>
            <w:r w:rsidRPr="00AE4DBA">
              <w:rPr>
                <w:rFonts w:cs="Arial"/>
                <w:sz w:val="20"/>
                <w:szCs w:val="20"/>
              </w:rPr>
              <w:t>3,883</w:t>
            </w:r>
          </w:p>
        </w:tc>
      </w:tr>
      <w:tr w:rsidR="00FC3EE3" w:rsidRPr="00AE4DBA" w14:paraId="447AB5D6"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34837678" w14:textId="77777777" w:rsidR="00FC3EE3" w:rsidRPr="00AE4DBA" w:rsidRDefault="00FC3EE3" w:rsidP="00FC3EE3">
            <w:pPr>
              <w:rPr>
                <w:rFonts w:cs="Arial"/>
                <w:sz w:val="20"/>
                <w:szCs w:val="20"/>
              </w:rPr>
            </w:pPr>
            <w:r w:rsidRPr="00AE4DBA">
              <w:rPr>
                <w:rFonts w:cs="Arial"/>
                <w:sz w:val="20"/>
                <w:szCs w:val="20"/>
              </w:rPr>
              <w:t xml:space="preserve">Helicopter </w:t>
            </w:r>
            <w:proofErr w:type="spellStart"/>
            <w:r w:rsidRPr="00AE4DBA">
              <w:rPr>
                <w:rFonts w:cs="Arial"/>
                <w:sz w:val="20"/>
                <w:szCs w:val="20"/>
              </w:rPr>
              <w:t>Eurocopter</w:t>
            </w:r>
            <w:proofErr w:type="spellEnd"/>
            <w:r w:rsidRPr="00AE4DBA">
              <w:rPr>
                <w:rFonts w:cs="Arial"/>
                <w:sz w:val="20"/>
                <w:szCs w:val="20"/>
              </w:rPr>
              <w:t xml:space="preserve"> AS350B3 Squirrel - Hrs</w:t>
            </w:r>
          </w:p>
        </w:tc>
        <w:tc>
          <w:tcPr>
            <w:tcW w:w="2852" w:type="dxa"/>
            <w:tcBorders>
              <w:top w:val="nil"/>
              <w:left w:val="nil"/>
              <w:bottom w:val="single" w:sz="4" w:space="0" w:color="auto"/>
              <w:right w:val="single" w:sz="4" w:space="0" w:color="auto"/>
            </w:tcBorders>
            <w:shd w:val="clear" w:color="auto" w:fill="auto"/>
            <w:noWrap/>
            <w:vAlign w:val="bottom"/>
            <w:hideMark/>
          </w:tcPr>
          <w:p w14:paraId="3264AB57" w14:textId="77777777" w:rsidR="00FC3EE3" w:rsidRPr="00AE4DBA" w:rsidRDefault="00FC3EE3" w:rsidP="00FC3EE3">
            <w:pPr>
              <w:rPr>
                <w:rFonts w:cs="Arial"/>
                <w:sz w:val="20"/>
                <w:szCs w:val="20"/>
              </w:rPr>
            </w:pPr>
            <w:r w:rsidRPr="00AE4DBA">
              <w:rPr>
                <w:rFonts w:cs="Arial"/>
                <w:sz w:val="20"/>
                <w:szCs w:val="20"/>
              </w:rPr>
              <w:t>Hours</w:t>
            </w:r>
          </w:p>
        </w:tc>
        <w:tc>
          <w:tcPr>
            <w:tcW w:w="2048" w:type="dxa"/>
            <w:tcBorders>
              <w:top w:val="nil"/>
              <w:left w:val="nil"/>
              <w:bottom w:val="single" w:sz="4" w:space="0" w:color="auto"/>
              <w:right w:val="single" w:sz="4" w:space="0" w:color="auto"/>
            </w:tcBorders>
            <w:shd w:val="clear" w:color="auto" w:fill="auto"/>
            <w:noWrap/>
            <w:vAlign w:val="bottom"/>
            <w:hideMark/>
          </w:tcPr>
          <w:p w14:paraId="5B0E08F6" w14:textId="77777777" w:rsidR="00FC3EE3" w:rsidRPr="00AE4DBA" w:rsidRDefault="00FC3EE3" w:rsidP="00FC3EE3">
            <w:pPr>
              <w:jc w:val="right"/>
              <w:rPr>
                <w:rFonts w:cs="Arial"/>
                <w:sz w:val="20"/>
                <w:szCs w:val="20"/>
              </w:rPr>
            </w:pPr>
            <w:r w:rsidRPr="00AE4DBA">
              <w:rPr>
                <w:rFonts w:cs="Arial"/>
                <w:sz w:val="20"/>
                <w:szCs w:val="20"/>
              </w:rPr>
              <w:t>3,736</w:t>
            </w:r>
          </w:p>
        </w:tc>
      </w:tr>
      <w:tr w:rsidR="00FC3EE3" w:rsidRPr="00AE4DBA" w14:paraId="295CAD68"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329E9EDF" w14:textId="77777777" w:rsidR="00FC3EE3" w:rsidRPr="00AE4DBA" w:rsidRDefault="00FC3EE3" w:rsidP="00FC3EE3">
            <w:pPr>
              <w:rPr>
                <w:rFonts w:cs="Arial"/>
                <w:sz w:val="20"/>
                <w:szCs w:val="20"/>
              </w:rPr>
            </w:pPr>
            <w:r w:rsidRPr="00AE4DBA">
              <w:rPr>
                <w:rFonts w:cs="Arial"/>
                <w:sz w:val="20"/>
                <w:szCs w:val="20"/>
              </w:rPr>
              <w:t>Coal - Bituminous - Industrial - GJ</w:t>
            </w:r>
          </w:p>
        </w:tc>
        <w:tc>
          <w:tcPr>
            <w:tcW w:w="2852" w:type="dxa"/>
            <w:tcBorders>
              <w:top w:val="nil"/>
              <w:left w:val="nil"/>
              <w:bottom w:val="single" w:sz="4" w:space="0" w:color="auto"/>
              <w:right w:val="single" w:sz="4" w:space="0" w:color="auto"/>
            </w:tcBorders>
            <w:shd w:val="clear" w:color="auto" w:fill="auto"/>
            <w:noWrap/>
            <w:vAlign w:val="bottom"/>
            <w:hideMark/>
          </w:tcPr>
          <w:p w14:paraId="0A419979" w14:textId="77777777" w:rsidR="00FC3EE3" w:rsidRPr="00AE4DBA" w:rsidRDefault="00FC3EE3" w:rsidP="00FC3EE3">
            <w:pPr>
              <w:rPr>
                <w:rFonts w:cs="Arial"/>
                <w:sz w:val="20"/>
                <w:szCs w:val="20"/>
              </w:rPr>
            </w:pPr>
            <w:r w:rsidRPr="00AE4DBA">
              <w:rPr>
                <w:rFonts w:cs="Arial"/>
                <w:sz w:val="20"/>
                <w:szCs w:val="20"/>
              </w:rPr>
              <w:t>GJ</w:t>
            </w:r>
          </w:p>
        </w:tc>
        <w:tc>
          <w:tcPr>
            <w:tcW w:w="2048" w:type="dxa"/>
            <w:tcBorders>
              <w:top w:val="nil"/>
              <w:left w:val="nil"/>
              <w:bottom w:val="single" w:sz="4" w:space="0" w:color="auto"/>
              <w:right w:val="single" w:sz="4" w:space="0" w:color="auto"/>
            </w:tcBorders>
            <w:shd w:val="clear" w:color="auto" w:fill="auto"/>
            <w:noWrap/>
            <w:vAlign w:val="bottom"/>
            <w:hideMark/>
          </w:tcPr>
          <w:p w14:paraId="11A95CE0" w14:textId="77777777" w:rsidR="00FC3EE3" w:rsidRPr="00AE4DBA" w:rsidRDefault="00FC3EE3" w:rsidP="00FC3EE3">
            <w:pPr>
              <w:jc w:val="right"/>
              <w:rPr>
                <w:rFonts w:cs="Arial"/>
                <w:sz w:val="20"/>
                <w:szCs w:val="20"/>
              </w:rPr>
            </w:pPr>
            <w:r w:rsidRPr="00AE4DBA">
              <w:rPr>
                <w:rFonts w:cs="Arial"/>
                <w:sz w:val="20"/>
                <w:szCs w:val="20"/>
              </w:rPr>
              <w:t>3,055</w:t>
            </w:r>
          </w:p>
        </w:tc>
      </w:tr>
      <w:tr w:rsidR="005C58F7" w:rsidRPr="00AE4DBA" w14:paraId="67EFC72E"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tcPr>
          <w:p w14:paraId="0DE88EFC" w14:textId="1F8FF5E0" w:rsidR="005C58F7" w:rsidRPr="00AE4DBA" w:rsidRDefault="005C58F7" w:rsidP="00FC3EE3">
            <w:pPr>
              <w:rPr>
                <w:rFonts w:cs="Arial"/>
                <w:sz w:val="20"/>
                <w:szCs w:val="20"/>
              </w:rPr>
            </w:pPr>
            <w:r>
              <w:rPr>
                <w:rFonts w:cs="Arial"/>
                <w:sz w:val="20"/>
                <w:szCs w:val="20"/>
              </w:rPr>
              <w:t xml:space="preserve">Ave. Wastewater Treatment Plants </w:t>
            </w:r>
          </w:p>
        </w:tc>
        <w:tc>
          <w:tcPr>
            <w:tcW w:w="2852" w:type="dxa"/>
            <w:tcBorders>
              <w:top w:val="nil"/>
              <w:left w:val="nil"/>
              <w:bottom w:val="single" w:sz="4" w:space="0" w:color="auto"/>
              <w:right w:val="single" w:sz="4" w:space="0" w:color="auto"/>
            </w:tcBorders>
            <w:shd w:val="clear" w:color="auto" w:fill="auto"/>
            <w:noWrap/>
            <w:vAlign w:val="bottom"/>
          </w:tcPr>
          <w:p w14:paraId="2DC21378" w14:textId="5E790095" w:rsidR="005C58F7" w:rsidRPr="00AE4DBA" w:rsidRDefault="005C58F7" w:rsidP="00FC3EE3">
            <w:pPr>
              <w:rPr>
                <w:rFonts w:cs="Arial"/>
                <w:sz w:val="20"/>
                <w:szCs w:val="20"/>
              </w:rPr>
            </w:pPr>
            <w:r>
              <w:rPr>
                <w:rFonts w:cs="Arial"/>
                <w:sz w:val="20"/>
                <w:szCs w:val="20"/>
              </w:rPr>
              <w:t>M3</w:t>
            </w:r>
          </w:p>
        </w:tc>
        <w:tc>
          <w:tcPr>
            <w:tcW w:w="2048" w:type="dxa"/>
            <w:tcBorders>
              <w:top w:val="nil"/>
              <w:left w:val="nil"/>
              <w:bottom w:val="single" w:sz="4" w:space="0" w:color="auto"/>
              <w:right w:val="single" w:sz="4" w:space="0" w:color="auto"/>
            </w:tcBorders>
            <w:shd w:val="clear" w:color="auto" w:fill="auto"/>
            <w:noWrap/>
            <w:vAlign w:val="bottom"/>
          </w:tcPr>
          <w:p w14:paraId="0971A5BC" w14:textId="28D20D3B" w:rsidR="005C58F7" w:rsidRPr="00AE4DBA" w:rsidRDefault="005C58F7" w:rsidP="00FC3EE3">
            <w:pPr>
              <w:jc w:val="right"/>
              <w:rPr>
                <w:rFonts w:cs="Arial"/>
                <w:sz w:val="20"/>
                <w:szCs w:val="20"/>
              </w:rPr>
            </w:pPr>
            <w:r>
              <w:rPr>
                <w:rFonts w:cs="Arial"/>
                <w:sz w:val="20"/>
                <w:szCs w:val="20"/>
              </w:rPr>
              <w:t>2,712</w:t>
            </w:r>
          </w:p>
        </w:tc>
      </w:tr>
      <w:tr w:rsidR="00FC3EE3" w:rsidRPr="00AE4DBA" w14:paraId="7781B3B3"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637532D0" w14:textId="77777777" w:rsidR="00FC3EE3" w:rsidRPr="00AE4DBA" w:rsidRDefault="00FC3EE3" w:rsidP="00FC3EE3">
            <w:pPr>
              <w:rPr>
                <w:rFonts w:cs="Arial"/>
                <w:sz w:val="20"/>
                <w:szCs w:val="20"/>
              </w:rPr>
            </w:pPr>
            <w:r w:rsidRPr="00AE4DBA">
              <w:rPr>
                <w:rFonts w:cs="Arial"/>
                <w:sz w:val="20"/>
                <w:szCs w:val="20"/>
              </w:rPr>
              <w:t>Long-haul (&gt;3700km) - Premium economy class - With Radiative Forcing</w:t>
            </w:r>
          </w:p>
        </w:tc>
        <w:tc>
          <w:tcPr>
            <w:tcW w:w="2852" w:type="dxa"/>
            <w:tcBorders>
              <w:top w:val="nil"/>
              <w:left w:val="nil"/>
              <w:bottom w:val="single" w:sz="4" w:space="0" w:color="auto"/>
              <w:right w:val="single" w:sz="4" w:space="0" w:color="auto"/>
            </w:tcBorders>
            <w:shd w:val="clear" w:color="auto" w:fill="auto"/>
            <w:noWrap/>
            <w:vAlign w:val="bottom"/>
            <w:hideMark/>
          </w:tcPr>
          <w:p w14:paraId="222B5312" w14:textId="77777777" w:rsidR="00FC3EE3" w:rsidRPr="00AE4DBA" w:rsidRDefault="00FC3EE3" w:rsidP="00FC3EE3">
            <w:pPr>
              <w:rPr>
                <w:rFonts w:cs="Arial"/>
                <w:sz w:val="20"/>
                <w:szCs w:val="20"/>
              </w:rPr>
            </w:pPr>
            <w:r w:rsidRPr="00AE4DBA">
              <w:rPr>
                <w:rFonts w:cs="Arial"/>
                <w:sz w:val="20"/>
                <w:szCs w:val="20"/>
              </w:rPr>
              <w:t>Passenger Kms</w:t>
            </w:r>
          </w:p>
        </w:tc>
        <w:tc>
          <w:tcPr>
            <w:tcW w:w="2048" w:type="dxa"/>
            <w:tcBorders>
              <w:top w:val="nil"/>
              <w:left w:val="nil"/>
              <w:bottom w:val="single" w:sz="4" w:space="0" w:color="auto"/>
              <w:right w:val="single" w:sz="4" w:space="0" w:color="auto"/>
            </w:tcBorders>
            <w:shd w:val="clear" w:color="auto" w:fill="auto"/>
            <w:noWrap/>
            <w:vAlign w:val="bottom"/>
            <w:hideMark/>
          </w:tcPr>
          <w:p w14:paraId="731E9687" w14:textId="77777777" w:rsidR="00FC3EE3" w:rsidRPr="00AE4DBA" w:rsidRDefault="00FC3EE3" w:rsidP="00FC3EE3">
            <w:pPr>
              <w:jc w:val="right"/>
              <w:rPr>
                <w:rFonts w:cs="Arial"/>
                <w:sz w:val="20"/>
                <w:szCs w:val="20"/>
              </w:rPr>
            </w:pPr>
            <w:r w:rsidRPr="00AE4DBA">
              <w:rPr>
                <w:rFonts w:cs="Arial"/>
                <w:sz w:val="20"/>
                <w:szCs w:val="20"/>
              </w:rPr>
              <w:t>2,603</w:t>
            </w:r>
          </w:p>
        </w:tc>
      </w:tr>
      <w:tr w:rsidR="00FC3EE3" w:rsidRPr="00AE4DBA" w14:paraId="19395CEC"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45D7C134" w14:textId="77777777" w:rsidR="00FC3EE3" w:rsidRPr="00AE4DBA" w:rsidRDefault="00FC3EE3" w:rsidP="00FC3EE3">
            <w:pPr>
              <w:rPr>
                <w:rFonts w:cs="Arial"/>
                <w:sz w:val="20"/>
                <w:szCs w:val="20"/>
              </w:rPr>
            </w:pPr>
            <w:r w:rsidRPr="00AE4DBA">
              <w:rPr>
                <w:rFonts w:cs="Arial"/>
                <w:sz w:val="20"/>
                <w:szCs w:val="20"/>
              </w:rPr>
              <w:t>TWO Public Transport $ (NTA)</w:t>
            </w:r>
          </w:p>
        </w:tc>
        <w:tc>
          <w:tcPr>
            <w:tcW w:w="2852" w:type="dxa"/>
            <w:tcBorders>
              <w:top w:val="nil"/>
              <w:left w:val="nil"/>
              <w:bottom w:val="single" w:sz="4" w:space="0" w:color="auto"/>
              <w:right w:val="single" w:sz="4" w:space="0" w:color="auto"/>
            </w:tcBorders>
            <w:shd w:val="clear" w:color="auto" w:fill="auto"/>
            <w:noWrap/>
            <w:vAlign w:val="bottom"/>
            <w:hideMark/>
          </w:tcPr>
          <w:p w14:paraId="011BC661" w14:textId="77777777" w:rsidR="00FC3EE3" w:rsidRPr="00AE4DBA" w:rsidRDefault="00FC3EE3" w:rsidP="00FC3EE3">
            <w:pPr>
              <w:rPr>
                <w:rFonts w:cs="Arial"/>
                <w:sz w:val="20"/>
                <w:szCs w:val="20"/>
              </w:rPr>
            </w:pPr>
            <w:r w:rsidRPr="00AE4DBA">
              <w:rPr>
                <w:rFonts w:cs="Arial"/>
                <w:sz w:val="20"/>
                <w:szCs w:val="20"/>
              </w:rPr>
              <w:t>$</w:t>
            </w:r>
          </w:p>
        </w:tc>
        <w:tc>
          <w:tcPr>
            <w:tcW w:w="2048" w:type="dxa"/>
            <w:tcBorders>
              <w:top w:val="nil"/>
              <w:left w:val="nil"/>
              <w:bottom w:val="single" w:sz="4" w:space="0" w:color="auto"/>
              <w:right w:val="single" w:sz="4" w:space="0" w:color="auto"/>
            </w:tcBorders>
            <w:shd w:val="clear" w:color="auto" w:fill="auto"/>
            <w:noWrap/>
            <w:vAlign w:val="bottom"/>
            <w:hideMark/>
          </w:tcPr>
          <w:p w14:paraId="21962C97" w14:textId="77777777" w:rsidR="00FC3EE3" w:rsidRPr="00AE4DBA" w:rsidRDefault="00FC3EE3" w:rsidP="00FC3EE3">
            <w:pPr>
              <w:jc w:val="right"/>
              <w:rPr>
                <w:rFonts w:cs="Arial"/>
                <w:sz w:val="20"/>
                <w:szCs w:val="20"/>
              </w:rPr>
            </w:pPr>
            <w:r w:rsidRPr="00AE4DBA">
              <w:rPr>
                <w:rFonts w:cs="Arial"/>
                <w:sz w:val="20"/>
                <w:szCs w:val="20"/>
              </w:rPr>
              <w:t>2,412</w:t>
            </w:r>
          </w:p>
        </w:tc>
      </w:tr>
      <w:tr w:rsidR="00FC3EE3" w:rsidRPr="00AE4DBA" w14:paraId="0861F44C"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48AE9453" w14:textId="77777777" w:rsidR="00FC3EE3" w:rsidRPr="00AE4DBA" w:rsidRDefault="00FC3EE3" w:rsidP="00FC3EE3">
            <w:pPr>
              <w:rPr>
                <w:rFonts w:cs="Arial"/>
                <w:sz w:val="20"/>
                <w:szCs w:val="20"/>
              </w:rPr>
            </w:pPr>
            <w:r w:rsidRPr="00AE4DBA">
              <w:rPr>
                <w:rFonts w:cs="Arial"/>
                <w:sz w:val="20"/>
                <w:szCs w:val="20"/>
              </w:rPr>
              <w:t>TWO Clinical / medical / sharps waste autoclaving and landfilling - Kg</w:t>
            </w:r>
          </w:p>
        </w:tc>
        <w:tc>
          <w:tcPr>
            <w:tcW w:w="2852" w:type="dxa"/>
            <w:tcBorders>
              <w:top w:val="nil"/>
              <w:left w:val="nil"/>
              <w:bottom w:val="single" w:sz="4" w:space="0" w:color="auto"/>
              <w:right w:val="single" w:sz="4" w:space="0" w:color="auto"/>
            </w:tcBorders>
            <w:shd w:val="clear" w:color="auto" w:fill="auto"/>
            <w:noWrap/>
            <w:vAlign w:val="bottom"/>
            <w:hideMark/>
          </w:tcPr>
          <w:p w14:paraId="6C7D1A64" w14:textId="77777777" w:rsidR="00FC3EE3" w:rsidRPr="00AE4DBA" w:rsidRDefault="00FC3EE3" w:rsidP="00FC3EE3">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166A5595" w14:textId="77777777" w:rsidR="00FC3EE3" w:rsidRPr="00AE4DBA" w:rsidRDefault="00FC3EE3" w:rsidP="00FC3EE3">
            <w:pPr>
              <w:jc w:val="right"/>
              <w:rPr>
                <w:rFonts w:cs="Arial"/>
                <w:sz w:val="20"/>
                <w:szCs w:val="20"/>
              </w:rPr>
            </w:pPr>
            <w:r w:rsidRPr="00AE4DBA">
              <w:rPr>
                <w:rFonts w:cs="Arial"/>
                <w:sz w:val="20"/>
                <w:szCs w:val="20"/>
              </w:rPr>
              <w:t>2,196</w:t>
            </w:r>
          </w:p>
        </w:tc>
      </w:tr>
      <w:tr w:rsidR="00FC3EE3" w:rsidRPr="00AE4DBA" w14:paraId="4FBCCFCE"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30E5BFCF" w14:textId="77777777" w:rsidR="00FC3EE3" w:rsidRPr="00AE4DBA" w:rsidRDefault="00FC3EE3" w:rsidP="00FC3EE3">
            <w:pPr>
              <w:rPr>
                <w:rFonts w:cs="Arial"/>
                <w:sz w:val="20"/>
                <w:szCs w:val="20"/>
              </w:rPr>
            </w:pPr>
            <w:r w:rsidRPr="00AE4DBA">
              <w:rPr>
                <w:rFonts w:cs="Arial"/>
                <w:sz w:val="20"/>
                <w:szCs w:val="20"/>
              </w:rPr>
              <w:t>Domestic - Large aircraft - With Radiative Forcing</w:t>
            </w:r>
          </w:p>
        </w:tc>
        <w:tc>
          <w:tcPr>
            <w:tcW w:w="2852" w:type="dxa"/>
            <w:tcBorders>
              <w:top w:val="nil"/>
              <w:left w:val="nil"/>
              <w:bottom w:val="single" w:sz="4" w:space="0" w:color="auto"/>
              <w:right w:val="single" w:sz="4" w:space="0" w:color="auto"/>
            </w:tcBorders>
            <w:shd w:val="clear" w:color="auto" w:fill="auto"/>
            <w:noWrap/>
            <w:vAlign w:val="bottom"/>
            <w:hideMark/>
          </w:tcPr>
          <w:p w14:paraId="78FC2483" w14:textId="77777777" w:rsidR="00FC3EE3" w:rsidRPr="00AE4DBA" w:rsidRDefault="00FC3EE3" w:rsidP="00FC3EE3">
            <w:pPr>
              <w:rPr>
                <w:rFonts w:cs="Arial"/>
                <w:sz w:val="20"/>
                <w:szCs w:val="20"/>
              </w:rPr>
            </w:pPr>
            <w:r w:rsidRPr="00AE4DBA">
              <w:rPr>
                <w:rFonts w:cs="Arial"/>
                <w:sz w:val="20"/>
                <w:szCs w:val="20"/>
              </w:rPr>
              <w:t>Passenger Kms</w:t>
            </w:r>
          </w:p>
        </w:tc>
        <w:tc>
          <w:tcPr>
            <w:tcW w:w="2048" w:type="dxa"/>
            <w:tcBorders>
              <w:top w:val="nil"/>
              <w:left w:val="nil"/>
              <w:bottom w:val="single" w:sz="4" w:space="0" w:color="auto"/>
              <w:right w:val="single" w:sz="4" w:space="0" w:color="auto"/>
            </w:tcBorders>
            <w:shd w:val="clear" w:color="auto" w:fill="auto"/>
            <w:noWrap/>
            <w:vAlign w:val="bottom"/>
            <w:hideMark/>
          </w:tcPr>
          <w:p w14:paraId="7C11BE41" w14:textId="77777777" w:rsidR="00FC3EE3" w:rsidRPr="00AE4DBA" w:rsidRDefault="00FC3EE3" w:rsidP="00FC3EE3">
            <w:pPr>
              <w:jc w:val="right"/>
              <w:rPr>
                <w:rFonts w:cs="Arial"/>
                <w:sz w:val="20"/>
                <w:szCs w:val="20"/>
              </w:rPr>
            </w:pPr>
            <w:r w:rsidRPr="00AE4DBA">
              <w:rPr>
                <w:rFonts w:cs="Arial"/>
                <w:sz w:val="20"/>
                <w:szCs w:val="20"/>
              </w:rPr>
              <w:t>2,150</w:t>
            </w:r>
          </w:p>
        </w:tc>
      </w:tr>
      <w:tr w:rsidR="00FC3EE3" w:rsidRPr="00AE4DBA" w14:paraId="4EAC2E91"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197CE5FC" w14:textId="77777777" w:rsidR="00FC3EE3" w:rsidRPr="00AE4DBA" w:rsidRDefault="00FC3EE3" w:rsidP="00FC3EE3">
            <w:pPr>
              <w:rPr>
                <w:rFonts w:cs="Arial"/>
                <w:sz w:val="20"/>
                <w:szCs w:val="20"/>
              </w:rPr>
            </w:pPr>
            <w:r w:rsidRPr="00AE4DBA">
              <w:rPr>
                <w:rFonts w:cs="Arial"/>
                <w:sz w:val="20"/>
                <w:szCs w:val="20"/>
              </w:rPr>
              <w:t>Domestic - Medium aircraft - With Radiative Forcing</w:t>
            </w:r>
          </w:p>
        </w:tc>
        <w:tc>
          <w:tcPr>
            <w:tcW w:w="2852" w:type="dxa"/>
            <w:tcBorders>
              <w:top w:val="nil"/>
              <w:left w:val="nil"/>
              <w:bottom w:val="single" w:sz="4" w:space="0" w:color="auto"/>
              <w:right w:val="single" w:sz="4" w:space="0" w:color="auto"/>
            </w:tcBorders>
            <w:shd w:val="clear" w:color="auto" w:fill="auto"/>
            <w:noWrap/>
            <w:vAlign w:val="bottom"/>
            <w:hideMark/>
          </w:tcPr>
          <w:p w14:paraId="678FA759" w14:textId="77777777" w:rsidR="00FC3EE3" w:rsidRPr="00AE4DBA" w:rsidRDefault="00FC3EE3" w:rsidP="00FC3EE3">
            <w:pPr>
              <w:rPr>
                <w:rFonts w:cs="Arial"/>
                <w:sz w:val="20"/>
                <w:szCs w:val="20"/>
              </w:rPr>
            </w:pPr>
            <w:r w:rsidRPr="00AE4DBA">
              <w:rPr>
                <w:rFonts w:cs="Arial"/>
                <w:sz w:val="20"/>
                <w:szCs w:val="20"/>
              </w:rPr>
              <w:t>Passenger Kms</w:t>
            </w:r>
          </w:p>
        </w:tc>
        <w:tc>
          <w:tcPr>
            <w:tcW w:w="2048" w:type="dxa"/>
            <w:tcBorders>
              <w:top w:val="nil"/>
              <w:left w:val="nil"/>
              <w:bottom w:val="single" w:sz="4" w:space="0" w:color="auto"/>
              <w:right w:val="single" w:sz="4" w:space="0" w:color="auto"/>
            </w:tcBorders>
            <w:shd w:val="clear" w:color="auto" w:fill="auto"/>
            <w:noWrap/>
            <w:vAlign w:val="bottom"/>
            <w:hideMark/>
          </w:tcPr>
          <w:p w14:paraId="0D13E105" w14:textId="77777777" w:rsidR="00FC3EE3" w:rsidRPr="00AE4DBA" w:rsidRDefault="00FC3EE3" w:rsidP="00FC3EE3">
            <w:pPr>
              <w:jc w:val="right"/>
              <w:rPr>
                <w:rFonts w:cs="Arial"/>
                <w:sz w:val="20"/>
                <w:szCs w:val="20"/>
              </w:rPr>
            </w:pPr>
            <w:r w:rsidRPr="00AE4DBA">
              <w:rPr>
                <w:rFonts w:cs="Arial"/>
                <w:sz w:val="20"/>
                <w:szCs w:val="20"/>
              </w:rPr>
              <w:t>2,039</w:t>
            </w:r>
          </w:p>
        </w:tc>
      </w:tr>
      <w:tr w:rsidR="00FC3EE3" w:rsidRPr="00AE4DBA" w14:paraId="40C28F71"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3E8361E5" w14:textId="77777777" w:rsidR="00FC3EE3" w:rsidRPr="00AE4DBA" w:rsidRDefault="00FC3EE3" w:rsidP="00FC3EE3">
            <w:pPr>
              <w:rPr>
                <w:rFonts w:cs="Arial"/>
                <w:sz w:val="20"/>
                <w:szCs w:val="20"/>
              </w:rPr>
            </w:pPr>
            <w:r w:rsidRPr="00AE4DBA">
              <w:rPr>
                <w:rFonts w:cs="Arial"/>
                <w:sz w:val="20"/>
                <w:szCs w:val="20"/>
              </w:rPr>
              <w:t>Natural Gas T&amp;D - GJ</w:t>
            </w:r>
          </w:p>
        </w:tc>
        <w:tc>
          <w:tcPr>
            <w:tcW w:w="2852" w:type="dxa"/>
            <w:tcBorders>
              <w:top w:val="nil"/>
              <w:left w:val="nil"/>
              <w:bottom w:val="single" w:sz="4" w:space="0" w:color="auto"/>
              <w:right w:val="single" w:sz="4" w:space="0" w:color="auto"/>
            </w:tcBorders>
            <w:shd w:val="clear" w:color="auto" w:fill="auto"/>
            <w:noWrap/>
            <w:vAlign w:val="bottom"/>
            <w:hideMark/>
          </w:tcPr>
          <w:p w14:paraId="514F5346" w14:textId="77777777" w:rsidR="00FC3EE3" w:rsidRPr="00AE4DBA" w:rsidRDefault="00FC3EE3" w:rsidP="00FC3EE3">
            <w:pPr>
              <w:rPr>
                <w:rFonts w:cs="Arial"/>
                <w:sz w:val="20"/>
                <w:szCs w:val="20"/>
              </w:rPr>
            </w:pPr>
            <w:r w:rsidRPr="00AE4DBA">
              <w:rPr>
                <w:rFonts w:cs="Arial"/>
                <w:sz w:val="20"/>
                <w:szCs w:val="20"/>
              </w:rPr>
              <w:t>GJ</w:t>
            </w:r>
          </w:p>
        </w:tc>
        <w:tc>
          <w:tcPr>
            <w:tcW w:w="2048" w:type="dxa"/>
            <w:tcBorders>
              <w:top w:val="nil"/>
              <w:left w:val="nil"/>
              <w:bottom w:val="single" w:sz="4" w:space="0" w:color="auto"/>
              <w:right w:val="single" w:sz="4" w:space="0" w:color="auto"/>
            </w:tcBorders>
            <w:shd w:val="clear" w:color="auto" w:fill="auto"/>
            <w:noWrap/>
            <w:vAlign w:val="bottom"/>
            <w:hideMark/>
          </w:tcPr>
          <w:p w14:paraId="6B3A9066" w14:textId="77777777" w:rsidR="00FC3EE3" w:rsidRPr="00AE4DBA" w:rsidRDefault="00FC3EE3" w:rsidP="00FC3EE3">
            <w:pPr>
              <w:jc w:val="right"/>
              <w:rPr>
                <w:rFonts w:cs="Arial"/>
                <w:sz w:val="20"/>
                <w:szCs w:val="20"/>
              </w:rPr>
            </w:pPr>
            <w:r w:rsidRPr="00AE4DBA">
              <w:rPr>
                <w:rFonts w:cs="Arial"/>
                <w:sz w:val="20"/>
                <w:szCs w:val="20"/>
              </w:rPr>
              <w:t>1,821</w:t>
            </w:r>
          </w:p>
        </w:tc>
      </w:tr>
      <w:tr w:rsidR="00FC3EE3" w:rsidRPr="00AE4DBA" w14:paraId="5FCEDD3E"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0305BB98" w14:textId="77777777" w:rsidR="00FC3EE3" w:rsidRPr="00AE4DBA" w:rsidRDefault="00FC3EE3" w:rsidP="00FC3EE3">
            <w:pPr>
              <w:rPr>
                <w:rFonts w:cs="Arial"/>
                <w:sz w:val="20"/>
                <w:szCs w:val="20"/>
              </w:rPr>
            </w:pPr>
            <w:r w:rsidRPr="00AE4DBA">
              <w:rPr>
                <w:rFonts w:cs="Arial"/>
                <w:sz w:val="20"/>
                <w:szCs w:val="20"/>
              </w:rPr>
              <w:t>Electricity T&amp;D - kWh</w:t>
            </w:r>
          </w:p>
        </w:tc>
        <w:tc>
          <w:tcPr>
            <w:tcW w:w="2852" w:type="dxa"/>
            <w:tcBorders>
              <w:top w:val="nil"/>
              <w:left w:val="nil"/>
              <w:bottom w:val="single" w:sz="4" w:space="0" w:color="auto"/>
              <w:right w:val="single" w:sz="4" w:space="0" w:color="auto"/>
            </w:tcBorders>
            <w:shd w:val="clear" w:color="auto" w:fill="auto"/>
            <w:noWrap/>
            <w:vAlign w:val="bottom"/>
            <w:hideMark/>
          </w:tcPr>
          <w:p w14:paraId="0DFA6C05" w14:textId="77777777" w:rsidR="00FC3EE3" w:rsidRPr="00AE4DBA" w:rsidRDefault="00FC3EE3" w:rsidP="00FC3EE3">
            <w:pPr>
              <w:rPr>
                <w:rFonts w:cs="Arial"/>
                <w:sz w:val="20"/>
                <w:szCs w:val="20"/>
              </w:rPr>
            </w:pPr>
            <w:proofErr w:type="spellStart"/>
            <w:r w:rsidRPr="00AE4DBA">
              <w:rPr>
                <w:rFonts w:cs="Arial"/>
                <w:sz w:val="20"/>
                <w:szCs w:val="20"/>
              </w:rPr>
              <w:t>Kwh</w:t>
            </w:r>
            <w:proofErr w:type="spellEnd"/>
          </w:p>
        </w:tc>
        <w:tc>
          <w:tcPr>
            <w:tcW w:w="2048" w:type="dxa"/>
            <w:tcBorders>
              <w:top w:val="nil"/>
              <w:left w:val="nil"/>
              <w:bottom w:val="single" w:sz="4" w:space="0" w:color="auto"/>
              <w:right w:val="single" w:sz="4" w:space="0" w:color="auto"/>
            </w:tcBorders>
            <w:shd w:val="clear" w:color="auto" w:fill="auto"/>
            <w:noWrap/>
            <w:vAlign w:val="bottom"/>
            <w:hideMark/>
          </w:tcPr>
          <w:p w14:paraId="5B0EBF54" w14:textId="77777777" w:rsidR="00FC3EE3" w:rsidRPr="00AE4DBA" w:rsidRDefault="00FC3EE3" w:rsidP="00FC3EE3">
            <w:pPr>
              <w:jc w:val="right"/>
              <w:rPr>
                <w:rFonts w:cs="Arial"/>
                <w:sz w:val="20"/>
                <w:szCs w:val="20"/>
              </w:rPr>
            </w:pPr>
            <w:r w:rsidRPr="00AE4DBA">
              <w:rPr>
                <w:rFonts w:cs="Arial"/>
                <w:sz w:val="20"/>
                <w:szCs w:val="20"/>
              </w:rPr>
              <w:t>1,810</w:t>
            </w:r>
          </w:p>
        </w:tc>
      </w:tr>
      <w:tr w:rsidR="00FC3EE3" w:rsidRPr="00AE4DBA" w14:paraId="1B0785B3"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1E0A8AA9" w14:textId="77777777" w:rsidR="00FC3EE3" w:rsidRPr="00AE4DBA" w:rsidRDefault="00FC3EE3" w:rsidP="00FC3EE3">
            <w:pPr>
              <w:rPr>
                <w:rFonts w:cs="Arial"/>
                <w:sz w:val="20"/>
                <w:szCs w:val="20"/>
              </w:rPr>
            </w:pPr>
            <w:r w:rsidRPr="00AE4DBA">
              <w:rPr>
                <w:rFonts w:cs="Arial"/>
                <w:sz w:val="20"/>
                <w:szCs w:val="20"/>
              </w:rPr>
              <w:t>Diesel - Diesel - litre</w:t>
            </w:r>
          </w:p>
        </w:tc>
        <w:tc>
          <w:tcPr>
            <w:tcW w:w="2852" w:type="dxa"/>
            <w:tcBorders>
              <w:top w:val="nil"/>
              <w:left w:val="nil"/>
              <w:bottom w:val="single" w:sz="4" w:space="0" w:color="auto"/>
              <w:right w:val="single" w:sz="4" w:space="0" w:color="auto"/>
            </w:tcBorders>
            <w:shd w:val="clear" w:color="auto" w:fill="auto"/>
            <w:noWrap/>
            <w:vAlign w:val="bottom"/>
            <w:hideMark/>
          </w:tcPr>
          <w:p w14:paraId="157647E5" w14:textId="77777777" w:rsidR="00FC3EE3" w:rsidRPr="00AE4DBA" w:rsidRDefault="00FC3EE3" w:rsidP="00FC3EE3">
            <w:pPr>
              <w:rPr>
                <w:rFonts w:cs="Arial"/>
                <w:sz w:val="20"/>
                <w:szCs w:val="20"/>
              </w:rPr>
            </w:pPr>
            <w:r w:rsidRPr="00AE4DBA">
              <w:rPr>
                <w:rFonts w:cs="Arial"/>
                <w:sz w:val="20"/>
                <w:szCs w:val="20"/>
              </w:rPr>
              <w:t>Litre</w:t>
            </w:r>
          </w:p>
        </w:tc>
        <w:tc>
          <w:tcPr>
            <w:tcW w:w="2048" w:type="dxa"/>
            <w:tcBorders>
              <w:top w:val="nil"/>
              <w:left w:val="nil"/>
              <w:bottom w:val="single" w:sz="4" w:space="0" w:color="auto"/>
              <w:right w:val="single" w:sz="4" w:space="0" w:color="auto"/>
            </w:tcBorders>
            <w:shd w:val="clear" w:color="auto" w:fill="auto"/>
            <w:noWrap/>
            <w:vAlign w:val="bottom"/>
            <w:hideMark/>
          </w:tcPr>
          <w:p w14:paraId="75B0CF24" w14:textId="77777777" w:rsidR="00FC3EE3" w:rsidRPr="00AE4DBA" w:rsidRDefault="00FC3EE3" w:rsidP="00FC3EE3">
            <w:pPr>
              <w:jc w:val="right"/>
              <w:rPr>
                <w:rFonts w:cs="Arial"/>
                <w:sz w:val="20"/>
                <w:szCs w:val="20"/>
              </w:rPr>
            </w:pPr>
            <w:r w:rsidRPr="00AE4DBA">
              <w:rPr>
                <w:rFonts w:cs="Arial"/>
                <w:sz w:val="20"/>
                <w:szCs w:val="20"/>
              </w:rPr>
              <w:t>1,643</w:t>
            </w:r>
          </w:p>
        </w:tc>
      </w:tr>
      <w:tr w:rsidR="00FC3EE3" w:rsidRPr="00AE4DBA" w14:paraId="4448462C"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0AA0F3FB" w14:textId="77777777" w:rsidR="00FC3EE3" w:rsidRPr="00AE4DBA" w:rsidRDefault="00FC3EE3" w:rsidP="00FC3EE3">
            <w:pPr>
              <w:rPr>
                <w:rFonts w:cs="Arial"/>
                <w:sz w:val="20"/>
                <w:szCs w:val="20"/>
              </w:rPr>
            </w:pPr>
            <w:r w:rsidRPr="00AE4DBA">
              <w:rPr>
                <w:rFonts w:cs="Arial"/>
                <w:sz w:val="20"/>
                <w:szCs w:val="20"/>
              </w:rPr>
              <w:t>TWO Aviation fuel (Kerosene) - Aviation fuel (Kerosene) - B200 - hours</w:t>
            </w:r>
          </w:p>
        </w:tc>
        <w:tc>
          <w:tcPr>
            <w:tcW w:w="2852" w:type="dxa"/>
            <w:tcBorders>
              <w:top w:val="nil"/>
              <w:left w:val="nil"/>
              <w:bottom w:val="single" w:sz="4" w:space="0" w:color="auto"/>
              <w:right w:val="single" w:sz="4" w:space="0" w:color="auto"/>
            </w:tcBorders>
            <w:shd w:val="clear" w:color="auto" w:fill="auto"/>
            <w:noWrap/>
            <w:vAlign w:val="bottom"/>
            <w:hideMark/>
          </w:tcPr>
          <w:p w14:paraId="5BBC9064" w14:textId="77777777" w:rsidR="00FC3EE3" w:rsidRPr="00AE4DBA" w:rsidRDefault="00FC3EE3" w:rsidP="00FC3EE3">
            <w:pPr>
              <w:rPr>
                <w:rFonts w:cs="Arial"/>
                <w:sz w:val="20"/>
                <w:szCs w:val="20"/>
              </w:rPr>
            </w:pPr>
            <w:r w:rsidRPr="00AE4DBA">
              <w:rPr>
                <w:rFonts w:cs="Arial"/>
                <w:sz w:val="20"/>
                <w:szCs w:val="20"/>
              </w:rPr>
              <w:t>Hours</w:t>
            </w:r>
          </w:p>
        </w:tc>
        <w:tc>
          <w:tcPr>
            <w:tcW w:w="2048" w:type="dxa"/>
            <w:tcBorders>
              <w:top w:val="nil"/>
              <w:left w:val="nil"/>
              <w:bottom w:val="single" w:sz="4" w:space="0" w:color="auto"/>
              <w:right w:val="single" w:sz="4" w:space="0" w:color="auto"/>
            </w:tcBorders>
            <w:shd w:val="clear" w:color="auto" w:fill="auto"/>
            <w:noWrap/>
            <w:vAlign w:val="bottom"/>
            <w:hideMark/>
          </w:tcPr>
          <w:p w14:paraId="6BFC2C9C" w14:textId="77777777" w:rsidR="00FC3EE3" w:rsidRPr="00AE4DBA" w:rsidRDefault="00FC3EE3" w:rsidP="00FC3EE3">
            <w:pPr>
              <w:jc w:val="right"/>
              <w:rPr>
                <w:rFonts w:cs="Arial"/>
                <w:sz w:val="20"/>
                <w:szCs w:val="20"/>
              </w:rPr>
            </w:pPr>
            <w:r w:rsidRPr="00AE4DBA">
              <w:rPr>
                <w:rFonts w:cs="Arial"/>
                <w:sz w:val="20"/>
                <w:szCs w:val="20"/>
              </w:rPr>
              <w:t>1,526</w:t>
            </w:r>
          </w:p>
        </w:tc>
      </w:tr>
      <w:tr w:rsidR="00FC3EE3" w:rsidRPr="00AE4DBA" w14:paraId="306758C5"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23B8D63C" w14:textId="77777777" w:rsidR="00FC3EE3" w:rsidRPr="00AE4DBA" w:rsidRDefault="00FC3EE3" w:rsidP="00FC3EE3">
            <w:pPr>
              <w:rPr>
                <w:rFonts w:cs="Arial"/>
                <w:sz w:val="20"/>
                <w:szCs w:val="20"/>
              </w:rPr>
            </w:pPr>
            <w:r w:rsidRPr="00AE4DBA">
              <w:rPr>
                <w:rFonts w:cs="Arial"/>
                <w:sz w:val="20"/>
                <w:szCs w:val="20"/>
              </w:rPr>
              <w:t xml:space="preserve">Diesel - Commercial </w:t>
            </w:r>
            <w:proofErr w:type="gramStart"/>
            <w:r w:rsidRPr="00AE4DBA">
              <w:rPr>
                <w:rFonts w:cs="Arial"/>
                <w:sz w:val="20"/>
                <w:szCs w:val="20"/>
              </w:rPr>
              <w:t>use  -</w:t>
            </w:r>
            <w:proofErr w:type="gramEnd"/>
            <w:r w:rsidRPr="00AE4DBA">
              <w:rPr>
                <w:rFonts w:cs="Arial"/>
                <w:sz w:val="20"/>
                <w:szCs w:val="20"/>
              </w:rPr>
              <w:t xml:space="preserve"> litre</w:t>
            </w:r>
          </w:p>
        </w:tc>
        <w:tc>
          <w:tcPr>
            <w:tcW w:w="2852" w:type="dxa"/>
            <w:tcBorders>
              <w:top w:val="nil"/>
              <w:left w:val="nil"/>
              <w:bottom w:val="single" w:sz="4" w:space="0" w:color="auto"/>
              <w:right w:val="single" w:sz="4" w:space="0" w:color="auto"/>
            </w:tcBorders>
            <w:shd w:val="clear" w:color="auto" w:fill="auto"/>
            <w:noWrap/>
            <w:vAlign w:val="bottom"/>
            <w:hideMark/>
          </w:tcPr>
          <w:p w14:paraId="04FF83E2" w14:textId="77777777" w:rsidR="00FC3EE3" w:rsidRPr="00AE4DBA" w:rsidRDefault="00FC3EE3" w:rsidP="00FC3EE3">
            <w:pPr>
              <w:rPr>
                <w:rFonts w:cs="Arial"/>
                <w:sz w:val="20"/>
                <w:szCs w:val="20"/>
              </w:rPr>
            </w:pPr>
            <w:r w:rsidRPr="00AE4DBA">
              <w:rPr>
                <w:rFonts w:cs="Arial"/>
                <w:sz w:val="20"/>
                <w:szCs w:val="20"/>
              </w:rPr>
              <w:t>Litre</w:t>
            </w:r>
          </w:p>
        </w:tc>
        <w:tc>
          <w:tcPr>
            <w:tcW w:w="2048" w:type="dxa"/>
            <w:tcBorders>
              <w:top w:val="nil"/>
              <w:left w:val="nil"/>
              <w:bottom w:val="single" w:sz="4" w:space="0" w:color="auto"/>
              <w:right w:val="single" w:sz="4" w:space="0" w:color="auto"/>
            </w:tcBorders>
            <w:shd w:val="clear" w:color="auto" w:fill="auto"/>
            <w:noWrap/>
            <w:vAlign w:val="bottom"/>
            <w:hideMark/>
          </w:tcPr>
          <w:p w14:paraId="59731E89" w14:textId="77777777" w:rsidR="00FC3EE3" w:rsidRPr="00AE4DBA" w:rsidRDefault="00FC3EE3" w:rsidP="00FC3EE3">
            <w:pPr>
              <w:jc w:val="right"/>
              <w:rPr>
                <w:rFonts w:cs="Arial"/>
                <w:sz w:val="20"/>
                <w:szCs w:val="20"/>
              </w:rPr>
            </w:pPr>
            <w:r w:rsidRPr="00AE4DBA">
              <w:rPr>
                <w:rFonts w:cs="Arial"/>
                <w:sz w:val="20"/>
                <w:szCs w:val="20"/>
              </w:rPr>
              <w:t>1,497</w:t>
            </w:r>
          </w:p>
        </w:tc>
      </w:tr>
      <w:tr w:rsidR="00FC3EE3" w:rsidRPr="00AE4DBA" w14:paraId="01D63090"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07C53FBB" w14:textId="77777777" w:rsidR="00FC3EE3" w:rsidRPr="00AE4DBA" w:rsidRDefault="00FC3EE3" w:rsidP="00FC3EE3">
            <w:pPr>
              <w:rPr>
                <w:rFonts w:cs="Arial"/>
                <w:sz w:val="20"/>
                <w:szCs w:val="20"/>
              </w:rPr>
            </w:pPr>
            <w:r w:rsidRPr="00AE4DBA">
              <w:rPr>
                <w:rFonts w:cs="Arial"/>
                <w:sz w:val="20"/>
                <w:szCs w:val="20"/>
              </w:rPr>
              <w:t xml:space="preserve">New Zealand - </w:t>
            </w:r>
            <w:proofErr w:type="spellStart"/>
            <w:r w:rsidRPr="00AE4DBA">
              <w:rPr>
                <w:rFonts w:cs="Arial"/>
                <w:sz w:val="20"/>
                <w:szCs w:val="20"/>
              </w:rPr>
              <w:t>MfE</w:t>
            </w:r>
            <w:proofErr w:type="spellEnd"/>
            <w:r w:rsidRPr="00AE4DBA">
              <w:rPr>
                <w:rFonts w:cs="Arial"/>
                <w:sz w:val="20"/>
                <w:szCs w:val="20"/>
              </w:rPr>
              <w:t xml:space="preserve"> (Cat 4)</w:t>
            </w:r>
          </w:p>
        </w:tc>
        <w:tc>
          <w:tcPr>
            <w:tcW w:w="2852" w:type="dxa"/>
            <w:tcBorders>
              <w:top w:val="nil"/>
              <w:left w:val="nil"/>
              <w:bottom w:val="single" w:sz="4" w:space="0" w:color="auto"/>
              <w:right w:val="single" w:sz="4" w:space="0" w:color="auto"/>
            </w:tcBorders>
            <w:shd w:val="clear" w:color="auto" w:fill="auto"/>
            <w:noWrap/>
            <w:vAlign w:val="bottom"/>
            <w:hideMark/>
          </w:tcPr>
          <w:p w14:paraId="352AAB52" w14:textId="77777777" w:rsidR="00FC3EE3" w:rsidRPr="00AE4DBA" w:rsidRDefault="00FC3EE3" w:rsidP="00FC3EE3">
            <w:pPr>
              <w:rPr>
                <w:rFonts w:cs="Arial"/>
                <w:sz w:val="20"/>
                <w:szCs w:val="20"/>
              </w:rPr>
            </w:pPr>
            <w:r w:rsidRPr="00AE4DBA">
              <w:rPr>
                <w:rFonts w:cs="Arial"/>
                <w:sz w:val="20"/>
                <w:szCs w:val="20"/>
              </w:rPr>
              <w:t>Room Per Night</w:t>
            </w:r>
          </w:p>
        </w:tc>
        <w:tc>
          <w:tcPr>
            <w:tcW w:w="2048" w:type="dxa"/>
            <w:tcBorders>
              <w:top w:val="nil"/>
              <w:left w:val="nil"/>
              <w:bottom w:val="single" w:sz="4" w:space="0" w:color="auto"/>
              <w:right w:val="single" w:sz="4" w:space="0" w:color="auto"/>
            </w:tcBorders>
            <w:shd w:val="clear" w:color="auto" w:fill="auto"/>
            <w:noWrap/>
            <w:vAlign w:val="bottom"/>
            <w:hideMark/>
          </w:tcPr>
          <w:p w14:paraId="40FB4015" w14:textId="77777777" w:rsidR="00FC3EE3" w:rsidRPr="00AE4DBA" w:rsidRDefault="00FC3EE3" w:rsidP="00FC3EE3">
            <w:pPr>
              <w:jc w:val="right"/>
              <w:rPr>
                <w:rFonts w:cs="Arial"/>
                <w:sz w:val="20"/>
                <w:szCs w:val="20"/>
              </w:rPr>
            </w:pPr>
            <w:r w:rsidRPr="00AE4DBA">
              <w:rPr>
                <w:rFonts w:cs="Arial"/>
                <w:sz w:val="20"/>
                <w:szCs w:val="20"/>
              </w:rPr>
              <w:t>1,355</w:t>
            </w:r>
          </w:p>
        </w:tc>
      </w:tr>
      <w:tr w:rsidR="00FC3EE3" w:rsidRPr="00AE4DBA" w14:paraId="1B327589"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1111AA01" w14:textId="77777777" w:rsidR="00FC3EE3" w:rsidRPr="00AE4DBA" w:rsidRDefault="00FC3EE3" w:rsidP="00FC3EE3">
            <w:pPr>
              <w:rPr>
                <w:rFonts w:cs="Arial"/>
                <w:sz w:val="20"/>
                <w:szCs w:val="20"/>
              </w:rPr>
            </w:pPr>
            <w:r w:rsidRPr="00AE4DBA">
              <w:rPr>
                <w:rFonts w:cs="Arial"/>
                <w:sz w:val="20"/>
                <w:szCs w:val="20"/>
              </w:rPr>
              <w:t>Short-haul (&lt;3700km) - Economy class - With Radiative Forcing</w:t>
            </w:r>
          </w:p>
        </w:tc>
        <w:tc>
          <w:tcPr>
            <w:tcW w:w="2852" w:type="dxa"/>
            <w:tcBorders>
              <w:top w:val="nil"/>
              <w:left w:val="nil"/>
              <w:bottom w:val="single" w:sz="4" w:space="0" w:color="auto"/>
              <w:right w:val="single" w:sz="4" w:space="0" w:color="auto"/>
            </w:tcBorders>
            <w:shd w:val="clear" w:color="auto" w:fill="auto"/>
            <w:noWrap/>
            <w:vAlign w:val="bottom"/>
            <w:hideMark/>
          </w:tcPr>
          <w:p w14:paraId="6DB3A9DA" w14:textId="77777777" w:rsidR="00FC3EE3" w:rsidRPr="00AE4DBA" w:rsidRDefault="00FC3EE3" w:rsidP="00FC3EE3">
            <w:pPr>
              <w:rPr>
                <w:rFonts w:cs="Arial"/>
                <w:sz w:val="20"/>
                <w:szCs w:val="20"/>
              </w:rPr>
            </w:pPr>
            <w:r w:rsidRPr="00AE4DBA">
              <w:rPr>
                <w:rFonts w:cs="Arial"/>
                <w:sz w:val="20"/>
                <w:szCs w:val="20"/>
              </w:rPr>
              <w:t>Passenger Kms</w:t>
            </w:r>
          </w:p>
        </w:tc>
        <w:tc>
          <w:tcPr>
            <w:tcW w:w="2048" w:type="dxa"/>
            <w:tcBorders>
              <w:top w:val="nil"/>
              <w:left w:val="nil"/>
              <w:bottom w:val="single" w:sz="4" w:space="0" w:color="auto"/>
              <w:right w:val="single" w:sz="4" w:space="0" w:color="auto"/>
            </w:tcBorders>
            <w:shd w:val="clear" w:color="auto" w:fill="auto"/>
            <w:noWrap/>
            <w:vAlign w:val="bottom"/>
            <w:hideMark/>
          </w:tcPr>
          <w:p w14:paraId="2087F799" w14:textId="77777777" w:rsidR="00FC3EE3" w:rsidRPr="00AE4DBA" w:rsidRDefault="00FC3EE3" w:rsidP="00FC3EE3">
            <w:pPr>
              <w:jc w:val="right"/>
              <w:rPr>
                <w:rFonts w:cs="Arial"/>
                <w:sz w:val="20"/>
                <w:szCs w:val="20"/>
              </w:rPr>
            </w:pPr>
            <w:r w:rsidRPr="00AE4DBA">
              <w:rPr>
                <w:rFonts w:cs="Arial"/>
                <w:sz w:val="20"/>
                <w:szCs w:val="20"/>
              </w:rPr>
              <w:t>1,114</w:t>
            </w:r>
          </w:p>
        </w:tc>
      </w:tr>
      <w:tr w:rsidR="00FC3EE3" w:rsidRPr="00AE4DBA" w14:paraId="567C6946"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79D3D126" w14:textId="77777777" w:rsidR="00FC3EE3" w:rsidRPr="00AE4DBA" w:rsidRDefault="00FC3EE3" w:rsidP="00FC3EE3">
            <w:pPr>
              <w:rPr>
                <w:rFonts w:cs="Arial"/>
                <w:sz w:val="20"/>
                <w:szCs w:val="20"/>
              </w:rPr>
            </w:pPr>
            <w:r w:rsidRPr="00AE4DBA">
              <w:rPr>
                <w:rFonts w:cs="Arial"/>
                <w:sz w:val="20"/>
                <w:szCs w:val="20"/>
              </w:rPr>
              <w:t>Vehicle KgCO2e direct</w:t>
            </w:r>
          </w:p>
        </w:tc>
        <w:tc>
          <w:tcPr>
            <w:tcW w:w="2852" w:type="dxa"/>
            <w:tcBorders>
              <w:top w:val="nil"/>
              <w:left w:val="nil"/>
              <w:bottom w:val="single" w:sz="4" w:space="0" w:color="auto"/>
              <w:right w:val="single" w:sz="4" w:space="0" w:color="auto"/>
            </w:tcBorders>
            <w:shd w:val="clear" w:color="auto" w:fill="auto"/>
            <w:noWrap/>
            <w:vAlign w:val="bottom"/>
            <w:hideMark/>
          </w:tcPr>
          <w:p w14:paraId="4E0B8A7A" w14:textId="77777777" w:rsidR="00FC3EE3" w:rsidRPr="00AE4DBA" w:rsidRDefault="00FC3EE3" w:rsidP="00FC3EE3">
            <w:pPr>
              <w:rPr>
                <w:rFonts w:cs="Arial"/>
                <w:sz w:val="20"/>
                <w:szCs w:val="20"/>
              </w:rPr>
            </w:pPr>
            <w:r w:rsidRPr="00AE4DBA">
              <w:rPr>
                <w:rFonts w:cs="Arial"/>
                <w:sz w:val="20"/>
                <w:szCs w:val="20"/>
              </w:rPr>
              <w:t>KgCO2-e direct</w:t>
            </w:r>
          </w:p>
        </w:tc>
        <w:tc>
          <w:tcPr>
            <w:tcW w:w="2048" w:type="dxa"/>
            <w:tcBorders>
              <w:top w:val="nil"/>
              <w:left w:val="nil"/>
              <w:bottom w:val="single" w:sz="4" w:space="0" w:color="auto"/>
              <w:right w:val="single" w:sz="4" w:space="0" w:color="auto"/>
            </w:tcBorders>
            <w:shd w:val="clear" w:color="auto" w:fill="auto"/>
            <w:noWrap/>
            <w:vAlign w:val="bottom"/>
            <w:hideMark/>
          </w:tcPr>
          <w:p w14:paraId="2BCC44E9" w14:textId="77777777" w:rsidR="00FC3EE3" w:rsidRPr="00AE4DBA" w:rsidRDefault="00FC3EE3" w:rsidP="00FC3EE3">
            <w:pPr>
              <w:jc w:val="right"/>
              <w:rPr>
                <w:rFonts w:cs="Arial"/>
                <w:sz w:val="20"/>
                <w:szCs w:val="20"/>
              </w:rPr>
            </w:pPr>
            <w:r w:rsidRPr="00AE4DBA">
              <w:rPr>
                <w:rFonts w:cs="Arial"/>
                <w:sz w:val="20"/>
                <w:szCs w:val="20"/>
              </w:rPr>
              <w:t>1,014</w:t>
            </w:r>
          </w:p>
        </w:tc>
      </w:tr>
      <w:tr w:rsidR="00FC3EE3" w:rsidRPr="00AE4DBA" w14:paraId="7C6787C4"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7DDF78F8" w14:textId="04F43E14" w:rsidR="00FC3EE3" w:rsidRPr="00AE4DBA" w:rsidRDefault="00FC3EE3" w:rsidP="00FC3EE3">
            <w:pPr>
              <w:rPr>
                <w:rFonts w:cs="Arial"/>
                <w:sz w:val="20"/>
                <w:szCs w:val="20"/>
              </w:rPr>
            </w:pPr>
            <w:r w:rsidRPr="00AE4DBA">
              <w:rPr>
                <w:rFonts w:cs="Arial"/>
                <w:sz w:val="20"/>
                <w:szCs w:val="20"/>
              </w:rPr>
              <w:lastRenderedPageBreak/>
              <w:t>HFC-134a (R-134a) - Kg</w:t>
            </w:r>
          </w:p>
        </w:tc>
        <w:tc>
          <w:tcPr>
            <w:tcW w:w="2852" w:type="dxa"/>
            <w:tcBorders>
              <w:top w:val="nil"/>
              <w:left w:val="nil"/>
              <w:bottom w:val="single" w:sz="4" w:space="0" w:color="auto"/>
              <w:right w:val="single" w:sz="4" w:space="0" w:color="auto"/>
            </w:tcBorders>
            <w:shd w:val="clear" w:color="auto" w:fill="auto"/>
            <w:noWrap/>
            <w:vAlign w:val="bottom"/>
            <w:hideMark/>
          </w:tcPr>
          <w:p w14:paraId="0130BA6F" w14:textId="77777777" w:rsidR="00FC3EE3" w:rsidRPr="00AE4DBA" w:rsidRDefault="00FC3EE3" w:rsidP="00FC3EE3">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456CDD03" w14:textId="77777777" w:rsidR="00FC3EE3" w:rsidRPr="00AE4DBA" w:rsidRDefault="00FC3EE3" w:rsidP="00FC3EE3">
            <w:pPr>
              <w:jc w:val="right"/>
              <w:rPr>
                <w:rFonts w:cs="Arial"/>
                <w:sz w:val="20"/>
                <w:szCs w:val="20"/>
              </w:rPr>
            </w:pPr>
            <w:r w:rsidRPr="00AE4DBA">
              <w:rPr>
                <w:rFonts w:cs="Arial"/>
                <w:sz w:val="20"/>
                <w:szCs w:val="20"/>
              </w:rPr>
              <w:t>949</w:t>
            </w:r>
          </w:p>
        </w:tc>
      </w:tr>
      <w:tr w:rsidR="00FC3EE3" w:rsidRPr="00AE4DBA" w14:paraId="53623A11"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2AD0610B" w14:textId="77777777" w:rsidR="00FC3EE3" w:rsidRPr="00AE4DBA" w:rsidRDefault="00FC3EE3" w:rsidP="00FC3EE3">
            <w:pPr>
              <w:rPr>
                <w:rFonts w:cs="Arial"/>
                <w:sz w:val="20"/>
                <w:szCs w:val="20"/>
              </w:rPr>
            </w:pPr>
            <w:r w:rsidRPr="00AE4DBA">
              <w:rPr>
                <w:rFonts w:cs="Arial"/>
                <w:sz w:val="20"/>
                <w:szCs w:val="20"/>
              </w:rPr>
              <w:t>Domestic - National average - With Radiative Forcing</w:t>
            </w:r>
          </w:p>
        </w:tc>
        <w:tc>
          <w:tcPr>
            <w:tcW w:w="2852" w:type="dxa"/>
            <w:tcBorders>
              <w:top w:val="nil"/>
              <w:left w:val="nil"/>
              <w:bottom w:val="single" w:sz="4" w:space="0" w:color="auto"/>
              <w:right w:val="single" w:sz="4" w:space="0" w:color="auto"/>
            </w:tcBorders>
            <w:shd w:val="clear" w:color="auto" w:fill="auto"/>
            <w:noWrap/>
            <w:vAlign w:val="bottom"/>
            <w:hideMark/>
          </w:tcPr>
          <w:p w14:paraId="172799C6" w14:textId="77777777" w:rsidR="00FC3EE3" w:rsidRPr="00AE4DBA" w:rsidRDefault="00FC3EE3" w:rsidP="00FC3EE3">
            <w:pPr>
              <w:rPr>
                <w:rFonts w:cs="Arial"/>
                <w:sz w:val="20"/>
                <w:szCs w:val="20"/>
              </w:rPr>
            </w:pPr>
            <w:r w:rsidRPr="00AE4DBA">
              <w:rPr>
                <w:rFonts w:cs="Arial"/>
                <w:sz w:val="20"/>
                <w:szCs w:val="20"/>
              </w:rPr>
              <w:t>Passenger Kms</w:t>
            </w:r>
          </w:p>
        </w:tc>
        <w:tc>
          <w:tcPr>
            <w:tcW w:w="2048" w:type="dxa"/>
            <w:tcBorders>
              <w:top w:val="nil"/>
              <w:left w:val="nil"/>
              <w:bottom w:val="single" w:sz="4" w:space="0" w:color="auto"/>
              <w:right w:val="single" w:sz="4" w:space="0" w:color="auto"/>
            </w:tcBorders>
            <w:shd w:val="clear" w:color="auto" w:fill="auto"/>
            <w:noWrap/>
            <w:vAlign w:val="bottom"/>
            <w:hideMark/>
          </w:tcPr>
          <w:p w14:paraId="6542EBF0" w14:textId="77777777" w:rsidR="00FC3EE3" w:rsidRPr="00AE4DBA" w:rsidRDefault="00FC3EE3" w:rsidP="00FC3EE3">
            <w:pPr>
              <w:jc w:val="right"/>
              <w:rPr>
                <w:rFonts w:cs="Arial"/>
                <w:sz w:val="20"/>
                <w:szCs w:val="20"/>
              </w:rPr>
            </w:pPr>
            <w:r w:rsidRPr="00AE4DBA">
              <w:rPr>
                <w:rFonts w:cs="Arial"/>
                <w:sz w:val="20"/>
                <w:szCs w:val="20"/>
              </w:rPr>
              <w:t>798</w:t>
            </w:r>
          </w:p>
        </w:tc>
      </w:tr>
      <w:tr w:rsidR="00FC3EE3" w:rsidRPr="00AE4DBA" w14:paraId="5963F0CD"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7A5A7CE2" w14:textId="3B5AE821" w:rsidR="00FC3EE3" w:rsidRPr="00AE4DBA" w:rsidRDefault="00FC3EE3" w:rsidP="00FC3EE3">
            <w:pPr>
              <w:rPr>
                <w:rFonts w:cs="Arial"/>
                <w:sz w:val="20"/>
                <w:szCs w:val="20"/>
              </w:rPr>
            </w:pPr>
            <w:r w:rsidRPr="00AE4DBA">
              <w:rPr>
                <w:rFonts w:cs="Arial"/>
                <w:sz w:val="20"/>
                <w:szCs w:val="20"/>
              </w:rPr>
              <w:t>LPG - Commercial use - kg</w:t>
            </w:r>
          </w:p>
        </w:tc>
        <w:tc>
          <w:tcPr>
            <w:tcW w:w="2852" w:type="dxa"/>
            <w:tcBorders>
              <w:top w:val="nil"/>
              <w:left w:val="nil"/>
              <w:bottom w:val="single" w:sz="4" w:space="0" w:color="auto"/>
              <w:right w:val="single" w:sz="4" w:space="0" w:color="auto"/>
            </w:tcBorders>
            <w:shd w:val="clear" w:color="auto" w:fill="auto"/>
            <w:noWrap/>
            <w:vAlign w:val="bottom"/>
            <w:hideMark/>
          </w:tcPr>
          <w:p w14:paraId="7C75DAB7" w14:textId="77777777" w:rsidR="00FC3EE3" w:rsidRPr="00AE4DBA" w:rsidRDefault="00FC3EE3" w:rsidP="00FC3EE3">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50549EFB" w14:textId="77777777" w:rsidR="00FC3EE3" w:rsidRPr="00AE4DBA" w:rsidRDefault="00FC3EE3" w:rsidP="00FC3EE3">
            <w:pPr>
              <w:jc w:val="right"/>
              <w:rPr>
                <w:rFonts w:cs="Arial"/>
                <w:sz w:val="20"/>
                <w:szCs w:val="20"/>
              </w:rPr>
            </w:pPr>
            <w:r w:rsidRPr="00AE4DBA">
              <w:rPr>
                <w:rFonts w:cs="Arial"/>
                <w:sz w:val="20"/>
                <w:szCs w:val="20"/>
              </w:rPr>
              <w:t>712</w:t>
            </w:r>
          </w:p>
        </w:tc>
      </w:tr>
      <w:tr w:rsidR="00FC3EE3" w:rsidRPr="00AE4DBA" w14:paraId="52674403"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6A19DEB5" w14:textId="77777777" w:rsidR="00FC3EE3" w:rsidRPr="00AE4DBA" w:rsidRDefault="00FC3EE3" w:rsidP="00FC3EE3">
            <w:pPr>
              <w:rPr>
                <w:rFonts w:cs="Arial"/>
                <w:sz w:val="20"/>
                <w:szCs w:val="20"/>
              </w:rPr>
            </w:pPr>
            <w:r w:rsidRPr="00AE4DBA">
              <w:rPr>
                <w:rFonts w:cs="Arial"/>
                <w:sz w:val="20"/>
                <w:szCs w:val="20"/>
              </w:rPr>
              <w:t>410A - Kg</w:t>
            </w:r>
          </w:p>
        </w:tc>
        <w:tc>
          <w:tcPr>
            <w:tcW w:w="2852" w:type="dxa"/>
            <w:tcBorders>
              <w:top w:val="nil"/>
              <w:left w:val="nil"/>
              <w:bottom w:val="single" w:sz="4" w:space="0" w:color="auto"/>
              <w:right w:val="single" w:sz="4" w:space="0" w:color="auto"/>
            </w:tcBorders>
            <w:shd w:val="clear" w:color="auto" w:fill="auto"/>
            <w:noWrap/>
            <w:vAlign w:val="bottom"/>
            <w:hideMark/>
          </w:tcPr>
          <w:p w14:paraId="7D81B7B7" w14:textId="77777777" w:rsidR="00FC3EE3" w:rsidRPr="00AE4DBA" w:rsidRDefault="00FC3EE3" w:rsidP="00FC3EE3">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7471F23F" w14:textId="77777777" w:rsidR="00FC3EE3" w:rsidRPr="00AE4DBA" w:rsidRDefault="00FC3EE3" w:rsidP="00FC3EE3">
            <w:pPr>
              <w:jc w:val="right"/>
              <w:rPr>
                <w:rFonts w:cs="Arial"/>
                <w:sz w:val="20"/>
                <w:szCs w:val="20"/>
              </w:rPr>
            </w:pPr>
            <w:r w:rsidRPr="00AE4DBA">
              <w:rPr>
                <w:rFonts w:cs="Arial"/>
                <w:sz w:val="20"/>
                <w:szCs w:val="20"/>
              </w:rPr>
              <w:t>630</w:t>
            </w:r>
          </w:p>
        </w:tc>
      </w:tr>
      <w:tr w:rsidR="00FC3EE3" w:rsidRPr="00AE4DBA" w14:paraId="1C852008"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5EA8FAEF" w14:textId="77777777" w:rsidR="00FC3EE3" w:rsidRPr="00AE4DBA" w:rsidRDefault="00FC3EE3" w:rsidP="00FC3EE3">
            <w:pPr>
              <w:rPr>
                <w:rFonts w:cs="Arial"/>
                <w:sz w:val="20"/>
                <w:szCs w:val="20"/>
              </w:rPr>
            </w:pPr>
            <w:r w:rsidRPr="00AE4DBA">
              <w:rPr>
                <w:rFonts w:cs="Arial"/>
                <w:sz w:val="20"/>
                <w:szCs w:val="20"/>
              </w:rPr>
              <w:t>TWO Purchased Steam from coal - GJ</w:t>
            </w:r>
          </w:p>
        </w:tc>
        <w:tc>
          <w:tcPr>
            <w:tcW w:w="2852" w:type="dxa"/>
            <w:tcBorders>
              <w:top w:val="nil"/>
              <w:left w:val="nil"/>
              <w:bottom w:val="single" w:sz="4" w:space="0" w:color="auto"/>
              <w:right w:val="single" w:sz="4" w:space="0" w:color="auto"/>
            </w:tcBorders>
            <w:shd w:val="clear" w:color="auto" w:fill="auto"/>
            <w:noWrap/>
            <w:vAlign w:val="bottom"/>
            <w:hideMark/>
          </w:tcPr>
          <w:p w14:paraId="13AF867B" w14:textId="77777777" w:rsidR="00FC3EE3" w:rsidRPr="00AE4DBA" w:rsidRDefault="00FC3EE3" w:rsidP="00FC3EE3">
            <w:pPr>
              <w:rPr>
                <w:rFonts w:cs="Arial"/>
                <w:sz w:val="20"/>
                <w:szCs w:val="20"/>
              </w:rPr>
            </w:pPr>
            <w:r w:rsidRPr="00AE4DBA">
              <w:rPr>
                <w:rFonts w:cs="Arial"/>
                <w:sz w:val="20"/>
                <w:szCs w:val="20"/>
              </w:rPr>
              <w:t>GJ</w:t>
            </w:r>
          </w:p>
        </w:tc>
        <w:tc>
          <w:tcPr>
            <w:tcW w:w="2048" w:type="dxa"/>
            <w:tcBorders>
              <w:top w:val="nil"/>
              <w:left w:val="nil"/>
              <w:bottom w:val="single" w:sz="4" w:space="0" w:color="auto"/>
              <w:right w:val="single" w:sz="4" w:space="0" w:color="auto"/>
            </w:tcBorders>
            <w:shd w:val="clear" w:color="auto" w:fill="auto"/>
            <w:noWrap/>
            <w:vAlign w:val="bottom"/>
            <w:hideMark/>
          </w:tcPr>
          <w:p w14:paraId="4FC6E67D" w14:textId="77777777" w:rsidR="00FC3EE3" w:rsidRPr="00AE4DBA" w:rsidRDefault="00FC3EE3" w:rsidP="00FC3EE3">
            <w:pPr>
              <w:jc w:val="right"/>
              <w:rPr>
                <w:rFonts w:cs="Arial"/>
                <w:sz w:val="20"/>
                <w:szCs w:val="20"/>
              </w:rPr>
            </w:pPr>
            <w:r w:rsidRPr="00AE4DBA">
              <w:rPr>
                <w:rFonts w:cs="Arial"/>
                <w:sz w:val="20"/>
                <w:szCs w:val="20"/>
              </w:rPr>
              <w:t>586</w:t>
            </w:r>
          </w:p>
        </w:tc>
      </w:tr>
      <w:tr w:rsidR="00FC3EE3" w:rsidRPr="00AE4DBA" w14:paraId="6530A914"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3A2A857C" w14:textId="77777777" w:rsidR="00FC3EE3" w:rsidRPr="00AE4DBA" w:rsidRDefault="00FC3EE3" w:rsidP="00FC3EE3">
            <w:pPr>
              <w:rPr>
                <w:rFonts w:cs="Arial"/>
                <w:sz w:val="20"/>
                <w:szCs w:val="20"/>
              </w:rPr>
            </w:pPr>
            <w:r w:rsidRPr="00AE4DBA">
              <w:rPr>
                <w:rFonts w:cs="Arial"/>
                <w:sz w:val="20"/>
                <w:szCs w:val="20"/>
              </w:rPr>
              <w:t>Domestic - National average - With Radiative Forcing (NTA)</w:t>
            </w:r>
          </w:p>
        </w:tc>
        <w:tc>
          <w:tcPr>
            <w:tcW w:w="2852" w:type="dxa"/>
            <w:tcBorders>
              <w:top w:val="nil"/>
              <w:left w:val="nil"/>
              <w:bottom w:val="single" w:sz="4" w:space="0" w:color="auto"/>
              <w:right w:val="single" w:sz="4" w:space="0" w:color="auto"/>
            </w:tcBorders>
            <w:shd w:val="clear" w:color="auto" w:fill="auto"/>
            <w:noWrap/>
            <w:vAlign w:val="bottom"/>
            <w:hideMark/>
          </w:tcPr>
          <w:p w14:paraId="0C4FB0D4" w14:textId="77777777" w:rsidR="00FC3EE3" w:rsidRPr="00AE4DBA" w:rsidRDefault="00FC3EE3" w:rsidP="00FC3EE3">
            <w:pPr>
              <w:rPr>
                <w:rFonts w:cs="Arial"/>
                <w:sz w:val="20"/>
                <w:szCs w:val="20"/>
              </w:rPr>
            </w:pPr>
            <w:r w:rsidRPr="00AE4DBA">
              <w:rPr>
                <w:rFonts w:cs="Arial"/>
                <w:sz w:val="20"/>
                <w:szCs w:val="20"/>
              </w:rPr>
              <w:t>Passenger Kms</w:t>
            </w:r>
          </w:p>
        </w:tc>
        <w:tc>
          <w:tcPr>
            <w:tcW w:w="2048" w:type="dxa"/>
            <w:tcBorders>
              <w:top w:val="nil"/>
              <w:left w:val="nil"/>
              <w:bottom w:val="single" w:sz="4" w:space="0" w:color="auto"/>
              <w:right w:val="single" w:sz="4" w:space="0" w:color="auto"/>
            </w:tcBorders>
            <w:shd w:val="clear" w:color="auto" w:fill="auto"/>
            <w:noWrap/>
            <w:vAlign w:val="bottom"/>
            <w:hideMark/>
          </w:tcPr>
          <w:p w14:paraId="683F7321" w14:textId="77777777" w:rsidR="00FC3EE3" w:rsidRPr="00AE4DBA" w:rsidRDefault="00FC3EE3" w:rsidP="00FC3EE3">
            <w:pPr>
              <w:jc w:val="right"/>
              <w:rPr>
                <w:rFonts w:cs="Arial"/>
                <w:sz w:val="20"/>
                <w:szCs w:val="20"/>
              </w:rPr>
            </w:pPr>
            <w:r w:rsidRPr="00AE4DBA">
              <w:rPr>
                <w:rFonts w:cs="Arial"/>
                <w:sz w:val="20"/>
                <w:szCs w:val="20"/>
              </w:rPr>
              <w:t>585</w:t>
            </w:r>
          </w:p>
        </w:tc>
      </w:tr>
      <w:tr w:rsidR="00FC3EE3" w:rsidRPr="00AE4DBA" w14:paraId="1D29565F"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16D35A48" w14:textId="77777777" w:rsidR="00FC3EE3" w:rsidRPr="00AE4DBA" w:rsidRDefault="00FC3EE3" w:rsidP="00FC3EE3">
            <w:pPr>
              <w:rPr>
                <w:rFonts w:cs="Arial"/>
                <w:sz w:val="20"/>
                <w:szCs w:val="20"/>
              </w:rPr>
            </w:pPr>
            <w:r w:rsidRPr="00AE4DBA">
              <w:rPr>
                <w:rFonts w:cs="Arial"/>
                <w:sz w:val="20"/>
                <w:szCs w:val="20"/>
              </w:rPr>
              <w:t>TWO HFE-347mmz1 (Sevoflurane) - Bottle</w:t>
            </w:r>
          </w:p>
        </w:tc>
        <w:tc>
          <w:tcPr>
            <w:tcW w:w="2852" w:type="dxa"/>
            <w:tcBorders>
              <w:top w:val="nil"/>
              <w:left w:val="nil"/>
              <w:bottom w:val="single" w:sz="4" w:space="0" w:color="auto"/>
              <w:right w:val="single" w:sz="4" w:space="0" w:color="auto"/>
            </w:tcBorders>
            <w:shd w:val="clear" w:color="auto" w:fill="auto"/>
            <w:noWrap/>
            <w:vAlign w:val="bottom"/>
            <w:hideMark/>
          </w:tcPr>
          <w:p w14:paraId="453B32DB" w14:textId="77777777" w:rsidR="00FC3EE3" w:rsidRPr="00AE4DBA" w:rsidRDefault="00FC3EE3" w:rsidP="00FC3EE3">
            <w:pPr>
              <w:rPr>
                <w:rFonts w:cs="Arial"/>
                <w:sz w:val="20"/>
                <w:szCs w:val="20"/>
              </w:rPr>
            </w:pPr>
            <w:r w:rsidRPr="00AE4DBA">
              <w:rPr>
                <w:rFonts w:cs="Arial"/>
                <w:sz w:val="20"/>
                <w:szCs w:val="20"/>
              </w:rPr>
              <w:t>Bottle</w:t>
            </w:r>
          </w:p>
        </w:tc>
        <w:tc>
          <w:tcPr>
            <w:tcW w:w="2048" w:type="dxa"/>
            <w:tcBorders>
              <w:top w:val="nil"/>
              <w:left w:val="nil"/>
              <w:bottom w:val="single" w:sz="4" w:space="0" w:color="auto"/>
              <w:right w:val="single" w:sz="4" w:space="0" w:color="auto"/>
            </w:tcBorders>
            <w:shd w:val="clear" w:color="auto" w:fill="auto"/>
            <w:noWrap/>
            <w:vAlign w:val="bottom"/>
            <w:hideMark/>
          </w:tcPr>
          <w:p w14:paraId="0B1AC5F7" w14:textId="77777777" w:rsidR="00FC3EE3" w:rsidRPr="00AE4DBA" w:rsidRDefault="00FC3EE3" w:rsidP="00FC3EE3">
            <w:pPr>
              <w:jc w:val="right"/>
              <w:rPr>
                <w:rFonts w:cs="Arial"/>
                <w:sz w:val="20"/>
                <w:szCs w:val="20"/>
              </w:rPr>
            </w:pPr>
            <w:r w:rsidRPr="00AE4DBA">
              <w:rPr>
                <w:rFonts w:cs="Arial"/>
                <w:sz w:val="20"/>
                <w:szCs w:val="20"/>
              </w:rPr>
              <w:t>450</w:t>
            </w:r>
          </w:p>
        </w:tc>
      </w:tr>
      <w:tr w:rsidR="00FC3EE3" w:rsidRPr="00AE4DBA" w14:paraId="08F495B6"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55E3327B" w14:textId="77777777" w:rsidR="00FC3EE3" w:rsidRPr="00AE4DBA" w:rsidRDefault="00FC3EE3" w:rsidP="00FC3EE3">
            <w:pPr>
              <w:rPr>
                <w:rFonts w:cs="Arial"/>
                <w:sz w:val="20"/>
                <w:szCs w:val="20"/>
              </w:rPr>
            </w:pPr>
            <w:r w:rsidRPr="00AE4DBA">
              <w:rPr>
                <w:rFonts w:cs="Arial"/>
                <w:sz w:val="20"/>
                <w:szCs w:val="20"/>
              </w:rPr>
              <w:t>TWO Aviation fuel (Kerosene) - Aviation fuel (Kerosene) - B350 - hours</w:t>
            </w:r>
          </w:p>
        </w:tc>
        <w:tc>
          <w:tcPr>
            <w:tcW w:w="2852" w:type="dxa"/>
            <w:tcBorders>
              <w:top w:val="nil"/>
              <w:left w:val="nil"/>
              <w:bottom w:val="single" w:sz="4" w:space="0" w:color="auto"/>
              <w:right w:val="single" w:sz="4" w:space="0" w:color="auto"/>
            </w:tcBorders>
            <w:shd w:val="clear" w:color="auto" w:fill="auto"/>
            <w:noWrap/>
            <w:vAlign w:val="bottom"/>
            <w:hideMark/>
          </w:tcPr>
          <w:p w14:paraId="08148CD4" w14:textId="77777777" w:rsidR="00FC3EE3" w:rsidRPr="00AE4DBA" w:rsidRDefault="00FC3EE3" w:rsidP="00FC3EE3">
            <w:pPr>
              <w:rPr>
                <w:rFonts w:cs="Arial"/>
                <w:sz w:val="20"/>
                <w:szCs w:val="20"/>
              </w:rPr>
            </w:pPr>
            <w:r w:rsidRPr="00AE4DBA">
              <w:rPr>
                <w:rFonts w:cs="Arial"/>
                <w:sz w:val="20"/>
                <w:szCs w:val="20"/>
              </w:rPr>
              <w:t>Hours</w:t>
            </w:r>
          </w:p>
        </w:tc>
        <w:tc>
          <w:tcPr>
            <w:tcW w:w="2048" w:type="dxa"/>
            <w:tcBorders>
              <w:top w:val="nil"/>
              <w:left w:val="nil"/>
              <w:bottom w:val="single" w:sz="4" w:space="0" w:color="auto"/>
              <w:right w:val="single" w:sz="4" w:space="0" w:color="auto"/>
            </w:tcBorders>
            <w:shd w:val="clear" w:color="auto" w:fill="auto"/>
            <w:noWrap/>
            <w:vAlign w:val="bottom"/>
            <w:hideMark/>
          </w:tcPr>
          <w:p w14:paraId="176B42F6" w14:textId="77777777" w:rsidR="00FC3EE3" w:rsidRPr="00AE4DBA" w:rsidRDefault="00FC3EE3" w:rsidP="00FC3EE3">
            <w:pPr>
              <w:jc w:val="right"/>
              <w:rPr>
                <w:rFonts w:cs="Arial"/>
                <w:sz w:val="20"/>
                <w:szCs w:val="20"/>
              </w:rPr>
            </w:pPr>
            <w:r w:rsidRPr="00AE4DBA">
              <w:rPr>
                <w:rFonts w:cs="Arial"/>
                <w:sz w:val="20"/>
                <w:szCs w:val="20"/>
              </w:rPr>
              <w:t>425</w:t>
            </w:r>
          </w:p>
        </w:tc>
      </w:tr>
      <w:tr w:rsidR="00FC3EE3" w:rsidRPr="00AE4DBA" w14:paraId="1BF08D8C"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2A201F64" w14:textId="77777777" w:rsidR="00FC3EE3" w:rsidRPr="00AE4DBA" w:rsidRDefault="00FC3EE3" w:rsidP="00FC3EE3">
            <w:pPr>
              <w:rPr>
                <w:rFonts w:cs="Arial"/>
                <w:sz w:val="20"/>
                <w:szCs w:val="20"/>
              </w:rPr>
            </w:pPr>
            <w:r w:rsidRPr="00AE4DBA">
              <w:rPr>
                <w:rFonts w:cs="Arial"/>
                <w:sz w:val="20"/>
                <w:szCs w:val="20"/>
              </w:rPr>
              <w:t>Premium Petrol - Premium Petrol - litre</w:t>
            </w:r>
          </w:p>
        </w:tc>
        <w:tc>
          <w:tcPr>
            <w:tcW w:w="2852" w:type="dxa"/>
            <w:tcBorders>
              <w:top w:val="nil"/>
              <w:left w:val="nil"/>
              <w:bottom w:val="single" w:sz="4" w:space="0" w:color="auto"/>
              <w:right w:val="single" w:sz="4" w:space="0" w:color="auto"/>
            </w:tcBorders>
            <w:shd w:val="clear" w:color="auto" w:fill="auto"/>
            <w:noWrap/>
            <w:vAlign w:val="bottom"/>
            <w:hideMark/>
          </w:tcPr>
          <w:p w14:paraId="2D61029D" w14:textId="77777777" w:rsidR="00FC3EE3" w:rsidRPr="00AE4DBA" w:rsidRDefault="00FC3EE3" w:rsidP="00FC3EE3">
            <w:pPr>
              <w:rPr>
                <w:rFonts w:cs="Arial"/>
                <w:sz w:val="20"/>
                <w:szCs w:val="20"/>
              </w:rPr>
            </w:pPr>
            <w:r w:rsidRPr="00AE4DBA">
              <w:rPr>
                <w:rFonts w:cs="Arial"/>
                <w:sz w:val="20"/>
                <w:szCs w:val="20"/>
              </w:rPr>
              <w:t>Litre</w:t>
            </w:r>
          </w:p>
        </w:tc>
        <w:tc>
          <w:tcPr>
            <w:tcW w:w="2048" w:type="dxa"/>
            <w:tcBorders>
              <w:top w:val="nil"/>
              <w:left w:val="nil"/>
              <w:bottom w:val="single" w:sz="4" w:space="0" w:color="auto"/>
              <w:right w:val="single" w:sz="4" w:space="0" w:color="auto"/>
            </w:tcBorders>
            <w:shd w:val="clear" w:color="auto" w:fill="auto"/>
            <w:noWrap/>
            <w:vAlign w:val="bottom"/>
            <w:hideMark/>
          </w:tcPr>
          <w:p w14:paraId="7DAE1F37" w14:textId="77777777" w:rsidR="00FC3EE3" w:rsidRPr="00AE4DBA" w:rsidRDefault="00FC3EE3" w:rsidP="00FC3EE3">
            <w:pPr>
              <w:jc w:val="right"/>
              <w:rPr>
                <w:rFonts w:cs="Arial"/>
                <w:sz w:val="20"/>
                <w:szCs w:val="20"/>
              </w:rPr>
            </w:pPr>
            <w:r w:rsidRPr="00AE4DBA">
              <w:rPr>
                <w:rFonts w:cs="Arial"/>
                <w:sz w:val="20"/>
                <w:szCs w:val="20"/>
              </w:rPr>
              <w:t>349</w:t>
            </w:r>
          </w:p>
        </w:tc>
      </w:tr>
      <w:tr w:rsidR="00FC3EE3" w:rsidRPr="00AE4DBA" w14:paraId="1EB83EB2"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76730467" w14:textId="77777777" w:rsidR="00FC3EE3" w:rsidRPr="00AE4DBA" w:rsidRDefault="00FC3EE3" w:rsidP="00FC3EE3">
            <w:pPr>
              <w:rPr>
                <w:rFonts w:cs="Arial"/>
                <w:sz w:val="20"/>
                <w:szCs w:val="20"/>
              </w:rPr>
            </w:pPr>
            <w:r w:rsidRPr="00AE4DBA">
              <w:rPr>
                <w:rFonts w:cs="Arial"/>
                <w:sz w:val="20"/>
                <w:szCs w:val="20"/>
              </w:rPr>
              <w:t>TWO Aviation fuel (Kerosene) - Aviation fuel (Kerosene) - C90 - hours</w:t>
            </w:r>
          </w:p>
        </w:tc>
        <w:tc>
          <w:tcPr>
            <w:tcW w:w="2852" w:type="dxa"/>
            <w:tcBorders>
              <w:top w:val="nil"/>
              <w:left w:val="nil"/>
              <w:bottom w:val="single" w:sz="4" w:space="0" w:color="auto"/>
              <w:right w:val="single" w:sz="4" w:space="0" w:color="auto"/>
            </w:tcBorders>
            <w:shd w:val="clear" w:color="auto" w:fill="auto"/>
            <w:noWrap/>
            <w:vAlign w:val="bottom"/>
            <w:hideMark/>
          </w:tcPr>
          <w:p w14:paraId="357CEDBD" w14:textId="77777777" w:rsidR="00FC3EE3" w:rsidRPr="00AE4DBA" w:rsidRDefault="00FC3EE3" w:rsidP="00FC3EE3">
            <w:pPr>
              <w:rPr>
                <w:rFonts w:cs="Arial"/>
                <w:sz w:val="20"/>
                <w:szCs w:val="20"/>
              </w:rPr>
            </w:pPr>
            <w:r w:rsidRPr="00AE4DBA">
              <w:rPr>
                <w:rFonts w:cs="Arial"/>
                <w:sz w:val="20"/>
                <w:szCs w:val="20"/>
              </w:rPr>
              <w:t>Hours</w:t>
            </w:r>
          </w:p>
        </w:tc>
        <w:tc>
          <w:tcPr>
            <w:tcW w:w="2048" w:type="dxa"/>
            <w:tcBorders>
              <w:top w:val="nil"/>
              <w:left w:val="nil"/>
              <w:bottom w:val="single" w:sz="4" w:space="0" w:color="auto"/>
              <w:right w:val="single" w:sz="4" w:space="0" w:color="auto"/>
            </w:tcBorders>
            <w:shd w:val="clear" w:color="auto" w:fill="auto"/>
            <w:noWrap/>
            <w:vAlign w:val="bottom"/>
            <w:hideMark/>
          </w:tcPr>
          <w:p w14:paraId="14B92B21" w14:textId="77777777" w:rsidR="00FC3EE3" w:rsidRPr="00AE4DBA" w:rsidRDefault="00FC3EE3" w:rsidP="00FC3EE3">
            <w:pPr>
              <w:jc w:val="right"/>
              <w:rPr>
                <w:rFonts w:cs="Arial"/>
                <w:sz w:val="20"/>
                <w:szCs w:val="20"/>
              </w:rPr>
            </w:pPr>
            <w:r w:rsidRPr="00AE4DBA">
              <w:rPr>
                <w:rFonts w:cs="Arial"/>
                <w:sz w:val="20"/>
                <w:szCs w:val="20"/>
              </w:rPr>
              <w:t>338</w:t>
            </w:r>
          </w:p>
        </w:tc>
      </w:tr>
      <w:tr w:rsidR="00FC3EE3" w:rsidRPr="00AE4DBA" w14:paraId="4C4F4D70"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1D4A04DD" w14:textId="77777777" w:rsidR="00FC3EE3" w:rsidRPr="00AE4DBA" w:rsidRDefault="00FC3EE3" w:rsidP="00FC3EE3">
            <w:pPr>
              <w:rPr>
                <w:rFonts w:cs="Arial"/>
                <w:sz w:val="20"/>
                <w:szCs w:val="20"/>
              </w:rPr>
            </w:pPr>
            <w:r w:rsidRPr="00AE4DBA">
              <w:rPr>
                <w:rFonts w:cs="Arial"/>
                <w:sz w:val="20"/>
                <w:szCs w:val="20"/>
              </w:rPr>
              <w:t>Taxi travel - regular - dollars spent ($3.20/kilometre) - $ (NTA)</w:t>
            </w:r>
          </w:p>
        </w:tc>
        <w:tc>
          <w:tcPr>
            <w:tcW w:w="2852" w:type="dxa"/>
            <w:tcBorders>
              <w:top w:val="nil"/>
              <w:left w:val="nil"/>
              <w:bottom w:val="single" w:sz="4" w:space="0" w:color="auto"/>
              <w:right w:val="single" w:sz="4" w:space="0" w:color="auto"/>
            </w:tcBorders>
            <w:shd w:val="clear" w:color="auto" w:fill="auto"/>
            <w:noWrap/>
            <w:vAlign w:val="bottom"/>
            <w:hideMark/>
          </w:tcPr>
          <w:p w14:paraId="3BA94FBA" w14:textId="77777777" w:rsidR="00FC3EE3" w:rsidRPr="00AE4DBA" w:rsidRDefault="00FC3EE3" w:rsidP="00FC3EE3">
            <w:pPr>
              <w:rPr>
                <w:rFonts w:cs="Arial"/>
                <w:sz w:val="20"/>
                <w:szCs w:val="20"/>
              </w:rPr>
            </w:pPr>
            <w:r w:rsidRPr="00AE4DBA">
              <w:rPr>
                <w:rFonts w:cs="Arial"/>
                <w:sz w:val="20"/>
                <w:szCs w:val="20"/>
              </w:rPr>
              <w:t>$</w:t>
            </w:r>
          </w:p>
        </w:tc>
        <w:tc>
          <w:tcPr>
            <w:tcW w:w="2048" w:type="dxa"/>
            <w:tcBorders>
              <w:top w:val="nil"/>
              <w:left w:val="nil"/>
              <w:bottom w:val="single" w:sz="4" w:space="0" w:color="auto"/>
              <w:right w:val="single" w:sz="4" w:space="0" w:color="auto"/>
            </w:tcBorders>
            <w:shd w:val="clear" w:color="auto" w:fill="auto"/>
            <w:noWrap/>
            <w:vAlign w:val="bottom"/>
            <w:hideMark/>
          </w:tcPr>
          <w:p w14:paraId="69646A4F" w14:textId="77777777" w:rsidR="00FC3EE3" w:rsidRPr="00AE4DBA" w:rsidRDefault="00FC3EE3" w:rsidP="00FC3EE3">
            <w:pPr>
              <w:jc w:val="right"/>
              <w:rPr>
                <w:rFonts w:cs="Arial"/>
                <w:sz w:val="20"/>
                <w:szCs w:val="20"/>
              </w:rPr>
            </w:pPr>
            <w:r w:rsidRPr="00AE4DBA">
              <w:rPr>
                <w:rFonts w:cs="Arial"/>
                <w:sz w:val="20"/>
                <w:szCs w:val="20"/>
              </w:rPr>
              <w:t>267</w:t>
            </w:r>
          </w:p>
        </w:tc>
      </w:tr>
      <w:tr w:rsidR="00FC3EE3" w:rsidRPr="00AE4DBA" w14:paraId="1C201CD5"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195A9B61" w14:textId="77777777" w:rsidR="00FC3EE3" w:rsidRPr="00AE4DBA" w:rsidRDefault="00FC3EE3" w:rsidP="00FC3EE3">
            <w:pPr>
              <w:rPr>
                <w:rFonts w:cs="Arial"/>
                <w:sz w:val="20"/>
                <w:szCs w:val="20"/>
              </w:rPr>
            </w:pPr>
            <w:r w:rsidRPr="00AE4DBA">
              <w:rPr>
                <w:rFonts w:cs="Arial"/>
                <w:sz w:val="20"/>
                <w:szCs w:val="20"/>
              </w:rPr>
              <w:t>TWO Aviation fuel (Kerosene) - Aviation fuel (Kerosene) - Mustang - hours</w:t>
            </w:r>
          </w:p>
        </w:tc>
        <w:tc>
          <w:tcPr>
            <w:tcW w:w="2852" w:type="dxa"/>
            <w:tcBorders>
              <w:top w:val="nil"/>
              <w:left w:val="nil"/>
              <w:bottom w:val="single" w:sz="4" w:space="0" w:color="auto"/>
              <w:right w:val="single" w:sz="4" w:space="0" w:color="auto"/>
            </w:tcBorders>
            <w:shd w:val="clear" w:color="auto" w:fill="auto"/>
            <w:noWrap/>
            <w:vAlign w:val="bottom"/>
            <w:hideMark/>
          </w:tcPr>
          <w:p w14:paraId="44079BF9" w14:textId="77777777" w:rsidR="00FC3EE3" w:rsidRPr="00AE4DBA" w:rsidRDefault="00FC3EE3" w:rsidP="00FC3EE3">
            <w:pPr>
              <w:rPr>
                <w:rFonts w:cs="Arial"/>
                <w:sz w:val="20"/>
                <w:szCs w:val="20"/>
              </w:rPr>
            </w:pPr>
            <w:r w:rsidRPr="00AE4DBA">
              <w:rPr>
                <w:rFonts w:cs="Arial"/>
                <w:sz w:val="20"/>
                <w:szCs w:val="20"/>
              </w:rPr>
              <w:t>Hours</w:t>
            </w:r>
          </w:p>
        </w:tc>
        <w:tc>
          <w:tcPr>
            <w:tcW w:w="2048" w:type="dxa"/>
            <w:tcBorders>
              <w:top w:val="nil"/>
              <w:left w:val="nil"/>
              <w:bottom w:val="single" w:sz="4" w:space="0" w:color="auto"/>
              <w:right w:val="single" w:sz="4" w:space="0" w:color="auto"/>
            </w:tcBorders>
            <w:shd w:val="clear" w:color="auto" w:fill="auto"/>
            <w:noWrap/>
            <w:vAlign w:val="bottom"/>
            <w:hideMark/>
          </w:tcPr>
          <w:p w14:paraId="72F78116" w14:textId="77777777" w:rsidR="00FC3EE3" w:rsidRPr="00AE4DBA" w:rsidRDefault="00FC3EE3" w:rsidP="00FC3EE3">
            <w:pPr>
              <w:jc w:val="right"/>
              <w:rPr>
                <w:rFonts w:cs="Arial"/>
                <w:sz w:val="20"/>
                <w:szCs w:val="20"/>
              </w:rPr>
            </w:pPr>
            <w:r w:rsidRPr="00AE4DBA">
              <w:rPr>
                <w:rFonts w:cs="Arial"/>
                <w:sz w:val="20"/>
                <w:szCs w:val="20"/>
              </w:rPr>
              <w:t>236</w:t>
            </w:r>
          </w:p>
        </w:tc>
      </w:tr>
      <w:tr w:rsidR="00FC3EE3" w:rsidRPr="00AE4DBA" w14:paraId="3756DF0A"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16FEEA54" w14:textId="77777777" w:rsidR="00FC3EE3" w:rsidRPr="00AE4DBA" w:rsidRDefault="00FC3EE3" w:rsidP="00FC3EE3">
            <w:pPr>
              <w:rPr>
                <w:rFonts w:cs="Arial"/>
                <w:sz w:val="20"/>
                <w:szCs w:val="20"/>
              </w:rPr>
            </w:pPr>
            <w:r w:rsidRPr="00AE4DBA">
              <w:rPr>
                <w:rFonts w:cs="Arial"/>
                <w:sz w:val="20"/>
                <w:szCs w:val="20"/>
              </w:rPr>
              <w:t>Water Supply Emission Factors (Unit m3) - m3</w:t>
            </w:r>
          </w:p>
        </w:tc>
        <w:tc>
          <w:tcPr>
            <w:tcW w:w="2852" w:type="dxa"/>
            <w:tcBorders>
              <w:top w:val="nil"/>
              <w:left w:val="nil"/>
              <w:bottom w:val="single" w:sz="4" w:space="0" w:color="auto"/>
              <w:right w:val="single" w:sz="4" w:space="0" w:color="auto"/>
            </w:tcBorders>
            <w:shd w:val="clear" w:color="auto" w:fill="auto"/>
            <w:noWrap/>
            <w:vAlign w:val="bottom"/>
            <w:hideMark/>
          </w:tcPr>
          <w:p w14:paraId="4C704EEA" w14:textId="77777777" w:rsidR="00FC3EE3" w:rsidRPr="00AE4DBA" w:rsidRDefault="00FC3EE3" w:rsidP="00FC3EE3">
            <w:pPr>
              <w:rPr>
                <w:rFonts w:cs="Arial"/>
                <w:sz w:val="20"/>
                <w:szCs w:val="20"/>
              </w:rPr>
            </w:pPr>
            <w:r w:rsidRPr="00AE4DBA">
              <w:rPr>
                <w:rFonts w:cs="Arial"/>
                <w:sz w:val="20"/>
                <w:szCs w:val="20"/>
              </w:rPr>
              <w:t>m3</w:t>
            </w:r>
          </w:p>
        </w:tc>
        <w:tc>
          <w:tcPr>
            <w:tcW w:w="2048" w:type="dxa"/>
            <w:tcBorders>
              <w:top w:val="nil"/>
              <w:left w:val="nil"/>
              <w:bottom w:val="single" w:sz="4" w:space="0" w:color="auto"/>
              <w:right w:val="single" w:sz="4" w:space="0" w:color="auto"/>
            </w:tcBorders>
            <w:shd w:val="clear" w:color="auto" w:fill="auto"/>
            <w:noWrap/>
            <w:vAlign w:val="bottom"/>
            <w:hideMark/>
          </w:tcPr>
          <w:p w14:paraId="0B903BE8" w14:textId="77777777" w:rsidR="00FC3EE3" w:rsidRPr="00AE4DBA" w:rsidRDefault="00FC3EE3" w:rsidP="00FC3EE3">
            <w:pPr>
              <w:jc w:val="right"/>
              <w:rPr>
                <w:rFonts w:cs="Arial"/>
                <w:sz w:val="20"/>
                <w:szCs w:val="20"/>
              </w:rPr>
            </w:pPr>
            <w:r w:rsidRPr="00AE4DBA">
              <w:rPr>
                <w:rFonts w:cs="Arial"/>
                <w:sz w:val="20"/>
                <w:szCs w:val="20"/>
              </w:rPr>
              <w:t>210</w:t>
            </w:r>
          </w:p>
        </w:tc>
      </w:tr>
      <w:tr w:rsidR="00FC3EE3" w:rsidRPr="00AE4DBA" w14:paraId="03A81A14"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1AB75F79" w14:textId="77777777" w:rsidR="00FC3EE3" w:rsidRPr="00AE4DBA" w:rsidRDefault="00FC3EE3" w:rsidP="00FC3EE3">
            <w:pPr>
              <w:rPr>
                <w:rFonts w:cs="Arial"/>
                <w:sz w:val="20"/>
                <w:szCs w:val="20"/>
              </w:rPr>
            </w:pPr>
            <w:r w:rsidRPr="00AE4DBA">
              <w:rPr>
                <w:rFonts w:cs="Arial"/>
                <w:sz w:val="20"/>
                <w:szCs w:val="20"/>
              </w:rPr>
              <w:t xml:space="preserve">New Zealand - </w:t>
            </w:r>
            <w:proofErr w:type="spellStart"/>
            <w:r w:rsidRPr="00AE4DBA">
              <w:rPr>
                <w:rFonts w:cs="Arial"/>
                <w:sz w:val="20"/>
                <w:szCs w:val="20"/>
              </w:rPr>
              <w:t>MfE</w:t>
            </w:r>
            <w:proofErr w:type="spellEnd"/>
          </w:p>
        </w:tc>
        <w:tc>
          <w:tcPr>
            <w:tcW w:w="2852" w:type="dxa"/>
            <w:tcBorders>
              <w:top w:val="nil"/>
              <w:left w:val="nil"/>
              <w:bottom w:val="single" w:sz="4" w:space="0" w:color="auto"/>
              <w:right w:val="single" w:sz="4" w:space="0" w:color="auto"/>
            </w:tcBorders>
            <w:shd w:val="clear" w:color="auto" w:fill="auto"/>
            <w:noWrap/>
            <w:vAlign w:val="bottom"/>
            <w:hideMark/>
          </w:tcPr>
          <w:p w14:paraId="07D65A76" w14:textId="77777777" w:rsidR="00FC3EE3" w:rsidRPr="00AE4DBA" w:rsidRDefault="00FC3EE3" w:rsidP="00FC3EE3">
            <w:pPr>
              <w:rPr>
                <w:rFonts w:cs="Arial"/>
                <w:sz w:val="20"/>
                <w:szCs w:val="20"/>
              </w:rPr>
            </w:pPr>
            <w:r w:rsidRPr="00AE4DBA">
              <w:rPr>
                <w:rFonts w:cs="Arial"/>
                <w:sz w:val="20"/>
                <w:szCs w:val="20"/>
              </w:rPr>
              <w:t>Room Per Night</w:t>
            </w:r>
          </w:p>
        </w:tc>
        <w:tc>
          <w:tcPr>
            <w:tcW w:w="2048" w:type="dxa"/>
            <w:tcBorders>
              <w:top w:val="nil"/>
              <w:left w:val="nil"/>
              <w:bottom w:val="single" w:sz="4" w:space="0" w:color="auto"/>
              <w:right w:val="single" w:sz="4" w:space="0" w:color="auto"/>
            </w:tcBorders>
            <w:shd w:val="clear" w:color="auto" w:fill="auto"/>
            <w:noWrap/>
            <w:vAlign w:val="bottom"/>
            <w:hideMark/>
          </w:tcPr>
          <w:p w14:paraId="45590881" w14:textId="77777777" w:rsidR="00FC3EE3" w:rsidRPr="00AE4DBA" w:rsidRDefault="00FC3EE3" w:rsidP="00FC3EE3">
            <w:pPr>
              <w:jc w:val="right"/>
              <w:rPr>
                <w:rFonts w:cs="Arial"/>
                <w:sz w:val="20"/>
                <w:szCs w:val="20"/>
              </w:rPr>
            </w:pPr>
            <w:r w:rsidRPr="00AE4DBA">
              <w:rPr>
                <w:rFonts w:cs="Arial"/>
                <w:sz w:val="20"/>
                <w:szCs w:val="20"/>
              </w:rPr>
              <w:t>192</w:t>
            </w:r>
          </w:p>
        </w:tc>
      </w:tr>
      <w:tr w:rsidR="00FC3EE3" w:rsidRPr="00AE4DBA" w14:paraId="78771F41"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62FD233E" w14:textId="77777777" w:rsidR="00FC3EE3" w:rsidRPr="00AE4DBA" w:rsidRDefault="00FC3EE3" w:rsidP="00FC3EE3">
            <w:pPr>
              <w:rPr>
                <w:rFonts w:cs="Arial"/>
                <w:sz w:val="20"/>
                <w:szCs w:val="20"/>
              </w:rPr>
            </w:pPr>
            <w:r w:rsidRPr="00AE4DBA">
              <w:rPr>
                <w:rFonts w:cs="Arial"/>
                <w:sz w:val="20"/>
                <w:szCs w:val="20"/>
              </w:rPr>
              <w:t>Domestic - Small aircraft - With Radiative Forcing</w:t>
            </w:r>
          </w:p>
        </w:tc>
        <w:tc>
          <w:tcPr>
            <w:tcW w:w="2852" w:type="dxa"/>
            <w:tcBorders>
              <w:top w:val="nil"/>
              <w:left w:val="nil"/>
              <w:bottom w:val="single" w:sz="4" w:space="0" w:color="auto"/>
              <w:right w:val="single" w:sz="4" w:space="0" w:color="auto"/>
            </w:tcBorders>
            <w:shd w:val="clear" w:color="auto" w:fill="auto"/>
            <w:noWrap/>
            <w:vAlign w:val="bottom"/>
            <w:hideMark/>
          </w:tcPr>
          <w:p w14:paraId="243DE149" w14:textId="77777777" w:rsidR="00FC3EE3" w:rsidRPr="00AE4DBA" w:rsidRDefault="00FC3EE3" w:rsidP="00FC3EE3">
            <w:pPr>
              <w:rPr>
                <w:rFonts w:cs="Arial"/>
                <w:sz w:val="20"/>
                <w:szCs w:val="20"/>
              </w:rPr>
            </w:pPr>
            <w:r w:rsidRPr="00AE4DBA">
              <w:rPr>
                <w:rFonts w:cs="Arial"/>
                <w:sz w:val="20"/>
                <w:szCs w:val="20"/>
              </w:rPr>
              <w:t>Passenger Kms</w:t>
            </w:r>
          </w:p>
        </w:tc>
        <w:tc>
          <w:tcPr>
            <w:tcW w:w="2048" w:type="dxa"/>
            <w:tcBorders>
              <w:top w:val="nil"/>
              <w:left w:val="nil"/>
              <w:bottom w:val="single" w:sz="4" w:space="0" w:color="auto"/>
              <w:right w:val="single" w:sz="4" w:space="0" w:color="auto"/>
            </w:tcBorders>
            <w:shd w:val="clear" w:color="auto" w:fill="auto"/>
            <w:noWrap/>
            <w:vAlign w:val="bottom"/>
            <w:hideMark/>
          </w:tcPr>
          <w:p w14:paraId="74F8663D" w14:textId="77777777" w:rsidR="00FC3EE3" w:rsidRPr="00AE4DBA" w:rsidRDefault="00FC3EE3" w:rsidP="00FC3EE3">
            <w:pPr>
              <w:jc w:val="right"/>
              <w:rPr>
                <w:rFonts w:cs="Arial"/>
                <w:sz w:val="20"/>
                <w:szCs w:val="20"/>
              </w:rPr>
            </w:pPr>
            <w:r w:rsidRPr="00AE4DBA">
              <w:rPr>
                <w:rFonts w:cs="Arial"/>
                <w:sz w:val="20"/>
                <w:szCs w:val="20"/>
              </w:rPr>
              <w:t>182</w:t>
            </w:r>
          </w:p>
        </w:tc>
      </w:tr>
      <w:tr w:rsidR="00FC3EE3" w:rsidRPr="00AE4DBA" w14:paraId="7517BA91"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0CF6EC70" w14:textId="77777777" w:rsidR="00FC3EE3" w:rsidRPr="00AE4DBA" w:rsidRDefault="00FC3EE3" w:rsidP="00FC3EE3">
            <w:pPr>
              <w:rPr>
                <w:rFonts w:cs="Arial"/>
                <w:sz w:val="20"/>
                <w:szCs w:val="20"/>
              </w:rPr>
            </w:pPr>
            <w:r w:rsidRPr="00AE4DBA">
              <w:rPr>
                <w:rFonts w:cs="Arial"/>
                <w:sz w:val="20"/>
                <w:szCs w:val="20"/>
              </w:rPr>
              <w:t>407C - Kg</w:t>
            </w:r>
          </w:p>
        </w:tc>
        <w:tc>
          <w:tcPr>
            <w:tcW w:w="2852" w:type="dxa"/>
            <w:tcBorders>
              <w:top w:val="nil"/>
              <w:left w:val="nil"/>
              <w:bottom w:val="single" w:sz="4" w:space="0" w:color="auto"/>
              <w:right w:val="single" w:sz="4" w:space="0" w:color="auto"/>
            </w:tcBorders>
            <w:shd w:val="clear" w:color="auto" w:fill="auto"/>
            <w:noWrap/>
            <w:vAlign w:val="bottom"/>
            <w:hideMark/>
          </w:tcPr>
          <w:p w14:paraId="77D946D9" w14:textId="77777777" w:rsidR="00FC3EE3" w:rsidRPr="00AE4DBA" w:rsidRDefault="00FC3EE3" w:rsidP="00FC3EE3">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657FDB94" w14:textId="77777777" w:rsidR="00FC3EE3" w:rsidRPr="00AE4DBA" w:rsidRDefault="00FC3EE3" w:rsidP="00FC3EE3">
            <w:pPr>
              <w:jc w:val="right"/>
              <w:rPr>
                <w:rFonts w:cs="Arial"/>
                <w:sz w:val="20"/>
                <w:szCs w:val="20"/>
              </w:rPr>
            </w:pPr>
            <w:r w:rsidRPr="00AE4DBA">
              <w:rPr>
                <w:rFonts w:cs="Arial"/>
                <w:sz w:val="20"/>
                <w:szCs w:val="20"/>
              </w:rPr>
              <w:t>181</w:t>
            </w:r>
          </w:p>
        </w:tc>
      </w:tr>
      <w:tr w:rsidR="00FC3EE3" w:rsidRPr="00AE4DBA" w14:paraId="292F4524"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2A5D4BE8" w14:textId="77777777" w:rsidR="00FC3EE3" w:rsidRPr="00AE4DBA" w:rsidRDefault="00FC3EE3" w:rsidP="00FC3EE3">
            <w:pPr>
              <w:rPr>
                <w:rFonts w:cs="Arial"/>
                <w:sz w:val="20"/>
                <w:szCs w:val="20"/>
              </w:rPr>
            </w:pPr>
            <w:r w:rsidRPr="00AE4DBA">
              <w:rPr>
                <w:rFonts w:cs="Arial"/>
                <w:sz w:val="20"/>
                <w:szCs w:val="20"/>
              </w:rPr>
              <w:t>404A - Kg</w:t>
            </w:r>
          </w:p>
        </w:tc>
        <w:tc>
          <w:tcPr>
            <w:tcW w:w="2852" w:type="dxa"/>
            <w:tcBorders>
              <w:top w:val="nil"/>
              <w:left w:val="nil"/>
              <w:bottom w:val="single" w:sz="4" w:space="0" w:color="auto"/>
              <w:right w:val="single" w:sz="4" w:space="0" w:color="auto"/>
            </w:tcBorders>
            <w:shd w:val="clear" w:color="auto" w:fill="auto"/>
            <w:noWrap/>
            <w:vAlign w:val="bottom"/>
            <w:hideMark/>
          </w:tcPr>
          <w:p w14:paraId="5835C73D" w14:textId="77777777" w:rsidR="00FC3EE3" w:rsidRPr="00AE4DBA" w:rsidRDefault="00FC3EE3" w:rsidP="00FC3EE3">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222965B3" w14:textId="77777777" w:rsidR="00FC3EE3" w:rsidRPr="00AE4DBA" w:rsidRDefault="00FC3EE3" w:rsidP="00FC3EE3">
            <w:pPr>
              <w:jc w:val="right"/>
              <w:rPr>
                <w:rFonts w:cs="Arial"/>
                <w:sz w:val="20"/>
                <w:szCs w:val="20"/>
              </w:rPr>
            </w:pPr>
            <w:r w:rsidRPr="00AE4DBA">
              <w:rPr>
                <w:rFonts w:cs="Arial"/>
                <w:sz w:val="20"/>
                <w:szCs w:val="20"/>
              </w:rPr>
              <w:t>165</w:t>
            </w:r>
          </w:p>
        </w:tc>
      </w:tr>
      <w:tr w:rsidR="00FC3EE3" w:rsidRPr="00AE4DBA" w14:paraId="3E2EA32C"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157C4A00" w14:textId="77777777" w:rsidR="00FC3EE3" w:rsidRPr="00AE4DBA" w:rsidRDefault="00FC3EE3" w:rsidP="00FC3EE3">
            <w:pPr>
              <w:rPr>
                <w:rFonts w:cs="Arial"/>
                <w:sz w:val="20"/>
                <w:szCs w:val="20"/>
              </w:rPr>
            </w:pPr>
            <w:r w:rsidRPr="00AE4DBA">
              <w:rPr>
                <w:rFonts w:cs="Arial"/>
                <w:sz w:val="20"/>
                <w:szCs w:val="20"/>
              </w:rPr>
              <w:t>Short-haul (&lt;3700km) - Business class - With Radiative Forcing</w:t>
            </w:r>
          </w:p>
        </w:tc>
        <w:tc>
          <w:tcPr>
            <w:tcW w:w="2852" w:type="dxa"/>
            <w:tcBorders>
              <w:top w:val="nil"/>
              <w:left w:val="nil"/>
              <w:bottom w:val="single" w:sz="4" w:space="0" w:color="auto"/>
              <w:right w:val="single" w:sz="4" w:space="0" w:color="auto"/>
            </w:tcBorders>
            <w:shd w:val="clear" w:color="auto" w:fill="auto"/>
            <w:noWrap/>
            <w:vAlign w:val="bottom"/>
            <w:hideMark/>
          </w:tcPr>
          <w:p w14:paraId="5C2FA642" w14:textId="77777777" w:rsidR="00FC3EE3" w:rsidRPr="00AE4DBA" w:rsidRDefault="00FC3EE3" w:rsidP="00FC3EE3">
            <w:pPr>
              <w:rPr>
                <w:rFonts w:cs="Arial"/>
                <w:sz w:val="20"/>
                <w:szCs w:val="20"/>
              </w:rPr>
            </w:pPr>
            <w:r w:rsidRPr="00AE4DBA">
              <w:rPr>
                <w:rFonts w:cs="Arial"/>
                <w:sz w:val="20"/>
                <w:szCs w:val="20"/>
              </w:rPr>
              <w:t>Passenger Kms</w:t>
            </w:r>
          </w:p>
        </w:tc>
        <w:tc>
          <w:tcPr>
            <w:tcW w:w="2048" w:type="dxa"/>
            <w:tcBorders>
              <w:top w:val="nil"/>
              <w:left w:val="nil"/>
              <w:bottom w:val="single" w:sz="4" w:space="0" w:color="auto"/>
              <w:right w:val="single" w:sz="4" w:space="0" w:color="auto"/>
            </w:tcBorders>
            <w:shd w:val="clear" w:color="auto" w:fill="auto"/>
            <w:noWrap/>
            <w:vAlign w:val="bottom"/>
            <w:hideMark/>
          </w:tcPr>
          <w:p w14:paraId="2B0A1E06" w14:textId="77777777" w:rsidR="00FC3EE3" w:rsidRPr="00AE4DBA" w:rsidRDefault="00FC3EE3" w:rsidP="00FC3EE3">
            <w:pPr>
              <w:jc w:val="right"/>
              <w:rPr>
                <w:rFonts w:cs="Arial"/>
                <w:sz w:val="20"/>
                <w:szCs w:val="20"/>
              </w:rPr>
            </w:pPr>
            <w:r w:rsidRPr="00AE4DBA">
              <w:rPr>
                <w:rFonts w:cs="Arial"/>
                <w:sz w:val="20"/>
                <w:szCs w:val="20"/>
              </w:rPr>
              <w:t>162</w:t>
            </w:r>
          </w:p>
        </w:tc>
      </w:tr>
      <w:tr w:rsidR="00FC3EE3" w:rsidRPr="00AE4DBA" w14:paraId="6875E3C2"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1E36A468" w14:textId="77777777" w:rsidR="00FC3EE3" w:rsidRPr="00AE4DBA" w:rsidRDefault="00FC3EE3" w:rsidP="00FC3EE3">
            <w:pPr>
              <w:rPr>
                <w:rFonts w:cs="Arial"/>
                <w:sz w:val="20"/>
                <w:szCs w:val="20"/>
              </w:rPr>
            </w:pPr>
            <w:r w:rsidRPr="00AE4DBA">
              <w:rPr>
                <w:rFonts w:cs="Arial"/>
                <w:sz w:val="20"/>
                <w:szCs w:val="20"/>
              </w:rPr>
              <w:t>TWO Cytotoxic waste incineration - Kg</w:t>
            </w:r>
          </w:p>
        </w:tc>
        <w:tc>
          <w:tcPr>
            <w:tcW w:w="2852" w:type="dxa"/>
            <w:tcBorders>
              <w:top w:val="nil"/>
              <w:left w:val="nil"/>
              <w:bottom w:val="single" w:sz="4" w:space="0" w:color="auto"/>
              <w:right w:val="single" w:sz="4" w:space="0" w:color="auto"/>
            </w:tcBorders>
            <w:shd w:val="clear" w:color="auto" w:fill="auto"/>
            <w:noWrap/>
            <w:vAlign w:val="bottom"/>
            <w:hideMark/>
          </w:tcPr>
          <w:p w14:paraId="314DDFF5" w14:textId="77777777" w:rsidR="00FC3EE3" w:rsidRPr="00AE4DBA" w:rsidRDefault="00FC3EE3" w:rsidP="00FC3EE3">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139579FF" w14:textId="77777777" w:rsidR="00FC3EE3" w:rsidRPr="00AE4DBA" w:rsidRDefault="00FC3EE3" w:rsidP="00FC3EE3">
            <w:pPr>
              <w:jc w:val="right"/>
              <w:rPr>
                <w:rFonts w:cs="Arial"/>
                <w:sz w:val="20"/>
                <w:szCs w:val="20"/>
              </w:rPr>
            </w:pPr>
            <w:r w:rsidRPr="00AE4DBA">
              <w:rPr>
                <w:rFonts w:cs="Arial"/>
                <w:sz w:val="20"/>
                <w:szCs w:val="20"/>
              </w:rPr>
              <w:t>103</w:t>
            </w:r>
          </w:p>
        </w:tc>
      </w:tr>
      <w:tr w:rsidR="00FC3EE3" w:rsidRPr="00AE4DBA" w14:paraId="1A684941"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0DAF6531" w14:textId="77777777" w:rsidR="00FC3EE3" w:rsidRPr="00AE4DBA" w:rsidRDefault="00FC3EE3" w:rsidP="00FC3EE3">
            <w:pPr>
              <w:rPr>
                <w:rFonts w:cs="Arial"/>
                <w:sz w:val="20"/>
                <w:szCs w:val="20"/>
              </w:rPr>
            </w:pPr>
            <w:r w:rsidRPr="00AE4DBA">
              <w:rPr>
                <w:rFonts w:cs="Arial"/>
                <w:sz w:val="20"/>
                <w:szCs w:val="20"/>
              </w:rPr>
              <w:t>TWO Aviation fuel (Kerosene) - Aviation fuel (Kerosene) - 400XT - hours</w:t>
            </w:r>
          </w:p>
        </w:tc>
        <w:tc>
          <w:tcPr>
            <w:tcW w:w="2852" w:type="dxa"/>
            <w:tcBorders>
              <w:top w:val="nil"/>
              <w:left w:val="nil"/>
              <w:bottom w:val="single" w:sz="4" w:space="0" w:color="auto"/>
              <w:right w:val="single" w:sz="4" w:space="0" w:color="auto"/>
            </w:tcBorders>
            <w:shd w:val="clear" w:color="auto" w:fill="auto"/>
            <w:noWrap/>
            <w:vAlign w:val="bottom"/>
            <w:hideMark/>
          </w:tcPr>
          <w:p w14:paraId="1CC9C8DE" w14:textId="77777777" w:rsidR="00FC3EE3" w:rsidRPr="00AE4DBA" w:rsidRDefault="00FC3EE3" w:rsidP="00FC3EE3">
            <w:pPr>
              <w:rPr>
                <w:rFonts w:cs="Arial"/>
                <w:sz w:val="20"/>
                <w:szCs w:val="20"/>
              </w:rPr>
            </w:pPr>
            <w:r w:rsidRPr="00AE4DBA">
              <w:rPr>
                <w:rFonts w:cs="Arial"/>
                <w:sz w:val="20"/>
                <w:szCs w:val="20"/>
              </w:rPr>
              <w:t>Hours</w:t>
            </w:r>
          </w:p>
        </w:tc>
        <w:tc>
          <w:tcPr>
            <w:tcW w:w="2048" w:type="dxa"/>
            <w:tcBorders>
              <w:top w:val="nil"/>
              <w:left w:val="nil"/>
              <w:bottom w:val="single" w:sz="4" w:space="0" w:color="auto"/>
              <w:right w:val="single" w:sz="4" w:space="0" w:color="auto"/>
            </w:tcBorders>
            <w:shd w:val="clear" w:color="auto" w:fill="auto"/>
            <w:noWrap/>
            <w:vAlign w:val="bottom"/>
            <w:hideMark/>
          </w:tcPr>
          <w:p w14:paraId="042BABBE" w14:textId="77777777" w:rsidR="00FC3EE3" w:rsidRPr="00AE4DBA" w:rsidRDefault="00FC3EE3" w:rsidP="00FC3EE3">
            <w:pPr>
              <w:jc w:val="right"/>
              <w:rPr>
                <w:rFonts w:cs="Arial"/>
                <w:sz w:val="20"/>
                <w:szCs w:val="20"/>
              </w:rPr>
            </w:pPr>
            <w:r w:rsidRPr="00AE4DBA">
              <w:rPr>
                <w:rFonts w:cs="Arial"/>
                <w:sz w:val="20"/>
                <w:szCs w:val="20"/>
              </w:rPr>
              <w:t>85</w:t>
            </w:r>
          </w:p>
        </w:tc>
      </w:tr>
      <w:tr w:rsidR="00FC3EE3" w:rsidRPr="00AE4DBA" w14:paraId="0F013548"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2DCF030E" w14:textId="77777777" w:rsidR="00FC3EE3" w:rsidRPr="00AE4DBA" w:rsidRDefault="00FC3EE3" w:rsidP="00FC3EE3">
            <w:pPr>
              <w:rPr>
                <w:rFonts w:cs="Arial"/>
                <w:sz w:val="20"/>
                <w:szCs w:val="20"/>
              </w:rPr>
            </w:pPr>
            <w:r w:rsidRPr="00AE4DBA">
              <w:rPr>
                <w:rFonts w:cs="Arial"/>
                <w:sz w:val="20"/>
                <w:szCs w:val="20"/>
              </w:rPr>
              <w:t>TWO HFE-236ea2 (Desflurane) - Bottles</w:t>
            </w:r>
          </w:p>
        </w:tc>
        <w:tc>
          <w:tcPr>
            <w:tcW w:w="2852" w:type="dxa"/>
            <w:tcBorders>
              <w:top w:val="nil"/>
              <w:left w:val="nil"/>
              <w:bottom w:val="single" w:sz="4" w:space="0" w:color="auto"/>
              <w:right w:val="single" w:sz="4" w:space="0" w:color="auto"/>
            </w:tcBorders>
            <w:shd w:val="clear" w:color="auto" w:fill="auto"/>
            <w:noWrap/>
            <w:vAlign w:val="bottom"/>
            <w:hideMark/>
          </w:tcPr>
          <w:p w14:paraId="79B4EBA7" w14:textId="77777777" w:rsidR="00FC3EE3" w:rsidRPr="00AE4DBA" w:rsidRDefault="00FC3EE3" w:rsidP="00FC3EE3">
            <w:pPr>
              <w:rPr>
                <w:rFonts w:cs="Arial"/>
                <w:sz w:val="20"/>
                <w:szCs w:val="20"/>
              </w:rPr>
            </w:pPr>
            <w:r w:rsidRPr="00AE4DBA">
              <w:rPr>
                <w:rFonts w:cs="Arial"/>
                <w:sz w:val="20"/>
                <w:szCs w:val="20"/>
              </w:rPr>
              <w:t>Bottle</w:t>
            </w:r>
          </w:p>
        </w:tc>
        <w:tc>
          <w:tcPr>
            <w:tcW w:w="2048" w:type="dxa"/>
            <w:tcBorders>
              <w:top w:val="nil"/>
              <w:left w:val="nil"/>
              <w:bottom w:val="single" w:sz="4" w:space="0" w:color="auto"/>
              <w:right w:val="single" w:sz="4" w:space="0" w:color="auto"/>
            </w:tcBorders>
            <w:shd w:val="clear" w:color="auto" w:fill="auto"/>
            <w:noWrap/>
            <w:vAlign w:val="bottom"/>
            <w:hideMark/>
          </w:tcPr>
          <w:p w14:paraId="2CC14F05" w14:textId="77777777" w:rsidR="00FC3EE3" w:rsidRPr="00AE4DBA" w:rsidRDefault="00FC3EE3" w:rsidP="00FC3EE3">
            <w:pPr>
              <w:jc w:val="right"/>
              <w:rPr>
                <w:rFonts w:cs="Arial"/>
                <w:sz w:val="20"/>
                <w:szCs w:val="20"/>
              </w:rPr>
            </w:pPr>
            <w:r w:rsidRPr="00AE4DBA">
              <w:rPr>
                <w:rFonts w:cs="Arial"/>
                <w:sz w:val="20"/>
                <w:szCs w:val="20"/>
              </w:rPr>
              <w:t>75</w:t>
            </w:r>
          </w:p>
        </w:tc>
      </w:tr>
      <w:tr w:rsidR="00FC3EE3" w:rsidRPr="00AE4DBA" w14:paraId="7B3500B9"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3C65C30E" w14:textId="618D9ECB" w:rsidR="00FC3EE3" w:rsidRPr="00AE4DBA" w:rsidRDefault="00FC3EE3" w:rsidP="00FC3EE3">
            <w:pPr>
              <w:rPr>
                <w:rFonts w:cs="Arial"/>
                <w:sz w:val="20"/>
                <w:szCs w:val="20"/>
              </w:rPr>
            </w:pPr>
            <w:r w:rsidRPr="00AE4DBA">
              <w:rPr>
                <w:rFonts w:cs="Arial"/>
                <w:sz w:val="20"/>
                <w:szCs w:val="20"/>
              </w:rPr>
              <w:t>HCFC-22 (R-22) - Kg</w:t>
            </w:r>
          </w:p>
        </w:tc>
        <w:tc>
          <w:tcPr>
            <w:tcW w:w="2852" w:type="dxa"/>
            <w:tcBorders>
              <w:top w:val="nil"/>
              <w:left w:val="nil"/>
              <w:bottom w:val="single" w:sz="4" w:space="0" w:color="auto"/>
              <w:right w:val="single" w:sz="4" w:space="0" w:color="auto"/>
            </w:tcBorders>
            <w:shd w:val="clear" w:color="auto" w:fill="auto"/>
            <w:noWrap/>
            <w:vAlign w:val="bottom"/>
            <w:hideMark/>
          </w:tcPr>
          <w:p w14:paraId="26F8B6E5" w14:textId="77777777" w:rsidR="00FC3EE3" w:rsidRPr="00AE4DBA" w:rsidRDefault="00FC3EE3" w:rsidP="00FC3EE3">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2E8D3B9F" w14:textId="77777777" w:rsidR="00FC3EE3" w:rsidRPr="00AE4DBA" w:rsidRDefault="00FC3EE3" w:rsidP="00FC3EE3">
            <w:pPr>
              <w:jc w:val="right"/>
              <w:rPr>
                <w:rFonts w:cs="Arial"/>
                <w:sz w:val="20"/>
                <w:szCs w:val="20"/>
              </w:rPr>
            </w:pPr>
            <w:r w:rsidRPr="00AE4DBA">
              <w:rPr>
                <w:rFonts w:cs="Arial"/>
                <w:sz w:val="20"/>
                <w:szCs w:val="20"/>
              </w:rPr>
              <w:t>67</w:t>
            </w:r>
          </w:p>
        </w:tc>
      </w:tr>
      <w:tr w:rsidR="00FC3EE3" w:rsidRPr="00AE4DBA" w14:paraId="20467CF1"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3B69C1BA" w14:textId="77777777" w:rsidR="00FC3EE3" w:rsidRPr="00AE4DBA" w:rsidRDefault="00FC3EE3" w:rsidP="00FC3EE3">
            <w:pPr>
              <w:rPr>
                <w:rFonts w:cs="Arial"/>
                <w:sz w:val="20"/>
                <w:szCs w:val="20"/>
              </w:rPr>
            </w:pPr>
            <w:r w:rsidRPr="00AE4DBA">
              <w:rPr>
                <w:rFonts w:cs="Arial"/>
                <w:sz w:val="20"/>
                <w:szCs w:val="20"/>
              </w:rPr>
              <w:t>Carbon dioxide</w:t>
            </w:r>
          </w:p>
        </w:tc>
        <w:tc>
          <w:tcPr>
            <w:tcW w:w="2852" w:type="dxa"/>
            <w:tcBorders>
              <w:top w:val="nil"/>
              <w:left w:val="nil"/>
              <w:bottom w:val="single" w:sz="4" w:space="0" w:color="auto"/>
              <w:right w:val="single" w:sz="4" w:space="0" w:color="auto"/>
            </w:tcBorders>
            <w:shd w:val="clear" w:color="auto" w:fill="auto"/>
            <w:noWrap/>
            <w:vAlign w:val="bottom"/>
            <w:hideMark/>
          </w:tcPr>
          <w:p w14:paraId="6339D49C" w14:textId="77777777" w:rsidR="00FC3EE3" w:rsidRPr="00AE4DBA" w:rsidRDefault="00FC3EE3" w:rsidP="00FC3EE3">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3C9E4EEC" w14:textId="77777777" w:rsidR="00FC3EE3" w:rsidRPr="00AE4DBA" w:rsidRDefault="00FC3EE3" w:rsidP="00FC3EE3">
            <w:pPr>
              <w:jc w:val="right"/>
              <w:rPr>
                <w:rFonts w:cs="Arial"/>
                <w:sz w:val="20"/>
                <w:szCs w:val="20"/>
              </w:rPr>
            </w:pPr>
            <w:r w:rsidRPr="00AE4DBA">
              <w:rPr>
                <w:rFonts w:cs="Arial"/>
                <w:sz w:val="20"/>
                <w:szCs w:val="20"/>
              </w:rPr>
              <w:t>43</w:t>
            </w:r>
          </w:p>
        </w:tc>
      </w:tr>
      <w:tr w:rsidR="00FC3EE3" w:rsidRPr="00AE4DBA" w14:paraId="614944CA"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4B33EEC9" w14:textId="77777777" w:rsidR="00FC3EE3" w:rsidRPr="00AE4DBA" w:rsidRDefault="00FC3EE3" w:rsidP="00FC3EE3">
            <w:pPr>
              <w:rPr>
                <w:rFonts w:cs="Arial"/>
                <w:sz w:val="20"/>
                <w:szCs w:val="20"/>
              </w:rPr>
            </w:pPr>
            <w:r w:rsidRPr="00AE4DBA">
              <w:rPr>
                <w:rFonts w:cs="Arial"/>
                <w:sz w:val="20"/>
                <w:szCs w:val="20"/>
              </w:rPr>
              <w:t>Long-haul (&gt;3700km) - First class - With Radiative Forcing</w:t>
            </w:r>
          </w:p>
        </w:tc>
        <w:tc>
          <w:tcPr>
            <w:tcW w:w="2852" w:type="dxa"/>
            <w:tcBorders>
              <w:top w:val="nil"/>
              <w:left w:val="nil"/>
              <w:bottom w:val="single" w:sz="4" w:space="0" w:color="auto"/>
              <w:right w:val="single" w:sz="4" w:space="0" w:color="auto"/>
            </w:tcBorders>
            <w:shd w:val="clear" w:color="auto" w:fill="auto"/>
            <w:noWrap/>
            <w:vAlign w:val="bottom"/>
            <w:hideMark/>
          </w:tcPr>
          <w:p w14:paraId="225C6891" w14:textId="77777777" w:rsidR="00FC3EE3" w:rsidRPr="00AE4DBA" w:rsidRDefault="00FC3EE3" w:rsidP="00FC3EE3">
            <w:pPr>
              <w:rPr>
                <w:rFonts w:cs="Arial"/>
                <w:sz w:val="20"/>
                <w:szCs w:val="20"/>
              </w:rPr>
            </w:pPr>
            <w:r w:rsidRPr="00AE4DBA">
              <w:rPr>
                <w:rFonts w:cs="Arial"/>
                <w:sz w:val="20"/>
                <w:szCs w:val="20"/>
              </w:rPr>
              <w:t>Passenger Kms</w:t>
            </w:r>
          </w:p>
        </w:tc>
        <w:tc>
          <w:tcPr>
            <w:tcW w:w="2048" w:type="dxa"/>
            <w:tcBorders>
              <w:top w:val="nil"/>
              <w:left w:val="nil"/>
              <w:bottom w:val="single" w:sz="4" w:space="0" w:color="auto"/>
              <w:right w:val="single" w:sz="4" w:space="0" w:color="auto"/>
            </w:tcBorders>
            <w:shd w:val="clear" w:color="auto" w:fill="auto"/>
            <w:noWrap/>
            <w:vAlign w:val="bottom"/>
            <w:hideMark/>
          </w:tcPr>
          <w:p w14:paraId="4E244A75" w14:textId="77777777" w:rsidR="00FC3EE3" w:rsidRPr="00AE4DBA" w:rsidRDefault="00FC3EE3" w:rsidP="00FC3EE3">
            <w:pPr>
              <w:jc w:val="right"/>
              <w:rPr>
                <w:rFonts w:cs="Arial"/>
                <w:sz w:val="20"/>
                <w:szCs w:val="20"/>
              </w:rPr>
            </w:pPr>
            <w:r w:rsidRPr="00AE4DBA">
              <w:rPr>
                <w:rFonts w:cs="Arial"/>
                <w:sz w:val="20"/>
                <w:szCs w:val="20"/>
              </w:rPr>
              <w:t>29</w:t>
            </w:r>
          </w:p>
        </w:tc>
      </w:tr>
      <w:tr w:rsidR="00FC3EE3" w:rsidRPr="00AE4DBA" w14:paraId="26698EC2"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52E0F4DD" w14:textId="70BF0AD4" w:rsidR="00FC3EE3" w:rsidRPr="00AE4DBA" w:rsidRDefault="00FC3EE3" w:rsidP="00FC3EE3">
            <w:pPr>
              <w:rPr>
                <w:rFonts w:cs="Arial"/>
                <w:sz w:val="20"/>
                <w:szCs w:val="20"/>
              </w:rPr>
            </w:pPr>
            <w:r w:rsidRPr="00AE4DBA">
              <w:rPr>
                <w:rFonts w:cs="Arial"/>
                <w:sz w:val="20"/>
                <w:szCs w:val="20"/>
              </w:rPr>
              <w:t>HFC-32 (R-32) - Kg</w:t>
            </w:r>
          </w:p>
        </w:tc>
        <w:tc>
          <w:tcPr>
            <w:tcW w:w="2852" w:type="dxa"/>
            <w:tcBorders>
              <w:top w:val="nil"/>
              <w:left w:val="nil"/>
              <w:bottom w:val="single" w:sz="4" w:space="0" w:color="auto"/>
              <w:right w:val="single" w:sz="4" w:space="0" w:color="auto"/>
            </w:tcBorders>
            <w:shd w:val="clear" w:color="auto" w:fill="auto"/>
            <w:noWrap/>
            <w:vAlign w:val="bottom"/>
            <w:hideMark/>
          </w:tcPr>
          <w:p w14:paraId="1B1EA950" w14:textId="77777777" w:rsidR="00FC3EE3" w:rsidRPr="00AE4DBA" w:rsidRDefault="00FC3EE3" w:rsidP="00FC3EE3">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0252328A" w14:textId="77777777" w:rsidR="00FC3EE3" w:rsidRPr="00AE4DBA" w:rsidRDefault="00FC3EE3" w:rsidP="00FC3EE3">
            <w:pPr>
              <w:jc w:val="right"/>
              <w:rPr>
                <w:rFonts w:cs="Arial"/>
                <w:sz w:val="20"/>
                <w:szCs w:val="20"/>
              </w:rPr>
            </w:pPr>
            <w:r w:rsidRPr="00AE4DBA">
              <w:rPr>
                <w:rFonts w:cs="Arial"/>
                <w:sz w:val="20"/>
                <w:szCs w:val="20"/>
              </w:rPr>
              <w:t>19</w:t>
            </w:r>
          </w:p>
        </w:tc>
      </w:tr>
      <w:tr w:rsidR="00FC3EE3" w:rsidRPr="00AE4DBA" w14:paraId="29FF5EFE"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3A966BEA" w14:textId="77777777" w:rsidR="00FC3EE3" w:rsidRPr="00AE4DBA" w:rsidRDefault="00FC3EE3" w:rsidP="00FC3EE3">
            <w:pPr>
              <w:rPr>
                <w:rFonts w:cs="Arial"/>
                <w:sz w:val="20"/>
                <w:szCs w:val="20"/>
              </w:rPr>
            </w:pPr>
            <w:r w:rsidRPr="00AE4DBA">
              <w:rPr>
                <w:rFonts w:cs="Arial"/>
                <w:sz w:val="20"/>
                <w:szCs w:val="20"/>
              </w:rPr>
              <w:t>Short-haul (&lt;3700km) - Average passenger - With Radiative Forcing</w:t>
            </w:r>
          </w:p>
        </w:tc>
        <w:tc>
          <w:tcPr>
            <w:tcW w:w="2852" w:type="dxa"/>
            <w:tcBorders>
              <w:top w:val="nil"/>
              <w:left w:val="nil"/>
              <w:bottom w:val="single" w:sz="4" w:space="0" w:color="auto"/>
              <w:right w:val="single" w:sz="4" w:space="0" w:color="auto"/>
            </w:tcBorders>
            <w:shd w:val="clear" w:color="auto" w:fill="auto"/>
            <w:noWrap/>
            <w:vAlign w:val="bottom"/>
            <w:hideMark/>
          </w:tcPr>
          <w:p w14:paraId="37B6CCC5" w14:textId="77777777" w:rsidR="00FC3EE3" w:rsidRPr="00AE4DBA" w:rsidRDefault="00FC3EE3" w:rsidP="00FC3EE3">
            <w:pPr>
              <w:rPr>
                <w:rFonts w:cs="Arial"/>
                <w:sz w:val="20"/>
                <w:szCs w:val="20"/>
              </w:rPr>
            </w:pPr>
            <w:r w:rsidRPr="00AE4DBA">
              <w:rPr>
                <w:rFonts w:cs="Arial"/>
                <w:sz w:val="20"/>
                <w:szCs w:val="20"/>
              </w:rPr>
              <w:t>Passenger Kms</w:t>
            </w:r>
          </w:p>
        </w:tc>
        <w:tc>
          <w:tcPr>
            <w:tcW w:w="2048" w:type="dxa"/>
            <w:tcBorders>
              <w:top w:val="nil"/>
              <w:left w:val="nil"/>
              <w:bottom w:val="single" w:sz="4" w:space="0" w:color="auto"/>
              <w:right w:val="single" w:sz="4" w:space="0" w:color="auto"/>
            </w:tcBorders>
            <w:shd w:val="clear" w:color="auto" w:fill="auto"/>
            <w:noWrap/>
            <w:vAlign w:val="bottom"/>
            <w:hideMark/>
          </w:tcPr>
          <w:p w14:paraId="7ADA7675" w14:textId="77777777" w:rsidR="00FC3EE3" w:rsidRPr="00AE4DBA" w:rsidRDefault="00FC3EE3" w:rsidP="00FC3EE3">
            <w:pPr>
              <w:jc w:val="right"/>
              <w:rPr>
                <w:rFonts w:cs="Arial"/>
                <w:sz w:val="20"/>
                <w:szCs w:val="20"/>
              </w:rPr>
            </w:pPr>
            <w:r w:rsidRPr="00AE4DBA">
              <w:rPr>
                <w:rFonts w:cs="Arial"/>
                <w:sz w:val="20"/>
                <w:szCs w:val="20"/>
              </w:rPr>
              <w:t>14</w:t>
            </w:r>
          </w:p>
        </w:tc>
      </w:tr>
      <w:tr w:rsidR="00FC3EE3" w:rsidRPr="00AE4DBA" w14:paraId="2A935476"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44EBECBF" w14:textId="77777777" w:rsidR="00FC3EE3" w:rsidRPr="00AE4DBA" w:rsidRDefault="00FC3EE3" w:rsidP="00FC3EE3">
            <w:pPr>
              <w:rPr>
                <w:rFonts w:cs="Arial"/>
                <w:sz w:val="20"/>
                <w:szCs w:val="20"/>
              </w:rPr>
            </w:pPr>
            <w:r w:rsidRPr="00AE4DBA">
              <w:rPr>
                <w:rFonts w:cs="Arial"/>
                <w:sz w:val="20"/>
                <w:szCs w:val="20"/>
              </w:rPr>
              <w:t>Passenger Vehicle - Diesel Vehicle - 2000–&lt;3000 cc - 2010 to 2015 - Km</w:t>
            </w:r>
          </w:p>
        </w:tc>
        <w:tc>
          <w:tcPr>
            <w:tcW w:w="2852" w:type="dxa"/>
            <w:tcBorders>
              <w:top w:val="nil"/>
              <w:left w:val="nil"/>
              <w:bottom w:val="single" w:sz="4" w:space="0" w:color="auto"/>
              <w:right w:val="single" w:sz="4" w:space="0" w:color="auto"/>
            </w:tcBorders>
            <w:shd w:val="clear" w:color="auto" w:fill="auto"/>
            <w:noWrap/>
            <w:vAlign w:val="bottom"/>
            <w:hideMark/>
          </w:tcPr>
          <w:p w14:paraId="29E63740" w14:textId="77777777" w:rsidR="00FC3EE3" w:rsidRPr="00AE4DBA" w:rsidRDefault="00FC3EE3" w:rsidP="00FC3EE3">
            <w:pPr>
              <w:rPr>
                <w:rFonts w:cs="Arial"/>
                <w:sz w:val="20"/>
                <w:szCs w:val="20"/>
              </w:rPr>
            </w:pPr>
            <w:r w:rsidRPr="00AE4DBA">
              <w:rPr>
                <w:rFonts w:cs="Arial"/>
                <w:sz w:val="20"/>
                <w:szCs w:val="20"/>
              </w:rPr>
              <w:t>Km</w:t>
            </w:r>
          </w:p>
        </w:tc>
        <w:tc>
          <w:tcPr>
            <w:tcW w:w="2048" w:type="dxa"/>
            <w:tcBorders>
              <w:top w:val="nil"/>
              <w:left w:val="nil"/>
              <w:bottom w:val="single" w:sz="4" w:space="0" w:color="auto"/>
              <w:right w:val="single" w:sz="4" w:space="0" w:color="auto"/>
            </w:tcBorders>
            <w:shd w:val="clear" w:color="auto" w:fill="auto"/>
            <w:noWrap/>
            <w:vAlign w:val="bottom"/>
            <w:hideMark/>
          </w:tcPr>
          <w:p w14:paraId="7FE2603F" w14:textId="77777777" w:rsidR="00FC3EE3" w:rsidRPr="00AE4DBA" w:rsidRDefault="00FC3EE3" w:rsidP="00FC3EE3">
            <w:pPr>
              <w:jc w:val="right"/>
              <w:rPr>
                <w:rFonts w:cs="Arial"/>
                <w:sz w:val="20"/>
                <w:szCs w:val="20"/>
              </w:rPr>
            </w:pPr>
            <w:r w:rsidRPr="00AE4DBA">
              <w:rPr>
                <w:rFonts w:cs="Arial"/>
                <w:sz w:val="20"/>
                <w:szCs w:val="20"/>
              </w:rPr>
              <w:t>12</w:t>
            </w:r>
          </w:p>
        </w:tc>
      </w:tr>
      <w:tr w:rsidR="00FC3EE3" w:rsidRPr="00AE4DBA" w14:paraId="28E55ED3"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711C0B34" w14:textId="77777777" w:rsidR="00FC3EE3" w:rsidRPr="00AE4DBA" w:rsidRDefault="00FC3EE3" w:rsidP="00FC3EE3">
            <w:pPr>
              <w:rPr>
                <w:rFonts w:cs="Arial"/>
                <w:sz w:val="20"/>
                <w:szCs w:val="20"/>
              </w:rPr>
            </w:pPr>
            <w:r w:rsidRPr="00AE4DBA">
              <w:rPr>
                <w:rFonts w:cs="Arial"/>
                <w:sz w:val="20"/>
                <w:szCs w:val="20"/>
              </w:rPr>
              <w:t>TWO HCFE-235da2 (Isoflurane) - Bottle</w:t>
            </w:r>
          </w:p>
        </w:tc>
        <w:tc>
          <w:tcPr>
            <w:tcW w:w="2852" w:type="dxa"/>
            <w:tcBorders>
              <w:top w:val="nil"/>
              <w:left w:val="nil"/>
              <w:bottom w:val="single" w:sz="4" w:space="0" w:color="auto"/>
              <w:right w:val="single" w:sz="4" w:space="0" w:color="auto"/>
            </w:tcBorders>
            <w:shd w:val="clear" w:color="auto" w:fill="auto"/>
            <w:noWrap/>
            <w:vAlign w:val="bottom"/>
            <w:hideMark/>
          </w:tcPr>
          <w:p w14:paraId="5BE6D003" w14:textId="77777777" w:rsidR="00FC3EE3" w:rsidRPr="00AE4DBA" w:rsidRDefault="00FC3EE3" w:rsidP="00FC3EE3">
            <w:pPr>
              <w:rPr>
                <w:rFonts w:cs="Arial"/>
                <w:sz w:val="20"/>
                <w:szCs w:val="20"/>
              </w:rPr>
            </w:pPr>
            <w:r w:rsidRPr="00AE4DBA">
              <w:rPr>
                <w:rFonts w:cs="Arial"/>
                <w:sz w:val="20"/>
                <w:szCs w:val="20"/>
              </w:rPr>
              <w:t>Bottle</w:t>
            </w:r>
          </w:p>
        </w:tc>
        <w:tc>
          <w:tcPr>
            <w:tcW w:w="2048" w:type="dxa"/>
            <w:tcBorders>
              <w:top w:val="nil"/>
              <w:left w:val="nil"/>
              <w:bottom w:val="single" w:sz="4" w:space="0" w:color="auto"/>
              <w:right w:val="single" w:sz="4" w:space="0" w:color="auto"/>
            </w:tcBorders>
            <w:shd w:val="clear" w:color="auto" w:fill="auto"/>
            <w:noWrap/>
            <w:vAlign w:val="bottom"/>
            <w:hideMark/>
          </w:tcPr>
          <w:p w14:paraId="40C6E253" w14:textId="77777777" w:rsidR="00FC3EE3" w:rsidRPr="00AE4DBA" w:rsidRDefault="00FC3EE3" w:rsidP="00FC3EE3">
            <w:pPr>
              <w:jc w:val="right"/>
              <w:rPr>
                <w:rFonts w:cs="Arial"/>
                <w:sz w:val="20"/>
                <w:szCs w:val="20"/>
              </w:rPr>
            </w:pPr>
            <w:r w:rsidRPr="00AE4DBA">
              <w:rPr>
                <w:rFonts w:cs="Arial"/>
                <w:sz w:val="20"/>
                <w:szCs w:val="20"/>
              </w:rPr>
              <w:t>9</w:t>
            </w:r>
          </w:p>
        </w:tc>
      </w:tr>
      <w:tr w:rsidR="00FC3EE3" w:rsidRPr="00AE4DBA" w14:paraId="543C2D9B"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027381DF" w14:textId="77777777" w:rsidR="00FC3EE3" w:rsidRPr="00AE4DBA" w:rsidRDefault="00FC3EE3" w:rsidP="00FC3EE3">
            <w:pPr>
              <w:rPr>
                <w:rFonts w:cs="Arial"/>
                <w:sz w:val="20"/>
                <w:szCs w:val="20"/>
              </w:rPr>
            </w:pPr>
            <w:r w:rsidRPr="00AE4DBA">
              <w:rPr>
                <w:rFonts w:cs="Arial"/>
                <w:sz w:val="20"/>
                <w:szCs w:val="20"/>
              </w:rPr>
              <w:t>HFE-449sl (HFE-7100)   - Kg</w:t>
            </w:r>
          </w:p>
        </w:tc>
        <w:tc>
          <w:tcPr>
            <w:tcW w:w="2852" w:type="dxa"/>
            <w:tcBorders>
              <w:top w:val="nil"/>
              <w:left w:val="nil"/>
              <w:bottom w:val="single" w:sz="4" w:space="0" w:color="auto"/>
              <w:right w:val="single" w:sz="4" w:space="0" w:color="auto"/>
            </w:tcBorders>
            <w:shd w:val="clear" w:color="auto" w:fill="auto"/>
            <w:noWrap/>
            <w:vAlign w:val="bottom"/>
            <w:hideMark/>
          </w:tcPr>
          <w:p w14:paraId="244A0ADA" w14:textId="77777777" w:rsidR="00FC3EE3" w:rsidRPr="00AE4DBA" w:rsidRDefault="00FC3EE3" w:rsidP="00FC3EE3">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478F0193" w14:textId="77777777" w:rsidR="00FC3EE3" w:rsidRPr="00AE4DBA" w:rsidRDefault="00FC3EE3" w:rsidP="00FC3EE3">
            <w:pPr>
              <w:jc w:val="right"/>
              <w:rPr>
                <w:rFonts w:cs="Arial"/>
                <w:sz w:val="20"/>
                <w:szCs w:val="20"/>
              </w:rPr>
            </w:pPr>
            <w:r w:rsidRPr="00AE4DBA">
              <w:rPr>
                <w:rFonts w:cs="Arial"/>
                <w:sz w:val="20"/>
                <w:szCs w:val="20"/>
              </w:rPr>
              <w:t>7</w:t>
            </w:r>
          </w:p>
        </w:tc>
      </w:tr>
      <w:tr w:rsidR="00FC3EE3" w:rsidRPr="00AE4DBA" w14:paraId="19D34D8D"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23AE7EE8" w14:textId="77777777" w:rsidR="00FC3EE3" w:rsidRPr="00AE4DBA" w:rsidRDefault="00FC3EE3" w:rsidP="00FC3EE3">
            <w:pPr>
              <w:rPr>
                <w:rFonts w:cs="Arial"/>
                <w:sz w:val="20"/>
                <w:szCs w:val="20"/>
              </w:rPr>
            </w:pPr>
            <w:r w:rsidRPr="00AE4DBA">
              <w:rPr>
                <w:rFonts w:cs="Arial"/>
                <w:sz w:val="20"/>
                <w:szCs w:val="20"/>
              </w:rPr>
              <w:t>TWO Biomass (CH4-N2O) - GJ</w:t>
            </w:r>
          </w:p>
        </w:tc>
        <w:tc>
          <w:tcPr>
            <w:tcW w:w="2852" w:type="dxa"/>
            <w:tcBorders>
              <w:top w:val="nil"/>
              <w:left w:val="nil"/>
              <w:bottom w:val="single" w:sz="4" w:space="0" w:color="auto"/>
              <w:right w:val="single" w:sz="4" w:space="0" w:color="auto"/>
            </w:tcBorders>
            <w:shd w:val="clear" w:color="auto" w:fill="auto"/>
            <w:noWrap/>
            <w:vAlign w:val="bottom"/>
            <w:hideMark/>
          </w:tcPr>
          <w:p w14:paraId="78475DD3" w14:textId="77777777" w:rsidR="00FC3EE3" w:rsidRPr="00AE4DBA" w:rsidRDefault="00FC3EE3" w:rsidP="00FC3EE3">
            <w:pPr>
              <w:rPr>
                <w:rFonts w:cs="Arial"/>
                <w:sz w:val="20"/>
                <w:szCs w:val="20"/>
              </w:rPr>
            </w:pPr>
            <w:r w:rsidRPr="00AE4DBA">
              <w:rPr>
                <w:rFonts w:cs="Arial"/>
                <w:sz w:val="20"/>
                <w:szCs w:val="20"/>
              </w:rPr>
              <w:t>GJ</w:t>
            </w:r>
          </w:p>
        </w:tc>
        <w:tc>
          <w:tcPr>
            <w:tcW w:w="2048" w:type="dxa"/>
            <w:tcBorders>
              <w:top w:val="nil"/>
              <w:left w:val="nil"/>
              <w:bottom w:val="single" w:sz="4" w:space="0" w:color="auto"/>
              <w:right w:val="single" w:sz="4" w:space="0" w:color="auto"/>
            </w:tcBorders>
            <w:shd w:val="clear" w:color="auto" w:fill="auto"/>
            <w:noWrap/>
            <w:vAlign w:val="bottom"/>
            <w:hideMark/>
          </w:tcPr>
          <w:p w14:paraId="64E755CC" w14:textId="77777777" w:rsidR="00FC3EE3" w:rsidRPr="00AE4DBA" w:rsidRDefault="00FC3EE3" w:rsidP="00FC3EE3">
            <w:pPr>
              <w:jc w:val="right"/>
              <w:rPr>
                <w:rFonts w:cs="Arial"/>
                <w:sz w:val="20"/>
                <w:szCs w:val="20"/>
              </w:rPr>
            </w:pPr>
            <w:r w:rsidRPr="00AE4DBA">
              <w:rPr>
                <w:rFonts w:cs="Arial"/>
                <w:sz w:val="20"/>
                <w:szCs w:val="20"/>
              </w:rPr>
              <w:t>7</w:t>
            </w:r>
          </w:p>
        </w:tc>
      </w:tr>
      <w:tr w:rsidR="00FC3EE3" w:rsidRPr="00AE4DBA" w14:paraId="4EB2A109"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5A52D6EA" w14:textId="77777777" w:rsidR="00FC3EE3" w:rsidRPr="00AE4DBA" w:rsidRDefault="00FC3EE3" w:rsidP="00FC3EE3">
            <w:pPr>
              <w:rPr>
                <w:rFonts w:cs="Arial"/>
                <w:sz w:val="20"/>
                <w:szCs w:val="20"/>
              </w:rPr>
            </w:pPr>
            <w:r w:rsidRPr="00AE4DBA">
              <w:rPr>
                <w:rFonts w:cs="Arial"/>
                <w:sz w:val="20"/>
                <w:szCs w:val="20"/>
              </w:rPr>
              <w:t xml:space="preserve">Australia - </w:t>
            </w:r>
            <w:proofErr w:type="spellStart"/>
            <w:r w:rsidRPr="00AE4DBA">
              <w:rPr>
                <w:rFonts w:cs="Arial"/>
                <w:sz w:val="20"/>
                <w:szCs w:val="20"/>
              </w:rPr>
              <w:t>MfE</w:t>
            </w:r>
            <w:proofErr w:type="spellEnd"/>
          </w:p>
        </w:tc>
        <w:tc>
          <w:tcPr>
            <w:tcW w:w="2852" w:type="dxa"/>
            <w:tcBorders>
              <w:top w:val="nil"/>
              <w:left w:val="nil"/>
              <w:bottom w:val="single" w:sz="4" w:space="0" w:color="auto"/>
              <w:right w:val="single" w:sz="4" w:space="0" w:color="auto"/>
            </w:tcBorders>
            <w:shd w:val="clear" w:color="auto" w:fill="auto"/>
            <w:noWrap/>
            <w:vAlign w:val="bottom"/>
            <w:hideMark/>
          </w:tcPr>
          <w:p w14:paraId="370BADCB" w14:textId="77777777" w:rsidR="00FC3EE3" w:rsidRPr="00AE4DBA" w:rsidRDefault="00FC3EE3" w:rsidP="00FC3EE3">
            <w:pPr>
              <w:rPr>
                <w:rFonts w:cs="Arial"/>
                <w:sz w:val="20"/>
                <w:szCs w:val="20"/>
              </w:rPr>
            </w:pPr>
            <w:r w:rsidRPr="00AE4DBA">
              <w:rPr>
                <w:rFonts w:cs="Arial"/>
                <w:sz w:val="20"/>
                <w:szCs w:val="20"/>
              </w:rPr>
              <w:t>Room Per Night</w:t>
            </w:r>
          </w:p>
        </w:tc>
        <w:tc>
          <w:tcPr>
            <w:tcW w:w="2048" w:type="dxa"/>
            <w:tcBorders>
              <w:top w:val="nil"/>
              <w:left w:val="nil"/>
              <w:bottom w:val="single" w:sz="4" w:space="0" w:color="auto"/>
              <w:right w:val="single" w:sz="4" w:space="0" w:color="auto"/>
            </w:tcBorders>
            <w:shd w:val="clear" w:color="auto" w:fill="auto"/>
            <w:noWrap/>
            <w:vAlign w:val="bottom"/>
            <w:hideMark/>
          </w:tcPr>
          <w:p w14:paraId="561715F8" w14:textId="77777777" w:rsidR="00FC3EE3" w:rsidRPr="00AE4DBA" w:rsidRDefault="00FC3EE3" w:rsidP="00FC3EE3">
            <w:pPr>
              <w:jc w:val="right"/>
              <w:rPr>
                <w:rFonts w:cs="Arial"/>
                <w:sz w:val="20"/>
                <w:szCs w:val="20"/>
              </w:rPr>
            </w:pPr>
            <w:r w:rsidRPr="00AE4DBA">
              <w:rPr>
                <w:rFonts w:cs="Arial"/>
                <w:sz w:val="20"/>
                <w:szCs w:val="20"/>
              </w:rPr>
              <w:t>6</w:t>
            </w:r>
          </w:p>
        </w:tc>
      </w:tr>
      <w:tr w:rsidR="00FC3EE3" w:rsidRPr="00AE4DBA" w14:paraId="653D5FA1"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35D8BD39" w14:textId="77777777" w:rsidR="00FC3EE3" w:rsidRPr="00AE4DBA" w:rsidRDefault="00FC3EE3" w:rsidP="00FC3EE3">
            <w:pPr>
              <w:rPr>
                <w:rFonts w:cs="Arial"/>
                <w:sz w:val="20"/>
                <w:szCs w:val="20"/>
              </w:rPr>
            </w:pPr>
            <w:r w:rsidRPr="00AE4DBA">
              <w:rPr>
                <w:rFonts w:cs="Arial"/>
                <w:sz w:val="20"/>
                <w:szCs w:val="20"/>
              </w:rPr>
              <w:t>Long-haul (&gt;3700km) - Average passenger - With Radiative Forcing</w:t>
            </w:r>
          </w:p>
        </w:tc>
        <w:tc>
          <w:tcPr>
            <w:tcW w:w="2852" w:type="dxa"/>
            <w:tcBorders>
              <w:top w:val="nil"/>
              <w:left w:val="nil"/>
              <w:bottom w:val="single" w:sz="4" w:space="0" w:color="auto"/>
              <w:right w:val="single" w:sz="4" w:space="0" w:color="auto"/>
            </w:tcBorders>
            <w:shd w:val="clear" w:color="auto" w:fill="auto"/>
            <w:noWrap/>
            <w:vAlign w:val="bottom"/>
            <w:hideMark/>
          </w:tcPr>
          <w:p w14:paraId="56DFFD36" w14:textId="77777777" w:rsidR="00FC3EE3" w:rsidRPr="00AE4DBA" w:rsidRDefault="00FC3EE3" w:rsidP="00FC3EE3">
            <w:pPr>
              <w:rPr>
                <w:rFonts w:cs="Arial"/>
                <w:sz w:val="20"/>
                <w:szCs w:val="20"/>
              </w:rPr>
            </w:pPr>
            <w:r w:rsidRPr="00AE4DBA">
              <w:rPr>
                <w:rFonts w:cs="Arial"/>
                <w:sz w:val="20"/>
                <w:szCs w:val="20"/>
              </w:rPr>
              <w:t>Passenger Kms</w:t>
            </w:r>
          </w:p>
        </w:tc>
        <w:tc>
          <w:tcPr>
            <w:tcW w:w="2048" w:type="dxa"/>
            <w:tcBorders>
              <w:top w:val="nil"/>
              <w:left w:val="nil"/>
              <w:bottom w:val="single" w:sz="4" w:space="0" w:color="auto"/>
              <w:right w:val="single" w:sz="4" w:space="0" w:color="auto"/>
            </w:tcBorders>
            <w:shd w:val="clear" w:color="auto" w:fill="auto"/>
            <w:noWrap/>
            <w:vAlign w:val="bottom"/>
            <w:hideMark/>
          </w:tcPr>
          <w:p w14:paraId="6A01E1B9" w14:textId="77777777" w:rsidR="00FC3EE3" w:rsidRPr="00AE4DBA" w:rsidRDefault="00FC3EE3" w:rsidP="00FC3EE3">
            <w:pPr>
              <w:jc w:val="right"/>
              <w:rPr>
                <w:rFonts w:cs="Arial"/>
                <w:sz w:val="20"/>
                <w:szCs w:val="20"/>
              </w:rPr>
            </w:pPr>
            <w:r w:rsidRPr="00AE4DBA">
              <w:rPr>
                <w:rFonts w:cs="Arial"/>
                <w:sz w:val="20"/>
                <w:szCs w:val="20"/>
              </w:rPr>
              <w:t>4</w:t>
            </w:r>
          </w:p>
        </w:tc>
      </w:tr>
      <w:tr w:rsidR="00FC3EE3" w:rsidRPr="00AE4DBA" w14:paraId="7CC9591D"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7E8A9321" w14:textId="77777777" w:rsidR="00FC3EE3" w:rsidRPr="00AE4DBA" w:rsidRDefault="00FC3EE3" w:rsidP="00FC3EE3">
            <w:pPr>
              <w:rPr>
                <w:rFonts w:cs="Arial"/>
                <w:sz w:val="20"/>
                <w:szCs w:val="20"/>
              </w:rPr>
            </w:pPr>
            <w:r w:rsidRPr="00AE4DBA">
              <w:rPr>
                <w:rFonts w:cs="Arial"/>
                <w:sz w:val="20"/>
                <w:szCs w:val="20"/>
              </w:rPr>
              <w:lastRenderedPageBreak/>
              <w:t>TWO Purchased Steam from biomass - GJ</w:t>
            </w:r>
          </w:p>
        </w:tc>
        <w:tc>
          <w:tcPr>
            <w:tcW w:w="2852" w:type="dxa"/>
            <w:tcBorders>
              <w:top w:val="nil"/>
              <w:left w:val="nil"/>
              <w:bottom w:val="single" w:sz="4" w:space="0" w:color="auto"/>
              <w:right w:val="single" w:sz="4" w:space="0" w:color="auto"/>
            </w:tcBorders>
            <w:shd w:val="clear" w:color="auto" w:fill="auto"/>
            <w:noWrap/>
            <w:vAlign w:val="bottom"/>
            <w:hideMark/>
          </w:tcPr>
          <w:p w14:paraId="253B4B8E" w14:textId="77777777" w:rsidR="00FC3EE3" w:rsidRPr="00AE4DBA" w:rsidRDefault="00FC3EE3" w:rsidP="00FC3EE3">
            <w:pPr>
              <w:rPr>
                <w:rFonts w:cs="Arial"/>
                <w:sz w:val="20"/>
                <w:szCs w:val="20"/>
              </w:rPr>
            </w:pPr>
            <w:r w:rsidRPr="00AE4DBA">
              <w:rPr>
                <w:rFonts w:cs="Arial"/>
                <w:sz w:val="20"/>
                <w:szCs w:val="20"/>
              </w:rPr>
              <w:t>GJ</w:t>
            </w:r>
          </w:p>
        </w:tc>
        <w:tc>
          <w:tcPr>
            <w:tcW w:w="2048" w:type="dxa"/>
            <w:tcBorders>
              <w:top w:val="nil"/>
              <w:left w:val="nil"/>
              <w:bottom w:val="single" w:sz="4" w:space="0" w:color="auto"/>
              <w:right w:val="single" w:sz="4" w:space="0" w:color="auto"/>
            </w:tcBorders>
            <w:shd w:val="clear" w:color="auto" w:fill="auto"/>
            <w:noWrap/>
            <w:vAlign w:val="bottom"/>
            <w:hideMark/>
          </w:tcPr>
          <w:p w14:paraId="6ECE5615" w14:textId="77777777" w:rsidR="00FC3EE3" w:rsidRPr="00AE4DBA" w:rsidRDefault="00FC3EE3" w:rsidP="00FC3EE3">
            <w:pPr>
              <w:jc w:val="right"/>
              <w:rPr>
                <w:rFonts w:cs="Arial"/>
                <w:sz w:val="20"/>
                <w:szCs w:val="20"/>
              </w:rPr>
            </w:pPr>
            <w:r w:rsidRPr="00AE4DBA">
              <w:rPr>
                <w:rFonts w:cs="Arial"/>
                <w:sz w:val="20"/>
                <w:szCs w:val="20"/>
              </w:rPr>
              <w:t>3</w:t>
            </w:r>
          </w:p>
        </w:tc>
      </w:tr>
      <w:tr w:rsidR="00FC3EE3" w:rsidRPr="00AE4DBA" w14:paraId="1F779EB8"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536CA68B" w14:textId="77777777" w:rsidR="00FC3EE3" w:rsidRPr="00AE4DBA" w:rsidRDefault="00FC3EE3" w:rsidP="00FC3EE3">
            <w:pPr>
              <w:rPr>
                <w:rFonts w:cs="Arial"/>
                <w:sz w:val="20"/>
                <w:szCs w:val="20"/>
              </w:rPr>
            </w:pPr>
            <w:r w:rsidRPr="00AE4DBA">
              <w:rPr>
                <w:rFonts w:cs="Arial"/>
                <w:sz w:val="20"/>
                <w:szCs w:val="20"/>
              </w:rPr>
              <w:t xml:space="preserve">Singapore - </w:t>
            </w:r>
            <w:proofErr w:type="spellStart"/>
            <w:r w:rsidRPr="00AE4DBA">
              <w:rPr>
                <w:rFonts w:cs="Arial"/>
                <w:sz w:val="20"/>
                <w:szCs w:val="20"/>
              </w:rPr>
              <w:t>MfE</w:t>
            </w:r>
            <w:proofErr w:type="spellEnd"/>
          </w:p>
        </w:tc>
        <w:tc>
          <w:tcPr>
            <w:tcW w:w="2852" w:type="dxa"/>
            <w:tcBorders>
              <w:top w:val="nil"/>
              <w:left w:val="nil"/>
              <w:bottom w:val="single" w:sz="4" w:space="0" w:color="auto"/>
              <w:right w:val="single" w:sz="4" w:space="0" w:color="auto"/>
            </w:tcBorders>
            <w:shd w:val="clear" w:color="auto" w:fill="auto"/>
            <w:noWrap/>
            <w:vAlign w:val="bottom"/>
            <w:hideMark/>
          </w:tcPr>
          <w:p w14:paraId="0A3E09D3" w14:textId="77777777" w:rsidR="00FC3EE3" w:rsidRPr="00AE4DBA" w:rsidRDefault="00FC3EE3" w:rsidP="00FC3EE3">
            <w:pPr>
              <w:rPr>
                <w:rFonts w:cs="Arial"/>
                <w:sz w:val="20"/>
                <w:szCs w:val="20"/>
              </w:rPr>
            </w:pPr>
            <w:r w:rsidRPr="00AE4DBA">
              <w:rPr>
                <w:rFonts w:cs="Arial"/>
                <w:sz w:val="20"/>
                <w:szCs w:val="20"/>
              </w:rPr>
              <w:t>Room Per Night</w:t>
            </w:r>
          </w:p>
        </w:tc>
        <w:tc>
          <w:tcPr>
            <w:tcW w:w="2048" w:type="dxa"/>
            <w:tcBorders>
              <w:top w:val="nil"/>
              <w:left w:val="nil"/>
              <w:bottom w:val="single" w:sz="4" w:space="0" w:color="auto"/>
              <w:right w:val="single" w:sz="4" w:space="0" w:color="auto"/>
            </w:tcBorders>
            <w:shd w:val="clear" w:color="auto" w:fill="auto"/>
            <w:noWrap/>
            <w:vAlign w:val="bottom"/>
            <w:hideMark/>
          </w:tcPr>
          <w:p w14:paraId="090BA9A4" w14:textId="77777777" w:rsidR="00FC3EE3" w:rsidRPr="00AE4DBA" w:rsidRDefault="00FC3EE3" w:rsidP="00FC3EE3">
            <w:pPr>
              <w:jc w:val="right"/>
              <w:rPr>
                <w:rFonts w:cs="Arial"/>
                <w:sz w:val="20"/>
                <w:szCs w:val="20"/>
              </w:rPr>
            </w:pPr>
            <w:r w:rsidRPr="00AE4DBA">
              <w:rPr>
                <w:rFonts w:cs="Arial"/>
                <w:sz w:val="20"/>
                <w:szCs w:val="20"/>
              </w:rPr>
              <w:t>2</w:t>
            </w:r>
          </w:p>
        </w:tc>
      </w:tr>
      <w:tr w:rsidR="00FC3EE3" w:rsidRPr="00AE4DBA" w14:paraId="515CBFEC"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6430AE36" w14:textId="77777777" w:rsidR="00FC3EE3" w:rsidRPr="00AE4DBA" w:rsidRDefault="00FC3EE3" w:rsidP="00FC3EE3">
            <w:pPr>
              <w:rPr>
                <w:rFonts w:cs="Arial"/>
                <w:sz w:val="20"/>
                <w:szCs w:val="20"/>
              </w:rPr>
            </w:pPr>
            <w:r w:rsidRPr="00AE4DBA">
              <w:rPr>
                <w:rFonts w:cs="Arial"/>
                <w:sz w:val="20"/>
                <w:szCs w:val="20"/>
              </w:rPr>
              <w:t>Waste without gas recovery (unknown composition) - General Waste - Kg</w:t>
            </w:r>
          </w:p>
        </w:tc>
        <w:tc>
          <w:tcPr>
            <w:tcW w:w="2852" w:type="dxa"/>
            <w:tcBorders>
              <w:top w:val="nil"/>
              <w:left w:val="nil"/>
              <w:bottom w:val="single" w:sz="4" w:space="0" w:color="auto"/>
              <w:right w:val="single" w:sz="4" w:space="0" w:color="auto"/>
            </w:tcBorders>
            <w:shd w:val="clear" w:color="auto" w:fill="auto"/>
            <w:noWrap/>
            <w:vAlign w:val="bottom"/>
            <w:hideMark/>
          </w:tcPr>
          <w:p w14:paraId="3A98420E" w14:textId="77777777" w:rsidR="00FC3EE3" w:rsidRPr="00AE4DBA" w:rsidRDefault="00FC3EE3" w:rsidP="00FC3EE3">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7E2AF743" w14:textId="7E6FD297" w:rsidR="00FC3EE3" w:rsidRPr="00AE4DBA" w:rsidRDefault="00FC3EE3" w:rsidP="00FC3EE3">
            <w:pPr>
              <w:jc w:val="right"/>
              <w:rPr>
                <w:rFonts w:cs="Arial"/>
                <w:sz w:val="20"/>
                <w:szCs w:val="20"/>
              </w:rPr>
            </w:pPr>
            <w:r w:rsidRPr="00AE4DBA">
              <w:rPr>
                <w:rFonts w:cs="Arial"/>
                <w:sz w:val="20"/>
                <w:szCs w:val="20"/>
              </w:rPr>
              <w:t>0</w:t>
            </w:r>
            <w:r w:rsidR="001471ED">
              <w:rPr>
                <w:rFonts w:cs="Arial"/>
                <w:sz w:val="20"/>
                <w:szCs w:val="20"/>
              </w:rPr>
              <w:t>.43</w:t>
            </w:r>
          </w:p>
        </w:tc>
      </w:tr>
      <w:tr w:rsidR="00FC3EE3" w:rsidRPr="00AE4DBA" w14:paraId="6E53293E"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6E3BA0DD" w14:textId="77777777" w:rsidR="00FC3EE3" w:rsidRPr="00AE4DBA" w:rsidRDefault="00FC3EE3" w:rsidP="00FC3EE3">
            <w:pPr>
              <w:rPr>
                <w:rFonts w:cs="Arial"/>
                <w:sz w:val="20"/>
                <w:szCs w:val="20"/>
              </w:rPr>
            </w:pPr>
            <w:r w:rsidRPr="00AE4DBA">
              <w:rPr>
                <w:rFonts w:cs="Arial"/>
                <w:sz w:val="20"/>
                <w:szCs w:val="20"/>
              </w:rPr>
              <w:t>TWO Custom Acetylene - Kg</w:t>
            </w:r>
          </w:p>
        </w:tc>
        <w:tc>
          <w:tcPr>
            <w:tcW w:w="2852" w:type="dxa"/>
            <w:tcBorders>
              <w:top w:val="nil"/>
              <w:left w:val="nil"/>
              <w:bottom w:val="single" w:sz="4" w:space="0" w:color="auto"/>
              <w:right w:val="single" w:sz="4" w:space="0" w:color="auto"/>
            </w:tcBorders>
            <w:shd w:val="clear" w:color="auto" w:fill="auto"/>
            <w:noWrap/>
            <w:vAlign w:val="bottom"/>
            <w:hideMark/>
          </w:tcPr>
          <w:p w14:paraId="00974037" w14:textId="77777777" w:rsidR="00FC3EE3" w:rsidRPr="00AE4DBA" w:rsidRDefault="00FC3EE3" w:rsidP="00FC3EE3">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45873042" w14:textId="495BF8DC" w:rsidR="00FC3EE3" w:rsidRPr="00AE4DBA" w:rsidRDefault="00FC3EE3" w:rsidP="00FC3EE3">
            <w:pPr>
              <w:jc w:val="right"/>
              <w:rPr>
                <w:rFonts w:cs="Arial"/>
                <w:sz w:val="20"/>
                <w:szCs w:val="20"/>
              </w:rPr>
            </w:pPr>
            <w:r w:rsidRPr="00AE4DBA">
              <w:rPr>
                <w:rFonts w:cs="Arial"/>
                <w:sz w:val="20"/>
                <w:szCs w:val="20"/>
              </w:rPr>
              <w:t>0</w:t>
            </w:r>
            <w:r w:rsidR="00C60BF2">
              <w:rPr>
                <w:rFonts w:cs="Arial"/>
                <w:sz w:val="20"/>
                <w:szCs w:val="20"/>
              </w:rPr>
              <w:t>.</w:t>
            </w:r>
            <w:r w:rsidR="001471ED">
              <w:rPr>
                <w:rFonts w:cs="Arial"/>
                <w:sz w:val="20"/>
                <w:szCs w:val="20"/>
              </w:rPr>
              <w:t>26</w:t>
            </w:r>
          </w:p>
        </w:tc>
      </w:tr>
      <w:tr w:rsidR="00FC3EE3" w:rsidRPr="00AE4DBA" w14:paraId="25213EA0"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07622FF4" w14:textId="77777777" w:rsidR="00FC3EE3" w:rsidRPr="00AE4DBA" w:rsidRDefault="00FC3EE3" w:rsidP="00FC3EE3">
            <w:pPr>
              <w:rPr>
                <w:rFonts w:cs="Arial"/>
                <w:sz w:val="20"/>
                <w:szCs w:val="20"/>
              </w:rPr>
            </w:pPr>
            <w:r w:rsidRPr="00AE4DBA">
              <w:rPr>
                <w:rFonts w:cs="Arial"/>
                <w:sz w:val="20"/>
                <w:szCs w:val="20"/>
              </w:rPr>
              <w:t>Methane - Kg</w:t>
            </w:r>
          </w:p>
        </w:tc>
        <w:tc>
          <w:tcPr>
            <w:tcW w:w="2852" w:type="dxa"/>
            <w:tcBorders>
              <w:top w:val="nil"/>
              <w:left w:val="nil"/>
              <w:bottom w:val="single" w:sz="4" w:space="0" w:color="auto"/>
              <w:right w:val="single" w:sz="4" w:space="0" w:color="auto"/>
            </w:tcBorders>
            <w:shd w:val="clear" w:color="auto" w:fill="auto"/>
            <w:noWrap/>
            <w:vAlign w:val="bottom"/>
            <w:hideMark/>
          </w:tcPr>
          <w:p w14:paraId="5CD66401" w14:textId="77777777" w:rsidR="00FC3EE3" w:rsidRPr="00AE4DBA" w:rsidRDefault="00FC3EE3" w:rsidP="00FC3EE3">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27C75554" w14:textId="437307C9" w:rsidR="00FC3EE3" w:rsidRPr="00AE4DBA" w:rsidRDefault="00FC3EE3" w:rsidP="00FC3EE3">
            <w:pPr>
              <w:jc w:val="right"/>
              <w:rPr>
                <w:rFonts w:cs="Arial"/>
                <w:sz w:val="20"/>
                <w:szCs w:val="20"/>
              </w:rPr>
            </w:pPr>
            <w:r w:rsidRPr="00AE4DBA">
              <w:rPr>
                <w:rFonts w:cs="Arial"/>
                <w:sz w:val="20"/>
                <w:szCs w:val="20"/>
              </w:rPr>
              <w:t>0</w:t>
            </w:r>
            <w:r w:rsidR="00F56E9E">
              <w:rPr>
                <w:rFonts w:cs="Arial"/>
                <w:sz w:val="20"/>
                <w:szCs w:val="20"/>
              </w:rPr>
              <w:t>.23</w:t>
            </w:r>
          </w:p>
        </w:tc>
      </w:tr>
      <w:tr w:rsidR="00FC3EE3" w:rsidRPr="00AE4DBA" w14:paraId="401104BE"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076C4211" w14:textId="77777777" w:rsidR="00FC3EE3" w:rsidRPr="00AE4DBA" w:rsidRDefault="00FC3EE3" w:rsidP="00FC3EE3">
            <w:pPr>
              <w:rPr>
                <w:rFonts w:cs="Arial"/>
                <w:sz w:val="20"/>
                <w:szCs w:val="20"/>
              </w:rPr>
            </w:pPr>
            <w:r w:rsidRPr="00AE4DBA">
              <w:rPr>
                <w:rFonts w:cs="Arial"/>
                <w:sz w:val="20"/>
                <w:szCs w:val="20"/>
              </w:rPr>
              <w:t xml:space="preserve">United Kingdom - </w:t>
            </w:r>
            <w:proofErr w:type="spellStart"/>
            <w:r w:rsidRPr="00AE4DBA">
              <w:rPr>
                <w:rFonts w:cs="Arial"/>
                <w:sz w:val="20"/>
                <w:szCs w:val="20"/>
              </w:rPr>
              <w:t>MfE</w:t>
            </w:r>
            <w:proofErr w:type="spellEnd"/>
          </w:p>
        </w:tc>
        <w:tc>
          <w:tcPr>
            <w:tcW w:w="2852" w:type="dxa"/>
            <w:tcBorders>
              <w:top w:val="nil"/>
              <w:left w:val="nil"/>
              <w:bottom w:val="single" w:sz="4" w:space="0" w:color="auto"/>
              <w:right w:val="single" w:sz="4" w:space="0" w:color="auto"/>
            </w:tcBorders>
            <w:shd w:val="clear" w:color="auto" w:fill="auto"/>
            <w:noWrap/>
            <w:vAlign w:val="bottom"/>
            <w:hideMark/>
          </w:tcPr>
          <w:p w14:paraId="5F2F33A8" w14:textId="77777777" w:rsidR="00FC3EE3" w:rsidRPr="00AE4DBA" w:rsidRDefault="00FC3EE3" w:rsidP="00FC3EE3">
            <w:pPr>
              <w:rPr>
                <w:rFonts w:cs="Arial"/>
                <w:sz w:val="20"/>
                <w:szCs w:val="20"/>
              </w:rPr>
            </w:pPr>
            <w:r w:rsidRPr="00AE4DBA">
              <w:rPr>
                <w:rFonts w:cs="Arial"/>
                <w:sz w:val="20"/>
                <w:szCs w:val="20"/>
              </w:rPr>
              <w:t>Room Per Night</w:t>
            </w:r>
          </w:p>
        </w:tc>
        <w:tc>
          <w:tcPr>
            <w:tcW w:w="2048" w:type="dxa"/>
            <w:tcBorders>
              <w:top w:val="nil"/>
              <w:left w:val="nil"/>
              <w:bottom w:val="single" w:sz="4" w:space="0" w:color="auto"/>
              <w:right w:val="single" w:sz="4" w:space="0" w:color="auto"/>
            </w:tcBorders>
            <w:shd w:val="clear" w:color="auto" w:fill="auto"/>
            <w:noWrap/>
            <w:vAlign w:val="bottom"/>
            <w:hideMark/>
          </w:tcPr>
          <w:p w14:paraId="30DD97B0" w14:textId="561CF3A7" w:rsidR="00FC3EE3" w:rsidRPr="00AE4DBA" w:rsidRDefault="00FC3EE3" w:rsidP="00FC3EE3">
            <w:pPr>
              <w:jc w:val="right"/>
              <w:rPr>
                <w:rFonts w:cs="Arial"/>
                <w:sz w:val="20"/>
                <w:szCs w:val="20"/>
              </w:rPr>
            </w:pPr>
            <w:r w:rsidRPr="00AE4DBA">
              <w:rPr>
                <w:rFonts w:cs="Arial"/>
                <w:sz w:val="20"/>
                <w:szCs w:val="20"/>
              </w:rPr>
              <w:t>0</w:t>
            </w:r>
            <w:r w:rsidR="009B7702">
              <w:rPr>
                <w:rFonts w:cs="Arial"/>
                <w:sz w:val="20"/>
                <w:szCs w:val="20"/>
              </w:rPr>
              <w:t>.13</w:t>
            </w:r>
          </w:p>
        </w:tc>
      </w:tr>
      <w:tr w:rsidR="00FC3EE3" w:rsidRPr="00AE4DBA" w14:paraId="678E4D58"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67EFC3A3" w14:textId="77777777" w:rsidR="00FC3EE3" w:rsidRPr="00AE4DBA" w:rsidRDefault="00FC3EE3" w:rsidP="00FC3EE3">
            <w:pPr>
              <w:rPr>
                <w:rFonts w:cs="Arial"/>
                <w:sz w:val="20"/>
                <w:szCs w:val="20"/>
              </w:rPr>
            </w:pPr>
            <w:r w:rsidRPr="00AE4DBA">
              <w:rPr>
                <w:rFonts w:cs="Arial"/>
                <w:sz w:val="20"/>
                <w:szCs w:val="20"/>
              </w:rPr>
              <w:t xml:space="preserve">United States - </w:t>
            </w:r>
            <w:proofErr w:type="spellStart"/>
            <w:r w:rsidRPr="00AE4DBA">
              <w:rPr>
                <w:rFonts w:cs="Arial"/>
                <w:sz w:val="20"/>
                <w:szCs w:val="20"/>
              </w:rPr>
              <w:t>MfE</w:t>
            </w:r>
            <w:proofErr w:type="spellEnd"/>
          </w:p>
        </w:tc>
        <w:tc>
          <w:tcPr>
            <w:tcW w:w="2852" w:type="dxa"/>
            <w:tcBorders>
              <w:top w:val="nil"/>
              <w:left w:val="nil"/>
              <w:bottom w:val="single" w:sz="4" w:space="0" w:color="auto"/>
              <w:right w:val="single" w:sz="4" w:space="0" w:color="auto"/>
            </w:tcBorders>
            <w:shd w:val="clear" w:color="auto" w:fill="auto"/>
            <w:noWrap/>
            <w:vAlign w:val="bottom"/>
            <w:hideMark/>
          </w:tcPr>
          <w:p w14:paraId="74314384" w14:textId="77777777" w:rsidR="00FC3EE3" w:rsidRPr="00AE4DBA" w:rsidRDefault="00FC3EE3" w:rsidP="00FC3EE3">
            <w:pPr>
              <w:rPr>
                <w:rFonts w:cs="Arial"/>
                <w:sz w:val="20"/>
                <w:szCs w:val="20"/>
              </w:rPr>
            </w:pPr>
            <w:r w:rsidRPr="00AE4DBA">
              <w:rPr>
                <w:rFonts w:cs="Arial"/>
                <w:sz w:val="20"/>
                <w:szCs w:val="20"/>
              </w:rPr>
              <w:t>Room Per Night</w:t>
            </w:r>
          </w:p>
        </w:tc>
        <w:tc>
          <w:tcPr>
            <w:tcW w:w="2048" w:type="dxa"/>
            <w:tcBorders>
              <w:top w:val="nil"/>
              <w:left w:val="nil"/>
              <w:bottom w:val="single" w:sz="4" w:space="0" w:color="auto"/>
              <w:right w:val="single" w:sz="4" w:space="0" w:color="auto"/>
            </w:tcBorders>
            <w:shd w:val="clear" w:color="auto" w:fill="auto"/>
            <w:noWrap/>
            <w:vAlign w:val="bottom"/>
            <w:hideMark/>
          </w:tcPr>
          <w:p w14:paraId="20F81019" w14:textId="51ADCA5C" w:rsidR="00FC3EE3" w:rsidRPr="00AE4DBA" w:rsidRDefault="00FC3EE3" w:rsidP="00FC3EE3">
            <w:pPr>
              <w:jc w:val="right"/>
              <w:rPr>
                <w:rFonts w:cs="Arial"/>
                <w:sz w:val="20"/>
                <w:szCs w:val="20"/>
              </w:rPr>
            </w:pPr>
            <w:r w:rsidRPr="00AE4DBA">
              <w:rPr>
                <w:rFonts w:cs="Arial"/>
                <w:sz w:val="20"/>
                <w:szCs w:val="20"/>
              </w:rPr>
              <w:t>0</w:t>
            </w:r>
            <w:r w:rsidR="00811291">
              <w:rPr>
                <w:rFonts w:cs="Arial"/>
                <w:sz w:val="20"/>
                <w:szCs w:val="20"/>
              </w:rPr>
              <w:t>.12</w:t>
            </w:r>
          </w:p>
        </w:tc>
      </w:tr>
      <w:tr w:rsidR="00FC3EE3" w:rsidRPr="00AE4DBA" w14:paraId="24195395"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593A26FF" w14:textId="77777777" w:rsidR="00FC3EE3" w:rsidRPr="00AE4DBA" w:rsidRDefault="00FC3EE3" w:rsidP="00FC3EE3">
            <w:pPr>
              <w:rPr>
                <w:rFonts w:cs="Arial"/>
                <w:sz w:val="20"/>
                <w:szCs w:val="20"/>
              </w:rPr>
            </w:pPr>
            <w:r w:rsidRPr="00AE4DBA">
              <w:rPr>
                <w:rFonts w:cs="Arial"/>
                <w:sz w:val="20"/>
                <w:szCs w:val="20"/>
              </w:rPr>
              <w:t xml:space="preserve">Netherlands - </w:t>
            </w:r>
            <w:proofErr w:type="spellStart"/>
            <w:r w:rsidRPr="00AE4DBA">
              <w:rPr>
                <w:rFonts w:cs="Arial"/>
                <w:sz w:val="20"/>
                <w:szCs w:val="20"/>
              </w:rPr>
              <w:t>MfE</w:t>
            </w:r>
            <w:proofErr w:type="spellEnd"/>
          </w:p>
        </w:tc>
        <w:tc>
          <w:tcPr>
            <w:tcW w:w="2852" w:type="dxa"/>
            <w:tcBorders>
              <w:top w:val="nil"/>
              <w:left w:val="nil"/>
              <w:bottom w:val="single" w:sz="4" w:space="0" w:color="auto"/>
              <w:right w:val="single" w:sz="4" w:space="0" w:color="auto"/>
            </w:tcBorders>
            <w:shd w:val="clear" w:color="auto" w:fill="auto"/>
            <w:noWrap/>
            <w:vAlign w:val="bottom"/>
            <w:hideMark/>
          </w:tcPr>
          <w:p w14:paraId="26F6F269" w14:textId="77777777" w:rsidR="00FC3EE3" w:rsidRPr="00AE4DBA" w:rsidRDefault="00FC3EE3" w:rsidP="00FC3EE3">
            <w:pPr>
              <w:rPr>
                <w:rFonts w:cs="Arial"/>
                <w:sz w:val="20"/>
                <w:szCs w:val="20"/>
              </w:rPr>
            </w:pPr>
            <w:r w:rsidRPr="00AE4DBA">
              <w:rPr>
                <w:rFonts w:cs="Arial"/>
                <w:sz w:val="20"/>
                <w:szCs w:val="20"/>
              </w:rPr>
              <w:t>Room Per Night</w:t>
            </w:r>
          </w:p>
        </w:tc>
        <w:tc>
          <w:tcPr>
            <w:tcW w:w="2048" w:type="dxa"/>
            <w:tcBorders>
              <w:top w:val="nil"/>
              <w:left w:val="nil"/>
              <w:bottom w:val="single" w:sz="4" w:space="0" w:color="auto"/>
              <w:right w:val="single" w:sz="4" w:space="0" w:color="auto"/>
            </w:tcBorders>
            <w:shd w:val="clear" w:color="auto" w:fill="auto"/>
            <w:noWrap/>
            <w:vAlign w:val="bottom"/>
            <w:hideMark/>
          </w:tcPr>
          <w:p w14:paraId="6ABE5D97" w14:textId="6890D094" w:rsidR="00FC3EE3" w:rsidRPr="00AE4DBA" w:rsidRDefault="00FC3EE3" w:rsidP="00FC3EE3">
            <w:pPr>
              <w:jc w:val="right"/>
              <w:rPr>
                <w:rFonts w:cs="Arial"/>
                <w:sz w:val="20"/>
                <w:szCs w:val="20"/>
              </w:rPr>
            </w:pPr>
            <w:r w:rsidRPr="00AE4DBA">
              <w:rPr>
                <w:rFonts w:cs="Arial"/>
                <w:sz w:val="20"/>
                <w:szCs w:val="20"/>
              </w:rPr>
              <w:t>0</w:t>
            </w:r>
            <w:r w:rsidR="00704ABD">
              <w:rPr>
                <w:rFonts w:cs="Arial"/>
                <w:sz w:val="20"/>
                <w:szCs w:val="20"/>
              </w:rPr>
              <w:t>.</w:t>
            </w:r>
            <w:r w:rsidR="00811291">
              <w:rPr>
                <w:rFonts w:cs="Arial"/>
                <w:sz w:val="20"/>
                <w:szCs w:val="20"/>
              </w:rPr>
              <w:t>0</w:t>
            </w:r>
            <w:r w:rsidR="00704ABD">
              <w:rPr>
                <w:rFonts w:cs="Arial"/>
                <w:sz w:val="20"/>
                <w:szCs w:val="20"/>
              </w:rPr>
              <w:t>27</w:t>
            </w:r>
          </w:p>
        </w:tc>
      </w:tr>
      <w:tr w:rsidR="00FC3EE3" w:rsidRPr="00AE4DBA" w14:paraId="3FA66B1E"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7AA839EA" w14:textId="77777777" w:rsidR="00FC3EE3" w:rsidRPr="00AE4DBA" w:rsidRDefault="00FC3EE3" w:rsidP="00FC3EE3">
            <w:pPr>
              <w:rPr>
                <w:rFonts w:cs="Arial"/>
                <w:sz w:val="20"/>
                <w:szCs w:val="20"/>
              </w:rPr>
            </w:pPr>
            <w:r w:rsidRPr="00AE4DBA">
              <w:rPr>
                <w:rFonts w:cs="Arial"/>
                <w:sz w:val="20"/>
                <w:szCs w:val="20"/>
              </w:rPr>
              <w:t>TWO Biogas - Landfill Gas - GJ (CAT2)</w:t>
            </w:r>
          </w:p>
        </w:tc>
        <w:tc>
          <w:tcPr>
            <w:tcW w:w="2852" w:type="dxa"/>
            <w:tcBorders>
              <w:top w:val="nil"/>
              <w:left w:val="nil"/>
              <w:bottom w:val="single" w:sz="4" w:space="0" w:color="auto"/>
              <w:right w:val="single" w:sz="4" w:space="0" w:color="auto"/>
            </w:tcBorders>
            <w:shd w:val="clear" w:color="auto" w:fill="auto"/>
            <w:noWrap/>
            <w:vAlign w:val="bottom"/>
            <w:hideMark/>
          </w:tcPr>
          <w:p w14:paraId="22C2CE74" w14:textId="77777777" w:rsidR="00FC3EE3" w:rsidRPr="00AE4DBA" w:rsidRDefault="00FC3EE3" w:rsidP="00FC3EE3">
            <w:pPr>
              <w:rPr>
                <w:rFonts w:cs="Arial"/>
                <w:sz w:val="20"/>
                <w:szCs w:val="20"/>
              </w:rPr>
            </w:pPr>
            <w:r w:rsidRPr="00AE4DBA">
              <w:rPr>
                <w:rFonts w:cs="Arial"/>
                <w:sz w:val="20"/>
                <w:szCs w:val="20"/>
              </w:rPr>
              <w:t>GJ</w:t>
            </w:r>
          </w:p>
        </w:tc>
        <w:tc>
          <w:tcPr>
            <w:tcW w:w="2048" w:type="dxa"/>
            <w:tcBorders>
              <w:top w:val="nil"/>
              <w:left w:val="nil"/>
              <w:bottom w:val="single" w:sz="4" w:space="0" w:color="auto"/>
              <w:right w:val="single" w:sz="4" w:space="0" w:color="auto"/>
            </w:tcBorders>
            <w:shd w:val="clear" w:color="auto" w:fill="auto"/>
            <w:noWrap/>
            <w:vAlign w:val="bottom"/>
            <w:hideMark/>
          </w:tcPr>
          <w:p w14:paraId="26770924" w14:textId="37D9771E" w:rsidR="00FC3EE3" w:rsidRPr="00AE4DBA" w:rsidRDefault="00FC3EE3" w:rsidP="00FC3EE3">
            <w:pPr>
              <w:jc w:val="right"/>
              <w:rPr>
                <w:rFonts w:cs="Arial"/>
                <w:sz w:val="20"/>
                <w:szCs w:val="20"/>
              </w:rPr>
            </w:pPr>
            <w:r w:rsidRPr="00AE4DBA">
              <w:rPr>
                <w:rFonts w:cs="Arial"/>
                <w:sz w:val="20"/>
                <w:szCs w:val="20"/>
              </w:rPr>
              <w:t>0</w:t>
            </w:r>
            <w:r w:rsidR="00C43CF4">
              <w:rPr>
                <w:rFonts w:cs="Arial"/>
                <w:sz w:val="20"/>
                <w:szCs w:val="20"/>
              </w:rPr>
              <w:t>.0</w:t>
            </w:r>
            <w:r w:rsidR="009D332E">
              <w:rPr>
                <w:rFonts w:cs="Arial"/>
                <w:sz w:val="20"/>
                <w:szCs w:val="20"/>
              </w:rPr>
              <w:t>0</w:t>
            </w:r>
            <w:r w:rsidR="00C43CF4">
              <w:rPr>
                <w:rFonts w:cs="Arial"/>
                <w:sz w:val="20"/>
                <w:szCs w:val="20"/>
              </w:rPr>
              <w:t>3</w:t>
            </w:r>
          </w:p>
        </w:tc>
      </w:tr>
      <w:tr w:rsidR="00FC3EE3" w:rsidRPr="00AE4DBA" w14:paraId="7F48D727"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6E682AD9" w14:textId="77777777" w:rsidR="00FC3EE3" w:rsidRPr="00AE4DBA" w:rsidRDefault="00FC3EE3" w:rsidP="00FC3EE3">
            <w:pPr>
              <w:rPr>
                <w:rFonts w:cs="Arial"/>
                <w:sz w:val="20"/>
                <w:szCs w:val="20"/>
              </w:rPr>
            </w:pPr>
            <w:r w:rsidRPr="00AE4DBA">
              <w:rPr>
                <w:rFonts w:cs="Arial"/>
                <w:sz w:val="20"/>
                <w:szCs w:val="20"/>
              </w:rPr>
              <w:t>Steel, structural, columns and beams - Kg</w:t>
            </w:r>
          </w:p>
        </w:tc>
        <w:tc>
          <w:tcPr>
            <w:tcW w:w="2852" w:type="dxa"/>
            <w:tcBorders>
              <w:top w:val="nil"/>
              <w:left w:val="nil"/>
              <w:bottom w:val="single" w:sz="4" w:space="0" w:color="auto"/>
              <w:right w:val="single" w:sz="4" w:space="0" w:color="auto"/>
            </w:tcBorders>
            <w:shd w:val="clear" w:color="auto" w:fill="auto"/>
            <w:noWrap/>
            <w:vAlign w:val="bottom"/>
            <w:hideMark/>
          </w:tcPr>
          <w:p w14:paraId="2D40B594" w14:textId="77777777" w:rsidR="00FC3EE3" w:rsidRPr="00AE4DBA" w:rsidRDefault="00FC3EE3" w:rsidP="00FC3EE3">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2682B43A" w14:textId="77777777" w:rsidR="00FC3EE3" w:rsidRPr="00AE4DBA" w:rsidRDefault="00FC3EE3" w:rsidP="00FC3EE3">
            <w:pPr>
              <w:jc w:val="right"/>
              <w:rPr>
                <w:rFonts w:cs="Arial"/>
                <w:sz w:val="20"/>
                <w:szCs w:val="20"/>
              </w:rPr>
            </w:pPr>
            <w:r w:rsidRPr="00AE4DBA">
              <w:rPr>
                <w:rFonts w:cs="Arial"/>
                <w:sz w:val="20"/>
                <w:szCs w:val="20"/>
              </w:rPr>
              <w:t>0</w:t>
            </w:r>
          </w:p>
        </w:tc>
      </w:tr>
      <w:tr w:rsidR="00FC3EE3" w:rsidRPr="00AE4DBA" w14:paraId="45BAD3D7"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2872FB50" w14:textId="77777777" w:rsidR="00FC3EE3" w:rsidRPr="00AE4DBA" w:rsidRDefault="00FC3EE3" w:rsidP="00FC3EE3">
            <w:pPr>
              <w:rPr>
                <w:rFonts w:cs="Arial"/>
                <w:sz w:val="20"/>
                <w:szCs w:val="20"/>
              </w:rPr>
            </w:pPr>
            <w:r w:rsidRPr="00AE4DBA">
              <w:rPr>
                <w:rFonts w:cs="Arial"/>
                <w:sz w:val="20"/>
                <w:szCs w:val="20"/>
              </w:rPr>
              <w:t xml:space="preserve">Average - </w:t>
            </w:r>
            <w:proofErr w:type="spellStart"/>
            <w:r w:rsidRPr="00AE4DBA">
              <w:rPr>
                <w:rFonts w:cs="Arial"/>
                <w:sz w:val="20"/>
                <w:szCs w:val="20"/>
              </w:rPr>
              <w:t>MfE</w:t>
            </w:r>
            <w:proofErr w:type="spellEnd"/>
          </w:p>
        </w:tc>
        <w:tc>
          <w:tcPr>
            <w:tcW w:w="2852" w:type="dxa"/>
            <w:tcBorders>
              <w:top w:val="nil"/>
              <w:left w:val="nil"/>
              <w:bottom w:val="single" w:sz="4" w:space="0" w:color="auto"/>
              <w:right w:val="single" w:sz="4" w:space="0" w:color="auto"/>
            </w:tcBorders>
            <w:shd w:val="clear" w:color="auto" w:fill="auto"/>
            <w:noWrap/>
            <w:vAlign w:val="bottom"/>
            <w:hideMark/>
          </w:tcPr>
          <w:p w14:paraId="5E20078C" w14:textId="77777777" w:rsidR="00FC3EE3" w:rsidRPr="00AE4DBA" w:rsidRDefault="00FC3EE3" w:rsidP="00FC3EE3">
            <w:pPr>
              <w:rPr>
                <w:rFonts w:cs="Arial"/>
                <w:sz w:val="20"/>
                <w:szCs w:val="20"/>
              </w:rPr>
            </w:pPr>
            <w:r w:rsidRPr="00AE4DBA">
              <w:rPr>
                <w:rFonts w:cs="Arial"/>
                <w:sz w:val="20"/>
                <w:szCs w:val="20"/>
              </w:rPr>
              <w:t>Room Per Night</w:t>
            </w:r>
          </w:p>
        </w:tc>
        <w:tc>
          <w:tcPr>
            <w:tcW w:w="2048" w:type="dxa"/>
            <w:tcBorders>
              <w:top w:val="nil"/>
              <w:left w:val="nil"/>
              <w:bottom w:val="single" w:sz="4" w:space="0" w:color="auto"/>
              <w:right w:val="single" w:sz="4" w:space="0" w:color="auto"/>
            </w:tcBorders>
            <w:shd w:val="clear" w:color="auto" w:fill="auto"/>
            <w:noWrap/>
            <w:vAlign w:val="bottom"/>
            <w:hideMark/>
          </w:tcPr>
          <w:p w14:paraId="0DCE7DBF" w14:textId="77777777" w:rsidR="00FC3EE3" w:rsidRPr="00AE4DBA" w:rsidRDefault="00FC3EE3" w:rsidP="00FC3EE3">
            <w:pPr>
              <w:jc w:val="right"/>
              <w:rPr>
                <w:rFonts w:cs="Arial"/>
                <w:sz w:val="20"/>
                <w:szCs w:val="20"/>
              </w:rPr>
            </w:pPr>
            <w:r w:rsidRPr="00AE4DBA">
              <w:rPr>
                <w:rFonts w:cs="Arial"/>
                <w:sz w:val="20"/>
                <w:szCs w:val="20"/>
              </w:rPr>
              <w:t>0</w:t>
            </w:r>
          </w:p>
        </w:tc>
      </w:tr>
      <w:tr w:rsidR="00FC3EE3" w:rsidRPr="00AE4DBA" w14:paraId="1A8ACF34"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2B5DB593" w14:textId="77777777" w:rsidR="00FC3EE3" w:rsidRPr="00AE4DBA" w:rsidRDefault="00FC3EE3" w:rsidP="00FC3EE3">
            <w:pPr>
              <w:rPr>
                <w:rFonts w:cs="Arial"/>
                <w:sz w:val="20"/>
                <w:szCs w:val="20"/>
              </w:rPr>
            </w:pPr>
            <w:r w:rsidRPr="00AE4DBA">
              <w:rPr>
                <w:rFonts w:cs="Arial"/>
                <w:sz w:val="20"/>
                <w:szCs w:val="20"/>
              </w:rPr>
              <w:t>TWO Recycling - placeholder</w:t>
            </w:r>
          </w:p>
        </w:tc>
        <w:tc>
          <w:tcPr>
            <w:tcW w:w="2852" w:type="dxa"/>
            <w:tcBorders>
              <w:top w:val="nil"/>
              <w:left w:val="nil"/>
              <w:bottom w:val="single" w:sz="4" w:space="0" w:color="auto"/>
              <w:right w:val="single" w:sz="4" w:space="0" w:color="auto"/>
            </w:tcBorders>
            <w:shd w:val="clear" w:color="auto" w:fill="auto"/>
            <w:noWrap/>
            <w:vAlign w:val="bottom"/>
            <w:hideMark/>
          </w:tcPr>
          <w:p w14:paraId="450B9368" w14:textId="77777777" w:rsidR="00FC3EE3" w:rsidRPr="00AE4DBA" w:rsidRDefault="00FC3EE3" w:rsidP="00FC3EE3">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6822CFCD" w14:textId="77777777" w:rsidR="00FC3EE3" w:rsidRPr="00AE4DBA" w:rsidRDefault="00FC3EE3" w:rsidP="00FC3EE3">
            <w:pPr>
              <w:jc w:val="right"/>
              <w:rPr>
                <w:rFonts w:cs="Arial"/>
                <w:sz w:val="20"/>
                <w:szCs w:val="20"/>
              </w:rPr>
            </w:pPr>
            <w:r w:rsidRPr="00AE4DBA">
              <w:rPr>
                <w:rFonts w:cs="Arial"/>
                <w:sz w:val="20"/>
                <w:szCs w:val="20"/>
              </w:rPr>
              <w:t>0</w:t>
            </w:r>
          </w:p>
        </w:tc>
      </w:tr>
      <w:tr w:rsidR="00FC3EE3" w:rsidRPr="00AE4DBA" w14:paraId="5DF1A1B7" w14:textId="77777777" w:rsidTr="00B12422">
        <w:trPr>
          <w:trHeight w:val="264"/>
        </w:trPr>
        <w:tc>
          <w:tcPr>
            <w:tcW w:w="8200" w:type="dxa"/>
            <w:tcBorders>
              <w:top w:val="nil"/>
              <w:left w:val="single" w:sz="4" w:space="0" w:color="auto"/>
              <w:bottom w:val="single" w:sz="4" w:space="0" w:color="auto"/>
              <w:right w:val="single" w:sz="4" w:space="0" w:color="auto"/>
            </w:tcBorders>
            <w:shd w:val="clear" w:color="auto" w:fill="auto"/>
            <w:noWrap/>
            <w:vAlign w:val="bottom"/>
            <w:hideMark/>
          </w:tcPr>
          <w:p w14:paraId="5A3BCEA9" w14:textId="77777777" w:rsidR="00FC3EE3" w:rsidRPr="00AE4DBA" w:rsidRDefault="00FC3EE3" w:rsidP="00FC3EE3">
            <w:pPr>
              <w:rPr>
                <w:rFonts w:cs="Arial"/>
                <w:sz w:val="20"/>
                <w:szCs w:val="20"/>
              </w:rPr>
            </w:pPr>
            <w:r w:rsidRPr="00AE4DBA">
              <w:rPr>
                <w:rFonts w:cs="Arial"/>
                <w:sz w:val="20"/>
                <w:szCs w:val="20"/>
              </w:rPr>
              <w:t>TWO Oxygen</w:t>
            </w:r>
          </w:p>
        </w:tc>
        <w:tc>
          <w:tcPr>
            <w:tcW w:w="2852" w:type="dxa"/>
            <w:tcBorders>
              <w:top w:val="nil"/>
              <w:left w:val="nil"/>
              <w:bottom w:val="single" w:sz="4" w:space="0" w:color="auto"/>
              <w:right w:val="single" w:sz="4" w:space="0" w:color="auto"/>
            </w:tcBorders>
            <w:shd w:val="clear" w:color="auto" w:fill="auto"/>
            <w:noWrap/>
            <w:vAlign w:val="center"/>
            <w:hideMark/>
          </w:tcPr>
          <w:p w14:paraId="43742241" w14:textId="77777777" w:rsidR="00FC3EE3" w:rsidRPr="00AE4DBA" w:rsidRDefault="00FC3EE3" w:rsidP="00B12422">
            <w:pPr>
              <w:rPr>
                <w:rFonts w:cs="Arial"/>
                <w:sz w:val="20"/>
                <w:szCs w:val="20"/>
              </w:rPr>
            </w:pPr>
            <w:r w:rsidRPr="00AE4DBA">
              <w:rPr>
                <w:rFonts w:cs="Arial"/>
                <w:sz w:val="20"/>
                <w:szCs w:val="20"/>
              </w:rPr>
              <w:t>Kg</w:t>
            </w:r>
          </w:p>
        </w:tc>
        <w:tc>
          <w:tcPr>
            <w:tcW w:w="2048" w:type="dxa"/>
            <w:tcBorders>
              <w:top w:val="nil"/>
              <w:left w:val="nil"/>
              <w:bottom w:val="single" w:sz="4" w:space="0" w:color="auto"/>
              <w:right w:val="single" w:sz="4" w:space="0" w:color="auto"/>
            </w:tcBorders>
            <w:shd w:val="clear" w:color="auto" w:fill="auto"/>
            <w:noWrap/>
            <w:vAlign w:val="bottom"/>
            <w:hideMark/>
          </w:tcPr>
          <w:p w14:paraId="5952F0ED" w14:textId="37F966D5" w:rsidR="00FC3EE3" w:rsidRPr="00AE4DBA" w:rsidRDefault="00FC3EE3" w:rsidP="00FC3EE3">
            <w:pPr>
              <w:jc w:val="right"/>
              <w:rPr>
                <w:rFonts w:cs="Arial"/>
                <w:sz w:val="20"/>
                <w:szCs w:val="20"/>
              </w:rPr>
            </w:pPr>
            <w:r w:rsidRPr="00AE4DBA">
              <w:rPr>
                <w:rFonts w:cs="Arial"/>
                <w:sz w:val="20"/>
                <w:szCs w:val="20"/>
              </w:rPr>
              <w:t>0</w:t>
            </w:r>
          </w:p>
        </w:tc>
      </w:tr>
      <w:tr w:rsidR="00FC3EE3" w:rsidRPr="00AE4DBA" w14:paraId="0E82D90E" w14:textId="77777777" w:rsidTr="2864371F">
        <w:trPr>
          <w:trHeight w:val="264"/>
        </w:trPr>
        <w:tc>
          <w:tcPr>
            <w:tcW w:w="8200" w:type="dxa"/>
            <w:tcBorders>
              <w:top w:val="nil"/>
              <w:left w:val="single" w:sz="4" w:space="0" w:color="auto"/>
              <w:bottom w:val="single" w:sz="4" w:space="0" w:color="auto"/>
              <w:right w:val="single" w:sz="4" w:space="0" w:color="auto"/>
            </w:tcBorders>
            <w:shd w:val="clear" w:color="auto" w:fill="002060"/>
            <w:noWrap/>
            <w:vAlign w:val="bottom"/>
            <w:hideMark/>
          </w:tcPr>
          <w:p w14:paraId="19D5DFB8" w14:textId="77777777" w:rsidR="00FC3EE3" w:rsidRPr="00AE4DBA" w:rsidRDefault="00FC3EE3" w:rsidP="00FC3EE3">
            <w:pPr>
              <w:rPr>
                <w:rFonts w:cs="Arial"/>
                <w:b/>
                <w:bCs/>
                <w:sz w:val="20"/>
                <w:szCs w:val="20"/>
              </w:rPr>
            </w:pPr>
            <w:r w:rsidRPr="00AE4DBA">
              <w:rPr>
                <w:rFonts w:cs="Arial"/>
                <w:b/>
                <w:bCs/>
                <w:sz w:val="20"/>
                <w:szCs w:val="20"/>
              </w:rPr>
              <w:t>Grand Total</w:t>
            </w:r>
          </w:p>
        </w:tc>
        <w:tc>
          <w:tcPr>
            <w:tcW w:w="2852" w:type="dxa"/>
            <w:tcBorders>
              <w:top w:val="nil"/>
              <w:left w:val="nil"/>
              <w:bottom w:val="single" w:sz="4" w:space="0" w:color="auto"/>
              <w:right w:val="single" w:sz="4" w:space="0" w:color="auto"/>
            </w:tcBorders>
            <w:shd w:val="clear" w:color="auto" w:fill="002060"/>
            <w:noWrap/>
            <w:vAlign w:val="bottom"/>
            <w:hideMark/>
          </w:tcPr>
          <w:p w14:paraId="3CF46172" w14:textId="77777777" w:rsidR="00FC3EE3" w:rsidRPr="00AE4DBA" w:rsidRDefault="00FC3EE3" w:rsidP="00FC3EE3">
            <w:pPr>
              <w:rPr>
                <w:rFonts w:cs="Arial"/>
                <w:sz w:val="20"/>
                <w:szCs w:val="20"/>
              </w:rPr>
            </w:pPr>
            <w:r w:rsidRPr="00AE4DBA">
              <w:rPr>
                <w:rFonts w:cs="Arial"/>
                <w:sz w:val="20"/>
                <w:szCs w:val="20"/>
              </w:rPr>
              <w:t> </w:t>
            </w:r>
          </w:p>
        </w:tc>
        <w:tc>
          <w:tcPr>
            <w:tcW w:w="2048" w:type="dxa"/>
            <w:tcBorders>
              <w:top w:val="nil"/>
              <w:left w:val="nil"/>
              <w:bottom w:val="single" w:sz="4" w:space="0" w:color="auto"/>
              <w:right w:val="single" w:sz="4" w:space="0" w:color="auto"/>
            </w:tcBorders>
            <w:shd w:val="clear" w:color="auto" w:fill="002060"/>
            <w:noWrap/>
            <w:vAlign w:val="bottom"/>
            <w:hideMark/>
          </w:tcPr>
          <w:p w14:paraId="064B36D2" w14:textId="77693C10" w:rsidR="00FC3EE3" w:rsidRPr="00AE4DBA" w:rsidRDefault="00FC3EE3" w:rsidP="00FC3EE3">
            <w:pPr>
              <w:jc w:val="right"/>
              <w:rPr>
                <w:rFonts w:cs="Arial"/>
                <w:b/>
                <w:bCs/>
                <w:sz w:val="20"/>
                <w:szCs w:val="20"/>
              </w:rPr>
            </w:pPr>
            <w:r w:rsidRPr="00AE4DBA">
              <w:rPr>
                <w:rFonts w:cs="Arial"/>
                <w:b/>
                <w:bCs/>
                <w:sz w:val="20"/>
                <w:szCs w:val="20"/>
              </w:rPr>
              <w:t>20</w:t>
            </w:r>
            <w:r w:rsidR="005C58F7">
              <w:rPr>
                <w:rFonts w:cs="Arial"/>
                <w:b/>
                <w:bCs/>
                <w:sz w:val="20"/>
                <w:szCs w:val="20"/>
              </w:rPr>
              <w:t>5</w:t>
            </w:r>
            <w:r w:rsidRPr="00AE4DBA">
              <w:rPr>
                <w:rFonts w:cs="Arial"/>
                <w:b/>
                <w:bCs/>
                <w:sz w:val="20"/>
                <w:szCs w:val="20"/>
              </w:rPr>
              <w:t>,</w:t>
            </w:r>
            <w:r w:rsidR="005C58F7">
              <w:rPr>
                <w:rFonts w:cs="Arial"/>
                <w:b/>
                <w:bCs/>
                <w:sz w:val="20"/>
                <w:szCs w:val="20"/>
              </w:rPr>
              <w:t>275</w:t>
            </w:r>
          </w:p>
        </w:tc>
      </w:tr>
    </w:tbl>
    <w:p w14:paraId="766F768B" w14:textId="588539A2" w:rsidR="000121E5" w:rsidRPr="00AE4DBA" w:rsidRDefault="005E6467">
      <w:pPr>
        <w:spacing w:after="160" w:line="259" w:lineRule="auto"/>
        <w:rPr>
          <w:rFonts w:eastAsia="Malgun Gothic"/>
          <w:b/>
          <w:color w:val="0C818F"/>
          <w:sz w:val="36"/>
          <w:szCs w:val="36"/>
        </w:rPr>
      </w:pPr>
      <w:r w:rsidRPr="00AE4DBA">
        <w:t xml:space="preserve"> </w:t>
      </w:r>
      <w:r w:rsidR="000121E5" w:rsidRPr="00AE4DBA">
        <w:br w:type="page"/>
      </w:r>
    </w:p>
    <w:p w14:paraId="7B7E804D" w14:textId="77777777" w:rsidR="00732D61" w:rsidRPr="00AE4DBA" w:rsidRDefault="00732D61" w:rsidP="00E53E2E">
      <w:pPr>
        <w:pStyle w:val="Subheading1"/>
        <w:sectPr w:rsidR="00732D61" w:rsidRPr="00AE4DBA" w:rsidSect="004718DF">
          <w:pgSz w:w="16838" w:h="11906" w:orient="landscape"/>
          <w:pgMar w:top="1440" w:right="1531" w:bottom="1440" w:left="1077" w:header="851" w:footer="198" w:gutter="0"/>
          <w:cols w:space="708"/>
          <w:docGrid w:linePitch="360"/>
        </w:sectPr>
      </w:pPr>
    </w:p>
    <w:p w14:paraId="6D5C82C9" w14:textId="5C2B0AEC" w:rsidR="00E53E2E" w:rsidRPr="00AE4DBA" w:rsidRDefault="00E53E2E" w:rsidP="00E53E2E">
      <w:pPr>
        <w:pStyle w:val="Subheading1"/>
      </w:pPr>
      <w:bookmarkStart w:id="88" w:name="_Toc176345142"/>
      <w:r w:rsidRPr="00AE4DBA">
        <w:lastRenderedPageBreak/>
        <w:t>Appendix B Emissions per supplier</w:t>
      </w:r>
      <w:bookmarkEnd w:id="88"/>
    </w:p>
    <w:tbl>
      <w:tblPr>
        <w:tblW w:w="8789" w:type="dxa"/>
        <w:tblLook w:val="04A0" w:firstRow="1" w:lastRow="0" w:firstColumn="1" w:lastColumn="0" w:noHBand="0" w:noVBand="1"/>
      </w:tblPr>
      <w:tblGrid>
        <w:gridCol w:w="2410"/>
        <w:gridCol w:w="5270"/>
        <w:gridCol w:w="1109"/>
      </w:tblGrid>
      <w:tr w:rsidR="00E26754" w:rsidRPr="00AE4DBA" w14:paraId="03F6B79E" w14:textId="77777777" w:rsidTr="00B12422">
        <w:trPr>
          <w:trHeight w:val="642"/>
        </w:trPr>
        <w:tc>
          <w:tcPr>
            <w:tcW w:w="2410" w:type="dxa"/>
            <w:tcBorders>
              <w:top w:val="nil"/>
              <w:left w:val="nil"/>
              <w:right w:val="nil"/>
            </w:tcBorders>
            <w:shd w:val="clear" w:color="auto" w:fill="15254C"/>
            <w:hideMark/>
          </w:tcPr>
          <w:p w14:paraId="52612290" w14:textId="4281F023" w:rsidR="00E26754" w:rsidRPr="00AE4DBA" w:rsidRDefault="00E26754" w:rsidP="00E26754">
            <w:pPr>
              <w:rPr>
                <w:rFonts w:cs="Arial"/>
                <w:b/>
                <w:bCs/>
                <w:color w:val="FFFFFF"/>
                <w:szCs w:val="22"/>
              </w:rPr>
            </w:pPr>
            <w:r w:rsidRPr="00AE4DBA">
              <w:t>Emissions source</w:t>
            </w:r>
          </w:p>
        </w:tc>
        <w:tc>
          <w:tcPr>
            <w:tcW w:w="5270" w:type="dxa"/>
            <w:tcBorders>
              <w:top w:val="nil"/>
              <w:left w:val="nil"/>
              <w:bottom w:val="single" w:sz="4" w:space="0" w:color="auto"/>
              <w:right w:val="nil"/>
            </w:tcBorders>
            <w:shd w:val="clear" w:color="auto" w:fill="15254C"/>
            <w:hideMark/>
          </w:tcPr>
          <w:p w14:paraId="7377C095" w14:textId="5699DFD6" w:rsidR="00E26754" w:rsidRPr="00AE4DBA" w:rsidRDefault="00E26754" w:rsidP="00E26754">
            <w:pPr>
              <w:rPr>
                <w:rFonts w:cs="Arial"/>
                <w:b/>
                <w:bCs/>
                <w:color w:val="FFFFFF"/>
                <w:szCs w:val="22"/>
              </w:rPr>
            </w:pPr>
            <w:r w:rsidRPr="00AE4DBA">
              <w:t>Supplier</w:t>
            </w:r>
          </w:p>
        </w:tc>
        <w:tc>
          <w:tcPr>
            <w:tcW w:w="1109" w:type="dxa"/>
            <w:tcBorders>
              <w:top w:val="nil"/>
              <w:left w:val="nil"/>
              <w:bottom w:val="single" w:sz="4" w:space="0" w:color="auto"/>
              <w:right w:val="nil"/>
            </w:tcBorders>
            <w:shd w:val="clear" w:color="auto" w:fill="15254C"/>
            <w:hideMark/>
          </w:tcPr>
          <w:p w14:paraId="5423FEE7" w14:textId="1DAD089B" w:rsidR="00E26754" w:rsidRPr="00AE4DBA" w:rsidRDefault="00E26754" w:rsidP="00E26754">
            <w:pPr>
              <w:jc w:val="center"/>
              <w:rPr>
                <w:rFonts w:cs="Arial"/>
                <w:b/>
                <w:bCs/>
                <w:color w:val="FFFFFF"/>
                <w:szCs w:val="22"/>
              </w:rPr>
            </w:pPr>
            <w:r w:rsidRPr="00AE4DBA">
              <w:t>Total tCO</w:t>
            </w:r>
            <w:r w:rsidRPr="00AE4DBA">
              <w:rPr>
                <w:vertAlign w:val="subscript"/>
              </w:rPr>
              <w:t>2</w:t>
            </w:r>
            <w:r w:rsidRPr="00AE4DBA">
              <w:t>e</w:t>
            </w:r>
          </w:p>
        </w:tc>
      </w:tr>
      <w:tr w:rsidR="007B4196" w:rsidRPr="00AE4DBA" w14:paraId="4CD94BD3" w14:textId="77777777" w:rsidTr="00B12422">
        <w:trPr>
          <w:trHeight w:val="276"/>
        </w:trPr>
        <w:tc>
          <w:tcPr>
            <w:tcW w:w="2410" w:type="dxa"/>
            <w:vMerge w:val="restart"/>
            <w:tcBorders>
              <w:left w:val="nil"/>
            </w:tcBorders>
            <w:shd w:val="clear" w:color="auto" w:fill="30A1AC" w:themeFill="background2"/>
            <w:noWrap/>
            <w:hideMark/>
          </w:tcPr>
          <w:p w14:paraId="2AEED7C1" w14:textId="53BE486F" w:rsidR="007B4196" w:rsidRPr="00AE4DBA" w:rsidRDefault="007B4196" w:rsidP="007B4196">
            <w:pPr>
              <w:rPr>
                <w:rFonts w:cs="Arial"/>
                <w:b/>
                <w:color w:val="FFFFFF" w:themeColor="accent6"/>
                <w:szCs w:val="22"/>
              </w:rPr>
            </w:pPr>
            <w:r w:rsidRPr="00AE4DBA">
              <w:rPr>
                <w:b/>
                <w:color w:val="FFFFFF" w:themeColor="accent6"/>
              </w:rPr>
              <w:t>Fuel</w:t>
            </w:r>
          </w:p>
        </w:tc>
        <w:tc>
          <w:tcPr>
            <w:tcW w:w="5270" w:type="dxa"/>
            <w:tcBorders>
              <w:top w:val="single" w:sz="4" w:space="0" w:color="auto"/>
              <w:left w:val="nil"/>
              <w:bottom w:val="single" w:sz="4" w:space="0" w:color="auto"/>
              <w:right w:val="single" w:sz="4" w:space="0" w:color="auto"/>
            </w:tcBorders>
            <w:shd w:val="clear" w:color="auto" w:fill="auto"/>
            <w:noWrap/>
            <w:hideMark/>
          </w:tcPr>
          <w:p w14:paraId="27D7D929" w14:textId="4CE46135" w:rsidR="007B4196" w:rsidRPr="00AE4DBA" w:rsidRDefault="007B4196" w:rsidP="007B4196">
            <w:pPr>
              <w:rPr>
                <w:rFonts w:cs="Arial"/>
                <w:color w:val="000000"/>
                <w:sz w:val="20"/>
                <w:szCs w:val="20"/>
              </w:rPr>
            </w:pPr>
            <w:r w:rsidRPr="00AE4DBA">
              <w:t>Allied Petroleum</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1EB2CFC4" w14:textId="3182B5AB" w:rsidR="007B4196" w:rsidRPr="00AE4DBA" w:rsidRDefault="007B4196" w:rsidP="00B037A1">
            <w:pPr>
              <w:jc w:val="right"/>
              <w:rPr>
                <w:rFonts w:cs="Arial"/>
                <w:color w:val="000000"/>
                <w:sz w:val="20"/>
                <w:szCs w:val="20"/>
              </w:rPr>
            </w:pPr>
            <w:r w:rsidRPr="00AE4DBA">
              <w:rPr>
                <w:rFonts w:cs="Arial"/>
                <w:sz w:val="20"/>
                <w:szCs w:val="20"/>
              </w:rPr>
              <w:t>31</w:t>
            </w:r>
          </w:p>
        </w:tc>
      </w:tr>
      <w:tr w:rsidR="007B4196" w:rsidRPr="00AE4DBA" w14:paraId="45043003" w14:textId="77777777" w:rsidTr="00B12422">
        <w:trPr>
          <w:trHeight w:val="276"/>
        </w:trPr>
        <w:tc>
          <w:tcPr>
            <w:tcW w:w="2410" w:type="dxa"/>
            <w:vMerge/>
            <w:hideMark/>
          </w:tcPr>
          <w:p w14:paraId="473EAB47" w14:textId="6C7AAA38"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4A3DA386" w14:textId="2E6B933C" w:rsidR="007B4196" w:rsidRPr="00AE4DBA" w:rsidRDefault="007B4196" w:rsidP="007B4196">
            <w:pPr>
              <w:rPr>
                <w:rFonts w:cs="Arial"/>
                <w:color w:val="000000"/>
                <w:sz w:val="20"/>
                <w:szCs w:val="20"/>
              </w:rPr>
            </w:pPr>
            <w:r w:rsidRPr="00AE4DBA">
              <w:t>Birchfield</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39B738A0" w14:textId="17B648CD" w:rsidR="007B4196" w:rsidRPr="00AE4DBA" w:rsidRDefault="007B4196" w:rsidP="00B037A1">
            <w:pPr>
              <w:jc w:val="right"/>
              <w:rPr>
                <w:rFonts w:cs="Arial"/>
                <w:color w:val="000000"/>
                <w:sz w:val="20"/>
                <w:szCs w:val="20"/>
              </w:rPr>
            </w:pPr>
            <w:r w:rsidRPr="00AE4DBA">
              <w:rPr>
                <w:rFonts w:cs="Arial"/>
                <w:sz w:val="20"/>
                <w:szCs w:val="20"/>
              </w:rPr>
              <w:t>5,658</w:t>
            </w:r>
          </w:p>
        </w:tc>
      </w:tr>
      <w:tr w:rsidR="007B4196" w:rsidRPr="00AE4DBA" w14:paraId="2EBA026D" w14:textId="77777777" w:rsidTr="00B12422">
        <w:trPr>
          <w:trHeight w:val="276"/>
        </w:trPr>
        <w:tc>
          <w:tcPr>
            <w:tcW w:w="2410" w:type="dxa"/>
            <w:vMerge/>
            <w:hideMark/>
          </w:tcPr>
          <w:p w14:paraId="4CB2AD6B" w14:textId="6C266B97"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7DB3C2E6" w14:textId="59A8984E" w:rsidR="007B4196" w:rsidRPr="00AE4DBA" w:rsidRDefault="007B4196" w:rsidP="007B4196">
            <w:pPr>
              <w:rPr>
                <w:rFonts w:cs="Arial"/>
                <w:color w:val="000000"/>
                <w:sz w:val="20"/>
                <w:szCs w:val="20"/>
              </w:rPr>
            </w:pPr>
            <w:r w:rsidRPr="00AE4DBA">
              <w:t>BOC</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7448FA5F" w14:textId="57A385FB" w:rsidR="007B4196" w:rsidRPr="00AE4DBA" w:rsidRDefault="007B4196" w:rsidP="00B037A1">
            <w:pPr>
              <w:jc w:val="right"/>
              <w:rPr>
                <w:rFonts w:cs="Arial"/>
                <w:color w:val="000000"/>
                <w:sz w:val="20"/>
                <w:szCs w:val="20"/>
              </w:rPr>
            </w:pPr>
            <w:r w:rsidRPr="00AE4DBA">
              <w:rPr>
                <w:rFonts w:cs="Arial"/>
                <w:sz w:val="20"/>
                <w:szCs w:val="20"/>
              </w:rPr>
              <w:t>20</w:t>
            </w:r>
          </w:p>
        </w:tc>
      </w:tr>
      <w:tr w:rsidR="007B4196" w:rsidRPr="00AE4DBA" w14:paraId="40C84ACA" w14:textId="77777777" w:rsidTr="00B12422">
        <w:trPr>
          <w:trHeight w:val="276"/>
        </w:trPr>
        <w:tc>
          <w:tcPr>
            <w:tcW w:w="2410" w:type="dxa"/>
            <w:vMerge/>
            <w:hideMark/>
          </w:tcPr>
          <w:p w14:paraId="30FBE970" w14:textId="675DFB23"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4B373F5C" w14:textId="72914AE8" w:rsidR="007B4196" w:rsidRPr="00AE4DBA" w:rsidRDefault="007B4196" w:rsidP="007B4196">
            <w:pPr>
              <w:rPr>
                <w:rFonts w:cs="Arial"/>
                <w:color w:val="000000"/>
                <w:sz w:val="20"/>
                <w:szCs w:val="20"/>
              </w:rPr>
            </w:pPr>
            <w:r w:rsidRPr="00AE4DBA">
              <w:t>BP Fuel Cards</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218685D0" w14:textId="3D3424C4" w:rsidR="007B4196" w:rsidRPr="00AE4DBA" w:rsidRDefault="007B4196" w:rsidP="00B037A1">
            <w:pPr>
              <w:jc w:val="right"/>
              <w:rPr>
                <w:rFonts w:cs="Arial"/>
                <w:color w:val="000000"/>
                <w:sz w:val="20"/>
                <w:szCs w:val="20"/>
              </w:rPr>
            </w:pPr>
            <w:r w:rsidRPr="00AE4DBA">
              <w:rPr>
                <w:rFonts w:cs="Arial"/>
                <w:sz w:val="20"/>
                <w:szCs w:val="20"/>
              </w:rPr>
              <w:t>8,283</w:t>
            </w:r>
          </w:p>
        </w:tc>
      </w:tr>
      <w:tr w:rsidR="007B4196" w:rsidRPr="00AE4DBA" w14:paraId="43A3E398" w14:textId="77777777" w:rsidTr="00B12422">
        <w:trPr>
          <w:trHeight w:val="276"/>
        </w:trPr>
        <w:tc>
          <w:tcPr>
            <w:tcW w:w="2410" w:type="dxa"/>
            <w:vMerge/>
            <w:hideMark/>
          </w:tcPr>
          <w:p w14:paraId="5EE9F322" w14:textId="0E389FD3"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502151B1" w14:textId="28AAD397" w:rsidR="007B4196" w:rsidRPr="00AE4DBA" w:rsidRDefault="007B4196" w:rsidP="007B4196">
            <w:pPr>
              <w:rPr>
                <w:rFonts w:cs="Arial"/>
                <w:color w:val="000000"/>
                <w:sz w:val="20"/>
                <w:szCs w:val="20"/>
              </w:rPr>
            </w:pPr>
            <w:r w:rsidRPr="00AE4DBA">
              <w:t>Canterbury District Energy Inputs</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2947D42F" w14:textId="26C6EC04" w:rsidR="007B4196" w:rsidRPr="00AE4DBA" w:rsidRDefault="007B4196" w:rsidP="00B037A1">
            <w:pPr>
              <w:jc w:val="right"/>
              <w:rPr>
                <w:rFonts w:cs="Arial"/>
                <w:color w:val="000000"/>
                <w:sz w:val="20"/>
                <w:szCs w:val="20"/>
              </w:rPr>
            </w:pPr>
            <w:r w:rsidRPr="00AE4DBA">
              <w:rPr>
                <w:rFonts w:cs="Arial"/>
                <w:sz w:val="20"/>
                <w:szCs w:val="20"/>
              </w:rPr>
              <w:t>2,065</w:t>
            </w:r>
          </w:p>
        </w:tc>
      </w:tr>
      <w:tr w:rsidR="007B4196" w:rsidRPr="00AE4DBA" w14:paraId="777FEC00" w14:textId="77777777" w:rsidTr="00B12422">
        <w:trPr>
          <w:trHeight w:val="276"/>
        </w:trPr>
        <w:tc>
          <w:tcPr>
            <w:tcW w:w="2410" w:type="dxa"/>
            <w:vMerge/>
            <w:hideMark/>
          </w:tcPr>
          <w:p w14:paraId="015F13DE" w14:textId="4D4CE259"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3789D05D" w14:textId="676FFCDB" w:rsidR="007B4196" w:rsidRPr="00AE4DBA" w:rsidRDefault="007B4196" w:rsidP="007B4196">
            <w:pPr>
              <w:rPr>
                <w:rFonts w:cs="Arial"/>
                <w:color w:val="000000"/>
                <w:sz w:val="20"/>
                <w:szCs w:val="20"/>
              </w:rPr>
            </w:pPr>
            <w:r w:rsidRPr="00AE4DBA">
              <w:t>District Inputs</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3D0B59C7" w14:textId="4B6A9C1D" w:rsidR="007B4196" w:rsidRPr="00AE4DBA" w:rsidRDefault="007B4196" w:rsidP="00B037A1">
            <w:pPr>
              <w:jc w:val="right"/>
              <w:rPr>
                <w:rFonts w:cs="Arial"/>
                <w:color w:val="000000"/>
                <w:sz w:val="20"/>
                <w:szCs w:val="20"/>
              </w:rPr>
            </w:pPr>
            <w:r w:rsidRPr="00AE4DBA">
              <w:rPr>
                <w:rFonts w:cs="Arial"/>
                <w:sz w:val="20"/>
                <w:szCs w:val="20"/>
              </w:rPr>
              <w:t>2,171</w:t>
            </w:r>
          </w:p>
        </w:tc>
      </w:tr>
      <w:tr w:rsidR="007B4196" w:rsidRPr="00AE4DBA" w14:paraId="485CB6E6" w14:textId="77777777" w:rsidTr="00B12422">
        <w:trPr>
          <w:trHeight w:val="276"/>
        </w:trPr>
        <w:tc>
          <w:tcPr>
            <w:tcW w:w="2410" w:type="dxa"/>
            <w:vMerge/>
            <w:hideMark/>
          </w:tcPr>
          <w:p w14:paraId="018DAB7F" w14:textId="362CAC8B"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32F8E567" w14:textId="4EA63200" w:rsidR="007B4196" w:rsidRPr="00AE4DBA" w:rsidRDefault="007B4196" w:rsidP="007B4196">
            <w:pPr>
              <w:rPr>
                <w:rFonts w:cs="Arial"/>
                <w:color w:val="000000"/>
                <w:sz w:val="20"/>
                <w:szCs w:val="20"/>
              </w:rPr>
            </w:pPr>
            <w:r w:rsidRPr="00AE4DBA">
              <w:t>Genesis</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11857817" w14:textId="4F89C4D2" w:rsidR="007B4196" w:rsidRPr="00AE4DBA" w:rsidRDefault="007B4196" w:rsidP="00B037A1">
            <w:pPr>
              <w:jc w:val="right"/>
              <w:rPr>
                <w:rFonts w:cs="Arial"/>
                <w:color w:val="000000"/>
                <w:sz w:val="20"/>
                <w:szCs w:val="20"/>
              </w:rPr>
            </w:pPr>
            <w:r w:rsidRPr="00AE4DBA">
              <w:rPr>
                <w:rFonts w:cs="Arial"/>
                <w:sz w:val="20"/>
                <w:szCs w:val="20"/>
              </w:rPr>
              <w:t>49,980</w:t>
            </w:r>
          </w:p>
        </w:tc>
      </w:tr>
      <w:tr w:rsidR="007B4196" w:rsidRPr="00AE4DBA" w14:paraId="054AF605" w14:textId="77777777" w:rsidTr="00B12422">
        <w:trPr>
          <w:trHeight w:val="276"/>
        </w:trPr>
        <w:tc>
          <w:tcPr>
            <w:tcW w:w="2410" w:type="dxa"/>
            <w:vMerge/>
            <w:hideMark/>
          </w:tcPr>
          <w:p w14:paraId="27E18204" w14:textId="334370EF"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11459731" w14:textId="4A439083" w:rsidR="007B4196" w:rsidRPr="00AE4DBA" w:rsidRDefault="007B4196" w:rsidP="007B4196">
            <w:pPr>
              <w:rPr>
                <w:rFonts w:cs="Arial"/>
                <w:color w:val="000000"/>
                <w:sz w:val="20"/>
                <w:szCs w:val="20"/>
              </w:rPr>
            </w:pPr>
            <w:r w:rsidRPr="00AE4DBA">
              <w:t>Kiwi Fuel Cards</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35C5EE12" w14:textId="72E0358A" w:rsidR="007B4196" w:rsidRPr="00AE4DBA" w:rsidRDefault="007B4196" w:rsidP="00B037A1">
            <w:pPr>
              <w:jc w:val="right"/>
              <w:rPr>
                <w:rFonts w:cs="Arial"/>
                <w:color w:val="000000"/>
                <w:sz w:val="20"/>
                <w:szCs w:val="20"/>
              </w:rPr>
            </w:pPr>
            <w:r w:rsidRPr="00AE4DBA">
              <w:rPr>
                <w:rFonts w:cs="Arial"/>
                <w:sz w:val="20"/>
                <w:szCs w:val="20"/>
              </w:rPr>
              <w:t>3</w:t>
            </w:r>
          </w:p>
        </w:tc>
      </w:tr>
      <w:tr w:rsidR="007B4196" w:rsidRPr="00AE4DBA" w14:paraId="6F7B7714" w14:textId="77777777" w:rsidTr="00B12422">
        <w:trPr>
          <w:trHeight w:val="276"/>
        </w:trPr>
        <w:tc>
          <w:tcPr>
            <w:tcW w:w="2410" w:type="dxa"/>
            <w:vMerge/>
            <w:hideMark/>
          </w:tcPr>
          <w:p w14:paraId="27CCCA40" w14:textId="637C6ABB"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7677C812" w14:textId="1BA385D7" w:rsidR="007B4196" w:rsidRPr="00AE4DBA" w:rsidRDefault="007B4196" w:rsidP="007B4196">
            <w:pPr>
              <w:rPr>
                <w:rFonts w:cs="Arial"/>
                <w:color w:val="000000"/>
                <w:sz w:val="20"/>
                <w:szCs w:val="20"/>
              </w:rPr>
            </w:pPr>
            <w:r w:rsidRPr="00AE4DBA">
              <w:t>Mobil</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6C435E09" w14:textId="35CB3C3D" w:rsidR="007B4196" w:rsidRPr="00AE4DBA" w:rsidRDefault="007B4196" w:rsidP="00B037A1">
            <w:pPr>
              <w:jc w:val="right"/>
              <w:rPr>
                <w:rFonts w:cs="Arial"/>
                <w:color w:val="000000"/>
                <w:sz w:val="20"/>
                <w:szCs w:val="20"/>
              </w:rPr>
            </w:pPr>
            <w:r w:rsidRPr="00AE4DBA">
              <w:rPr>
                <w:rFonts w:cs="Arial"/>
                <w:sz w:val="20"/>
                <w:szCs w:val="20"/>
              </w:rPr>
              <w:t>123</w:t>
            </w:r>
          </w:p>
        </w:tc>
      </w:tr>
      <w:tr w:rsidR="007B4196" w:rsidRPr="00AE4DBA" w14:paraId="6348701E" w14:textId="77777777" w:rsidTr="00B12422">
        <w:trPr>
          <w:trHeight w:val="276"/>
        </w:trPr>
        <w:tc>
          <w:tcPr>
            <w:tcW w:w="2410" w:type="dxa"/>
            <w:vMerge/>
            <w:hideMark/>
          </w:tcPr>
          <w:p w14:paraId="6E942530" w14:textId="3ED909E6"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44638412" w14:textId="497CB39A" w:rsidR="007B4196" w:rsidRPr="00AE4DBA" w:rsidRDefault="007B4196" w:rsidP="007B4196">
            <w:pPr>
              <w:rPr>
                <w:rFonts w:cs="Arial"/>
                <w:color w:val="000000"/>
                <w:sz w:val="20"/>
                <w:szCs w:val="20"/>
              </w:rPr>
            </w:pPr>
            <w:r w:rsidRPr="00AE4DBA">
              <w:t>NZ Fuel Cards</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38CE7417" w14:textId="3F20F041" w:rsidR="007B4196" w:rsidRPr="00AE4DBA" w:rsidRDefault="007B4196" w:rsidP="00B037A1">
            <w:pPr>
              <w:jc w:val="right"/>
              <w:rPr>
                <w:rFonts w:cs="Arial"/>
                <w:color w:val="000000"/>
                <w:sz w:val="20"/>
                <w:szCs w:val="20"/>
              </w:rPr>
            </w:pPr>
            <w:r w:rsidRPr="00AE4DBA">
              <w:rPr>
                <w:rFonts w:cs="Arial"/>
                <w:sz w:val="20"/>
                <w:szCs w:val="20"/>
              </w:rPr>
              <w:t>41</w:t>
            </w:r>
          </w:p>
        </w:tc>
      </w:tr>
      <w:tr w:rsidR="006463F5" w:rsidRPr="00AE4DBA" w14:paraId="1C3B2E27" w14:textId="77777777" w:rsidTr="00E855A2">
        <w:trPr>
          <w:trHeight w:val="276"/>
        </w:trPr>
        <w:tc>
          <w:tcPr>
            <w:tcW w:w="2410" w:type="dxa"/>
            <w:vMerge/>
            <w:hideMark/>
          </w:tcPr>
          <w:p w14:paraId="6D021FF6" w14:textId="3AE68453"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0591243F" w14:textId="1CCCE06A" w:rsidR="007B4196" w:rsidRPr="00AE4DBA" w:rsidRDefault="007B4196" w:rsidP="007B4196">
            <w:pPr>
              <w:rPr>
                <w:rFonts w:cs="Arial"/>
                <w:color w:val="000000"/>
                <w:sz w:val="20"/>
                <w:szCs w:val="20"/>
              </w:rPr>
            </w:pPr>
            <w:r w:rsidRPr="00AE4DBA">
              <w:t>Other Supplier</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82C60" w14:textId="42258E90" w:rsidR="007B4196" w:rsidRPr="00AE4DBA" w:rsidRDefault="007B4196" w:rsidP="00B037A1">
            <w:pPr>
              <w:jc w:val="right"/>
              <w:rPr>
                <w:rFonts w:cs="Arial"/>
                <w:color w:val="000000"/>
                <w:sz w:val="20"/>
                <w:szCs w:val="20"/>
              </w:rPr>
            </w:pPr>
            <w:r w:rsidRPr="00AE4DBA">
              <w:rPr>
                <w:rFonts w:cs="Arial"/>
                <w:sz w:val="20"/>
                <w:szCs w:val="20"/>
              </w:rPr>
              <w:t>821</w:t>
            </w:r>
          </w:p>
        </w:tc>
      </w:tr>
      <w:tr w:rsidR="006463F5" w:rsidRPr="00AE4DBA" w14:paraId="74489E12" w14:textId="77777777" w:rsidTr="00E855A2">
        <w:trPr>
          <w:trHeight w:val="319"/>
        </w:trPr>
        <w:tc>
          <w:tcPr>
            <w:tcW w:w="2410" w:type="dxa"/>
            <w:vMerge/>
            <w:hideMark/>
          </w:tcPr>
          <w:p w14:paraId="25664864" w14:textId="378B75F6"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5FF3DCF9" w14:textId="3B1CB031" w:rsidR="007B4196" w:rsidRPr="00AE4DBA" w:rsidRDefault="007B4196" w:rsidP="007B4196">
            <w:pPr>
              <w:rPr>
                <w:rFonts w:cs="Arial"/>
                <w:color w:val="000000"/>
                <w:sz w:val="20"/>
                <w:szCs w:val="20"/>
              </w:rPr>
            </w:pPr>
            <w:r w:rsidRPr="00AE4DBA">
              <w:t>Subsidiary Inputs</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12296" w14:textId="2BF0B839" w:rsidR="007B4196" w:rsidRPr="00AE4DBA" w:rsidRDefault="007B4196" w:rsidP="00B037A1">
            <w:pPr>
              <w:jc w:val="right"/>
              <w:rPr>
                <w:rFonts w:cs="Arial"/>
                <w:color w:val="000000"/>
                <w:sz w:val="20"/>
                <w:szCs w:val="20"/>
              </w:rPr>
            </w:pPr>
            <w:r w:rsidRPr="00AE4DBA">
              <w:rPr>
                <w:rFonts w:cs="Arial"/>
                <w:sz w:val="20"/>
                <w:szCs w:val="20"/>
              </w:rPr>
              <w:t>22</w:t>
            </w:r>
          </w:p>
        </w:tc>
      </w:tr>
      <w:tr w:rsidR="006463F5" w:rsidRPr="00AE4DBA" w14:paraId="0ADEAFEA" w14:textId="77777777" w:rsidTr="00E855A2">
        <w:trPr>
          <w:trHeight w:val="276"/>
        </w:trPr>
        <w:tc>
          <w:tcPr>
            <w:tcW w:w="2410" w:type="dxa"/>
            <w:vMerge w:val="restart"/>
            <w:tcBorders>
              <w:top w:val="single" w:sz="4" w:space="0" w:color="auto"/>
            </w:tcBorders>
            <w:shd w:val="clear" w:color="auto" w:fill="30A1AC" w:themeFill="background2"/>
            <w:hideMark/>
          </w:tcPr>
          <w:p w14:paraId="20E5009E" w14:textId="3939A609" w:rsidR="007B4196" w:rsidRPr="00AE4DBA" w:rsidRDefault="007B4196" w:rsidP="007B4196">
            <w:pPr>
              <w:rPr>
                <w:rFonts w:cs="Arial"/>
                <w:b/>
                <w:color w:val="FFFFFF" w:themeColor="accent6"/>
                <w:szCs w:val="22"/>
              </w:rPr>
            </w:pPr>
            <w:r w:rsidRPr="00AE4DBA">
              <w:rPr>
                <w:b/>
                <w:color w:val="FFFFFF" w:themeColor="accent6"/>
              </w:rPr>
              <w:t>Medical Gases, Refrigerant &amp; Other</w:t>
            </w:r>
          </w:p>
        </w:tc>
        <w:tc>
          <w:tcPr>
            <w:tcW w:w="5270" w:type="dxa"/>
            <w:tcBorders>
              <w:top w:val="single" w:sz="4" w:space="0" w:color="auto"/>
              <w:left w:val="nil"/>
              <w:bottom w:val="single" w:sz="4" w:space="0" w:color="auto"/>
              <w:right w:val="single" w:sz="4" w:space="0" w:color="auto"/>
            </w:tcBorders>
            <w:shd w:val="clear" w:color="auto" w:fill="auto"/>
            <w:noWrap/>
            <w:hideMark/>
          </w:tcPr>
          <w:p w14:paraId="0C556C6B" w14:textId="68F57846" w:rsidR="007B4196" w:rsidRPr="00AE4DBA" w:rsidRDefault="007B4196" w:rsidP="007B4196">
            <w:pPr>
              <w:rPr>
                <w:rFonts w:cs="Arial"/>
                <w:color w:val="000000"/>
                <w:sz w:val="20"/>
                <w:szCs w:val="20"/>
              </w:rPr>
            </w:pPr>
            <w:r w:rsidRPr="00AE4DBA">
              <w:t>Air Liquide</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442CEF21" w14:textId="463A59F7" w:rsidR="007B4196" w:rsidRPr="00AE4DBA" w:rsidRDefault="007B4196" w:rsidP="00B037A1">
            <w:pPr>
              <w:jc w:val="right"/>
              <w:rPr>
                <w:rFonts w:cs="Arial"/>
                <w:color w:val="000000"/>
                <w:sz w:val="20"/>
                <w:szCs w:val="20"/>
              </w:rPr>
            </w:pPr>
            <w:r w:rsidRPr="00AE4DBA">
              <w:rPr>
                <w:rFonts w:cs="Arial"/>
                <w:sz w:val="20"/>
                <w:szCs w:val="20"/>
              </w:rPr>
              <w:t>2,591</w:t>
            </w:r>
          </w:p>
        </w:tc>
      </w:tr>
      <w:tr w:rsidR="007B4196" w:rsidRPr="00AE4DBA" w14:paraId="1DBB15E9" w14:textId="77777777" w:rsidTr="00B12422">
        <w:trPr>
          <w:trHeight w:val="276"/>
        </w:trPr>
        <w:tc>
          <w:tcPr>
            <w:tcW w:w="2410" w:type="dxa"/>
            <w:vMerge/>
            <w:hideMark/>
          </w:tcPr>
          <w:p w14:paraId="1C0F5F34" w14:textId="30F068E2"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14C41467" w14:textId="6B3EF955" w:rsidR="007B4196" w:rsidRPr="00AE4DBA" w:rsidRDefault="007B4196" w:rsidP="007B4196">
            <w:pPr>
              <w:rPr>
                <w:rFonts w:cs="Arial"/>
                <w:color w:val="000000"/>
                <w:sz w:val="20"/>
                <w:szCs w:val="20"/>
              </w:rPr>
            </w:pPr>
            <w:r w:rsidRPr="00AE4DBA">
              <w:t>Baxter</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414F63F9" w14:textId="0150BFB1" w:rsidR="007B4196" w:rsidRPr="00AE4DBA" w:rsidRDefault="007B4196" w:rsidP="00B037A1">
            <w:pPr>
              <w:jc w:val="right"/>
              <w:rPr>
                <w:rFonts w:cs="Arial"/>
                <w:color w:val="000000"/>
                <w:sz w:val="20"/>
                <w:szCs w:val="20"/>
              </w:rPr>
            </w:pPr>
            <w:r w:rsidRPr="00AE4DBA">
              <w:rPr>
                <w:rFonts w:cs="Arial"/>
                <w:sz w:val="20"/>
                <w:szCs w:val="20"/>
              </w:rPr>
              <w:t>534</w:t>
            </w:r>
          </w:p>
        </w:tc>
      </w:tr>
      <w:tr w:rsidR="007B4196" w:rsidRPr="00AE4DBA" w14:paraId="308031A9" w14:textId="77777777" w:rsidTr="00B12422">
        <w:trPr>
          <w:trHeight w:val="276"/>
        </w:trPr>
        <w:tc>
          <w:tcPr>
            <w:tcW w:w="2410" w:type="dxa"/>
            <w:vMerge/>
            <w:hideMark/>
          </w:tcPr>
          <w:p w14:paraId="2D4445F1" w14:textId="4A8233E6"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2F3BEE2B" w14:textId="2DFFAEB1" w:rsidR="007B4196" w:rsidRPr="00AE4DBA" w:rsidRDefault="007B4196" w:rsidP="007B4196">
            <w:pPr>
              <w:rPr>
                <w:rFonts w:cs="Arial"/>
                <w:color w:val="000000"/>
                <w:sz w:val="20"/>
                <w:szCs w:val="20"/>
              </w:rPr>
            </w:pPr>
            <w:r w:rsidRPr="00AE4DBA">
              <w:t>BOC</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292CA344" w14:textId="6E2D13C9" w:rsidR="007B4196" w:rsidRPr="00AE4DBA" w:rsidRDefault="007B4196" w:rsidP="00B037A1">
            <w:pPr>
              <w:jc w:val="right"/>
              <w:rPr>
                <w:rFonts w:cs="Arial"/>
                <w:color w:val="000000"/>
                <w:sz w:val="20"/>
                <w:szCs w:val="20"/>
              </w:rPr>
            </w:pPr>
            <w:r w:rsidRPr="00AE4DBA">
              <w:rPr>
                <w:rFonts w:cs="Arial"/>
                <w:sz w:val="20"/>
                <w:szCs w:val="20"/>
              </w:rPr>
              <w:t>10,546</w:t>
            </w:r>
          </w:p>
        </w:tc>
      </w:tr>
      <w:tr w:rsidR="006463F5" w:rsidRPr="00AE4DBA" w14:paraId="551663F3" w14:textId="77777777" w:rsidTr="00E855A2">
        <w:trPr>
          <w:trHeight w:val="276"/>
        </w:trPr>
        <w:tc>
          <w:tcPr>
            <w:tcW w:w="2410" w:type="dxa"/>
            <w:vMerge w:val="restart"/>
            <w:tcBorders>
              <w:top w:val="single" w:sz="4" w:space="0" w:color="auto"/>
            </w:tcBorders>
            <w:shd w:val="clear" w:color="auto" w:fill="30A1AC" w:themeFill="background2"/>
            <w:hideMark/>
          </w:tcPr>
          <w:p w14:paraId="40FDDE96" w14:textId="1D9C0A4C" w:rsidR="007B4196" w:rsidRPr="00AE4DBA" w:rsidRDefault="007B4196" w:rsidP="007B4196">
            <w:pPr>
              <w:rPr>
                <w:rFonts w:cs="Arial"/>
                <w:b/>
                <w:color w:val="FFFFFF" w:themeColor="accent6"/>
                <w:szCs w:val="22"/>
              </w:rPr>
            </w:pPr>
            <w:r w:rsidRPr="00AE4DBA">
              <w:rPr>
                <w:b/>
                <w:color w:val="FFFFFF" w:themeColor="accent6"/>
              </w:rPr>
              <w:t>Purchased Energy</w:t>
            </w:r>
          </w:p>
        </w:tc>
        <w:tc>
          <w:tcPr>
            <w:tcW w:w="5270" w:type="dxa"/>
            <w:tcBorders>
              <w:top w:val="single" w:sz="4" w:space="0" w:color="auto"/>
              <w:left w:val="nil"/>
              <w:bottom w:val="single" w:sz="4" w:space="0" w:color="auto"/>
              <w:right w:val="single" w:sz="4" w:space="0" w:color="auto"/>
            </w:tcBorders>
            <w:shd w:val="clear" w:color="auto" w:fill="auto"/>
            <w:noWrap/>
            <w:hideMark/>
          </w:tcPr>
          <w:p w14:paraId="6650F130" w14:textId="6F9ECCF9" w:rsidR="007B4196" w:rsidRPr="00AE4DBA" w:rsidRDefault="007B4196" w:rsidP="007B4196">
            <w:pPr>
              <w:rPr>
                <w:rFonts w:cs="Arial"/>
                <w:color w:val="000000"/>
                <w:sz w:val="20"/>
                <w:szCs w:val="20"/>
              </w:rPr>
            </w:pPr>
            <w:r w:rsidRPr="00AE4DBA">
              <w:t>Canterbury District Energy Inputs</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4A41B054" w14:textId="12E44989" w:rsidR="007B4196" w:rsidRPr="00AE4DBA" w:rsidRDefault="007B4196" w:rsidP="00B037A1">
            <w:pPr>
              <w:jc w:val="right"/>
              <w:rPr>
                <w:rFonts w:cs="Arial"/>
                <w:color w:val="000000"/>
                <w:sz w:val="20"/>
                <w:szCs w:val="20"/>
              </w:rPr>
            </w:pPr>
            <w:r w:rsidRPr="00AE4DBA">
              <w:rPr>
                <w:rFonts w:cs="Arial"/>
                <w:sz w:val="20"/>
                <w:szCs w:val="20"/>
              </w:rPr>
              <w:t>-170</w:t>
            </w:r>
          </w:p>
        </w:tc>
      </w:tr>
      <w:tr w:rsidR="007B4196" w:rsidRPr="00AE4DBA" w14:paraId="1765F7B5" w14:textId="77777777" w:rsidTr="00B12422">
        <w:trPr>
          <w:trHeight w:val="276"/>
        </w:trPr>
        <w:tc>
          <w:tcPr>
            <w:tcW w:w="2410" w:type="dxa"/>
            <w:vMerge/>
            <w:hideMark/>
          </w:tcPr>
          <w:p w14:paraId="57054E86" w14:textId="5E7E27C4"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01A23E14" w14:textId="2A1D5265" w:rsidR="007B4196" w:rsidRPr="00AE4DBA" w:rsidRDefault="007B4196" w:rsidP="007B4196">
            <w:pPr>
              <w:rPr>
                <w:rFonts w:cs="Arial"/>
                <w:color w:val="000000"/>
                <w:sz w:val="20"/>
                <w:szCs w:val="20"/>
              </w:rPr>
            </w:pPr>
            <w:r w:rsidRPr="00AE4DBA">
              <w:t>Contact (Simply Energy)</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48343F1C" w14:textId="3B605ECF" w:rsidR="007B4196" w:rsidRPr="00AE4DBA" w:rsidRDefault="007B4196" w:rsidP="00B037A1">
            <w:pPr>
              <w:jc w:val="right"/>
              <w:rPr>
                <w:rFonts w:cs="Arial"/>
                <w:color w:val="000000"/>
                <w:sz w:val="20"/>
                <w:szCs w:val="20"/>
              </w:rPr>
            </w:pPr>
            <w:r w:rsidRPr="00AE4DBA">
              <w:rPr>
                <w:rFonts w:cs="Arial"/>
                <w:sz w:val="20"/>
                <w:szCs w:val="20"/>
              </w:rPr>
              <w:t>23,456</w:t>
            </w:r>
          </w:p>
        </w:tc>
      </w:tr>
      <w:tr w:rsidR="007B4196" w:rsidRPr="00AE4DBA" w14:paraId="61142AF9" w14:textId="77777777" w:rsidTr="00B12422">
        <w:trPr>
          <w:trHeight w:val="276"/>
        </w:trPr>
        <w:tc>
          <w:tcPr>
            <w:tcW w:w="2410" w:type="dxa"/>
            <w:vMerge/>
            <w:hideMark/>
          </w:tcPr>
          <w:p w14:paraId="3DDC9439" w14:textId="4262A97E"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522F34C2" w14:textId="36309529" w:rsidR="007B4196" w:rsidRPr="00AE4DBA" w:rsidRDefault="007B4196" w:rsidP="007B4196">
            <w:pPr>
              <w:rPr>
                <w:rFonts w:cs="Arial"/>
                <w:color w:val="000000"/>
                <w:sz w:val="20"/>
                <w:szCs w:val="20"/>
              </w:rPr>
            </w:pPr>
            <w:r w:rsidRPr="00AE4DBA">
              <w:t>Genesis</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7807DF73" w14:textId="626D4AB6" w:rsidR="007B4196" w:rsidRPr="00AE4DBA" w:rsidRDefault="007B4196" w:rsidP="00B037A1">
            <w:pPr>
              <w:jc w:val="right"/>
              <w:rPr>
                <w:rFonts w:cs="Arial"/>
                <w:color w:val="000000"/>
                <w:sz w:val="20"/>
                <w:szCs w:val="20"/>
              </w:rPr>
            </w:pPr>
            <w:r w:rsidRPr="00AE4DBA">
              <w:rPr>
                <w:rFonts w:cs="Arial"/>
                <w:sz w:val="20"/>
                <w:szCs w:val="20"/>
              </w:rPr>
              <w:t>2,943</w:t>
            </w:r>
          </w:p>
        </w:tc>
      </w:tr>
      <w:tr w:rsidR="007B4196" w:rsidRPr="00AE4DBA" w14:paraId="02521719" w14:textId="77777777" w:rsidTr="00B12422">
        <w:trPr>
          <w:trHeight w:val="276"/>
        </w:trPr>
        <w:tc>
          <w:tcPr>
            <w:tcW w:w="2410" w:type="dxa"/>
            <w:vMerge/>
            <w:hideMark/>
          </w:tcPr>
          <w:p w14:paraId="5DC17762" w14:textId="191204B3"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620DDE24" w14:textId="4F0E71CF" w:rsidR="007B4196" w:rsidRPr="00AE4DBA" w:rsidRDefault="007B4196" w:rsidP="007B4196">
            <w:pPr>
              <w:rPr>
                <w:rFonts w:cs="Arial"/>
                <w:color w:val="000000"/>
                <w:sz w:val="20"/>
                <w:szCs w:val="20"/>
              </w:rPr>
            </w:pPr>
            <w:r w:rsidRPr="00AE4DBA">
              <w:t>Pioneer Energy</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490FE85D" w14:textId="1AA7A77D" w:rsidR="007B4196" w:rsidRPr="00AE4DBA" w:rsidRDefault="007B4196" w:rsidP="00B037A1">
            <w:pPr>
              <w:jc w:val="right"/>
              <w:rPr>
                <w:rFonts w:cs="Arial"/>
                <w:color w:val="000000"/>
                <w:sz w:val="20"/>
                <w:szCs w:val="20"/>
              </w:rPr>
            </w:pPr>
            <w:r w:rsidRPr="00AE4DBA">
              <w:rPr>
                <w:rFonts w:cs="Arial"/>
                <w:sz w:val="20"/>
                <w:szCs w:val="20"/>
              </w:rPr>
              <w:t>589</w:t>
            </w:r>
          </w:p>
        </w:tc>
      </w:tr>
      <w:tr w:rsidR="007B4196" w:rsidRPr="00AE4DBA" w14:paraId="75BBF48E" w14:textId="77777777" w:rsidTr="00B12422">
        <w:trPr>
          <w:trHeight w:val="276"/>
        </w:trPr>
        <w:tc>
          <w:tcPr>
            <w:tcW w:w="2410" w:type="dxa"/>
            <w:vMerge/>
            <w:hideMark/>
          </w:tcPr>
          <w:p w14:paraId="224CCF5C" w14:textId="5CA07833"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77BBB584" w14:textId="3AEA56E0" w:rsidR="007B4196" w:rsidRPr="00AE4DBA" w:rsidRDefault="007B4196" w:rsidP="007B4196">
            <w:pPr>
              <w:rPr>
                <w:rFonts w:cs="Arial"/>
                <w:color w:val="000000"/>
                <w:sz w:val="20"/>
                <w:szCs w:val="20"/>
              </w:rPr>
            </w:pPr>
            <w:r w:rsidRPr="00AE4DBA">
              <w:t>Smart Power</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772F8987" w14:textId="6FAF4A8B" w:rsidR="007B4196" w:rsidRPr="00AE4DBA" w:rsidRDefault="007B4196" w:rsidP="00B037A1">
            <w:pPr>
              <w:jc w:val="right"/>
              <w:rPr>
                <w:rFonts w:cs="Arial"/>
                <w:color w:val="000000"/>
                <w:sz w:val="20"/>
                <w:szCs w:val="20"/>
              </w:rPr>
            </w:pPr>
            <w:r w:rsidRPr="00AE4DBA">
              <w:rPr>
                <w:rFonts w:cs="Arial"/>
                <w:sz w:val="20"/>
                <w:szCs w:val="20"/>
              </w:rPr>
              <w:t>71</w:t>
            </w:r>
          </w:p>
        </w:tc>
      </w:tr>
      <w:tr w:rsidR="007B4196" w:rsidRPr="00AE4DBA" w14:paraId="59D957A9" w14:textId="77777777" w:rsidTr="00B12422">
        <w:trPr>
          <w:trHeight w:val="276"/>
        </w:trPr>
        <w:tc>
          <w:tcPr>
            <w:tcW w:w="2410" w:type="dxa"/>
            <w:vMerge/>
            <w:hideMark/>
          </w:tcPr>
          <w:p w14:paraId="46A1D6CF" w14:textId="5467C662"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49BA9A57" w14:textId="2AF40F7F" w:rsidR="007B4196" w:rsidRPr="00AE4DBA" w:rsidRDefault="007B4196" w:rsidP="007B4196">
            <w:pPr>
              <w:rPr>
                <w:rFonts w:cs="Arial"/>
                <w:color w:val="000000"/>
                <w:sz w:val="20"/>
                <w:szCs w:val="20"/>
              </w:rPr>
            </w:pPr>
            <w:r w:rsidRPr="00AE4DBA">
              <w:t>Meridian</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16BFDEF7" w14:textId="4BB40835" w:rsidR="007B4196" w:rsidRPr="00AE4DBA" w:rsidRDefault="007B4196" w:rsidP="00B037A1">
            <w:pPr>
              <w:jc w:val="right"/>
              <w:rPr>
                <w:rFonts w:cs="Arial"/>
                <w:color w:val="000000"/>
                <w:sz w:val="20"/>
                <w:szCs w:val="20"/>
              </w:rPr>
            </w:pPr>
            <w:r w:rsidRPr="00AE4DBA">
              <w:rPr>
                <w:rFonts w:cs="Arial"/>
                <w:sz w:val="20"/>
                <w:szCs w:val="20"/>
              </w:rPr>
              <w:t>1,462</w:t>
            </w:r>
          </w:p>
        </w:tc>
      </w:tr>
      <w:tr w:rsidR="006463F5" w:rsidRPr="00AE4DBA" w14:paraId="3DEB8FAA" w14:textId="77777777" w:rsidTr="00E855A2">
        <w:trPr>
          <w:trHeight w:val="276"/>
        </w:trPr>
        <w:tc>
          <w:tcPr>
            <w:tcW w:w="2410" w:type="dxa"/>
            <w:vMerge/>
            <w:hideMark/>
          </w:tcPr>
          <w:p w14:paraId="0204D580" w14:textId="1D16014D"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0E7F4095" w14:textId="61C70AE2" w:rsidR="007B4196" w:rsidRPr="00AE4DBA" w:rsidRDefault="007B4196" w:rsidP="007B4196">
            <w:pPr>
              <w:rPr>
                <w:rFonts w:cs="Arial"/>
                <w:color w:val="000000"/>
                <w:sz w:val="20"/>
                <w:szCs w:val="20"/>
              </w:rPr>
            </w:pPr>
            <w:r w:rsidRPr="00AE4DBA">
              <w:t>Subsidiary Inputs</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D46A2" w14:textId="674DBEEF" w:rsidR="007B4196" w:rsidRPr="00AE4DBA" w:rsidRDefault="007B4196" w:rsidP="00B037A1">
            <w:pPr>
              <w:jc w:val="right"/>
              <w:rPr>
                <w:rFonts w:cs="Arial"/>
                <w:color w:val="000000"/>
                <w:sz w:val="20"/>
                <w:szCs w:val="20"/>
              </w:rPr>
            </w:pPr>
            <w:r w:rsidRPr="00AE4DBA">
              <w:rPr>
                <w:sz w:val="20"/>
                <w:szCs w:val="20"/>
              </w:rPr>
              <w:t>601</w:t>
            </w:r>
          </w:p>
        </w:tc>
      </w:tr>
      <w:tr w:rsidR="006463F5" w:rsidRPr="00AE4DBA" w14:paraId="10D7F400" w14:textId="77777777" w:rsidTr="00E855A2">
        <w:trPr>
          <w:trHeight w:val="276"/>
        </w:trPr>
        <w:tc>
          <w:tcPr>
            <w:tcW w:w="2410" w:type="dxa"/>
            <w:vMerge w:val="restart"/>
            <w:tcBorders>
              <w:top w:val="single" w:sz="4" w:space="0" w:color="auto"/>
              <w:left w:val="nil"/>
            </w:tcBorders>
            <w:shd w:val="clear" w:color="auto" w:fill="30A1AC" w:themeFill="background2"/>
            <w:hideMark/>
          </w:tcPr>
          <w:p w14:paraId="10F34C4B" w14:textId="6EDD43CB" w:rsidR="007B4196" w:rsidRPr="00AE4DBA" w:rsidRDefault="007B4196" w:rsidP="007B4196">
            <w:pPr>
              <w:rPr>
                <w:rFonts w:cs="Arial"/>
                <w:b/>
                <w:color w:val="FFFFFF" w:themeColor="accent6"/>
                <w:szCs w:val="22"/>
              </w:rPr>
            </w:pPr>
            <w:r w:rsidRPr="00AE4DBA">
              <w:rPr>
                <w:b/>
                <w:color w:val="FFFFFF" w:themeColor="accent6"/>
              </w:rPr>
              <w:t>Travel Vehicle</w:t>
            </w:r>
          </w:p>
        </w:tc>
        <w:tc>
          <w:tcPr>
            <w:tcW w:w="5270" w:type="dxa"/>
            <w:tcBorders>
              <w:top w:val="single" w:sz="4" w:space="0" w:color="auto"/>
              <w:left w:val="nil"/>
              <w:bottom w:val="single" w:sz="4" w:space="0" w:color="auto"/>
              <w:right w:val="single" w:sz="4" w:space="0" w:color="auto"/>
            </w:tcBorders>
            <w:shd w:val="clear" w:color="auto" w:fill="auto"/>
            <w:noWrap/>
            <w:hideMark/>
          </w:tcPr>
          <w:p w14:paraId="60C2A36C" w14:textId="4E3ABF56" w:rsidR="007B4196" w:rsidRPr="00AE4DBA" w:rsidRDefault="007B4196" w:rsidP="007B4196">
            <w:pPr>
              <w:rPr>
                <w:rFonts w:cs="Arial"/>
                <w:color w:val="000000"/>
                <w:sz w:val="20"/>
                <w:szCs w:val="20"/>
              </w:rPr>
            </w:pPr>
            <w:r w:rsidRPr="00AE4DBA">
              <w:t>Free Wellington Ambulance</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26045FB2" w14:textId="3E94BF92" w:rsidR="007B4196" w:rsidRPr="00AE4DBA" w:rsidRDefault="007B4196" w:rsidP="00B037A1">
            <w:pPr>
              <w:jc w:val="right"/>
              <w:rPr>
                <w:rFonts w:cs="Arial"/>
                <w:color w:val="000000"/>
                <w:sz w:val="20"/>
                <w:szCs w:val="20"/>
              </w:rPr>
            </w:pPr>
            <w:r w:rsidRPr="00AE4DBA">
              <w:rPr>
                <w:rFonts w:cs="Arial"/>
                <w:sz w:val="20"/>
                <w:szCs w:val="20"/>
              </w:rPr>
              <w:t>1,014</w:t>
            </w:r>
          </w:p>
        </w:tc>
      </w:tr>
      <w:tr w:rsidR="007B4196" w:rsidRPr="00AE4DBA" w14:paraId="66D5851C" w14:textId="77777777" w:rsidTr="00B12422">
        <w:trPr>
          <w:trHeight w:val="276"/>
        </w:trPr>
        <w:tc>
          <w:tcPr>
            <w:tcW w:w="2410" w:type="dxa"/>
            <w:vMerge/>
            <w:hideMark/>
          </w:tcPr>
          <w:p w14:paraId="47B870A7" w14:textId="5730F9B8"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09C6898B" w14:textId="5E68B9C3" w:rsidR="007B4196" w:rsidRPr="00AE4DBA" w:rsidRDefault="007B4196" w:rsidP="007B4196">
            <w:pPr>
              <w:rPr>
                <w:rFonts w:cs="Arial"/>
                <w:color w:val="000000"/>
                <w:sz w:val="20"/>
                <w:szCs w:val="20"/>
              </w:rPr>
            </w:pPr>
            <w:r w:rsidRPr="00AE4DBA">
              <w:t>National Travel Assistance Programme (NTA)</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209748EE" w14:textId="142F2729" w:rsidR="007B4196" w:rsidRPr="00AE4DBA" w:rsidRDefault="007B4196" w:rsidP="00B037A1">
            <w:pPr>
              <w:jc w:val="right"/>
              <w:rPr>
                <w:rFonts w:cs="Arial"/>
                <w:color w:val="000000"/>
                <w:sz w:val="20"/>
                <w:szCs w:val="20"/>
              </w:rPr>
            </w:pPr>
            <w:r w:rsidRPr="00AE4DBA">
              <w:rPr>
                <w:rFonts w:cs="Arial"/>
                <w:sz w:val="20"/>
                <w:szCs w:val="20"/>
              </w:rPr>
              <w:t>8,070</w:t>
            </w:r>
          </w:p>
        </w:tc>
      </w:tr>
      <w:tr w:rsidR="007B4196" w:rsidRPr="00AE4DBA" w14:paraId="6AA0F693" w14:textId="77777777" w:rsidTr="00B12422">
        <w:trPr>
          <w:trHeight w:val="276"/>
        </w:trPr>
        <w:tc>
          <w:tcPr>
            <w:tcW w:w="2410" w:type="dxa"/>
            <w:vMerge/>
            <w:hideMark/>
          </w:tcPr>
          <w:p w14:paraId="28607B49" w14:textId="390030E6"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hideMark/>
          </w:tcPr>
          <w:p w14:paraId="18665984" w14:textId="32EE53A3" w:rsidR="007B4196" w:rsidRPr="00AE4DBA" w:rsidRDefault="007B4196" w:rsidP="007B4196">
            <w:pPr>
              <w:rPr>
                <w:rFonts w:cs="Arial"/>
                <w:color w:val="000000"/>
                <w:sz w:val="20"/>
                <w:szCs w:val="20"/>
              </w:rPr>
            </w:pPr>
            <w:r w:rsidRPr="00AE4DBA">
              <w:t>Pro Med</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2984E70F" w14:textId="0288BA83" w:rsidR="007B4196" w:rsidRPr="00AE4DBA" w:rsidRDefault="007B4196" w:rsidP="00B037A1">
            <w:pPr>
              <w:jc w:val="right"/>
              <w:rPr>
                <w:rFonts w:cs="Arial"/>
                <w:color w:val="000000"/>
                <w:sz w:val="20"/>
                <w:szCs w:val="20"/>
              </w:rPr>
            </w:pPr>
            <w:r w:rsidRPr="00AE4DBA">
              <w:rPr>
                <w:rFonts w:cs="Arial"/>
                <w:sz w:val="20"/>
                <w:szCs w:val="20"/>
              </w:rPr>
              <w:t>12</w:t>
            </w:r>
          </w:p>
        </w:tc>
      </w:tr>
      <w:tr w:rsidR="006463F5" w:rsidRPr="00AE4DBA" w14:paraId="68F6844D" w14:textId="77777777" w:rsidTr="00E855A2">
        <w:trPr>
          <w:trHeight w:val="276"/>
        </w:trPr>
        <w:tc>
          <w:tcPr>
            <w:tcW w:w="2410" w:type="dxa"/>
            <w:vMerge/>
          </w:tcPr>
          <w:p w14:paraId="4B233B5C" w14:textId="77777777" w:rsidR="007B4196" w:rsidRPr="00AE4DBA" w:rsidRDefault="007B4196" w:rsidP="007B4196">
            <w:pPr>
              <w:rPr>
                <w:rFonts w:cs="Arial"/>
                <w:b/>
                <w:color w:val="FFFFFF" w:themeColor="accent6"/>
                <w:szCs w:val="22"/>
              </w:rPr>
            </w:pPr>
          </w:p>
        </w:tc>
        <w:tc>
          <w:tcPr>
            <w:tcW w:w="5270" w:type="dxa"/>
            <w:tcBorders>
              <w:top w:val="single" w:sz="4" w:space="0" w:color="auto"/>
              <w:left w:val="nil"/>
              <w:bottom w:val="single" w:sz="4" w:space="0" w:color="auto"/>
              <w:right w:val="single" w:sz="4" w:space="0" w:color="auto"/>
            </w:tcBorders>
            <w:shd w:val="clear" w:color="auto" w:fill="auto"/>
            <w:noWrap/>
          </w:tcPr>
          <w:p w14:paraId="21A926F1" w14:textId="700C2813" w:rsidR="007B4196" w:rsidRPr="00AE4DBA" w:rsidRDefault="007B4196" w:rsidP="007B4196">
            <w:r w:rsidRPr="00AE4DBA">
              <w:t>St John Ambulance Service</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7C251" w14:textId="53AE55D6" w:rsidR="007B4196" w:rsidRPr="00AE4DBA" w:rsidRDefault="007B4196" w:rsidP="00B037A1">
            <w:pPr>
              <w:jc w:val="right"/>
              <w:rPr>
                <w:sz w:val="20"/>
                <w:szCs w:val="20"/>
              </w:rPr>
            </w:pPr>
            <w:r w:rsidRPr="00AE4DBA">
              <w:rPr>
                <w:sz w:val="20"/>
                <w:szCs w:val="20"/>
              </w:rPr>
              <w:t>3,883</w:t>
            </w:r>
          </w:p>
        </w:tc>
      </w:tr>
      <w:tr w:rsidR="0063618E" w:rsidRPr="00AE4DBA" w14:paraId="57C8A096" w14:textId="77777777" w:rsidTr="00E855A2">
        <w:trPr>
          <w:trHeight w:val="276"/>
        </w:trPr>
        <w:tc>
          <w:tcPr>
            <w:tcW w:w="2410" w:type="dxa"/>
            <w:vMerge w:val="restart"/>
            <w:tcBorders>
              <w:top w:val="single" w:sz="4" w:space="0" w:color="auto"/>
              <w:left w:val="nil"/>
              <w:right w:val="single" w:sz="4" w:space="0" w:color="auto"/>
            </w:tcBorders>
            <w:shd w:val="clear" w:color="auto" w:fill="30A1AC" w:themeFill="background2"/>
            <w:hideMark/>
          </w:tcPr>
          <w:p w14:paraId="3C205439" w14:textId="75C2C92B" w:rsidR="007B4196" w:rsidRPr="00AE4DBA" w:rsidRDefault="007B4196" w:rsidP="007B4196">
            <w:pPr>
              <w:rPr>
                <w:rFonts w:cs="Arial"/>
                <w:b/>
                <w:color w:val="FFFFFF" w:themeColor="accent6"/>
                <w:szCs w:val="22"/>
              </w:rPr>
            </w:pPr>
            <w:r w:rsidRPr="00AE4DBA">
              <w:rPr>
                <w:b/>
                <w:color w:val="FFFFFF" w:themeColor="accent6"/>
              </w:rPr>
              <w:t>Travel Air</w:t>
            </w: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3F4BDAFC" w14:textId="10208559" w:rsidR="007B4196" w:rsidRPr="00AE4DBA" w:rsidRDefault="007B4196" w:rsidP="007B4196">
            <w:pPr>
              <w:rPr>
                <w:rFonts w:cs="Arial"/>
                <w:color w:val="000000"/>
                <w:sz w:val="20"/>
                <w:szCs w:val="20"/>
              </w:rPr>
            </w:pPr>
            <w:r w:rsidRPr="00AE4DBA">
              <w:t>Air Gisborne</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5C1CCBF0" w14:textId="59DC3E5B" w:rsidR="007B4196" w:rsidRPr="00AE4DBA" w:rsidRDefault="007B4196" w:rsidP="00B037A1">
            <w:pPr>
              <w:jc w:val="right"/>
              <w:rPr>
                <w:rFonts w:cs="Arial"/>
                <w:color w:val="000000"/>
                <w:sz w:val="20"/>
                <w:szCs w:val="20"/>
              </w:rPr>
            </w:pPr>
            <w:r w:rsidRPr="00AE4DBA">
              <w:rPr>
                <w:rFonts w:cs="Arial"/>
                <w:sz w:val="20"/>
                <w:szCs w:val="20"/>
              </w:rPr>
              <w:t>523</w:t>
            </w:r>
          </w:p>
        </w:tc>
      </w:tr>
      <w:tr w:rsidR="007B4196" w:rsidRPr="00AE4DBA" w14:paraId="623EA1F5" w14:textId="77777777" w:rsidTr="00B12422">
        <w:trPr>
          <w:trHeight w:val="276"/>
        </w:trPr>
        <w:tc>
          <w:tcPr>
            <w:tcW w:w="2410" w:type="dxa"/>
            <w:vMerge/>
            <w:hideMark/>
          </w:tcPr>
          <w:p w14:paraId="46C571A2" w14:textId="7C1769FD"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1FA53735" w14:textId="18E7E0A6" w:rsidR="007B4196" w:rsidRPr="00AE4DBA" w:rsidRDefault="007B4196" w:rsidP="007B4196">
            <w:pPr>
              <w:rPr>
                <w:rFonts w:cs="Arial"/>
                <w:color w:val="000000"/>
                <w:sz w:val="20"/>
                <w:szCs w:val="20"/>
              </w:rPr>
            </w:pPr>
            <w:r w:rsidRPr="00AE4DBA">
              <w:t>Air Napier</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2043C08D" w14:textId="4F52DBE9" w:rsidR="007B4196" w:rsidRPr="00AE4DBA" w:rsidRDefault="007B4196" w:rsidP="00B037A1">
            <w:pPr>
              <w:jc w:val="right"/>
              <w:rPr>
                <w:rFonts w:cs="Arial"/>
                <w:color w:val="000000"/>
                <w:sz w:val="20"/>
                <w:szCs w:val="20"/>
              </w:rPr>
            </w:pPr>
            <w:r w:rsidRPr="00AE4DBA">
              <w:rPr>
                <w:rFonts w:cs="Arial"/>
                <w:sz w:val="20"/>
                <w:szCs w:val="20"/>
              </w:rPr>
              <w:t>39</w:t>
            </w:r>
          </w:p>
        </w:tc>
      </w:tr>
      <w:tr w:rsidR="007B4196" w:rsidRPr="00AE4DBA" w14:paraId="5054A225" w14:textId="77777777" w:rsidTr="00B12422">
        <w:trPr>
          <w:trHeight w:val="276"/>
        </w:trPr>
        <w:tc>
          <w:tcPr>
            <w:tcW w:w="2410" w:type="dxa"/>
            <w:vMerge/>
            <w:hideMark/>
          </w:tcPr>
          <w:p w14:paraId="17D831D0" w14:textId="22F5C0FC"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5BFBAB10" w14:textId="1EB1D0F8" w:rsidR="007B4196" w:rsidRPr="00AE4DBA" w:rsidRDefault="007B4196" w:rsidP="007B4196">
            <w:pPr>
              <w:rPr>
                <w:rFonts w:cs="Arial"/>
                <w:color w:val="000000"/>
                <w:sz w:val="20"/>
                <w:szCs w:val="20"/>
              </w:rPr>
            </w:pPr>
            <w:r w:rsidRPr="00AE4DBA">
              <w:t>Air Wanganui</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60DE6EFC" w14:textId="6D3CF779" w:rsidR="007B4196" w:rsidRPr="00AE4DBA" w:rsidRDefault="007B4196" w:rsidP="00B037A1">
            <w:pPr>
              <w:jc w:val="right"/>
              <w:rPr>
                <w:rFonts w:cs="Arial"/>
                <w:color w:val="000000"/>
                <w:sz w:val="20"/>
                <w:szCs w:val="20"/>
              </w:rPr>
            </w:pPr>
            <w:r w:rsidRPr="00AE4DBA">
              <w:rPr>
                <w:rFonts w:cs="Arial"/>
                <w:sz w:val="20"/>
                <w:szCs w:val="20"/>
              </w:rPr>
              <w:t>1,064</w:t>
            </w:r>
          </w:p>
        </w:tc>
      </w:tr>
      <w:tr w:rsidR="007B4196" w:rsidRPr="00AE4DBA" w14:paraId="3C533337" w14:textId="77777777" w:rsidTr="00B12422">
        <w:trPr>
          <w:trHeight w:val="276"/>
        </w:trPr>
        <w:tc>
          <w:tcPr>
            <w:tcW w:w="2410" w:type="dxa"/>
            <w:vMerge/>
            <w:hideMark/>
          </w:tcPr>
          <w:p w14:paraId="59DD5529" w14:textId="354A0F46"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1B18D911" w14:textId="1E3BD02C" w:rsidR="007B4196" w:rsidRPr="00AE4DBA" w:rsidRDefault="007B4196" w:rsidP="007B4196">
            <w:pPr>
              <w:rPr>
                <w:rFonts w:cs="Arial"/>
                <w:color w:val="000000"/>
                <w:sz w:val="20"/>
                <w:szCs w:val="20"/>
              </w:rPr>
            </w:pPr>
            <w:proofErr w:type="spellStart"/>
            <w:r w:rsidRPr="00AE4DBA">
              <w:t>AirNZ</w:t>
            </w:r>
            <w:proofErr w:type="spellEnd"/>
            <w:r w:rsidRPr="00AE4DBA">
              <w:t xml:space="preserve"> (Direct)</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234C2C7B" w14:textId="21D89FFA" w:rsidR="007B4196" w:rsidRPr="00AE4DBA" w:rsidRDefault="007B4196" w:rsidP="00B037A1">
            <w:pPr>
              <w:jc w:val="right"/>
              <w:rPr>
                <w:rFonts w:cs="Arial"/>
                <w:color w:val="000000"/>
                <w:sz w:val="20"/>
                <w:szCs w:val="20"/>
              </w:rPr>
            </w:pPr>
            <w:r w:rsidRPr="00AE4DBA">
              <w:rPr>
                <w:rFonts w:cs="Arial"/>
                <w:sz w:val="20"/>
                <w:szCs w:val="20"/>
              </w:rPr>
              <w:t>11,735</w:t>
            </w:r>
          </w:p>
        </w:tc>
      </w:tr>
      <w:tr w:rsidR="007B4196" w:rsidRPr="00AE4DBA" w14:paraId="03FA5A99" w14:textId="77777777" w:rsidTr="00B12422">
        <w:trPr>
          <w:trHeight w:val="276"/>
        </w:trPr>
        <w:tc>
          <w:tcPr>
            <w:tcW w:w="2410" w:type="dxa"/>
            <w:vMerge/>
          </w:tcPr>
          <w:p w14:paraId="07576429" w14:textId="77777777"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tcPr>
          <w:p w14:paraId="3EAA2F38" w14:textId="763F28CF" w:rsidR="007B4196" w:rsidRPr="00AE4DBA" w:rsidRDefault="007B4196" w:rsidP="007B4196">
            <w:r w:rsidRPr="00AE4DBA">
              <w:t xml:space="preserve">District inputs </w:t>
            </w:r>
          </w:p>
        </w:tc>
        <w:tc>
          <w:tcPr>
            <w:tcW w:w="1109" w:type="dxa"/>
            <w:tcBorders>
              <w:top w:val="single" w:sz="4" w:space="0" w:color="auto"/>
              <w:left w:val="nil"/>
              <w:bottom w:val="single" w:sz="4" w:space="0" w:color="auto"/>
              <w:right w:val="single" w:sz="4" w:space="0" w:color="auto"/>
            </w:tcBorders>
            <w:shd w:val="clear" w:color="auto" w:fill="auto"/>
            <w:noWrap/>
            <w:vAlign w:val="center"/>
          </w:tcPr>
          <w:p w14:paraId="21E25C44" w14:textId="102AAC9A" w:rsidR="007B4196" w:rsidRPr="00AE4DBA" w:rsidRDefault="007B4196" w:rsidP="00B037A1">
            <w:pPr>
              <w:jc w:val="right"/>
              <w:rPr>
                <w:sz w:val="20"/>
                <w:szCs w:val="20"/>
              </w:rPr>
            </w:pPr>
            <w:r w:rsidRPr="00AE4DBA">
              <w:rPr>
                <w:rFonts w:cs="Arial"/>
                <w:sz w:val="20"/>
                <w:szCs w:val="20"/>
              </w:rPr>
              <w:t>22,301</w:t>
            </w:r>
          </w:p>
        </w:tc>
      </w:tr>
      <w:tr w:rsidR="007B4196" w:rsidRPr="00AE4DBA" w14:paraId="497ED3DC" w14:textId="77777777" w:rsidTr="00B12422">
        <w:trPr>
          <w:trHeight w:val="276"/>
        </w:trPr>
        <w:tc>
          <w:tcPr>
            <w:tcW w:w="2410" w:type="dxa"/>
            <w:vMerge/>
            <w:hideMark/>
          </w:tcPr>
          <w:p w14:paraId="5EE09839" w14:textId="79CFDEAE"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693CBB57" w14:textId="7FB5266D" w:rsidR="007B4196" w:rsidRPr="00AE4DBA" w:rsidRDefault="007B4196" w:rsidP="007B4196">
            <w:pPr>
              <w:rPr>
                <w:rFonts w:cs="Arial"/>
                <w:color w:val="000000"/>
                <w:sz w:val="20"/>
                <w:szCs w:val="20"/>
              </w:rPr>
            </w:pPr>
            <w:proofErr w:type="spellStart"/>
            <w:r w:rsidRPr="00AE4DBA">
              <w:t>FcM</w:t>
            </w:r>
            <w:proofErr w:type="spellEnd"/>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59EBE361" w14:textId="508A50B8" w:rsidR="007B4196" w:rsidRPr="00AE4DBA" w:rsidRDefault="007B4196" w:rsidP="00B037A1">
            <w:pPr>
              <w:jc w:val="right"/>
              <w:rPr>
                <w:rFonts w:cs="Arial"/>
                <w:color w:val="000000"/>
                <w:sz w:val="20"/>
                <w:szCs w:val="20"/>
              </w:rPr>
            </w:pPr>
            <w:r w:rsidRPr="00AE4DBA">
              <w:rPr>
                <w:rFonts w:cs="Arial"/>
                <w:sz w:val="20"/>
                <w:szCs w:val="20"/>
              </w:rPr>
              <w:t>5,003</w:t>
            </w:r>
          </w:p>
        </w:tc>
      </w:tr>
      <w:tr w:rsidR="007B4196" w:rsidRPr="00AE4DBA" w14:paraId="30FC9167" w14:textId="77777777" w:rsidTr="00B12422">
        <w:trPr>
          <w:trHeight w:val="276"/>
        </w:trPr>
        <w:tc>
          <w:tcPr>
            <w:tcW w:w="2410" w:type="dxa"/>
            <w:vMerge/>
            <w:hideMark/>
          </w:tcPr>
          <w:p w14:paraId="21926DAC" w14:textId="1A046A5D"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098635A8" w14:textId="2E338710" w:rsidR="007B4196" w:rsidRPr="00AE4DBA" w:rsidRDefault="007B4196" w:rsidP="007B4196">
            <w:pPr>
              <w:rPr>
                <w:rFonts w:cs="Arial"/>
                <w:color w:val="000000"/>
                <w:sz w:val="20"/>
                <w:szCs w:val="20"/>
              </w:rPr>
            </w:pPr>
            <w:r w:rsidRPr="00AE4DBA">
              <w:t>HNZ National Ambulance Services Office (NASO)</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7CC51D28" w14:textId="050DDA27" w:rsidR="007B4196" w:rsidRPr="00AE4DBA" w:rsidRDefault="007B4196" w:rsidP="00B037A1">
            <w:pPr>
              <w:jc w:val="right"/>
              <w:rPr>
                <w:rFonts w:cs="Arial"/>
                <w:color w:val="000000"/>
                <w:sz w:val="20"/>
                <w:szCs w:val="20"/>
              </w:rPr>
            </w:pPr>
            <w:r w:rsidRPr="00AE4DBA">
              <w:rPr>
                <w:rFonts w:cs="Arial"/>
                <w:sz w:val="20"/>
                <w:szCs w:val="20"/>
              </w:rPr>
              <w:t>3,736</w:t>
            </w:r>
          </w:p>
        </w:tc>
      </w:tr>
      <w:tr w:rsidR="007B4196" w:rsidRPr="00AE4DBA" w14:paraId="05A849C9" w14:textId="77777777" w:rsidTr="00B12422">
        <w:trPr>
          <w:trHeight w:val="276"/>
        </w:trPr>
        <w:tc>
          <w:tcPr>
            <w:tcW w:w="2410" w:type="dxa"/>
            <w:vMerge/>
            <w:hideMark/>
          </w:tcPr>
          <w:p w14:paraId="6462D849" w14:textId="5B78625F"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3F104761" w14:textId="48AFA2E5" w:rsidR="007B4196" w:rsidRPr="00AE4DBA" w:rsidRDefault="007B4196" w:rsidP="007B4196">
            <w:pPr>
              <w:rPr>
                <w:rFonts w:cs="Arial"/>
                <w:color w:val="000000"/>
                <w:sz w:val="20"/>
                <w:szCs w:val="20"/>
              </w:rPr>
            </w:pPr>
            <w:r w:rsidRPr="00AE4DBA">
              <w:t>LifeFlight</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6E8F2C6D" w14:textId="084AE0A5" w:rsidR="007B4196" w:rsidRPr="00AE4DBA" w:rsidRDefault="007B4196" w:rsidP="00B037A1">
            <w:pPr>
              <w:jc w:val="right"/>
              <w:rPr>
                <w:rFonts w:cs="Arial"/>
                <w:color w:val="000000"/>
                <w:sz w:val="20"/>
                <w:szCs w:val="20"/>
              </w:rPr>
            </w:pPr>
            <w:r w:rsidRPr="00AE4DBA">
              <w:rPr>
                <w:rFonts w:cs="Arial"/>
                <w:sz w:val="20"/>
                <w:szCs w:val="20"/>
              </w:rPr>
              <w:t>1,480</w:t>
            </w:r>
          </w:p>
        </w:tc>
      </w:tr>
      <w:tr w:rsidR="007B4196" w:rsidRPr="00AE4DBA" w14:paraId="0A8E8DA8" w14:textId="77777777" w:rsidTr="00B12422">
        <w:trPr>
          <w:trHeight w:val="276"/>
        </w:trPr>
        <w:tc>
          <w:tcPr>
            <w:tcW w:w="2410" w:type="dxa"/>
            <w:vMerge/>
            <w:hideMark/>
          </w:tcPr>
          <w:p w14:paraId="242364FC" w14:textId="5A1D0C42"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7CE5DD87" w14:textId="7BAB1BA0" w:rsidR="007B4196" w:rsidRPr="00AE4DBA" w:rsidRDefault="007B4196" w:rsidP="007B4196">
            <w:pPr>
              <w:rPr>
                <w:rFonts w:cs="Arial"/>
                <w:color w:val="000000"/>
                <w:sz w:val="20"/>
                <w:szCs w:val="20"/>
              </w:rPr>
            </w:pPr>
            <w:r w:rsidRPr="00AE4DBA">
              <w:t>Mainland Air</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197076E9" w14:textId="6FF094D5" w:rsidR="007B4196" w:rsidRPr="00AE4DBA" w:rsidRDefault="007B4196" w:rsidP="00B037A1">
            <w:pPr>
              <w:jc w:val="right"/>
              <w:rPr>
                <w:rFonts w:cs="Arial"/>
                <w:color w:val="000000"/>
                <w:sz w:val="20"/>
                <w:szCs w:val="20"/>
              </w:rPr>
            </w:pPr>
            <w:r w:rsidRPr="00AE4DBA">
              <w:rPr>
                <w:rFonts w:cs="Arial"/>
                <w:sz w:val="20"/>
                <w:szCs w:val="20"/>
              </w:rPr>
              <w:t>54</w:t>
            </w:r>
          </w:p>
        </w:tc>
      </w:tr>
      <w:tr w:rsidR="007B4196" w:rsidRPr="00AE4DBA" w14:paraId="1CFCF95B" w14:textId="77777777" w:rsidTr="00B12422">
        <w:trPr>
          <w:trHeight w:val="276"/>
        </w:trPr>
        <w:tc>
          <w:tcPr>
            <w:tcW w:w="2410" w:type="dxa"/>
            <w:vMerge/>
            <w:hideMark/>
          </w:tcPr>
          <w:p w14:paraId="19DD24AD" w14:textId="5557CBED"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53D4AEA1" w14:textId="73AB3A58" w:rsidR="007B4196" w:rsidRPr="00AE4DBA" w:rsidRDefault="007B4196" w:rsidP="007B4196">
            <w:pPr>
              <w:rPr>
                <w:rFonts w:cs="Arial"/>
                <w:color w:val="000000"/>
                <w:sz w:val="20"/>
                <w:szCs w:val="20"/>
              </w:rPr>
            </w:pPr>
            <w:r w:rsidRPr="00AE4DBA">
              <w:t>National Travel Assistance Programme (NTA)</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213C2FA8" w14:textId="12DAB4BE" w:rsidR="007B4196" w:rsidRPr="00AE4DBA" w:rsidRDefault="007B4196" w:rsidP="00B037A1">
            <w:pPr>
              <w:jc w:val="right"/>
              <w:rPr>
                <w:rFonts w:cs="Arial"/>
                <w:color w:val="000000"/>
                <w:sz w:val="20"/>
                <w:szCs w:val="20"/>
              </w:rPr>
            </w:pPr>
            <w:r w:rsidRPr="00AE4DBA">
              <w:rPr>
                <w:rFonts w:cs="Arial"/>
                <w:sz w:val="20"/>
                <w:szCs w:val="20"/>
              </w:rPr>
              <w:t>585</w:t>
            </w:r>
          </w:p>
        </w:tc>
      </w:tr>
      <w:tr w:rsidR="007B4196" w:rsidRPr="00AE4DBA" w14:paraId="7712089C" w14:textId="77777777" w:rsidTr="00B12422">
        <w:trPr>
          <w:trHeight w:val="276"/>
        </w:trPr>
        <w:tc>
          <w:tcPr>
            <w:tcW w:w="2410" w:type="dxa"/>
            <w:vMerge/>
            <w:hideMark/>
          </w:tcPr>
          <w:p w14:paraId="2FF6C9D0" w14:textId="42C9B505"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29A8FB6B" w14:textId="5B9E5BC0" w:rsidR="007B4196" w:rsidRPr="00AE4DBA" w:rsidRDefault="007B4196" w:rsidP="007B4196">
            <w:pPr>
              <w:rPr>
                <w:rFonts w:cs="Arial"/>
                <w:color w:val="000000"/>
                <w:sz w:val="20"/>
                <w:szCs w:val="20"/>
              </w:rPr>
            </w:pPr>
            <w:r w:rsidRPr="00AE4DBA">
              <w:t>Orbit (House of Travel)</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1FCF4" w14:textId="30F0302E" w:rsidR="007B4196" w:rsidRPr="00AE4DBA" w:rsidRDefault="007B4196" w:rsidP="00B037A1">
            <w:pPr>
              <w:jc w:val="right"/>
              <w:rPr>
                <w:rFonts w:cs="Arial"/>
                <w:color w:val="000000"/>
                <w:sz w:val="20"/>
                <w:szCs w:val="20"/>
              </w:rPr>
            </w:pPr>
            <w:r w:rsidRPr="00AE4DBA">
              <w:rPr>
                <w:sz w:val="20"/>
                <w:szCs w:val="20"/>
              </w:rPr>
              <w:t>13,428</w:t>
            </w:r>
          </w:p>
        </w:tc>
      </w:tr>
      <w:tr w:rsidR="007B4196" w:rsidRPr="00AE4DBA" w14:paraId="69159D69" w14:textId="77777777" w:rsidTr="00B12422">
        <w:trPr>
          <w:trHeight w:val="276"/>
        </w:trPr>
        <w:tc>
          <w:tcPr>
            <w:tcW w:w="2410" w:type="dxa"/>
            <w:vMerge/>
            <w:hideMark/>
          </w:tcPr>
          <w:p w14:paraId="09E13F10" w14:textId="25B233A2"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213CFBFE" w14:textId="2DCFFBAD" w:rsidR="007B4196" w:rsidRPr="00AE4DBA" w:rsidRDefault="007B4196" w:rsidP="007B4196">
            <w:pPr>
              <w:rPr>
                <w:rFonts w:cs="Arial"/>
                <w:color w:val="000000"/>
                <w:sz w:val="20"/>
                <w:szCs w:val="20"/>
              </w:rPr>
            </w:pPr>
            <w:r w:rsidRPr="00AE4DBA">
              <w:t>Philips Search and Rescue</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3B9BF513" w14:textId="49615160" w:rsidR="007B4196" w:rsidRPr="00AE4DBA" w:rsidRDefault="007B4196" w:rsidP="00B037A1">
            <w:pPr>
              <w:jc w:val="right"/>
              <w:rPr>
                <w:rFonts w:cs="Arial"/>
                <w:color w:val="000000"/>
                <w:sz w:val="20"/>
                <w:szCs w:val="20"/>
              </w:rPr>
            </w:pPr>
            <w:r w:rsidRPr="00AE4DBA">
              <w:rPr>
                <w:rFonts w:cs="Arial"/>
                <w:sz w:val="20"/>
                <w:szCs w:val="20"/>
              </w:rPr>
              <w:t>232</w:t>
            </w:r>
          </w:p>
        </w:tc>
      </w:tr>
      <w:tr w:rsidR="007B4196" w:rsidRPr="00AE4DBA" w14:paraId="15E5AABA" w14:textId="77777777" w:rsidTr="00B12422">
        <w:trPr>
          <w:trHeight w:val="276"/>
        </w:trPr>
        <w:tc>
          <w:tcPr>
            <w:tcW w:w="2410" w:type="dxa"/>
            <w:vMerge/>
            <w:hideMark/>
          </w:tcPr>
          <w:p w14:paraId="7D44B83B" w14:textId="3BD7BDB9"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505CAFA3" w14:textId="45D7E96A" w:rsidR="007B4196" w:rsidRPr="00AE4DBA" w:rsidRDefault="007B4196" w:rsidP="007B4196">
            <w:pPr>
              <w:rPr>
                <w:rFonts w:cs="Arial"/>
                <w:color w:val="000000"/>
                <w:sz w:val="20"/>
                <w:szCs w:val="20"/>
              </w:rPr>
            </w:pPr>
            <w:r w:rsidRPr="00AE4DBA">
              <w:t>Skyline Aviation</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0ECAD1F7" w14:textId="61C09EF5" w:rsidR="007B4196" w:rsidRPr="00AE4DBA" w:rsidRDefault="007B4196" w:rsidP="00B037A1">
            <w:pPr>
              <w:jc w:val="right"/>
              <w:rPr>
                <w:rFonts w:cs="Arial"/>
                <w:color w:val="000000"/>
                <w:sz w:val="20"/>
                <w:szCs w:val="20"/>
                <w:highlight w:val="yellow"/>
              </w:rPr>
            </w:pPr>
            <w:r w:rsidRPr="00AE4DBA">
              <w:rPr>
                <w:rFonts w:cs="Arial"/>
                <w:sz w:val="20"/>
                <w:szCs w:val="20"/>
              </w:rPr>
              <w:t>2,609</w:t>
            </w:r>
          </w:p>
        </w:tc>
      </w:tr>
      <w:tr w:rsidR="007B4196" w:rsidRPr="00AE4DBA" w14:paraId="3FA9E212" w14:textId="77777777" w:rsidTr="00B12422">
        <w:trPr>
          <w:trHeight w:val="276"/>
        </w:trPr>
        <w:tc>
          <w:tcPr>
            <w:tcW w:w="2410" w:type="dxa"/>
            <w:vMerge/>
            <w:hideMark/>
          </w:tcPr>
          <w:p w14:paraId="26D36BAD" w14:textId="6CC1E63A"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17D697FA" w14:textId="4D9DE585" w:rsidR="007B4196" w:rsidRPr="00AE4DBA" w:rsidRDefault="007B4196" w:rsidP="007B4196">
            <w:pPr>
              <w:rPr>
                <w:rFonts w:cs="Arial"/>
                <w:color w:val="000000"/>
                <w:sz w:val="20"/>
                <w:szCs w:val="20"/>
              </w:rPr>
            </w:pPr>
            <w:r w:rsidRPr="00AE4DBA">
              <w:t>Stewart Island Flights</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1E911A47" w14:textId="2EEC2895" w:rsidR="007B4196" w:rsidRPr="00AE4DBA" w:rsidRDefault="007B4196" w:rsidP="00B037A1">
            <w:pPr>
              <w:jc w:val="right"/>
              <w:rPr>
                <w:rFonts w:cs="Arial"/>
                <w:color w:val="000000"/>
                <w:sz w:val="20"/>
                <w:szCs w:val="20"/>
              </w:rPr>
            </w:pPr>
            <w:r w:rsidRPr="00AE4DBA">
              <w:rPr>
                <w:rFonts w:cs="Arial"/>
                <w:sz w:val="20"/>
                <w:szCs w:val="20"/>
              </w:rPr>
              <w:t>2</w:t>
            </w:r>
          </w:p>
        </w:tc>
      </w:tr>
      <w:tr w:rsidR="007B4196" w:rsidRPr="00AE4DBA" w14:paraId="3F02DA2B" w14:textId="77777777" w:rsidTr="00B12422">
        <w:trPr>
          <w:trHeight w:val="276"/>
        </w:trPr>
        <w:tc>
          <w:tcPr>
            <w:tcW w:w="2410" w:type="dxa"/>
            <w:vMerge/>
            <w:hideMark/>
          </w:tcPr>
          <w:p w14:paraId="7352A2EE" w14:textId="66826745"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44416EDC" w14:textId="01F2C4E2" w:rsidR="007B4196" w:rsidRPr="00AE4DBA" w:rsidRDefault="007B4196" w:rsidP="007B4196">
            <w:pPr>
              <w:rPr>
                <w:rFonts w:cs="Arial"/>
                <w:color w:val="000000"/>
                <w:sz w:val="20"/>
                <w:szCs w:val="20"/>
              </w:rPr>
            </w:pPr>
            <w:proofErr w:type="spellStart"/>
            <w:r w:rsidRPr="00AE4DBA">
              <w:t>Sunair</w:t>
            </w:r>
            <w:proofErr w:type="spellEnd"/>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1D46C511" w14:textId="34FA468A" w:rsidR="007B4196" w:rsidRPr="00AE4DBA" w:rsidRDefault="007B4196" w:rsidP="00B037A1">
            <w:pPr>
              <w:jc w:val="right"/>
              <w:rPr>
                <w:rFonts w:cs="Arial"/>
                <w:color w:val="000000"/>
                <w:sz w:val="20"/>
                <w:szCs w:val="20"/>
              </w:rPr>
            </w:pPr>
            <w:r w:rsidRPr="00AE4DBA">
              <w:rPr>
                <w:rFonts w:cs="Arial"/>
                <w:sz w:val="20"/>
                <w:szCs w:val="20"/>
              </w:rPr>
              <w:t>140</w:t>
            </w:r>
          </w:p>
        </w:tc>
      </w:tr>
      <w:tr w:rsidR="007B4196" w:rsidRPr="00AE4DBA" w14:paraId="0DBEAFE7" w14:textId="77777777" w:rsidTr="00B12422">
        <w:trPr>
          <w:trHeight w:val="276"/>
        </w:trPr>
        <w:tc>
          <w:tcPr>
            <w:tcW w:w="2410" w:type="dxa"/>
            <w:vMerge/>
            <w:hideMark/>
          </w:tcPr>
          <w:p w14:paraId="6B7877EA" w14:textId="7C1EA99D"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079D331D" w14:textId="1261E4B8" w:rsidR="007B4196" w:rsidRPr="00AE4DBA" w:rsidRDefault="007B4196" w:rsidP="007B4196">
            <w:pPr>
              <w:rPr>
                <w:rFonts w:cs="Arial"/>
                <w:color w:val="000000"/>
                <w:sz w:val="20"/>
                <w:szCs w:val="20"/>
              </w:rPr>
            </w:pPr>
            <w:r w:rsidRPr="00AE4DBA">
              <w:t>Tandem</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34BE909D" w14:textId="06CA57F4" w:rsidR="007B4196" w:rsidRPr="00AE4DBA" w:rsidRDefault="007B4196" w:rsidP="00B037A1">
            <w:pPr>
              <w:jc w:val="right"/>
              <w:rPr>
                <w:rFonts w:cs="Arial"/>
                <w:color w:val="000000"/>
                <w:sz w:val="20"/>
                <w:szCs w:val="20"/>
              </w:rPr>
            </w:pPr>
            <w:r w:rsidRPr="00AE4DBA">
              <w:rPr>
                <w:rFonts w:cs="Arial"/>
                <w:sz w:val="20"/>
                <w:szCs w:val="20"/>
              </w:rPr>
              <w:t>2,997</w:t>
            </w:r>
          </w:p>
        </w:tc>
      </w:tr>
      <w:tr w:rsidR="007B4196" w:rsidRPr="00AE4DBA" w14:paraId="4801E5C7" w14:textId="77777777" w:rsidTr="00B12422">
        <w:trPr>
          <w:trHeight w:val="276"/>
        </w:trPr>
        <w:tc>
          <w:tcPr>
            <w:tcW w:w="2410" w:type="dxa"/>
            <w:vMerge/>
            <w:hideMark/>
          </w:tcPr>
          <w:p w14:paraId="676EF4BA" w14:textId="2B90D757"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26AF6C2C" w14:textId="564C7CDD" w:rsidR="007B4196" w:rsidRPr="00AE4DBA" w:rsidRDefault="007B4196" w:rsidP="007B4196">
            <w:pPr>
              <w:rPr>
                <w:rFonts w:cs="Arial"/>
                <w:color w:val="000000"/>
                <w:sz w:val="20"/>
                <w:szCs w:val="20"/>
              </w:rPr>
            </w:pPr>
            <w:r w:rsidRPr="00AE4DBA">
              <w:t>You Travel</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32D59D57" w14:textId="6DC92C51" w:rsidR="007B4196" w:rsidRPr="00AE4DBA" w:rsidRDefault="007B4196" w:rsidP="00B037A1">
            <w:pPr>
              <w:jc w:val="right"/>
              <w:rPr>
                <w:rFonts w:cs="Arial"/>
                <w:color w:val="000000"/>
                <w:sz w:val="20"/>
                <w:szCs w:val="20"/>
              </w:rPr>
            </w:pPr>
            <w:r w:rsidRPr="00AE4DBA">
              <w:rPr>
                <w:rFonts w:cs="Arial"/>
                <w:sz w:val="20"/>
                <w:szCs w:val="20"/>
              </w:rPr>
              <w:t>218</w:t>
            </w:r>
          </w:p>
        </w:tc>
      </w:tr>
      <w:tr w:rsidR="007B4196" w:rsidRPr="00AE4DBA" w14:paraId="595D55ED" w14:textId="77777777" w:rsidTr="00B12422">
        <w:trPr>
          <w:trHeight w:val="276"/>
        </w:trPr>
        <w:tc>
          <w:tcPr>
            <w:tcW w:w="2410" w:type="dxa"/>
            <w:vMerge/>
            <w:hideMark/>
          </w:tcPr>
          <w:p w14:paraId="0BD8CE99" w14:textId="2E8E44C1"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177A8C1E" w14:textId="79B7EE88" w:rsidR="007B4196" w:rsidRPr="00AE4DBA" w:rsidRDefault="007B4196" w:rsidP="007B4196">
            <w:pPr>
              <w:rPr>
                <w:rFonts w:cs="Arial"/>
                <w:color w:val="000000"/>
                <w:sz w:val="20"/>
                <w:szCs w:val="20"/>
              </w:rPr>
            </w:pPr>
            <w:r w:rsidRPr="00AE4DBA">
              <w:t>GCH Aviation</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535E07C8" w14:textId="39B8F2D8" w:rsidR="007B4196" w:rsidRPr="00AE4DBA" w:rsidRDefault="007B4196" w:rsidP="00B037A1">
            <w:pPr>
              <w:jc w:val="right"/>
              <w:rPr>
                <w:rFonts w:cs="Arial"/>
                <w:color w:val="000000"/>
                <w:sz w:val="20"/>
                <w:szCs w:val="20"/>
              </w:rPr>
            </w:pPr>
            <w:r w:rsidRPr="00AE4DBA">
              <w:rPr>
                <w:rFonts w:cs="Arial"/>
                <w:sz w:val="20"/>
                <w:szCs w:val="20"/>
              </w:rPr>
              <w:t>1,572</w:t>
            </w:r>
          </w:p>
        </w:tc>
      </w:tr>
      <w:tr w:rsidR="0063618E" w:rsidRPr="00AE4DBA" w14:paraId="6016C41C" w14:textId="77777777" w:rsidTr="00E855A2">
        <w:trPr>
          <w:trHeight w:val="276"/>
        </w:trPr>
        <w:tc>
          <w:tcPr>
            <w:tcW w:w="2410" w:type="dxa"/>
            <w:vMerge w:val="restart"/>
            <w:tcBorders>
              <w:top w:val="single" w:sz="4" w:space="0" w:color="auto"/>
              <w:left w:val="nil"/>
              <w:bottom w:val="dotted" w:sz="4" w:space="0" w:color="D9D9D9" w:themeColor="accent6" w:themeShade="D9"/>
              <w:right w:val="single" w:sz="4" w:space="0" w:color="auto"/>
            </w:tcBorders>
            <w:shd w:val="clear" w:color="auto" w:fill="30A1AC" w:themeFill="background2"/>
            <w:hideMark/>
          </w:tcPr>
          <w:p w14:paraId="6CB64FDE" w14:textId="415F46A0" w:rsidR="007B4196" w:rsidRPr="00AE4DBA" w:rsidRDefault="007B4196" w:rsidP="007B4196">
            <w:pPr>
              <w:rPr>
                <w:rFonts w:cs="Arial"/>
                <w:b/>
                <w:color w:val="FFFFFF" w:themeColor="accent6"/>
                <w:szCs w:val="22"/>
              </w:rPr>
            </w:pPr>
            <w:r w:rsidRPr="00AE4DBA">
              <w:rPr>
                <w:b/>
                <w:color w:val="FFFFFF" w:themeColor="accent6"/>
              </w:rPr>
              <w:lastRenderedPageBreak/>
              <w:t>Materials &amp; Waste</w:t>
            </w: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2922F1A2" w14:textId="556B9ADD" w:rsidR="007B4196" w:rsidRPr="00AE4DBA" w:rsidRDefault="007B4196" w:rsidP="007B4196">
            <w:pPr>
              <w:rPr>
                <w:rFonts w:cs="Arial"/>
                <w:color w:val="000000"/>
                <w:sz w:val="20"/>
                <w:szCs w:val="20"/>
              </w:rPr>
            </w:pPr>
            <w:r w:rsidRPr="00AE4DBA">
              <w:t>District Inputs</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CA29A" w14:textId="6543BF39" w:rsidR="007B4196" w:rsidRPr="00AE4DBA" w:rsidRDefault="007B4196" w:rsidP="00B037A1">
            <w:pPr>
              <w:jc w:val="right"/>
              <w:rPr>
                <w:rFonts w:cs="Arial"/>
                <w:color w:val="000000"/>
                <w:sz w:val="20"/>
                <w:szCs w:val="20"/>
              </w:rPr>
            </w:pPr>
            <w:r w:rsidRPr="00AE4DBA">
              <w:rPr>
                <w:sz w:val="20"/>
                <w:szCs w:val="20"/>
              </w:rPr>
              <w:t>266</w:t>
            </w:r>
          </w:p>
        </w:tc>
      </w:tr>
      <w:tr w:rsidR="007B4196" w:rsidRPr="00AE4DBA" w14:paraId="2E260FCB" w14:textId="77777777" w:rsidTr="00B12422">
        <w:trPr>
          <w:trHeight w:val="276"/>
        </w:trPr>
        <w:tc>
          <w:tcPr>
            <w:tcW w:w="2410" w:type="dxa"/>
            <w:vMerge/>
            <w:hideMark/>
          </w:tcPr>
          <w:p w14:paraId="646E6207" w14:textId="0402A783"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79B38A0B" w14:textId="7622C57A" w:rsidR="007B4196" w:rsidRPr="00AE4DBA" w:rsidRDefault="007B4196" w:rsidP="007B4196">
            <w:pPr>
              <w:rPr>
                <w:rFonts w:cs="Arial"/>
                <w:color w:val="000000"/>
                <w:sz w:val="20"/>
                <w:szCs w:val="20"/>
              </w:rPr>
            </w:pPr>
            <w:proofErr w:type="spellStart"/>
            <w:r w:rsidRPr="00AE4DBA">
              <w:t>Envirowaste</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3D096" w14:textId="2A0C4854" w:rsidR="007B4196" w:rsidRPr="00AE4DBA" w:rsidRDefault="007B4196" w:rsidP="00B037A1">
            <w:pPr>
              <w:jc w:val="right"/>
              <w:rPr>
                <w:rFonts w:cs="Arial"/>
                <w:color w:val="000000"/>
                <w:sz w:val="20"/>
                <w:szCs w:val="20"/>
              </w:rPr>
            </w:pPr>
            <w:r w:rsidRPr="00AE4DBA">
              <w:rPr>
                <w:sz w:val="20"/>
                <w:szCs w:val="20"/>
              </w:rPr>
              <w:t>1,458</w:t>
            </w:r>
          </w:p>
        </w:tc>
      </w:tr>
      <w:tr w:rsidR="007B4196" w:rsidRPr="00AE4DBA" w14:paraId="40F62D50" w14:textId="77777777" w:rsidTr="00B12422">
        <w:trPr>
          <w:trHeight w:val="276"/>
        </w:trPr>
        <w:tc>
          <w:tcPr>
            <w:tcW w:w="2410" w:type="dxa"/>
            <w:vMerge/>
            <w:hideMark/>
          </w:tcPr>
          <w:p w14:paraId="0538979F" w14:textId="1CE3DA92" w:rsidR="007B4196" w:rsidRPr="00AE4DBA" w:rsidRDefault="007B4196" w:rsidP="007B4196">
            <w:pPr>
              <w:rPr>
                <w:rFonts w:cs="Arial"/>
                <w:b/>
                <w:color w:val="FFFFFF" w:themeColor="accent6"/>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671D5D11" w14:textId="26D9781C" w:rsidR="007B4196" w:rsidRPr="00AE4DBA" w:rsidRDefault="007B4196" w:rsidP="007B4196">
            <w:pPr>
              <w:rPr>
                <w:rFonts w:cs="Arial"/>
                <w:color w:val="000000"/>
                <w:sz w:val="20"/>
                <w:szCs w:val="20"/>
              </w:rPr>
            </w:pPr>
            <w:r w:rsidRPr="00AE4DBA">
              <w:t>Interwaste</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838C1" w14:textId="0582BB38" w:rsidR="007B4196" w:rsidRPr="00AE4DBA" w:rsidRDefault="007B4196" w:rsidP="00B037A1">
            <w:pPr>
              <w:jc w:val="right"/>
              <w:rPr>
                <w:rFonts w:cs="Arial"/>
                <w:color w:val="000000"/>
                <w:sz w:val="20"/>
                <w:szCs w:val="20"/>
              </w:rPr>
            </w:pPr>
            <w:r w:rsidRPr="00AE4DBA">
              <w:rPr>
                <w:sz w:val="20"/>
                <w:szCs w:val="20"/>
              </w:rPr>
              <w:t>1,433</w:t>
            </w:r>
          </w:p>
        </w:tc>
      </w:tr>
      <w:tr w:rsidR="007B4196" w:rsidRPr="00AE4DBA" w14:paraId="169C659F" w14:textId="77777777" w:rsidTr="00B12422">
        <w:trPr>
          <w:trHeight w:val="276"/>
        </w:trPr>
        <w:tc>
          <w:tcPr>
            <w:tcW w:w="2410" w:type="dxa"/>
            <w:vMerge/>
            <w:hideMark/>
          </w:tcPr>
          <w:p w14:paraId="3F3530CD" w14:textId="1ACB44AD" w:rsidR="007B4196" w:rsidRPr="00AE4DBA" w:rsidRDefault="007B4196" w:rsidP="007B4196">
            <w:pPr>
              <w:rPr>
                <w:rFonts w:cs="Arial"/>
                <w:b/>
                <w:bCs/>
                <w:color w:val="FFFFFF"/>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769E0109" w14:textId="0DF24032" w:rsidR="007B4196" w:rsidRPr="00AE4DBA" w:rsidRDefault="007B4196" w:rsidP="007B4196">
            <w:pPr>
              <w:rPr>
                <w:rFonts w:cs="Arial"/>
                <w:color w:val="000000"/>
                <w:sz w:val="20"/>
                <w:szCs w:val="20"/>
              </w:rPr>
            </w:pPr>
            <w:r w:rsidRPr="00AE4DBA">
              <w:t>Northland Regional Landfill</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AAAEF" w14:textId="701036AA" w:rsidR="007B4196" w:rsidRPr="00AE4DBA" w:rsidRDefault="007B4196" w:rsidP="00B037A1">
            <w:pPr>
              <w:jc w:val="right"/>
              <w:rPr>
                <w:rFonts w:cs="Arial"/>
                <w:color w:val="000000"/>
                <w:sz w:val="20"/>
                <w:szCs w:val="20"/>
              </w:rPr>
            </w:pPr>
            <w:r w:rsidRPr="00AE4DBA">
              <w:rPr>
                <w:sz w:val="20"/>
                <w:szCs w:val="20"/>
              </w:rPr>
              <w:t>86</w:t>
            </w:r>
          </w:p>
        </w:tc>
      </w:tr>
      <w:tr w:rsidR="007B4196" w:rsidRPr="00AE4DBA" w14:paraId="70F256F3" w14:textId="77777777" w:rsidTr="00B12422">
        <w:trPr>
          <w:trHeight w:val="273"/>
        </w:trPr>
        <w:tc>
          <w:tcPr>
            <w:tcW w:w="2410" w:type="dxa"/>
            <w:vMerge/>
            <w:hideMark/>
          </w:tcPr>
          <w:p w14:paraId="08F35397" w14:textId="29A3D423" w:rsidR="007B4196" w:rsidRPr="00AE4DBA" w:rsidRDefault="007B4196" w:rsidP="007B4196">
            <w:pPr>
              <w:rPr>
                <w:rFonts w:cs="Arial"/>
                <w:b/>
                <w:bCs/>
                <w:color w:val="FFFFFF"/>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79DA7EA0" w14:textId="6DC12F6A" w:rsidR="007B4196" w:rsidRPr="00AE4DBA" w:rsidRDefault="007B4196" w:rsidP="007B4196">
            <w:pPr>
              <w:rPr>
                <w:rFonts w:cs="Arial"/>
                <w:color w:val="000000"/>
                <w:sz w:val="20"/>
                <w:szCs w:val="20"/>
              </w:rPr>
            </w:pPr>
            <w:r w:rsidRPr="00AE4DBA">
              <w:t>Northland Waste</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8B7DC" w14:textId="6C3BA6BB" w:rsidR="007B4196" w:rsidRPr="00AE4DBA" w:rsidRDefault="007B4196" w:rsidP="00B037A1">
            <w:pPr>
              <w:jc w:val="right"/>
              <w:rPr>
                <w:rFonts w:cs="Arial"/>
                <w:color w:val="000000"/>
                <w:sz w:val="20"/>
                <w:szCs w:val="20"/>
              </w:rPr>
            </w:pPr>
            <w:r w:rsidRPr="00AE4DBA">
              <w:rPr>
                <w:sz w:val="20"/>
                <w:szCs w:val="20"/>
              </w:rPr>
              <w:t>29</w:t>
            </w:r>
          </w:p>
        </w:tc>
      </w:tr>
      <w:tr w:rsidR="007B4196" w:rsidRPr="00AE4DBA" w14:paraId="76E6ACDC" w14:textId="77777777" w:rsidTr="00B12422">
        <w:trPr>
          <w:trHeight w:val="276"/>
        </w:trPr>
        <w:tc>
          <w:tcPr>
            <w:tcW w:w="2410" w:type="dxa"/>
            <w:vMerge/>
            <w:hideMark/>
          </w:tcPr>
          <w:p w14:paraId="1BFE94ED" w14:textId="2E475E35" w:rsidR="007B4196" w:rsidRPr="00AE4DBA" w:rsidRDefault="007B4196" w:rsidP="007B4196">
            <w:pPr>
              <w:rPr>
                <w:rFonts w:cs="Arial"/>
                <w:b/>
                <w:bCs/>
                <w:color w:val="FFFFFF"/>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10A40A43" w14:textId="2E0CCFF7" w:rsidR="007B4196" w:rsidRPr="00AE4DBA" w:rsidRDefault="007B4196" w:rsidP="007B4196">
            <w:pPr>
              <w:rPr>
                <w:rFonts w:cs="Arial"/>
                <w:color w:val="000000"/>
                <w:sz w:val="20"/>
                <w:szCs w:val="20"/>
              </w:rPr>
            </w:pPr>
            <w:r w:rsidRPr="00AE4DBA">
              <w:t>Waste Management</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A6EBB" w14:textId="6B4116EA" w:rsidR="007B4196" w:rsidRPr="00AE4DBA" w:rsidRDefault="007B4196" w:rsidP="00B037A1">
            <w:pPr>
              <w:jc w:val="right"/>
              <w:rPr>
                <w:rFonts w:cs="Arial"/>
                <w:color w:val="000000"/>
                <w:sz w:val="20"/>
                <w:szCs w:val="20"/>
              </w:rPr>
            </w:pPr>
            <w:r w:rsidRPr="00AE4DBA">
              <w:rPr>
                <w:sz w:val="20"/>
                <w:szCs w:val="20"/>
              </w:rPr>
              <w:t>3,068</w:t>
            </w:r>
          </w:p>
        </w:tc>
      </w:tr>
      <w:tr w:rsidR="007B4196" w:rsidRPr="00AE4DBA" w14:paraId="504F92E2" w14:textId="77777777" w:rsidTr="00B12422">
        <w:trPr>
          <w:trHeight w:val="276"/>
        </w:trPr>
        <w:tc>
          <w:tcPr>
            <w:tcW w:w="2410" w:type="dxa"/>
            <w:vMerge/>
            <w:hideMark/>
          </w:tcPr>
          <w:p w14:paraId="0A826538" w14:textId="06316B7C" w:rsidR="007B4196" w:rsidRPr="00AE4DBA" w:rsidRDefault="007B4196" w:rsidP="007B4196">
            <w:pPr>
              <w:rPr>
                <w:rFonts w:cs="Arial"/>
                <w:b/>
                <w:bCs/>
                <w:color w:val="FFFFFF"/>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4771C96B" w14:textId="4650A47E" w:rsidR="007B4196" w:rsidRPr="00AE4DBA" w:rsidRDefault="007B4196" w:rsidP="007B4196">
            <w:pPr>
              <w:rPr>
                <w:rFonts w:cs="Arial"/>
                <w:color w:val="000000"/>
                <w:sz w:val="20"/>
                <w:szCs w:val="20"/>
              </w:rPr>
            </w:pPr>
            <w:r w:rsidRPr="00AE4DBA">
              <w:t>Subsidiary Inputs</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8F0EC" w14:textId="4983924B" w:rsidR="007B4196" w:rsidRPr="00AE4DBA" w:rsidRDefault="007B4196" w:rsidP="00B037A1">
            <w:pPr>
              <w:jc w:val="right"/>
              <w:rPr>
                <w:rFonts w:cs="Arial"/>
                <w:color w:val="000000"/>
                <w:sz w:val="20"/>
                <w:szCs w:val="20"/>
              </w:rPr>
            </w:pPr>
            <w:r w:rsidRPr="00AE4DBA">
              <w:rPr>
                <w:sz w:val="20"/>
                <w:szCs w:val="20"/>
              </w:rPr>
              <w:t>22</w:t>
            </w:r>
          </w:p>
        </w:tc>
      </w:tr>
      <w:tr w:rsidR="007B4196" w:rsidRPr="00AE4DBA" w14:paraId="22269632" w14:textId="77777777" w:rsidTr="00B12422">
        <w:trPr>
          <w:trHeight w:val="276"/>
        </w:trPr>
        <w:tc>
          <w:tcPr>
            <w:tcW w:w="2410" w:type="dxa"/>
            <w:vMerge/>
            <w:hideMark/>
          </w:tcPr>
          <w:p w14:paraId="17C2B967" w14:textId="2A23FA7D" w:rsidR="007B4196" w:rsidRPr="00AE4DBA" w:rsidRDefault="007B4196" w:rsidP="007B4196">
            <w:pPr>
              <w:rPr>
                <w:rFonts w:cs="Arial"/>
                <w:b/>
                <w:bCs/>
                <w:color w:val="FFFFFF"/>
                <w:szCs w:val="22"/>
              </w:rPr>
            </w:pPr>
          </w:p>
        </w:tc>
        <w:tc>
          <w:tcPr>
            <w:tcW w:w="5270" w:type="dxa"/>
            <w:tcBorders>
              <w:top w:val="single" w:sz="4" w:space="0" w:color="auto"/>
              <w:left w:val="single" w:sz="4" w:space="0" w:color="auto"/>
              <w:bottom w:val="single" w:sz="4" w:space="0" w:color="auto"/>
              <w:right w:val="single" w:sz="4" w:space="0" w:color="auto"/>
            </w:tcBorders>
            <w:shd w:val="clear" w:color="auto" w:fill="auto"/>
            <w:noWrap/>
            <w:hideMark/>
          </w:tcPr>
          <w:p w14:paraId="244F5AF8" w14:textId="4C7FAD79" w:rsidR="007B4196" w:rsidRPr="00AE4DBA" w:rsidRDefault="007B4196" w:rsidP="007B4196">
            <w:pPr>
              <w:rPr>
                <w:rFonts w:cs="Arial"/>
                <w:color w:val="000000"/>
                <w:sz w:val="20"/>
                <w:szCs w:val="20"/>
              </w:rPr>
            </w:pPr>
            <w:r w:rsidRPr="00AE4DBA">
              <w:t>Corporate Office Inputs</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19890" w14:textId="523A992B" w:rsidR="007B4196" w:rsidRPr="00AE4DBA" w:rsidRDefault="007B4196" w:rsidP="00B037A1">
            <w:pPr>
              <w:jc w:val="right"/>
              <w:rPr>
                <w:rFonts w:cs="Arial"/>
                <w:color w:val="000000"/>
                <w:sz w:val="20"/>
                <w:szCs w:val="20"/>
              </w:rPr>
            </w:pPr>
            <w:r w:rsidRPr="00AE4DBA">
              <w:rPr>
                <w:sz w:val="20"/>
                <w:szCs w:val="20"/>
              </w:rPr>
              <w:t>4</w:t>
            </w:r>
          </w:p>
        </w:tc>
      </w:tr>
    </w:tbl>
    <w:p w14:paraId="7B57BC7C" w14:textId="26AA34A2" w:rsidR="00F01382" w:rsidRPr="00AE4DBA" w:rsidRDefault="00F01382" w:rsidP="00E53E2E">
      <w:pPr>
        <w:pStyle w:val="Subheading1"/>
      </w:pPr>
      <w:r w:rsidRPr="00AE4DBA">
        <w:br w:type="page"/>
      </w:r>
    </w:p>
    <w:p w14:paraId="61170325" w14:textId="77777777" w:rsidR="004F5A87" w:rsidRPr="00AE4DBA" w:rsidRDefault="004F5A87" w:rsidP="00E53E2E">
      <w:pPr>
        <w:pStyle w:val="Subheading1"/>
        <w:sectPr w:rsidR="004F5A87" w:rsidRPr="00AE4DBA" w:rsidSect="004718DF">
          <w:pgSz w:w="11906" w:h="16838"/>
          <w:pgMar w:top="1531" w:right="1440" w:bottom="1077" w:left="1440" w:header="851" w:footer="198" w:gutter="0"/>
          <w:cols w:space="708"/>
          <w:titlePg/>
          <w:docGrid w:linePitch="360"/>
        </w:sectPr>
      </w:pPr>
    </w:p>
    <w:p w14:paraId="3F849C7C" w14:textId="7C8FADFF" w:rsidR="00E53E2E" w:rsidRPr="00AE4DBA" w:rsidRDefault="00E53E2E" w:rsidP="00E53E2E">
      <w:pPr>
        <w:pStyle w:val="Subheading1"/>
      </w:pPr>
      <w:bookmarkStart w:id="89" w:name="_Toc176345143"/>
      <w:r w:rsidRPr="00AE4DBA">
        <w:lastRenderedPageBreak/>
        <w:t>Appendix C Overview per CNGP activity group</w:t>
      </w:r>
      <w:bookmarkEnd w:id="89"/>
    </w:p>
    <w:p w14:paraId="39494B98" w14:textId="77777777" w:rsidR="007B4196" w:rsidRPr="00AE4DBA" w:rsidRDefault="00315343">
      <w:pPr>
        <w:spacing w:after="160" w:line="259" w:lineRule="auto"/>
      </w:pPr>
      <w:r w:rsidRPr="00AE4DBA">
        <w:t xml:space="preserve"> </w:t>
      </w:r>
    </w:p>
    <w:tbl>
      <w:tblPr>
        <w:tblW w:w="9356" w:type="dxa"/>
        <w:tblLook w:val="04A0" w:firstRow="1" w:lastRow="0" w:firstColumn="1" w:lastColumn="0" w:noHBand="0" w:noVBand="1"/>
      </w:tblPr>
      <w:tblGrid>
        <w:gridCol w:w="8222"/>
        <w:gridCol w:w="1134"/>
      </w:tblGrid>
      <w:tr w:rsidR="007B4196" w:rsidRPr="00AE4DBA" w14:paraId="31D84262" w14:textId="77777777" w:rsidTr="00B12422">
        <w:trPr>
          <w:trHeight w:val="288"/>
        </w:trPr>
        <w:tc>
          <w:tcPr>
            <w:tcW w:w="8222" w:type="dxa"/>
            <w:tcBorders>
              <w:top w:val="nil"/>
              <w:left w:val="nil"/>
              <w:bottom w:val="single" w:sz="4" w:space="0" w:color="A6A6A6"/>
              <w:right w:val="nil"/>
            </w:tcBorders>
            <w:shd w:val="clear" w:color="auto" w:fill="002060"/>
            <w:vAlign w:val="bottom"/>
            <w:hideMark/>
          </w:tcPr>
          <w:p w14:paraId="4BE5D498" w14:textId="77777777" w:rsidR="007B4196" w:rsidRPr="00AE4DBA" w:rsidRDefault="007B4196" w:rsidP="007B4196">
            <w:pPr>
              <w:rPr>
                <w:rFonts w:ascii="Calibri" w:hAnsi="Calibri" w:cs="Calibri"/>
                <w:b/>
                <w:bCs/>
                <w:color w:val="FFFFFF"/>
                <w:szCs w:val="22"/>
              </w:rPr>
            </w:pPr>
            <w:bookmarkStart w:id="90" w:name="RANGE!B5:C35"/>
            <w:r w:rsidRPr="00AE4DBA">
              <w:rPr>
                <w:rFonts w:ascii="Calibri" w:hAnsi="Calibri" w:cs="Calibri"/>
                <w:b/>
                <w:bCs/>
                <w:color w:val="FFFFFF"/>
                <w:szCs w:val="22"/>
              </w:rPr>
              <w:t>CNGP Activity Groups</w:t>
            </w:r>
            <w:bookmarkEnd w:id="90"/>
          </w:p>
        </w:tc>
        <w:tc>
          <w:tcPr>
            <w:tcW w:w="1134" w:type="dxa"/>
            <w:tcBorders>
              <w:top w:val="nil"/>
              <w:left w:val="nil"/>
              <w:bottom w:val="single" w:sz="4" w:space="0" w:color="A6A6A6"/>
              <w:right w:val="nil"/>
            </w:tcBorders>
            <w:shd w:val="clear" w:color="auto" w:fill="002060"/>
            <w:vAlign w:val="center"/>
            <w:hideMark/>
          </w:tcPr>
          <w:p w14:paraId="4B19A4E8" w14:textId="2060F79F" w:rsidR="007B4196" w:rsidRPr="00AE4DBA" w:rsidRDefault="007B4196" w:rsidP="009D372E">
            <w:pPr>
              <w:jc w:val="right"/>
              <w:rPr>
                <w:rFonts w:ascii="Calibri" w:hAnsi="Calibri" w:cs="Calibri"/>
                <w:b/>
                <w:bCs/>
                <w:color w:val="FFFFFF"/>
                <w:szCs w:val="22"/>
              </w:rPr>
            </w:pPr>
            <w:r w:rsidRPr="00AE4DBA">
              <w:rPr>
                <w:rFonts w:ascii="Calibri" w:hAnsi="Calibri" w:cs="Calibri"/>
                <w:b/>
                <w:bCs/>
                <w:color w:val="FFFFFF"/>
                <w:szCs w:val="22"/>
              </w:rPr>
              <w:t>tC0</w:t>
            </w:r>
            <w:r w:rsidRPr="009D372E">
              <w:rPr>
                <w:rFonts w:ascii="Calibri" w:hAnsi="Calibri" w:cs="Calibri"/>
                <w:b/>
                <w:bCs/>
                <w:color w:val="FFFFFF"/>
                <w:szCs w:val="22"/>
                <w:vertAlign w:val="subscript"/>
              </w:rPr>
              <w:t>2</w:t>
            </w:r>
            <w:r w:rsidRPr="00AE4DBA">
              <w:rPr>
                <w:rFonts w:ascii="Calibri" w:hAnsi="Calibri" w:cs="Calibri"/>
                <w:b/>
                <w:bCs/>
                <w:color w:val="FFFFFF"/>
                <w:szCs w:val="22"/>
              </w:rPr>
              <w:t>e</w:t>
            </w:r>
          </w:p>
        </w:tc>
      </w:tr>
      <w:tr w:rsidR="007B4196" w:rsidRPr="00AE4DBA" w14:paraId="45CB6A35" w14:textId="77777777" w:rsidTr="00B12422">
        <w:trPr>
          <w:trHeight w:val="288"/>
        </w:trPr>
        <w:tc>
          <w:tcPr>
            <w:tcW w:w="8222" w:type="dxa"/>
            <w:tcBorders>
              <w:top w:val="nil"/>
              <w:left w:val="nil"/>
              <w:bottom w:val="nil"/>
              <w:right w:val="nil"/>
            </w:tcBorders>
            <w:shd w:val="clear" w:color="auto" w:fill="auto"/>
            <w:vAlign w:val="bottom"/>
            <w:hideMark/>
          </w:tcPr>
          <w:p w14:paraId="507764DF"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1 - Agriculture (all emissions)</w:t>
            </w:r>
          </w:p>
        </w:tc>
        <w:tc>
          <w:tcPr>
            <w:tcW w:w="1134" w:type="dxa"/>
            <w:tcBorders>
              <w:top w:val="nil"/>
              <w:left w:val="nil"/>
              <w:bottom w:val="nil"/>
              <w:right w:val="nil"/>
            </w:tcBorders>
            <w:shd w:val="clear" w:color="auto" w:fill="auto"/>
            <w:noWrap/>
            <w:vAlign w:val="bottom"/>
            <w:hideMark/>
          </w:tcPr>
          <w:p w14:paraId="0F658C7E"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 - </w:t>
            </w:r>
          </w:p>
        </w:tc>
      </w:tr>
      <w:tr w:rsidR="007B4196" w:rsidRPr="00AE4DBA" w14:paraId="455AFECA" w14:textId="77777777" w:rsidTr="00B12422">
        <w:trPr>
          <w:trHeight w:val="576"/>
        </w:trPr>
        <w:tc>
          <w:tcPr>
            <w:tcW w:w="8222" w:type="dxa"/>
            <w:tcBorders>
              <w:top w:val="nil"/>
              <w:left w:val="nil"/>
              <w:bottom w:val="nil"/>
              <w:right w:val="nil"/>
            </w:tcBorders>
            <w:shd w:val="clear" w:color="auto" w:fill="auto"/>
            <w:vAlign w:val="bottom"/>
            <w:hideMark/>
          </w:tcPr>
          <w:p w14:paraId="27B64215"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1 - Biofuel (fossil fuel emissions and N</w:t>
            </w:r>
            <w:r w:rsidRPr="009D372E">
              <w:rPr>
                <w:rFonts w:ascii="Calibri" w:hAnsi="Calibri" w:cs="Calibri"/>
                <w:color w:val="000000"/>
                <w:szCs w:val="22"/>
                <w:vertAlign w:val="subscript"/>
              </w:rPr>
              <w:t>2</w:t>
            </w:r>
            <w:r w:rsidRPr="00AE4DBA">
              <w:rPr>
                <w:rFonts w:ascii="Calibri" w:hAnsi="Calibri" w:cs="Calibri"/>
                <w:color w:val="000000"/>
                <w:szCs w:val="22"/>
              </w:rPr>
              <w:t>O and CH</w:t>
            </w:r>
            <w:r w:rsidRPr="00B12422">
              <w:rPr>
                <w:rFonts w:ascii="Calibri" w:hAnsi="Calibri" w:cs="Calibri"/>
                <w:color w:val="000000"/>
                <w:szCs w:val="22"/>
                <w:vertAlign w:val="subscript"/>
              </w:rPr>
              <w:t>4</w:t>
            </w:r>
            <w:r w:rsidRPr="00AE4DBA">
              <w:rPr>
                <w:rFonts w:ascii="Calibri" w:hAnsi="Calibri" w:cs="Calibri"/>
                <w:color w:val="000000"/>
                <w:szCs w:val="22"/>
              </w:rPr>
              <w:t xml:space="preserve"> component for the biofuel portion)</w:t>
            </w:r>
          </w:p>
        </w:tc>
        <w:tc>
          <w:tcPr>
            <w:tcW w:w="1134" w:type="dxa"/>
            <w:tcBorders>
              <w:top w:val="nil"/>
              <w:left w:val="nil"/>
              <w:bottom w:val="nil"/>
              <w:right w:val="nil"/>
            </w:tcBorders>
            <w:shd w:val="clear" w:color="auto" w:fill="auto"/>
            <w:noWrap/>
            <w:vAlign w:val="bottom"/>
            <w:hideMark/>
          </w:tcPr>
          <w:p w14:paraId="1611D668"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 - </w:t>
            </w:r>
          </w:p>
        </w:tc>
      </w:tr>
      <w:tr w:rsidR="007B4196" w:rsidRPr="00AE4DBA" w14:paraId="6D5688F9" w14:textId="77777777" w:rsidTr="00B12422">
        <w:trPr>
          <w:trHeight w:val="576"/>
        </w:trPr>
        <w:tc>
          <w:tcPr>
            <w:tcW w:w="8222" w:type="dxa"/>
            <w:tcBorders>
              <w:top w:val="nil"/>
              <w:left w:val="nil"/>
              <w:bottom w:val="nil"/>
              <w:right w:val="nil"/>
            </w:tcBorders>
            <w:shd w:val="clear" w:color="auto" w:fill="auto"/>
            <w:vAlign w:val="bottom"/>
            <w:hideMark/>
          </w:tcPr>
          <w:p w14:paraId="4EED6F43" w14:textId="4256B86A" w:rsidR="007B4196" w:rsidRPr="00AE4DBA" w:rsidRDefault="007B4196" w:rsidP="007B4196">
            <w:pPr>
              <w:rPr>
                <w:rFonts w:ascii="Calibri" w:hAnsi="Calibri" w:cs="Calibri"/>
                <w:color w:val="000000"/>
                <w:szCs w:val="22"/>
              </w:rPr>
            </w:pPr>
            <w:r w:rsidRPr="00AE4DBA">
              <w:rPr>
                <w:rFonts w:ascii="Calibri" w:hAnsi="Calibri" w:cs="Calibri"/>
                <w:color w:val="000000"/>
                <w:szCs w:val="22"/>
              </w:rPr>
              <w:t xml:space="preserve">Scope 1 - Biomass (fossil fuel emissions and </w:t>
            </w:r>
            <w:r w:rsidR="00482773" w:rsidRPr="00AE4DBA">
              <w:rPr>
                <w:rFonts w:ascii="Calibri" w:hAnsi="Calibri" w:cs="Calibri"/>
                <w:color w:val="000000"/>
                <w:szCs w:val="22"/>
              </w:rPr>
              <w:t>N</w:t>
            </w:r>
            <w:r w:rsidR="00482773" w:rsidRPr="00AE24B9">
              <w:rPr>
                <w:rFonts w:ascii="Calibri" w:hAnsi="Calibri" w:cs="Calibri"/>
                <w:color w:val="000000"/>
                <w:szCs w:val="22"/>
                <w:vertAlign w:val="subscript"/>
              </w:rPr>
              <w:t>2</w:t>
            </w:r>
            <w:r w:rsidR="00482773" w:rsidRPr="00AE4DBA">
              <w:rPr>
                <w:rFonts w:ascii="Calibri" w:hAnsi="Calibri" w:cs="Calibri"/>
                <w:color w:val="000000"/>
                <w:szCs w:val="22"/>
              </w:rPr>
              <w:t>O and CH</w:t>
            </w:r>
            <w:r w:rsidR="00482773" w:rsidRPr="00AE24B9">
              <w:rPr>
                <w:rFonts w:ascii="Calibri" w:hAnsi="Calibri" w:cs="Calibri"/>
                <w:color w:val="000000"/>
                <w:szCs w:val="22"/>
                <w:vertAlign w:val="subscript"/>
              </w:rPr>
              <w:t>4</w:t>
            </w:r>
            <w:r w:rsidR="00482773" w:rsidRPr="00AE4DBA">
              <w:rPr>
                <w:rFonts w:ascii="Calibri" w:hAnsi="Calibri" w:cs="Calibri"/>
                <w:color w:val="000000"/>
                <w:szCs w:val="22"/>
              </w:rPr>
              <w:t xml:space="preserve"> </w:t>
            </w:r>
            <w:r w:rsidRPr="00AE4DBA">
              <w:rPr>
                <w:rFonts w:ascii="Calibri" w:hAnsi="Calibri" w:cs="Calibri"/>
                <w:color w:val="000000"/>
                <w:szCs w:val="22"/>
              </w:rPr>
              <w:t>component for the biofuel portion)</w:t>
            </w:r>
          </w:p>
        </w:tc>
        <w:tc>
          <w:tcPr>
            <w:tcW w:w="1134" w:type="dxa"/>
            <w:tcBorders>
              <w:top w:val="nil"/>
              <w:left w:val="nil"/>
              <w:bottom w:val="nil"/>
              <w:right w:val="nil"/>
            </w:tcBorders>
            <w:shd w:val="clear" w:color="auto" w:fill="auto"/>
            <w:noWrap/>
            <w:vAlign w:val="bottom"/>
            <w:hideMark/>
          </w:tcPr>
          <w:p w14:paraId="05D23C0E"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10 </w:t>
            </w:r>
          </w:p>
        </w:tc>
      </w:tr>
      <w:tr w:rsidR="007B4196" w:rsidRPr="00AE4DBA" w14:paraId="70C34BFA" w14:textId="77777777" w:rsidTr="00B12422">
        <w:trPr>
          <w:trHeight w:val="288"/>
        </w:trPr>
        <w:tc>
          <w:tcPr>
            <w:tcW w:w="8222" w:type="dxa"/>
            <w:tcBorders>
              <w:top w:val="nil"/>
              <w:left w:val="nil"/>
              <w:bottom w:val="nil"/>
              <w:right w:val="nil"/>
            </w:tcBorders>
            <w:shd w:val="clear" w:color="auto" w:fill="auto"/>
            <w:vAlign w:val="bottom"/>
            <w:hideMark/>
          </w:tcPr>
          <w:p w14:paraId="2BD1B8E3"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1 - Forestry - harvest/deforestation</w:t>
            </w:r>
          </w:p>
        </w:tc>
        <w:tc>
          <w:tcPr>
            <w:tcW w:w="1134" w:type="dxa"/>
            <w:tcBorders>
              <w:top w:val="nil"/>
              <w:left w:val="nil"/>
              <w:bottom w:val="nil"/>
              <w:right w:val="nil"/>
            </w:tcBorders>
            <w:shd w:val="clear" w:color="auto" w:fill="auto"/>
            <w:noWrap/>
            <w:vAlign w:val="bottom"/>
            <w:hideMark/>
          </w:tcPr>
          <w:p w14:paraId="27AE9CD4"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 - </w:t>
            </w:r>
          </w:p>
        </w:tc>
      </w:tr>
      <w:tr w:rsidR="007B4196" w:rsidRPr="00AE4DBA" w14:paraId="44755CCA" w14:textId="77777777" w:rsidTr="00B12422">
        <w:trPr>
          <w:trHeight w:val="288"/>
        </w:trPr>
        <w:tc>
          <w:tcPr>
            <w:tcW w:w="8222" w:type="dxa"/>
            <w:tcBorders>
              <w:top w:val="nil"/>
              <w:left w:val="nil"/>
              <w:bottom w:val="nil"/>
              <w:right w:val="nil"/>
            </w:tcBorders>
            <w:shd w:val="clear" w:color="auto" w:fill="auto"/>
            <w:vAlign w:val="bottom"/>
            <w:hideMark/>
          </w:tcPr>
          <w:p w14:paraId="0F46A34B"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1 - Refrigerants, medical and other gases </w:t>
            </w:r>
          </w:p>
        </w:tc>
        <w:tc>
          <w:tcPr>
            <w:tcW w:w="1134" w:type="dxa"/>
            <w:tcBorders>
              <w:top w:val="nil"/>
              <w:left w:val="nil"/>
              <w:bottom w:val="nil"/>
              <w:right w:val="nil"/>
            </w:tcBorders>
            <w:shd w:val="clear" w:color="auto" w:fill="auto"/>
            <w:noWrap/>
            <w:vAlign w:val="bottom"/>
            <w:hideMark/>
          </w:tcPr>
          <w:p w14:paraId="23F33643"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15,682 </w:t>
            </w:r>
          </w:p>
        </w:tc>
      </w:tr>
      <w:tr w:rsidR="007B4196" w:rsidRPr="00AE4DBA" w14:paraId="00566153" w14:textId="77777777" w:rsidTr="00B12422">
        <w:trPr>
          <w:trHeight w:val="288"/>
        </w:trPr>
        <w:tc>
          <w:tcPr>
            <w:tcW w:w="8222" w:type="dxa"/>
            <w:tcBorders>
              <w:top w:val="nil"/>
              <w:left w:val="nil"/>
              <w:bottom w:val="nil"/>
              <w:right w:val="nil"/>
            </w:tcBorders>
            <w:shd w:val="clear" w:color="auto" w:fill="auto"/>
            <w:vAlign w:val="bottom"/>
            <w:hideMark/>
          </w:tcPr>
          <w:p w14:paraId="657590EA"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1 - Other</w:t>
            </w:r>
          </w:p>
        </w:tc>
        <w:tc>
          <w:tcPr>
            <w:tcW w:w="1134" w:type="dxa"/>
            <w:tcBorders>
              <w:top w:val="nil"/>
              <w:left w:val="nil"/>
              <w:bottom w:val="nil"/>
              <w:right w:val="nil"/>
            </w:tcBorders>
            <w:shd w:val="clear" w:color="auto" w:fill="auto"/>
            <w:noWrap/>
            <w:vAlign w:val="bottom"/>
            <w:hideMark/>
          </w:tcPr>
          <w:p w14:paraId="6A45518C"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 - </w:t>
            </w:r>
          </w:p>
        </w:tc>
      </w:tr>
      <w:tr w:rsidR="007B4196" w:rsidRPr="00AE4DBA" w14:paraId="3585A00B" w14:textId="77777777" w:rsidTr="00B12422">
        <w:trPr>
          <w:trHeight w:val="288"/>
        </w:trPr>
        <w:tc>
          <w:tcPr>
            <w:tcW w:w="8222" w:type="dxa"/>
            <w:tcBorders>
              <w:top w:val="nil"/>
              <w:left w:val="nil"/>
              <w:bottom w:val="nil"/>
              <w:right w:val="nil"/>
            </w:tcBorders>
            <w:shd w:val="clear" w:color="auto" w:fill="auto"/>
            <w:vAlign w:val="bottom"/>
            <w:hideMark/>
          </w:tcPr>
          <w:p w14:paraId="0CE04B21"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1 - Stationary combustion - coal</w:t>
            </w:r>
          </w:p>
        </w:tc>
        <w:tc>
          <w:tcPr>
            <w:tcW w:w="1134" w:type="dxa"/>
            <w:tcBorders>
              <w:top w:val="nil"/>
              <w:left w:val="nil"/>
              <w:bottom w:val="nil"/>
              <w:right w:val="nil"/>
            </w:tcBorders>
            <w:shd w:val="clear" w:color="auto" w:fill="auto"/>
            <w:noWrap/>
            <w:vAlign w:val="bottom"/>
            <w:hideMark/>
          </w:tcPr>
          <w:p w14:paraId="13AED748"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7,718 </w:t>
            </w:r>
          </w:p>
        </w:tc>
      </w:tr>
      <w:tr w:rsidR="007B4196" w:rsidRPr="00AE4DBA" w14:paraId="2A6E9E1E" w14:textId="77777777" w:rsidTr="00B12422">
        <w:trPr>
          <w:trHeight w:val="288"/>
        </w:trPr>
        <w:tc>
          <w:tcPr>
            <w:tcW w:w="8222" w:type="dxa"/>
            <w:tcBorders>
              <w:top w:val="nil"/>
              <w:left w:val="nil"/>
              <w:bottom w:val="nil"/>
              <w:right w:val="nil"/>
            </w:tcBorders>
            <w:shd w:val="clear" w:color="auto" w:fill="auto"/>
            <w:vAlign w:val="bottom"/>
            <w:hideMark/>
          </w:tcPr>
          <w:p w14:paraId="625987BE"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1 - Stationary combustion - natural gas and LPG</w:t>
            </w:r>
          </w:p>
        </w:tc>
        <w:tc>
          <w:tcPr>
            <w:tcW w:w="1134" w:type="dxa"/>
            <w:tcBorders>
              <w:top w:val="nil"/>
              <w:left w:val="nil"/>
              <w:bottom w:val="nil"/>
              <w:right w:val="nil"/>
            </w:tcBorders>
            <w:shd w:val="clear" w:color="auto" w:fill="auto"/>
            <w:noWrap/>
            <w:vAlign w:val="bottom"/>
            <w:hideMark/>
          </w:tcPr>
          <w:p w14:paraId="1FB97FF5"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49,684 </w:t>
            </w:r>
          </w:p>
        </w:tc>
      </w:tr>
      <w:tr w:rsidR="007B4196" w:rsidRPr="00AE4DBA" w14:paraId="456CA417" w14:textId="77777777" w:rsidTr="00B12422">
        <w:trPr>
          <w:trHeight w:val="288"/>
        </w:trPr>
        <w:tc>
          <w:tcPr>
            <w:tcW w:w="8222" w:type="dxa"/>
            <w:tcBorders>
              <w:top w:val="nil"/>
              <w:left w:val="nil"/>
              <w:bottom w:val="nil"/>
              <w:right w:val="nil"/>
            </w:tcBorders>
            <w:shd w:val="clear" w:color="auto" w:fill="auto"/>
            <w:vAlign w:val="bottom"/>
            <w:hideMark/>
          </w:tcPr>
          <w:p w14:paraId="70B49CA4" w14:textId="2569F26A"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1 - Stationary combustion - other (</w:t>
            </w:r>
            <w:r w:rsidR="00482773" w:rsidRPr="00AE4DBA">
              <w:rPr>
                <w:rFonts w:ascii="Calibri" w:hAnsi="Calibri" w:cs="Calibri"/>
                <w:color w:val="000000"/>
                <w:szCs w:val="22"/>
              </w:rPr>
              <w:t>e.g.</w:t>
            </w:r>
            <w:r w:rsidRPr="00AE4DBA">
              <w:rPr>
                <w:rFonts w:ascii="Calibri" w:hAnsi="Calibri" w:cs="Calibri"/>
                <w:color w:val="000000"/>
                <w:szCs w:val="22"/>
              </w:rPr>
              <w:t xml:space="preserve"> diesel)</w:t>
            </w:r>
          </w:p>
        </w:tc>
        <w:tc>
          <w:tcPr>
            <w:tcW w:w="1134" w:type="dxa"/>
            <w:tcBorders>
              <w:top w:val="nil"/>
              <w:left w:val="nil"/>
              <w:bottom w:val="nil"/>
              <w:right w:val="nil"/>
            </w:tcBorders>
            <w:shd w:val="clear" w:color="auto" w:fill="auto"/>
            <w:noWrap/>
            <w:vAlign w:val="bottom"/>
            <w:hideMark/>
          </w:tcPr>
          <w:p w14:paraId="5BEA452D"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1,497 </w:t>
            </w:r>
          </w:p>
        </w:tc>
      </w:tr>
      <w:tr w:rsidR="007B4196" w:rsidRPr="00AE4DBA" w14:paraId="67C4BBD3" w14:textId="77777777" w:rsidTr="00B12422">
        <w:trPr>
          <w:trHeight w:val="288"/>
        </w:trPr>
        <w:tc>
          <w:tcPr>
            <w:tcW w:w="8222" w:type="dxa"/>
            <w:tcBorders>
              <w:top w:val="nil"/>
              <w:left w:val="nil"/>
              <w:bottom w:val="nil"/>
              <w:right w:val="nil"/>
            </w:tcBorders>
            <w:shd w:val="clear" w:color="auto" w:fill="auto"/>
            <w:vAlign w:val="bottom"/>
            <w:hideMark/>
          </w:tcPr>
          <w:p w14:paraId="73DFF0E7" w14:textId="49EC98FB"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1 - Transport fuels - aviation</w:t>
            </w:r>
          </w:p>
        </w:tc>
        <w:tc>
          <w:tcPr>
            <w:tcW w:w="1134" w:type="dxa"/>
            <w:tcBorders>
              <w:top w:val="nil"/>
              <w:left w:val="nil"/>
              <w:bottom w:val="nil"/>
              <w:right w:val="nil"/>
            </w:tcBorders>
            <w:shd w:val="clear" w:color="000000" w:fill="FFFFFF"/>
            <w:noWrap/>
            <w:vAlign w:val="bottom"/>
            <w:hideMark/>
          </w:tcPr>
          <w:p w14:paraId="7129B2FE"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 - </w:t>
            </w:r>
          </w:p>
        </w:tc>
      </w:tr>
      <w:tr w:rsidR="007B4196" w:rsidRPr="00AE4DBA" w14:paraId="22E63D87" w14:textId="77777777" w:rsidTr="00B12422">
        <w:trPr>
          <w:trHeight w:val="288"/>
        </w:trPr>
        <w:tc>
          <w:tcPr>
            <w:tcW w:w="8222" w:type="dxa"/>
            <w:tcBorders>
              <w:top w:val="nil"/>
              <w:left w:val="nil"/>
              <w:bottom w:val="nil"/>
              <w:right w:val="nil"/>
            </w:tcBorders>
            <w:shd w:val="clear" w:color="auto" w:fill="auto"/>
            <w:vAlign w:val="bottom"/>
            <w:hideMark/>
          </w:tcPr>
          <w:p w14:paraId="016669BE" w14:textId="1A94F902"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1 - Transport fuels - other (</w:t>
            </w:r>
            <w:r w:rsidR="00482773" w:rsidRPr="00AE4DBA">
              <w:rPr>
                <w:rFonts w:ascii="Calibri" w:hAnsi="Calibri" w:cs="Calibri"/>
                <w:color w:val="000000"/>
                <w:szCs w:val="22"/>
              </w:rPr>
              <w:t>e.g.</w:t>
            </w:r>
            <w:r w:rsidRPr="00AE4DBA">
              <w:rPr>
                <w:rFonts w:ascii="Calibri" w:hAnsi="Calibri" w:cs="Calibri"/>
                <w:color w:val="000000"/>
                <w:szCs w:val="22"/>
              </w:rPr>
              <w:t xml:space="preserve"> shipping fuel)</w:t>
            </w:r>
          </w:p>
        </w:tc>
        <w:tc>
          <w:tcPr>
            <w:tcW w:w="1134" w:type="dxa"/>
            <w:tcBorders>
              <w:top w:val="nil"/>
              <w:left w:val="nil"/>
              <w:bottom w:val="nil"/>
              <w:right w:val="nil"/>
            </w:tcBorders>
            <w:shd w:val="clear" w:color="auto" w:fill="auto"/>
            <w:noWrap/>
            <w:vAlign w:val="bottom"/>
            <w:hideMark/>
          </w:tcPr>
          <w:p w14:paraId="50F35A91"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 - </w:t>
            </w:r>
          </w:p>
        </w:tc>
      </w:tr>
      <w:tr w:rsidR="007B4196" w:rsidRPr="00AE4DBA" w14:paraId="16DF6D45" w14:textId="77777777" w:rsidTr="00B12422">
        <w:trPr>
          <w:trHeight w:val="288"/>
        </w:trPr>
        <w:tc>
          <w:tcPr>
            <w:tcW w:w="8222" w:type="dxa"/>
            <w:tcBorders>
              <w:top w:val="nil"/>
              <w:left w:val="nil"/>
              <w:bottom w:val="single" w:sz="4" w:space="0" w:color="008A9F"/>
              <w:right w:val="nil"/>
            </w:tcBorders>
            <w:shd w:val="clear" w:color="auto" w:fill="auto"/>
            <w:vAlign w:val="bottom"/>
            <w:hideMark/>
          </w:tcPr>
          <w:p w14:paraId="75D3229B" w14:textId="7F8B92B2"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1 - Transport fuels - vehicle fleet</w:t>
            </w:r>
          </w:p>
        </w:tc>
        <w:tc>
          <w:tcPr>
            <w:tcW w:w="1134" w:type="dxa"/>
            <w:tcBorders>
              <w:top w:val="nil"/>
              <w:left w:val="nil"/>
              <w:bottom w:val="single" w:sz="4" w:space="0" w:color="008A9F"/>
              <w:right w:val="nil"/>
            </w:tcBorders>
            <w:shd w:val="clear" w:color="auto" w:fill="auto"/>
            <w:noWrap/>
            <w:vAlign w:val="bottom"/>
            <w:hideMark/>
          </w:tcPr>
          <w:p w14:paraId="3FE387D9"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8,493 </w:t>
            </w:r>
          </w:p>
        </w:tc>
      </w:tr>
      <w:tr w:rsidR="007B4196" w:rsidRPr="00AE4DBA" w14:paraId="1A2BB5B2" w14:textId="77777777" w:rsidTr="00B12422">
        <w:trPr>
          <w:trHeight w:val="288"/>
        </w:trPr>
        <w:tc>
          <w:tcPr>
            <w:tcW w:w="8222" w:type="dxa"/>
            <w:tcBorders>
              <w:top w:val="nil"/>
              <w:left w:val="nil"/>
              <w:bottom w:val="nil"/>
              <w:right w:val="nil"/>
            </w:tcBorders>
            <w:shd w:val="clear" w:color="auto" w:fill="auto"/>
            <w:vAlign w:val="bottom"/>
            <w:hideMark/>
          </w:tcPr>
          <w:p w14:paraId="146FB6F4"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2 - Electricity</w:t>
            </w:r>
          </w:p>
        </w:tc>
        <w:tc>
          <w:tcPr>
            <w:tcW w:w="1134" w:type="dxa"/>
            <w:tcBorders>
              <w:top w:val="nil"/>
              <w:left w:val="nil"/>
              <w:bottom w:val="nil"/>
              <w:right w:val="nil"/>
            </w:tcBorders>
            <w:shd w:val="clear" w:color="auto" w:fill="auto"/>
            <w:noWrap/>
            <w:vAlign w:val="bottom"/>
            <w:hideMark/>
          </w:tcPr>
          <w:p w14:paraId="1CCA5BAD"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26,425 </w:t>
            </w:r>
          </w:p>
        </w:tc>
      </w:tr>
      <w:tr w:rsidR="007B4196" w:rsidRPr="00AE4DBA" w14:paraId="77C02174" w14:textId="77777777" w:rsidTr="00B12422">
        <w:trPr>
          <w:trHeight w:val="288"/>
        </w:trPr>
        <w:tc>
          <w:tcPr>
            <w:tcW w:w="8222" w:type="dxa"/>
            <w:tcBorders>
              <w:top w:val="nil"/>
              <w:left w:val="nil"/>
              <w:bottom w:val="single" w:sz="4" w:space="0" w:color="008A9F"/>
              <w:right w:val="nil"/>
            </w:tcBorders>
            <w:shd w:val="clear" w:color="auto" w:fill="auto"/>
            <w:vAlign w:val="bottom"/>
            <w:hideMark/>
          </w:tcPr>
          <w:p w14:paraId="19E629D6" w14:textId="4AE088D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2 - Other (</w:t>
            </w:r>
            <w:r w:rsidR="00482773" w:rsidRPr="00AE4DBA">
              <w:rPr>
                <w:rFonts w:ascii="Calibri" w:hAnsi="Calibri" w:cs="Calibri"/>
                <w:color w:val="000000"/>
                <w:szCs w:val="22"/>
              </w:rPr>
              <w:t>e.g.</w:t>
            </w:r>
            <w:r w:rsidRPr="00AE4DBA">
              <w:rPr>
                <w:rFonts w:ascii="Calibri" w:hAnsi="Calibri" w:cs="Calibri"/>
                <w:color w:val="000000"/>
                <w:szCs w:val="22"/>
              </w:rPr>
              <w:t xml:space="preserve"> purchased steam)</w:t>
            </w:r>
          </w:p>
        </w:tc>
        <w:tc>
          <w:tcPr>
            <w:tcW w:w="1134" w:type="dxa"/>
            <w:tcBorders>
              <w:top w:val="nil"/>
              <w:left w:val="nil"/>
              <w:bottom w:val="single" w:sz="4" w:space="0" w:color="008A9F"/>
              <w:right w:val="nil"/>
            </w:tcBorders>
            <w:shd w:val="clear" w:color="auto" w:fill="auto"/>
            <w:noWrap/>
            <w:vAlign w:val="bottom"/>
            <w:hideMark/>
          </w:tcPr>
          <w:p w14:paraId="2DDFA4C0"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586 </w:t>
            </w:r>
          </w:p>
        </w:tc>
      </w:tr>
      <w:tr w:rsidR="007B4196" w:rsidRPr="00AE4DBA" w14:paraId="508D647B" w14:textId="77777777" w:rsidTr="00B12422">
        <w:trPr>
          <w:trHeight w:val="288"/>
        </w:trPr>
        <w:tc>
          <w:tcPr>
            <w:tcW w:w="8222" w:type="dxa"/>
            <w:tcBorders>
              <w:top w:val="nil"/>
              <w:left w:val="nil"/>
              <w:bottom w:val="nil"/>
              <w:right w:val="nil"/>
            </w:tcBorders>
            <w:shd w:val="clear" w:color="auto" w:fill="auto"/>
            <w:vAlign w:val="bottom"/>
            <w:hideMark/>
          </w:tcPr>
          <w:p w14:paraId="20D058D4"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3 (mandatory) - Air travel domestic</w:t>
            </w:r>
          </w:p>
        </w:tc>
        <w:tc>
          <w:tcPr>
            <w:tcW w:w="1134" w:type="dxa"/>
            <w:tcBorders>
              <w:top w:val="nil"/>
              <w:left w:val="nil"/>
              <w:bottom w:val="nil"/>
              <w:right w:val="nil"/>
            </w:tcBorders>
            <w:shd w:val="clear" w:color="auto" w:fill="auto"/>
            <w:noWrap/>
            <w:vAlign w:val="bottom"/>
            <w:hideMark/>
          </w:tcPr>
          <w:p w14:paraId="73EC6FE4"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30,329 </w:t>
            </w:r>
          </w:p>
        </w:tc>
      </w:tr>
      <w:tr w:rsidR="007B4196" w:rsidRPr="00AE4DBA" w14:paraId="2BE4F065" w14:textId="77777777" w:rsidTr="00B12422">
        <w:trPr>
          <w:trHeight w:val="288"/>
        </w:trPr>
        <w:tc>
          <w:tcPr>
            <w:tcW w:w="8222" w:type="dxa"/>
            <w:tcBorders>
              <w:top w:val="nil"/>
              <w:left w:val="nil"/>
              <w:bottom w:val="nil"/>
              <w:right w:val="nil"/>
            </w:tcBorders>
            <w:shd w:val="clear" w:color="auto" w:fill="auto"/>
            <w:vAlign w:val="bottom"/>
            <w:hideMark/>
          </w:tcPr>
          <w:p w14:paraId="5B5496D4"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3 (mandatory) - Air travel international</w:t>
            </w:r>
          </w:p>
        </w:tc>
        <w:tc>
          <w:tcPr>
            <w:tcW w:w="1134" w:type="dxa"/>
            <w:tcBorders>
              <w:top w:val="nil"/>
              <w:left w:val="nil"/>
              <w:bottom w:val="nil"/>
              <w:right w:val="nil"/>
            </w:tcBorders>
            <w:shd w:val="clear" w:color="auto" w:fill="auto"/>
            <w:noWrap/>
            <w:vAlign w:val="bottom"/>
            <w:hideMark/>
          </w:tcPr>
          <w:p w14:paraId="572B1C2E"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25,350 </w:t>
            </w:r>
          </w:p>
        </w:tc>
      </w:tr>
      <w:tr w:rsidR="007B4196" w:rsidRPr="00AE4DBA" w14:paraId="785B682B" w14:textId="77777777" w:rsidTr="00B12422">
        <w:trPr>
          <w:trHeight w:val="288"/>
        </w:trPr>
        <w:tc>
          <w:tcPr>
            <w:tcW w:w="8222" w:type="dxa"/>
            <w:tcBorders>
              <w:top w:val="nil"/>
              <w:left w:val="nil"/>
              <w:bottom w:val="nil"/>
              <w:right w:val="nil"/>
            </w:tcBorders>
            <w:shd w:val="clear" w:color="auto" w:fill="auto"/>
            <w:vAlign w:val="bottom"/>
            <w:hideMark/>
          </w:tcPr>
          <w:p w14:paraId="08E72AD0" w14:textId="3E5AA0D4"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3 (mandatory) - Business travel other (</w:t>
            </w:r>
            <w:r w:rsidR="00482773" w:rsidRPr="00AE4DBA">
              <w:rPr>
                <w:rFonts w:ascii="Calibri" w:hAnsi="Calibri" w:cs="Calibri"/>
                <w:color w:val="000000"/>
                <w:szCs w:val="22"/>
              </w:rPr>
              <w:t>e.g.</w:t>
            </w:r>
            <w:r w:rsidRPr="00AE4DBA">
              <w:rPr>
                <w:rFonts w:ascii="Calibri" w:hAnsi="Calibri" w:cs="Calibri"/>
                <w:color w:val="000000"/>
                <w:szCs w:val="22"/>
              </w:rPr>
              <w:t xml:space="preserve"> taxi, hotel, rental cars)</w:t>
            </w:r>
          </w:p>
        </w:tc>
        <w:tc>
          <w:tcPr>
            <w:tcW w:w="1134" w:type="dxa"/>
            <w:tcBorders>
              <w:top w:val="nil"/>
              <w:left w:val="nil"/>
              <w:bottom w:val="nil"/>
              <w:right w:val="nil"/>
            </w:tcBorders>
            <w:shd w:val="clear" w:color="auto" w:fill="auto"/>
            <w:noWrap/>
            <w:vAlign w:val="bottom"/>
            <w:hideMark/>
          </w:tcPr>
          <w:p w14:paraId="2762120E"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2,570 </w:t>
            </w:r>
          </w:p>
        </w:tc>
      </w:tr>
      <w:tr w:rsidR="007B4196" w:rsidRPr="00AE4DBA" w14:paraId="2B56EBEF" w14:textId="77777777" w:rsidTr="00B12422">
        <w:trPr>
          <w:trHeight w:val="288"/>
        </w:trPr>
        <w:tc>
          <w:tcPr>
            <w:tcW w:w="8222" w:type="dxa"/>
            <w:tcBorders>
              <w:top w:val="nil"/>
              <w:left w:val="nil"/>
              <w:bottom w:val="nil"/>
              <w:right w:val="nil"/>
            </w:tcBorders>
            <w:shd w:val="clear" w:color="auto" w:fill="auto"/>
            <w:vAlign w:val="bottom"/>
            <w:hideMark/>
          </w:tcPr>
          <w:p w14:paraId="65B82597"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3 (mandatory) - Freight</w:t>
            </w:r>
          </w:p>
        </w:tc>
        <w:tc>
          <w:tcPr>
            <w:tcW w:w="1134" w:type="dxa"/>
            <w:tcBorders>
              <w:top w:val="nil"/>
              <w:left w:val="nil"/>
              <w:bottom w:val="nil"/>
              <w:right w:val="nil"/>
            </w:tcBorders>
            <w:shd w:val="clear" w:color="auto" w:fill="auto"/>
            <w:noWrap/>
            <w:vAlign w:val="bottom"/>
            <w:hideMark/>
          </w:tcPr>
          <w:p w14:paraId="64870851"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 - </w:t>
            </w:r>
          </w:p>
        </w:tc>
      </w:tr>
      <w:tr w:rsidR="007B4196" w:rsidRPr="00AE4DBA" w14:paraId="5E90B7F9" w14:textId="77777777" w:rsidTr="00B12422">
        <w:trPr>
          <w:trHeight w:val="288"/>
        </w:trPr>
        <w:tc>
          <w:tcPr>
            <w:tcW w:w="8222" w:type="dxa"/>
            <w:tcBorders>
              <w:top w:val="nil"/>
              <w:left w:val="nil"/>
              <w:bottom w:val="nil"/>
              <w:right w:val="nil"/>
            </w:tcBorders>
            <w:shd w:val="clear" w:color="auto" w:fill="auto"/>
            <w:vAlign w:val="bottom"/>
            <w:hideMark/>
          </w:tcPr>
          <w:p w14:paraId="40A607DE"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3 (mandatory) - Staff working from home</w:t>
            </w:r>
          </w:p>
        </w:tc>
        <w:tc>
          <w:tcPr>
            <w:tcW w:w="1134" w:type="dxa"/>
            <w:tcBorders>
              <w:top w:val="nil"/>
              <w:left w:val="nil"/>
              <w:bottom w:val="nil"/>
              <w:right w:val="nil"/>
            </w:tcBorders>
            <w:shd w:val="clear" w:color="auto" w:fill="auto"/>
            <w:noWrap/>
            <w:vAlign w:val="bottom"/>
            <w:hideMark/>
          </w:tcPr>
          <w:p w14:paraId="3C889389"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 - </w:t>
            </w:r>
          </w:p>
        </w:tc>
      </w:tr>
      <w:tr w:rsidR="007B4196" w:rsidRPr="00AE4DBA" w14:paraId="182179B6" w14:textId="77777777" w:rsidTr="00B12422">
        <w:trPr>
          <w:trHeight w:val="288"/>
        </w:trPr>
        <w:tc>
          <w:tcPr>
            <w:tcW w:w="8222" w:type="dxa"/>
            <w:tcBorders>
              <w:top w:val="nil"/>
              <w:left w:val="nil"/>
              <w:bottom w:val="nil"/>
              <w:right w:val="nil"/>
            </w:tcBorders>
            <w:shd w:val="clear" w:color="auto" w:fill="auto"/>
            <w:vAlign w:val="bottom"/>
            <w:hideMark/>
          </w:tcPr>
          <w:p w14:paraId="70EEB70D"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3 (mandatory) - Transmission and distributions losses (electricity)</w:t>
            </w:r>
          </w:p>
        </w:tc>
        <w:tc>
          <w:tcPr>
            <w:tcW w:w="1134" w:type="dxa"/>
            <w:tcBorders>
              <w:top w:val="nil"/>
              <w:left w:val="nil"/>
              <w:bottom w:val="nil"/>
              <w:right w:val="nil"/>
            </w:tcBorders>
            <w:shd w:val="clear" w:color="auto" w:fill="auto"/>
            <w:noWrap/>
            <w:vAlign w:val="bottom"/>
            <w:hideMark/>
          </w:tcPr>
          <w:p w14:paraId="10F167A2"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1,810 </w:t>
            </w:r>
          </w:p>
        </w:tc>
      </w:tr>
      <w:tr w:rsidR="007B4196" w:rsidRPr="00AE4DBA" w14:paraId="5B4F0D64" w14:textId="77777777" w:rsidTr="00B12422">
        <w:trPr>
          <w:trHeight w:val="288"/>
        </w:trPr>
        <w:tc>
          <w:tcPr>
            <w:tcW w:w="8222" w:type="dxa"/>
            <w:tcBorders>
              <w:top w:val="nil"/>
              <w:left w:val="nil"/>
              <w:bottom w:val="nil"/>
              <w:right w:val="nil"/>
            </w:tcBorders>
            <w:shd w:val="clear" w:color="auto" w:fill="auto"/>
            <w:vAlign w:val="bottom"/>
            <w:hideMark/>
          </w:tcPr>
          <w:p w14:paraId="5746F602"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3 (mandatory) - Transmission and distributions losses (natural gas)</w:t>
            </w:r>
          </w:p>
        </w:tc>
        <w:tc>
          <w:tcPr>
            <w:tcW w:w="1134" w:type="dxa"/>
            <w:tcBorders>
              <w:top w:val="nil"/>
              <w:left w:val="nil"/>
              <w:bottom w:val="nil"/>
              <w:right w:val="nil"/>
            </w:tcBorders>
            <w:shd w:val="clear" w:color="auto" w:fill="auto"/>
            <w:noWrap/>
            <w:vAlign w:val="bottom"/>
            <w:hideMark/>
          </w:tcPr>
          <w:p w14:paraId="5858A216"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1,821 </w:t>
            </w:r>
          </w:p>
        </w:tc>
      </w:tr>
      <w:tr w:rsidR="007B4196" w:rsidRPr="00AE4DBA" w14:paraId="041A5778" w14:textId="77777777" w:rsidTr="00B12422">
        <w:trPr>
          <w:trHeight w:val="288"/>
        </w:trPr>
        <w:tc>
          <w:tcPr>
            <w:tcW w:w="8222" w:type="dxa"/>
            <w:tcBorders>
              <w:top w:val="nil"/>
              <w:left w:val="nil"/>
              <w:bottom w:val="nil"/>
              <w:right w:val="nil"/>
            </w:tcBorders>
            <w:shd w:val="clear" w:color="auto" w:fill="auto"/>
            <w:vAlign w:val="bottom"/>
            <w:hideMark/>
          </w:tcPr>
          <w:p w14:paraId="02C1A8A6"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3 (mandatory) - Waste (to landfill)</w:t>
            </w:r>
          </w:p>
        </w:tc>
        <w:tc>
          <w:tcPr>
            <w:tcW w:w="1134" w:type="dxa"/>
            <w:tcBorders>
              <w:top w:val="nil"/>
              <w:left w:val="nil"/>
              <w:bottom w:val="nil"/>
              <w:right w:val="nil"/>
            </w:tcBorders>
            <w:shd w:val="clear" w:color="auto" w:fill="auto"/>
            <w:noWrap/>
            <w:vAlign w:val="bottom"/>
            <w:hideMark/>
          </w:tcPr>
          <w:p w14:paraId="5A6F8A52"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6,368 </w:t>
            </w:r>
          </w:p>
        </w:tc>
      </w:tr>
      <w:tr w:rsidR="007B4196" w:rsidRPr="00AE4DBA" w14:paraId="302CEC70" w14:textId="77777777" w:rsidTr="00B12422">
        <w:trPr>
          <w:trHeight w:val="288"/>
        </w:trPr>
        <w:tc>
          <w:tcPr>
            <w:tcW w:w="8222" w:type="dxa"/>
            <w:tcBorders>
              <w:top w:val="nil"/>
              <w:left w:val="nil"/>
              <w:bottom w:val="nil"/>
              <w:right w:val="nil"/>
            </w:tcBorders>
            <w:shd w:val="clear" w:color="auto" w:fill="auto"/>
            <w:vAlign w:val="bottom"/>
            <w:hideMark/>
          </w:tcPr>
          <w:p w14:paraId="019A3B63"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3 (mandatory) - Wastewater</w:t>
            </w:r>
          </w:p>
        </w:tc>
        <w:tc>
          <w:tcPr>
            <w:tcW w:w="1134" w:type="dxa"/>
            <w:tcBorders>
              <w:top w:val="nil"/>
              <w:left w:val="nil"/>
              <w:bottom w:val="nil"/>
              <w:right w:val="nil"/>
            </w:tcBorders>
            <w:shd w:val="clear" w:color="auto" w:fill="auto"/>
            <w:noWrap/>
            <w:vAlign w:val="bottom"/>
            <w:hideMark/>
          </w:tcPr>
          <w:p w14:paraId="14E4FF90" w14:textId="0055DD7A"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 </w:t>
            </w:r>
            <w:r w:rsidR="005C58F7">
              <w:rPr>
                <w:rFonts w:ascii="Calibri" w:hAnsi="Calibri" w:cs="Calibri"/>
                <w:color w:val="000000"/>
                <w:szCs w:val="22"/>
              </w:rPr>
              <w:t>2,712</w:t>
            </w:r>
          </w:p>
        </w:tc>
      </w:tr>
      <w:tr w:rsidR="007B4196" w:rsidRPr="00AE4DBA" w14:paraId="42C10443" w14:textId="77777777" w:rsidTr="00B12422">
        <w:trPr>
          <w:trHeight w:val="288"/>
        </w:trPr>
        <w:tc>
          <w:tcPr>
            <w:tcW w:w="8222" w:type="dxa"/>
            <w:tcBorders>
              <w:top w:val="nil"/>
              <w:left w:val="nil"/>
              <w:bottom w:val="nil"/>
              <w:right w:val="nil"/>
            </w:tcBorders>
            <w:shd w:val="clear" w:color="auto" w:fill="auto"/>
            <w:vAlign w:val="bottom"/>
            <w:hideMark/>
          </w:tcPr>
          <w:p w14:paraId="467761B6"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3 (mandatory) - Water</w:t>
            </w:r>
          </w:p>
        </w:tc>
        <w:tc>
          <w:tcPr>
            <w:tcW w:w="1134" w:type="dxa"/>
            <w:tcBorders>
              <w:top w:val="nil"/>
              <w:left w:val="nil"/>
              <w:bottom w:val="nil"/>
              <w:right w:val="nil"/>
            </w:tcBorders>
            <w:shd w:val="clear" w:color="auto" w:fill="auto"/>
            <w:noWrap/>
            <w:vAlign w:val="bottom"/>
            <w:hideMark/>
          </w:tcPr>
          <w:p w14:paraId="6CEC5D37"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210 </w:t>
            </w:r>
          </w:p>
        </w:tc>
      </w:tr>
      <w:tr w:rsidR="007B4196" w:rsidRPr="00AE4DBA" w14:paraId="10ABDF9E" w14:textId="77777777" w:rsidTr="00B12422">
        <w:trPr>
          <w:trHeight w:val="288"/>
        </w:trPr>
        <w:tc>
          <w:tcPr>
            <w:tcW w:w="8222" w:type="dxa"/>
            <w:tcBorders>
              <w:top w:val="nil"/>
              <w:left w:val="nil"/>
              <w:bottom w:val="nil"/>
              <w:right w:val="nil"/>
            </w:tcBorders>
            <w:shd w:val="clear" w:color="auto" w:fill="auto"/>
            <w:vAlign w:val="bottom"/>
            <w:hideMark/>
          </w:tcPr>
          <w:p w14:paraId="01CD4CCB"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3 (other material) - Emissions from purchased goods and services</w:t>
            </w:r>
          </w:p>
        </w:tc>
        <w:tc>
          <w:tcPr>
            <w:tcW w:w="1134" w:type="dxa"/>
            <w:tcBorders>
              <w:top w:val="nil"/>
              <w:left w:val="nil"/>
              <w:bottom w:val="nil"/>
              <w:right w:val="nil"/>
            </w:tcBorders>
            <w:shd w:val="clear" w:color="auto" w:fill="auto"/>
            <w:noWrap/>
            <w:vAlign w:val="bottom"/>
            <w:hideMark/>
          </w:tcPr>
          <w:p w14:paraId="3C07C20A"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15,347 </w:t>
            </w:r>
          </w:p>
        </w:tc>
      </w:tr>
      <w:tr w:rsidR="007B4196" w:rsidRPr="00AE4DBA" w14:paraId="3435A23F" w14:textId="77777777" w:rsidTr="00B12422">
        <w:trPr>
          <w:trHeight w:val="288"/>
        </w:trPr>
        <w:tc>
          <w:tcPr>
            <w:tcW w:w="8222" w:type="dxa"/>
            <w:tcBorders>
              <w:top w:val="nil"/>
              <w:left w:val="nil"/>
              <w:bottom w:val="nil"/>
              <w:right w:val="nil"/>
            </w:tcBorders>
            <w:shd w:val="clear" w:color="auto" w:fill="auto"/>
            <w:vAlign w:val="bottom"/>
            <w:hideMark/>
          </w:tcPr>
          <w:p w14:paraId="2CAE5CAF"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3 (other material) - Emissions from purchased capital goods</w:t>
            </w:r>
          </w:p>
        </w:tc>
        <w:tc>
          <w:tcPr>
            <w:tcW w:w="1134" w:type="dxa"/>
            <w:tcBorders>
              <w:top w:val="nil"/>
              <w:left w:val="nil"/>
              <w:bottom w:val="nil"/>
              <w:right w:val="nil"/>
            </w:tcBorders>
            <w:shd w:val="clear" w:color="auto" w:fill="auto"/>
            <w:noWrap/>
            <w:vAlign w:val="bottom"/>
            <w:hideMark/>
          </w:tcPr>
          <w:p w14:paraId="38266677"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 - </w:t>
            </w:r>
          </w:p>
        </w:tc>
      </w:tr>
      <w:tr w:rsidR="007B4196" w:rsidRPr="00AE4DBA" w14:paraId="680DD45C" w14:textId="77777777" w:rsidTr="00B12422">
        <w:trPr>
          <w:trHeight w:val="314"/>
        </w:trPr>
        <w:tc>
          <w:tcPr>
            <w:tcW w:w="8222" w:type="dxa"/>
            <w:tcBorders>
              <w:top w:val="nil"/>
              <w:left w:val="nil"/>
              <w:bottom w:val="single" w:sz="4" w:space="0" w:color="008A9F"/>
              <w:right w:val="nil"/>
            </w:tcBorders>
            <w:shd w:val="clear" w:color="auto" w:fill="auto"/>
            <w:vAlign w:val="bottom"/>
            <w:hideMark/>
          </w:tcPr>
          <w:p w14:paraId="089E1B83" w14:textId="4461024F"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3 (other material) - Other (</w:t>
            </w:r>
            <w:r w:rsidR="00482773" w:rsidRPr="00AE4DBA">
              <w:rPr>
                <w:rFonts w:ascii="Calibri" w:hAnsi="Calibri" w:cs="Calibri"/>
                <w:color w:val="000000"/>
                <w:szCs w:val="22"/>
              </w:rPr>
              <w:t>e.g.</w:t>
            </w:r>
            <w:r w:rsidRPr="00AE4DBA">
              <w:rPr>
                <w:rFonts w:ascii="Calibri" w:hAnsi="Calibri" w:cs="Calibri"/>
                <w:color w:val="000000"/>
                <w:szCs w:val="22"/>
              </w:rPr>
              <w:t xml:space="preserve"> staff commuting, investments, leased assets)</w:t>
            </w:r>
          </w:p>
        </w:tc>
        <w:tc>
          <w:tcPr>
            <w:tcW w:w="1134" w:type="dxa"/>
            <w:tcBorders>
              <w:top w:val="nil"/>
              <w:left w:val="nil"/>
              <w:bottom w:val="single" w:sz="4" w:space="0" w:color="008A9F"/>
              <w:right w:val="nil"/>
            </w:tcBorders>
            <w:shd w:val="clear" w:color="auto" w:fill="auto"/>
            <w:noWrap/>
            <w:vAlign w:val="bottom"/>
            <w:hideMark/>
          </w:tcPr>
          <w:p w14:paraId="34923526"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8,655 </w:t>
            </w:r>
          </w:p>
        </w:tc>
      </w:tr>
      <w:tr w:rsidR="007B4196" w:rsidRPr="00AE4DBA" w14:paraId="620667B5" w14:textId="77777777" w:rsidTr="00B12422">
        <w:trPr>
          <w:trHeight w:val="293"/>
        </w:trPr>
        <w:tc>
          <w:tcPr>
            <w:tcW w:w="8222" w:type="dxa"/>
            <w:tcBorders>
              <w:top w:val="nil"/>
              <w:left w:val="nil"/>
              <w:bottom w:val="nil"/>
              <w:right w:val="nil"/>
            </w:tcBorders>
            <w:shd w:val="clear" w:color="auto" w:fill="auto"/>
            <w:vAlign w:val="bottom"/>
            <w:hideMark/>
          </w:tcPr>
          <w:p w14:paraId="7598BA4A"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1 Biogenic emissions - Biofuel CO</w:t>
            </w:r>
            <w:r w:rsidRPr="009D372E">
              <w:rPr>
                <w:rFonts w:ascii="Calibri" w:hAnsi="Calibri" w:cs="Calibri"/>
                <w:color w:val="000000"/>
                <w:szCs w:val="22"/>
                <w:vertAlign w:val="subscript"/>
              </w:rPr>
              <w:t>2</w:t>
            </w:r>
            <w:r w:rsidRPr="00AE4DBA">
              <w:rPr>
                <w:rFonts w:ascii="Calibri" w:hAnsi="Calibri" w:cs="Calibri"/>
                <w:color w:val="000000"/>
                <w:szCs w:val="22"/>
              </w:rPr>
              <w:t xml:space="preserve"> component (considered carbon neutral)</w:t>
            </w:r>
          </w:p>
        </w:tc>
        <w:tc>
          <w:tcPr>
            <w:tcW w:w="1134" w:type="dxa"/>
            <w:tcBorders>
              <w:top w:val="nil"/>
              <w:left w:val="nil"/>
              <w:bottom w:val="nil"/>
              <w:right w:val="nil"/>
            </w:tcBorders>
            <w:shd w:val="clear" w:color="auto" w:fill="auto"/>
            <w:noWrap/>
            <w:vAlign w:val="bottom"/>
            <w:hideMark/>
          </w:tcPr>
          <w:p w14:paraId="7F2FA629"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 - </w:t>
            </w:r>
          </w:p>
        </w:tc>
      </w:tr>
      <w:tr w:rsidR="007B4196" w:rsidRPr="00AE4DBA" w14:paraId="4CCACE28" w14:textId="77777777" w:rsidTr="00B12422">
        <w:trPr>
          <w:trHeight w:val="142"/>
        </w:trPr>
        <w:tc>
          <w:tcPr>
            <w:tcW w:w="8222" w:type="dxa"/>
            <w:tcBorders>
              <w:top w:val="nil"/>
              <w:left w:val="nil"/>
              <w:bottom w:val="single" w:sz="4" w:space="0" w:color="008A9F"/>
              <w:right w:val="nil"/>
            </w:tcBorders>
            <w:shd w:val="clear" w:color="auto" w:fill="auto"/>
            <w:vAlign w:val="bottom"/>
            <w:hideMark/>
          </w:tcPr>
          <w:p w14:paraId="2AC56B7D"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Scope 1 Biogenic emissions - Biomass CO</w:t>
            </w:r>
            <w:r w:rsidRPr="009D372E">
              <w:rPr>
                <w:rFonts w:ascii="Calibri" w:hAnsi="Calibri" w:cs="Calibri"/>
                <w:color w:val="000000"/>
                <w:szCs w:val="22"/>
                <w:vertAlign w:val="subscript"/>
              </w:rPr>
              <w:t>2</w:t>
            </w:r>
            <w:r w:rsidRPr="00AE4DBA">
              <w:rPr>
                <w:rFonts w:ascii="Calibri" w:hAnsi="Calibri" w:cs="Calibri"/>
                <w:color w:val="000000"/>
                <w:szCs w:val="22"/>
              </w:rPr>
              <w:t xml:space="preserve"> component (considered carbon neutral)</w:t>
            </w:r>
          </w:p>
        </w:tc>
        <w:tc>
          <w:tcPr>
            <w:tcW w:w="1134" w:type="dxa"/>
            <w:tcBorders>
              <w:top w:val="nil"/>
              <w:left w:val="nil"/>
              <w:bottom w:val="single" w:sz="4" w:space="0" w:color="008A9F"/>
              <w:right w:val="nil"/>
            </w:tcBorders>
            <w:shd w:val="clear" w:color="000000" w:fill="FFFFFF"/>
            <w:noWrap/>
            <w:vAlign w:val="bottom"/>
            <w:hideMark/>
          </w:tcPr>
          <w:p w14:paraId="72B960FD"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27,942 </w:t>
            </w:r>
          </w:p>
        </w:tc>
      </w:tr>
      <w:tr w:rsidR="007B4196" w:rsidRPr="00AE4DBA" w14:paraId="56502B01" w14:textId="77777777" w:rsidTr="00B12422">
        <w:trPr>
          <w:trHeight w:val="288"/>
        </w:trPr>
        <w:tc>
          <w:tcPr>
            <w:tcW w:w="8222" w:type="dxa"/>
            <w:tcBorders>
              <w:top w:val="nil"/>
              <w:left w:val="nil"/>
              <w:bottom w:val="single" w:sz="4" w:space="0" w:color="008A9F"/>
              <w:right w:val="nil"/>
            </w:tcBorders>
            <w:shd w:val="clear" w:color="auto" w:fill="auto"/>
            <w:vAlign w:val="bottom"/>
            <w:hideMark/>
          </w:tcPr>
          <w:p w14:paraId="1B53C54D" w14:textId="77777777" w:rsidR="007B4196" w:rsidRPr="00AE4DBA" w:rsidRDefault="007B4196" w:rsidP="007B4196">
            <w:pPr>
              <w:rPr>
                <w:rFonts w:ascii="Calibri" w:hAnsi="Calibri" w:cs="Calibri"/>
                <w:color w:val="000000"/>
                <w:szCs w:val="22"/>
              </w:rPr>
            </w:pPr>
            <w:r w:rsidRPr="00AE4DBA">
              <w:rPr>
                <w:rFonts w:ascii="Calibri" w:hAnsi="Calibri" w:cs="Calibri"/>
                <w:color w:val="000000"/>
                <w:szCs w:val="22"/>
              </w:rPr>
              <w:t>Removals - Forest growth removals</w:t>
            </w:r>
          </w:p>
        </w:tc>
        <w:tc>
          <w:tcPr>
            <w:tcW w:w="1134" w:type="dxa"/>
            <w:tcBorders>
              <w:top w:val="nil"/>
              <w:left w:val="nil"/>
              <w:bottom w:val="single" w:sz="4" w:space="0" w:color="008A9F"/>
              <w:right w:val="nil"/>
            </w:tcBorders>
            <w:shd w:val="clear" w:color="auto" w:fill="auto"/>
            <w:noWrap/>
            <w:vAlign w:val="bottom"/>
            <w:hideMark/>
          </w:tcPr>
          <w:p w14:paraId="77C4DC9B" w14:textId="77777777" w:rsidR="007B4196" w:rsidRPr="00AE4DBA" w:rsidRDefault="007B4196" w:rsidP="007B4196">
            <w:pPr>
              <w:jc w:val="right"/>
              <w:rPr>
                <w:rFonts w:ascii="Calibri" w:hAnsi="Calibri" w:cs="Calibri"/>
                <w:color w:val="000000"/>
                <w:szCs w:val="22"/>
              </w:rPr>
            </w:pPr>
            <w:r w:rsidRPr="00AE4DBA">
              <w:rPr>
                <w:rFonts w:ascii="Calibri" w:hAnsi="Calibri" w:cs="Calibri"/>
                <w:color w:val="000000"/>
                <w:szCs w:val="22"/>
              </w:rPr>
              <w:t xml:space="preserve"> - </w:t>
            </w:r>
          </w:p>
        </w:tc>
      </w:tr>
    </w:tbl>
    <w:p w14:paraId="12EB1DEF" w14:textId="207811A3" w:rsidR="00FB7BD0" w:rsidRPr="00AE4DBA" w:rsidRDefault="00FB7BD0">
      <w:pPr>
        <w:spacing w:after="160" w:line="259" w:lineRule="auto"/>
        <w:rPr>
          <w:rFonts w:eastAsia="Malgun Gothic"/>
          <w:b/>
          <w:color w:val="0C818F"/>
          <w:sz w:val="36"/>
          <w:szCs w:val="36"/>
        </w:rPr>
      </w:pPr>
      <w:r w:rsidRPr="00AE4DBA">
        <w:br w:type="page"/>
      </w:r>
    </w:p>
    <w:p w14:paraId="089B8522" w14:textId="4DEC30AA" w:rsidR="00E53E2E" w:rsidRPr="00AE4DBA" w:rsidRDefault="004F3FE2" w:rsidP="00E53E2E">
      <w:pPr>
        <w:pStyle w:val="Subheading1"/>
      </w:pPr>
      <w:bookmarkStart w:id="91" w:name="_Toc176345144"/>
      <w:r w:rsidRPr="00AE4DBA">
        <w:lastRenderedPageBreak/>
        <w:t>A</w:t>
      </w:r>
      <w:r w:rsidR="00E53E2E" w:rsidRPr="00AE4DBA">
        <w:t>ppendix D Overview of location/sites</w:t>
      </w:r>
      <w:bookmarkEnd w:id="91"/>
    </w:p>
    <w:tbl>
      <w:tblPr>
        <w:tblStyle w:val="ListTable3-Accent5"/>
        <w:tblW w:w="9015" w:type="dxa"/>
        <w:tblBorders>
          <w:top w:val="single" w:sz="4" w:space="0" w:color="CFC499" w:themeColor="background1" w:themeShade="BF"/>
          <w:left w:val="single" w:sz="4" w:space="0" w:color="CFC499" w:themeColor="background1" w:themeShade="BF"/>
          <w:bottom w:val="single" w:sz="4" w:space="0" w:color="CFC499" w:themeColor="background1" w:themeShade="BF"/>
          <w:right w:val="single" w:sz="4" w:space="0" w:color="CFC499" w:themeColor="background1" w:themeShade="BF"/>
          <w:insideH w:val="single" w:sz="4" w:space="0" w:color="CFC499" w:themeColor="background1" w:themeShade="BF"/>
          <w:insideV w:val="single" w:sz="4" w:space="0" w:color="CFC499" w:themeColor="background1" w:themeShade="BF"/>
        </w:tblBorders>
        <w:tblLayout w:type="fixed"/>
        <w:tblLook w:val="04A0" w:firstRow="1" w:lastRow="0" w:firstColumn="1" w:lastColumn="0" w:noHBand="0" w:noVBand="1"/>
      </w:tblPr>
      <w:tblGrid>
        <w:gridCol w:w="1555"/>
        <w:gridCol w:w="3118"/>
        <w:gridCol w:w="4342"/>
      </w:tblGrid>
      <w:tr w:rsidR="00772DB1" w:rsidRPr="00AE4DBA" w14:paraId="0FCC7B12"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015" w:type="dxa"/>
            <w:gridSpan w:val="3"/>
            <w:shd w:val="clear" w:color="auto" w:fill="15254C"/>
            <w:tcMar>
              <w:left w:w="108" w:type="dxa"/>
              <w:right w:w="108" w:type="dxa"/>
            </w:tcMar>
            <w:vAlign w:val="center"/>
          </w:tcPr>
          <w:p w14:paraId="620FB62B" w14:textId="77777777" w:rsidR="00772DB1" w:rsidRPr="00AE4DBA" w:rsidRDefault="00772DB1">
            <w:pPr>
              <w:rPr>
                <w:rFonts w:cs="Arial"/>
              </w:rPr>
            </w:pPr>
            <w:r w:rsidRPr="00AE4DBA">
              <w:rPr>
                <w:rFonts w:cs="Arial"/>
              </w:rPr>
              <w:t>Included locations in the emissions inventory</w:t>
            </w:r>
          </w:p>
        </w:tc>
      </w:tr>
      <w:tr w:rsidR="00772DB1" w:rsidRPr="00AE4DBA" w14:paraId="540A95B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0C818F"/>
            <w:tcMar>
              <w:left w:w="108" w:type="dxa"/>
              <w:right w:w="108" w:type="dxa"/>
            </w:tcMar>
            <w:vAlign w:val="center"/>
          </w:tcPr>
          <w:p w14:paraId="329A2726" w14:textId="77777777" w:rsidR="00772DB1" w:rsidRPr="00AE4DBA" w:rsidRDefault="00772DB1">
            <w:pPr>
              <w:rPr>
                <w:rFonts w:cs="Arial"/>
                <w:color w:val="F6F4EC" w:themeColor="background1"/>
                <w:szCs w:val="20"/>
              </w:rPr>
            </w:pPr>
            <w:r w:rsidRPr="00AE4DBA">
              <w:rPr>
                <w:rFonts w:cs="Arial"/>
                <w:color w:val="F6F4EC" w:themeColor="background1"/>
                <w:szCs w:val="20"/>
              </w:rPr>
              <w:t xml:space="preserve">National  </w:t>
            </w:r>
          </w:p>
        </w:tc>
        <w:tc>
          <w:tcPr>
            <w:tcW w:w="3118" w:type="dxa"/>
            <w:shd w:val="clear" w:color="auto" w:fill="30A1AC"/>
            <w:tcMar>
              <w:left w:w="108" w:type="dxa"/>
              <w:right w:w="108" w:type="dxa"/>
            </w:tcMar>
            <w:vAlign w:val="center"/>
          </w:tcPr>
          <w:p w14:paraId="5EDCACD4"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Northern Regional Alliance Ltd</w:t>
            </w:r>
          </w:p>
        </w:tc>
        <w:tc>
          <w:tcPr>
            <w:tcW w:w="4342" w:type="dxa"/>
            <w:tcMar>
              <w:left w:w="108" w:type="dxa"/>
              <w:right w:w="108" w:type="dxa"/>
            </w:tcMar>
            <w:vAlign w:val="center"/>
          </w:tcPr>
          <w:p w14:paraId="52DF1A8E"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Auckland, Penrose, Level 2, 650 Great South Road</w:t>
            </w:r>
          </w:p>
        </w:tc>
      </w:tr>
      <w:tr w:rsidR="00772DB1" w:rsidRPr="00AE4DBA" w14:paraId="27E19A20" w14:textId="77777777">
        <w:trPr>
          <w:trHeight w:val="542"/>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351FAA43"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1AD39912"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Central Region’s Technical Advisory Services Limited (TAS)</w:t>
            </w:r>
          </w:p>
        </w:tc>
        <w:tc>
          <w:tcPr>
            <w:tcW w:w="4342" w:type="dxa"/>
            <w:tcMar>
              <w:left w:w="108" w:type="dxa"/>
              <w:right w:w="108" w:type="dxa"/>
            </w:tcMar>
            <w:vAlign w:val="center"/>
          </w:tcPr>
          <w:p w14:paraId="42A3FB04"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Auckland, Takapuna, Level 3, Barrys Point Road</w:t>
            </w:r>
          </w:p>
        </w:tc>
      </w:tr>
      <w:tr w:rsidR="00772DB1" w:rsidRPr="00AE4DBA" w14:paraId="1C3A47B6" w14:textId="7777777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14E29704" w14:textId="77777777" w:rsidR="00772DB1" w:rsidRPr="00AE4DBA" w:rsidRDefault="00772DB1">
            <w:pPr>
              <w:rPr>
                <w:rFonts w:cs="Arial"/>
                <w:color w:val="F6F4EC" w:themeColor="background1"/>
                <w:szCs w:val="20"/>
              </w:rPr>
            </w:pPr>
          </w:p>
        </w:tc>
        <w:tc>
          <w:tcPr>
            <w:tcW w:w="3118" w:type="dxa"/>
            <w:vMerge/>
            <w:shd w:val="clear" w:color="auto" w:fill="30A1AC"/>
            <w:tcMar>
              <w:left w:w="108" w:type="dxa"/>
              <w:right w:w="108" w:type="dxa"/>
            </w:tcMar>
            <w:vAlign w:val="center"/>
          </w:tcPr>
          <w:p w14:paraId="53C842AD"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44B2D8F7"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Wellington, 69 Tory Street</w:t>
            </w:r>
          </w:p>
        </w:tc>
      </w:tr>
      <w:tr w:rsidR="00772DB1" w:rsidRPr="00AE4DBA" w14:paraId="05665CA3"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02DDCBA4" w14:textId="77777777" w:rsidR="00772DB1" w:rsidRPr="00AE4DBA" w:rsidRDefault="00772DB1">
            <w:pPr>
              <w:rPr>
                <w:rFonts w:cs="Arial"/>
                <w:color w:val="F6F4EC" w:themeColor="background1"/>
                <w:szCs w:val="20"/>
              </w:rPr>
            </w:pPr>
          </w:p>
        </w:tc>
        <w:tc>
          <w:tcPr>
            <w:tcW w:w="3118" w:type="dxa"/>
            <w:shd w:val="clear" w:color="auto" w:fill="30A1AC"/>
            <w:tcMar>
              <w:left w:w="108" w:type="dxa"/>
              <w:right w:w="108" w:type="dxa"/>
            </w:tcMar>
            <w:vAlign w:val="center"/>
          </w:tcPr>
          <w:p w14:paraId="11DA00BD"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roofErr w:type="spellStart"/>
            <w:r w:rsidRPr="00AE4DBA">
              <w:rPr>
                <w:rFonts w:cs="Arial"/>
                <w:color w:val="F6F4EC" w:themeColor="background1"/>
                <w:szCs w:val="20"/>
              </w:rPr>
              <w:t>HealthShare</w:t>
            </w:r>
            <w:proofErr w:type="spellEnd"/>
          </w:p>
        </w:tc>
        <w:tc>
          <w:tcPr>
            <w:tcW w:w="4342" w:type="dxa"/>
            <w:tcMar>
              <w:left w:w="108" w:type="dxa"/>
              <w:right w:w="108" w:type="dxa"/>
            </w:tcMar>
            <w:vAlign w:val="center"/>
          </w:tcPr>
          <w:p w14:paraId="735B01F0"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Hamilton, 16 Clarence Street</w:t>
            </w:r>
          </w:p>
        </w:tc>
      </w:tr>
      <w:tr w:rsidR="00772DB1" w:rsidRPr="00AE4DBA" w14:paraId="2FBC4B35"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42FC83D9" w14:textId="77777777" w:rsidR="00772DB1" w:rsidRPr="00AE4DBA" w:rsidRDefault="00772DB1">
            <w:pPr>
              <w:rPr>
                <w:rFonts w:cs="Arial"/>
                <w:color w:val="F6F4EC" w:themeColor="background1"/>
                <w:szCs w:val="20"/>
              </w:rPr>
            </w:pPr>
          </w:p>
        </w:tc>
        <w:tc>
          <w:tcPr>
            <w:tcW w:w="3118" w:type="dxa"/>
            <w:shd w:val="clear" w:color="auto" w:fill="30A1AC"/>
            <w:tcMar>
              <w:left w:w="108" w:type="dxa"/>
              <w:right w:w="108" w:type="dxa"/>
            </w:tcMar>
            <w:vAlign w:val="center"/>
          </w:tcPr>
          <w:p w14:paraId="6C5B033B"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New Zealand Health Partnerships (NZHP)</w:t>
            </w:r>
          </w:p>
        </w:tc>
        <w:tc>
          <w:tcPr>
            <w:tcW w:w="4342" w:type="dxa"/>
            <w:tcMar>
              <w:left w:w="108" w:type="dxa"/>
              <w:right w:w="108" w:type="dxa"/>
            </w:tcMar>
            <w:vAlign w:val="center"/>
          </w:tcPr>
          <w:p w14:paraId="7A97E1BF"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Auckland Ellerslie, Level 1, Building 7, Central Park, 666 Great South Road</w:t>
            </w:r>
          </w:p>
        </w:tc>
      </w:tr>
      <w:tr w:rsidR="00772DB1" w:rsidRPr="00AE4DBA" w14:paraId="6A45C9A5" w14:textId="77777777">
        <w:trPr>
          <w:trHeight w:val="51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659DFC9B" w14:textId="77777777" w:rsidR="00772DB1" w:rsidRPr="00AE4DBA" w:rsidRDefault="00772DB1">
            <w:pPr>
              <w:rPr>
                <w:rFonts w:cs="Arial"/>
                <w:color w:val="F6F4EC" w:themeColor="background1"/>
                <w:szCs w:val="20"/>
              </w:rPr>
            </w:pPr>
          </w:p>
        </w:tc>
        <w:tc>
          <w:tcPr>
            <w:tcW w:w="3118" w:type="dxa"/>
            <w:shd w:val="clear" w:color="auto" w:fill="30A1AC"/>
            <w:tcMar>
              <w:left w:w="108" w:type="dxa"/>
              <w:right w:w="108" w:type="dxa"/>
            </w:tcMar>
            <w:vAlign w:val="center"/>
          </w:tcPr>
          <w:p w14:paraId="78F0A3AB"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Health Alliance &amp; Health Source</w:t>
            </w:r>
          </w:p>
        </w:tc>
        <w:tc>
          <w:tcPr>
            <w:tcW w:w="4342" w:type="dxa"/>
            <w:tcMar>
              <w:left w:w="108" w:type="dxa"/>
              <w:right w:w="108" w:type="dxa"/>
            </w:tcMar>
            <w:vAlign w:val="center"/>
          </w:tcPr>
          <w:p w14:paraId="42C3BD66"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Auckland, Penrose, 581-585 Great South Road</w:t>
            </w:r>
          </w:p>
        </w:tc>
      </w:tr>
      <w:tr w:rsidR="00772DB1" w:rsidRPr="00AE4DBA" w14:paraId="189FAAB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1255A5BF" w14:textId="77777777" w:rsidR="00772DB1" w:rsidRPr="00AE4DBA" w:rsidRDefault="00772DB1">
            <w:pPr>
              <w:rPr>
                <w:rFonts w:cs="Arial"/>
                <w:color w:val="F6F4EC" w:themeColor="background1"/>
                <w:szCs w:val="20"/>
              </w:rPr>
            </w:pPr>
          </w:p>
        </w:tc>
        <w:tc>
          <w:tcPr>
            <w:tcW w:w="3118" w:type="dxa"/>
            <w:shd w:val="clear" w:color="auto" w:fill="30A1AC"/>
            <w:tcMar>
              <w:left w:w="108" w:type="dxa"/>
              <w:right w:w="108" w:type="dxa"/>
            </w:tcMar>
            <w:vAlign w:val="center"/>
          </w:tcPr>
          <w:p w14:paraId="7AC44BF4"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South Island Alliance</w:t>
            </w:r>
          </w:p>
        </w:tc>
        <w:tc>
          <w:tcPr>
            <w:tcW w:w="4342" w:type="dxa"/>
            <w:tcMar>
              <w:left w:w="108" w:type="dxa"/>
              <w:right w:w="108" w:type="dxa"/>
            </w:tcMar>
            <w:vAlign w:val="center"/>
          </w:tcPr>
          <w:p w14:paraId="57A2B8FD"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Business Unit within Canterbury district</w:t>
            </w:r>
          </w:p>
        </w:tc>
      </w:tr>
      <w:tr w:rsidR="00772DB1" w:rsidRPr="00AE4DBA" w14:paraId="77F4F83E" w14:textId="77777777">
        <w:trPr>
          <w:trHeight w:val="51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4065CC8F"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1C6550C2"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Te Hiringa Hauora/ Health Promotion Agency</w:t>
            </w:r>
          </w:p>
        </w:tc>
        <w:tc>
          <w:tcPr>
            <w:tcW w:w="4342" w:type="dxa"/>
            <w:tcMar>
              <w:left w:w="108" w:type="dxa"/>
              <w:right w:w="108" w:type="dxa"/>
            </w:tcMar>
            <w:vAlign w:val="center"/>
          </w:tcPr>
          <w:p w14:paraId="75D7EEE7"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Auckland, Ellerslie, Level 2, Ascot Central, 7 Racecourse Drive</w:t>
            </w:r>
          </w:p>
        </w:tc>
      </w:tr>
      <w:tr w:rsidR="00772DB1" w:rsidRPr="00AE4DBA" w14:paraId="75BBF9D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0BE46B1F"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54EE3CD5"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52A09689"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Wellington, The Terrace, Level 14/15/16 101</w:t>
            </w:r>
          </w:p>
        </w:tc>
      </w:tr>
      <w:tr w:rsidR="00772DB1" w:rsidRPr="00AE4DBA" w14:paraId="47141435"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476C4814"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20161018"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0974209E"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Christchurch, BNZ Building Hereford Street</w:t>
            </w:r>
          </w:p>
        </w:tc>
      </w:tr>
      <w:tr w:rsidR="00772DB1" w:rsidRPr="00AE4DBA" w14:paraId="6E1C32C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685801AE"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1345548B"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National offices</w:t>
            </w:r>
          </w:p>
        </w:tc>
        <w:tc>
          <w:tcPr>
            <w:tcW w:w="4342" w:type="dxa"/>
            <w:tcMar>
              <w:left w:w="108" w:type="dxa"/>
              <w:right w:w="108" w:type="dxa"/>
            </w:tcMar>
            <w:vAlign w:val="center"/>
          </w:tcPr>
          <w:p w14:paraId="65C91449"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Whanganui, Level 2, 179 Hill Street</w:t>
            </w:r>
          </w:p>
        </w:tc>
      </w:tr>
      <w:tr w:rsidR="00772DB1" w:rsidRPr="00AE4DBA" w14:paraId="7DDBE923" w14:textId="77777777">
        <w:trPr>
          <w:trHeight w:val="51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4AD4B23E"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5CC6C5F8"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50A5A5F1"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Wellington, Level 5-6, 42-52 Willis Street (Spark Central)</w:t>
            </w:r>
          </w:p>
        </w:tc>
      </w:tr>
      <w:tr w:rsidR="00772DB1" w:rsidRPr="00AE4DBA" w14:paraId="3C288DE6"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788BD4B4"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276BFA4C"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746E07A7"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Wellington, Levels 4-7, 83 Molesworth Street (Shamrock House)</w:t>
            </w:r>
          </w:p>
        </w:tc>
      </w:tr>
      <w:tr w:rsidR="00772DB1" w:rsidRPr="00AE4DBA" w14:paraId="4AD5E859"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7AD890AF"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61338B80"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117B8625"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Wellington, 133 Molesworth Street (Manat</w:t>
            </w:r>
            <w:r w:rsidRPr="00AE4DBA">
              <w:t>ū</w:t>
            </w:r>
            <w:r w:rsidRPr="00AE4DBA">
              <w:rPr>
                <w:rFonts w:cs="Arial"/>
                <w:szCs w:val="20"/>
              </w:rPr>
              <w:t xml:space="preserve"> Hauora)</w:t>
            </w:r>
          </w:p>
        </w:tc>
      </w:tr>
      <w:tr w:rsidR="00772DB1" w:rsidRPr="00AE4DBA" w14:paraId="51D9F60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0B3F6CEF"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1B42D50F"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6DF457D2"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Christchurch, Level 2, 48 Hereford Street</w:t>
            </w:r>
          </w:p>
        </w:tc>
      </w:tr>
      <w:tr w:rsidR="00772DB1" w:rsidRPr="00AE4DBA" w14:paraId="09A3EAF5"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31C0ED6C"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51611183"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13E9C129"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Dunedin, Level 9, 481 Moray Place</w:t>
            </w:r>
          </w:p>
        </w:tc>
      </w:tr>
      <w:tr w:rsidR="00772DB1" w:rsidRPr="00AE4DBA" w14:paraId="20F9A9B6"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70798128"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005CD8AA"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04F0B26D"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Auckland Manukau, Level 4, Kotuku House, 4 Osterley Way</w:t>
            </w:r>
          </w:p>
        </w:tc>
      </w:tr>
      <w:tr w:rsidR="00772DB1" w:rsidRPr="00AE4DBA" w14:paraId="344C6E53"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0C818F"/>
            <w:tcMar>
              <w:left w:w="108" w:type="dxa"/>
              <w:right w:w="108" w:type="dxa"/>
            </w:tcMar>
            <w:vAlign w:val="center"/>
          </w:tcPr>
          <w:p w14:paraId="24F0701D" w14:textId="77777777" w:rsidR="00772DB1" w:rsidRPr="00AE4DBA" w:rsidRDefault="00772DB1">
            <w:pPr>
              <w:rPr>
                <w:rFonts w:cs="Arial"/>
                <w:color w:val="F6F4EC" w:themeColor="background1"/>
                <w:szCs w:val="20"/>
              </w:rPr>
            </w:pPr>
            <w:r w:rsidRPr="00AE4DBA">
              <w:rPr>
                <w:rFonts w:cs="Arial"/>
                <w:color w:val="F6F4EC" w:themeColor="background1"/>
                <w:szCs w:val="20"/>
              </w:rPr>
              <w:t>Northern region</w:t>
            </w:r>
          </w:p>
        </w:tc>
        <w:tc>
          <w:tcPr>
            <w:tcW w:w="3118" w:type="dxa"/>
            <w:vMerge w:val="restart"/>
            <w:shd w:val="clear" w:color="auto" w:fill="30A1AC"/>
            <w:tcMar>
              <w:left w:w="108" w:type="dxa"/>
              <w:right w:w="108" w:type="dxa"/>
            </w:tcMar>
            <w:vAlign w:val="center"/>
          </w:tcPr>
          <w:p w14:paraId="3709D6A6"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 xml:space="preserve">Te Tai </w:t>
            </w:r>
            <w:proofErr w:type="spellStart"/>
            <w:r w:rsidRPr="00AE4DBA">
              <w:rPr>
                <w:rFonts w:cs="Arial"/>
                <w:color w:val="F6F4EC" w:themeColor="background1"/>
                <w:szCs w:val="20"/>
              </w:rPr>
              <w:t>Tokerau</w:t>
            </w:r>
            <w:proofErr w:type="spellEnd"/>
          </w:p>
        </w:tc>
        <w:tc>
          <w:tcPr>
            <w:tcW w:w="4342" w:type="dxa"/>
            <w:tcMar>
              <w:left w:w="108" w:type="dxa"/>
              <w:right w:w="108" w:type="dxa"/>
            </w:tcMar>
            <w:vAlign w:val="center"/>
          </w:tcPr>
          <w:p w14:paraId="0F7C72CA"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Bay of Islands Hospital</w:t>
            </w:r>
          </w:p>
        </w:tc>
      </w:tr>
      <w:tr w:rsidR="00772DB1" w:rsidRPr="00AE4DBA" w14:paraId="6E1DFF8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73312FCE"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4103E0E1"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4CD6F912"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Dargaville Hospital</w:t>
            </w:r>
          </w:p>
        </w:tc>
      </w:tr>
      <w:tr w:rsidR="00772DB1" w:rsidRPr="00AE4DBA" w14:paraId="5692D78E"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0FDFDB26"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19E6E7D8"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4A59154C"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Kaitaia Hospital</w:t>
            </w:r>
          </w:p>
        </w:tc>
      </w:tr>
      <w:tr w:rsidR="00772DB1" w:rsidRPr="00AE4DBA" w14:paraId="53CEC9A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5A643F59"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52DF0E3A"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52319931"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Whangarei Hospital</w:t>
            </w:r>
          </w:p>
        </w:tc>
      </w:tr>
      <w:tr w:rsidR="00772DB1" w:rsidRPr="00AE4DBA" w14:paraId="4DB21D59"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3F1A4E14"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6F322343"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717FC4E9"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578449C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451CBF2A"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7ADE944F"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roofErr w:type="spellStart"/>
            <w:r w:rsidRPr="00AE4DBA">
              <w:rPr>
                <w:rFonts w:cs="Arial"/>
                <w:color w:val="F6F4EC" w:themeColor="background1"/>
                <w:szCs w:val="20"/>
              </w:rPr>
              <w:t>Waitematā</w:t>
            </w:r>
            <w:proofErr w:type="spellEnd"/>
          </w:p>
        </w:tc>
        <w:tc>
          <w:tcPr>
            <w:tcW w:w="4342" w:type="dxa"/>
            <w:tcMar>
              <w:left w:w="108" w:type="dxa"/>
              <w:right w:w="108" w:type="dxa"/>
            </w:tcMar>
            <w:vAlign w:val="center"/>
          </w:tcPr>
          <w:p w14:paraId="47EC83AC"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Mason Clinic</w:t>
            </w:r>
          </w:p>
        </w:tc>
      </w:tr>
      <w:tr w:rsidR="00772DB1" w:rsidRPr="00AE4DBA" w14:paraId="7FF6D33B"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090E5D04"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07130526"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7FB93A19"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North Shore Hospital</w:t>
            </w:r>
          </w:p>
        </w:tc>
      </w:tr>
      <w:tr w:rsidR="00772DB1" w:rsidRPr="00AE4DBA" w14:paraId="2A9223F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3B126BE8"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4CC2654B"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58B4C90F"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Waitakere Hospital</w:t>
            </w:r>
          </w:p>
        </w:tc>
      </w:tr>
      <w:tr w:rsidR="00772DB1" w:rsidRPr="00AE4DBA" w14:paraId="01CEBF29"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437B44BA"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6B0866AA"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3C577275"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3A3EF1E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73883466"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4B4F2936"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Te Toka Tumai</w:t>
            </w:r>
          </w:p>
        </w:tc>
        <w:tc>
          <w:tcPr>
            <w:tcW w:w="4342" w:type="dxa"/>
            <w:tcMar>
              <w:left w:w="108" w:type="dxa"/>
              <w:right w:w="108" w:type="dxa"/>
            </w:tcMar>
            <w:vAlign w:val="center"/>
          </w:tcPr>
          <w:p w14:paraId="36ECECA3"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Auckland City Hospital</w:t>
            </w:r>
          </w:p>
        </w:tc>
      </w:tr>
      <w:tr w:rsidR="00772DB1" w:rsidRPr="00AE4DBA" w14:paraId="52DFC7B4"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1BD2BF60"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7F048FE7"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6D117C70"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Greenlane Clinical Centre</w:t>
            </w:r>
          </w:p>
        </w:tc>
      </w:tr>
      <w:tr w:rsidR="00772DB1" w:rsidRPr="00AE4DBA" w14:paraId="3AF6D7D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6DFD1755"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21751B01"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2499CA69"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Auckland Spinal Rehabilitation</w:t>
            </w:r>
          </w:p>
        </w:tc>
      </w:tr>
      <w:tr w:rsidR="00772DB1" w:rsidRPr="00AE4DBA" w14:paraId="23B23E23"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2AC327B3"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1BD6DAA4"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1C8E8C8A"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4B8842B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08067A71"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7B93FD97"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Counties Manukau</w:t>
            </w:r>
          </w:p>
        </w:tc>
        <w:tc>
          <w:tcPr>
            <w:tcW w:w="4342" w:type="dxa"/>
            <w:tcMar>
              <w:left w:w="108" w:type="dxa"/>
              <w:right w:w="108" w:type="dxa"/>
            </w:tcMar>
            <w:vAlign w:val="center"/>
          </w:tcPr>
          <w:p w14:paraId="77748110"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Middlemore Hospital</w:t>
            </w:r>
          </w:p>
        </w:tc>
      </w:tr>
      <w:tr w:rsidR="00772DB1" w:rsidRPr="00AE4DBA" w14:paraId="48D293B1"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457442B8"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18305753"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1192D3C3"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Manukau Surgery Centre</w:t>
            </w:r>
          </w:p>
        </w:tc>
      </w:tr>
      <w:tr w:rsidR="00772DB1" w:rsidRPr="00AE4DBA" w14:paraId="19485FA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5178BB73"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1FBC15ED"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0DA1F533"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Pukekohe</w:t>
            </w:r>
          </w:p>
        </w:tc>
      </w:tr>
      <w:tr w:rsidR="00772DB1" w:rsidRPr="00AE4DBA" w14:paraId="66BF3F5A"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088B2187"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5C91FBED"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677AA2AA"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68487A0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0C818F"/>
            <w:tcMar>
              <w:left w:w="108" w:type="dxa"/>
              <w:right w:w="108" w:type="dxa"/>
            </w:tcMar>
            <w:vAlign w:val="center"/>
          </w:tcPr>
          <w:p w14:paraId="51EE599A" w14:textId="77777777" w:rsidR="00772DB1" w:rsidRPr="00AE4DBA" w:rsidRDefault="00772DB1">
            <w:pPr>
              <w:rPr>
                <w:rFonts w:cs="Arial"/>
                <w:color w:val="F6F4EC" w:themeColor="background1"/>
                <w:szCs w:val="20"/>
              </w:rPr>
            </w:pPr>
            <w:r w:rsidRPr="00AE4DBA">
              <w:rPr>
                <w:rFonts w:cs="Arial"/>
                <w:color w:val="F6F4EC" w:themeColor="background1"/>
                <w:szCs w:val="20"/>
              </w:rPr>
              <w:t>Te Manawa Taki region</w:t>
            </w:r>
          </w:p>
        </w:tc>
        <w:tc>
          <w:tcPr>
            <w:tcW w:w="3118" w:type="dxa"/>
            <w:vMerge w:val="restart"/>
            <w:shd w:val="clear" w:color="auto" w:fill="30A1AC"/>
            <w:tcMar>
              <w:left w:w="108" w:type="dxa"/>
              <w:right w:w="108" w:type="dxa"/>
            </w:tcMar>
            <w:vAlign w:val="center"/>
          </w:tcPr>
          <w:p w14:paraId="3FF05717"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Waikato</w:t>
            </w:r>
          </w:p>
        </w:tc>
        <w:tc>
          <w:tcPr>
            <w:tcW w:w="4342" w:type="dxa"/>
            <w:tcMar>
              <w:left w:w="108" w:type="dxa"/>
              <w:right w:w="108" w:type="dxa"/>
            </w:tcMar>
            <w:vAlign w:val="center"/>
          </w:tcPr>
          <w:p w14:paraId="0249E7A6"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proofErr w:type="spellStart"/>
            <w:r w:rsidRPr="00AE4DBA">
              <w:rPr>
                <w:rFonts w:cs="Arial"/>
                <w:szCs w:val="20"/>
              </w:rPr>
              <w:t>Matariki</w:t>
            </w:r>
            <w:proofErr w:type="spellEnd"/>
            <w:r w:rsidRPr="00AE4DBA">
              <w:rPr>
                <w:rFonts w:cs="Arial"/>
                <w:szCs w:val="20"/>
              </w:rPr>
              <w:t xml:space="preserve"> Hospital</w:t>
            </w:r>
          </w:p>
        </w:tc>
      </w:tr>
      <w:tr w:rsidR="00772DB1" w:rsidRPr="00AE4DBA" w14:paraId="0862442B"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3F7F787A"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183DC7CD"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1526B108"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Rhoda Read Hospital</w:t>
            </w:r>
          </w:p>
        </w:tc>
      </w:tr>
      <w:tr w:rsidR="00772DB1" w:rsidRPr="00AE4DBA" w14:paraId="1529225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3CDDEB4E"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2898E654"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0CC8F9F0"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Thames Hospital</w:t>
            </w:r>
          </w:p>
        </w:tc>
      </w:tr>
      <w:tr w:rsidR="00772DB1" w:rsidRPr="00AE4DBA" w14:paraId="1B82D7C6"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661809C6"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433BCF6A"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6890F138"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Tokoroa Hospital</w:t>
            </w:r>
          </w:p>
        </w:tc>
      </w:tr>
      <w:tr w:rsidR="00772DB1" w:rsidRPr="00AE4DBA" w14:paraId="74C96F0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059C8606"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60CE4568"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64498D95"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Waikato Hospital</w:t>
            </w:r>
          </w:p>
        </w:tc>
      </w:tr>
      <w:tr w:rsidR="00772DB1" w:rsidRPr="00AE4DBA" w14:paraId="4499B6AC"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6EB67BCC"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69B829EF"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592D9428"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298E7BC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5801ACCA"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534EA616"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Lakes</w:t>
            </w:r>
          </w:p>
        </w:tc>
        <w:tc>
          <w:tcPr>
            <w:tcW w:w="4342" w:type="dxa"/>
            <w:tcMar>
              <w:left w:w="108" w:type="dxa"/>
              <w:right w:w="108" w:type="dxa"/>
            </w:tcMar>
            <w:vAlign w:val="center"/>
          </w:tcPr>
          <w:p w14:paraId="0B4678A1"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Rotorua Hospital</w:t>
            </w:r>
          </w:p>
        </w:tc>
      </w:tr>
      <w:tr w:rsidR="00772DB1" w:rsidRPr="00AE4DBA" w14:paraId="73FC5735"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5A2F391D"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60AEF3BC"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32C96A36"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Taupo Hospital</w:t>
            </w:r>
          </w:p>
        </w:tc>
      </w:tr>
      <w:tr w:rsidR="00772DB1" w:rsidRPr="00AE4DBA" w14:paraId="306BE3F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32AA71EF"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4FE1A408"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1E5EA851"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4A2D6F61"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36168CCC"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1A243BD0"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Hauora a Toi Bay of Plenty</w:t>
            </w:r>
          </w:p>
        </w:tc>
        <w:tc>
          <w:tcPr>
            <w:tcW w:w="4342" w:type="dxa"/>
            <w:tcMar>
              <w:left w:w="108" w:type="dxa"/>
              <w:right w:w="108" w:type="dxa"/>
            </w:tcMar>
            <w:vAlign w:val="center"/>
          </w:tcPr>
          <w:p w14:paraId="7B175BE6"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Tauranga Hospital</w:t>
            </w:r>
          </w:p>
        </w:tc>
      </w:tr>
      <w:tr w:rsidR="00772DB1" w:rsidRPr="00AE4DBA" w14:paraId="593D362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4C16BA93"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1F00672E"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6D831804"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Whakatane Hospital</w:t>
            </w:r>
          </w:p>
        </w:tc>
      </w:tr>
      <w:tr w:rsidR="00772DB1" w:rsidRPr="00AE4DBA" w14:paraId="6FA9D06E"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1C537B2B"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49A8E3E8"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6F3C1977"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0701D92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60AE02DF"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0EB1090B"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roofErr w:type="spellStart"/>
            <w:r w:rsidRPr="00AE4DBA">
              <w:rPr>
                <w:rFonts w:cs="Arial"/>
                <w:color w:val="F6F4EC" w:themeColor="background1"/>
                <w:szCs w:val="20"/>
              </w:rPr>
              <w:t>Tairāwhiti</w:t>
            </w:r>
            <w:proofErr w:type="spellEnd"/>
          </w:p>
        </w:tc>
        <w:tc>
          <w:tcPr>
            <w:tcW w:w="4342" w:type="dxa"/>
            <w:tcMar>
              <w:left w:w="108" w:type="dxa"/>
              <w:right w:w="108" w:type="dxa"/>
            </w:tcMar>
            <w:vAlign w:val="center"/>
          </w:tcPr>
          <w:p w14:paraId="38B4B148"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Gisborne Hospital</w:t>
            </w:r>
          </w:p>
        </w:tc>
      </w:tr>
      <w:tr w:rsidR="00772DB1" w:rsidRPr="00AE4DBA" w14:paraId="6C780069"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6CF5216F"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13107EDC"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7ADF882C"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1D21567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52B4A2DF"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76D9200C"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Taranaki</w:t>
            </w:r>
          </w:p>
        </w:tc>
        <w:tc>
          <w:tcPr>
            <w:tcW w:w="4342" w:type="dxa"/>
            <w:tcMar>
              <w:left w:w="108" w:type="dxa"/>
              <w:right w:w="108" w:type="dxa"/>
            </w:tcMar>
            <w:vAlign w:val="center"/>
          </w:tcPr>
          <w:p w14:paraId="02AF60CD"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Hawera Hospital</w:t>
            </w:r>
          </w:p>
        </w:tc>
      </w:tr>
      <w:tr w:rsidR="00772DB1" w:rsidRPr="00AE4DBA" w14:paraId="6C58D92D"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22FDE8D9"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01DA955E"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39A0E408"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Taranaki Base Hospital</w:t>
            </w:r>
          </w:p>
        </w:tc>
      </w:tr>
      <w:tr w:rsidR="00772DB1" w:rsidRPr="00AE4DBA" w14:paraId="0DBFD9C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27909520"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70B5B72D"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06412F4A"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475FA918"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0C818F"/>
            <w:tcMar>
              <w:left w:w="108" w:type="dxa"/>
              <w:right w:w="108" w:type="dxa"/>
            </w:tcMar>
            <w:vAlign w:val="center"/>
          </w:tcPr>
          <w:p w14:paraId="1411EA4E" w14:textId="77777777" w:rsidR="00772DB1" w:rsidRPr="00AE4DBA" w:rsidRDefault="00772DB1">
            <w:pPr>
              <w:rPr>
                <w:rFonts w:cs="Arial"/>
                <w:color w:val="F6F4EC" w:themeColor="background1"/>
                <w:szCs w:val="20"/>
              </w:rPr>
            </w:pPr>
            <w:r w:rsidRPr="00AE4DBA">
              <w:rPr>
                <w:rFonts w:cs="Arial"/>
                <w:color w:val="F6F4EC" w:themeColor="background1"/>
                <w:szCs w:val="20"/>
              </w:rPr>
              <w:t>Central Region</w:t>
            </w:r>
          </w:p>
        </w:tc>
        <w:tc>
          <w:tcPr>
            <w:tcW w:w="3118" w:type="dxa"/>
            <w:vMerge w:val="restart"/>
            <w:shd w:val="clear" w:color="auto" w:fill="30A1AC"/>
            <w:tcMar>
              <w:left w:w="108" w:type="dxa"/>
              <w:right w:w="108" w:type="dxa"/>
            </w:tcMar>
            <w:vAlign w:val="center"/>
          </w:tcPr>
          <w:p w14:paraId="0E566B5C"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 xml:space="preserve">Te Pae Hauora o Ruahine o </w:t>
            </w:r>
            <w:proofErr w:type="spellStart"/>
            <w:r w:rsidRPr="00AE4DBA">
              <w:rPr>
                <w:rFonts w:cs="Arial"/>
                <w:color w:val="F6F4EC" w:themeColor="background1"/>
                <w:szCs w:val="20"/>
              </w:rPr>
              <w:t>Tararua</w:t>
            </w:r>
            <w:proofErr w:type="spellEnd"/>
            <w:r w:rsidRPr="00AE4DBA">
              <w:rPr>
                <w:rFonts w:cs="Arial"/>
                <w:color w:val="F6F4EC" w:themeColor="background1"/>
                <w:szCs w:val="20"/>
              </w:rPr>
              <w:t xml:space="preserve"> MidCentral</w:t>
            </w:r>
          </w:p>
        </w:tc>
        <w:tc>
          <w:tcPr>
            <w:tcW w:w="4342" w:type="dxa"/>
            <w:tcMar>
              <w:left w:w="108" w:type="dxa"/>
              <w:right w:w="108" w:type="dxa"/>
            </w:tcMar>
            <w:vAlign w:val="center"/>
          </w:tcPr>
          <w:p w14:paraId="246164AB"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Horowhenua Hospital</w:t>
            </w:r>
          </w:p>
        </w:tc>
      </w:tr>
      <w:tr w:rsidR="00772DB1" w:rsidRPr="00AE4DBA" w14:paraId="7E0B84F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3BE6E7AB"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24525ED1"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070C4DA6"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Palmerston North Hospital</w:t>
            </w:r>
          </w:p>
        </w:tc>
      </w:tr>
      <w:tr w:rsidR="00772DB1" w:rsidRPr="00AE4DBA" w14:paraId="159C0B8A"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1AF9B3C8"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7872B96C"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64406628"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394CE24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1E735C0A"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4A9EBA3B"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Whanganui</w:t>
            </w:r>
          </w:p>
        </w:tc>
        <w:tc>
          <w:tcPr>
            <w:tcW w:w="4342" w:type="dxa"/>
            <w:tcMar>
              <w:left w:w="108" w:type="dxa"/>
              <w:right w:w="108" w:type="dxa"/>
            </w:tcMar>
            <w:vAlign w:val="center"/>
          </w:tcPr>
          <w:p w14:paraId="465B5807"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Whanganui Hospital</w:t>
            </w:r>
          </w:p>
        </w:tc>
      </w:tr>
      <w:tr w:rsidR="00772DB1" w:rsidRPr="00AE4DBA" w14:paraId="5B7B09E4"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5591A08C"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4EC90422"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10B06E10"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73F5FD8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1A3764DE"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5A2567D9"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Capital Coast</w:t>
            </w:r>
          </w:p>
        </w:tc>
        <w:tc>
          <w:tcPr>
            <w:tcW w:w="4342" w:type="dxa"/>
            <w:tcMar>
              <w:left w:w="108" w:type="dxa"/>
              <w:right w:w="108" w:type="dxa"/>
            </w:tcMar>
            <w:vAlign w:val="center"/>
          </w:tcPr>
          <w:p w14:paraId="680DC972"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Kenepuru Hospital</w:t>
            </w:r>
          </w:p>
        </w:tc>
      </w:tr>
      <w:tr w:rsidR="00772DB1" w:rsidRPr="00AE4DBA" w14:paraId="147C044E"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3F0CA340"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62DF9B80"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375D61C1"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Wellington Hospital</w:t>
            </w:r>
          </w:p>
        </w:tc>
      </w:tr>
      <w:tr w:rsidR="00772DB1" w:rsidRPr="00AE4DBA" w14:paraId="6E94E86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74BDD9FB"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3260747C"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39618E17"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728F5508"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61A4FF1A"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11DB6522"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Hutt Valley</w:t>
            </w:r>
          </w:p>
        </w:tc>
        <w:tc>
          <w:tcPr>
            <w:tcW w:w="4342" w:type="dxa"/>
            <w:tcMar>
              <w:left w:w="108" w:type="dxa"/>
              <w:right w:w="108" w:type="dxa"/>
            </w:tcMar>
            <w:vAlign w:val="center"/>
          </w:tcPr>
          <w:p w14:paraId="28C39747"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Hutt Valley Hospital</w:t>
            </w:r>
          </w:p>
        </w:tc>
      </w:tr>
      <w:tr w:rsidR="00772DB1" w:rsidRPr="00AE4DBA" w14:paraId="07AC2AE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7FBE16BA"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3A7AE378"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17753CDA"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0870DF4E"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72F679C4"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74AA4797"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Te Matau a Māui Hawke's Bay</w:t>
            </w:r>
          </w:p>
        </w:tc>
        <w:tc>
          <w:tcPr>
            <w:tcW w:w="4342" w:type="dxa"/>
            <w:tcMar>
              <w:left w:w="108" w:type="dxa"/>
              <w:right w:w="108" w:type="dxa"/>
            </w:tcMar>
            <w:vAlign w:val="center"/>
          </w:tcPr>
          <w:p w14:paraId="43896191"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Hawkes Bay Hospital</w:t>
            </w:r>
          </w:p>
        </w:tc>
      </w:tr>
      <w:tr w:rsidR="00772DB1" w:rsidRPr="00AE4DBA" w14:paraId="7ED9233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6D336ED4"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692F9D65"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62B6188F"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7A1E9FE8"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6B295CE2"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2CDD2AD6"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Wairarapa</w:t>
            </w:r>
          </w:p>
        </w:tc>
        <w:tc>
          <w:tcPr>
            <w:tcW w:w="4342" w:type="dxa"/>
            <w:tcMar>
              <w:left w:w="108" w:type="dxa"/>
              <w:right w:w="108" w:type="dxa"/>
            </w:tcMar>
            <w:vAlign w:val="center"/>
          </w:tcPr>
          <w:p w14:paraId="3BC11A66"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Wairarapa Hospital</w:t>
            </w:r>
          </w:p>
        </w:tc>
      </w:tr>
      <w:tr w:rsidR="00772DB1" w:rsidRPr="00AE4DBA" w14:paraId="64F615C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03E973DB"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2E0E53AE"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76ACF9BF"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033DA529"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0C818F"/>
            <w:tcMar>
              <w:left w:w="108" w:type="dxa"/>
              <w:right w:w="108" w:type="dxa"/>
            </w:tcMar>
            <w:vAlign w:val="center"/>
          </w:tcPr>
          <w:p w14:paraId="4FAEB488" w14:textId="77777777" w:rsidR="00772DB1" w:rsidRPr="00AE4DBA" w:rsidRDefault="00772DB1">
            <w:pPr>
              <w:rPr>
                <w:rFonts w:cs="Arial"/>
                <w:color w:val="F6F4EC" w:themeColor="background1"/>
                <w:szCs w:val="20"/>
              </w:rPr>
            </w:pPr>
            <w:r w:rsidRPr="00AE4DBA">
              <w:rPr>
                <w:rFonts w:cs="Arial"/>
                <w:color w:val="F6F4EC" w:themeColor="background1"/>
                <w:szCs w:val="20"/>
              </w:rPr>
              <w:t>Te Waipounamu region</w:t>
            </w:r>
          </w:p>
        </w:tc>
        <w:tc>
          <w:tcPr>
            <w:tcW w:w="3118" w:type="dxa"/>
            <w:vMerge w:val="restart"/>
            <w:shd w:val="clear" w:color="auto" w:fill="30A1AC"/>
            <w:tcMar>
              <w:left w:w="108" w:type="dxa"/>
              <w:right w:w="108" w:type="dxa"/>
            </w:tcMar>
            <w:vAlign w:val="center"/>
          </w:tcPr>
          <w:p w14:paraId="7C50B08D"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Waitaha Canterbury</w:t>
            </w:r>
          </w:p>
        </w:tc>
        <w:tc>
          <w:tcPr>
            <w:tcW w:w="4342" w:type="dxa"/>
            <w:tcMar>
              <w:left w:w="108" w:type="dxa"/>
              <w:right w:w="108" w:type="dxa"/>
            </w:tcMar>
            <w:vAlign w:val="center"/>
          </w:tcPr>
          <w:p w14:paraId="3E9207AF"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Ashburton Hospital</w:t>
            </w:r>
          </w:p>
        </w:tc>
      </w:tr>
      <w:tr w:rsidR="00772DB1" w:rsidRPr="00AE4DBA" w14:paraId="5A9D78B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6EF5CE8A"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67016A43"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3C566CEC"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Burwood Hospital</w:t>
            </w:r>
          </w:p>
        </w:tc>
      </w:tr>
      <w:tr w:rsidR="00772DB1" w:rsidRPr="00AE4DBA" w14:paraId="4199DB2C"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662DF726"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0C6F5CC0"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2745F377"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Christchurch Hospital</w:t>
            </w:r>
          </w:p>
        </w:tc>
      </w:tr>
      <w:tr w:rsidR="00772DB1" w:rsidRPr="00AE4DBA" w14:paraId="50B96BE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4679F0A4"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4F118C42"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6F3EA128"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Hillmorton Hospital</w:t>
            </w:r>
          </w:p>
        </w:tc>
      </w:tr>
      <w:tr w:rsidR="00772DB1" w:rsidRPr="00AE4DBA" w14:paraId="277F3411"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746E2841"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410B388E"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66856BA3"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Kaikoura Integrated Family Health Centre</w:t>
            </w:r>
          </w:p>
        </w:tc>
      </w:tr>
      <w:tr w:rsidR="00772DB1" w:rsidRPr="00AE4DBA" w14:paraId="77AF543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55FD4093"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6FA31D6B"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5FAC7FCA"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Princess Margaret Hospital</w:t>
            </w:r>
          </w:p>
        </w:tc>
      </w:tr>
      <w:tr w:rsidR="00772DB1" w:rsidRPr="00AE4DBA" w14:paraId="29050A93"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1C3E3758"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19DDE68A"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70E1FF1E"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5081C24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417379CD"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0614837F"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 xml:space="preserve">Te Tai o </w:t>
            </w:r>
            <w:proofErr w:type="spellStart"/>
            <w:r w:rsidRPr="00AE4DBA">
              <w:rPr>
                <w:rFonts w:cs="Arial"/>
                <w:color w:val="F6F4EC" w:themeColor="background1"/>
                <w:szCs w:val="20"/>
              </w:rPr>
              <w:t>Poutini</w:t>
            </w:r>
            <w:proofErr w:type="spellEnd"/>
            <w:r w:rsidRPr="00AE4DBA">
              <w:rPr>
                <w:rFonts w:cs="Arial"/>
                <w:color w:val="F6F4EC" w:themeColor="background1"/>
                <w:szCs w:val="20"/>
              </w:rPr>
              <w:t xml:space="preserve"> West Coast</w:t>
            </w:r>
          </w:p>
        </w:tc>
        <w:tc>
          <w:tcPr>
            <w:tcW w:w="4342" w:type="dxa"/>
            <w:tcMar>
              <w:left w:w="108" w:type="dxa"/>
              <w:right w:w="108" w:type="dxa"/>
            </w:tcMar>
            <w:vAlign w:val="center"/>
          </w:tcPr>
          <w:p w14:paraId="5C054054"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Grey Base Hospital</w:t>
            </w:r>
          </w:p>
        </w:tc>
      </w:tr>
      <w:tr w:rsidR="00772DB1" w:rsidRPr="00AE4DBA" w14:paraId="7932F72D"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1D0665D3"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197D0F32"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6DBCA5D6"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04A409C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3341840B"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737355DC"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Nelson Marlborough</w:t>
            </w:r>
          </w:p>
        </w:tc>
        <w:tc>
          <w:tcPr>
            <w:tcW w:w="4342" w:type="dxa"/>
            <w:tcMar>
              <w:left w:w="108" w:type="dxa"/>
              <w:right w:w="108" w:type="dxa"/>
            </w:tcMar>
            <w:vAlign w:val="center"/>
          </w:tcPr>
          <w:p w14:paraId="2AB1DE25"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Mental Health Admissions Unit - Nelson</w:t>
            </w:r>
          </w:p>
        </w:tc>
      </w:tr>
      <w:tr w:rsidR="00772DB1" w:rsidRPr="00AE4DBA" w14:paraId="333AA91A"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24181D6B"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4C2D4A97"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00936FF5"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Nelson Hospital</w:t>
            </w:r>
          </w:p>
        </w:tc>
      </w:tr>
      <w:tr w:rsidR="00772DB1" w:rsidRPr="00AE4DBA" w14:paraId="1EBD76C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6C760C88"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07CBAAB1"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2B600C1D"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Wairau Hospital</w:t>
            </w:r>
          </w:p>
        </w:tc>
      </w:tr>
      <w:tr w:rsidR="00772DB1" w:rsidRPr="00AE4DBA" w14:paraId="517529D7"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65825348"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53C1EAB0"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5155539A"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58738C7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16D2F05B"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355B7EF8"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South Canterbury</w:t>
            </w:r>
          </w:p>
        </w:tc>
        <w:tc>
          <w:tcPr>
            <w:tcW w:w="4342" w:type="dxa"/>
            <w:tcMar>
              <w:left w:w="108" w:type="dxa"/>
              <w:right w:w="108" w:type="dxa"/>
            </w:tcMar>
            <w:vAlign w:val="center"/>
          </w:tcPr>
          <w:p w14:paraId="1222B482"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Timaru Hospital</w:t>
            </w:r>
          </w:p>
        </w:tc>
      </w:tr>
      <w:tr w:rsidR="00772DB1" w:rsidRPr="00AE4DBA" w14:paraId="410FAC06"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63E13FCB"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53594B47"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23A9B84A"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78F7667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1147446A" w14:textId="77777777" w:rsidR="00772DB1" w:rsidRPr="00AE4DBA" w:rsidRDefault="00772DB1">
            <w:pPr>
              <w:rPr>
                <w:rFonts w:cs="Arial"/>
                <w:color w:val="F6F4EC" w:themeColor="background1"/>
                <w:szCs w:val="20"/>
              </w:rPr>
            </w:pPr>
          </w:p>
        </w:tc>
        <w:tc>
          <w:tcPr>
            <w:tcW w:w="3118" w:type="dxa"/>
            <w:vMerge w:val="restart"/>
            <w:shd w:val="clear" w:color="auto" w:fill="30A1AC"/>
            <w:tcMar>
              <w:left w:w="108" w:type="dxa"/>
              <w:right w:w="108" w:type="dxa"/>
            </w:tcMar>
            <w:vAlign w:val="center"/>
          </w:tcPr>
          <w:p w14:paraId="76184F00"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Southern</w:t>
            </w:r>
          </w:p>
        </w:tc>
        <w:tc>
          <w:tcPr>
            <w:tcW w:w="4342" w:type="dxa"/>
            <w:tcMar>
              <w:left w:w="108" w:type="dxa"/>
              <w:right w:w="108" w:type="dxa"/>
            </w:tcMar>
            <w:vAlign w:val="center"/>
          </w:tcPr>
          <w:p w14:paraId="1D9BB18E"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Dunedin Hospital</w:t>
            </w:r>
          </w:p>
        </w:tc>
      </w:tr>
      <w:tr w:rsidR="00772DB1" w:rsidRPr="00AE4DBA" w14:paraId="6D4A2392"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46236AFA"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57CBE10B"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4385563C"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Lakes District Hospital</w:t>
            </w:r>
          </w:p>
        </w:tc>
      </w:tr>
      <w:tr w:rsidR="00772DB1" w:rsidRPr="00AE4DBA" w14:paraId="4741086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504387D5"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49BED084"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38524580"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Southland Hospital</w:t>
            </w:r>
          </w:p>
        </w:tc>
      </w:tr>
      <w:tr w:rsidR="00772DB1" w:rsidRPr="00AE4DBA" w14:paraId="220DDE56"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24EC4D82"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186631E5"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2394E47A"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proofErr w:type="spellStart"/>
            <w:r w:rsidRPr="00AE4DBA">
              <w:rPr>
                <w:rFonts w:cs="Arial"/>
                <w:szCs w:val="20"/>
              </w:rPr>
              <w:t>Wakari</w:t>
            </w:r>
            <w:proofErr w:type="spellEnd"/>
            <w:r w:rsidRPr="00AE4DBA">
              <w:rPr>
                <w:rFonts w:cs="Arial"/>
                <w:szCs w:val="20"/>
              </w:rPr>
              <w:t xml:space="preserve"> Hospital</w:t>
            </w:r>
          </w:p>
        </w:tc>
      </w:tr>
      <w:tr w:rsidR="00772DB1" w:rsidRPr="00AE4DBA" w14:paraId="01993DD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09173DB2" w14:textId="77777777" w:rsidR="00772DB1" w:rsidRPr="00AE4DBA" w:rsidRDefault="00772DB1">
            <w:pPr>
              <w:rPr>
                <w:rFonts w:cs="Arial"/>
                <w:color w:val="F6F4EC" w:themeColor="background1"/>
                <w:szCs w:val="20"/>
              </w:rPr>
            </w:pPr>
          </w:p>
        </w:tc>
        <w:tc>
          <w:tcPr>
            <w:tcW w:w="3118" w:type="dxa"/>
            <w:vMerge/>
            <w:shd w:val="clear" w:color="auto" w:fill="30A1AC"/>
            <w:vAlign w:val="center"/>
          </w:tcPr>
          <w:p w14:paraId="5BA68ED5"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
        </w:tc>
        <w:tc>
          <w:tcPr>
            <w:tcW w:w="4342" w:type="dxa"/>
            <w:tcMar>
              <w:left w:w="108" w:type="dxa"/>
              <w:right w:w="108" w:type="dxa"/>
            </w:tcMar>
            <w:vAlign w:val="center"/>
          </w:tcPr>
          <w:p w14:paraId="1FC271EC"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Various community locations</w:t>
            </w:r>
          </w:p>
        </w:tc>
      </w:tr>
      <w:tr w:rsidR="00772DB1" w:rsidRPr="00AE4DBA" w14:paraId="6A1E4474"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0C818F"/>
            <w:tcMar>
              <w:left w:w="108" w:type="dxa"/>
              <w:right w:w="108" w:type="dxa"/>
            </w:tcMar>
            <w:vAlign w:val="center"/>
          </w:tcPr>
          <w:p w14:paraId="6EE5D8B6" w14:textId="77777777" w:rsidR="00772DB1" w:rsidRPr="00AE4DBA" w:rsidRDefault="00772DB1">
            <w:pPr>
              <w:rPr>
                <w:rFonts w:cs="Arial"/>
                <w:color w:val="F6F4EC" w:themeColor="background1"/>
                <w:szCs w:val="20"/>
              </w:rPr>
            </w:pPr>
            <w:r w:rsidRPr="00AE4DBA">
              <w:rPr>
                <w:rFonts w:cs="Arial"/>
                <w:color w:val="F6F4EC" w:themeColor="background1"/>
                <w:szCs w:val="20"/>
              </w:rPr>
              <w:t>Subsidiaries</w:t>
            </w:r>
          </w:p>
        </w:tc>
        <w:tc>
          <w:tcPr>
            <w:tcW w:w="3118" w:type="dxa"/>
            <w:shd w:val="clear" w:color="auto" w:fill="30A1AC"/>
            <w:tcMar>
              <w:left w:w="108" w:type="dxa"/>
              <w:right w:w="108" w:type="dxa"/>
            </w:tcMar>
            <w:vAlign w:val="center"/>
          </w:tcPr>
          <w:p w14:paraId="02B7B123"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Allied Laundry Services Ltd</w:t>
            </w:r>
          </w:p>
        </w:tc>
        <w:tc>
          <w:tcPr>
            <w:tcW w:w="4342" w:type="dxa"/>
            <w:tcMar>
              <w:left w:w="108" w:type="dxa"/>
              <w:right w:w="108" w:type="dxa"/>
            </w:tcMar>
            <w:vAlign w:val="center"/>
          </w:tcPr>
          <w:p w14:paraId="5C1343D6"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Allied Laundry Services Ltd</w:t>
            </w:r>
          </w:p>
        </w:tc>
      </w:tr>
      <w:tr w:rsidR="00772DB1" w:rsidRPr="00AE4DBA" w14:paraId="1F2BD3D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26351393" w14:textId="77777777" w:rsidR="00772DB1" w:rsidRPr="00AE4DBA" w:rsidRDefault="00772DB1">
            <w:pPr>
              <w:rPr>
                <w:rFonts w:cs="Arial"/>
                <w:color w:val="F6F4EC" w:themeColor="background1"/>
                <w:szCs w:val="20"/>
              </w:rPr>
            </w:pPr>
          </w:p>
        </w:tc>
        <w:tc>
          <w:tcPr>
            <w:tcW w:w="3118" w:type="dxa"/>
            <w:tcBorders>
              <w:bottom w:val="single" w:sz="4" w:space="0" w:color="CFC499" w:themeColor="background1" w:themeShade="BF"/>
            </w:tcBorders>
            <w:shd w:val="clear" w:color="auto" w:fill="30A1AC"/>
            <w:tcMar>
              <w:left w:w="108" w:type="dxa"/>
              <w:right w:w="108" w:type="dxa"/>
            </w:tcMar>
            <w:vAlign w:val="center"/>
          </w:tcPr>
          <w:p w14:paraId="5D3CA46D"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proofErr w:type="spellStart"/>
            <w:r w:rsidRPr="00AE4DBA">
              <w:rPr>
                <w:rFonts w:cs="Arial"/>
                <w:color w:val="F6F4EC" w:themeColor="background1"/>
                <w:szCs w:val="20"/>
              </w:rPr>
              <w:t>Tairāwhiti</w:t>
            </w:r>
            <w:proofErr w:type="spellEnd"/>
            <w:r w:rsidRPr="00AE4DBA">
              <w:rPr>
                <w:rFonts w:cs="Arial"/>
                <w:color w:val="F6F4EC" w:themeColor="background1"/>
                <w:szCs w:val="20"/>
              </w:rPr>
              <w:t xml:space="preserve"> Laundry Services Ltd</w:t>
            </w:r>
          </w:p>
        </w:tc>
        <w:tc>
          <w:tcPr>
            <w:tcW w:w="4342" w:type="dxa"/>
            <w:tcMar>
              <w:left w:w="108" w:type="dxa"/>
              <w:right w:w="108" w:type="dxa"/>
            </w:tcMar>
            <w:vAlign w:val="center"/>
          </w:tcPr>
          <w:p w14:paraId="7A7CC203"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proofErr w:type="spellStart"/>
            <w:r w:rsidRPr="00AE4DBA">
              <w:rPr>
                <w:rFonts w:cs="Arial"/>
                <w:szCs w:val="20"/>
              </w:rPr>
              <w:t>Tairāwhiti</w:t>
            </w:r>
            <w:proofErr w:type="spellEnd"/>
            <w:r w:rsidRPr="00AE4DBA">
              <w:rPr>
                <w:rFonts w:cs="Arial"/>
                <w:szCs w:val="20"/>
              </w:rPr>
              <w:t xml:space="preserve"> Laundry Services Ltd</w:t>
            </w:r>
          </w:p>
        </w:tc>
      </w:tr>
      <w:tr w:rsidR="00772DB1" w:rsidRPr="00AE4DBA" w14:paraId="4C3E3C6A" w14:textId="77777777">
        <w:trPr>
          <w:trHeight w:val="30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0C818F"/>
            <w:vAlign w:val="center"/>
          </w:tcPr>
          <w:p w14:paraId="6F69D3F6" w14:textId="77777777" w:rsidR="00772DB1" w:rsidRPr="00AE4DBA" w:rsidRDefault="00772DB1">
            <w:pPr>
              <w:rPr>
                <w:rFonts w:cs="Arial"/>
                <w:color w:val="F6F4EC" w:themeColor="background1"/>
                <w:szCs w:val="20"/>
              </w:rPr>
            </w:pPr>
          </w:p>
        </w:tc>
        <w:tc>
          <w:tcPr>
            <w:tcW w:w="3118" w:type="dxa"/>
            <w:tcBorders>
              <w:bottom w:val="nil"/>
            </w:tcBorders>
            <w:shd w:val="clear" w:color="auto" w:fill="30A1AC"/>
            <w:tcMar>
              <w:left w:w="108" w:type="dxa"/>
              <w:right w:w="108" w:type="dxa"/>
            </w:tcMar>
            <w:vAlign w:val="center"/>
          </w:tcPr>
          <w:p w14:paraId="49F578CE"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Enable New Zealand Ltd</w:t>
            </w:r>
          </w:p>
        </w:tc>
        <w:tc>
          <w:tcPr>
            <w:tcW w:w="4342" w:type="dxa"/>
            <w:tcBorders>
              <w:bottom w:val="single" w:sz="4" w:space="0" w:color="30A1AC" w:themeColor="background2"/>
            </w:tcBorders>
            <w:tcMar>
              <w:left w:w="108" w:type="dxa"/>
              <w:right w:w="108" w:type="dxa"/>
            </w:tcMar>
            <w:vAlign w:val="center"/>
          </w:tcPr>
          <w:p w14:paraId="69285B2A" w14:textId="77777777" w:rsidR="00772DB1" w:rsidRPr="00AE4DBA" w:rsidRDefault="00772DB1">
            <w:pPr>
              <w:cnfStyle w:val="000000000000" w:firstRow="0" w:lastRow="0" w:firstColumn="0" w:lastColumn="0" w:oddVBand="0" w:evenVBand="0" w:oddHBand="0" w:evenHBand="0" w:firstRowFirstColumn="0" w:firstRowLastColumn="0" w:lastRowFirstColumn="0" w:lastRowLastColumn="0"/>
              <w:rPr>
                <w:rFonts w:cs="Arial"/>
                <w:szCs w:val="20"/>
              </w:rPr>
            </w:pPr>
            <w:r w:rsidRPr="00AE4DBA">
              <w:rPr>
                <w:rFonts w:cs="Arial"/>
                <w:szCs w:val="20"/>
              </w:rPr>
              <w:t>Enable New Zealand Ltd</w:t>
            </w:r>
          </w:p>
        </w:tc>
      </w:tr>
      <w:tr w:rsidR="00772DB1" w:rsidRPr="00AE4DBA" w14:paraId="2D70481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tcBorders>
              <w:bottom w:val="single" w:sz="4" w:space="0" w:color="30A1AC" w:themeColor="background2"/>
            </w:tcBorders>
            <w:shd w:val="clear" w:color="auto" w:fill="0C818F"/>
            <w:vAlign w:val="center"/>
          </w:tcPr>
          <w:p w14:paraId="0AA08667" w14:textId="77777777" w:rsidR="00772DB1" w:rsidRPr="00AE4DBA" w:rsidRDefault="00772DB1">
            <w:pPr>
              <w:rPr>
                <w:rFonts w:cs="Arial"/>
                <w:color w:val="F6F4EC" w:themeColor="background1"/>
                <w:szCs w:val="20"/>
              </w:rPr>
            </w:pPr>
          </w:p>
        </w:tc>
        <w:tc>
          <w:tcPr>
            <w:tcW w:w="3118" w:type="dxa"/>
            <w:tcBorders>
              <w:top w:val="nil"/>
              <w:bottom w:val="single" w:sz="4" w:space="0" w:color="30A1AC" w:themeColor="background2"/>
            </w:tcBorders>
            <w:shd w:val="clear" w:color="auto" w:fill="30A1AC"/>
            <w:tcMar>
              <w:left w:w="108" w:type="dxa"/>
              <w:right w:w="108" w:type="dxa"/>
            </w:tcMar>
            <w:vAlign w:val="center"/>
          </w:tcPr>
          <w:p w14:paraId="4B50D35E"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color w:val="F6F4EC" w:themeColor="background1"/>
                <w:szCs w:val="20"/>
              </w:rPr>
            </w:pPr>
            <w:r w:rsidRPr="00AE4DBA">
              <w:rPr>
                <w:rFonts w:cs="Arial"/>
                <w:color w:val="F6F4EC" w:themeColor="background1"/>
                <w:szCs w:val="20"/>
              </w:rPr>
              <w:t>Canterbury Linen Services Ltd</w:t>
            </w:r>
          </w:p>
        </w:tc>
        <w:tc>
          <w:tcPr>
            <w:tcW w:w="4342" w:type="dxa"/>
            <w:tcBorders>
              <w:top w:val="single" w:sz="4" w:space="0" w:color="30A1AC" w:themeColor="background2"/>
              <w:bottom w:val="single" w:sz="4" w:space="0" w:color="30A1AC" w:themeColor="background2"/>
            </w:tcBorders>
            <w:tcMar>
              <w:left w:w="108" w:type="dxa"/>
              <w:right w:w="108" w:type="dxa"/>
            </w:tcMar>
            <w:vAlign w:val="center"/>
          </w:tcPr>
          <w:p w14:paraId="76C98E98" w14:textId="77777777" w:rsidR="00772DB1" w:rsidRPr="00AE4DBA" w:rsidRDefault="00772DB1">
            <w:pPr>
              <w:cnfStyle w:val="000000100000" w:firstRow="0" w:lastRow="0" w:firstColumn="0" w:lastColumn="0" w:oddVBand="0" w:evenVBand="0" w:oddHBand="1" w:evenHBand="0" w:firstRowFirstColumn="0" w:firstRowLastColumn="0" w:lastRowFirstColumn="0" w:lastRowLastColumn="0"/>
              <w:rPr>
                <w:rFonts w:cs="Arial"/>
                <w:szCs w:val="20"/>
              </w:rPr>
            </w:pPr>
            <w:r w:rsidRPr="00AE4DBA">
              <w:rPr>
                <w:rFonts w:cs="Arial"/>
                <w:szCs w:val="20"/>
              </w:rPr>
              <w:t>Canterbury Linen Services Ltd</w:t>
            </w:r>
          </w:p>
        </w:tc>
      </w:tr>
    </w:tbl>
    <w:p w14:paraId="47898EEA" w14:textId="77777777" w:rsidR="00772DB1" w:rsidRPr="00AE4DBA" w:rsidRDefault="00772DB1" w:rsidP="00772DB1">
      <w:pPr>
        <w:pStyle w:val="BodyText1"/>
        <w:rPr>
          <w:lang w:val="en-NZ"/>
        </w:rPr>
      </w:pPr>
    </w:p>
    <w:p w14:paraId="3C55EB03" w14:textId="01ACFE8B" w:rsidR="001B37BC" w:rsidRPr="00AE4DBA" w:rsidRDefault="001B37BC">
      <w:pPr>
        <w:spacing w:after="160" w:line="259" w:lineRule="auto"/>
        <w:rPr>
          <w:rFonts w:eastAsia="Malgun Gothic"/>
          <w:b/>
          <w:color w:val="0C818F"/>
          <w:sz w:val="36"/>
          <w:szCs w:val="36"/>
        </w:rPr>
      </w:pPr>
    </w:p>
    <w:p w14:paraId="28DE02A2" w14:textId="77777777" w:rsidR="00C5775A" w:rsidRPr="00AE4DBA" w:rsidRDefault="00C5775A" w:rsidP="00E53E2E">
      <w:pPr>
        <w:pStyle w:val="Subheading1"/>
      </w:pPr>
    </w:p>
    <w:p w14:paraId="12CDE4BE" w14:textId="77777777" w:rsidR="00C5775A" w:rsidRPr="00AE4DBA" w:rsidRDefault="00C5775A" w:rsidP="00E53E2E">
      <w:pPr>
        <w:pStyle w:val="Subheading1"/>
      </w:pPr>
    </w:p>
    <w:p w14:paraId="5F33385D" w14:textId="77777777" w:rsidR="00C5775A" w:rsidRPr="00AE4DBA" w:rsidRDefault="00C5775A" w:rsidP="00E53E2E">
      <w:pPr>
        <w:pStyle w:val="Subheading1"/>
      </w:pPr>
    </w:p>
    <w:p w14:paraId="001DA218" w14:textId="77777777" w:rsidR="00C5775A" w:rsidRPr="00AE4DBA" w:rsidRDefault="00C5775A" w:rsidP="00E53E2E">
      <w:pPr>
        <w:pStyle w:val="Subheading1"/>
      </w:pPr>
    </w:p>
    <w:p w14:paraId="508E959E" w14:textId="77777777" w:rsidR="00C5775A" w:rsidRPr="00AE4DBA" w:rsidRDefault="00C5775A" w:rsidP="00E53E2E">
      <w:pPr>
        <w:pStyle w:val="Subheading1"/>
      </w:pPr>
    </w:p>
    <w:p w14:paraId="4AC941F1" w14:textId="77777777" w:rsidR="00C5775A" w:rsidRPr="00AE4DBA" w:rsidRDefault="00C5775A" w:rsidP="00E53E2E">
      <w:pPr>
        <w:pStyle w:val="Subheading1"/>
      </w:pPr>
    </w:p>
    <w:p w14:paraId="3E248A67" w14:textId="77777777" w:rsidR="00C5775A" w:rsidRPr="00AE4DBA" w:rsidRDefault="00C5775A" w:rsidP="00E53E2E">
      <w:pPr>
        <w:pStyle w:val="Subheading1"/>
      </w:pPr>
    </w:p>
    <w:p w14:paraId="19A07CA2" w14:textId="77777777" w:rsidR="00C5775A" w:rsidRPr="00AE4DBA" w:rsidRDefault="00C5775A" w:rsidP="00E53E2E">
      <w:pPr>
        <w:pStyle w:val="Subheading1"/>
      </w:pPr>
    </w:p>
    <w:p w14:paraId="26C9E730" w14:textId="77777777" w:rsidR="00C5775A" w:rsidRPr="00AE4DBA" w:rsidRDefault="00C5775A" w:rsidP="00E53E2E">
      <w:pPr>
        <w:pStyle w:val="Subheading1"/>
      </w:pPr>
    </w:p>
    <w:p w14:paraId="6B685F4D" w14:textId="77777777" w:rsidR="00C5775A" w:rsidRPr="00AE4DBA" w:rsidRDefault="00C5775A" w:rsidP="00E53E2E">
      <w:pPr>
        <w:pStyle w:val="Subheading1"/>
      </w:pPr>
    </w:p>
    <w:p w14:paraId="46E34D1A" w14:textId="77777777" w:rsidR="00C5775A" w:rsidRPr="00AE4DBA" w:rsidRDefault="00C5775A" w:rsidP="00E53E2E">
      <w:pPr>
        <w:pStyle w:val="Subheading1"/>
      </w:pPr>
    </w:p>
    <w:p w14:paraId="795CE9D5" w14:textId="77777777" w:rsidR="00C5775A" w:rsidRPr="00AE4DBA" w:rsidRDefault="00C5775A" w:rsidP="00E53E2E">
      <w:pPr>
        <w:pStyle w:val="Subheading1"/>
      </w:pPr>
    </w:p>
    <w:p w14:paraId="1892B68C" w14:textId="77777777" w:rsidR="00C5775A" w:rsidRPr="00AE4DBA" w:rsidRDefault="00C5775A" w:rsidP="00E53E2E">
      <w:pPr>
        <w:pStyle w:val="Subheading1"/>
      </w:pPr>
    </w:p>
    <w:p w14:paraId="303AAAAF" w14:textId="77777777" w:rsidR="00C5775A" w:rsidRPr="00AE4DBA" w:rsidRDefault="00C5775A" w:rsidP="00E53E2E">
      <w:pPr>
        <w:pStyle w:val="Subheading1"/>
      </w:pPr>
    </w:p>
    <w:p w14:paraId="1C5CE9A5" w14:textId="77777777" w:rsidR="00175C24" w:rsidRPr="00AE4DBA" w:rsidRDefault="00175C24" w:rsidP="00E53E2E">
      <w:pPr>
        <w:pStyle w:val="Subheading1"/>
        <w:sectPr w:rsidR="00175C24" w:rsidRPr="00AE4DBA" w:rsidSect="0046786E">
          <w:pgSz w:w="11906" w:h="16838"/>
          <w:pgMar w:top="1531" w:right="1440" w:bottom="1077" w:left="1440" w:header="851" w:footer="198" w:gutter="0"/>
          <w:cols w:space="708"/>
          <w:titlePg/>
          <w:docGrid w:linePitch="360"/>
        </w:sectPr>
      </w:pPr>
    </w:p>
    <w:p w14:paraId="2DD7BBCE" w14:textId="58A09C75" w:rsidR="00E53E2E" w:rsidRPr="00AE4DBA" w:rsidRDefault="0E316B80" w:rsidP="00E53E2E">
      <w:pPr>
        <w:pStyle w:val="Subheading1"/>
      </w:pPr>
      <w:bookmarkStart w:id="92" w:name="_Toc176345145"/>
      <w:r>
        <w:lastRenderedPageBreak/>
        <w:t xml:space="preserve">Appendix </w:t>
      </w:r>
      <w:r w:rsidR="1F9FDD36">
        <w:t xml:space="preserve">E </w:t>
      </w:r>
      <w:r>
        <w:t>Emissions sources, data collection and uncertainty per category</w:t>
      </w:r>
      <w:bookmarkEnd w:id="92"/>
    </w:p>
    <w:tbl>
      <w:tblPr>
        <w:tblStyle w:val="TableGrid3"/>
        <w:tblW w:w="298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1134"/>
        <w:gridCol w:w="709"/>
        <w:gridCol w:w="142"/>
        <w:gridCol w:w="2268"/>
        <w:gridCol w:w="5244"/>
        <w:gridCol w:w="3180"/>
        <w:gridCol w:w="3180"/>
        <w:gridCol w:w="3180"/>
        <w:gridCol w:w="3180"/>
        <w:gridCol w:w="3180"/>
        <w:gridCol w:w="3180"/>
      </w:tblGrid>
      <w:tr w:rsidR="00995400" w:rsidRPr="00AE4DBA" w14:paraId="4B1829C6" w14:textId="77777777" w:rsidTr="2864371F">
        <w:trPr>
          <w:gridAfter w:val="5"/>
          <w:wAfter w:w="15900" w:type="dxa"/>
          <w:trHeight w:val="380"/>
        </w:trPr>
        <w:tc>
          <w:tcPr>
            <w:tcW w:w="13948" w:type="dxa"/>
            <w:gridSpan w:val="7"/>
            <w:shd w:val="clear" w:color="auto" w:fill="15284C" w:themeFill="accent5"/>
            <w:vAlign w:val="center"/>
          </w:tcPr>
          <w:p w14:paraId="3D3F93DC" w14:textId="77777777" w:rsidR="00995400" w:rsidRPr="00AE4DBA" w:rsidRDefault="00995400" w:rsidP="00870BF7">
            <w:pPr>
              <w:suppressAutoHyphens/>
              <w:autoSpaceDE w:val="0"/>
              <w:autoSpaceDN w:val="0"/>
              <w:adjustRightInd w:val="0"/>
              <w:spacing w:before="113" w:after="200" w:line="288" w:lineRule="auto"/>
              <w:jc w:val="center"/>
              <w:textAlignment w:val="center"/>
              <w:rPr>
                <w:rFonts w:ascii="Calibri" w:eastAsia="Calibri" w:hAnsi="Calibri"/>
                <w:b/>
                <w:color w:val="008A9F"/>
                <w:sz w:val="24"/>
                <w:lang w:eastAsia="en-US"/>
              </w:rPr>
            </w:pPr>
            <w:r w:rsidRPr="00AE4DBA">
              <w:rPr>
                <w:rFonts w:eastAsia="Calibri" w:cs="Arial"/>
                <w:b/>
                <w:color w:val="FFFFFF"/>
                <w:sz w:val="24"/>
                <w:lang w:eastAsia="en-US"/>
              </w:rPr>
              <w:t>Category 1</w:t>
            </w:r>
          </w:p>
        </w:tc>
      </w:tr>
      <w:tr w:rsidR="00995400" w:rsidRPr="00AE4DBA" w14:paraId="7B52C126" w14:textId="77777777" w:rsidTr="2864371F">
        <w:trPr>
          <w:gridAfter w:val="5"/>
          <w:wAfter w:w="15900" w:type="dxa"/>
          <w:trHeight w:val="380"/>
        </w:trPr>
        <w:tc>
          <w:tcPr>
            <w:tcW w:w="1271" w:type="dxa"/>
            <w:shd w:val="clear" w:color="auto" w:fill="15284C" w:themeFill="accent5"/>
            <w:vAlign w:val="center"/>
            <w:hideMark/>
          </w:tcPr>
          <w:p w14:paraId="79077C60"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b/>
                <w:bCs/>
                <w:color w:val="FFFFFF"/>
                <w:szCs w:val="22"/>
                <w:lang w:eastAsia="en-US"/>
              </w:rPr>
              <w:t xml:space="preserve">Source </w:t>
            </w:r>
          </w:p>
        </w:tc>
        <w:tc>
          <w:tcPr>
            <w:tcW w:w="1134" w:type="dxa"/>
            <w:shd w:val="clear" w:color="auto" w:fill="15284C" w:themeFill="accent5"/>
            <w:vAlign w:val="center"/>
            <w:hideMark/>
          </w:tcPr>
          <w:p w14:paraId="2F3B5AD9"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b/>
                <w:bCs/>
                <w:color w:val="FFFFFF"/>
                <w:szCs w:val="22"/>
                <w:lang w:eastAsia="en-US"/>
              </w:rPr>
              <w:t>Data source</w:t>
            </w:r>
          </w:p>
        </w:tc>
        <w:tc>
          <w:tcPr>
            <w:tcW w:w="709" w:type="dxa"/>
            <w:shd w:val="clear" w:color="auto" w:fill="15284C" w:themeFill="accent5"/>
            <w:vAlign w:val="center"/>
            <w:hideMark/>
          </w:tcPr>
          <w:p w14:paraId="131906EF"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b/>
                <w:bCs/>
                <w:color w:val="FFFFFF"/>
                <w:szCs w:val="22"/>
                <w:lang w:eastAsia="en-US"/>
              </w:rPr>
              <w:t>UOM</w:t>
            </w:r>
          </w:p>
        </w:tc>
        <w:tc>
          <w:tcPr>
            <w:tcW w:w="2410" w:type="dxa"/>
            <w:gridSpan w:val="2"/>
            <w:shd w:val="clear" w:color="auto" w:fill="15284C" w:themeFill="accent5"/>
            <w:vAlign w:val="center"/>
            <w:hideMark/>
          </w:tcPr>
          <w:p w14:paraId="422BB8F8"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b/>
                <w:bCs/>
                <w:color w:val="FFFFFF"/>
                <w:szCs w:val="22"/>
                <w:lang w:eastAsia="en-US"/>
              </w:rPr>
              <w:t>Emission factor</w:t>
            </w:r>
          </w:p>
        </w:tc>
        <w:tc>
          <w:tcPr>
            <w:tcW w:w="5244" w:type="dxa"/>
            <w:shd w:val="clear" w:color="auto" w:fill="15284C" w:themeFill="accent5"/>
            <w:vAlign w:val="center"/>
            <w:hideMark/>
          </w:tcPr>
          <w:p w14:paraId="2263DA23"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b/>
                <w:bCs/>
                <w:color w:val="FFFFFF"/>
                <w:szCs w:val="22"/>
                <w:lang w:eastAsia="en-US"/>
              </w:rPr>
              <w:t>Boundary or dataset comments</w:t>
            </w:r>
          </w:p>
        </w:tc>
        <w:tc>
          <w:tcPr>
            <w:tcW w:w="3180" w:type="dxa"/>
            <w:shd w:val="clear" w:color="auto" w:fill="15284C" w:themeFill="accent5"/>
            <w:vAlign w:val="center"/>
            <w:hideMark/>
          </w:tcPr>
          <w:p w14:paraId="6BB43499"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b/>
                <w:bCs/>
                <w:color w:val="FFFFFF"/>
                <w:szCs w:val="22"/>
                <w:lang w:eastAsia="en-US"/>
              </w:rPr>
              <w:t>Uncertainty</w:t>
            </w:r>
          </w:p>
        </w:tc>
      </w:tr>
      <w:tr w:rsidR="00995400" w:rsidRPr="00AE4DBA" w14:paraId="47DB7807" w14:textId="77777777" w:rsidTr="2864371F">
        <w:trPr>
          <w:gridAfter w:val="5"/>
          <w:wAfter w:w="15900" w:type="dxa"/>
          <w:trHeight w:val="765"/>
        </w:trPr>
        <w:tc>
          <w:tcPr>
            <w:tcW w:w="1271" w:type="dxa"/>
            <w:vMerge w:val="restart"/>
            <w:vAlign w:val="center"/>
            <w:hideMark/>
          </w:tcPr>
          <w:p w14:paraId="30C8BA7A"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Coal</w:t>
            </w:r>
          </w:p>
        </w:tc>
        <w:tc>
          <w:tcPr>
            <w:tcW w:w="1134" w:type="dxa"/>
            <w:vAlign w:val="center"/>
            <w:hideMark/>
          </w:tcPr>
          <w:p w14:paraId="1FA6B4E9"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Canterbury district Inputs</w:t>
            </w:r>
          </w:p>
        </w:tc>
        <w:tc>
          <w:tcPr>
            <w:tcW w:w="709" w:type="dxa"/>
            <w:vMerge w:val="restart"/>
            <w:vAlign w:val="center"/>
            <w:hideMark/>
          </w:tcPr>
          <w:p w14:paraId="59771946"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GJ</w:t>
            </w:r>
          </w:p>
        </w:tc>
        <w:tc>
          <w:tcPr>
            <w:tcW w:w="2410" w:type="dxa"/>
            <w:gridSpan w:val="2"/>
            <w:vAlign w:val="center"/>
            <w:hideMark/>
          </w:tcPr>
          <w:p w14:paraId="491168F9"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Custom Coal -Sub-bituminous - Industrial- GJ</w:t>
            </w:r>
          </w:p>
        </w:tc>
        <w:tc>
          <w:tcPr>
            <w:tcW w:w="5244" w:type="dxa"/>
            <w:vAlign w:val="center"/>
            <w:hideMark/>
          </w:tcPr>
          <w:p w14:paraId="3BF4EA6E"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Steam generated at Christchurch Hospital is delivered and sold to Otago University School of Medicine (</w:t>
            </w:r>
            <w:proofErr w:type="spellStart"/>
            <w:r w:rsidRPr="00AE4DBA">
              <w:rPr>
                <w:rFonts w:ascii="Calibri" w:eastAsia="Calibri" w:hAnsi="Calibri" w:cs="Calibri"/>
                <w:color w:val="000000"/>
                <w:szCs w:val="20"/>
                <w:lang w:eastAsia="en-US"/>
              </w:rPr>
              <w:t>SoM</w:t>
            </w:r>
            <w:proofErr w:type="spellEnd"/>
            <w:r w:rsidRPr="00AE4DBA">
              <w:rPr>
                <w:rFonts w:ascii="Calibri" w:eastAsia="Calibri" w:hAnsi="Calibri" w:cs="Calibri"/>
                <w:color w:val="000000"/>
                <w:szCs w:val="20"/>
                <w:lang w:eastAsia="en-US"/>
              </w:rPr>
              <w:t>). As CNGP participant consumption by the university is deducted from Christchurch hospital consumption. Other site Ashburton Hospital</w:t>
            </w:r>
          </w:p>
        </w:tc>
        <w:tc>
          <w:tcPr>
            <w:tcW w:w="3180" w:type="dxa"/>
            <w:vAlign w:val="center"/>
            <w:hideMark/>
          </w:tcPr>
          <w:p w14:paraId="3DD24CDC"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Based on delivered coal on invoice in tonnes and caloric value testing to calculate consumption in GJ</w:t>
            </w:r>
          </w:p>
        </w:tc>
      </w:tr>
      <w:tr w:rsidR="008D3EAC" w:rsidRPr="00AE4DBA" w14:paraId="3A94ED1C" w14:textId="77777777" w:rsidTr="2864371F">
        <w:trPr>
          <w:gridAfter w:val="5"/>
          <w:wAfter w:w="15900" w:type="dxa"/>
          <w:trHeight w:val="780"/>
        </w:trPr>
        <w:tc>
          <w:tcPr>
            <w:tcW w:w="1271" w:type="dxa"/>
            <w:vMerge/>
            <w:vAlign w:val="center"/>
            <w:hideMark/>
          </w:tcPr>
          <w:p w14:paraId="499871CB"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78525CFF"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Birchfield</w:t>
            </w:r>
          </w:p>
        </w:tc>
        <w:tc>
          <w:tcPr>
            <w:tcW w:w="709" w:type="dxa"/>
            <w:vMerge/>
            <w:vAlign w:val="center"/>
            <w:hideMark/>
          </w:tcPr>
          <w:p w14:paraId="0AC6A431"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410" w:type="dxa"/>
            <w:gridSpan w:val="2"/>
            <w:vAlign w:val="center"/>
            <w:hideMark/>
          </w:tcPr>
          <w:p w14:paraId="0195A187"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Custom Coal -Bituminous - Industrial- GJ</w:t>
            </w:r>
            <w:r w:rsidRPr="00AE4DBA">
              <w:rPr>
                <w:rFonts w:ascii="Calibri" w:eastAsia="Calibri" w:hAnsi="Calibri" w:cs="Calibri"/>
                <w:color w:val="000000"/>
                <w:szCs w:val="20"/>
                <w:lang w:eastAsia="en-US"/>
              </w:rPr>
              <w:br/>
              <w:t>Custom Coal -Sub-bituminous - Industrial- GJ</w:t>
            </w:r>
          </w:p>
        </w:tc>
        <w:tc>
          <w:tcPr>
            <w:tcW w:w="5244" w:type="dxa"/>
            <w:vAlign w:val="center"/>
            <w:hideMark/>
          </w:tcPr>
          <w:p w14:paraId="64627495"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Nelson Marlborough and Westcoast sites</w:t>
            </w:r>
          </w:p>
        </w:tc>
        <w:tc>
          <w:tcPr>
            <w:tcW w:w="3180" w:type="dxa"/>
            <w:vAlign w:val="center"/>
            <w:hideMark/>
          </w:tcPr>
          <w:p w14:paraId="301F6F58"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Based on delivered coal on invoice in tonnes and caloric value testing to calculate consumption in GJ</w:t>
            </w:r>
          </w:p>
        </w:tc>
      </w:tr>
      <w:tr w:rsidR="008D3EAC" w:rsidRPr="00AE4DBA" w14:paraId="566422DD" w14:textId="77777777" w:rsidTr="2864371F">
        <w:trPr>
          <w:gridAfter w:val="5"/>
          <w:wAfter w:w="15900" w:type="dxa"/>
          <w:trHeight w:val="510"/>
        </w:trPr>
        <w:tc>
          <w:tcPr>
            <w:tcW w:w="1271" w:type="dxa"/>
            <w:vMerge w:val="restart"/>
            <w:vAlign w:val="center"/>
            <w:hideMark/>
          </w:tcPr>
          <w:p w14:paraId="1B81F1F3" w14:textId="6A2B4B81"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Biomass CH</w:t>
            </w:r>
            <w:r w:rsidRPr="2864371F">
              <w:rPr>
                <w:rFonts w:ascii="Calibri" w:eastAsia="Calibri" w:hAnsi="Calibri" w:cs="Calibri"/>
                <w:color w:val="000000"/>
                <w:vertAlign w:val="subscript"/>
                <w:lang w:eastAsia="en-US"/>
              </w:rPr>
              <w:t>4</w:t>
            </w:r>
            <w:r w:rsidR="6733DBF1" w:rsidRPr="2864371F">
              <w:rPr>
                <w:rFonts w:ascii="Calibri" w:eastAsia="Calibri" w:hAnsi="Calibri" w:cs="Calibri"/>
                <w:color w:val="000000"/>
                <w:lang w:eastAsia="en-US"/>
              </w:rPr>
              <w:t xml:space="preserve"> &amp;</w:t>
            </w:r>
            <w:r w:rsidRPr="2864371F">
              <w:rPr>
                <w:rFonts w:ascii="Calibri" w:eastAsia="Calibri" w:hAnsi="Calibri" w:cs="Calibri"/>
                <w:color w:val="000000"/>
                <w:lang w:eastAsia="en-US"/>
              </w:rPr>
              <w:t>N</w:t>
            </w:r>
            <w:r w:rsidRPr="2864371F">
              <w:rPr>
                <w:rFonts w:ascii="Calibri" w:eastAsia="Calibri" w:hAnsi="Calibri" w:cs="Calibri"/>
                <w:color w:val="000000"/>
                <w:vertAlign w:val="subscript"/>
                <w:lang w:eastAsia="en-US"/>
              </w:rPr>
              <w:t>2</w:t>
            </w:r>
            <w:r w:rsidRPr="2864371F">
              <w:rPr>
                <w:rFonts w:ascii="Calibri" w:eastAsia="Calibri" w:hAnsi="Calibri" w:cs="Calibri"/>
                <w:color w:val="000000"/>
                <w:lang w:eastAsia="en-US"/>
              </w:rPr>
              <w:t>O</w:t>
            </w:r>
          </w:p>
        </w:tc>
        <w:tc>
          <w:tcPr>
            <w:tcW w:w="1134" w:type="dxa"/>
            <w:vAlign w:val="center"/>
            <w:hideMark/>
          </w:tcPr>
          <w:p w14:paraId="632BAE33"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Southern district inputs</w:t>
            </w:r>
          </w:p>
        </w:tc>
        <w:tc>
          <w:tcPr>
            <w:tcW w:w="709" w:type="dxa"/>
            <w:vMerge w:val="restart"/>
            <w:vAlign w:val="center"/>
            <w:hideMark/>
          </w:tcPr>
          <w:p w14:paraId="1DC6B9D7"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GJ</w:t>
            </w:r>
          </w:p>
        </w:tc>
        <w:tc>
          <w:tcPr>
            <w:tcW w:w="2410" w:type="dxa"/>
            <w:gridSpan w:val="2"/>
            <w:vMerge w:val="restart"/>
            <w:vAlign w:val="center"/>
            <w:hideMark/>
          </w:tcPr>
          <w:p w14:paraId="6BD42261" w14:textId="777F6114"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Custom Biomass CH</w:t>
            </w:r>
            <w:r w:rsidRPr="2864371F">
              <w:rPr>
                <w:rFonts w:ascii="Calibri" w:eastAsia="Calibri" w:hAnsi="Calibri" w:cs="Calibri"/>
                <w:color w:val="000000"/>
                <w:vertAlign w:val="subscript"/>
                <w:lang w:eastAsia="en-US"/>
              </w:rPr>
              <w:t>4</w:t>
            </w:r>
            <w:r w:rsidRPr="2864371F">
              <w:rPr>
                <w:rFonts w:ascii="Calibri" w:eastAsia="Calibri" w:hAnsi="Calibri" w:cs="Calibri"/>
                <w:color w:val="000000"/>
                <w:lang w:eastAsia="en-US"/>
              </w:rPr>
              <w:t xml:space="preserve"> - N</w:t>
            </w:r>
            <w:r w:rsidRPr="2864371F">
              <w:rPr>
                <w:rFonts w:ascii="Calibri" w:eastAsia="Calibri" w:hAnsi="Calibri" w:cs="Calibri"/>
                <w:color w:val="000000"/>
                <w:vertAlign w:val="subscript"/>
                <w:lang w:eastAsia="en-US"/>
              </w:rPr>
              <w:t>2</w:t>
            </w:r>
            <w:r w:rsidRPr="2864371F">
              <w:rPr>
                <w:rFonts w:ascii="Calibri" w:eastAsia="Calibri" w:hAnsi="Calibri" w:cs="Calibri"/>
                <w:color w:val="000000"/>
                <w:lang w:eastAsia="en-US"/>
              </w:rPr>
              <w:t xml:space="preserve">O </w:t>
            </w:r>
            <w:r w:rsidR="497D3349" w:rsidRPr="2864371F">
              <w:rPr>
                <w:rFonts w:ascii="Calibri" w:eastAsia="Calibri" w:hAnsi="Calibri" w:cs="Calibri"/>
                <w:color w:val="000000"/>
                <w:lang w:eastAsia="en-US"/>
              </w:rPr>
              <w:t>Category (Cat)</w:t>
            </w:r>
            <w:r w:rsidR="6733DBF1" w:rsidRPr="2864371F">
              <w:rPr>
                <w:rFonts w:ascii="Calibri" w:eastAsia="Calibri" w:hAnsi="Calibri" w:cs="Calibri"/>
                <w:color w:val="000000"/>
                <w:lang w:eastAsia="en-US"/>
              </w:rPr>
              <w:t xml:space="preserve"> </w:t>
            </w:r>
            <w:r w:rsidRPr="2864371F">
              <w:rPr>
                <w:rFonts w:ascii="Calibri" w:eastAsia="Calibri" w:hAnsi="Calibri" w:cs="Calibri"/>
                <w:color w:val="000000"/>
                <w:lang w:eastAsia="en-US"/>
              </w:rPr>
              <w:t>1 - GJ</w:t>
            </w:r>
          </w:p>
        </w:tc>
        <w:tc>
          <w:tcPr>
            <w:tcW w:w="5244" w:type="dxa"/>
            <w:vAlign w:val="center"/>
            <w:hideMark/>
          </w:tcPr>
          <w:p w14:paraId="4437C2B2"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roofErr w:type="spellStart"/>
            <w:r w:rsidRPr="00AE4DBA">
              <w:rPr>
                <w:rFonts w:ascii="Calibri" w:eastAsia="Calibri" w:hAnsi="Calibri" w:cs="Calibri"/>
                <w:color w:val="000000"/>
                <w:szCs w:val="20"/>
                <w:lang w:eastAsia="en-US"/>
              </w:rPr>
              <w:t>Wakari</w:t>
            </w:r>
            <w:proofErr w:type="spellEnd"/>
            <w:r w:rsidRPr="00AE4DBA">
              <w:rPr>
                <w:rFonts w:ascii="Calibri" w:eastAsia="Calibri" w:hAnsi="Calibri" w:cs="Calibri"/>
                <w:color w:val="000000"/>
                <w:szCs w:val="20"/>
                <w:lang w:eastAsia="en-US"/>
              </w:rPr>
              <w:t xml:space="preserve"> Hospital (Lumber)</w:t>
            </w:r>
          </w:p>
        </w:tc>
        <w:tc>
          <w:tcPr>
            <w:tcW w:w="3180" w:type="dxa"/>
            <w:vAlign w:val="center"/>
            <w:hideMark/>
          </w:tcPr>
          <w:p w14:paraId="2A351064"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supplier reports are complete and accurate</w:t>
            </w:r>
          </w:p>
        </w:tc>
      </w:tr>
      <w:tr w:rsidR="008D3EAC" w:rsidRPr="00AE4DBA" w14:paraId="5BB30B9A" w14:textId="77777777" w:rsidTr="2864371F">
        <w:trPr>
          <w:gridAfter w:val="5"/>
          <w:wAfter w:w="15900" w:type="dxa"/>
          <w:trHeight w:val="525"/>
        </w:trPr>
        <w:tc>
          <w:tcPr>
            <w:tcW w:w="1271" w:type="dxa"/>
            <w:vMerge/>
            <w:vAlign w:val="center"/>
            <w:hideMark/>
          </w:tcPr>
          <w:p w14:paraId="525FDFFB"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4320711B"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Canterbury district Inputs</w:t>
            </w:r>
          </w:p>
        </w:tc>
        <w:tc>
          <w:tcPr>
            <w:tcW w:w="709" w:type="dxa"/>
            <w:vMerge/>
            <w:vAlign w:val="center"/>
            <w:hideMark/>
          </w:tcPr>
          <w:p w14:paraId="4E9FF93E"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410" w:type="dxa"/>
            <w:gridSpan w:val="2"/>
            <w:vMerge/>
            <w:vAlign w:val="center"/>
            <w:hideMark/>
          </w:tcPr>
          <w:p w14:paraId="6A299098"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hideMark/>
          </w:tcPr>
          <w:p w14:paraId="579D0596" w14:textId="77777777"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Christchurch Hospital changed over from coal to biomass in February 2023. </w:t>
            </w:r>
          </w:p>
        </w:tc>
        <w:tc>
          <w:tcPr>
            <w:tcW w:w="3180" w:type="dxa"/>
            <w:vAlign w:val="center"/>
            <w:hideMark/>
          </w:tcPr>
          <w:p w14:paraId="3DEC3AB0"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Based on delivered energy in GJ from invoices</w:t>
            </w:r>
          </w:p>
        </w:tc>
      </w:tr>
      <w:tr w:rsidR="008D3EAC" w:rsidRPr="00AE4DBA" w14:paraId="1FF925FF" w14:textId="77777777" w:rsidTr="2864371F">
        <w:trPr>
          <w:gridAfter w:val="5"/>
          <w:wAfter w:w="15900" w:type="dxa"/>
          <w:trHeight w:val="557"/>
        </w:trPr>
        <w:tc>
          <w:tcPr>
            <w:tcW w:w="1271" w:type="dxa"/>
            <w:vAlign w:val="center"/>
            <w:hideMark/>
          </w:tcPr>
          <w:p w14:paraId="139C8074"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lastRenderedPageBreak/>
              <w:t>Natural gas</w:t>
            </w:r>
          </w:p>
        </w:tc>
        <w:tc>
          <w:tcPr>
            <w:tcW w:w="1134" w:type="dxa"/>
            <w:vAlign w:val="center"/>
            <w:hideMark/>
          </w:tcPr>
          <w:p w14:paraId="75F8A80C"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 xml:space="preserve">Genesis </w:t>
            </w:r>
          </w:p>
        </w:tc>
        <w:tc>
          <w:tcPr>
            <w:tcW w:w="709" w:type="dxa"/>
            <w:vAlign w:val="center"/>
            <w:hideMark/>
          </w:tcPr>
          <w:p w14:paraId="5F53C041"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GJ</w:t>
            </w:r>
          </w:p>
        </w:tc>
        <w:tc>
          <w:tcPr>
            <w:tcW w:w="2410" w:type="dxa"/>
            <w:gridSpan w:val="2"/>
            <w:vAlign w:val="center"/>
            <w:hideMark/>
          </w:tcPr>
          <w:p w14:paraId="2B036D09"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Natural Gas - Industrial use - GJ</w:t>
            </w:r>
          </w:p>
        </w:tc>
        <w:tc>
          <w:tcPr>
            <w:tcW w:w="5244" w:type="dxa"/>
            <w:vAlign w:val="center"/>
            <w:hideMark/>
          </w:tcPr>
          <w:p w14:paraId="3D7AA991" w14:textId="794B76B8"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Includes all ICPs under contract of </w:t>
            </w:r>
            <w:r w:rsidR="2A9E6C9C" w:rsidRPr="2864371F">
              <w:rPr>
                <w:rFonts w:ascii="Calibri" w:eastAsia="Calibri" w:hAnsi="Calibri" w:cs="Calibri"/>
                <w:color w:val="000000"/>
                <w:lang w:eastAsia="en-US"/>
              </w:rPr>
              <w:t>Health NZ</w:t>
            </w:r>
            <w:r w:rsidRPr="2864371F">
              <w:rPr>
                <w:rFonts w:ascii="Calibri" w:eastAsia="Calibri" w:hAnsi="Calibri" w:cs="Calibri"/>
                <w:color w:val="000000"/>
                <w:lang w:eastAsia="en-US"/>
              </w:rPr>
              <w:t>. Includes ICPs of leased buildings, included as C</w:t>
            </w:r>
            <w:r w:rsidR="497D3349" w:rsidRPr="2864371F">
              <w:rPr>
                <w:rFonts w:ascii="Calibri" w:eastAsia="Calibri" w:hAnsi="Calibri" w:cs="Calibri"/>
                <w:color w:val="000000"/>
                <w:lang w:eastAsia="en-US"/>
              </w:rPr>
              <w:t xml:space="preserve">at </w:t>
            </w:r>
            <w:r w:rsidRPr="2864371F">
              <w:rPr>
                <w:rFonts w:ascii="Calibri" w:eastAsia="Calibri" w:hAnsi="Calibri" w:cs="Calibri"/>
                <w:color w:val="000000"/>
                <w:lang w:eastAsia="en-US"/>
              </w:rPr>
              <w:t>1 emissions under operational control</w:t>
            </w:r>
            <w:r w:rsidR="2A9E6C9C" w:rsidRPr="2864371F">
              <w:rPr>
                <w:rFonts w:ascii="Calibri" w:eastAsia="Calibri" w:hAnsi="Calibri" w:cs="Calibri"/>
                <w:color w:val="000000"/>
                <w:lang w:eastAsia="en-US"/>
              </w:rPr>
              <w:t>.</w:t>
            </w:r>
            <w:r w:rsidRPr="2864371F">
              <w:rPr>
                <w:rFonts w:ascii="Calibri" w:eastAsia="Calibri" w:hAnsi="Calibri" w:cs="Calibri"/>
                <w:color w:val="000000"/>
                <w:lang w:eastAsia="en-US"/>
              </w:rPr>
              <w:t xml:space="preserve"> Subsidiary Allied Laundry has dedicated natural gas ICP, but ICP is billed under Mid-Central # ICP 0001426078QT-A51. Tairawhiti Laundry is a 100% subsidiary. Energy use is included under Tairawhiti </w:t>
            </w:r>
            <w:r w:rsidR="2AE56F2E" w:rsidRPr="2864371F">
              <w:rPr>
                <w:rFonts w:ascii="Calibri" w:eastAsia="Calibri" w:hAnsi="Calibri" w:cs="Calibri"/>
                <w:color w:val="000000"/>
                <w:lang w:eastAsia="en-US"/>
              </w:rPr>
              <w:t>sites</w:t>
            </w:r>
            <w:r w:rsidRPr="2864371F">
              <w:rPr>
                <w:rFonts w:ascii="Calibri" w:eastAsia="Calibri" w:hAnsi="Calibri" w:cs="Calibri"/>
                <w:color w:val="000000"/>
                <w:lang w:eastAsia="en-US"/>
              </w:rPr>
              <w:t>.</w:t>
            </w:r>
            <w:r w:rsidRPr="2864371F">
              <w:rPr>
                <w:rFonts w:ascii="Calibri" w:eastAsia="Calibri" w:hAnsi="Calibri" w:cs="Calibri"/>
                <w:b/>
                <w:bCs/>
                <w:color w:val="000000"/>
                <w:lang w:eastAsia="en-US"/>
              </w:rPr>
              <w:t xml:space="preserve"> </w:t>
            </w:r>
            <w:r w:rsidRPr="2864371F">
              <w:rPr>
                <w:rFonts w:ascii="Calibri" w:eastAsia="Calibri" w:hAnsi="Calibri" w:cs="Calibri"/>
                <w:color w:val="000000"/>
                <w:lang w:eastAsia="en-US"/>
              </w:rPr>
              <w:t xml:space="preserve">Waikato Hospital supplies steam to the onsite hospital laundry operated by Taylors for the hospital. Consumption included under Waikato Hospital. 25 </w:t>
            </w:r>
            <w:r w:rsidR="2D468952" w:rsidRPr="2864371F">
              <w:rPr>
                <w:rFonts w:ascii="Calibri" w:eastAsia="Calibri" w:hAnsi="Calibri" w:cs="Calibri"/>
                <w:color w:val="000000"/>
                <w:lang w:eastAsia="en-US"/>
              </w:rPr>
              <w:t>time of use (</w:t>
            </w:r>
            <w:r w:rsidRPr="2864371F">
              <w:rPr>
                <w:rFonts w:ascii="Calibri" w:eastAsia="Calibri" w:hAnsi="Calibri" w:cs="Calibri"/>
                <w:color w:val="000000"/>
                <w:lang w:eastAsia="en-US"/>
              </w:rPr>
              <w:t>TOU</w:t>
            </w:r>
            <w:r w:rsidR="2D468952" w:rsidRPr="2864371F">
              <w:rPr>
                <w:rFonts w:ascii="Calibri" w:eastAsia="Calibri" w:hAnsi="Calibri" w:cs="Calibri"/>
                <w:color w:val="000000"/>
                <w:lang w:eastAsia="en-US"/>
              </w:rPr>
              <w:t>)</w:t>
            </w:r>
            <w:r w:rsidRPr="2864371F">
              <w:rPr>
                <w:rFonts w:ascii="Calibri" w:eastAsia="Calibri" w:hAnsi="Calibri" w:cs="Calibri"/>
                <w:color w:val="000000"/>
                <w:lang w:eastAsia="en-US"/>
              </w:rPr>
              <w:t xml:space="preserve"> ICPS around 95% consumption, 53 </w:t>
            </w:r>
            <w:r w:rsidR="006F2C35" w:rsidRPr="2864371F">
              <w:rPr>
                <w:rFonts w:ascii="Calibri" w:eastAsia="Calibri" w:hAnsi="Calibri" w:cs="Calibri"/>
                <w:color w:val="000000"/>
                <w:lang w:eastAsia="en-US"/>
              </w:rPr>
              <w:t>non</w:t>
            </w:r>
            <w:r w:rsidR="2D468952" w:rsidRPr="2864371F">
              <w:rPr>
                <w:rFonts w:ascii="Calibri" w:eastAsia="Calibri" w:hAnsi="Calibri" w:cs="Calibri"/>
                <w:color w:val="000000"/>
                <w:lang w:eastAsia="en-US"/>
              </w:rPr>
              <w:t>-half hourly (</w:t>
            </w:r>
            <w:r w:rsidRPr="2864371F">
              <w:rPr>
                <w:rFonts w:ascii="Calibri" w:eastAsia="Calibri" w:hAnsi="Calibri" w:cs="Calibri"/>
                <w:color w:val="000000"/>
                <w:lang w:eastAsia="en-US"/>
              </w:rPr>
              <w:t>NHH</w:t>
            </w:r>
            <w:r w:rsidR="2D468952" w:rsidRPr="2864371F">
              <w:rPr>
                <w:rFonts w:ascii="Calibri" w:eastAsia="Calibri" w:hAnsi="Calibri" w:cs="Calibri"/>
                <w:color w:val="000000"/>
                <w:lang w:eastAsia="en-US"/>
              </w:rPr>
              <w:t>)</w:t>
            </w:r>
            <w:r w:rsidRPr="2864371F">
              <w:rPr>
                <w:rFonts w:ascii="Calibri" w:eastAsia="Calibri" w:hAnsi="Calibri" w:cs="Calibri"/>
                <w:color w:val="000000"/>
                <w:lang w:eastAsia="en-US"/>
              </w:rPr>
              <w:t xml:space="preserve"> ICPs 5% consumption</w:t>
            </w:r>
          </w:p>
        </w:tc>
        <w:tc>
          <w:tcPr>
            <w:tcW w:w="3180" w:type="dxa"/>
            <w:vAlign w:val="center"/>
            <w:hideMark/>
          </w:tcPr>
          <w:p w14:paraId="25C7FB77"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Meter readings. It is assumed the supplier reports are complete and accurate.</w:t>
            </w:r>
          </w:p>
        </w:tc>
      </w:tr>
      <w:tr w:rsidR="008D3EAC" w:rsidRPr="00AE4DBA" w14:paraId="4FCAEF59" w14:textId="77777777" w:rsidTr="2864371F">
        <w:trPr>
          <w:gridAfter w:val="5"/>
          <w:wAfter w:w="15900" w:type="dxa"/>
          <w:trHeight w:val="825"/>
        </w:trPr>
        <w:tc>
          <w:tcPr>
            <w:tcW w:w="1271" w:type="dxa"/>
            <w:vAlign w:val="center"/>
            <w:hideMark/>
          </w:tcPr>
          <w:p w14:paraId="13B0AAAD"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Diesel stationary</w:t>
            </w:r>
          </w:p>
        </w:tc>
        <w:tc>
          <w:tcPr>
            <w:tcW w:w="1134" w:type="dxa"/>
            <w:vAlign w:val="center"/>
            <w:hideMark/>
          </w:tcPr>
          <w:p w14:paraId="7B906072"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District inputs, various suppliers</w:t>
            </w:r>
          </w:p>
        </w:tc>
        <w:tc>
          <w:tcPr>
            <w:tcW w:w="709" w:type="dxa"/>
            <w:vAlign w:val="center"/>
            <w:hideMark/>
          </w:tcPr>
          <w:p w14:paraId="6CD0FF0E"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L</w:t>
            </w:r>
          </w:p>
        </w:tc>
        <w:tc>
          <w:tcPr>
            <w:tcW w:w="2410" w:type="dxa"/>
            <w:gridSpan w:val="2"/>
            <w:vAlign w:val="center"/>
            <w:hideMark/>
          </w:tcPr>
          <w:p w14:paraId="28D5AFDA"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Diesel - Commercial Use - litre</w:t>
            </w:r>
          </w:p>
        </w:tc>
        <w:tc>
          <w:tcPr>
            <w:tcW w:w="5244" w:type="dxa"/>
            <w:vAlign w:val="center"/>
            <w:hideMark/>
          </w:tcPr>
          <w:p w14:paraId="28C80A19" w14:textId="077C425F" w:rsidR="00995400" w:rsidRPr="00AE4DBA" w:rsidRDefault="516EA119"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Some </w:t>
            </w:r>
            <w:r w:rsidR="6448E3D2" w:rsidRPr="2864371F">
              <w:rPr>
                <w:rFonts w:ascii="Calibri" w:eastAsia="Calibri" w:hAnsi="Calibri" w:cs="Calibri"/>
                <w:color w:val="000000"/>
                <w:lang w:eastAsia="en-US"/>
              </w:rPr>
              <w:t xml:space="preserve">sites </w:t>
            </w:r>
            <w:r w:rsidR="7670ED09" w:rsidRPr="2864371F">
              <w:rPr>
                <w:rFonts w:ascii="Calibri" w:eastAsia="Calibri" w:hAnsi="Calibri" w:cs="Calibri"/>
                <w:color w:val="000000"/>
                <w:lang w:eastAsia="en-US"/>
              </w:rPr>
              <w:t>have not submitted data or have not needed to top-up tanks.</w:t>
            </w:r>
          </w:p>
        </w:tc>
        <w:tc>
          <w:tcPr>
            <w:tcW w:w="3180" w:type="dxa"/>
            <w:vAlign w:val="center"/>
            <w:hideMark/>
          </w:tcPr>
          <w:p w14:paraId="1D383B00" w14:textId="427C2241"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High quality - It is assumed the </w:t>
            </w:r>
            <w:r w:rsidR="35BADF14" w:rsidRPr="2864371F">
              <w:rPr>
                <w:rFonts w:ascii="Calibri" w:eastAsia="Calibri" w:hAnsi="Calibri" w:cs="Calibri"/>
                <w:color w:val="000000"/>
                <w:lang w:eastAsia="en-US"/>
              </w:rPr>
              <w:t>local</w:t>
            </w:r>
            <w:r w:rsidRPr="2864371F">
              <w:rPr>
                <w:rFonts w:ascii="Calibri" w:eastAsia="Calibri" w:hAnsi="Calibri" w:cs="Calibri"/>
                <w:color w:val="000000"/>
                <w:lang w:eastAsia="en-US"/>
              </w:rPr>
              <w:t xml:space="preserve"> staff inputs are complete and accurate and based on invoiced deliveries</w:t>
            </w:r>
          </w:p>
        </w:tc>
      </w:tr>
      <w:tr w:rsidR="008D3EAC" w:rsidRPr="00AE4DBA" w14:paraId="79433AC1" w14:textId="77777777" w:rsidTr="2864371F">
        <w:trPr>
          <w:gridAfter w:val="5"/>
          <w:wAfter w:w="15900" w:type="dxa"/>
          <w:trHeight w:val="525"/>
        </w:trPr>
        <w:tc>
          <w:tcPr>
            <w:tcW w:w="1271" w:type="dxa"/>
            <w:vAlign w:val="center"/>
            <w:hideMark/>
          </w:tcPr>
          <w:p w14:paraId="4AD57610"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LPG</w:t>
            </w:r>
          </w:p>
        </w:tc>
        <w:tc>
          <w:tcPr>
            <w:tcW w:w="1134" w:type="dxa"/>
            <w:vAlign w:val="center"/>
            <w:hideMark/>
          </w:tcPr>
          <w:p w14:paraId="7A1F1269"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District inputs, various suppliers</w:t>
            </w:r>
          </w:p>
        </w:tc>
        <w:tc>
          <w:tcPr>
            <w:tcW w:w="709" w:type="dxa"/>
            <w:vAlign w:val="center"/>
            <w:hideMark/>
          </w:tcPr>
          <w:p w14:paraId="151234BE"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kg</w:t>
            </w:r>
          </w:p>
        </w:tc>
        <w:tc>
          <w:tcPr>
            <w:tcW w:w="2410" w:type="dxa"/>
            <w:gridSpan w:val="2"/>
            <w:vAlign w:val="center"/>
            <w:hideMark/>
          </w:tcPr>
          <w:p w14:paraId="767E1464"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Stationary fuels - LPG Commercial use - Kg</w:t>
            </w:r>
          </w:p>
        </w:tc>
        <w:tc>
          <w:tcPr>
            <w:tcW w:w="5244" w:type="dxa"/>
            <w:vAlign w:val="center"/>
            <w:hideMark/>
          </w:tcPr>
          <w:p w14:paraId="5DE14972"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Christchurch has reticulated LPG measured in GJ, converted to kg</w:t>
            </w:r>
          </w:p>
        </w:tc>
        <w:tc>
          <w:tcPr>
            <w:tcW w:w="3180" w:type="dxa"/>
            <w:vAlign w:val="center"/>
            <w:hideMark/>
          </w:tcPr>
          <w:p w14:paraId="26CB83D7"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district staff inputs are complete and accurate</w:t>
            </w:r>
          </w:p>
        </w:tc>
      </w:tr>
      <w:tr w:rsidR="008D3EAC" w:rsidRPr="00AE4DBA" w14:paraId="11BC820E" w14:textId="77777777" w:rsidTr="2864371F">
        <w:trPr>
          <w:gridAfter w:val="5"/>
          <w:wAfter w:w="15900" w:type="dxa"/>
          <w:trHeight w:val="1290"/>
        </w:trPr>
        <w:tc>
          <w:tcPr>
            <w:tcW w:w="1271" w:type="dxa"/>
            <w:vMerge w:val="restart"/>
            <w:vAlign w:val="center"/>
            <w:hideMark/>
          </w:tcPr>
          <w:p w14:paraId="1B1BDA2B"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Medical gases</w:t>
            </w:r>
          </w:p>
        </w:tc>
        <w:tc>
          <w:tcPr>
            <w:tcW w:w="1134" w:type="dxa"/>
            <w:vAlign w:val="center"/>
            <w:hideMark/>
          </w:tcPr>
          <w:p w14:paraId="168D730C" w14:textId="602E5684"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BOC</w:t>
            </w:r>
            <w:r w:rsidR="2238D610" w:rsidRPr="2864371F">
              <w:rPr>
                <w:rFonts w:ascii="Calibri" w:eastAsia="Calibri" w:hAnsi="Calibri" w:cs="Calibri"/>
                <w:color w:val="000000"/>
                <w:lang w:eastAsia="en-US"/>
              </w:rPr>
              <w:t xml:space="preserve"> Gas New Zealand (BOC)</w:t>
            </w:r>
          </w:p>
        </w:tc>
        <w:tc>
          <w:tcPr>
            <w:tcW w:w="709" w:type="dxa"/>
            <w:vMerge w:val="restart"/>
            <w:vAlign w:val="center"/>
            <w:hideMark/>
          </w:tcPr>
          <w:p w14:paraId="4B835B84"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kg</w:t>
            </w:r>
          </w:p>
        </w:tc>
        <w:tc>
          <w:tcPr>
            <w:tcW w:w="2410" w:type="dxa"/>
            <w:gridSpan w:val="2"/>
            <w:vAlign w:val="center"/>
            <w:hideMark/>
          </w:tcPr>
          <w:p w14:paraId="095AADB9"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CO</w:t>
            </w:r>
            <w:r w:rsidRPr="00AE4DBA">
              <w:rPr>
                <w:rFonts w:ascii="Calibri" w:eastAsia="Calibri" w:hAnsi="Calibri" w:cs="Calibri"/>
                <w:color w:val="000000"/>
                <w:szCs w:val="20"/>
                <w:vertAlign w:val="subscript"/>
                <w:lang w:eastAsia="en-US"/>
              </w:rPr>
              <w:t>2</w:t>
            </w:r>
            <w:r w:rsidRPr="00AE4DBA">
              <w:rPr>
                <w:rFonts w:ascii="Calibri" w:eastAsia="Calibri" w:hAnsi="Calibri" w:cs="Calibri"/>
                <w:color w:val="000000"/>
                <w:szCs w:val="20"/>
                <w:lang w:eastAsia="en-US"/>
              </w:rPr>
              <w:t xml:space="preserve"> - kg</w:t>
            </w:r>
            <w:r w:rsidRPr="00AE4DBA">
              <w:rPr>
                <w:rFonts w:ascii="Calibri" w:eastAsia="Calibri" w:hAnsi="Calibri" w:cs="Calibri"/>
                <w:color w:val="000000"/>
                <w:szCs w:val="20"/>
                <w:lang w:eastAsia="en-US"/>
              </w:rPr>
              <w:br/>
              <w:t>N</w:t>
            </w:r>
            <w:r w:rsidRPr="00AE4DBA">
              <w:rPr>
                <w:rFonts w:ascii="Calibri" w:eastAsia="Calibri" w:hAnsi="Calibri" w:cs="Calibri"/>
                <w:color w:val="000000"/>
                <w:szCs w:val="20"/>
                <w:vertAlign w:val="subscript"/>
                <w:lang w:eastAsia="en-US"/>
              </w:rPr>
              <w:t>2</w:t>
            </w:r>
            <w:r w:rsidRPr="00AE4DBA">
              <w:rPr>
                <w:rFonts w:ascii="Calibri" w:eastAsia="Calibri" w:hAnsi="Calibri" w:cs="Calibri"/>
                <w:color w:val="000000"/>
                <w:szCs w:val="20"/>
                <w:lang w:eastAsia="en-US"/>
              </w:rPr>
              <w:t>O - kg</w:t>
            </w:r>
            <w:r w:rsidRPr="00AE4DBA">
              <w:rPr>
                <w:rFonts w:ascii="Calibri" w:eastAsia="Calibri" w:hAnsi="Calibri" w:cs="Calibri"/>
                <w:color w:val="000000"/>
                <w:szCs w:val="20"/>
                <w:lang w:eastAsia="en-US"/>
              </w:rPr>
              <w:br/>
              <w:t>Custom Acetylene - kg</w:t>
            </w:r>
            <w:r w:rsidRPr="00AE4DBA">
              <w:rPr>
                <w:rFonts w:ascii="Calibri" w:eastAsia="Calibri" w:hAnsi="Calibri" w:cs="Calibri"/>
                <w:color w:val="000000"/>
                <w:szCs w:val="20"/>
                <w:lang w:eastAsia="en-US"/>
              </w:rPr>
              <w:br/>
              <w:t>LPG - kg</w:t>
            </w:r>
            <w:r w:rsidRPr="00AE4DBA">
              <w:rPr>
                <w:rFonts w:ascii="Calibri" w:eastAsia="Calibri" w:hAnsi="Calibri" w:cs="Calibri"/>
                <w:color w:val="000000"/>
                <w:szCs w:val="20"/>
                <w:lang w:eastAsia="en-US"/>
              </w:rPr>
              <w:br/>
              <w:t>CH</w:t>
            </w:r>
            <w:r w:rsidRPr="00AE4DBA">
              <w:rPr>
                <w:rFonts w:ascii="Calibri" w:eastAsia="Calibri" w:hAnsi="Calibri" w:cs="Calibri"/>
                <w:color w:val="000000"/>
                <w:szCs w:val="20"/>
                <w:vertAlign w:val="subscript"/>
                <w:lang w:eastAsia="en-US"/>
              </w:rPr>
              <w:t>4</w:t>
            </w:r>
            <w:r w:rsidRPr="00AE4DBA">
              <w:rPr>
                <w:rFonts w:ascii="Calibri" w:eastAsia="Calibri" w:hAnsi="Calibri" w:cs="Calibri"/>
                <w:color w:val="000000"/>
                <w:szCs w:val="20"/>
                <w:lang w:eastAsia="en-US"/>
              </w:rPr>
              <w:t xml:space="preserve"> - kg</w:t>
            </w:r>
          </w:p>
        </w:tc>
        <w:tc>
          <w:tcPr>
            <w:tcW w:w="5244" w:type="dxa"/>
            <w:vAlign w:val="center"/>
            <w:hideMark/>
          </w:tcPr>
          <w:p w14:paraId="76C752B8"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Datasets supplied by BOC record kgs and only include the GHG emissions of the relevant medical gas where these are mixtures. This means the kg data for Entonox is the KGs of N</w:t>
            </w:r>
            <w:r w:rsidRPr="00AE4DBA">
              <w:rPr>
                <w:rFonts w:ascii="Calibri" w:eastAsia="Calibri" w:hAnsi="Calibri" w:cs="Calibri"/>
                <w:color w:val="000000"/>
                <w:szCs w:val="20"/>
                <w:vertAlign w:val="subscript"/>
                <w:lang w:eastAsia="en-US"/>
              </w:rPr>
              <w:t>2</w:t>
            </w:r>
            <w:r w:rsidRPr="00AE4DBA">
              <w:rPr>
                <w:rFonts w:ascii="Calibri" w:eastAsia="Calibri" w:hAnsi="Calibri" w:cs="Calibri"/>
                <w:color w:val="000000"/>
                <w:szCs w:val="20"/>
                <w:lang w:eastAsia="en-US"/>
              </w:rPr>
              <w:t>O of that bottle size, not the full KG content of the Entonox bottle. Column N displays Entonox and Nitrous Oxide as contained GHG, but both are the KGs of N</w:t>
            </w:r>
            <w:r w:rsidRPr="00AE4DBA">
              <w:rPr>
                <w:rFonts w:ascii="Calibri" w:eastAsia="Calibri" w:hAnsi="Calibri" w:cs="Calibri"/>
                <w:color w:val="000000"/>
                <w:szCs w:val="20"/>
                <w:vertAlign w:val="subscript"/>
                <w:lang w:eastAsia="en-US"/>
              </w:rPr>
              <w:t>2</w:t>
            </w:r>
            <w:r w:rsidRPr="00AE4DBA">
              <w:rPr>
                <w:rFonts w:ascii="Calibri" w:eastAsia="Calibri" w:hAnsi="Calibri" w:cs="Calibri"/>
                <w:color w:val="000000"/>
                <w:szCs w:val="20"/>
                <w:lang w:eastAsia="en-US"/>
              </w:rPr>
              <w:t>O, not Entonox's KG. BOC also supplies some LPG.</w:t>
            </w:r>
          </w:p>
        </w:tc>
        <w:tc>
          <w:tcPr>
            <w:tcW w:w="3180" w:type="dxa"/>
            <w:vAlign w:val="center"/>
            <w:hideMark/>
          </w:tcPr>
          <w:p w14:paraId="57BD45BE"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supplier reports and conversions based on bottles sold are complete and accurate</w:t>
            </w:r>
          </w:p>
        </w:tc>
      </w:tr>
      <w:tr w:rsidR="008D3EAC" w:rsidRPr="00AE4DBA" w14:paraId="5760CDAB" w14:textId="77777777" w:rsidTr="2864371F">
        <w:trPr>
          <w:gridAfter w:val="5"/>
          <w:wAfter w:w="15900" w:type="dxa"/>
          <w:trHeight w:val="780"/>
        </w:trPr>
        <w:tc>
          <w:tcPr>
            <w:tcW w:w="1271" w:type="dxa"/>
            <w:vMerge/>
            <w:vAlign w:val="center"/>
            <w:hideMark/>
          </w:tcPr>
          <w:p w14:paraId="379DD34D"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3CBFFDC6"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Air Liquide</w:t>
            </w:r>
          </w:p>
        </w:tc>
        <w:tc>
          <w:tcPr>
            <w:tcW w:w="709" w:type="dxa"/>
            <w:vMerge/>
            <w:vAlign w:val="center"/>
            <w:hideMark/>
          </w:tcPr>
          <w:p w14:paraId="2C7775BD"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410" w:type="dxa"/>
            <w:gridSpan w:val="2"/>
            <w:vAlign w:val="center"/>
            <w:hideMark/>
          </w:tcPr>
          <w:p w14:paraId="7DECA135"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CO</w:t>
            </w:r>
            <w:r w:rsidRPr="00AE4DBA">
              <w:rPr>
                <w:rFonts w:ascii="Calibri" w:eastAsia="Calibri" w:hAnsi="Calibri" w:cs="Calibri"/>
                <w:color w:val="000000"/>
                <w:szCs w:val="20"/>
                <w:vertAlign w:val="subscript"/>
                <w:lang w:eastAsia="en-US"/>
              </w:rPr>
              <w:t>2</w:t>
            </w:r>
            <w:r w:rsidRPr="00AE4DBA">
              <w:rPr>
                <w:rFonts w:ascii="Calibri" w:eastAsia="Calibri" w:hAnsi="Calibri" w:cs="Calibri"/>
                <w:color w:val="000000"/>
                <w:szCs w:val="20"/>
                <w:lang w:eastAsia="en-US"/>
              </w:rPr>
              <w:t xml:space="preserve"> - kg</w:t>
            </w:r>
            <w:r w:rsidRPr="00AE4DBA">
              <w:rPr>
                <w:rFonts w:ascii="Calibri" w:eastAsia="Calibri" w:hAnsi="Calibri" w:cs="Calibri"/>
                <w:color w:val="000000"/>
                <w:szCs w:val="20"/>
                <w:lang w:eastAsia="en-US"/>
              </w:rPr>
              <w:br/>
              <w:t>N</w:t>
            </w:r>
            <w:r w:rsidRPr="00AE4DBA">
              <w:rPr>
                <w:rFonts w:ascii="Calibri" w:eastAsia="Calibri" w:hAnsi="Calibri" w:cs="Calibri"/>
                <w:color w:val="000000"/>
                <w:szCs w:val="20"/>
                <w:vertAlign w:val="subscript"/>
                <w:lang w:eastAsia="en-US"/>
              </w:rPr>
              <w:t>2</w:t>
            </w:r>
            <w:r w:rsidRPr="00AE4DBA">
              <w:rPr>
                <w:rFonts w:ascii="Calibri" w:eastAsia="Calibri" w:hAnsi="Calibri" w:cs="Calibri"/>
                <w:color w:val="000000"/>
                <w:szCs w:val="20"/>
                <w:lang w:eastAsia="en-US"/>
              </w:rPr>
              <w:t>O - kg</w:t>
            </w:r>
            <w:r w:rsidRPr="00AE4DBA">
              <w:rPr>
                <w:rFonts w:ascii="Calibri" w:eastAsia="Calibri" w:hAnsi="Calibri" w:cs="Calibri"/>
                <w:color w:val="000000"/>
                <w:szCs w:val="20"/>
                <w:lang w:eastAsia="en-US"/>
              </w:rPr>
              <w:br/>
              <w:t>Entonox - kg</w:t>
            </w:r>
          </w:p>
        </w:tc>
        <w:tc>
          <w:tcPr>
            <w:tcW w:w="5244" w:type="dxa"/>
            <w:vAlign w:val="center"/>
            <w:hideMark/>
          </w:tcPr>
          <w:p w14:paraId="79F16E61"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Data in the tool converted from bottles to kg GHG per bottle</w:t>
            </w:r>
          </w:p>
        </w:tc>
        <w:tc>
          <w:tcPr>
            <w:tcW w:w="3180" w:type="dxa"/>
            <w:vAlign w:val="center"/>
            <w:hideMark/>
          </w:tcPr>
          <w:p w14:paraId="3E247075"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supplier reports and conversions based on bottles sold are complete and accurate</w:t>
            </w:r>
          </w:p>
        </w:tc>
      </w:tr>
      <w:tr w:rsidR="008D3EAC" w:rsidRPr="00AE4DBA" w14:paraId="6D979B56" w14:textId="77777777" w:rsidTr="2864371F">
        <w:trPr>
          <w:gridAfter w:val="5"/>
          <w:wAfter w:w="15900" w:type="dxa"/>
          <w:trHeight w:val="780"/>
        </w:trPr>
        <w:tc>
          <w:tcPr>
            <w:tcW w:w="1271" w:type="dxa"/>
            <w:vAlign w:val="center"/>
            <w:hideMark/>
          </w:tcPr>
          <w:p w14:paraId="35E22F56"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Anaesthetic vapours</w:t>
            </w:r>
          </w:p>
        </w:tc>
        <w:tc>
          <w:tcPr>
            <w:tcW w:w="1134" w:type="dxa"/>
            <w:vAlign w:val="center"/>
            <w:hideMark/>
          </w:tcPr>
          <w:p w14:paraId="413EC225"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Baxter</w:t>
            </w:r>
          </w:p>
        </w:tc>
        <w:tc>
          <w:tcPr>
            <w:tcW w:w="709" w:type="dxa"/>
            <w:vAlign w:val="center"/>
            <w:hideMark/>
          </w:tcPr>
          <w:p w14:paraId="1FAADF5C"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kg</w:t>
            </w:r>
          </w:p>
        </w:tc>
        <w:tc>
          <w:tcPr>
            <w:tcW w:w="2410" w:type="dxa"/>
            <w:gridSpan w:val="2"/>
            <w:vAlign w:val="center"/>
            <w:hideMark/>
          </w:tcPr>
          <w:p w14:paraId="79477EB2"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Custom HFE-347mmz1 (Sevoflurane) - Bottle;</w:t>
            </w:r>
            <w:r w:rsidRPr="00AE4DBA">
              <w:rPr>
                <w:rFonts w:ascii="Calibri" w:eastAsia="Calibri" w:hAnsi="Calibri" w:cs="Calibri"/>
                <w:color w:val="000000"/>
                <w:szCs w:val="20"/>
                <w:lang w:eastAsia="en-US"/>
              </w:rPr>
              <w:br/>
              <w:t>Custom HFE-236ea2 (Desflurane) - Bottle;</w:t>
            </w:r>
            <w:r w:rsidRPr="00AE4DBA">
              <w:rPr>
                <w:rFonts w:ascii="Calibri" w:eastAsia="Calibri" w:hAnsi="Calibri" w:cs="Calibri"/>
                <w:color w:val="000000"/>
                <w:szCs w:val="20"/>
                <w:lang w:eastAsia="en-US"/>
              </w:rPr>
              <w:br/>
              <w:t>Custom HCFE-235da2 (Isoflurane) - Bottle</w:t>
            </w:r>
          </w:p>
        </w:tc>
        <w:tc>
          <w:tcPr>
            <w:tcW w:w="5244" w:type="dxa"/>
            <w:vAlign w:val="center"/>
            <w:hideMark/>
          </w:tcPr>
          <w:p w14:paraId="46D46E4C"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Custom emission factors were created to record emissions per bottle sold</w:t>
            </w:r>
          </w:p>
        </w:tc>
        <w:tc>
          <w:tcPr>
            <w:tcW w:w="3180" w:type="dxa"/>
            <w:vAlign w:val="center"/>
            <w:hideMark/>
          </w:tcPr>
          <w:p w14:paraId="5E98285C"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supplier reports based on bottles sold are complete and accurate</w:t>
            </w:r>
          </w:p>
        </w:tc>
      </w:tr>
      <w:tr w:rsidR="008D3EAC" w:rsidRPr="00AE4DBA" w14:paraId="65B5F8F2" w14:textId="77777777" w:rsidTr="2864371F">
        <w:trPr>
          <w:gridAfter w:val="5"/>
          <w:wAfter w:w="15900" w:type="dxa"/>
          <w:trHeight w:val="315"/>
        </w:trPr>
        <w:tc>
          <w:tcPr>
            <w:tcW w:w="1271" w:type="dxa"/>
            <w:vMerge w:val="restart"/>
            <w:vAlign w:val="center"/>
            <w:hideMark/>
          </w:tcPr>
          <w:p w14:paraId="5A68A159"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Fleet fuels</w:t>
            </w:r>
          </w:p>
        </w:tc>
        <w:tc>
          <w:tcPr>
            <w:tcW w:w="1134" w:type="dxa"/>
            <w:vAlign w:val="center"/>
            <w:hideMark/>
          </w:tcPr>
          <w:p w14:paraId="7B02B6D5"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BP fuel cards</w:t>
            </w:r>
          </w:p>
        </w:tc>
        <w:tc>
          <w:tcPr>
            <w:tcW w:w="709" w:type="dxa"/>
            <w:vMerge w:val="restart"/>
            <w:vAlign w:val="center"/>
            <w:hideMark/>
          </w:tcPr>
          <w:p w14:paraId="322D11F9"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L</w:t>
            </w:r>
          </w:p>
        </w:tc>
        <w:tc>
          <w:tcPr>
            <w:tcW w:w="2410" w:type="dxa"/>
            <w:gridSpan w:val="2"/>
            <w:vMerge w:val="restart"/>
            <w:vAlign w:val="center"/>
            <w:hideMark/>
          </w:tcPr>
          <w:p w14:paraId="06175C65"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Diesel - Diesel - litre;</w:t>
            </w:r>
            <w:r w:rsidRPr="00AE4DBA">
              <w:rPr>
                <w:rFonts w:ascii="Calibri" w:eastAsia="Calibri" w:hAnsi="Calibri" w:cs="Calibri"/>
                <w:color w:val="000000"/>
                <w:szCs w:val="20"/>
                <w:lang w:eastAsia="en-US"/>
              </w:rPr>
              <w:br/>
              <w:t>Regular Petrol - litre;</w:t>
            </w:r>
            <w:r w:rsidRPr="00AE4DBA">
              <w:rPr>
                <w:rFonts w:ascii="Calibri" w:eastAsia="Calibri" w:hAnsi="Calibri" w:cs="Calibri"/>
                <w:color w:val="000000"/>
                <w:szCs w:val="20"/>
                <w:lang w:eastAsia="en-US"/>
              </w:rPr>
              <w:br/>
              <w:t>Premium Petrol - litre;</w:t>
            </w:r>
          </w:p>
        </w:tc>
        <w:tc>
          <w:tcPr>
            <w:tcW w:w="5244" w:type="dxa"/>
            <w:vAlign w:val="center"/>
            <w:hideMark/>
          </w:tcPr>
          <w:p w14:paraId="4940477D" w14:textId="7B80ACE8"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All </w:t>
            </w:r>
            <w:r w:rsidR="7A7239B6" w:rsidRPr="2864371F">
              <w:rPr>
                <w:rFonts w:ascii="Calibri" w:eastAsia="Calibri" w:hAnsi="Calibri" w:cs="Calibri"/>
                <w:color w:val="000000"/>
                <w:lang w:eastAsia="en-US"/>
              </w:rPr>
              <w:t>regions</w:t>
            </w:r>
          </w:p>
        </w:tc>
        <w:tc>
          <w:tcPr>
            <w:tcW w:w="3180" w:type="dxa"/>
            <w:vMerge w:val="restart"/>
            <w:vAlign w:val="center"/>
            <w:hideMark/>
          </w:tcPr>
          <w:p w14:paraId="4203541C"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supplier reports based on fuel card transactions are complete and accurate</w:t>
            </w:r>
          </w:p>
        </w:tc>
      </w:tr>
      <w:tr w:rsidR="00995400" w:rsidRPr="00AE4DBA" w14:paraId="62898C99" w14:textId="77777777" w:rsidTr="2864371F">
        <w:trPr>
          <w:gridAfter w:val="5"/>
          <w:wAfter w:w="15900" w:type="dxa"/>
          <w:trHeight w:val="315"/>
        </w:trPr>
        <w:tc>
          <w:tcPr>
            <w:tcW w:w="1271" w:type="dxa"/>
            <w:vMerge/>
            <w:vAlign w:val="center"/>
            <w:hideMark/>
          </w:tcPr>
          <w:p w14:paraId="6FBB5CD5"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01E55C02"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Mobil Fuel cards</w:t>
            </w:r>
          </w:p>
        </w:tc>
        <w:tc>
          <w:tcPr>
            <w:tcW w:w="709" w:type="dxa"/>
            <w:vMerge/>
            <w:vAlign w:val="center"/>
            <w:hideMark/>
          </w:tcPr>
          <w:p w14:paraId="57075952"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410" w:type="dxa"/>
            <w:gridSpan w:val="2"/>
            <w:vMerge/>
            <w:vAlign w:val="center"/>
            <w:hideMark/>
          </w:tcPr>
          <w:p w14:paraId="4FFA7927"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hideMark/>
          </w:tcPr>
          <w:p w14:paraId="5706C042" w14:textId="7CF75075"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Te Tai </w:t>
            </w:r>
            <w:proofErr w:type="spellStart"/>
            <w:r w:rsidRPr="2864371F">
              <w:rPr>
                <w:rFonts w:ascii="Calibri" w:eastAsia="Calibri" w:hAnsi="Calibri" w:cs="Calibri"/>
                <w:color w:val="000000"/>
                <w:lang w:eastAsia="en-US"/>
              </w:rPr>
              <w:t>Tokerau</w:t>
            </w:r>
            <w:proofErr w:type="spellEnd"/>
            <w:r w:rsidRPr="2864371F">
              <w:rPr>
                <w:rFonts w:ascii="Calibri" w:eastAsia="Calibri" w:hAnsi="Calibri" w:cs="Calibri"/>
                <w:color w:val="000000"/>
                <w:lang w:eastAsia="en-US"/>
              </w:rPr>
              <w:t xml:space="preserve"> and Nelson Marlborough </w:t>
            </w:r>
            <w:r w:rsidR="7A7239B6" w:rsidRPr="2864371F">
              <w:rPr>
                <w:rFonts w:ascii="Calibri" w:eastAsia="Calibri" w:hAnsi="Calibri" w:cs="Calibri"/>
                <w:color w:val="000000"/>
                <w:lang w:eastAsia="en-US"/>
              </w:rPr>
              <w:t xml:space="preserve">sites </w:t>
            </w:r>
            <w:r w:rsidRPr="2864371F">
              <w:rPr>
                <w:rFonts w:ascii="Calibri" w:eastAsia="Calibri" w:hAnsi="Calibri" w:cs="Calibri"/>
                <w:color w:val="000000"/>
                <w:lang w:eastAsia="en-US"/>
              </w:rPr>
              <w:t>only</w:t>
            </w:r>
          </w:p>
        </w:tc>
        <w:tc>
          <w:tcPr>
            <w:tcW w:w="3180" w:type="dxa"/>
            <w:vMerge/>
            <w:vAlign w:val="center"/>
            <w:hideMark/>
          </w:tcPr>
          <w:p w14:paraId="390A7DD1"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95400" w:rsidRPr="00AE4DBA" w14:paraId="34781CBD" w14:textId="77777777" w:rsidTr="2864371F">
        <w:trPr>
          <w:gridAfter w:val="5"/>
          <w:wAfter w:w="15900" w:type="dxa"/>
          <w:trHeight w:val="315"/>
        </w:trPr>
        <w:tc>
          <w:tcPr>
            <w:tcW w:w="1271" w:type="dxa"/>
            <w:vMerge/>
            <w:vAlign w:val="center"/>
            <w:hideMark/>
          </w:tcPr>
          <w:p w14:paraId="51E3A2F9"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24EFF8AF"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Allied petroleum</w:t>
            </w:r>
          </w:p>
        </w:tc>
        <w:tc>
          <w:tcPr>
            <w:tcW w:w="709" w:type="dxa"/>
            <w:vMerge/>
            <w:vAlign w:val="center"/>
            <w:hideMark/>
          </w:tcPr>
          <w:p w14:paraId="25241D54"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410" w:type="dxa"/>
            <w:gridSpan w:val="2"/>
            <w:vMerge/>
            <w:vAlign w:val="center"/>
            <w:hideMark/>
          </w:tcPr>
          <w:p w14:paraId="7585EB7D"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hideMark/>
          </w:tcPr>
          <w:p w14:paraId="2DA821A8" w14:textId="4B0AB1D9" w:rsidR="00995400" w:rsidRPr="00AE4DBA" w:rsidRDefault="7A7239B6"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Bay of Plenty </w:t>
            </w:r>
            <w:r w:rsidR="671BBCE1" w:rsidRPr="2864371F">
              <w:rPr>
                <w:rFonts w:ascii="Calibri" w:eastAsia="Calibri" w:hAnsi="Calibri" w:cs="Calibri"/>
                <w:color w:val="000000"/>
                <w:lang w:eastAsia="en-US"/>
              </w:rPr>
              <w:t xml:space="preserve">and West Coast </w:t>
            </w:r>
            <w:r w:rsidRPr="2864371F">
              <w:rPr>
                <w:rFonts w:ascii="Calibri" w:eastAsia="Calibri" w:hAnsi="Calibri" w:cs="Calibri"/>
                <w:color w:val="000000"/>
                <w:lang w:eastAsia="en-US"/>
              </w:rPr>
              <w:t xml:space="preserve">sites </w:t>
            </w:r>
            <w:r w:rsidR="671BBCE1" w:rsidRPr="2864371F">
              <w:rPr>
                <w:rFonts w:ascii="Calibri" w:eastAsia="Calibri" w:hAnsi="Calibri" w:cs="Calibri"/>
                <w:color w:val="000000"/>
                <w:lang w:eastAsia="en-US"/>
              </w:rPr>
              <w:t>only</w:t>
            </w:r>
          </w:p>
        </w:tc>
        <w:tc>
          <w:tcPr>
            <w:tcW w:w="3180" w:type="dxa"/>
            <w:vMerge/>
            <w:vAlign w:val="center"/>
            <w:hideMark/>
          </w:tcPr>
          <w:p w14:paraId="261FFEA1"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95400" w:rsidRPr="00AE4DBA" w14:paraId="28D33490" w14:textId="77777777" w:rsidTr="2864371F">
        <w:trPr>
          <w:gridAfter w:val="5"/>
          <w:wAfter w:w="15900" w:type="dxa"/>
          <w:trHeight w:val="315"/>
        </w:trPr>
        <w:tc>
          <w:tcPr>
            <w:tcW w:w="1271" w:type="dxa"/>
            <w:vMerge/>
            <w:vAlign w:val="center"/>
            <w:hideMark/>
          </w:tcPr>
          <w:p w14:paraId="7EF3459D"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55C298C3" w14:textId="7B94042C" w:rsidR="00995400" w:rsidRPr="00AE4DBA" w:rsidRDefault="006F2C35"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LeasePlan</w:t>
            </w:r>
            <w:r w:rsidR="00995400" w:rsidRPr="00AE4DBA">
              <w:rPr>
                <w:rFonts w:ascii="Calibri" w:eastAsia="Calibri" w:hAnsi="Calibri" w:cs="Calibri"/>
                <w:color w:val="000000"/>
                <w:szCs w:val="20"/>
                <w:lang w:eastAsia="en-US"/>
              </w:rPr>
              <w:t xml:space="preserve"> (Mobil)</w:t>
            </w:r>
          </w:p>
        </w:tc>
        <w:tc>
          <w:tcPr>
            <w:tcW w:w="709" w:type="dxa"/>
            <w:vMerge/>
            <w:vAlign w:val="center"/>
            <w:hideMark/>
          </w:tcPr>
          <w:p w14:paraId="256B4D14"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410" w:type="dxa"/>
            <w:gridSpan w:val="2"/>
            <w:vMerge/>
            <w:vAlign w:val="center"/>
            <w:hideMark/>
          </w:tcPr>
          <w:p w14:paraId="2078C2BF"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hideMark/>
          </w:tcPr>
          <w:p w14:paraId="53D3E1FE" w14:textId="14FDA9E2"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Midcentral </w:t>
            </w:r>
            <w:r w:rsidR="7A7239B6" w:rsidRPr="2864371F">
              <w:rPr>
                <w:rFonts w:ascii="Calibri" w:eastAsia="Calibri" w:hAnsi="Calibri" w:cs="Calibri"/>
                <w:color w:val="000000"/>
                <w:lang w:eastAsia="en-US"/>
              </w:rPr>
              <w:t xml:space="preserve">sites </w:t>
            </w:r>
            <w:r w:rsidRPr="2864371F">
              <w:rPr>
                <w:rFonts w:ascii="Calibri" w:eastAsia="Calibri" w:hAnsi="Calibri" w:cs="Calibri"/>
                <w:color w:val="000000"/>
                <w:lang w:eastAsia="en-US"/>
              </w:rPr>
              <w:t>only</w:t>
            </w:r>
          </w:p>
        </w:tc>
        <w:tc>
          <w:tcPr>
            <w:tcW w:w="3180" w:type="dxa"/>
            <w:vMerge/>
            <w:vAlign w:val="center"/>
            <w:hideMark/>
          </w:tcPr>
          <w:p w14:paraId="0291A77E"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95400" w:rsidRPr="00AE4DBA" w14:paraId="592D0EEE" w14:textId="77777777" w:rsidTr="2864371F">
        <w:trPr>
          <w:gridAfter w:val="5"/>
          <w:wAfter w:w="15900" w:type="dxa"/>
          <w:trHeight w:val="315"/>
        </w:trPr>
        <w:tc>
          <w:tcPr>
            <w:tcW w:w="1271" w:type="dxa"/>
            <w:vMerge/>
            <w:vAlign w:val="center"/>
            <w:hideMark/>
          </w:tcPr>
          <w:p w14:paraId="49943D19"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56F8CF2F"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NZ fuel cards</w:t>
            </w:r>
          </w:p>
        </w:tc>
        <w:tc>
          <w:tcPr>
            <w:tcW w:w="709" w:type="dxa"/>
            <w:vMerge/>
            <w:vAlign w:val="center"/>
            <w:hideMark/>
          </w:tcPr>
          <w:p w14:paraId="22311585"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410" w:type="dxa"/>
            <w:gridSpan w:val="2"/>
            <w:vMerge/>
            <w:vAlign w:val="center"/>
            <w:hideMark/>
          </w:tcPr>
          <w:p w14:paraId="501341D1"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hideMark/>
          </w:tcPr>
          <w:p w14:paraId="0DD0D91A" w14:textId="39DB4960" w:rsidR="00995400" w:rsidRPr="00AE4DBA" w:rsidRDefault="7A7239B6"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Bay of Plenty sites </w:t>
            </w:r>
            <w:r w:rsidR="671BBCE1" w:rsidRPr="2864371F">
              <w:rPr>
                <w:rFonts w:ascii="Calibri" w:eastAsia="Calibri" w:hAnsi="Calibri" w:cs="Calibri"/>
                <w:color w:val="000000"/>
                <w:lang w:eastAsia="en-US"/>
              </w:rPr>
              <w:t>only</w:t>
            </w:r>
          </w:p>
        </w:tc>
        <w:tc>
          <w:tcPr>
            <w:tcW w:w="3180" w:type="dxa"/>
            <w:vMerge/>
            <w:vAlign w:val="center"/>
            <w:hideMark/>
          </w:tcPr>
          <w:p w14:paraId="20257CAF"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8D3EAC" w:rsidRPr="00AE4DBA" w14:paraId="4C6617ED" w14:textId="77777777" w:rsidTr="2864371F">
        <w:trPr>
          <w:gridAfter w:val="5"/>
          <w:wAfter w:w="15900" w:type="dxa"/>
          <w:trHeight w:val="315"/>
        </w:trPr>
        <w:tc>
          <w:tcPr>
            <w:tcW w:w="1271" w:type="dxa"/>
            <w:vMerge/>
            <w:vAlign w:val="center"/>
            <w:hideMark/>
          </w:tcPr>
          <w:p w14:paraId="30A293A2"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68067927"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Kiwi fuel cards</w:t>
            </w:r>
          </w:p>
        </w:tc>
        <w:tc>
          <w:tcPr>
            <w:tcW w:w="709" w:type="dxa"/>
            <w:vMerge/>
            <w:vAlign w:val="center"/>
            <w:hideMark/>
          </w:tcPr>
          <w:p w14:paraId="5B62BC0F"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410" w:type="dxa"/>
            <w:gridSpan w:val="2"/>
            <w:vMerge/>
            <w:vAlign w:val="center"/>
            <w:hideMark/>
          </w:tcPr>
          <w:p w14:paraId="75D5850E"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hideMark/>
          </w:tcPr>
          <w:p w14:paraId="1B5E62B9"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Corporate</w:t>
            </w:r>
          </w:p>
        </w:tc>
        <w:tc>
          <w:tcPr>
            <w:tcW w:w="3180" w:type="dxa"/>
            <w:vMerge/>
            <w:vAlign w:val="center"/>
            <w:hideMark/>
          </w:tcPr>
          <w:p w14:paraId="0EFE17C5"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8D3EAC" w:rsidRPr="00AE4DBA" w14:paraId="554D9094" w14:textId="77777777" w:rsidTr="2864371F">
        <w:trPr>
          <w:gridAfter w:val="5"/>
          <w:wAfter w:w="15900" w:type="dxa"/>
          <w:trHeight w:val="679"/>
        </w:trPr>
        <w:tc>
          <w:tcPr>
            <w:tcW w:w="1271" w:type="dxa"/>
            <w:vAlign w:val="center"/>
            <w:hideMark/>
          </w:tcPr>
          <w:p w14:paraId="447E4E59"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Refrigerants</w:t>
            </w:r>
          </w:p>
        </w:tc>
        <w:tc>
          <w:tcPr>
            <w:tcW w:w="1134" w:type="dxa"/>
            <w:vAlign w:val="center"/>
            <w:hideMark/>
          </w:tcPr>
          <w:p w14:paraId="3C908340"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District Inputs, various suppliers</w:t>
            </w:r>
          </w:p>
        </w:tc>
        <w:tc>
          <w:tcPr>
            <w:tcW w:w="709" w:type="dxa"/>
            <w:vAlign w:val="center"/>
            <w:hideMark/>
          </w:tcPr>
          <w:p w14:paraId="0F07FCB4"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kg</w:t>
            </w:r>
          </w:p>
        </w:tc>
        <w:tc>
          <w:tcPr>
            <w:tcW w:w="2410" w:type="dxa"/>
            <w:gridSpan w:val="2"/>
            <w:vAlign w:val="center"/>
            <w:hideMark/>
          </w:tcPr>
          <w:p w14:paraId="40763FAF"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Various refrigerants AR5</w:t>
            </w:r>
          </w:p>
        </w:tc>
        <w:tc>
          <w:tcPr>
            <w:tcW w:w="5244" w:type="dxa"/>
            <w:vAlign w:val="center"/>
            <w:hideMark/>
          </w:tcPr>
          <w:p w14:paraId="1376028E" w14:textId="31D4C2F3"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Includes refrigerants of hospital sites. Leased offices or smaller community buildings are excluded.</w:t>
            </w:r>
          </w:p>
        </w:tc>
        <w:tc>
          <w:tcPr>
            <w:tcW w:w="3180" w:type="dxa"/>
            <w:vAlign w:val="center"/>
            <w:hideMark/>
          </w:tcPr>
          <w:p w14:paraId="314CBD3B"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Medium to low quality. Not all sites report on refrigerant top-ups, had no data available or had to make assumptions. Recorded data likely underestimates real leakage.</w:t>
            </w:r>
          </w:p>
        </w:tc>
      </w:tr>
      <w:tr w:rsidR="00995400" w:rsidRPr="00AE4DBA" w14:paraId="1DCF6B04" w14:textId="77777777" w:rsidTr="2864371F">
        <w:trPr>
          <w:gridAfter w:val="5"/>
          <w:wAfter w:w="15900" w:type="dxa"/>
          <w:trHeight w:val="380"/>
        </w:trPr>
        <w:tc>
          <w:tcPr>
            <w:tcW w:w="13948" w:type="dxa"/>
            <w:gridSpan w:val="7"/>
            <w:shd w:val="clear" w:color="auto" w:fill="15284C" w:themeFill="accent5"/>
            <w:vAlign w:val="center"/>
          </w:tcPr>
          <w:p w14:paraId="07A69C86" w14:textId="77777777" w:rsidR="00995400" w:rsidRPr="00AE4DBA" w:rsidRDefault="00995400" w:rsidP="008D3EAC">
            <w:pPr>
              <w:jc w:val="center"/>
              <w:rPr>
                <w:rFonts w:eastAsia="Calibri" w:cs="Arial"/>
                <w:color w:val="008A9F"/>
                <w:sz w:val="24"/>
                <w:lang w:eastAsia="en-US"/>
              </w:rPr>
            </w:pPr>
            <w:r w:rsidRPr="00AE4DBA">
              <w:rPr>
                <w:rFonts w:eastAsia="Calibri" w:cs="Arial"/>
                <w:b/>
                <w:color w:val="FFFFFF"/>
                <w:sz w:val="24"/>
                <w:lang w:eastAsia="en-US"/>
              </w:rPr>
              <w:t>Category 2</w:t>
            </w:r>
          </w:p>
        </w:tc>
      </w:tr>
      <w:tr w:rsidR="00995400" w:rsidRPr="00AE4DBA" w14:paraId="0754A412" w14:textId="77777777" w:rsidTr="2864371F">
        <w:trPr>
          <w:gridAfter w:val="5"/>
          <w:wAfter w:w="15900" w:type="dxa"/>
          <w:trHeight w:val="699"/>
        </w:trPr>
        <w:tc>
          <w:tcPr>
            <w:tcW w:w="1271" w:type="dxa"/>
            <w:shd w:val="clear" w:color="auto" w:fill="15284C" w:themeFill="accent5"/>
            <w:vAlign w:val="center"/>
            <w:hideMark/>
          </w:tcPr>
          <w:p w14:paraId="394943FB"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b/>
                <w:bCs/>
                <w:color w:val="FFFFFF"/>
                <w:szCs w:val="22"/>
                <w:lang w:eastAsia="en-US"/>
              </w:rPr>
              <w:t xml:space="preserve">Source </w:t>
            </w:r>
          </w:p>
        </w:tc>
        <w:tc>
          <w:tcPr>
            <w:tcW w:w="1134" w:type="dxa"/>
            <w:shd w:val="clear" w:color="auto" w:fill="15284C" w:themeFill="accent5"/>
            <w:vAlign w:val="center"/>
            <w:hideMark/>
          </w:tcPr>
          <w:p w14:paraId="4AC1D19E"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b/>
                <w:bCs/>
                <w:color w:val="FFFFFF"/>
                <w:szCs w:val="22"/>
                <w:lang w:eastAsia="en-US"/>
              </w:rPr>
              <w:t>Data source</w:t>
            </w:r>
          </w:p>
        </w:tc>
        <w:tc>
          <w:tcPr>
            <w:tcW w:w="709" w:type="dxa"/>
            <w:shd w:val="clear" w:color="auto" w:fill="15284C" w:themeFill="accent5"/>
            <w:vAlign w:val="center"/>
            <w:hideMark/>
          </w:tcPr>
          <w:p w14:paraId="089387A6"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b/>
                <w:bCs/>
                <w:color w:val="FFFFFF"/>
                <w:szCs w:val="22"/>
                <w:lang w:eastAsia="en-US"/>
              </w:rPr>
              <w:t>UOM</w:t>
            </w:r>
          </w:p>
        </w:tc>
        <w:tc>
          <w:tcPr>
            <w:tcW w:w="2410" w:type="dxa"/>
            <w:gridSpan w:val="2"/>
            <w:shd w:val="clear" w:color="auto" w:fill="15284C" w:themeFill="accent5"/>
            <w:vAlign w:val="center"/>
            <w:hideMark/>
          </w:tcPr>
          <w:p w14:paraId="1EC79857"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b/>
                <w:bCs/>
                <w:color w:val="FFFFFF"/>
                <w:szCs w:val="22"/>
                <w:lang w:eastAsia="en-US"/>
              </w:rPr>
              <w:t>Emission factor</w:t>
            </w:r>
          </w:p>
        </w:tc>
        <w:tc>
          <w:tcPr>
            <w:tcW w:w="5244" w:type="dxa"/>
            <w:shd w:val="clear" w:color="auto" w:fill="15284C" w:themeFill="accent5"/>
            <w:vAlign w:val="center"/>
            <w:hideMark/>
          </w:tcPr>
          <w:p w14:paraId="6A2BFB73"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b/>
                <w:bCs/>
                <w:color w:val="FFFFFF"/>
                <w:szCs w:val="22"/>
                <w:lang w:eastAsia="en-US"/>
              </w:rPr>
              <w:t>Boundary or dataset comments</w:t>
            </w:r>
          </w:p>
        </w:tc>
        <w:tc>
          <w:tcPr>
            <w:tcW w:w="3180" w:type="dxa"/>
            <w:shd w:val="clear" w:color="auto" w:fill="15284C" w:themeFill="accent5"/>
            <w:vAlign w:val="center"/>
            <w:hideMark/>
          </w:tcPr>
          <w:p w14:paraId="345A4D4F"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b/>
                <w:bCs/>
                <w:color w:val="FFFFFF"/>
                <w:szCs w:val="22"/>
                <w:lang w:eastAsia="en-US"/>
              </w:rPr>
              <w:t>Uncertainty</w:t>
            </w:r>
          </w:p>
        </w:tc>
      </w:tr>
      <w:tr w:rsidR="00995400" w:rsidRPr="00AE4DBA" w14:paraId="0BBB5C58" w14:textId="77777777" w:rsidTr="2864371F">
        <w:trPr>
          <w:gridAfter w:val="5"/>
          <w:wAfter w:w="15900" w:type="dxa"/>
          <w:trHeight w:val="2400"/>
        </w:trPr>
        <w:tc>
          <w:tcPr>
            <w:tcW w:w="1271" w:type="dxa"/>
            <w:vMerge w:val="restart"/>
            <w:vAlign w:val="center"/>
            <w:hideMark/>
          </w:tcPr>
          <w:p w14:paraId="55270E3F"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 xml:space="preserve">Electricity </w:t>
            </w:r>
            <w:proofErr w:type="spellStart"/>
            <w:r w:rsidRPr="00AE4DBA">
              <w:rPr>
                <w:rFonts w:ascii="Calibri" w:eastAsia="Calibri" w:hAnsi="Calibri" w:cs="Calibri"/>
                <w:color w:val="000000"/>
                <w:szCs w:val="20"/>
                <w:lang w:eastAsia="en-US"/>
              </w:rPr>
              <w:t>AoG</w:t>
            </w:r>
            <w:proofErr w:type="spellEnd"/>
            <w:r w:rsidRPr="00AE4DBA">
              <w:rPr>
                <w:rFonts w:ascii="Calibri" w:eastAsia="Calibri" w:hAnsi="Calibri" w:cs="Calibri"/>
                <w:color w:val="000000"/>
                <w:szCs w:val="20"/>
                <w:lang w:eastAsia="en-US"/>
              </w:rPr>
              <w:t xml:space="preserve"> TOU and NHH contract</w:t>
            </w:r>
          </w:p>
        </w:tc>
        <w:tc>
          <w:tcPr>
            <w:tcW w:w="1134" w:type="dxa"/>
            <w:vAlign w:val="center"/>
            <w:hideMark/>
          </w:tcPr>
          <w:p w14:paraId="565A5A35"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Simply Energy</w:t>
            </w:r>
          </w:p>
        </w:tc>
        <w:tc>
          <w:tcPr>
            <w:tcW w:w="709" w:type="dxa"/>
            <w:vMerge w:val="restart"/>
            <w:vAlign w:val="center"/>
            <w:hideMark/>
          </w:tcPr>
          <w:p w14:paraId="63437C7E"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kWh</w:t>
            </w:r>
          </w:p>
        </w:tc>
        <w:tc>
          <w:tcPr>
            <w:tcW w:w="2410" w:type="dxa"/>
            <w:gridSpan w:val="2"/>
            <w:vMerge w:val="restart"/>
            <w:vAlign w:val="center"/>
            <w:hideMark/>
          </w:tcPr>
          <w:p w14:paraId="2F0BD46D"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Electricity - kWh</w:t>
            </w:r>
          </w:p>
        </w:tc>
        <w:tc>
          <w:tcPr>
            <w:tcW w:w="5244" w:type="dxa"/>
            <w:vAlign w:val="center"/>
            <w:hideMark/>
          </w:tcPr>
          <w:p w14:paraId="73E12D97" w14:textId="25B63B47"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Includes all ICPs under contract of </w:t>
            </w:r>
            <w:r w:rsidR="34532B06" w:rsidRPr="2864371F">
              <w:rPr>
                <w:rFonts w:ascii="Calibri" w:eastAsia="Calibri" w:hAnsi="Calibri" w:cs="Calibri"/>
                <w:color w:val="000000"/>
                <w:lang w:eastAsia="en-US"/>
              </w:rPr>
              <w:t>Health NZ</w:t>
            </w:r>
            <w:r w:rsidRPr="2864371F">
              <w:rPr>
                <w:rFonts w:ascii="Calibri" w:eastAsia="Calibri" w:hAnsi="Calibri" w:cs="Calibri"/>
                <w:color w:val="000000"/>
                <w:lang w:eastAsia="en-US"/>
              </w:rPr>
              <w:t>. Includes ICPs on our account of leased buildings and are included as C</w:t>
            </w:r>
            <w:r w:rsidR="4066E773" w:rsidRPr="2864371F">
              <w:rPr>
                <w:rFonts w:ascii="Calibri" w:eastAsia="Calibri" w:hAnsi="Calibri" w:cs="Calibri"/>
                <w:color w:val="000000"/>
                <w:lang w:eastAsia="en-US"/>
              </w:rPr>
              <w:t xml:space="preserve">at </w:t>
            </w:r>
            <w:r w:rsidRPr="2864371F">
              <w:rPr>
                <w:rFonts w:ascii="Calibri" w:eastAsia="Calibri" w:hAnsi="Calibri" w:cs="Calibri"/>
                <w:color w:val="000000"/>
                <w:lang w:eastAsia="en-US"/>
              </w:rPr>
              <w:t>2 emissions under operational control. Consumption is booked in the previous month of invoice month. ICP 0007195596RN638 belongs to Subsidiary Canterbury Linen. Christchurch Hospital invoices electricity on to the University of Otago, booked as cat 4. About 139 TOU ICP</w:t>
            </w:r>
            <w:r w:rsidR="4066E773" w:rsidRPr="2864371F">
              <w:rPr>
                <w:rFonts w:ascii="Calibri" w:eastAsia="Calibri" w:hAnsi="Calibri" w:cs="Calibri"/>
                <w:color w:val="000000"/>
                <w:lang w:eastAsia="en-US"/>
              </w:rPr>
              <w:t>s</w:t>
            </w:r>
            <w:r w:rsidRPr="2864371F">
              <w:rPr>
                <w:rFonts w:ascii="Calibri" w:eastAsia="Calibri" w:hAnsi="Calibri" w:cs="Calibri"/>
                <w:color w:val="000000"/>
                <w:lang w:eastAsia="en-US"/>
              </w:rPr>
              <w:t xml:space="preserve"> with consumption of around 90%-95% of electricity. </w:t>
            </w:r>
          </w:p>
        </w:tc>
        <w:tc>
          <w:tcPr>
            <w:tcW w:w="3180" w:type="dxa"/>
            <w:vMerge w:val="restart"/>
            <w:vAlign w:val="center"/>
            <w:hideMark/>
          </w:tcPr>
          <w:p w14:paraId="209EEB73"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Meter readings. It is assumed the supplier reports are complete and accurate.</w:t>
            </w:r>
          </w:p>
        </w:tc>
      </w:tr>
      <w:tr w:rsidR="00995400" w:rsidRPr="00AE4DBA" w14:paraId="467C6506" w14:textId="77777777" w:rsidTr="2864371F">
        <w:trPr>
          <w:gridAfter w:val="5"/>
          <w:wAfter w:w="15900" w:type="dxa"/>
          <w:trHeight w:val="315"/>
        </w:trPr>
        <w:tc>
          <w:tcPr>
            <w:tcW w:w="1271" w:type="dxa"/>
            <w:vMerge/>
            <w:vAlign w:val="center"/>
            <w:hideMark/>
          </w:tcPr>
          <w:p w14:paraId="2DD24CF9"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77DFBE5A"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Genesis</w:t>
            </w:r>
          </w:p>
        </w:tc>
        <w:tc>
          <w:tcPr>
            <w:tcW w:w="709" w:type="dxa"/>
            <w:vMerge/>
            <w:vAlign w:val="center"/>
            <w:hideMark/>
          </w:tcPr>
          <w:p w14:paraId="5D9670FD"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410" w:type="dxa"/>
            <w:gridSpan w:val="2"/>
            <w:vMerge/>
            <w:vAlign w:val="center"/>
            <w:hideMark/>
          </w:tcPr>
          <w:p w14:paraId="6F798222"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hideMark/>
          </w:tcPr>
          <w:p w14:paraId="23824598" w14:textId="114780BC"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Per May</w:t>
            </w:r>
            <w:r w:rsidR="04B189D8" w:rsidRPr="2864371F">
              <w:rPr>
                <w:rFonts w:ascii="Calibri" w:eastAsia="Calibri" w:hAnsi="Calibri" w:cs="Calibri"/>
                <w:color w:val="000000"/>
                <w:lang w:eastAsia="en-US"/>
              </w:rPr>
              <w:t xml:space="preserve"> FY2023/24</w:t>
            </w:r>
            <w:r w:rsidRPr="2864371F">
              <w:rPr>
                <w:rFonts w:ascii="Calibri" w:eastAsia="Calibri" w:hAnsi="Calibri" w:cs="Calibri"/>
                <w:color w:val="000000"/>
                <w:lang w:eastAsia="en-US"/>
              </w:rPr>
              <w:t xml:space="preserve"> Counties Manukau changed TOU meters from Simply to Genesis.</w:t>
            </w:r>
          </w:p>
        </w:tc>
        <w:tc>
          <w:tcPr>
            <w:tcW w:w="3180" w:type="dxa"/>
            <w:vMerge/>
            <w:vAlign w:val="center"/>
            <w:hideMark/>
          </w:tcPr>
          <w:p w14:paraId="57B499C8"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95400" w:rsidRPr="00AE4DBA" w14:paraId="57AA9A60" w14:textId="77777777" w:rsidTr="2864371F">
        <w:trPr>
          <w:gridAfter w:val="5"/>
          <w:wAfter w:w="15900" w:type="dxa"/>
          <w:trHeight w:val="1035"/>
        </w:trPr>
        <w:tc>
          <w:tcPr>
            <w:tcW w:w="1271" w:type="dxa"/>
            <w:vMerge/>
            <w:vAlign w:val="center"/>
            <w:hideMark/>
          </w:tcPr>
          <w:p w14:paraId="2D3C6914"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0197EC33"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Meridian</w:t>
            </w:r>
          </w:p>
        </w:tc>
        <w:tc>
          <w:tcPr>
            <w:tcW w:w="709" w:type="dxa"/>
            <w:vMerge/>
            <w:vAlign w:val="center"/>
            <w:hideMark/>
          </w:tcPr>
          <w:p w14:paraId="3C4D2264"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410" w:type="dxa"/>
            <w:gridSpan w:val="2"/>
            <w:vMerge/>
            <w:vAlign w:val="center"/>
            <w:hideMark/>
          </w:tcPr>
          <w:p w14:paraId="762D2334"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hideMark/>
          </w:tcPr>
          <w:p w14:paraId="3CAC7522" w14:textId="6C6EAD9F" w:rsidR="00995400" w:rsidRPr="00AE4DBA" w:rsidRDefault="15516875"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Reconciliation</w:t>
            </w:r>
            <w:r w:rsidR="28FF6331" w:rsidRPr="2864371F">
              <w:rPr>
                <w:rFonts w:ascii="Calibri" w:eastAsia="Calibri" w:hAnsi="Calibri" w:cs="Calibri"/>
                <w:color w:val="000000"/>
                <w:lang w:eastAsia="en-US"/>
              </w:rPr>
              <w:t xml:space="preserve"> </w:t>
            </w:r>
            <w:r w:rsidRPr="2864371F">
              <w:rPr>
                <w:rFonts w:ascii="Calibri" w:eastAsia="Calibri" w:hAnsi="Calibri" w:cs="Calibri"/>
                <w:color w:val="000000"/>
                <w:lang w:eastAsia="en-US"/>
              </w:rPr>
              <w:t>of Meridian ICPs at Health NZ sites. List is now complete. Meridian has produced an annual report for TOU and NHH meters</w:t>
            </w:r>
            <w:r w:rsidR="211AD1E8" w:rsidRPr="2864371F">
              <w:rPr>
                <w:rFonts w:ascii="Calibri" w:eastAsia="Calibri" w:hAnsi="Calibri" w:cs="Calibri"/>
                <w:color w:val="000000"/>
                <w:lang w:eastAsia="en-US"/>
              </w:rPr>
              <w:t xml:space="preserve"> for FY2023/24</w:t>
            </w:r>
            <w:r w:rsidRPr="2864371F">
              <w:rPr>
                <w:rFonts w:ascii="Calibri" w:eastAsia="Calibri" w:hAnsi="Calibri" w:cs="Calibri"/>
                <w:color w:val="000000"/>
                <w:lang w:eastAsia="en-US"/>
              </w:rPr>
              <w:t>.</w:t>
            </w:r>
          </w:p>
        </w:tc>
        <w:tc>
          <w:tcPr>
            <w:tcW w:w="3180" w:type="dxa"/>
            <w:vMerge/>
            <w:vAlign w:val="center"/>
            <w:hideMark/>
          </w:tcPr>
          <w:p w14:paraId="3F165AEA"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95400" w:rsidRPr="00AE4DBA" w14:paraId="31D0B7BF" w14:textId="77777777" w:rsidTr="2864371F">
        <w:trPr>
          <w:gridAfter w:val="5"/>
          <w:wAfter w:w="15900" w:type="dxa"/>
          <w:trHeight w:val="557"/>
        </w:trPr>
        <w:tc>
          <w:tcPr>
            <w:tcW w:w="1271" w:type="dxa"/>
            <w:vMerge w:val="restart"/>
            <w:vAlign w:val="center"/>
            <w:hideMark/>
          </w:tcPr>
          <w:p w14:paraId="46F126C6"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lastRenderedPageBreak/>
              <w:t>Electricity other contracts</w:t>
            </w:r>
          </w:p>
        </w:tc>
        <w:tc>
          <w:tcPr>
            <w:tcW w:w="1134" w:type="dxa"/>
            <w:vAlign w:val="center"/>
            <w:hideMark/>
          </w:tcPr>
          <w:p w14:paraId="2C6941DD"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Mercury</w:t>
            </w:r>
          </w:p>
        </w:tc>
        <w:tc>
          <w:tcPr>
            <w:tcW w:w="709" w:type="dxa"/>
            <w:vMerge/>
            <w:vAlign w:val="center"/>
            <w:hideMark/>
          </w:tcPr>
          <w:p w14:paraId="5D107D25"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410" w:type="dxa"/>
            <w:gridSpan w:val="2"/>
            <w:vMerge/>
            <w:vAlign w:val="center"/>
            <w:hideMark/>
          </w:tcPr>
          <w:p w14:paraId="5C9DE7AE"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hideMark/>
          </w:tcPr>
          <w:p w14:paraId="30CDE5FD" w14:textId="397DC50C"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NZ</w:t>
            </w:r>
            <w:r w:rsidR="0B1AA988" w:rsidRPr="2864371F">
              <w:rPr>
                <w:rFonts w:ascii="Calibri" w:eastAsia="Calibri" w:hAnsi="Calibri" w:cs="Calibri"/>
                <w:color w:val="000000"/>
                <w:lang w:eastAsia="en-US"/>
              </w:rPr>
              <w:t xml:space="preserve"> Health Partners</w:t>
            </w:r>
            <w:r w:rsidR="20F25865" w:rsidRPr="2864371F">
              <w:rPr>
                <w:rFonts w:ascii="Calibri" w:eastAsia="Calibri" w:hAnsi="Calibri" w:cs="Calibri"/>
                <w:color w:val="000000"/>
                <w:lang w:eastAsia="en-US"/>
              </w:rPr>
              <w:t>hips</w:t>
            </w:r>
            <w:r w:rsidR="0B1AA988" w:rsidRPr="2864371F">
              <w:rPr>
                <w:rFonts w:ascii="Calibri" w:eastAsia="Calibri" w:hAnsi="Calibri" w:cs="Calibri"/>
                <w:color w:val="000000"/>
                <w:lang w:eastAsia="en-US"/>
              </w:rPr>
              <w:t xml:space="preserve"> (NZH</w:t>
            </w:r>
            <w:r w:rsidRPr="2864371F">
              <w:rPr>
                <w:rFonts w:ascii="Calibri" w:eastAsia="Calibri" w:hAnsi="Calibri" w:cs="Calibri"/>
                <w:color w:val="000000"/>
                <w:lang w:eastAsia="en-US"/>
              </w:rPr>
              <w:t>P</w:t>
            </w:r>
            <w:r w:rsidR="0B1AA988" w:rsidRPr="2864371F">
              <w:rPr>
                <w:rFonts w:ascii="Calibri" w:eastAsia="Calibri" w:hAnsi="Calibri" w:cs="Calibri"/>
                <w:color w:val="000000"/>
                <w:lang w:eastAsia="en-US"/>
              </w:rPr>
              <w:t xml:space="preserve">) </w:t>
            </w:r>
            <w:r w:rsidRPr="2864371F">
              <w:rPr>
                <w:rFonts w:ascii="Calibri" w:eastAsia="Calibri" w:hAnsi="Calibri" w:cs="Calibri"/>
                <w:color w:val="000000"/>
                <w:lang w:eastAsia="en-US"/>
              </w:rPr>
              <w:t>leased office building. No charges for level 1 for Sep and October, as no ICP was in place. Level 1 ICP consumption is for the full floor; NZHP occupies half. Full consumption was reported, but insignificant impact.</w:t>
            </w:r>
          </w:p>
        </w:tc>
        <w:tc>
          <w:tcPr>
            <w:tcW w:w="3180" w:type="dxa"/>
            <w:vMerge/>
            <w:vAlign w:val="center"/>
            <w:hideMark/>
          </w:tcPr>
          <w:p w14:paraId="65FCE457"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95400" w:rsidRPr="00AE4DBA" w14:paraId="6E308557" w14:textId="77777777" w:rsidTr="2864371F">
        <w:trPr>
          <w:gridAfter w:val="5"/>
          <w:wAfter w:w="15900" w:type="dxa"/>
          <w:trHeight w:val="1035"/>
        </w:trPr>
        <w:tc>
          <w:tcPr>
            <w:tcW w:w="1271" w:type="dxa"/>
            <w:vMerge/>
            <w:vAlign w:val="center"/>
            <w:hideMark/>
          </w:tcPr>
          <w:p w14:paraId="2F25E192"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5B4B66F1"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Smart Power</w:t>
            </w:r>
          </w:p>
        </w:tc>
        <w:tc>
          <w:tcPr>
            <w:tcW w:w="709" w:type="dxa"/>
            <w:vMerge/>
            <w:vAlign w:val="center"/>
            <w:hideMark/>
          </w:tcPr>
          <w:p w14:paraId="76B921A2"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410" w:type="dxa"/>
            <w:gridSpan w:val="2"/>
            <w:vMerge/>
            <w:vAlign w:val="center"/>
            <w:hideMark/>
          </w:tcPr>
          <w:p w14:paraId="374C4E3F"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hideMark/>
          </w:tcPr>
          <w:p w14:paraId="05628D40" w14:textId="0DA8B8D6" w:rsidR="00995400" w:rsidRPr="00AE4DBA" w:rsidRDefault="2BC6B879"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Direct readings from smart meters, so </w:t>
            </w:r>
            <w:r w:rsidR="47A792D7" w:rsidRPr="2864371F">
              <w:rPr>
                <w:rFonts w:ascii="Calibri" w:eastAsia="Calibri" w:hAnsi="Calibri" w:cs="Calibri"/>
                <w:color w:val="000000"/>
                <w:lang w:eastAsia="en-US"/>
              </w:rPr>
              <w:t>electricity</w:t>
            </w:r>
            <w:r w:rsidRPr="2864371F">
              <w:rPr>
                <w:rFonts w:ascii="Calibri" w:eastAsia="Calibri" w:hAnsi="Calibri" w:cs="Calibri"/>
                <w:color w:val="000000"/>
                <w:lang w:eastAsia="en-US"/>
              </w:rPr>
              <w:t xml:space="preserve"> use directly </w:t>
            </w:r>
            <w:r w:rsidR="705BB847" w:rsidRPr="2864371F">
              <w:rPr>
                <w:rFonts w:ascii="Calibri" w:eastAsia="Calibri" w:hAnsi="Calibri" w:cs="Calibri"/>
                <w:color w:val="000000"/>
                <w:lang w:eastAsia="en-US"/>
              </w:rPr>
              <w:t>apportioned to Health NZ activity at leased sites.</w:t>
            </w:r>
          </w:p>
        </w:tc>
        <w:tc>
          <w:tcPr>
            <w:tcW w:w="3180" w:type="dxa"/>
            <w:vMerge/>
            <w:vAlign w:val="center"/>
            <w:hideMark/>
          </w:tcPr>
          <w:p w14:paraId="30D172DE"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95400" w:rsidRPr="00AE4DBA" w14:paraId="50F793E4" w14:textId="77777777" w:rsidTr="2864371F">
        <w:trPr>
          <w:gridAfter w:val="5"/>
          <w:wAfter w:w="15900" w:type="dxa"/>
          <w:trHeight w:val="1070"/>
        </w:trPr>
        <w:tc>
          <w:tcPr>
            <w:tcW w:w="1271" w:type="dxa"/>
            <w:vMerge/>
            <w:vAlign w:val="center"/>
            <w:hideMark/>
          </w:tcPr>
          <w:p w14:paraId="56783A83"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5D69A09C"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Corporate or shared services direct inputs</w:t>
            </w:r>
          </w:p>
        </w:tc>
        <w:tc>
          <w:tcPr>
            <w:tcW w:w="709" w:type="dxa"/>
            <w:vMerge/>
            <w:vAlign w:val="center"/>
            <w:hideMark/>
          </w:tcPr>
          <w:p w14:paraId="38436587"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410" w:type="dxa"/>
            <w:gridSpan w:val="2"/>
            <w:vMerge/>
            <w:vAlign w:val="center"/>
            <w:hideMark/>
          </w:tcPr>
          <w:p w14:paraId="0C9AB241"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hideMark/>
          </w:tcPr>
          <w:p w14:paraId="25B522A9" w14:textId="31FA8992"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3180" w:type="dxa"/>
            <w:vMerge/>
            <w:vAlign w:val="center"/>
            <w:hideMark/>
          </w:tcPr>
          <w:p w14:paraId="30FF65F7"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8D3EAC" w:rsidRPr="00AE4DBA" w14:paraId="245AD1A5" w14:textId="77777777" w:rsidTr="2864371F">
        <w:trPr>
          <w:gridAfter w:val="5"/>
          <w:wAfter w:w="15900" w:type="dxa"/>
          <w:trHeight w:val="780"/>
        </w:trPr>
        <w:tc>
          <w:tcPr>
            <w:tcW w:w="1271" w:type="dxa"/>
            <w:vAlign w:val="center"/>
            <w:hideMark/>
          </w:tcPr>
          <w:p w14:paraId="44F15F87"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Purchased Landfill gas</w:t>
            </w:r>
          </w:p>
        </w:tc>
        <w:tc>
          <w:tcPr>
            <w:tcW w:w="1134" w:type="dxa"/>
            <w:vAlign w:val="center"/>
            <w:hideMark/>
          </w:tcPr>
          <w:p w14:paraId="7AEAA5BE"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Nelson City Council</w:t>
            </w:r>
          </w:p>
        </w:tc>
        <w:tc>
          <w:tcPr>
            <w:tcW w:w="709" w:type="dxa"/>
            <w:vAlign w:val="center"/>
            <w:hideMark/>
          </w:tcPr>
          <w:p w14:paraId="16E552DA"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GJ</w:t>
            </w:r>
          </w:p>
        </w:tc>
        <w:tc>
          <w:tcPr>
            <w:tcW w:w="2410" w:type="dxa"/>
            <w:gridSpan w:val="2"/>
            <w:vAlign w:val="center"/>
            <w:hideMark/>
          </w:tcPr>
          <w:p w14:paraId="76A82D2A"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Custom Biogas - Landfill Gas - GJ</w:t>
            </w:r>
          </w:p>
        </w:tc>
        <w:tc>
          <w:tcPr>
            <w:tcW w:w="5244" w:type="dxa"/>
            <w:vAlign w:val="center"/>
            <w:hideMark/>
          </w:tcPr>
          <w:p w14:paraId="2CD99866" w14:textId="7871177F"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Nelson Hospital. </w:t>
            </w:r>
            <w:r w:rsidR="281F42B3" w:rsidRPr="2864371F">
              <w:rPr>
                <w:rFonts w:ascii="Calibri" w:eastAsia="Calibri" w:hAnsi="Calibri" w:cs="Calibri"/>
                <w:color w:val="000000"/>
                <w:lang w:eastAsia="en-US"/>
              </w:rPr>
              <w:t>Health NZ</w:t>
            </w:r>
            <w:r w:rsidR="006F2C35">
              <w:rPr>
                <w:rFonts w:ascii="Calibri" w:eastAsia="Calibri" w:hAnsi="Calibri" w:cs="Calibri"/>
                <w:color w:val="000000"/>
                <w:lang w:eastAsia="en-US"/>
              </w:rPr>
              <w:t xml:space="preserve"> </w:t>
            </w:r>
            <w:r w:rsidRPr="2864371F">
              <w:rPr>
                <w:rFonts w:ascii="Calibri" w:eastAsia="Calibri" w:hAnsi="Calibri" w:cs="Calibri"/>
                <w:color w:val="000000"/>
                <w:lang w:eastAsia="en-US"/>
              </w:rPr>
              <w:t>owns the landfill gas boiler house and operates the boiler, but Nelson Council owns the boiler assets.  Included as C</w:t>
            </w:r>
            <w:r w:rsidR="582C21D7" w:rsidRPr="2864371F">
              <w:rPr>
                <w:rFonts w:ascii="Calibri" w:eastAsia="Calibri" w:hAnsi="Calibri" w:cs="Calibri"/>
                <w:color w:val="000000"/>
                <w:lang w:eastAsia="en-US"/>
              </w:rPr>
              <w:t>at</w:t>
            </w:r>
            <w:r w:rsidR="1D7A1313" w:rsidRPr="2864371F">
              <w:rPr>
                <w:rFonts w:ascii="Calibri" w:eastAsia="Calibri" w:hAnsi="Calibri" w:cs="Calibri"/>
                <w:color w:val="000000"/>
                <w:lang w:eastAsia="en-US"/>
              </w:rPr>
              <w:t xml:space="preserve"> </w:t>
            </w:r>
            <w:r w:rsidRPr="2864371F">
              <w:rPr>
                <w:rFonts w:ascii="Calibri" w:eastAsia="Calibri" w:hAnsi="Calibri" w:cs="Calibri"/>
                <w:color w:val="000000"/>
                <w:lang w:eastAsia="en-US"/>
              </w:rPr>
              <w:t>2.</w:t>
            </w:r>
          </w:p>
        </w:tc>
        <w:tc>
          <w:tcPr>
            <w:tcW w:w="3180" w:type="dxa"/>
            <w:vAlign w:val="center"/>
            <w:hideMark/>
          </w:tcPr>
          <w:p w14:paraId="32B84983"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Medium quality - based on tonnes of steam recorded and conversion to GJ</w:t>
            </w:r>
          </w:p>
        </w:tc>
      </w:tr>
      <w:tr w:rsidR="008D3EAC" w:rsidRPr="00AE4DBA" w14:paraId="7DA6B920" w14:textId="77777777" w:rsidTr="2864371F">
        <w:trPr>
          <w:gridAfter w:val="5"/>
          <w:wAfter w:w="15900" w:type="dxa"/>
          <w:trHeight w:val="396"/>
        </w:trPr>
        <w:tc>
          <w:tcPr>
            <w:tcW w:w="1271" w:type="dxa"/>
            <w:vMerge w:val="restart"/>
            <w:vAlign w:val="center"/>
            <w:hideMark/>
          </w:tcPr>
          <w:p w14:paraId="1DBA050B"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Purchased heat and steam</w:t>
            </w:r>
          </w:p>
        </w:tc>
        <w:tc>
          <w:tcPr>
            <w:tcW w:w="1134" w:type="dxa"/>
            <w:vMerge w:val="restart"/>
            <w:vAlign w:val="center"/>
            <w:hideMark/>
          </w:tcPr>
          <w:p w14:paraId="04603B09"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Pioneer Energy</w:t>
            </w:r>
          </w:p>
        </w:tc>
        <w:tc>
          <w:tcPr>
            <w:tcW w:w="709" w:type="dxa"/>
            <w:vAlign w:val="center"/>
            <w:hideMark/>
          </w:tcPr>
          <w:p w14:paraId="7AC5790B"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GJ</w:t>
            </w:r>
          </w:p>
        </w:tc>
        <w:tc>
          <w:tcPr>
            <w:tcW w:w="2410" w:type="dxa"/>
            <w:gridSpan w:val="2"/>
            <w:vAlign w:val="center"/>
            <w:hideMark/>
          </w:tcPr>
          <w:p w14:paraId="04C1A4B8"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Custom Coal -Sub-bituminous - Industrial- GJ</w:t>
            </w:r>
          </w:p>
        </w:tc>
        <w:tc>
          <w:tcPr>
            <w:tcW w:w="5244" w:type="dxa"/>
            <w:vAlign w:val="center"/>
            <w:hideMark/>
          </w:tcPr>
          <w:p w14:paraId="13D8D4ED" w14:textId="5D200F18"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Dunedin and Southland sites. Steam </w:t>
            </w:r>
            <w:r w:rsidR="228A1873" w:rsidRPr="2864371F">
              <w:rPr>
                <w:rFonts w:ascii="Calibri" w:eastAsia="Calibri" w:hAnsi="Calibri" w:cs="Calibri"/>
                <w:color w:val="000000"/>
                <w:lang w:eastAsia="en-US"/>
              </w:rPr>
              <w:t xml:space="preserve">on sold to </w:t>
            </w:r>
            <w:r w:rsidR="1D7A1313" w:rsidRPr="2864371F">
              <w:rPr>
                <w:rFonts w:ascii="Calibri" w:eastAsia="Calibri" w:hAnsi="Calibri" w:cs="Calibri"/>
                <w:color w:val="000000"/>
                <w:lang w:eastAsia="en-US"/>
              </w:rPr>
              <w:t xml:space="preserve">Health NZ </w:t>
            </w:r>
            <w:r w:rsidR="228A1873" w:rsidRPr="2864371F">
              <w:rPr>
                <w:rFonts w:ascii="Calibri" w:eastAsia="Calibri" w:hAnsi="Calibri" w:cs="Calibri"/>
                <w:color w:val="000000"/>
                <w:lang w:eastAsia="en-US"/>
              </w:rPr>
              <w:t>Southern moved from coal to biomass early FY2023</w:t>
            </w:r>
            <w:r w:rsidR="670003F8" w:rsidRPr="2864371F">
              <w:rPr>
                <w:rFonts w:ascii="Calibri" w:eastAsia="Calibri" w:hAnsi="Calibri" w:cs="Calibri"/>
                <w:color w:val="000000"/>
                <w:lang w:eastAsia="en-US"/>
              </w:rPr>
              <w:t>/24</w:t>
            </w:r>
            <w:r w:rsidRPr="2864371F">
              <w:rPr>
                <w:rFonts w:ascii="Calibri" w:eastAsia="Calibri" w:hAnsi="Calibri" w:cs="Calibri"/>
                <w:color w:val="000000"/>
                <w:lang w:eastAsia="en-US"/>
              </w:rPr>
              <w:t>.</w:t>
            </w:r>
            <w:r w:rsidR="670003F8" w:rsidRPr="2864371F">
              <w:rPr>
                <w:rFonts w:ascii="Calibri" w:eastAsia="Calibri" w:hAnsi="Calibri" w:cs="Calibri"/>
                <w:color w:val="000000"/>
                <w:lang w:eastAsia="en-US"/>
              </w:rPr>
              <w:t xml:space="preserve"> Limited numbers still allocated to coal.</w:t>
            </w:r>
            <w:r w:rsidRPr="2864371F">
              <w:rPr>
                <w:rFonts w:ascii="Calibri" w:eastAsia="Calibri" w:hAnsi="Calibri" w:cs="Calibri"/>
                <w:color w:val="000000"/>
                <w:lang w:eastAsia="en-US"/>
              </w:rPr>
              <w:t xml:space="preserve"> Dunedin Energy Centre: Pioneer owns both the boiler house and associated assets. The land on which the boiler house is located is leased from Southern to Pioneer. Southland Hospital Energy Centre: The boiler house and the assets are leased to Pioneer. Both emissions reported under C</w:t>
            </w:r>
            <w:r w:rsidR="761A17F6" w:rsidRPr="2864371F">
              <w:rPr>
                <w:rFonts w:ascii="Calibri" w:eastAsia="Calibri" w:hAnsi="Calibri" w:cs="Calibri"/>
                <w:color w:val="000000"/>
                <w:lang w:eastAsia="en-US"/>
              </w:rPr>
              <w:t xml:space="preserve">at </w:t>
            </w:r>
            <w:r w:rsidRPr="2864371F">
              <w:rPr>
                <w:rFonts w:ascii="Calibri" w:eastAsia="Calibri" w:hAnsi="Calibri" w:cs="Calibri"/>
                <w:color w:val="000000"/>
                <w:lang w:eastAsia="en-US"/>
              </w:rPr>
              <w:t>2 purchased steam as Pioneer has operational control over both energy centres.</w:t>
            </w:r>
            <w:r w:rsidR="0C2F4A72" w:rsidRPr="2864371F">
              <w:rPr>
                <w:rFonts w:ascii="Calibri" w:eastAsia="Calibri" w:hAnsi="Calibri" w:cs="Calibri"/>
                <w:color w:val="000000"/>
                <w:lang w:eastAsia="en-US"/>
              </w:rPr>
              <w:t xml:space="preserve"> This now </w:t>
            </w:r>
            <w:r w:rsidR="0C2F4A72" w:rsidRPr="2864371F">
              <w:rPr>
                <w:rFonts w:ascii="Calibri" w:eastAsia="Calibri" w:hAnsi="Calibri" w:cs="Calibri"/>
                <w:color w:val="000000"/>
                <w:lang w:eastAsia="en-US"/>
              </w:rPr>
              <w:lastRenderedPageBreak/>
              <w:t>falls under steam purchased from biomass.</w:t>
            </w:r>
            <w:r w:rsidRPr="2864371F">
              <w:rPr>
                <w:rFonts w:ascii="Calibri" w:eastAsia="Calibri" w:hAnsi="Calibri" w:cs="Calibri"/>
                <w:color w:val="000000"/>
                <w:lang w:eastAsia="en-US"/>
              </w:rPr>
              <w:t xml:space="preserve"> Dunedin Hospital changed over from coal to biomass in May 2023</w:t>
            </w:r>
          </w:p>
        </w:tc>
        <w:tc>
          <w:tcPr>
            <w:tcW w:w="3180" w:type="dxa"/>
            <w:vMerge w:val="restart"/>
            <w:vAlign w:val="center"/>
            <w:hideMark/>
          </w:tcPr>
          <w:p w14:paraId="006D56C7"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lastRenderedPageBreak/>
              <w:t>High quality - Based on used coal and steam sold. It is assumed the supplier reports are accurate. Based on caloric value testing to calculate consumption in GJ</w:t>
            </w:r>
          </w:p>
        </w:tc>
      </w:tr>
      <w:tr w:rsidR="00995400" w:rsidRPr="00AE4DBA" w14:paraId="519B60FB" w14:textId="77777777" w:rsidTr="2864371F">
        <w:trPr>
          <w:gridAfter w:val="5"/>
          <w:wAfter w:w="15900" w:type="dxa"/>
          <w:trHeight w:val="1355"/>
        </w:trPr>
        <w:tc>
          <w:tcPr>
            <w:tcW w:w="1271" w:type="dxa"/>
            <w:vMerge/>
            <w:vAlign w:val="center"/>
            <w:hideMark/>
          </w:tcPr>
          <w:p w14:paraId="0019009C"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Merge/>
            <w:vAlign w:val="center"/>
            <w:hideMark/>
          </w:tcPr>
          <w:p w14:paraId="5A39029D"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709" w:type="dxa"/>
            <w:vAlign w:val="center"/>
            <w:hideMark/>
          </w:tcPr>
          <w:p w14:paraId="582625BD"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GJ</w:t>
            </w:r>
          </w:p>
        </w:tc>
        <w:tc>
          <w:tcPr>
            <w:tcW w:w="2410" w:type="dxa"/>
            <w:gridSpan w:val="2"/>
            <w:vAlign w:val="center"/>
            <w:hideMark/>
          </w:tcPr>
          <w:p w14:paraId="4A82AFEE"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Custom Biomass CH</w:t>
            </w:r>
            <w:r w:rsidRPr="00AE4DBA">
              <w:rPr>
                <w:rFonts w:ascii="Calibri" w:eastAsia="Calibri" w:hAnsi="Calibri" w:cs="Calibri"/>
                <w:color w:val="000000"/>
                <w:szCs w:val="20"/>
                <w:vertAlign w:val="subscript"/>
                <w:lang w:eastAsia="en-US"/>
              </w:rPr>
              <w:t>4</w:t>
            </w:r>
            <w:r w:rsidRPr="00AE4DBA">
              <w:rPr>
                <w:rFonts w:ascii="Calibri" w:eastAsia="Calibri" w:hAnsi="Calibri" w:cs="Calibri"/>
                <w:color w:val="000000"/>
                <w:szCs w:val="20"/>
                <w:lang w:eastAsia="en-US"/>
              </w:rPr>
              <w:t xml:space="preserve"> - N</w:t>
            </w:r>
            <w:r w:rsidRPr="00AE4DBA">
              <w:rPr>
                <w:rFonts w:ascii="Calibri" w:eastAsia="Calibri" w:hAnsi="Calibri" w:cs="Calibri"/>
                <w:color w:val="000000"/>
                <w:szCs w:val="20"/>
                <w:vertAlign w:val="subscript"/>
                <w:lang w:eastAsia="en-US"/>
              </w:rPr>
              <w:t>2</w:t>
            </w:r>
            <w:r w:rsidRPr="00AE4DBA">
              <w:rPr>
                <w:rFonts w:ascii="Calibri" w:eastAsia="Calibri" w:hAnsi="Calibri" w:cs="Calibri"/>
                <w:color w:val="000000"/>
                <w:szCs w:val="20"/>
                <w:lang w:eastAsia="en-US"/>
              </w:rPr>
              <w:t>O CAT2 - GJ</w:t>
            </w:r>
          </w:p>
        </w:tc>
        <w:tc>
          <w:tcPr>
            <w:tcW w:w="5244" w:type="dxa"/>
            <w:vAlign w:val="center"/>
            <w:hideMark/>
          </w:tcPr>
          <w:p w14:paraId="12A4295C"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Dunstan and Dunedin sites. Dunstan Hospital Energy Centre: The land is leased but Pioneer owns assets. Included as Cat2. In May 2023, the coal boiler of Dunedin Energy Centre was converted from coal to biomass woodchip.</w:t>
            </w:r>
          </w:p>
        </w:tc>
        <w:tc>
          <w:tcPr>
            <w:tcW w:w="3180" w:type="dxa"/>
            <w:vMerge/>
            <w:vAlign w:val="center"/>
            <w:hideMark/>
          </w:tcPr>
          <w:p w14:paraId="3ED3777A"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95400" w:rsidRPr="00AE4DBA" w14:paraId="63360F7D" w14:textId="77777777" w:rsidTr="2864371F">
        <w:trPr>
          <w:gridAfter w:val="5"/>
          <w:wAfter w:w="15900" w:type="dxa"/>
          <w:trHeight w:val="380"/>
        </w:trPr>
        <w:tc>
          <w:tcPr>
            <w:tcW w:w="13948" w:type="dxa"/>
            <w:gridSpan w:val="7"/>
            <w:shd w:val="clear" w:color="auto" w:fill="15284C" w:themeFill="accent5"/>
            <w:vAlign w:val="center"/>
          </w:tcPr>
          <w:p w14:paraId="50E458F8" w14:textId="77777777" w:rsidR="00995400" w:rsidRPr="00AE4DBA" w:rsidRDefault="00995400" w:rsidP="008D3EAC">
            <w:pPr>
              <w:jc w:val="center"/>
              <w:rPr>
                <w:rFonts w:eastAsia="Calibri" w:cs="Arial"/>
                <w:color w:val="FFFFFF"/>
                <w:sz w:val="24"/>
                <w:lang w:eastAsia="en-US"/>
              </w:rPr>
            </w:pPr>
            <w:r w:rsidRPr="00AE4DBA">
              <w:rPr>
                <w:rFonts w:eastAsia="Calibri" w:cs="Arial"/>
                <w:b/>
                <w:color w:val="FFFFFF"/>
                <w:sz w:val="24"/>
                <w:lang w:eastAsia="en-US"/>
              </w:rPr>
              <w:t>Category 3</w:t>
            </w:r>
          </w:p>
        </w:tc>
      </w:tr>
      <w:tr w:rsidR="00995400" w:rsidRPr="00AE4DBA" w14:paraId="6B9AC5CF" w14:textId="77777777" w:rsidTr="2864371F">
        <w:trPr>
          <w:gridAfter w:val="5"/>
          <w:wAfter w:w="15900" w:type="dxa"/>
          <w:trHeight w:val="380"/>
        </w:trPr>
        <w:tc>
          <w:tcPr>
            <w:tcW w:w="1271" w:type="dxa"/>
            <w:shd w:val="clear" w:color="auto" w:fill="15284C" w:themeFill="accent5"/>
            <w:hideMark/>
          </w:tcPr>
          <w:p w14:paraId="2BFD0FBE"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b/>
                <w:bCs/>
                <w:color w:val="FFFFFF"/>
                <w:szCs w:val="22"/>
                <w:lang w:eastAsia="en-US"/>
              </w:rPr>
              <w:t xml:space="preserve">Source </w:t>
            </w:r>
          </w:p>
        </w:tc>
        <w:tc>
          <w:tcPr>
            <w:tcW w:w="1134" w:type="dxa"/>
            <w:shd w:val="clear" w:color="auto" w:fill="15284C" w:themeFill="accent5"/>
            <w:hideMark/>
          </w:tcPr>
          <w:p w14:paraId="2651C3FE"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b/>
                <w:bCs/>
                <w:color w:val="FFFFFF"/>
                <w:szCs w:val="22"/>
                <w:lang w:eastAsia="en-US"/>
              </w:rPr>
              <w:t>Data source</w:t>
            </w:r>
          </w:p>
        </w:tc>
        <w:tc>
          <w:tcPr>
            <w:tcW w:w="851" w:type="dxa"/>
            <w:gridSpan w:val="2"/>
            <w:shd w:val="clear" w:color="auto" w:fill="15284C" w:themeFill="accent5"/>
            <w:hideMark/>
          </w:tcPr>
          <w:p w14:paraId="29D8A431"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b/>
                <w:bCs/>
                <w:color w:val="FFFFFF"/>
                <w:szCs w:val="22"/>
                <w:lang w:eastAsia="en-US"/>
              </w:rPr>
              <w:t>UOM</w:t>
            </w:r>
          </w:p>
        </w:tc>
        <w:tc>
          <w:tcPr>
            <w:tcW w:w="2268" w:type="dxa"/>
            <w:shd w:val="clear" w:color="auto" w:fill="15284C" w:themeFill="accent5"/>
            <w:hideMark/>
          </w:tcPr>
          <w:p w14:paraId="771FB920"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b/>
                <w:bCs/>
                <w:color w:val="FFFFFF"/>
                <w:szCs w:val="22"/>
                <w:lang w:eastAsia="en-US"/>
              </w:rPr>
              <w:t>Emission factor</w:t>
            </w:r>
          </w:p>
        </w:tc>
        <w:tc>
          <w:tcPr>
            <w:tcW w:w="5244" w:type="dxa"/>
            <w:shd w:val="clear" w:color="auto" w:fill="15284C" w:themeFill="accent5"/>
            <w:hideMark/>
          </w:tcPr>
          <w:p w14:paraId="170DEBDA"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b/>
                <w:bCs/>
                <w:color w:val="FFFFFF"/>
                <w:szCs w:val="22"/>
                <w:lang w:eastAsia="en-US"/>
              </w:rPr>
              <w:t>Boundary or dataset comments</w:t>
            </w:r>
          </w:p>
        </w:tc>
        <w:tc>
          <w:tcPr>
            <w:tcW w:w="3180" w:type="dxa"/>
            <w:shd w:val="clear" w:color="auto" w:fill="15284C" w:themeFill="accent5"/>
            <w:hideMark/>
          </w:tcPr>
          <w:p w14:paraId="0C1DBAFA"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b/>
                <w:bCs/>
                <w:color w:val="FFFFFF"/>
                <w:szCs w:val="22"/>
                <w:lang w:eastAsia="en-US"/>
              </w:rPr>
              <w:t>Uncertainty</w:t>
            </w:r>
          </w:p>
        </w:tc>
      </w:tr>
      <w:tr w:rsidR="00995400" w:rsidRPr="00AE4DBA" w14:paraId="44EA1FC8" w14:textId="77777777" w:rsidTr="2864371F">
        <w:trPr>
          <w:gridAfter w:val="5"/>
          <w:wAfter w:w="15900" w:type="dxa"/>
          <w:trHeight w:val="2295"/>
        </w:trPr>
        <w:tc>
          <w:tcPr>
            <w:tcW w:w="1271" w:type="dxa"/>
            <w:vMerge w:val="restart"/>
            <w:vAlign w:val="center"/>
            <w:hideMark/>
          </w:tcPr>
          <w:p w14:paraId="2BA390DC"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Air travel staff (contracted providers)</w:t>
            </w:r>
          </w:p>
        </w:tc>
        <w:tc>
          <w:tcPr>
            <w:tcW w:w="1134" w:type="dxa"/>
            <w:vAlign w:val="center"/>
            <w:hideMark/>
          </w:tcPr>
          <w:p w14:paraId="3CF908BC"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Orbit - House of Travel</w:t>
            </w:r>
          </w:p>
        </w:tc>
        <w:tc>
          <w:tcPr>
            <w:tcW w:w="851" w:type="dxa"/>
            <w:gridSpan w:val="2"/>
            <w:vMerge w:val="restart"/>
            <w:vAlign w:val="center"/>
            <w:hideMark/>
          </w:tcPr>
          <w:p w14:paraId="38D0F2B5"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kgCO</w:t>
            </w:r>
            <w:r w:rsidRPr="00AE4DBA">
              <w:rPr>
                <w:rFonts w:ascii="Calibri" w:eastAsia="Calibri" w:hAnsi="Calibri" w:cs="Calibri"/>
                <w:color w:val="000000"/>
                <w:szCs w:val="20"/>
                <w:vertAlign w:val="subscript"/>
                <w:lang w:eastAsia="en-US"/>
              </w:rPr>
              <w:t>2</w:t>
            </w:r>
            <w:r w:rsidRPr="00AE4DBA">
              <w:rPr>
                <w:rFonts w:ascii="Calibri" w:eastAsia="Calibri" w:hAnsi="Calibri" w:cs="Calibri"/>
                <w:color w:val="000000"/>
                <w:szCs w:val="20"/>
                <w:lang w:eastAsia="en-US"/>
              </w:rPr>
              <w:t>e</w:t>
            </w:r>
          </w:p>
        </w:tc>
        <w:tc>
          <w:tcPr>
            <w:tcW w:w="2268" w:type="dxa"/>
            <w:vMerge w:val="restart"/>
            <w:vAlign w:val="center"/>
            <w:hideMark/>
          </w:tcPr>
          <w:p w14:paraId="42FBDE7F"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Direct KgCO</w:t>
            </w:r>
            <w:r w:rsidRPr="00AE4DBA">
              <w:rPr>
                <w:rFonts w:ascii="Calibri" w:eastAsia="Calibri" w:hAnsi="Calibri" w:cs="Calibri"/>
                <w:color w:val="000000"/>
                <w:szCs w:val="20"/>
                <w:vertAlign w:val="subscript"/>
                <w:lang w:eastAsia="en-US"/>
              </w:rPr>
              <w:t>2</w:t>
            </w:r>
            <w:r w:rsidRPr="00AE4DBA">
              <w:rPr>
                <w:rFonts w:ascii="Calibri" w:eastAsia="Calibri" w:hAnsi="Calibri" w:cs="Calibri"/>
                <w:color w:val="000000"/>
                <w:szCs w:val="20"/>
                <w:lang w:eastAsia="en-US"/>
              </w:rPr>
              <w:t>e</w:t>
            </w:r>
          </w:p>
        </w:tc>
        <w:tc>
          <w:tcPr>
            <w:tcW w:w="5244" w:type="dxa"/>
            <w:vAlign w:val="center"/>
            <w:hideMark/>
          </w:tcPr>
          <w:p w14:paraId="539398AF" w14:textId="1BAE673A" w:rsidR="00995400" w:rsidRPr="00AE4DBA" w:rsidRDefault="355152F5"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Direct kgCO2e used as most accurate source of emissions directly attributable to flight emissions associated with flights paid for by Health NZ. </w:t>
            </w:r>
            <w:r w:rsidR="3429DC97" w:rsidRPr="2864371F">
              <w:rPr>
                <w:rFonts w:ascii="Calibri" w:eastAsia="Calibri" w:hAnsi="Calibri" w:cs="Calibri"/>
                <w:color w:val="000000"/>
                <w:lang w:eastAsia="en-US"/>
              </w:rPr>
              <w:t>Difficult to attribute flights by class and type, so will need to be updated and improved for FY2023/24.</w:t>
            </w:r>
          </w:p>
        </w:tc>
        <w:tc>
          <w:tcPr>
            <w:tcW w:w="3180" w:type="dxa"/>
            <w:vMerge w:val="restart"/>
            <w:vAlign w:val="center"/>
            <w:hideMark/>
          </w:tcPr>
          <w:p w14:paraId="605556A7"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supplier reports are complete and accurate.</w:t>
            </w:r>
          </w:p>
        </w:tc>
      </w:tr>
      <w:tr w:rsidR="00995400" w:rsidRPr="00AE4DBA" w14:paraId="4F9947C3" w14:textId="77777777" w:rsidTr="2864371F">
        <w:trPr>
          <w:gridAfter w:val="5"/>
          <w:wAfter w:w="15900" w:type="dxa"/>
          <w:trHeight w:val="300"/>
        </w:trPr>
        <w:tc>
          <w:tcPr>
            <w:tcW w:w="1271" w:type="dxa"/>
            <w:vMerge/>
            <w:vAlign w:val="center"/>
            <w:hideMark/>
          </w:tcPr>
          <w:p w14:paraId="64D210B3"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69D78315" w14:textId="6731C76E"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proofErr w:type="spellStart"/>
            <w:r w:rsidRPr="2864371F">
              <w:rPr>
                <w:rFonts w:ascii="Calibri" w:eastAsia="Calibri" w:hAnsi="Calibri" w:cs="Calibri"/>
                <w:color w:val="000000"/>
                <w:lang w:eastAsia="en-US"/>
              </w:rPr>
              <w:t>FcM</w:t>
            </w:r>
            <w:proofErr w:type="spellEnd"/>
          </w:p>
        </w:tc>
        <w:tc>
          <w:tcPr>
            <w:tcW w:w="851" w:type="dxa"/>
            <w:gridSpan w:val="2"/>
            <w:vMerge/>
            <w:vAlign w:val="center"/>
            <w:hideMark/>
          </w:tcPr>
          <w:p w14:paraId="0BCCB797"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Merge/>
            <w:vAlign w:val="center"/>
            <w:hideMark/>
          </w:tcPr>
          <w:p w14:paraId="47ABD21A"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hideMark/>
          </w:tcPr>
          <w:p w14:paraId="25A81CC5" w14:textId="6E89541F" w:rsidR="00995400" w:rsidRPr="00AE4DBA" w:rsidRDefault="685FB097"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Separate files and uploads for patient and staff flights.</w:t>
            </w:r>
            <w:r w:rsidR="63C0166D" w:rsidRPr="2864371F">
              <w:rPr>
                <w:rFonts w:ascii="Calibri" w:eastAsia="Calibri" w:hAnsi="Calibri" w:cs="Calibri"/>
                <w:color w:val="000000"/>
                <w:lang w:eastAsia="en-US"/>
              </w:rPr>
              <w:t xml:space="preserve"> Emissions calculated from </w:t>
            </w:r>
            <w:proofErr w:type="spellStart"/>
            <w:r w:rsidR="63C0166D" w:rsidRPr="2864371F">
              <w:rPr>
                <w:rFonts w:ascii="Calibri" w:eastAsia="Calibri" w:hAnsi="Calibri" w:cs="Calibri"/>
                <w:color w:val="000000"/>
                <w:lang w:eastAsia="en-US"/>
              </w:rPr>
              <w:t>pkms</w:t>
            </w:r>
            <w:proofErr w:type="spellEnd"/>
            <w:r w:rsidR="63C0166D" w:rsidRPr="2864371F">
              <w:rPr>
                <w:rFonts w:ascii="Calibri" w:eastAsia="Calibri" w:hAnsi="Calibri" w:cs="Calibri"/>
                <w:color w:val="000000"/>
                <w:lang w:eastAsia="en-US"/>
              </w:rPr>
              <w:t xml:space="preserve"> travelled by class and flight type.</w:t>
            </w:r>
          </w:p>
        </w:tc>
        <w:tc>
          <w:tcPr>
            <w:tcW w:w="3180" w:type="dxa"/>
            <w:vMerge/>
            <w:vAlign w:val="center"/>
            <w:hideMark/>
          </w:tcPr>
          <w:p w14:paraId="3D646591"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95400" w:rsidRPr="00AE4DBA" w14:paraId="6184AD23" w14:textId="77777777" w:rsidTr="2864371F">
        <w:trPr>
          <w:gridAfter w:val="5"/>
          <w:wAfter w:w="15900" w:type="dxa"/>
          <w:trHeight w:val="1785"/>
        </w:trPr>
        <w:tc>
          <w:tcPr>
            <w:tcW w:w="1271" w:type="dxa"/>
            <w:vMerge/>
            <w:vAlign w:val="center"/>
            <w:hideMark/>
          </w:tcPr>
          <w:p w14:paraId="4662E6BF"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5B3AFE3C"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Tandem</w:t>
            </w:r>
          </w:p>
        </w:tc>
        <w:tc>
          <w:tcPr>
            <w:tcW w:w="851" w:type="dxa"/>
            <w:gridSpan w:val="2"/>
            <w:vMerge w:val="restart"/>
            <w:vAlign w:val="center"/>
            <w:hideMark/>
          </w:tcPr>
          <w:p w14:paraId="01381D44"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roofErr w:type="spellStart"/>
            <w:r w:rsidRPr="00AE4DBA">
              <w:rPr>
                <w:rFonts w:ascii="Calibri" w:eastAsia="Calibri" w:hAnsi="Calibri" w:cs="Calibri"/>
                <w:color w:val="000000"/>
                <w:szCs w:val="20"/>
                <w:lang w:eastAsia="en-US"/>
              </w:rPr>
              <w:t>pkm</w:t>
            </w:r>
            <w:proofErr w:type="spellEnd"/>
          </w:p>
        </w:tc>
        <w:tc>
          <w:tcPr>
            <w:tcW w:w="2268" w:type="dxa"/>
            <w:vMerge w:val="restart"/>
            <w:vAlign w:val="center"/>
            <w:hideMark/>
          </w:tcPr>
          <w:p w14:paraId="60C76888"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Domestic - National average - With Radiative Forcing;</w:t>
            </w:r>
            <w:r w:rsidRPr="00AE4DBA">
              <w:rPr>
                <w:rFonts w:ascii="Calibri" w:eastAsia="Calibri" w:hAnsi="Calibri" w:cs="Calibri"/>
                <w:color w:val="000000"/>
                <w:szCs w:val="20"/>
                <w:lang w:eastAsia="en-US"/>
              </w:rPr>
              <w:br/>
              <w:t>Short-haul (&lt;3700km) -</w:t>
            </w:r>
            <w:r w:rsidRPr="00AE4DBA">
              <w:rPr>
                <w:rFonts w:ascii="Calibri" w:eastAsia="Calibri" w:hAnsi="Calibri" w:cs="Calibri"/>
                <w:b/>
                <w:bCs/>
                <w:color w:val="000000"/>
                <w:szCs w:val="20"/>
                <w:lang w:eastAsia="en-US"/>
              </w:rPr>
              <w:t xml:space="preserve"> </w:t>
            </w:r>
            <w:r w:rsidRPr="00AE4DBA">
              <w:rPr>
                <w:rFonts w:ascii="Calibri" w:eastAsia="Calibri" w:hAnsi="Calibri" w:cs="Calibri"/>
                <w:color w:val="000000"/>
                <w:szCs w:val="20"/>
                <w:lang w:eastAsia="en-US"/>
              </w:rPr>
              <w:t xml:space="preserve">Economy, Business class </w:t>
            </w:r>
            <w:r w:rsidRPr="00AE4DBA">
              <w:rPr>
                <w:rFonts w:ascii="Calibri" w:eastAsia="Calibri" w:hAnsi="Calibri" w:cs="Calibri"/>
                <w:color w:val="000000"/>
                <w:szCs w:val="20"/>
                <w:lang w:eastAsia="en-US"/>
              </w:rPr>
              <w:lastRenderedPageBreak/>
              <w:t>- passenger - With Radiative Forcing;</w:t>
            </w:r>
            <w:r w:rsidRPr="00AE4DBA">
              <w:rPr>
                <w:rFonts w:ascii="Calibri" w:eastAsia="Calibri" w:hAnsi="Calibri" w:cs="Calibri"/>
                <w:color w:val="000000"/>
                <w:szCs w:val="20"/>
                <w:lang w:eastAsia="en-US"/>
              </w:rPr>
              <w:br/>
              <w:t>Long-haul (&gt;3700km) - Economy, Premium, Business class passenger - With Radiative Forcing</w:t>
            </w:r>
          </w:p>
        </w:tc>
        <w:tc>
          <w:tcPr>
            <w:tcW w:w="5244" w:type="dxa"/>
            <w:vAlign w:val="center"/>
          </w:tcPr>
          <w:p w14:paraId="5D021767" w14:textId="3E889F21" w:rsidR="00995400" w:rsidRPr="00AE4DBA" w:rsidRDefault="23769CC3"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lastRenderedPageBreak/>
              <w:t>Limited to staff travel as no patient travel under this provider.</w:t>
            </w:r>
          </w:p>
        </w:tc>
        <w:tc>
          <w:tcPr>
            <w:tcW w:w="3180" w:type="dxa"/>
            <w:vMerge/>
            <w:vAlign w:val="center"/>
            <w:hideMark/>
          </w:tcPr>
          <w:p w14:paraId="3448A23C"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95400" w:rsidRPr="00AE4DBA" w14:paraId="21778565" w14:textId="77777777" w:rsidTr="2864371F">
        <w:trPr>
          <w:gridAfter w:val="5"/>
          <w:wAfter w:w="15900" w:type="dxa"/>
          <w:trHeight w:val="1785"/>
        </w:trPr>
        <w:tc>
          <w:tcPr>
            <w:tcW w:w="1271" w:type="dxa"/>
            <w:vMerge/>
            <w:vAlign w:val="center"/>
            <w:hideMark/>
          </w:tcPr>
          <w:p w14:paraId="39F313A6"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3D458B6A"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You Travel - local provider.</w:t>
            </w:r>
          </w:p>
        </w:tc>
        <w:tc>
          <w:tcPr>
            <w:tcW w:w="851" w:type="dxa"/>
            <w:gridSpan w:val="2"/>
            <w:vMerge/>
            <w:vAlign w:val="center"/>
            <w:hideMark/>
          </w:tcPr>
          <w:p w14:paraId="30023F9E"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Merge/>
            <w:vAlign w:val="center"/>
            <w:hideMark/>
          </w:tcPr>
          <w:p w14:paraId="614F6FA1"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hideMark/>
          </w:tcPr>
          <w:p w14:paraId="3F7A6E85"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Short-haul premium economy flights linked to short-haul - Business class EF</w:t>
            </w:r>
          </w:p>
        </w:tc>
        <w:tc>
          <w:tcPr>
            <w:tcW w:w="3180" w:type="dxa"/>
            <w:vMerge/>
            <w:vAlign w:val="center"/>
            <w:hideMark/>
          </w:tcPr>
          <w:p w14:paraId="56EEC7E5"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95400" w:rsidRPr="00AE4DBA" w14:paraId="5652BC52" w14:textId="77777777" w:rsidTr="2864371F">
        <w:trPr>
          <w:gridAfter w:val="5"/>
          <w:wAfter w:w="15900" w:type="dxa"/>
          <w:trHeight w:val="1275"/>
        </w:trPr>
        <w:tc>
          <w:tcPr>
            <w:tcW w:w="1271" w:type="dxa"/>
            <w:vMerge/>
            <w:vAlign w:val="center"/>
            <w:hideMark/>
          </w:tcPr>
          <w:p w14:paraId="01452812"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551EECBD"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Air NZ - direct</w:t>
            </w:r>
          </w:p>
        </w:tc>
        <w:tc>
          <w:tcPr>
            <w:tcW w:w="851" w:type="dxa"/>
            <w:gridSpan w:val="2"/>
            <w:vAlign w:val="center"/>
            <w:hideMark/>
          </w:tcPr>
          <w:p w14:paraId="1E6D0354"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tCO</w:t>
            </w:r>
            <w:r w:rsidRPr="00AE4DBA">
              <w:rPr>
                <w:rFonts w:ascii="Calibri" w:eastAsia="Calibri" w:hAnsi="Calibri" w:cs="Calibri"/>
                <w:color w:val="000000"/>
                <w:szCs w:val="20"/>
                <w:vertAlign w:val="subscript"/>
                <w:lang w:eastAsia="en-US"/>
              </w:rPr>
              <w:t>2</w:t>
            </w:r>
            <w:r w:rsidRPr="00AE4DBA">
              <w:rPr>
                <w:rFonts w:ascii="Calibri" w:eastAsia="Calibri" w:hAnsi="Calibri" w:cs="Calibri"/>
                <w:color w:val="000000"/>
                <w:szCs w:val="20"/>
                <w:lang w:eastAsia="en-US"/>
              </w:rPr>
              <w:t>e</w:t>
            </w:r>
          </w:p>
        </w:tc>
        <w:tc>
          <w:tcPr>
            <w:tcW w:w="2268" w:type="dxa"/>
            <w:vAlign w:val="center"/>
            <w:hideMark/>
          </w:tcPr>
          <w:p w14:paraId="57256556" w14:textId="5943047B"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roofErr w:type="spellStart"/>
            <w:r w:rsidRPr="00AE4DBA">
              <w:rPr>
                <w:rFonts w:ascii="Calibri" w:eastAsia="Calibri" w:hAnsi="Calibri" w:cs="Calibri"/>
                <w:color w:val="000000"/>
                <w:szCs w:val="20"/>
                <w:lang w:eastAsia="en-US"/>
              </w:rPr>
              <w:t>AirNZ's</w:t>
            </w:r>
            <w:proofErr w:type="spellEnd"/>
            <w:r w:rsidRPr="00AE4DBA">
              <w:rPr>
                <w:rFonts w:ascii="Calibri" w:eastAsia="Calibri" w:hAnsi="Calibri" w:cs="Calibri"/>
                <w:color w:val="000000"/>
                <w:szCs w:val="20"/>
                <w:lang w:eastAsia="en-US"/>
              </w:rPr>
              <w:t xml:space="preserve"> default tCO</w:t>
            </w:r>
            <w:r w:rsidRPr="00AE4DBA">
              <w:rPr>
                <w:rFonts w:ascii="Calibri" w:eastAsia="Calibri" w:hAnsi="Calibri" w:cs="Calibri"/>
                <w:color w:val="000000"/>
                <w:szCs w:val="20"/>
                <w:vertAlign w:val="subscript"/>
                <w:lang w:eastAsia="en-US"/>
              </w:rPr>
              <w:t>2</w:t>
            </w:r>
            <w:r w:rsidRPr="00AE4DBA">
              <w:rPr>
                <w:rFonts w:ascii="Calibri" w:eastAsia="Calibri" w:hAnsi="Calibri" w:cs="Calibri"/>
                <w:color w:val="000000"/>
                <w:szCs w:val="20"/>
                <w:lang w:eastAsia="en-US"/>
              </w:rPr>
              <w:t>e.</w:t>
            </w:r>
          </w:p>
        </w:tc>
        <w:tc>
          <w:tcPr>
            <w:tcW w:w="5244" w:type="dxa"/>
            <w:vAlign w:val="center"/>
            <w:hideMark/>
          </w:tcPr>
          <w:p w14:paraId="50AD7A72" w14:textId="561B0ECD" w:rsidR="00995400" w:rsidRPr="00AE4DBA" w:rsidRDefault="00C81423"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 xml:space="preserve">Accuracy has improved as data now generated in monthly reports directly from </w:t>
            </w:r>
            <w:proofErr w:type="spellStart"/>
            <w:r w:rsidRPr="00AE4DBA">
              <w:rPr>
                <w:rFonts w:ascii="Calibri" w:eastAsia="Calibri" w:hAnsi="Calibri" w:cs="Calibri"/>
                <w:color w:val="000000"/>
                <w:szCs w:val="20"/>
                <w:lang w:eastAsia="en-US"/>
              </w:rPr>
              <w:t>AirNZ</w:t>
            </w:r>
            <w:proofErr w:type="spellEnd"/>
            <w:r w:rsidRPr="00AE4DBA">
              <w:rPr>
                <w:rFonts w:ascii="Calibri" w:eastAsia="Calibri" w:hAnsi="Calibri" w:cs="Calibri"/>
                <w:color w:val="000000"/>
                <w:szCs w:val="20"/>
                <w:lang w:eastAsia="en-US"/>
              </w:rPr>
              <w:t xml:space="preserve"> carbon tool</w:t>
            </w:r>
            <w:r w:rsidR="009B5BD9" w:rsidRPr="00AE4DBA">
              <w:rPr>
                <w:rFonts w:ascii="Calibri" w:eastAsia="Calibri" w:hAnsi="Calibri" w:cs="Calibri"/>
                <w:color w:val="000000"/>
                <w:szCs w:val="20"/>
                <w:lang w:eastAsia="en-US"/>
              </w:rPr>
              <w:t>.</w:t>
            </w:r>
          </w:p>
        </w:tc>
        <w:tc>
          <w:tcPr>
            <w:tcW w:w="3180" w:type="dxa"/>
            <w:vMerge/>
            <w:vAlign w:val="center"/>
            <w:hideMark/>
          </w:tcPr>
          <w:p w14:paraId="2A3F37F7"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95400" w:rsidRPr="00AE4DBA" w14:paraId="207B5760" w14:textId="77777777" w:rsidTr="2864371F">
        <w:trPr>
          <w:gridAfter w:val="5"/>
          <w:wAfter w:w="15900" w:type="dxa"/>
          <w:trHeight w:val="510"/>
        </w:trPr>
        <w:tc>
          <w:tcPr>
            <w:tcW w:w="1271" w:type="dxa"/>
            <w:vMerge/>
            <w:vAlign w:val="center"/>
            <w:hideMark/>
          </w:tcPr>
          <w:p w14:paraId="3F0F7B78"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500070BA"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roofErr w:type="spellStart"/>
            <w:r w:rsidRPr="00AE4DBA">
              <w:rPr>
                <w:rFonts w:ascii="Calibri" w:eastAsia="Calibri" w:hAnsi="Calibri" w:cs="Calibri"/>
                <w:color w:val="000000"/>
                <w:szCs w:val="20"/>
                <w:lang w:eastAsia="en-US"/>
              </w:rPr>
              <w:t>Sunair</w:t>
            </w:r>
            <w:proofErr w:type="spellEnd"/>
          </w:p>
        </w:tc>
        <w:tc>
          <w:tcPr>
            <w:tcW w:w="851" w:type="dxa"/>
            <w:gridSpan w:val="2"/>
            <w:vMerge w:val="restart"/>
            <w:vAlign w:val="center"/>
            <w:hideMark/>
          </w:tcPr>
          <w:p w14:paraId="3BF16A02"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L</w:t>
            </w:r>
          </w:p>
        </w:tc>
        <w:tc>
          <w:tcPr>
            <w:tcW w:w="2268" w:type="dxa"/>
            <w:vMerge w:val="restart"/>
            <w:vAlign w:val="center"/>
            <w:hideMark/>
          </w:tcPr>
          <w:p w14:paraId="377CB1C8"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Aviation fuel (kerosene) / Jet A1 - litre</w:t>
            </w:r>
          </w:p>
        </w:tc>
        <w:tc>
          <w:tcPr>
            <w:tcW w:w="5244" w:type="dxa"/>
            <w:vAlign w:val="center"/>
            <w:hideMark/>
          </w:tcPr>
          <w:p w14:paraId="45BD2471" w14:textId="38EF228E"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Doctor flights Te Tai </w:t>
            </w:r>
            <w:proofErr w:type="spellStart"/>
            <w:r w:rsidRPr="2864371F">
              <w:rPr>
                <w:rFonts w:ascii="Calibri" w:eastAsia="Calibri" w:hAnsi="Calibri" w:cs="Calibri"/>
                <w:color w:val="000000"/>
                <w:lang w:eastAsia="en-US"/>
              </w:rPr>
              <w:t>Tokerau</w:t>
            </w:r>
            <w:proofErr w:type="spellEnd"/>
            <w:r w:rsidRPr="2864371F">
              <w:rPr>
                <w:rFonts w:ascii="Calibri" w:eastAsia="Calibri" w:hAnsi="Calibri" w:cs="Calibri"/>
                <w:color w:val="000000"/>
                <w:lang w:eastAsia="en-US"/>
              </w:rPr>
              <w:t xml:space="preserve"> </w:t>
            </w:r>
          </w:p>
        </w:tc>
        <w:tc>
          <w:tcPr>
            <w:tcW w:w="3180" w:type="dxa"/>
            <w:vMerge w:val="restart"/>
            <w:vAlign w:val="center"/>
            <w:hideMark/>
          </w:tcPr>
          <w:p w14:paraId="042BD447"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based on trips, flight hours and plane fuel consumption</w:t>
            </w:r>
          </w:p>
        </w:tc>
      </w:tr>
      <w:tr w:rsidR="00995400" w:rsidRPr="00AE4DBA" w14:paraId="058F94CF" w14:textId="77777777" w:rsidTr="2864371F">
        <w:trPr>
          <w:gridAfter w:val="5"/>
          <w:wAfter w:w="15900" w:type="dxa"/>
          <w:trHeight w:val="300"/>
        </w:trPr>
        <w:tc>
          <w:tcPr>
            <w:tcW w:w="1271" w:type="dxa"/>
            <w:vMerge/>
            <w:vAlign w:val="center"/>
            <w:hideMark/>
          </w:tcPr>
          <w:p w14:paraId="36D3BE77"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743EA4BB"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Air Napier</w:t>
            </w:r>
          </w:p>
        </w:tc>
        <w:tc>
          <w:tcPr>
            <w:tcW w:w="851" w:type="dxa"/>
            <w:gridSpan w:val="2"/>
            <w:vMerge/>
            <w:vAlign w:val="center"/>
            <w:hideMark/>
          </w:tcPr>
          <w:p w14:paraId="2242A168"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Merge/>
            <w:vAlign w:val="center"/>
            <w:hideMark/>
          </w:tcPr>
          <w:p w14:paraId="7136D5D7"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hideMark/>
          </w:tcPr>
          <w:p w14:paraId="5FB688BF" w14:textId="697065FE"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Doctor flights Hawkes Bay </w:t>
            </w:r>
          </w:p>
        </w:tc>
        <w:tc>
          <w:tcPr>
            <w:tcW w:w="3180" w:type="dxa"/>
            <w:vMerge/>
            <w:vAlign w:val="center"/>
            <w:hideMark/>
          </w:tcPr>
          <w:p w14:paraId="78A8FA19"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95400" w:rsidRPr="00AE4DBA" w14:paraId="3D588DD4" w14:textId="77777777" w:rsidTr="2864371F">
        <w:trPr>
          <w:gridAfter w:val="5"/>
          <w:wAfter w:w="15900" w:type="dxa"/>
          <w:trHeight w:val="315"/>
        </w:trPr>
        <w:tc>
          <w:tcPr>
            <w:tcW w:w="1271" w:type="dxa"/>
            <w:vMerge/>
            <w:vAlign w:val="center"/>
            <w:hideMark/>
          </w:tcPr>
          <w:p w14:paraId="704C8943"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433AB4CB"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Mainland air</w:t>
            </w:r>
          </w:p>
        </w:tc>
        <w:tc>
          <w:tcPr>
            <w:tcW w:w="851" w:type="dxa"/>
            <w:gridSpan w:val="2"/>
            <w:vMerge/>
            <w:vAlign w:val="center"/>
            <w:hideMark/>
          </w:tcPr>
          <w:p w14:paraId="3E36A77D"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Merge/>
            <w:vAlign w:val="center"/>
            <w:hideMark/>
          </w:tcPr>
          <w:p w14:paraId="51C434C9"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hideMark/>
          </w:tcPr>
          <w:p w14:paraId="6F29DCB5" w14:textId="1889EE04"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Doctor flights Southern.</w:t>
            </w:r>
          </w:p>
        </w:tc>
        <w:tc>
          <w:tcPr>
            <w:tcW w:w="3180" w:type="dxa"/>
            <w:vMerge/>
            <w:vAlign w:val="center"/>
            <w:hideMark/>
          </w:tcPr>
          <w:p w14:paraId="3404F5DA"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8D3EAC" w:rsidRPr="00AE4DBA" w14:paraId="18F8C595" w14:textId="77777777" w:rsidTr="2864371F">
        <w:trPr>
          <w:gridAfter w:val="5"/>
          <w:wAfter w:w="15900" w:type="dxa"/>
          <w:trHeight w:val="841"/>
        </w:trPr>
        <w:tc>
          <w:tcPr>
            <w:tcW w:w="1271" w:type="dxa"/>
            <w:vAlign w:val="center"/>
            <w:hideMark/>
          </w:tcPr>
          <w:p w14:paraId="0945CB7F"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 xml:space="preserve">Air travel staff reimbursed claims. </w:t>
            </w:r>
          </w:p>
        </w:tc>
        <w:tc>
          <w:tcPr>
            <w:tcW w:w="1134" w:type="dxa"/>
            <w:vAlign w:val="center"/>
            <w:hideMark/>
          </w:tcPr>
          <w:p w14:paraId="559C7391"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Through District reimbursement claims, finance and payroll extracts</w:t>
            </w:r>
          </w:p>
        </w:tc>
        <w:tc>
          <w:tcPr>
            <w:tcW w:w="851" w:type="dxa"/>
            <w:gridSpan w:val="2"/>
            <w:vAlign w:val="center"/>
            <w:hideMark/>
          </w:tcPr>
          <w:p w14:paraId="6E0A76DC"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 xml:space="preserve">$ (translated to </w:t>
            </w:r>
            <w:proofErr w:type="spellStart"/>
            <w:r w:rsidRPr="00AE4DBA">
              <w:rPr>
                <w:rFonts w:ascii="Calibri" w:eastAsia="Calibri" w:hAnsi="Calibri" w:cs="Calibri"/>
                <w:color w:val="000000"/>
                <w:szCs w:val="20"/>
                <w:lang w:eastAsia="en-US"/>
              </w:rPr>
              <w:t>pkm</w:t>
            </w:r>
            <w:proofErr w:type="spellEnd"/>
            <w:r w:rsidRPr="00AE4DBA">
              <w:rPr>
                <w:rFonts w:ascii="Calibri" w:eastAsia="Calibri" w:hAnsi="Calibri" w:cs="Calibri"/>
                <w:color w:val="000000"/>
                <w:szCs w:val="20"/>
                <w:lang w:eastAsia="en-US"/>
              </w:rPr>
              <w:t xml:space="preserve"> estimate)</w:t>
            </w:r>
          </w:p>
        </w:tc>
        <w:tc>
          <w:tcPr>
            <w:tcW w:w="2268" w:type="dxa"/>
            <w:vAlign w:val="center"/>
            <w:hideMark/>
          </w:tcPr>
          <w:p w14:paraId="227ED96C"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Domestic - National average - With Radiative Forcing;</w:t>
            </w:r>
            <w:r w:rsidRPr="00AE4DBA">
              <w:rPr>
                <w:rFonts w:ascii="Calibri" w:eastAsia="Calibri" w:hAnsi="Calibri" w:cs="Calibri"/>
                <w:color w:val="000000"/>
                <w:szCs w:val="20"/>
                <w:lang w:eastAsia="en-US"/>
              </w:rPr>
              <w:br/>
              <w:t>Short-haul (&lt;3700km) - Economy, Premium (Average), Business class - passenger - With Radiative Forcing;</w:t>
            </w:r>
            <w:r w:rsidRPr="00AE4DBA">
              <w:rPr>
                <w:rFonts w:ascii="Calibri" w:eastAsia="Calibri" w:hAnsi="Calibri" w:cs="Calibri"/>
                <w:color w:val="000000"/>
                <w:szCs w:val="20"/>
                <w:lang w:eastAsia="en-US"/>
              </w:rPr>
              <w:br/>
              <w:t xml:space="preserve">Long-haul (&gt;3700km) - Economy, Premium, </w:t>
            </w:r>
            <w:r w:rsidRPr="00AE4DBA">
              <w:rPr>
                <w:rFonts w:ascii="Calibri" w:eastAsia="Calibri" w:hAnsi="Calibri" w:cs="Calibri"/>
                <w:color w:val="000000"/>
                <w:szCs w:val="20"/>
                <w:lang w:eastAsia="en-US"/>
              </w:rPr>
              <w:lastRenderedPageBreak/>
              <w:t>Business class passenger - With Radiative Forcing</w:t>
            </w:r>
          </w:p>
        </w:tc>
        <w:tc>
          <w:tcPr>
            <w:tcW w:w="5244" w:type="dxa"/>
            <w:vAlign w:val="center"/>
            <w:hideMark/>
          </w:tcPr>
          <w:p w14:paraId="7767D5AE" w14:textId="77777777" w:rsidR="00995400" w:rsidRPr="00AE4DBA" w:rsidRDefault="00995400"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highlight w:val="magenta"/>
                <w:lang w:eastAsia="en-US"/>
              </w:rPr>
            </w:pPr>
            <w:r w:rsidRPr="00AE4DBA">
              <w:rPr>
                <w:rFonts w:ascii="Calibri" w:eastAsia="Calibri" w:hAnsi="Calibri" w:cs="Calibri"/>
                <w:color w:val="000000"/>
                <w:szCs w:val="20"/>
                <w:lang w:eastAsia="en-US"/>
              </w:rPr>
              <w:lastRenderedPageBreak/>
              <w:t>No actual flight data is available for most Districts. Emissions are based on expenditure data and translated into estimates for PKM per flight type.</w:t>
            </w:r>
          </w:p>
        </w:tc>
        <w:tc>
          <w:tcPr>
            <w:tcW w:w="3180" w:type="dxa"/>
            <w:vAlign w:val="center"/>
            <w:hideMark/>
          </w:tcPr>
          <w:p w14:paraId="657D5F0F" w14:textId="77777777" w:rsidR="00995400" w:rsidRPr="00AE4DBA" w:rsidRDefault="671BBCE1"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Low quality - The flight expenditure within staff reimbursement claims is often not extractable in the various finance systems, and flight data is mostly not collected. For several Districts, assumptions must be made to estimate % flight expenditure within total staff reimbursed expenditure. Estimated breakdown PKM for different air travel sources is based on the % </w:t>
            </w:r>
            <w:r w:rsidRPr="2864371F">
              <w:rPr>
                <w:rFonts w:ascii="Calibri" w:eastAsia="Calibri" w:hAnsi="Calibri" w:cs="Calibri"/>
                <w:color w:val="000000"/>
                <w:lang w:eastAsia="en-US"/>
              </w:rPr>
              <w:lastRenderedPageBreak/>
              <w:t>breakdown of a small set of actual flight data available.  A large set of assumptions must be made based on a small dataset of available flight data to estimate emissions.</w:t>
            </w:r>
          </w:p>
        </w:tc>
      </w:tr>
      <w:tr w:rsidR="009B5BD9" w:rsidRPr="00AE4DBA" w14:paraId="66855DF1" w14:textId="77777777" w:rsidTr="2864371F">
        <w:trPr>
          <w:gridAfter w:val="5"/>
          <w:wAfter w:w="15900" w:type="dxa"/>
          <w:trHeight w:val="538"/>
        </w:trPr>
        <w:tc>
          <w:tcPr>
            <w:tcW w:w="1271" w:type="dxa"/>
            <w:vAlign w:val="center"/>
            <w:hideMark/>
          </w:tcPr>
          <w:p w14:paraId="4CFF1301" w14:textId="3D0C548B"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lastRenderedPageBreak/>
              <w:t xml:space="preserve">Rental cars </w:t>
            </w:r>
            <w:proofErr w:type="spellStart"/>
            <w:r w:rsidRPr="00AE4DBA">
              <w:rPr>
                <w:rFonts w:ascii="Calibri" w:eastAsia="Calibri" w:hAnsi="Calibri" w:cs="Calibri"/>
                <w:color w:val="000000"/>
                <w:szCs w:val="20"/>
                <w:lang w:eastAsia="en-US"/>
              </w:rPr>
              <w:t>AoG</w:t>
            </w:r>
            <w:proofErr w:type="spellEnd"/>
          </w:p>
        </w:tc>
        <w:tc>
          <w:tcPr>
            <w:tcW w:w="1134" w:type="dxa"/>
            <w:vAlign w:val="center"/>
            <w:hideMark/>
          </w:tcPr>
          <w:p w14:paraId="7088DBA9" w14:textId="276C467D"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roofErr w:type="spellStart"/>
            <w:r w:rsidRPr="00AE4DBA">
              <w:rPr>
                <w:rFonts w:ascii="Calibri" w:eastAsia="Calibri" w:hAnsi="Calibri" w:cs="Calibri"/>
                <w:color w:val="000000"/>
                <w:szCs w:val="20"/>
                <w:lang w:eastAsia="en-US"/>
              </w:rPr>
              <w:t>FcM</w:t>
            </w:r>
            <w:proofErr w:type="spellEnd"/>
          </w:p>
        </w:tc>
        <w:tc>
          <w:tcPr>
            <w:tcW w:w="851" w:type="dxa"/>
            <w:gridSpan w:val="2"/>
            <w:vAlign w:val="center"/>
            <w:hideMark/>
          </w:tcPr>
          <w:p w14:paraId="4D5FDB7A" w14:textId="428F893C"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km</w:t>
            </w:r>
          </w:p>
        </w:tc>
        <w:tc>
          <w:tcPr>
            <w:tcW w:w="2268" w:type="dxa"/>
            <w:vAlign w:val="center"/>
            <w:hideMark/>
          </w:tcPr>
          <w:p w14:paraId="20437CFF"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Passenger Vehicle - Petrol Vehicle - Rental - Km</w:t>
            </w:r>
          </w:p>
          <w:p w14:paraId="581EF729"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Passenger Vehicle - Diesel Vehicle - Rental - Km</w:t>
            </w:r>
          </w:p>
          <w:p w14:paraId="7173C58A" w14:textId="36FCC666"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Passenger Vehicle - Electric Vehicle - Rental - Km</w:t>
            </w:r>
          </w:p>
        </w:tc>
        <w:tc>
          <w:tcPr>
            <w:tcW w:w="5244" w:type="dxa"/>
            <w:vAlign w:val="center"/>
            <w:hideMark/>
          </w:tcPr>
          <w:p w14:paraId="016E2065" w14:textId="3059B8FC" w:rsidR="009B5BD9" w:rsidRPr="00AE4DBA" w:rsidRDefault="5BF1D18B" w:rsidP="2864371F">
            <w:pPr>
              <w:spacing w:before="113" w:after="200" w:line="288" w:lineRule="auto"/>
              <w:rPr>
                <w:rFonts w:ascii="Calibri" w:eastAsia="Calibri" w:hAnsi="Calibri" w:cs="Calibri"/>
                <w:color w:val="000000"/>
                <w:lang w:eastAsia="en-US"/>
              </w:rPr>
            </w:pPr>
            <w:r w:rsidRPr="2864371F">
              <w:rPr>
                <w:rFonts w:ascii="Calibri" w:eastAsia="Calibri" w:hAnsi="Calibri" w:cs="Calibri"/>
                <w:color w:val="000000"/>
                <w:lang w:eastAsia="en-US"/>
              </w:rPr>
              <w:t>FY2023/24 inventory excludes rental cars as considered de minim</w:t>
            </w:r>
            <w:r w:rsidR="00A52CAC">
              <w:rPr>
                <w:rFonts w:ascii="Calibri" w:eastAsia="Calibri" w:hAnsi="Calibri" w:cs="Calibri"/>
                <w:color w:val="000000"/>
                <w:lang w:eastAsia="en-US"/>
              </w:rPr>
              <w:t>i</w:t>
            </w:r>
            <w:r w:rsidRPr="2864371F">
              <w:rPr>
                <w:rFonts w:ascii="Calibri" w:eastAsia="Calibri" w:hAnsi="Calibri" w:cs="Calibri"/>
                <w:color w:val="000000"/>
                <w:lang w:eastAsia="en-US"/>
              </w:rPr>
              <w:t>s</w:t>
            </w:r>
          </w:p>
        </w:tc>
        <w:tc>
          <w:tcPr>
            <w:tcW w:w="3180" w:type="dxa"/>
            <w:vAlign w:val="center"/>
            <w:hideMark/>
          </w:tcPr>
          <w:p w14:paraId="78DD6D79" w14:textId="4910C28B"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supplier reports are complete and accurate.</w:t>
            </w:r>
          </w:p>
        </w:tc>
      </w:tr>
      <w:tr w:rsidR="009B5BD9" w:rsidRPr="00AE4DBA" w14:paraId="71C97BA0" w14:textId="77777777" w:rsidTr="2864371F">
        <w:trPr>
          <w:gridAfter w:val="5"/>
          <w:wAfter w:w="15900" w:type="dxa"/>
          <w:trHeight w:val="1290"/>
        </w:trPr>
        <w:tc>
          <w:tcPr>
            <w:tcW w:w="1271" w:type="dxa"/>
            <w:vMerge w:val="restart"/>
            <w:vAlign w:val="center"/>
          </w:tcPr>
          <w:p w14:paraId="55FD867E"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 xml:space="preserve">Rental cars </w:t>
            </w:r>
            <w:proofErr w:type="spellStart"/>
            <w:r w:rsidRPr="00AE4DBA">
              <w:rPr>
                <w:rFonts w:ascii="Calibri" w:eastAsia="Calibri" w:hAnsi="Calibri" w:cs="Calibri"/>
                <w:color w:val="000000"/>
                <w:szCs w:val="20"/>
                <w:lang w:eastAsia="en-US"/>
              </w:rPr>
              <w:t>AoG</w:t>
            </w:r>
            <w:proofErr w:type="spellEnd"/>
          </w:p>
          <w:p w14:paraId="452123DC" w14:textId="7A1D809D"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Ambulance - patients</w:t>
            </w:r>
          </w:p>
        </w:tc>
        <w:tc>
          <w:tcPr>
            <w:tcW w:w="1134" w:type="dxa"/>
            <w:vAlign w:val="center"/>
          </w:tcPr>
          <w:p w14:paraId="23697701" w14:textId="70C8C5B5"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Tandem</w:t>
            </w:r>
          </w:p>
        </w:tc>
        <w:tc>
          <w:tcPr>
            <w:tcW w:w="851" w:type="dxa"/>
            <w:gridSpan w:val="2"/>
            <w:vMerge w:val="restart"/>
            <w:vAlign w:val="center"/>
          </w:tcPr>
          <w:p w14:paraId="431E630C"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km</w:t>
            </w:r>
          </w:p>
          <w:p w14:paraId="2007312A" w14:textId="24A4B3E6" w:rsidR="009B5BD9" w:rsidRPr="00AE4DBA" w:rsidRDefault="009B5BD9"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p>
        </w:tc>
        <w:tc>
          <w:tcPr>
            <w:tcW w:w="2268" w:type="dxa"/>
            <w:vAlign w:val="center"/>
          </w:tcPr>
          <w:p w14:paraId="1E7C0873" w14:textId="2B61E791"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Passenger Vehicle - Petrol Vehicle - Rental - Km</w:t>
            </w:r>
          </w:p>
        </w:tc>
        <w:tc>
          <w:tcPr>
            <w:tcW w:w="5244" w:type="dxa"/>
            <w:vMerge w:val="restart"/>
            <w:vAlign w:val="center"/>
          </w:tcPr>
          <w:p w14:paraId="339B6B1A" w14:textId="4C5E4BBD" w:rsidR="009B5BD9" w:rsidRPr="00AE4DBA" w:rsidRDefault="009B5BD9"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p>
          <w:p w14:paraId="175CD4B5" w14:textId="1F89281E" w:rsidR="009B5BD9" w:rsidRPr="00AE4DBA" w:rsidRDefault="08EC11BF"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St John </w:t>
            </w:r>
            <w:r w:rsidR="0C8F4B69" w:rsidRPr="2864371F">
              <w:rPr>
                <w:rFonts w:ascii="Calibri" w:eastAsia="Calibri" w:hAnsi="Calibri" w:cs="Calibri"/>
                <w:color w:val="000000"/>
                <w:lang w:eastAsia="en-US"/>
              </w:rPr>
              <w:t>d</w:t>
            </w:r>
            <w:r w:rsidR="79EAA3AD" w:rsidRPr="2864371F">
              <w:rPr>
                <w:rFonts w:ascii="Calibri" w:eastAsia="Calibri" w:hAnsi="Calibri" w:cs="Calibri"/>
                <w:color w:val="000000"/>
                <w:lang w:eastAsia="en-US"/>
              </w:rPr>
              <w:t xml:space="preserve">ata based on E-road emission extract of vehicles providing frontline services. Includes Emergency (EAS) and patient transfer services (PTS) for </w:t>
            </w:r>
            <w:r w:rsidR="0DB904FD" w:rsidRPr="2864371F">
              <w:rPr>
                <w:rFonts w:ascii="Calibri" w:eastAsia="Calibri" w:hAnsi="Calibri" w:cs="Calibri"/>
                <w:color w:val="000000"/>
                <w:lang w:eastAsia="en-US"/>
              </w:rPr>
              <w:t>Health New Zealand | Te Whatu Ora</w:t>
            </w:r>
            <w:r w:rsidR="79EAA3AD" w:rsidRPr="2864371F">
              <w:rPr>
                <w:rFonts w:ascii="Calibri" w:eastAsia="Calibri" w:hAnsi="Calibri" w:cs="Calibri"/>
                <w:color w:val="000000"/>
                <w:lang w:eastAsia="en-US"/>
              </w:rPr>
              <w:t>. ACC trips cannot not be filtered out for EAS. % deduction in mileage based on joint funding agreement with ACC and</w:t>
            </w:r>
            <w:r w:rsidR="0DB904FD" w:rsidRPr="2864371F">
              <w:rPr>
                <w:rFonts w:ascii="Calibri" w:eastAsia="Calibri" w:hAnsi="Calibri" w:cs="Calibri"/>
                <w:color w:val="000000"/>
                <w:lang w:eastAsia="en-US"/>
              </w:rPr>
              <w:t xml:space="preserve"> Health NZ</w:t>
            </w:r>
            <w:r w:rsidR="79EAA3AD" w:rsidRPr="2864371F">
              <w:rPr>
                <w:rFonts w:ascii="Calibri" w:eastAsia="Calibri" w:hAnsi="Calibri" w:cs="Calibri"/>
                <w:color w:val="000000"/>
                <w:lang w:eastAsia="en-US"/>
              </w:rPr>
              <w:t xml:space="preserve">. EAS split 46 % ACC and 54% </w:t>
            </w:r>
            <w:r w:rsidR="66AE5C26" w:rsidRPr="2864371F">
              <w:rPr>
                <w:rFonts w:ascii="Calibri" w:eastAsia="Calibri" w:hAnsi="Calibri" w:cs="Calibri"/>
                <w:color w:val="000000"/>
                <w:lang w:eastAsia="en-US"/>
              </w:rPr>
              <w:t>Health NZ</w:t>
            </w:r>
            <w:r w:rsidR="79EAA3AD" w:rsidRPr="2864371F">
              <w:rPr>
                <w:rFonts w:ascii="Calibri" w:eastAsia="Calibri" w:hAnsi="Calibri" w:cs="Calibri"/>
                <w:color w:val="000000"/>
                <w:lang w:eastAsia="en-US"/>
              </w:rPr>
              <w:t xml:space="preserve">. PTS is 100% </w:t>
            </w:r>
            <w:r w:rsidR="743D4C9D" w:rsidRPr="2864371F">
              <w:rPr>
                <w:rFonts w:ascii="Calibri" w:eastAsia="Calibri" w:hAnsi="Calibri" w:cs="Calibri"/>
                <w:color w:val="000000"/>
                <w:lang w:eastAsia="en-US"/>
              </w:rPr>
              <w:t xml:space="preserve">Health NZ. </w:t>
            </w:r>
          </w:p>
        </w:tc>
        <w:tc>
          <w:tcPr>
            <w:tcW w:w="3180" w:type="dxa"/>
            <w:vMerge w:val="restart"/>
            <w:vAlign w:val="center"/>
          </w:tcPr>
          <w:p w14:paraId="30970D26"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supplier reports are complete and accurate.</w:t>
            </w:r>
          </w:p>
          <w:p w14:paraId="5F58EEAE" w14:textId="2DE27928" w:rsidR="009B5BD9" w:rsidRPr="00AE4DBA" w:rsidRDefault="79EAA3AD"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High quality - It is assumed the supplier reports are complete and accurate. Small uncertainty over the allocation of </w:t>
            </w:r>
            <w:r w:rsidR="350EC1A1" w:rsidRPr="2864371F">
              <w:rPr>
                <w:rFonts w:ascii="Calibri" w:eastAsia="Calibri" w:hAnsi="Calibri" w:cs="Calibri"/>
                <w:color w:val="000000"/>
                <w:lang w:eastAsia="en-US"/>
              </w:rPr>
              <w:t xml:space="preserve">Km </w:t>
            </w:r>
            <w:r w:rsidRPr="2864371F">
              <w:rPr>
                <w:rFonts w:ascii="Calibri" w:eastAsia="Calibri" w:hAnsi="Calibri" w:cs="Calibri"/>
                <w:color w:val="000000"/>
                <w:lang w:eastAsia="en-US"/>
              </w:rPr>
              <w:t>to ACC</w:t>
            </w:r>
          </w:p>
        </w:tc>
      </w:tr>
      <w:tr w:rsidR="009B5BD9" w:rsidRPr="00AE4DBA" w14:paraId="2D686511" w14:textId="77777777" w:rsidTr="2864371F">
        <w:trPr>
          <w:gridAfter w:val="5"/>
          <w:wAfter w:w="15900" w:type="dxa"/>
          <w:trHeight w:val="1290"/>
        </w:trPr>
        <w:tc>
          <w:tcPr>
            <w:tcW w:w="1271" w:type="dxa"/>
            <w:vMerge/>
            <w:vAlign w:val="center"/>
          </w:tcPr>
          <w:p w14:paraId="599890F9"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tcPr>
          <w:p w14:paraId="4CFE975E" w14:textId="496518E0"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 xml:space="preserve"> Orbit</w:t>
            </w:r>
          </w:p>
        </w:tc>
        <w:tc>
          <w:tcPr>
            <w:tcW w:w="851" w:type="dxa"/>
            <w:gridSpan w:val="2"/>
            <w:vMerge/>
            <w:vAlign w:val="center"/>
          </w:tcPr>
          <w:p w14:paraId="5E01D51A"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Align w:val="center"/>
          </w:tcPr>
          <w:p w14:paraId="07592C20" w14:textId="0930EF10"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Vehicle KgCO</w:t>
            </w:r>
            <w:r w:rsidRPr="00A04FCB">
              <w:rPr>
                <w:rFonts w:ascii="Calibri" w:eastAsia="Calibri" w:hAnsi="Calibri" w:cs="Calibri"/>
                <w:color w:val="000000"/>
                <w:szCs w:val="20"/>
                <w:vertAlign w:val="subscript"/>
                <w:lang w:eastAsia="en-US"/>
              </w:rPr>
              <w:t>2</w:t>
            </w:r>
            <w:r w:rsidRPr="00AE4DBA">
              <w:rPr>
                <w:rFonts w:ascii="Calibri" w:eastAsia="Calibri" w:hAnsi="Calibri" w:cs="Calibri"/>
                <w:color w:val="000000"/>
                <w:szCs w:val="20"/>
                <w:lang w:eastAsia="en-US"/>
              </w:rPr>
              <w:t>e direct</w:t>
            </w:r>
          </w:p>
        </w:tc>
        <w:tc>
          <w:tcPr>
            <w:tcW w:w="5244" w:type="dxa"/>
            <w:vMerge/>
            <w:vAlign w:val="center"/>
          </w:tcPr>
          <w:p w14:paraId="02FE8DC3"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3180" w:type="dxa"/>
            <w:vMerge/>
            <w:vAlign w:val="center"/>
          </w:tcPr>
          <w:p w14:paraId="7A9125E9"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1AD6F253" w14:textId="77777777" w:rsidTr="2864371F">
        <w:trPr>
          <w:gridAfter w:val="5"/>
          <w:wAfter w:w="15900" w:type="dxa"/>
          <w:trHeight w:val="1290"/>
        </w:trPr>
        <w:tc>
          <w:tcPr>
            <w:tcW w:w="1271" w:type="dxa"/>
            <w:vMerge/>
            <w:vAlign w:val="center"/>
            <w:hideMark/>
          </w:tcPr>
          <w:p w14:paraId="18FA0CAD"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4BC517F9" w14:textId="09795EA8"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St John</w:t>
            </w:r>
          </w:p>
        </w:tc>
        <w:tc>
          <w:tcPr>
            <w:tcW w:w="851" w:type="dxa"/>
            <w:gridSpan w:val="2"/>
            <w:vMerge/>
            <w:vAlign w:val="center"/>
            <w:hideMark/>
          </w:tcPr>
          <w:p w14:paraId="63357E1A"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Align w:val="center"/>
            <w:hideMark/>
          </w:tcPr>
          <w:p w14:paraId="163392B3" w14:textId="31A3ECA9"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Passenger Vehicle - Diesel Vehicle - 2000–</w:t>
            </w:r>
            <w:r w:rsidRPr="00AE4DBA">
              <w:rPr>
                <w:rFonts w:ascii="Calibri" w:eastAsia="Calibri" w:hAnsi="Calibri" w:cs="Calibri"/>
                <w:color w:val="000000"/>
                <w:szCs w:val="20"/>
                <w:lang w:eastAsia="en-US"/>
              </w:rPr>
              <w:lastRenderedPageBreak/>
              <w:t>&lt;3000 cc - 2015 to 2020 - Km</w:t>
            </w:r>
          </w:p>
        </w:tc>
        <w:tc>
          <w:tcPr>
            <w:tcW w:w="5244" w:type="dxa"/>
            <w:vMerge/>
            <w:vAlign w:val="center"/>
            <w:hideMark/>
          </w:tcPr>
          <w:p w14:paraId="538F9C0B"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3180" w:type="dxa"/>
            <w:vMerge/>
            <w:vAlign w:val="center"/>
            <w:hideMark/>
          </w:tcPr>
          <w:p w14:paraId="4762229E"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11F231E9" w14:textId="77777777" w:rsidTr="2864371F">
        <w:trPr>
          <w:gridAfter w:val="5"/>
          <w:wAfter w:w="15900" w:type="dxa"/>
          <w:trHeight w:val="1485"/>
        </w:trPr>
        <w:tc>
          <w:tcPr>
            <w:tcW w:w="1271" w:type="dxa"/>
            <w:vMerge w:val="restart"/>
            <w:vAlign w:val="center"/>
            <w:hideMark/>
          </w:tcPr>
          <w:p w14:paraId="4F8F4052"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Ambulance - patients</w:t>
            </w:r>
          </w:p>
          <w:p w14:paraId="431B1559" w14:textId="45A35C23"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Patient National Travel Assistance (NTA) Claims</w:t>
            </w:r>
          </w:p>
        </w:tc>
        <w:tc>
          <w:tcPr>
            <w:tcW w:w="1134" w:type="dxa"/>
            <w:vAlign w:val="center"/>
            <w:hideMark/>
          </w:tcPr>
          <w:p w14:paraId="010EBDD8" w14:textId="28868119"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Free Wellington Ambulance</w:t>
            </w:r>
          </w:p>
        </w:tc>
        <w:tc>
          <w:tcPr>
            <w:tcW w:w="851" w:type="dxa"/>
            <w:gridSpan w:val="2"/>
            <w:vAlign w:val="center"/>
            <w:hideMark/>
          </w:tcPr>
          <w:p w14:paraId="2D95B806" w14:textId="430D4283"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kgCO</w:t>
            </w:r>
            <w:r w:rsidRPr="00AE4DBA">
              <w:rPr>
                <w:rFonts w:ascii="Calibri" w:eastAsia="Calibri" w:hAnsi="Calibri" w:cs="Calibri"/>
                <w:color w:val="000000"/>
                <w:szCs w:val="20"/>
                <w:vertAlign w:val="subscript"/>
                <w:lang w:eastAsia="en-US"/>
              </w:rPr>
              <w:t>2</w:t>
            </w:r>
            <w:r w:rsidRPr="00AE4DBA">
              <w:rPr>
                <w:rFonts w:ascii="Calibri" w:eastAsia="Calibri" w:hAnsi="Calibri" w:cs="Calibri"/>
                <w:color w:val="000000"/>
                <w:szCs w:val="20"/>
                <w:lang w:eastAsia="en-US"/>
              </w:rPr>
              <w:t>e</w:t>
            </w:r>
          </w:p>
        </w:tc>
        <w:tc>
          <w:tcPr>
            <w:tcW w:w="2268" w:type="dxa"/>
            <w:vAlign w:val="center"/>
            <w:hideMark/>
          </w:tcPr>
          <w:p w14:paraId="63C18CA1" w14:textId="75770CD2"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kgCO</w:t>
            </w:r>
            <w:r w:rsidRPr="00AE4DBA">
              <w:rPr>
                <w:rFonts w:ascii="Calibri" w:eastAsia="Calibri" w:hAnsi="Calibri" w:cs="Calibri"/>
                <w:color w:val="000000"/>
                <w:szCs w:val="20"/>
                <w:vertAlign w:val="subscript"/>
                <w:lang w:eastAsia="en-US"/>
              </w:rPr>
              <w:t>2</w:t>
            </w:r>
            <w:r w:rsidRPr="00AE4DBA">
              <w:rPr>
                <w:rFonts w:ascii="Calibri" w:eastAsia="Calibri" w:hAnsi="Calibri" w:cs="Calibri"/>
                <w:color w:val="000000"/>
                <w:szCs w:val="20"/>
                <w:lang w:eastAsia="en-US"/>
              </w:rPr>
              <w:t>e</w:t>
            </w:r>
          </w:p>
        </w:tc>
        <w:tc>
          <w:tcPr>
            <w:tcW w:w="5244" w:type="dxa"/>
            <w:vAlign w:val="center"/>
            <w:hideMark/>
          </w:tcPr>
          <w:p w14:paraId="133CE8A6" w14:textId="65A90541" w:rsidR="009B5BD9" w:rsidRPr="00AE4DBA" w:rsidRDefault="79EAA3AD"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Data based on E-road emission extract of vehicles providing frontline services. Includes Emergency and patient transfer services for </w:t>
            </w:r>
            <w:r w:rsidR="0DB904FD" w:rsidRPr="2864371F">
              <w:rPr>
                <w:rFonts w:ascii="Calibri" w:eastAsia="Calibri" w:hAnsi="Calibri" w:cs="Calibri"/>
                <w:color w:val="000000"/>
                <w:lang w:eastAsia="en-US"/>
              </w:rPr>
              <w:t>Health NZ</w:t>
            </w:r>
            <w:r w:rsidRPr="2864371F">
              <w:rPr>
                <w:rFonts w:ascii="Calibri" w:eastAsia="Calibri" w:hAnsi="Calibri" w:cs="Calibri"/>
                <w:color w:val="000000"/>
                <w:lang w:eastAsia="en-US"/>
              </w:rPr>
              <w:t>. Distribution over districts based on % on number of jobs.</w:t>
            </w:r>
          </w:p>
        </w:tc>
        <w:tc>
          <w:tcPr>
            <w:tcW w:w="3180" w:type="dxa"/>
            <w:vAlign w:val="center"/>
            <w:hideMark/>
          </w:tcPr>
          <w:p w14:paraId="22B5F688" w14:textId="27A3664B"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supplier reports are complete and accurate.</w:t>
            </w:r>
          </w:p>
        </w:tc>
      </w:tr>
      <w:tr w:rsidR="009B5BD9" w:rsidRPr="00AE4DBA" w14:paraId="3C359CEC" w14:textId="77777777" w:rsidTr="2864371F">
        <w:trPr>
          <w:gridAfter w:val="5"/>
          <w:wAfter w:w="15900" w:type="dxa"/>
          <w:trHeight w:val="1065"/>
        </w:trPr>
        <w:tc>
          <w:tcPr>
            <w:tcW w:w="1271" w:type="dxa"/>
            <w:vMerge/>
            <w:vAlign w:val="center"/>
            <w:hideMark/>
          </w:tcPr>
          <w:p w14:paraId="044A6FE0"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36B29EE5" w14:textId="60805DEC"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Pro Med</w:t>
            </w:r>
          </w:p>
        </w:tc>
        <w:tc>
          <w:tcPr>
            <w:tcW w:w="851" w:type="dxa"/>
            <w:gridSpan w:val="2"/>
            <w:vAlign w:val="center"/>
            <w:hideMark/>
          </w:tcPr>
          <w:p w14:paraId="7D868BB5" w14:textId="14142D1B"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km</w:t>
            </w:r>
          </w:p>
        </w:tc>
        <w:tc>
          <w:tcPr>
            <w:tcW w:w="2268" w:type="dxa"/>
            <w:vAlign w:val="center"/>
            <w:hideMark/>
          </w:tcPr>
          <w:p w14:paraId="2DAA9AC3" w14:textId="2B439B6A"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Passenger Vehicle - Diesel Vehicle - 2000–&lt;3000 cc - 2010 to 2015 - Km</w:t>
            </w:r>
          </w:p>
        </w:tc>
        <w:tc>
          <w:tcPr>
            <w:tcW w:w="5244" w:type="dxa"/>
            <w:vAlign w:val="center"/>
            <w:hideMark/>
          </w:tcPr>
          <w:p w14:paraId="04FFF5FF" w14:textId="444AC55F" w:rsidR="009B5BD9" w:rsidRPr="00AE4DBA" w:rsidRDefault="79EAA3AD"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Southern only</w:t>
            </w:r>
          </w:p>
        </w:tc>
        <w:tc>
          <w:tcPr>
            <w:tcW w:w="3180" w:type="dxa"/>
            <w:vMerge w:val="restart"/>
            <w:vAlign w:val="center"/>
            <w:hideMark/>
          </w:tcPr>
          <w:p w14:paraId="0AC5C965"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supplier reports are complete and accurate.</w:t>
            </w:r>
          </w:p>
          <w:p w14:paraId="6A8CF23A" w14:textId="60CBD8FE"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NTA reports are complete and accurate.</w:t>
            </w:r>
          </w:p>
        </w:tc>
      </w:tr>
      <w:tr w:rsidR="009B5BD9" w:rsidRPr="00AE4DBA" w14:paraId="04C70BC3" w14:textId="77777777" w:rsidTr="2864371F">
        <w:trPr>
          <w:gridAfter w:val="5"/>
          <w:wAfter w:w="15900" w:type="dxa"/>
          <w:trHeight w:val="525"/>
        </w:trPr>
        <w:tc>
          <w:tcPr>
            <w:tcW w:w="1271" w:type="dxa"/>
            <w:vMerge/>
            <w:hideMark/>
          </w:tcPr>
          <w:p w14:paraId="6FD1DB41"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hideMark/>
          </w:tcPr>
          <w:p w14:paraId="60D53E6D" w14:textId="7D194435" w:rsidR="009B5BD9" w:rsidRPr="00AE4DBA" w:rsidRDefault="486226C3"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Health NZ</w:t>
            </w:r>
            <w:r w:rsidR="79EAA3AD" w:rsidRPr="2864371F">
              <w:rPr>
                <w:rFonts w:ascii="Calibri" w:eastAsia="Calibri" w:hAnsi="Calibri" w:cs="Calibri"/>
                <w:color w:val="000000"/>
                <w:lang w:eastAsia="en-US"/>
              </w:rPr>
              <w:t>- SOS</w:t>
            </w:r>
          </w:p>
        </w:tc>
        <w:tc>
          <w:tcPr>
            <w:tcW w:w="851" w:type="dxa"/>
            <w:gridSpan w:val="2"/>
            <w:hideMark/>
          </w:tcPr>
          <w:p w14:paraId="6FC8D880" w14:textId="721E797C"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km</w:t>
            </w:r>
          </w:p>
        </w:tc>
        <w:tc>
          <w:tcPr>
            <w:tcW w:w="2268" w:type="dxa"/>
            <w:hideMark/>
          </w:tcPr>
          <w:p w14:paraId="07269ED7" w14:textId="06EC7F9F"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Private car default - petrol- km</w:t>
            </w:r>
          </w:p>
        </w:tc>
        <w:tc>
          <w:tcPr>
            <w:tcW w:w="5244" w:type="dxa"/>
            <w:hideMark/>
          </w:tcPr>
          <w:p w14:paraId="6FA846CA" w14:textId="3263DB8F" w:rsidR="009B5BD9" w:rsidRPr="00AE4DBA" w:rsidRDefault="79EAA3AD"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NTA mileage reimbursement claim is 28 cents per total km travelled </w:t>
            </w:r>
            <w:r w:rsidR="51D69720" w:rsidRPr="2864371F">
              <w:rPr>
                <w:rFonts w:ascii="Calibri" w:eastAsia="Calibri" w:hAnsi="Calibri" w:cs="Calibri"/>
                <w:color w:val="000000"/>
                <w:lang w:eastAsia="en-US"/>
              </w:rPr>
              <w:t>until end May and then</w:t>
            </w:r>
            <w:r w:rsidR="0B180567" w:rsidRPr="2864371F">
              <w:rPr>
                <w:rFonts w:ascii="Calibri" w:eastAsia="Calibri" w:hAnsi="Calibri" w:cs="Calibri"/>
                <w:color w:val="000000"/>
                <w:lang w:eastAsia="en-US"/>
              </w:rPr>
              <w:t xml:space="preserve"> 34 cents for the remainder of FY2023/24</w:t>
            </w:r>
            <w:r w:rsidRPr="2864371F">
              <w:rPr>
                <w:rFonts w:ascii="Calibri" w:eastAsia="Calibri" w:hAnsi="Calibri" w:cs="Calibri"/>
                <w:color w:val="000000"/>
                <w:lang w:eastAsia="en-US"/>
              </w:rPr>
              <w:t xml:space="preserve">.  Units to the whole are return trips, </w:t>
            </w:r>
            <w:r w:rsidR="515B3C09" w:rsidRPr="2864371F">
              <w:rPr>
                <w:rFonts w:ascii="Calibri" w:eastAsia="Calibri" w:hAnsi="Calibri" w:cs="Calibri"/>
                <w:color w:val="000000"/>
                <w:lang w:eastAsia="en-US"/>
              </w:rPr>
              <w:t>0</w:t>
            </w:r>
            <w:r w:rsidRPr="2864371F">
              <w:rPr>
                <w:rFonts w:ascii="Calibri" w:eastAsia="Calibri" w:hAnsi="Calibri" w:cs="Calibri"/>
                <w:color w:val="000000"/>
                <w:lang w:eastAsia="en-US"/>
              </w:rPr>
              <w:t xml:space="preserve">.5 reflects a one-way, 1 is a return. NTA expenditure is ex GST, too. </w:t>
            </w:r>
          </w:p>
        </w:tc>
        <w:tc>
          <w:tcPr>
            <w:tcW w:w="3180" w:type="dxa"/>
            <w:vMerge/>
            <w:hideMark/>
          </w:tcPr>
          <w:p w14:paraId="25B0A56D"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5AA861DB" w14:textId="77777777" w:rsidTr="2864371F">
        <w:trPr>
          <w:gridAfter w:val="5"/>
          <w:wAfter w:w="15900" w:type="dxa"/>
          <w:trHeight w:val="1523"/>
        </w:trPr>
        <w:tc>
          <w:tcPr>
            <w:tcW w:w="1271" w:type="dxa"/>
            <w:vMerge w:val="restart"/>
            <w:hideMark/>
          </w:tcPr>
          <w:p w14:paraId="4BC28F1A"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Patient National Travel Assistance (NTA) Claims</w:t>
            </w:r>
          </w:p>
          <w:p w14:paraId="631ADE0D" w14:textId="01F8B0B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lastRenderedPageBreak/>
              <w:t>Helicopter - patients</w:t>
            </w:r>
          </w:p>
        </w:tc>
        <w:tc>
          <w:tcPr>
            <w:tcW w:w="1134" w:type="dxa"/>
            <w:vMerge w:val="restart"/>
            <w:hideMark/>
          </w:tcPr>
          <w:p w14:paraId="6368BD7D"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lastRenderedPageBreak/>
              <w:t>Te Whatu Ora- SOS</w:t>
            </w:r>
          </w:p>
          <w:p w14:paraId="18C58AFE" w14:textId="443A41C5"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 xml:space="preserve">HNZ National Ambulance Services </w:t>
            </w:r>
            <w:r w:rsidRPr="00AE4DBA">
              <w:rPr>
                <w:rFonts w:ascii="Calibri" w:eastAsia="Calibri" w:hAnsi="Calibri" w:cs="Calibri"/>
                <w:color w:val="000000"/>
                <w:szCs w:val="20"/>
                <w:lang w:eastAsia="en-US"/>
              </w:rPr>
              <w:lastRenderedPageBreak/>
              <w:t>Office (NASO)</w:t>
            </w:r>
          </w:p>
        </w:tc>
        <w:tc>
          <w:tcPr>
            <w:tcW w:w="851" w:type="dxa"/>
            <w:gridSpan w:val="2"/>
            <w:hideMark/>
          </w:tcPr>
          <w:p w14:paraId="6D71E5D2" w14:textId="2C1A90C1"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roofErr w:type="spellStart"/>
            <w:r w:rsidRPr="00AE4DBA">
              <w:rPr>
                <w:rFonts w:ascii="Calibri" w:eastAsia="Calibri" w:hAnsi="Calibri" w:cs="Calibri"/>
                <w:color w:val="000000"/>
                <w:szCs w:val="20"/>
                <w:lang w:eastAsia="en-US"/>
              </w:rPr>
              <w:lastRenderedPageBreak/>
              <w:t>Pkm</w:t>
            </w:r>
            <w:proofErr w:type="spellEnd"/>
          </w:p>
        </w:tc>
        <w:tc>
          <w:tcPr>
            <w:tcW w:w="2268" w:type="dxa"/>
            <w:hideMark/>
          </w:tcPr>
          <w:p w14:paraId="458AA84B" w14:textId="6E98241A"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Domestic - National average - With Radiative Forcing;</w:t>
            </w:r>
          </w:p>
        </w:tc>
        <w:tc>
          <w:tcPr>
            <w:tcW w:w="5244" w:type="dxa"/>
            <w:hideMark/>
          </w:tcPr>
          <w:p w14:paraId="73671A96" w14:textId="71CB9B0A"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Air travel Minor expenditure within NTA claims. Air Travel reimbursement of dollar value. Currently included as 1 km flown domestically per $.  Requires further refinement</w:t>
            </w:r>
          </w:p>
        </w:tc>
        <w:tc>
          <w:tcPr>
            <w:tcW w:w="3180" w:type="dxa"/>
            <w:vMerge w:val="restart"/>
            <w:hideMark/>
          </w:tcPr>
          <w:p w14:paraId="58801B2C"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NTA reports are complete and accurate.</w:t>
            </w:r>
          </w:p>
          <w:p w14:paraId="5573E86C" w14:textId="459F4445"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provided reports are complete and accurate.</w:t>
            </w:r>
          </w:p>
        </w:tc>
      </w:tr>
      <w:tr w:rsidR="009B5BD9" w:rsidRPr="00AE4DBA" w14:paraId="7CFAFFBC" w14:textId="77777777" w:rsidTr="2864371F">
        <w:trPr>
          <w:gridAfter w:val="5"/>
          <w:wAfter w:w="15900" w:type="dxa"/>
          <w:trHeight w:val="525"/>
        </w:trPr>
        <w:tc>
          <w:tcPr>
            <w:tcW w:w="1271" w:type="dxa"/>
            <w:vMerge/>
          </w:tcPr>
          <w:p w14:paraId="08BEFA9C"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Merge/>
          </w:tcPr>
          <w:p w14:paraId="21A0E34D"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851" w:type="dxa"/>
            <w:gridSpan w:val="2"/>
            <w:vMerge w:val="restart"/>
          </w:tcPr>
          <w:p w14:paraId="3EB71717"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roofErr w:type="spellStart"/>
            <w:r w:rsidRPr="00AE4DBA">
              <w:rPr>
                <w:rFonts w:ascii="Calibri" w:eastAsia="Calibri" w:hAnsi="Calibri" w:cs="Calibri"/>
                <w:color w:val="000000"/>
                <w:szCs w:val="20"/>
                <w:lang w:eastAsia="en-US"/>
              </w:rPr>
              <w:t>Pkm</w:t>
            </w:r>
            <w:proofErr w:type="spellEnd"/>
          </w:p>
          <w:p w14:paraId="343CD664" w14:textId="10FDA806"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lastRenderedPageBreak/>
              <w:t>$</w:t>
            </w:r>
          </w:p>
        </w:tc>
        <w:tc>
          <w:tcPr>
            <w:tcW w:w="2268" w:type="dxa"/>
          </w:tcPr>
          <w:p w14:paraId="1CF996DE" w14:textId="61DF4438"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lastRenderedPageBreak/>
              <w:t>Taxi</w:t>
            </w:r>
          </w:p>
        </w:tc>
        <w:tc>
          <w:tcPr>
            <w:tcW w:w="5244" w:type="dxa"/>
          </w:tcPr>
          <w:p w14:paraId="2E1D82A3" w14:textId="05A1C2AB"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Reimbursement of taxi claims. Data is ex-GST</w:t>
            </w:r>
          </w:p>
        </w:tc>
        <w:tc>
          <w:tcPr>
            <w:tcW w:w="3180" w:type="dxa"/>
            <w:vMerge/>
          </w:tcPr>
          <w:p w14:paraId="3D2985B3"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28CCA89A" w14:textId="77777777" w:rsidTr="2864371F">
        <w:trPr>
          <w:gridAfter w:val="5"/>
          <w:wAfter w:w="15900" w:type="dxa"/>
          <w:trHeight w:val="525"/>
        </w:trPr>
        <w:tc>
          <w:tcPr>
            <w:tcW w:w="1271" w:type="dxa"/>
            <w:vMerge/>
          </w:tcPr>
          <w:p w14:paraId="4431DC16"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Merge/>
          </w:tcPr>
          <w:p w14:paraId="47D51D85"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851" w:type="dxa"/>
            <w:gridSpan w:val="2"/>
            <w:vMerge/>
          </w:tcPr>
          <w:p w14:paraId="55DA55E0"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tcPr>
          <w:p w14:paraId="341D550E" w14:textId="66C149ED"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Custom emission factor - Public transport - $</w:t>
            </w:r>
          </w:p>
        </w:tc>
        <w:tc>
          <w:tcPr>
            <w:tcW w:w="5244" w:type="dxa"/>
          </w:tcPr>
          <w:p w14:paraId="6454DC64" w14:textId="05D82D95"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Public Transport: Bus, Ferry, and train on providing a receipt. This also includes transport providers like St. Johns, Driving Miss Daisy, and Shuttle services that aren't taxi services.</w:t>
            </w:r>
          </w:p>
        </w:tc>
        <w:tc>
          <w:tcPr>
            <w:tcW w:w="3180" w:type="dxa"/>
            <w:vMerge/>
          </w:tcPr>
          <w:p w14:paraId="2697CE28"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2F52C91F" w14:textId="77777777" w:rsidTr="2864371F">
        <w:trPr>
          <w:gridAfter w:val="5"/>
          <w:wAfter w:w="15900" w:type="dxa"/>
          <w:trHeight w:val="1035"/>
        </w:trPr>
        <w:tc>
          <w:tcPr>
            <w:tcW w:w="1271" w:type="dxa"/>
            <w:vMerge/>
          </w:tcPr>
          <w:p w14:paraId="4E6CEE24"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Merge/>
          </w:tcPr>
          <w:p w14:paraId="43F8BEE2"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851" w:type="dxa"/>
            <w:gridSpan w:val="2"/>
          </w:tcPr>
          <w:p w14:paraId="38BFBBD8" w14:textId="6B4F3DD3"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roofErr w:type="spellStart"/>
            <w:r w:rsidRPr="00AE4DBA">
              <w:rPr>
                <w:rFonts w:ascii="Calibri" w:eastAsia="Calibri" w:hAnsi="Calibri" w:cs="Calibri"/>
                <w:color w:val="000000"/>
                <w:szCs w:val="20"/>
                <w:lang w:eastAsia="en-US"/>
              </w:rPr>
              <w:t>ppn</w:t>
            </w:r>
            <w:proofErr w:type="spellEnd"/>
          </w:p>
        </w:tc>
        <w:tc>
          <w:tcPr>
            <w:tcW w:w="2268" w:type="dxa"/>
          </w:tcPr>
          <w:p w14:paraId="2E961BD8" w14:textId="5D02FAB8"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Accommodation domestic - nights</w:t>
            </w:r>
          </w:p>
        </w:tc>
        <w:tc>
          <w:tcPr>
            <w:tcW w:w="5244" w:type="dxa"/>
          </w:tcPr>
          <w:p w14:paraId="4FB70728" w14:textId="3B8C914E"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Accommodation. NTA accommodation numbers are based on the number of units in the data extract. Whole units are one night of accommodation at a reimbursement rate of $100 per night. Anything over this, the client will need to pay</w:t>
            </w:r>
          </w:p>
        </w:tc>
        <w:tc>
          <w:tcPr>
            <w:tcW w:w="3180" w:type="dxa"/>
            <w:vMerge/>
          </w:tcPr>
          <w:p w14:paraId="3B9A73A1"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 w:val="18"/>
                <w:szCs w:val="18"/>
                <w:lang w:eastAsia="en-US"/>
              </w:rPr>
            </w:pPr>
          </w:p>
        </w:tc>
      </w:tr>
      <w:tr w:rsidR="009B5BD9" w:rsidRPr="00AE4DBA" w14:paraId="61C6F50A" w14:textId="77777777" w:rsidTr="2864371F">
        <w:trPr>
          <w:gridAfter w:val="5"/>
          <w:wAfter w:w="15900" w:type="dxa"/>
          <w:trHeight w:val="557"/>
        </w:trPr>
        <w:tc>
          <w:tcPr>
            <w:tcW w:w="1271" w:type="dxa"/>
            <w:vMerge/>
            <w:vAlign w:val="center"/>
            <w:hideMark/>
          </w:tcPr>
          <w:p w14:paraId="15FA77BE"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Merge/>
            <w:vAlign w:val="center"/>
            <w:hideMark/>
          </w:tcPr>
          <w:p w14:paraId="44D06075"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851" w:type="dxa"/>
            <w:gridSpan w:val="2"/>
            <w:vAlign w:val="center"/>
            <w:hideMark/>
          </w:tcPr>
          <w:p w14:paraId="09113755" w14:textId="58321DFC"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Hrs</w:t>
            </w:r>
          </w:p>
        </w:tc>
        <w:tc>
          <w:tcPr>
            <w:tcW w:w="2268" w:type="dxa"/>
            <w:vAlign w:val="center"/>
            <w:hideMark/>
          </w:tcPr>
          <w:p w14:paraId="74846EA6" w14:textId="62746B4A"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 xml:space="preserve">Helicopter </w:t>
            </w:r>
            <w:proofErr w:type="spellStart"/>
            <w:r w:rsidRPr="00AE4DBA">
              <w:rPr>
                <w:rFonts w:ascii="Calibri" w:eastAsia="Calibri" w:hAnsi="Calibri" w:cs="Calibri"/>
                <w:color w:val="000000"/>
                <w:szCs w:val="20"/>
                <w:lang w:eastAsia="en-US"/>
              </w:rPr>
              <w:t>Eurocopter</w:t>
            </w:r>
            <w:proofErr w:type="spellEnd"/>
            <w:r w:rsidRPr="00AE4DBA">
              <w:rPr>
                <w:rFonts w:ascii="Calibri" w:eastAsia="Calibri" w:hAnsi="Calibri" w:cs="Calibri"/>
                <w:color w:val="000000"/>
                <w:szCs w:val="20"/>
                <w:lang w:eastAsia="en-US"/>
              </w:rPr>
              <w:t xml:space="preserve"> AS350B3 Squirrel - Hrs</w:t>
            </w:r>
          </w:p>
        </w:tc>
        <w:tc>
          <w:tcPr>
            <w:tcW w:w="5244" w:type="dxa"/>
            <w:vAlign w:val="center"/>
            <w:hideMark/>
          </w:tcPr>
          <w:p w14:paraId="1795CE0B" w14:textId="1143166B" w:rsidR="009B5BD9" w:rsidRPr="00AE4DBA" w:rsidRDefault="79EAA3AD"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Helicopter hours include all hours paid by </w:t>
            </w:r>
            <w:r w:rsidR="2D70F2E9" w:rsidRPr="2864371F">
              <w:rPr>
                <w:rFonts w:ascii="Calibri" w:eastAsia="Calibri" w:hAnsi="Calibri" w:cs="Calibri"/>
                <w:color w:val="000000"/>
                <w:lang w:eastAsia="en-US"/>
              </w:rPr>
              <w:t>Health NZ</w:t>
            </w:r>
            <w:r w:rsidRPr="2864371F">
              <w:rPr>
                <w:rFonts w:ascii="Calibri" w:eastAsia="Calibri" w:hAnsi="Calibri" w:cs="Calibri"/>
                <w:color w:val="000000"/>
                <w:lang w:eastAsia="en-US"/>
              </w:rPr>
              <w:t xml:space="preserve">. National contract, which includes subcontracted services. Data inputs on the </w:t>
            </w:r>
            <w:proofErr w:type="gramStart"/>
            <w:r w:rsidRPr="2864371F">
              <w:rPr>
                <w:rFonts w:ascii="Calibri" w:eastAsia="Calibri" w:hAnsi="Calibri" w:cs="Calibri"/>
                <w:color w:val="000000"/>
                <w:lang w:eastAsia="en-US"/>
              </w:rPr>
              <w:t>District</w:t>
            </w:r>
            <w:proofErr w:type="gramEnd"/>
            <w:r w:rsidRPr="2864371F">
              <w:rPr>
                <w:rFonts w:ascii="Calibri" w:eastAsia="Calibri" w:hAnsi="Calibri" w:cs="Calibri"/>
                <w:color w:val="000000"/>
                <w:lang w:eastAsia="en-US"/>
              </w:rPr>
              <w:t>/department that commissioned the flight, not on retrospective flight billing. Hours of SOSO - skids off, skids on</w:t>
            </w:r>
          </w:p>
        </w:tc>
        <w:tc>
          <w:tcPr>
            <w:tcW w:w="3180" w:type="dxa"/>
            <w:vMerge/>
            <w:vAlign w:val="center"/>
            <w:hideMark/>
          </w:tcPr>
          <w:p w14:paraId="690E39A9"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 w:val="18"/>
                <w:szCs w:val="18"/>
                <w:lang w:eastAsia="en-US"/>
              </w:rPr>
            </w:pPr>
          </w:p>
        </w:tc>
      </w:tr>
      <w:tr w:rsidR="009B5BD9" w:rsidRPr="00AE4DBA" w14:paraId="4D24F7DC" w14:textId="77777777" w:rsidTr="2864371F">
        <w:trPr>
          <w:gridAfter w:val="5"/>
          <w:wAfter w:w="15900" w:type="dxa"/>
          <w:trHeight w:val="1035"/>
        </w:trPr>
        <w:tc>
          <w:tcPr>
            <w:tcW w:w="1271" w:type="dxa"/>
            <w:vAlign w:val="center"/>
            <w:hideMark/>
          </w:tcPr>
          <w:p w14:paraId="28B36902" w14:textId="5FCE4083"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Patient air travel – Fixed Wing and airlines</w:t>
            </w:r>
          </w:p>
        </w:tc>
        <w:tc>
          <w:tcPr>
            <w:tcW w:w="1134" w:type="dxa"/>
            <w:vAlign w:val="center"/>
            <w:hideMark/>
          </w:tcPr>
          <w:p w14:paraId="05D04C8B" w14:textId="0733D2F0"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Skyline Aviation</w:t>
            </w:r>
          </w:p>
        </w:tc>
        <w:tc>
          <w:tcPr>
            <w:tcW w:w="851" w:type="dxa"/>
            <w:gridSpan w:val="2"/>
            <w:vAlign w:val="center"/>
            <w:hideMark/>
          </w:tcPr>
          <w:p w14:paraId="231529AB" w14:textId="4C6553F5"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Hrs</w:t>
            </w:r>
          </w:p>
        </w:tc>
        <w:tc>
          <w:tcPr>
            <w:tcW w:w="2268" w:type="dxa"/>
            <w:vAlign w:val="center"/>
            <w:hideMark/>
          </w:tcPr>
          <w:p w14:paraId="7DEC4F4C" w14:textId="0CF0DBD4"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TWO Aviation fuels - B350 - hours</w:t>
            </w:r>
          </w:p>
        </w:tc>
        <w:tc>
          <w:tcPr>
            <w:tcW w:w="5244" w:type="dxa"/>
            <w:vAlign w:val="center"/>
            <w:hideMark/>
          </w:tcPr>
          <w:p w14:paraId="6DAB1011" w14:textId="346B5A9D" w:rsidR="009B5BD9" w:rsidRPr="00AE4DBA" w:rsidRDefault="79EAA3AD"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Flights for ACC, </w:t>
            </w:r>
            <w:r w:rsidR="595AEF21" w:rsidRPr="2864371F">
              <w:rPr>
                <w:rFonts w:ascii="Calibri" w:eastAsia="Calibri" w:hAnsi="Calibri" w:cs="Calibri"/>
                <w:color w:val="000000"/>
                <w:lang w:eastAsia="en-US"/>
              </w:rPr>
              <w:t>Ministry of Health</w:t>
            </w:r>
            <w:r w:rsidR="78BCE47A" w:rsidRPr="2864371F">
              <w:rPr>
                <w:rFonts w:ascii="Calibri" w:eastAsia="Calibri" w:hAnsi="Calibri" w:cs="Calibri"/>
                <w:color w:val="000000"/>
                <w:lang w:eastAsia="en-US"/>
              </w:rPr>
              <w:t xml:space="preserve"> (MoH)</w:t>
            </w:r>
            <w:r w:rsidRPr="2864371F">
              <w:rPr>
                <w:rFonts w:ascii="Calibri" w:eastAsia="Calibri" w:hAnsi="Calibri" w:cs="Calibri"/>
                <w:color w:val="000000"/>
                <w:lang w:eastAsia="en-US"/>
              </w:rPr>
              <w:t xml:space="preserve">, Organ donation, and transport are filtered out of datasets as they are not invoiced to </w:t>
            </w:r>
            <w:r w:rsidR="595AEF21" w:rsidRPr="2864371F">
              <w:rPr>
                <w:rFonts w:ascii="Calibri" w:eastAsia="Calibri" w:hAnsi="Calibri" w:cs="Calibri"/>
                <w:color w:val="000000"/>
                <w:lang w:eastAsia="en-US"/>
              </w:rPr>
              <w:t>Health NZ</w:t>
            </w:r>
            <w:r w:rsidRPr="2864371F">
              <w:rPr>
                <w:rFonts w:ascii="Calibri" w:eastAsia="Calibri" w:hAnsi="Calibri" w:cs="Calibri"/>
                <w:color w:val="000000"/>
                <w:lang w:eastAsia="en-US"/>
              </w:rPr>
              <w:t>.</w:t>
            </w:r>
          </w:p>
        </w:tc>
        <w:tc>
          <w:tcPr>
            <w:tcW w:w="3180" w:type="dxa"/>
            <w:vAlign w:val="center"/>
            <w:hideMark/>
          </w:tcPr>
          <w:p w14:paraId="569446F3" w14:textId="283B1132"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supplier reports are complete and accurate.</w:t>
            </w:r>
          </w:p>
        </w:tc>
      </w:tr>
      <w:tr w:rsidR="009B5BD9" w:rsidRPr="00AE4DBA" w14:paraId="57FA3B7E" w14:textId="77777777" w:rsidTr="2864371F">
        <w:trPr>
          <w:gridAfter w:val="5"/>
          <w:wAfter w:w="15900" w:type="dxa"/>
          <w:trHeight w:val="510"/>
        </w:trPr>
        <w:tc>
          <w:tcPr>
            <w:tcW w:w="1271" w:type="dxa"/>
            <w:vMerge w:val="restart"/>
            <w:vAlign w:val="center"/>
            <w:hideMark/>
          </w:tcPr>
          <w:p w14:paraId="714DF2E6"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Patient air travel – Fixed Wing and airlines</w:t>
            </w:r>
          </w:p>
          <w:p w14:paraId="773C452C" w14:textId="566C4C41"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Accommodation Travel contracts</w:t>
            </w:r>
          </w:p>
        </w:tc>
        <w:tc>
          <w:tcPr>
            <w:tcW w:w="1134" w:type="dxa"/>
            <w:vMerge w:val="restart"/>
            <w:vAlign w:val="center"/>
            <w:hideMark/>
          </w:tcPr>
          <w:p w14:paraId="0AE4BAB7"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Skyline Aviation</w:t>
            </w:r>
          </w:p>
          <w:p w14:paraId="5E36A165" w14:textId="03DBC5D1"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Life Flight Trust</w:t>
            </w:r>
          </w:p>
        </w:tc>
        <w:tc>
          <w:tcPr>
            <w:tcW w:w="851" w:type="dxa"/>
            <w:gridSpan w:val="2"/>
            <w:vMerge w:val="restart"/>
            <w:vAlign w:val="center"/>
            <w:hideMark/>
          </w:tcPr>
          <w:p w14:paraId="4563C443"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Hrs</w:t>
            </w:r>
          </w:p>
          <w:p w14:paraId="70DA75A2" w14:textId="1F6D231F"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Litres</w:t>
            </w:r>
          </w:p>
        </w:tc>
        <w:tc>
          <w:tcPr>
            <w:tcW w:w="2268" w:type="dxa"/>
            <w:vAlign w:val="center"/>
            <w:hideMark/>
          </w:tcPr>
          <w:p w14:paraId="07DFAECF" w14:textId="531B9AD3"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TWO Aviation fuels - B200 - hours</w:t>
            </w:r>
          </w:p>
        </w:tc>
        <w:tc>
          <w:tcPr>
            <w:tcW w:w="5244" w:type="dxa"/>
            <w:vMerge w:val="restart"/>
            <w:vAlign w:val="center"/>
            <w:hideMark/>
          </w:tcPr>
          <w:p w14:paraId="619A6220" w14:textId="42AB2A47" w:rsidR="009B5BD9" w:rsidRPr="00AE4DBA" w:rsidRDefault="79EAA3AD"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Flights for ACC, MoH, Organ donation, and transport are filtered out of datasets as they are not invoiced to </w:t>
            </w:r>
            <w:r w:rsidR="78BCE47A" w:rsidRPr="2864371F">
              <w:rPr>
                <w:rFonts w:ascii="Calibri" w:eastAsia="Calibri" w:hAnsi="Calibri" w:cs="Calibri"/>
                <w:color w:val="000000"/>
                <w:lang w:eastAsia="en-US"/>
              </w:rPr>
              <w:t>Health NZ</w:t>
            </w:r>
            <w:r w:rsidRPr="2864371F">
              <w:rPr>
                <w:rFonts w:ascii="Calibri" w:eastAsia="Calibri" w:hAnsi="Calibri" w:cs="Calibri"/>
                <w:color w:val="000000"/>
                <w:lang w:eastAsia="en-US"/>
              </w:rPr>
              <w:t>.</w:t>
            </w:r>
          </w:p>
          <w:p w14:paraId="2B41DE7E" w14:textId="7AB347ED"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Adobe Clean DC" w:eastAsia="Calibri" w:hAnsi="Adobe Clean DC" w:cs="Adobe Clean DC"/>
                <w:color w:val="000000"/>
                <w:szCs w:val="20"/>
              </w:rPr>
              <w:t>Patient data is divided by the number of patients on the flight and disaggregated into districts based on domicile.</w:t>
            </w:r>
          </w:p>
        </w:tc>
        <w:tc>
          <w:tcPr>
            <w:tcW w:w="3180" w:type="dxa"/>
            <w:vMerge w:val="restart"/>
            <w:vAlign w:val="center"/>
            <w:hideMark/>
          </w:tcPr>
          <w:p w14:paraId="218C637A"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supplier reports are complete and accurate.</w:t>
            </w:r>
          </w:p>
          <w:p w14:paraId="19015075" w14:textId="3914F39F" w:rsidR="009B5BD9" w:rsidRPr="00AE4DBA" w:rsidRDefault="009B5BD9"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p>
        </w:tc>
      </w:tr>
      <w:tr w:rsidR="009B5BD9" w:rsidRPr="00AE4DBA" w14:paraId="79C11088" w14:textId="77777777" w:rsidTr="2864371F">
        <w:trPr>
          <w:gridAfter w:val="5"/>
          <w:wAfter w:w="15900" w:type="dxa"/>
          <w:trHeight w:val="300"/>
        </w:trPr>
        <w:tc>
          <w:tcPr>
            <w:tcW w:w="1271" w:type="dxa"/>
            <w:vMerge/>
            <w:vAlign w:val="center"/>
            <w:hideMark/>
          </w:tcPr>
          <w:p w14:paraId="3D21612F"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Merge/>
            <w:vAlign w:val="center"/>
            <w:hideMark/>
          </w:tcPr>
          <w:p w14:paraId="449A0D3C"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851" w:type="dxa"/>
            <w:gridSpan w:val="2"/>
            <w:vMerge/>
            <w:vAlign w:val="center"/>
            <w:hideMark/>
          </w:tcPr>
          <w:p w14:paraId="64FA835F"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Align w:val="center"/>
            <w:hideMark/>
          </w:tcPr>
          <w:p w14:paraId="798EC5C6" w14:textId="1D74DE6D"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TWO Aviation fuels - C90 - hours</w:t>
            </w:r>
          </w:p>
        </w:tc>
        <w:tc>
          <w:tcPr>
            <w:tcW w:w="5244" w:type="dxa"/>
            <w:vMerge/>
            <w:vAlign w:val="center"/>
            <w:hideMark/>
          </w:tcPr>
          <w:p w14:paraId="75463D34"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3180" w:type="dxa"/>
            <w:vMerge/>
            <w:vAlign w:val="center"/>
            <w:hideMark/>
          </w:tcPr>
          <w:p w14:paraId="22A6F2E5"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2997EEF4" w14:textId="77777777" w:rsidTr="2864371F">
        <w:trPr>
          <w:gridAfter w:val="5"/>
          <w:wAfter w:w="15900" w:type="dxa"/>
          <w:trHeight w:val="300"/>
        </w:trPr>
        <w:tc>
          <w:tcPr>
            <w:tcW w:w="1271" w:type="dxa"/>
            <w:vMerge/>
            <w:vAlign w:val="center"/>
            <w:hideMark/>
          </w:tcPr>
          <w:p w14:paraId="7EA42D56"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Merge/>
            <w:vAlign w:val="center"/>
            <w:hideMark/>
          </w:tcPr>
          <w:p w14:paraId="7B6C26DD"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851" w:type="dxa"/>
            <w:gridSpan w:val="2"/>
            <w:vMerge/>
            <w:vAlign w:val="center"/>
            <w:hideMark/>
          </w:tcPr>
          <w:p w14:paraId="7F1BD867"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noWrap/>
            <w:vAlign w:val="center"/>
            <w:hideMark/>
          </w:tcPr>
          <w:p w14:paraId="6A49EBD0" w14:textId="5396842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TWO Aviation fuels - 400XT - hours</w:t>
            </w:r>
          </w:p>
        </w:tc>
        <w:tc>
          <w:tcPr>
            <w:tcW w:w="5244" w:type="dxa"/>
            <w:vMerge/>
            <w:vAlign w:val="center"/>
            <w:hideMark/>
          </w:tcPr>
          <w:p w14:paraId="30E88944"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3180" w:type="dxa"/>
            <w:vMerge/>
            <w:vAlign w:val="center"/>
            <w:hideMark/>
          </w:tcPr>
          <w:p w14:paraId="63E6D576"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024E7CE0" w14:textId="77777777" w:rsidTr="2864371F">
        <w:trPr>
          <w:gridAfter w:val="5"/>
          <w:wAfter w:w="15900" w:type="dxa"/>
          <w:trHeight w:val="300"/>
        </w:trPr>
        <w:tc>
          <w:tcPr>
            <w:tcW w:w="1271" w:type="dxa"/>
            <w:vMerge/>
            <w:vAlign w:val="center"/>
            <w:hideMark/>
          </w:tcPr>
          <w:p w14:paraId="44B6CD5F"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Merge/>
            <w:vAlign w:val="center"/>
            <w:hideMark/>
          </w:tcPr>
          <w:p w14:paraId="33F1A156"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851" w:type="dxa"/>
            <w:gridSpan w:val="2"/>
            <w:vMerge/>
            <w:vAlign w:val="center"/>
            <w:hideMark/>
          </w:tcPr>
          <w:p w14:paraId="57C72254"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noWrap/>
            <w:vAlign w:val="center"/>
            <w:hideMark/>
          </w:tcPr>
          <w:p w14:paraId="0D7CD24D" w14:textId="759498FF"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TWO Aviation fuels – Sovereign - hours</w:t>
            </w:r>
          </w:p>
        </w:tc>
        <w:tc>
          <w:tcPr>
            <w:tcW w:w="5244" w:type="dxa"/>
            <w:vMerge/>
            <w:vAlign w:val="center"/>
            <w:hideMark/>
          </w:tcPr>
          <w:p w14:paraId="089C8907"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3180" w:type="dxa"/>
            <w:vMerge/>
            <w:vAlign w:val="center"/>
            <w:hideMark/>
          </w:tcPr>
          <w:p w14:paraId="784175BB"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303D4C7B" w14:textId="77777777" w:rsidTr="2864371F">
        <w:trPr>
          <w:gridAfter w:val="5"/>
          <w:wAfter w:w="15900" w:type="dxa"/>
          <w:trHeight w:val="300"/>
        </w:trPr>
        <w:tc>
          <w:tcPr>
            <w:tcW w:w="1271" w:type="dxa"/>
            <w:vMerge/>
            <w:vAlign w:val="center"/>
            <w:hideMark/>
          </w:tcPr>
          <w:p w14:paraId="18194D42"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Merge/>
            <w:vAlign w:val="center"/>
            <w:hideMark/>
          </w:tcPr>
          <w:p w14:paraId="1DB59314"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851" w:type="dxa"/>
            <w:gridSpan w:val="2"/>
            <w:vMerge/>
            <w:vAlign w:val="center"/>
            <w:hideMark/>
          </w:tcPr>
          <w:p w14:paraId="59D8364A"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noWrap/>
            <w:vAlign w:val="center"/>
            <w:hideMark/>
          </w:tcPr>
          <w:p w14:paraId="56A78E6C" w14:textId="03F70822"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TWO Aviation fuels – Mustang - hours</w:t>
            </w:r>
          </w:p>
        </w:tc>
        <w:tc>
          <w:tcPr>
            <w:tcW w:w="5244" w:type="dxa"/>
            <w:vMerge/>
            <w:vAlign w:val="center"/>
            <w:hideMark/>
          </w:tcPr>
          <w:p w14:paraId="750FA165"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3180" w:type="dxa"/>
            <w:vMerge/>
            <w:vAlign w:val="center"/>
            <w:hideMark/>
          </w:tcPr>
          <w:p w14:paraId="73AF8990"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1A0578C5" w14:textId="77777777" w:rsidTr="2864371F">
        <w:trPr>
          <w:gridAfter w:val="5"/>
          <w:wAfter w:w="15900" w:type="dxa"/>
          <w:trHeight w:val="300"/>
        </w:trPr>
        <w:tc>
          <w:tcPr>
            <w:tcW w:w="1271" w:type="dxa"/>
            <w:vMerge/>
            <w:vAlign w:val="center"/>
            <w:hideMark/>
          </w:tcPr>
          <w:p w14:paraId="3AABC534"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Merge/>
            <w:vAlign w:val="center"/>
            <w:hideMark/>
          </w:tcPr>
          <w:p w14:paraId="6AB93068"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851" w:type="dxa"/>
            <w:gridSpan w:val="2"/>
            <w:vMerge/>
            <w:vAlign w:val="center"/>
            <w:hideMark/>
          </w:tcPr>
          <w:p w14:paraId="5D8301C9"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noWrap/>
            <w:vAlign w:val="center"/>
            <w:hideMark/>
          </w:tcPr>
          <w:p w14:paraId="05E86D77" w14:textId="0AC9F885" w:rsidR="009B5BD9" w:rsidRPr="00AE4DBA" w:rsidRDefault="79EAA3AD"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Aviation fuel (kerosene) - litre (</w:t>
            </w:r>
            <w:r w:rsidR="78BCE47A" w:rsidRPr="2864371F">
              <w:rPr>
                <w:rFonts w:ascii="Calibri" w:eastAsia="Calibri" w:hAnsi="Calibri" w:cs="Calibri"/>
                <w:color w:val="000000"/>
                <w:lang w:eastAsia="en-US"/>
              </w:rPr>
              <w:t>Cat 3</w:t>
            </w:r>
            <w:r w:rsidRPr="2864371F">
              <w:rPr>
                <w:rFonts w:ascii="Calibri" w:eastAsia="Calibri" w:hAnsi="Calibri" w:cs="Calibri"/>
                <w:color w:val="000000"/>
                <w:lang w:eastAsia="en-US"/>
              </w:rPr>
              <w:t>)</w:t>
            </w:r>
          </w:p>
        </w:tc>
        <w:tc>
          <w:tcPr>
            <w:tcW w:w="5244" w:type="dxa"/>
            <w:vMerge/>
            <w:vAlign w:val="center"/>
            <w:hideMark/>
          </w:tcPr>
          <w:p w14:paraId="40BC21DB"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3180" w:type="dxa"/>
            <w:vMerge/>
            <w:vAlign w:val="center"/>
            <w:hideMark/>
          </w:tcPr>
          <w:p w14:paraId="0C6BAE2C"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4D3CDB01" w14:textId="77777777" w:rsidTr="2864371F">
        <w:trPr>
          <w:gridAfter w:val="5"/>
          <w:wAfter w:w="15900" w:type="dxa"/>
          <w:trHeight w:val="300"/>
        </w:trPr>
        <w:tc>
          <w:tcPr>
            <w:tcW w:w="1271" w:type="dxa"/>
            <w:vMerge/>
            <w:vAlign w:val="center"/>
            <w:hideMark/>
          </w:tcPr>
          <w:p w14:paraId="5EF6EC8A"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41DD5535" w14:textId="5C49FA0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Stewart Island Flights</w:t>
            </w:r>
          </w:p>
        </w:tc>
        <w:tc>
          <w:tcPr>
            <w:tcW w:w="851" w:type="dxa"/>
            <w:gridSpan w:val="2"/>
            <w:vAlign w:val="center"/>
            <w:hideMark/>
          </w:tcPr>
          <w:p w14:paraId="631A9B62" w14:textId="18D97A71"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Litres</w:t>
            </w:r>
          </w:p>
        </w:tc>
        <w:tc>
          <w:tcPr>
            <w:tcW w:w="2268" w:type="dxa"/>
            <w:vAlign w:val="center"/>
            <w:hideMark/>
          </w:tcPr>
          <w:p w14:paraId="0EC7E33C" w14:textId="757D7A35" w:rsidR="009B5BD9" w:rsidRPr="00AE4DBA" w:rsidRDefault="79EAA3AD"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Aviation fuel (kerosene) - litre (</w:t>
            </w:r>
            <w:r w:rsidR="78BCE47A" w:rsidRPr="2864371F">
              <w:rPr>
                <w:rFonts w:ascii="Calibri" w:eastAsia="Calibri" w:hAnsi="Calibri" w:cs="Calibri"/>
                <w:color w:val="000000"/>
                <w:lang w:eastAsia="en-US"/>
              </w:rPr>
              <w:t>Cat</w:t>
            </w:r>
            <w:r w:rsidRPr="2864371F">
              <w:rPr>
                <w:rFonts w:ascii="Calibri" w:eastAsia="Calibri" w:hAnsi="Calibri" w:cs="Calibri"/>
                <w:color w:val="000000"/>
                <w:lang w:eastAsia="en-US"/>
              </w:rPr>
              <w:t>3)</w:t>
            </w:r>
          </w:p>
        </w:tc>
        <w:tc>
          <w:tcPr>
            <w:tcW w:w="5244" w:type="dxa"/>
            <w:vAlign w:val="center"/>
            <w:hideMark/>
          </w:tcPr>
          <w:p w14:paraId="2565261A" w14:textId="0BC745BA"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Adobe Clean DC" w:eastAsia="Calibri" w:hAnsi="Adobe Clean DC" w:cs="Adobe Clean DC"/>
                <w:color w:val="000000"/>
                <w:szCs w:val="20"/>
              </w:rPr>
              <w:t>All flights recorded as 0.85 hours</w:t>
            </w:r>
          </w:p>
        </w:tc>
        <w:tc>
          <w:tcPr>
            <w:tcW w:w="3180" w:type="dxa"/>
            <w:vMerge/>
            <w:vAlign w:val="center"/>
            <w:hideMark/>
          </w:tcPr>
          <w:p w14:paraId="34737ADA"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76086537" w14:textId="77777777" w:rsidTr="2864371F">
        <w:trPr>
          <w:gridAfter w:val="5"/>
          <w:wAfter w:w="15900" w:type="dxa"/>
          <w:trHeight w:val="300"/>
        </w:trPr>
        <w:tc>
          <w:tcPr>
            <w:tcW w:w="1271" w:type="dxa"/>
            <w:vMerge/>
            <w:vAlign w:val="center"/>
            <w:hideMark/>
          </w:tcPr>
          <w:p w14:paraId="32AA9F17"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56A5F425" w14:textId="57A52ACA"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Garden City Aviation</w:t>
            </w:r>
          </w:p>
        </w:tc>
        <w:tc>
          <w:tcPr>
            <w:tcW w:w="851" w:type="dxa"/>
            <w:gridSpan w:val="2"/>
            <w:vMerge w:val="restart"/>
            <w:vAlign w:val="center"/>
            <w:hideMark/>
          </w:tcPr>
          <w:p w14:paraId="0C6F09AE"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Litres</w:t>
            </w:r>
          </w:p>
          <w:p w14:paraId="37941186" w14:textId="1AD2FCB4"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tCO</w:t>
            </w:r>
            <w:r w:rsidRPr="00AE4DBA">
              <w:rPr>
                <w:rFonts w:ascii="Calibri" w:eastAsia="Calibri" w:hAnsi="Calibri" w:cs="Calibri"/>
                <w:color w:val="000000"/>
                <w:szCs w:val="20"/>
                <w:vertAlign w:val="subscript"/>
                <w:lang w:eastAsia="en-US"/>
              </w:rPr>
              <w:t>2</w:t>
            </w:r>
            <w:r w:rsidRPr="00AE4DBA">
              <w:rPr>
                <w:rFonts w:ascii="Calibri" w:eastAsia="Calibri" w:hAnsi="Calibri" w:cs="Calibri"/>
                <w:color w:val="000000"/>
                <w:szCs w:val="20"/>
                <w:lang w:eastAsia="en-US"/>
              </w:rPr>
              <w:t>e</w:t>
            </w:r>
          </w:p>
        </w:tc>
        <w:tc>
          <w:tcPr>
            <w:tcW w:w="2268" w:type="dxa"/>
            <w:vMerge w:val="restart"/>
            <w:vAlign w:val="center"/>
            <w:hideMark/>
          </w:tcPr>
          <w:p w14:paraId="3676EFEE" w14:textId="339D35D8" w:rsidR="009B5BD9" w:rsidRPr="00AE4DBA" w:rsidRDefault="79EAA3AD"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Aviation fuel (kerosene) - litre (C</w:t>
            </w:r>
            <w:r w:rsidR="78BCE47A" w:rsidRPr="2864371F">
              <w:rPr>
                <w:rFonts w:ascii="Calibri" w:eastAsia="Calibri" w:hAnsi="Calibri" w:cs="Calibri"/>
                <w:color w:val="000000"/>
                <w:lang w:eastAsia="en-US"/>
              </w:rPr>
              <w:t xml:space="preserve">at </w:t>
            </w:r>
            <w:r w:rsidRPr="2864371F">
              <w:rPr>
                <w:rFonts w:ascii="Calibri" w:eastAsia="Calibri" w:hAnsi="Calibri" w:cs="Calibri"/>
                <w:color w:val="000000"/>
                <w:lang w:eastAsia="en-US"/>
              </w:rPr>
              <w:t>3)</w:t>
            </w:r>
          </w:p>
          <w:p w14:paraId="4671129A" w14:textId="0BDF4D7D"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roofErr w:type="spellStart"/>
            <w:r w:rsidRPr="00AE4DBA">
              <w:rPr>
                <w:rFonts w:ascii="Calibri" w:eastAsia="Calibri" w:hAnsi="Calibri" w:cs="Calibri"/>
                <w:color w:val="000000"/>
                <w:szCs w:val="20"/>
                <w:lang w:eastAsia="en-US"/>
              </w:rPr>
              <w:t>AirNZ's</w:t>
            </w:r>
            <w:proofErr w:type="spellEnd"/>
            <w:r w:rsidRPr="00AE4DBA">
              <w:rPr>
                <w:rFonts w:ascii="Calibri" w:eastAsia="Calibri" w:hAnsi="Calibri" w:cs="Calibri"/>
                <w:color w:val="000000"/>
                <w:szCs w:val="20"/>
                <w:lang w:eastAsia="en-US"/>
              </w:rPr>
              <w:t xml:space="preserve"> tCO</w:t>
            </w:r>
            <w:r w:rsidRPr="00AE4DBA">
              <w:rPr>
                <w:rFonts w:ascii="Calibri" w:eastAsia="Calibri" w:hAnsi="Calibri" w:cs="Calibri"/>
                <w:color w:val="000000"/>
                <w:szCs w:val="20"/>
                <w:vertAlign w:val="subscript"/>
                <w:lang w:eastAsia="en-US"/>
              </w:rPr>
              <w:t>2</w:t>
            </w:r>
            <w:r w:rsidRPr="00AE4DBA">
              <w:rPr>
                <w:rFonts w:ascii="Calibri" w:eastAsia="Calibri" w:hAnsi="Calibri" w:cs="Calibri"/>
                <w:color w:val="000000"/>
                <w:szCs w:val="20"/>
                <w:lang w:eastAsia="en-US"/>
              </w:rPr>
              <w:t>e number.</w:t>
            </w:r>
          </w:p>
        </w:tc>
        <w:tc>
          <w:tcPr>
            <w:tcW w:w="5244" w:type="dxa"/>
            <w:vAlign w:val="center"/>
            <w:hideMark/>
          </w:tcPr>
          <w:p w14:paraId="7AE37E60" w14:textId="76E71AEE"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Adobe Clean DC" w:eastAsia="Calibri" w:hAnsi="Adobe Clean DC" w:cs="Adobe Clean DC"/>
                <w:color w:val="000000"/>
                <w:szCs w:val="20"/>
              </w:rPr>
              <w:t>ACC and training flights were removed.  Some flights do not have district charges entered, so some assumptions made based on airport codes to allocate to district-level</w:t>
            </w:r>
          </w:p>
        </w:tc>
        <w:tc>
          <w:tcPr>
            <w:tcW w:w="3180" w:type="dxa"/>
            <w:vMerge/>
            <w:vAlign w:val="center"/>
            <w:hideMark/>
          </w:tcPr>
          <w:p w14:paraId="04742051"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762C5350" w14:textId="77777777" w:rsidTr="2864371F">
        <w:trPr>
          <w:gridAfter w:val="5"/>
          <w:wAfter w:w="15900" w:type="dxa"/>
          <w:trHeight w:val="300"/>
        </w:trPr>
        <w:tc>
          <w:tcPr>
            <w:tcW w:w="1271" w:type="dxa"/>
            <w:vMerge/>
            <w:vAlign w:val="center"/>
            <w:hideMark/>
          </w:tcPr>
          <w:p w14:paraId="3B1FEC1D"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52B1D533" w14:textId="1093A71A"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Philips Search and Rescue</w:t>
            </w:r>
          </w:p>
        </w:tc>
        <w:tc>
          <w:tcPr>
            <w:tcW w:w="851" w:type="dxa"/>
            <w:gridSpan w:val="2"/>
            <w:vMerge/>
            <w:vAlign w:val="center"/>
            <w:hideMark/>
          </w:tcPr>
          <w:p w14:paraId="0B4CD601"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Merge/>
            <w:vAlign w:val="center"/>
            <w:hideMark/>
          </w:tcPr>
          <w:p w14:paraId="1DBA9AFD"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hideMark/>
          </w:tcPr>
          <w:p w14:paraId="1AD89F59" w14:textId="0448BA32"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Adobe Clean DC" w:eastAsia="Calibri" w:hAnsi="Adobe Clean DC" w:cs="Adobe Clean DC"/>
                <w:color w:val="000000"/>
                <w:szCs w:val="20"/>
              </w:rPr>
              <w:t>Receive aggregated totals for each quarter, not individual flights. Monthly data is the quarterly data divided by the number of months.</w:t>
            </w:r>
          </w:p>
        </w:tc>
        <w:tc>
          <w:tcPr>
            <w:tcW w:w="3180" w:type="dxa"/>
            <w:vMerge/>
            <w:vAlign w:val="center"/>
            <w:hideMark/>
          </w:tcPr>
          <w:p w14:paraId="0365DF18"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3BCD43ED" w14:textId="77777777" w:rsidTr="2864371F">
        <w:trPr>
          <w:gridAfter w:val="5"/>
          <w:wAfter w:w="15900" w:type="dxa"/>
          <w:trHeight w:val="300"/>
        </w:trPr>
        <w:tc>
          <w:tcPr>
            <w:tcW w:w="1271" w:type="dxa"/>
            <w:vMerge/>
            <w:vAlign w:val="center"/>
            <w:hideMark/>
          </w:tcPr>
          <w:p w14:paraId="1D851BBA"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16856532" w14:textId="479D0030"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Air NZ - direct patient credit cards</w:t>
            </w:r>
          </w:p>
        </w:tc>
        <w:tc>
          <w:tcPr>
            <w:tcW w:w="851" w:type="dxa"/>
            <w:gridSpan w:val="2"/>
            <w:vMerge/>
            <w:vAlign w:val="center"/>
            <w:hideMark/>
          </w:tcPr>
          <w:p w14:paraId="1687F29A"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Merge/>
            <w:vAlign w:val="center"/>
            <w:hideMark/>
          </w:tcPr>
          <w:p w14:paraId="7872C3B3"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hideMark/>
          </w:tcPr>
          <w:p w14:paraId="65CAAE59" w14:textId="795988B0" w:rsidR="009B5BD9" w:rsidRPr="00AE4DBA" w:rsidRDefault="727F24F4"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Data pulled directly from </w:t>
            </w:r>
            <w:proofErr w:type="spellStart"/>
            <w:r w:rsidRPr="2864371F">
              <w:rPr>
                <w:rFonts w:ascii="Calibri" w:eastAsia="Calibri" w:hAnsi="Calibri" w:cs="Calibri"/>
                <w:color w:val="000000"/>
                <w:lang w:eastAsia="en-US"/>
              </w:rPr>
              <w:t>AirNZ</w:t>
            </w:r>
            <w:proofErr w:type="spellEnd"/>
            <w:r w:rsidRPr="2864371F">
              <w:rPr>
                <w:rFonts w:ascii="Calibri" w:eastAsia="Calibri" w:hAnsi="Calibri" w:cs="Calibri"/>
                <w:color w:val="000000"/>
                <w:lang w:eastAsia="en-US"/>
              </w:rPr>
              <w:t xml:space="preserve"> portal</w:t>
            </w:r>
          </w:p>
        </w:tc>
        <w:tc>
          <w:tcPr>
            <w:tcW w:w="3180" w:type="dxa"/>
            <w:vMerge/>
            <w:vAlign w:val="center"/>
            <w:hideMark/>
          </w:tcPr>
          <w:p w14:paraId="2B8F8425"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3BE2353A" w14:textId="77777777" w:rsidTr="2864371F">
        <w:trPr>
          <w:gridAfter w:val="5"/>
          <w:wAfter w:w="15900" w:type="dxa"/>
          <w:trHeight w:val="510"/>
        </w:trPr>
        <w:tc>
          <w:tcPr>
            <w:tcW w:w="1271" w:type="dxa"/>
            <w:vMerge/>
            <w:vAlign w:val="center"/>
            <w:hideMark/>
          </w:tcPr>
          <w:p w14:paraId="4CB3B5AF"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254DEB91" w14:textId="6113F963" w:rsidR="009B5BD9" w:rsidRPr="00AE4DBA" w:rsidRDefault="79EAA3AD"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 xml:space="preserve">Tandem- </w:t>
            </w:r>
            <w:r w:rsidR="2C844AA2" w:rsidRPr="2864371F">
              <w:rPr>
                <w:rFonts w:ascii="Calibri" w:eastAsia="Calibri" w:hAnsi="Calibri" w:cs="Calibri"/>
                <w:color w:val="000000"/>
                <w:lang w:eastAsia="en-US"/>
              </w:rPr>
              <w:t>Health NZ</w:t>
            </w:r>
            <w:r w:rsidRPr="2864371F">
              <w:rPr>
                <w:rFonts w:ascii="Calibri" w:eastAsia="Calibri" w:hAnsi="Calibri" w:cs="Calibri"/>
                <w:color w:val="000000"/>
                <w:lang w:eastAsia="en-US"/>
              </w:rPr>
              <w:t xml:space="preserve"> </w:t>
            </w:r>
            <w:r w:rsidRPr="2864371F">
              <w:rPr>
                <w:rFonts w:ascii="Calibri" w:eastAsia="Calibri" w:hAnsi="Calibri" w:cs="Calibri"/>
                <w:color w:val="000000"/>
                <w:lang w:eastAsia="en-US"/>
              </w:rPr>
              <w:lastRenderedPageBreak/>
              <w:t>patients NTA</w:t>
            </w:r>
          </w:p>
        </w:tc>
        <w:tc>
          <w:tcPr>
            <w:tcW w:w="851" w:type="dxa"/>
            <w:gridSpan w:val="2"/>
            <w:vAlign w:val="center"/>
            <w:hideMark/>
          </w:tcPr>
          <w:p w14:paraId="3952F038" w14:textId="363E168C"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roofErr w:type="spellStart"/>
            <w:r w:rsidRPr="00AE4DBA">
              <w:rPr>
                <w:rFonts w:ascii="Calibri" w:eastAsia="Calibri" w:hAnsi="Calibri" w:cs="Calibri"/>
                <w:color w:val="000000"/>
                <w:szCs w:val="20"/>
                <w:lang w:eastAsia="en-US"/>
              </w:rPr>
              <w:lastRenderedPageBreak/>
              <w:t>pkm</w:t>
            </w:r>
            <w:proofErr w:type="spellEnd"/>
          </w:p>
        </w:tc>
        <w:tc>
          <w:tcPr>
            <w:tcW w:w="2268" w:type="dxa"/>
            <w:vAlign w:val="center"/>
            <w:hideMark/>
          </w:tcPr>
          <w:p w14:paraId="3DD66651" w14:textId="51AD9CCC"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 xml:space="preserve">Domestic - National average - With Radiative </w:t>
            </w:r>
            <w:r w:rsidRPr="00AE4DBA">
              <w:rPr>
                <w:rFonts w:ascii="Calibri" w:eastAsia="Calibri" w:hAnsi="Calibri" w:cs="Calibri"/>
                <w:color w:val="000000"/>
                <w:szCs w:val="20"/>
                <w:lang w:eastAsia="en-US"/>
              </w:rPr>
              <w:lastRenderedPageBreak/>
              <w:t>Forcing;</w:t>
            </w:r>
            <w:r w:rsidRPr="00AE4DBA">
              <w:rPr>
                <w:rFonts w:ascii="Calibri" w:eastAsia="Calibri" w:hAnsi="Calibri" w:cs="Calibri"/>
                <w:color w:val="000000"/>
                <w:szCs w:val="20"/>
                <w:lang w:eastAsia="en-US"/>
              </w:rPr>
              <w:br/>
              <w:t>Short-haul (&lt;3700km) - Economy, Premium, Business class - passenger - With Radiative Forcing;</w:t>
            </w:r>
            <w:r w:rsidRPr="00AE4DBA">
              <w:rPr>
                <w:rFonts w:ascii="Calibri" w:eastAsia="Calibri" w:hAnsi="Calibri" w:cs="Calibri"/>
                <w:color w:val="000000"/>
                <w:szCs w:val="20"/>
                <w:lang w:eastAsia="en-US"/>
              </w:rPr>
              <w:br/>
              <w:t>Long-haul (&gt;3700km) - Economy, Premium, Business class passenger - With Radiative Forcing</w:t>
            </w:r>
          </w:p>
        </w:tc>
        <w:tc>
          <w:tcPr>
            <w:tcW w:w="5244" w:type="dxa"/>
            <w:vAlign w:val="center"/>
            <w:hideMark/>
          </w:tcPr>
          <w:p w14:paraId="65200053" w14:textId="0C650C5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lastRenderedPageBreak/>
              <w:t>Patient data is included in Tandem set with staff data.</w:t>
            </w:r>
          </w:p>
        </w:tc>
        <w:tc>
          <w:tcPr>
            <w:tcW w:w="3180" w:type="dxa"/>
            <w:vMerge/>
            <w:vAlign w:val="center"/>
            <w:hideMark/>
          </w:tcPr>
          <w:p w14:paraId="17B95442"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3BA94EB6" w14:textId="77777777" w:rsidTr="2864371F">
        <w:trPr>
          <w:gridAfter w:val="5"/>
          <w:wAfter w:w="15900" w:type="dxa"/>
          <w:trHeight w:val="1125"/>
        </w:trPr>
        <w:tc>
          <w:tcPr>
            <w:tcW w:w="1271" w:type="dxa"/>
            <w:vMerge/>
            <w:vAlign w:val="center"/>
            <w:hideMark/>
          </w:tcPr>
          <w:p w14:paraId="7020D652"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36CB0957" w14:textId="0C8DA49E"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Orbit - Patients</w:t>
            </w:r>
          </w:p>
        </w:tc>
        <w:tc>
          <w:tcPr>
            <w:tcW w:w="851" w:type="dxa"/>
            <w:gridSpan w:val="2"/>
            <w:vAlign w:val="center"/>
            <w:hideMark/>
          </w:tcPr>
          <w:p w14:paraId="26322AB2" w14:textId="27FD3AE4"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kgCO</w:t>
            </w:r>
            <w:r w:rsidRPr="00AE4DBA">
              <w:rPr>
                <w:rFonts w:ascii="Calibri" w:eastAsia="Calibri" w:hAnsi="Calibri" w:cs="Calibri"/>
                <w:color w:val="000000"/>
                <w:szCs w:val="20"/>
                <w:vertAlign w:val="subscript"/>
                <w:lang w:eastAsia="en-US"/>
              </w:rPr>
              <w:t>2</w:t>
            </w:r>
            <w:r w:rsidRPr="00AE4DBA">
              <w:rPr>
                <w:rFonts w:ascii="Calibri" w:eastAsia="Calibri" w:hAnsi="Calibri" w:cs="Calibri"/>
                <w:color w:val="000000"/>
                <w:szCs w:val="20"/>
                <w:lang w:eastAsia="en-US"/>
              </w:rPr>
              <w:t>e</w:t>
            </w:r>
          </w:p>
        </w:tc>
        <w:tc>
          <w:tcPr>
            <w:tcW w:w="2268" w:type="dxa"/>
            <w:vAlign w:val="center"/>
            <w:hideMark/>
          </w:tcPr>
          <w:p w14:paraId="6D9CAB34" w14:textId="14D6770A"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Direct KgCO</w:t>
            </w:r>
            <w:r w:rsidRPr="00AE4DBA">
              <w:rPr>
                <w:rFonts w:ascii="Calibri" w:eastAsia="Calibri" w:hAnsi="Calibri" w:cs="Calibri"/>
                <w:color w:val="000000"/>
                <w:szCs w:val="20"/>
                <w:vertAlign w:val="subscript"/>
                <w:lang w:eastAsia="en-US"/>
              </w:rPr>
              <w:t>2</w:t>
            </w:r>
            <w:r w:rsidRPr="00AE4DBA">
              <w:rPr>
                <w:rFonts w:ascii="Calibri" w:eastAsia="Calibri" w:hAnsi="Calibri" w:cs="Calibri"/>
                <w:color w:val="000000"/>
                <w:szCs w:val="20"/>
                <w:lang w:eastAsia="en-US"/>
              </w:rPr>
              <w:t>e</w:t>
            </w:r>
          </w:p>
        </w:tc>
        <w:tc>
          <w:tcPr>
            <w:tcW w:w="5244" w:type="dxa"/>
            <w:vAlign w:val="center"/>
            <w:hideMark/>
          </w:tcPr>
          <w:p w14:paraId="2E60E11A" w14:textId="060FB99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Patient data included in Tandem set with staff data</w:t>
            </w:r>
          </w:p>
        </w:tc>
        <w:tc>
          <w:tcPr>
            <w:tcW w:w="3180" w:type="dxa"/>
            <w:vMerge/>
            <w:vAlign w:val="center"/>
            <w:hideMark/>
          </w:tcPr>
          <w:p w14:paraId="55A87BFC"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24183F59" w14:textId="77777777" w:rsidTr="2864371F">
        <w:trPr>
          <w:gridAfter w:val="5"/>
          <w:wAfter w:w="15900" w:type="dxa"/>
          <w:trHeight w:val="586"/>
        </w:trPr>
        <w:tc>
          <w:tcPr>
            <w:tcW w:w="1271" w:type="dxa"/>
            <w:vMerge/>
            <w:vAlign w:val="center"/>
            <w:hideMark/>
          </w:tcPr>
          <w:p w14:paraId="693D5FA0"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728A7036" w14:textId="1906F98D"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Air Wanganui</w:t>
            </w:r>
          </w:p>
        </w:tc>
        <w:tc>
          <w:tcPr>
            <w:tcW w:w="851" w:type="dxa"/>
            <w:gridSpan w:val="2"/>
            <w:vAlign w:val="center"/>
            <w:hideMark/>
          </w:tcPr>
          <w:p w14:paraId="43FFC7D2" w14:textId="0E2885ED"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Litres</w:t>
            </w:r>
          </w:p>
        </w:tc>
        <w:tc>
          <w:tcPr>
            <w:tcW w:w="2268" w:type="dxa"/>
            <w:vAlign w:val="center"/>
            <w:hideMark/>
          </w:tcPr>
          <w:p w14:paraId="46A19509" w14:textId="35AC5403" w:rsidR="009B5BD9" w:rsidRPr="00AE4DBA" w:rsidRDefault="79EAA3AD"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Aviation fuel (kerosene) - litre (</w:t>
            </w:r>
            <w:r w:rsidR="78BCE47A" w:rsidRPr="2864371F">
              <w:rPr>
                <w:rFonts w:ascii="Calibri" w:eastAsia="Calibri" w:hAnsi="Calibri" w:cs="Calibri"/>
                <w:color w:val="000000"/>
                <w:lang w:eastAsia="en-US"/>
              </w:rPr>
              <w:t>Cat 3</w:t>
            </w:r>
            <w:r w:rsidRPr="2864371F">
              <w:rPr>
                <w:rFonts w:ascii="Calibri" w:eastAsia="Calibri" w:hAnsi="Calibri" w:cs="Calibri"/>
                <w:color w:val="000000"/>
                <w:lang w:eastAsia="en-US"/>
              </w:rPr>
              <w:t>)</w:t>
            </w:r>
          </w:p>
        </w:tc>
        <w:tc>
          <w:tcPr>
            <w:tcW w:w="5244" w:type="dxa"/>
            <w:vAlign w:val="center"/>
            <w:hideMark/>
          </w:tcPr>
          <w:p w14:paraId="3FDF5AA1" w14:textId="7A34C984"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3180" w:type="dxa"/>
            <w:vMerge/>
            <w:vAlign w:val="center"/>
            <w:hideMark/>
          </w:tcPr>
          <w:p w14:paraId="76A49C97"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160183B6" w14:textId="77777777" w:rsidTr="2864371F">
        <w:trPr>
          <w:gridAfter w:val="5"/>
          <w:wAfter w:w="15900" w:type="dxa"/>
          <w:trHeight w:val="300"/>
        </w:trPr>
        <w:tc>
          <w:tcPr>
            <w:tcW w:w="1271" w:type="dxa"/>
            <w:vMerge/>
            <w:vAlign w:val="center"/>
            <w:hideMark/>
          </w:tcPr>
          <w:p w14:paraId="514301C9"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12A86EAA" w14:textId="35E15085"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Air Gisborne</w:t>
            </w:r>
          </w:p>
        </w:tc>
        <w:tc>
          <w:tcPr>
            <w:tcW w:w="851" w:type="dxa"/>
            <w:gridSpan w:val="2"/>
            <w:vAlign w:val="center"/>
            <w:hideMark/>
          </w:tcPr>
          <w:p w14:paraId="62AA1FC9" w14:textId="2AB45BEB"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Litres</w:t>
            </w:r>
          </w:p>
        </w:tc>
        <w:tc>
          <w:tcPr>
            <w:tcW w:w="2268" w:type="dxa"/>
            <w:vAlign w:val="center"/>
            <w:hideMark/>
          </w:tcPr>
          <w:p w14:paraId="33924C6B" w14:textId="799CB305" w:rsidR="009B5BD9" w:rsidRPr="00AE4DBA" w:rsidRDefault="79EAA3AD" w:rsidP="2864371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2864371F">
              <w:rPr>
                <w:rFonts w:ascii="Calibri" w:eastAsia="Calibri" w:hAnsi="Calibri" w:cs="Calibri"/>
                <w:color w:val="000000"/>
                <w:lang w:eastAsia="en-US"/>
              </w:rPr>
              <w:t>Aviation fuel (kerosene) - litre (</w:t>
            </w:r>
            <w:r w:rsidR="78BCE47A" w:rsidRPr="2864371F">
              <w:rPr>
                <w:rFonts w:ascii="Calibri" w:eastAsia="Calibri" w:hAnsi="Calibri" w:cs="Calibri"/>
                <w:color w:val="000000"/>
                <w:lang w:eastAsia="en-US"/>
              </w:rPr>
              <w:t>Cat 3</w:t>
            </w:r>
            <w:r w:rsidRPr="2864371F">
              <w:rPr>
                <w:rFonts w:ascii="Calibri" w:eastAsia="Calibri" w:hAnsi="Calibri" w:cs="Calibri"/>
                <w:color w:val="000000"/>
                <w:lang w:eastAsia="en-US"/>
              </w:rPr>
              <w:t>)</w:t>
            </w:r>
          </w:p>
        </w:tc>
        <w:tc>
          <w:tcPr>
            <w:tcW w:w="5244" w:type="dxa"/>
            <w:vAlign w:val="center"/>
          </w:tcPr>
          <w:p w14:paraId="0E8A7C04" w14:textId="7DA6CB68"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Tairawhiti District only</w:t>
            </w:r>
          </w:p>
        </w:tc>
        <w:tc>
          <w:tcPr>
            <w:tcW w:w="3180" w:type="dxa"/>
            <w:vMerge/>
            <w:vAlign w:val="center"/>
            <w:hideMark/>
          </w:tcPr>
          <w:p w14:paraId="71C46271" w14:textId="77777777" w:rsidR="009B5BD9" w:rsidRPr="00AE4DBA" w:rsidRDefault="009B5BD9" w:rsidP="00870BF7">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73784294" w14:textId="77777777" w:rsidTr="2864371F">
        <w:trPr>
          <w:gridAfter w:val="5"/>
          <w:wAfter w:w="15900" w:type="dxa"/>
          <w:trHeight w:val="300"/>
        </w:trPr>
        <w:tc>
          <w:tcPr>
            <w:tcW w:w="1271" w:type="dxa"/>
            <w:vMerge/>
            <w:vAlign w:val="center"/>
            <w:hideMark/>
          </w:tcPr>
          <w:p w14:paraId="53269DEE"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0B8591E0" w14:textId="515C29BE"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Orbit - House of Travel</w:t>
            </w:r>
          </w:p>
        </w:tc>
        <w:tc>
          <w:tcPr>
            <w:tcW w:w="851" w:type="dxa"/>
            <w:gridSpan w:val="2"/>
            <w:vAlign w:val="center"/>
            <w:hideMark/>
          </w:tcPr>
          <w:p w14:paraId="1E39ECC2" w14:textId="1CE437A2"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roofErr w:type="spellStart"/>
            <w:r w:rsidRPr="00AE4DBA">
              <w:rPr>
                <w:rFonts w:ascii="Calibri" w:eastAsia="Calibri" w:hAnsi="Calibri" w:cs="Calibri"/>
                <w:color w:val="000000"/>
                <w:szCs w:val="20"/>
                <w:lang w:eastAsia="en-US"/>
              </w:rPr>
              <w:t>ppn</w:t>
            </w:r>
            <w:proofErr w:type="spellEnd"/>
          </w:p>
        </w:tc>
        <w:tc>
          <w:tcPr>
            <w:tcW w:w="2268" w:type="dxa"/>
            <w:vAlign w:val="center"/>
            <w:hideMark/>
          </w:tcPr>
          <w:p w14:paraId="2F3C92AA" w14:textId="2C65470C"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 xml:space="preserve">Accommodation factors </w:t>
            </w:r>
            <w:proofErr w:type="spellStart"/>
            <w:r w:rsidRPr="00AE4DBA">
              <w:rPr>
                <w:rFonts w:ascii="Calibri" w:eastAsia="Calibri" w:hAnsi="Calibri" w:cs="Calibri"/>
                <w:color w:val="000000"/>
                <w:szCs w:val="20"/>
                <w:lang w:eastAsia="en-US"/>
              </w:rPr>
              <w:t>MfE</w:t>
            </w:r>
            <w:proofErr w:type="spellEnd"/>
            <w:r w:rsidRPr="00AE4DBA">
              <w:rPr>
                <w:rFonts w:ascii="Calibri" w:eastAsia="Calibri" w:hAnsi="Calibri" w:cs="Calibri"/>
                <w:color w:val="000000"/>
                <w:szCs w:val="20"/>
                <w:lang w:eastAsia="en-US"/>
              </w:rPr>
              <w:t xml:space="preserve"> per night domestic and international</w:t>
            </w:r>
          </w:p>
        </w:tc>
        <w:tc>
          <w:tcPr>
            <w:tcW w:w="5244" w:type="dxa"/>
            <w:vAlign w:val="center"/>
            <w:hideMark/>
          </w:tcPr>
          <w:p w14:paraId="41D34279" w14:textId="33DE1B83"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Accommodation is included only for accommodation booked with our contracted travel service providers.</w:t>
            </w:r>
            <w:r w:rsidRPr="00AE4DBA">
              <w:rPr>
                <w:rFonts w:ascii="Calibri" w:eastAsia="Calibri" w:hAnsi="Calibri" w:cs="Calibri"/>
                <w:b/>
                <w:bCs/>
                <w:color w:val="000000"/>
                <w:szCs w:val="20"/>
                <w:lang w:eastAsia="en-US"/>
              </w:rPr>
              <w:t xml:space="preserve"> </w:t>
            </w:r>
            <w:r w:rsidRPr="00AE4DBA">
              <w:rPr>
                <w:rFonts w:ascii="Calibri" w:eastAsia="Calibri" w:hAnsi="Calibri" w:cs="Calibri"/>
                <w:color w:val="000000"/>
                <w:szCs w:val="20"/>
                <w:lang w:eastAsia="en-US"/>
              </w:rPr>
              <w:t>It excludes accommodation reimbursed through staff reimbursement claims, including Continuing Medical Education claims.</w:t>
            </w:r>
          </w:p>
        </w:tc>
        <w:tc>
          <w:tcPr>
            <w:tcW w:w="3180" w:type="dxa"/>
            <w:vMerge/>
            <w:vAlign w:val="center"/>
            <w:hideMark/>
          </w:tcPr>
          <w:p w14:paraId="60A9F711"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77364218" w14:textId="77777777" w:rsidTr="2864371F">
        <w:trPr>
          <w:gridAfter w:val="5"/>
          <w:wAfter w:w="15900" w:type="dxa"/>
          <w:trHeight w:val="480"/>
        </w:trPr>
        <w:tc>
          <w:tcPr>
            <w:tcW w:w="1271" w:type="dxa"/>
            <w:vMerge w:val="restart"/>
            <w:vAlign w:val="center"/>
            <w:hideMark/>
          </w:tcPr>
          <w:p w14:paraId="12F74B6F"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Accommodation Travel contracts</w:t>
            </w:r>
          </w:p>
          <w:p w14:paraId="679F2E2F" w14:textId="3415939A"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b/>
                <w:color w:val="FFFFFF"/>
                <w:sz w:val="28"/>
                <w:szCs w:val="22"/>
                <w:lang w:eastAsia="en-US"/>
              </w:rPr>
              <w:lastRenderedPageBreak/>
              <w:t>Category 4</w:t>
            </w:r>
          </w:p>
        </w:tc>
        <w:tc>
          <w:tcPr>
            <w:tcW w:w="1134" w:type="dxa"/>
            <w:vAlign w:val="center"/>
            <w:hideMark/>
          </w:tcPr>
          <w:p w14:paraId="60BBBC2E" w14:textId="35C46930"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roofErr w:type="spellStart"/>
            <w:r w:rsidRPr="00AE4DBA">
              <w:rPr>
                <w:rFonts w:ascii="Calibri" w:eastAsia="Calibri" w:hAnsi="Calibri" w:cs="Calibri"/>
                <w:color w:val="000000"/>
                <w:szCs w:val="20"/>
                <w:lang w:eastAsia="en-US"/>
              </w:rPr>
              <w:lastRenderedPageBreak/>
              <w:t>FcM</w:t>
            </w:r>
            <w:proofErr w:type="spellEnd"/>
          </w:p>
        </w:tc>
        <w:tc>
          <w:tcPr>
            <w:tcW w:w="851" w:type="dxa"/>
            <w:gridSpan w:val="2"/>
            <w:vMerge w:val="restart"/>
            <w:vAlign w:val="center"/>
            <w:hideMark/>
          </w:tcPr>
          <w:p w14:paraId="1D2F1B43"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roofErr w:type="spellStart"/>
            <w:r w:rsidRPr="00AE4DBA">
              <w:rPr>
                <w:rFonts w:ascii="Calibri" w:eastAsia="Calibri" w:hAnsi="Calibri" w:cs="Calibri"/>
                <w:color w:val="000000"/>
                <w:szCs w:val="20"/>
                <w:lang w:eastAsia="en-US"/>
              </w:rPr>
              <w:t>ppn</w:t>
            </w:r>
            <w:proofErr w:type="spellEnd"/>
          </w:p>
        </w:tc>
        <w:tc>
          <w:tcPr>
            <w:tcW w:w="2268" w:type="dxa"/>
            <w:vMerge w:val="restart"/>
            <w:vAlign w:val="center"/>
            <w:hideMark/>
          </w:tcPr>
          <w:p w14:paraId="3335980E"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 xml:space="preserve">Accommodation factors </w:t>
            </w:r>
            <w:proofErr w:type="spellStart"/>
            <w:r w:rsidRPr="00AE4DBA">
              <w:rPr>
                <w:rFonts w:ascii="Calibri" w:eastAsia="Calibri" w:hAnsi="Calibri" w:cs="Calibri"/>
                <w:color w:val="000000"/>
                <w:szCs w:val="20"/>
                <w:lang w:eastAsia="en-US"/>
              </w:rPr>
              <w:t>MfE</w:t>
            </w:r>
            <w:proofErr w:type="spellEnd"/>
            <w:r w:rsidRPr="00AE4DBA">
              <w:rPr>
                <w:rFonts w:ascii="Calibri" w:eastAsia="Calibri" w:hAnsi="Calibri" w:cs="Calibri"/>
                <w:color w:val="000000"/>
                <w:szCs w:val="20"/>
                <w:lang w:eastAsia="en-US"/>
              </w:rPr>
              <w:t xml:space="preserve"> per night domestic and international</w:t>
            </w:r>
          </w:p>
        </w:tc>
        <w:tc>
          <w:tcPr>
            <w:tcW w:w="5244" w:type="dxa"/>
            <w:vMerge w:val="restart"/>
            <w:vAlign w:val="center"/>
            <w:hideMark/>
          </w:tcPr>
          <w:p w14:paraId="2A172C33"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Accommodation is included only for accommodation booked with our contracted travel service providers.</w:t>
            </w:r>
            <w:r w:rsidRPr="00AE4DBA">
              <w:rPr>
                <w:rFonts w:ascii="Calibri" w:eastAsia="Calibri" w:hAnsi="Calibri" w:cs="Calibri"/>
                <w:b/>
                <w:bCs/>
                <w:color w:val="000000"/>
                <w:szCs w:val="20"/>
                <w:lang w:eastAsia="en-US"/>
              </w:rPr>
              <w:t xml:space="preserve"> </w:t>
            </w:r>
            <w:r w:rsidRPr="00AE4DBA">
              <w:rPr>
                <w:rFonts w:ascii="Calibri" w:eastAsia="Calibri" w:hAnsi="Calibri" w:cs="Calibri"/>
                <w:color w:val="000000"/>
                <w:szCs w:val="20"/>
                <w:lang w:eastAsia="en-US"/>
              </w:rPr>
              <w:t xml:space="preserve">It excludes </w:t>
            </w:r>
            <w:r w:rsidRPr="00AE4DBA">
              <w:rPr>
                <w:rFonts w:ascii="Calibri" w:eastAsia="Calibri" w:hAnsi="Calibri" w:cs="Calibri"/>
                <w:color w:val="000000"/>
                <w:szCs w:val="20"/>
                <w:lang w:eastAsia="en-US"/>
              </w:rPr>
              <w:lastRenderedPageBreak/>
              <w:t>accommodation reimbursed through staff reimbursement claims, including Continuing Medical Education claims.</w:t>
            </w:r>
          </w:p>
        </w:tc>
        <w:tc>
          <w:tcPr>
            <w:tcW w:w="3180" w:type="dxa"/>
            <w:vMerge w:val="restart"/>
            <w:vAlign w:val="center"/>
            <w:hideMark/>
          </w:tcPr>
          <w:p w14:paraId="56077592"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lastRenderedPageBreak/>
              <w:t>High quality - It is assumed the supplier reports are complete and accurate.</w:t>
            </w:r>
          </w:p>
        </w:tc>
      </w:tr>
      <w:tr w:rsidR="009B5BD9" w:rsidRPr="00AE4DBA" w14:paraId="7E317CF7" w14:textId="77777777" w:rsidTr="2864371F">
        <w:trPr>
          <w:gridAfter w:val="5"/>
          <w:wAfter w:w="15900" w:type="dxa"/>
          <w:trHeight w:val="555"/>
        </w:trPr>
        <w:tc>
          <w:tcPr>
            <w:tcW w:w="1271" w:type="dxa"/>
            <w:vMerge/>
            <w:vAlign w:val="center"/>
            <w:hideMark/>
          </w:tcPr>
          <w:p w14:paraId="77928DAC"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4C520289" w14:textId="7B9D1B60"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Tandem</w:t>
            </w:r>
          </w:p>
        </w:tc>
        <w:tc>
          <w:tcPr>
            <w:tcW w:w="851" w:type="dxa"/>
            <w:gridSpan w:val="2"/>
            <w:vMerge/>
            <w:vAlign w:val="center"/>
            <w:hideMark/>
          </w:tcPr>
          <w:p w14:paraId="01380FC6"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Merge/>
            <w:vAlign w:val="center"/>
            <w:hideMark/>
          </w:tcPr>
          <w:p w14:paraId="5EC1D5C7"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Merge/>
            <w:vAlign w:val="center"/>
            <w:hideMark/>
          </w:tcPr>
          <w:p w14:paraId="4D330BA2"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3180" w:type="dxa"/>
            <w:vMerge/>
            <w:vAlign w:val="center"/>
            <w:hideMark/>
          </w:tcPr>
          <w:p w14:paraId="3A523113"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368D8EBF" w14:textId="77777777" w:rsidTr="2864371F">
        <w:trPr>
          <w:gridAfter w:val="5"/>
          <w:wAfter w:w="15900" w:type="dxa"/>
          <w:trHeight w:val="300"/>
        </w:trPr>
        <w:tc>
          <w:tcPr>
            <w:tcW w:w="1271" w:type="dxa"/>
            <w:vMerge/>
            <w:vAlign w:val="center"/>
            <w:hideMark/>
          </w:tcPr>
          <w:p w14:paraId="4B94127B"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32BF14E1"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You Travel - local provider.</w:t>
            </w:r>
          </w:p>
          <w:p w14:paraId="6790C850"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p w14:paraId="0A95D12D" w14:textId="5530231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851" w:type="dxa"/>
            <w:gridSpan w:val="2"/>
            <w:vMerge/>
            <w:vAlign w:val="center"/>
            <w:hideMark/>
          </w:tcPr>
          <w:p w14:paraId="308672AE"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Merge/>
            <w:vAlign w:val="center"/>
            <w:hideMark/>
          </w:tcPr>
          <w:p w14:paraId="30EA540E"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Merge/>
            <w:vAlign w:val="center"/>
            <w:hideMark/>
          </w:tcPr>
          <w:p w14:paraId="28A76492"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3180" w:type="dxa"/>
            <w:vMerge/>
            <w:vAlign w:val="center"/>
            <w:hideMark/>
          </w:tcPr>
          <w:p w14:paraId="38C9F375"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6463F5" w:rsidRPr="00AE4DBA" w14:paraId="45561CA9" w14:textId="77777777" w:rsidTr="2864371F">
        <w:trPr>
          <w:gridAfter w:val="5"/>
          <w:wAfter w:w="15900" w:type="dxa"/>
          <w:trHeight w:val="816"/>
        </w:trPr>
        <w:tc>
          <w:tcPr>
            <w:tcW w:w="1271" w:type="dxa"/>
            <w:vMerge/>
            <w:vAlign w:val="center"/>
            <w:hideMark/>
          </w:tcPr>
          <w:p w14:paraId="6FA9F48C"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hideMark/>
          </w:tcPr>
          <w:p w14:paraId="6617A3C8"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851" w:type="dxa"/>
            <w:gridSpan w:val="2"/>
            <w:vMerge/>
            <w:vAlign w:val="center"/>
            <w:hideMark/>
          </w:tcPr>
          <w:p w14:paraId="33F3127D"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Merge/>
            <w:vAlign w:val="center"/>
            <w:hideMark/>
          </w:tcPr>
          <w:p w14:paraId="0F190F4B"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Merge/>
            <w:vAlign w:val="center"/>
            <w:hideMark/>
          </w:tcPr>
          <w:p w14:paraId="4F6C6778"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3180" w:type="dxa"/>
            <w:vMerge/>
            <w:vAlign w:val="center"/>
            <w:hideMark/>
          </w:tcPr>
          <w:p w14:paraId="0CCA3B6B"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0AFB3830" w14:textId="3ACC5037" w:rsidTr="00A04FCB">
        <w:trPr>
          <w:trHeight w:val="380"/>
        </w:trPr>
        <w:tc>
          <w:tcPr>
            <w:tcW w:w="13948" w:type="dxa"/>
            <w:gridSpan w:val="7"/>
            <w:shd w:val="clear" w:color="auto" w:fill="15284C" w:themeFill="accent5"/>
          </w:tcPr>
          <w:p w14:paraId="1396605B" w14:textId="6DA0F495" w:rsidR="009B5BD9" w:rsidRPr="00AE4DBA" w:rsidRDefault="009B5BD9" w:rsidP="008D3EAC">
            <w:pPr>
              <w:jc w:val="center"/>
              <w:rPr>
                <w:rFonts w:ascii="Calibri" w:eastAsia="Calibri" w:hAnsi="Calibri"/>
                <w:color w:val="FFFFFF"/>
                <w:sz w:val="28"/>
                <w:szCs w:val="22"/>
                <w:lang w:eastAsia="en-US"/>
              </w:rPr>
            </w:pPr>
            <w:r w:rsidRPr="00AE4DBA">
              <w:rPr>
                <w:rFonts w:ascii="Calibri" w:eastAsia="Calibri" w:hAnsi="Calibri" w:cs="Calibri"/>
                <w:b/>
                <w:bCs/>
                <w:color w:val="FFFFFF"/>
                <w:szCs w:val="22"/>
                <w:lang w:eastAsia="en-US"/>
              </w:rPr>
              <w:t xml:space="preserve">Source </w:t>
            </w:r>
          </w:p>
        </w:tc>
        <w:tc>
          <w:tcPr>
            <w:tcW w:w="3180" w:type="dxa"/>
            <w:shd w:val="clear" w:color="auto" w:fill="15284C" w:themeFill="accent5"/>
          </w:tcPr>
          <w:p w14:paraId="4B2E1C94" w14:textId="52D3ED2B" w:rsidR="009B5BD9" w:rsidRPr="00AE4DBA" w:rsidRDefault="009B5BD9">
            <w:pPr>
              <w:spacing w:after="160" w:line="259" w:lineRule="auto"/>
            </w:pPr>
            <w:r w:rsidRPr="00AE4DBA">
              <w:rPr>
                <w:rFonts w:ascii="Calibri" w:eastAsia="Calibri" w:hAnsi="Calibri" w:cs="Calibri"/>
                <w:b/>
                <w:bCs/>
                <w:color w:val="FFFFFF"/>
                <w:szCs w:val="22"/>
                <w:lang w:eastAsia="en-US"/>
              </w:rPr>
              <w:t>Data source</w:t>
            </w:r>
          </w:p>
        </w:tc>
        <w:tc>
          <w:tcPr>
            <w:tcW w:w="3180" w:type="dxa"/>
            <w:shd w:val="clear" w:color="auto" w:fill="15284C" w:themeFill="accent5"/>
          </w:tcPr>
          <w:p w14:paraId="430B485C" w14:textId="273E59F9" w:rsidR="009B5BD9" w:rsidRPr="00AE4DBA" w:rsidRDefault="009B5BD9">
            <w:pPr>
              <w:spacing w:after="160" w:line="259" w:lineRule="auto"/>
            </w:pPr>
            <w:r w:rsidRPr="00AE4DBA">
              <w:rPr>
                <w:rFonts w:ascii="Calibri" w:eastAsia="Calibri" w:hAnsi="Calibri" w:cs="Calibri"/>
                <w:b/>
                <w:bCs/>
                <w:color w:val="FFFFFF"/>
                <w:szCs w:val="22"/>
                <w:lang w:eastAsia="en-US"/>
              </w:rPr>
              <w:t>UOM</w:t>
            </w:r>
          </w:p>
        </w:tc>
        <w:tc>
          <w:tcPr>
            <w:tcW w:w="3180" w:type="dxa"/>
            <w:shd w:val="clear" w:color="auto" w:fill="15284C" w:themeFill="accent5"/>
          </w:tcPr>
          <w:p w14:paraId="22E3CF29" w14:textId="1E0E66A6" w:rsidR="009B5BD9" w:rsidRPr="00AE4DBA" w:rsidRDefault="009B5BD9">
            <w:pPr>
              <w:spacing w:after="160" w:line="259" w:lineRule="auto"/>
            </w:pPr>
            <w:r w:rsidRPr="00AE4DBA">
              <w:rPr>
                <w:rFonts w:ascii="Calibri" w:eastAsia="Calibri" w:hAnsi="Calibri" w:cs="Calibri"/>
                <w:b/>
                <w:bCs/>
                <w:color w:val="FFFFFF"/>
                <w:szCs w:val="22"/>
                <w:lang w:eastAsia="en-US"/>
              </w:rPr>
              <w:t>Emission factor</w:t>
            </w:r>
          </w:p>
        </w:tc>
        <w:tc>
          <w:tcPr>
            <w:tcW w:w="3180" w:type="dxa"/>
            <w:shd w:val="clear" w:color="auto" w:fill="15284C" w:themeFill="accent5"/>
          </w:tcPr>
          <w:p w14:paraId="188F144A" w14:textId="2984A2D5" w:rsidR="009B5BD9" w:rsidRPr="00AE4DBA" w:rsidRDefault="009B5BD9">
            <w:pPr>
              <w:spacing w:after="160" w:line="259" w:lineRule="auto"/>
            </w:pPr>
            <w:r w:rsidRPr="00AE4DBA">
              <w:rPr>
                <w:rFonts w:ascii="Calibri" w:eastAsia="Calibri" w:hAnsi="Calibri" w:cs="Calibri"/>
                <w:b/>
                <w:bCs/>
                <w:color w:val="FFFFFF"/>
                <w:szCs w:val="22"/>
                <w:lang w:eastAsia="en-US"/>
              </w:rPr>
              <w:t>Boundary or dataset comments</w:t>
            </w:r>
          </w:p>
        </w:tc>
        <w:tc>
          <w:tcPr>
            <w:tcW w:w="3180" w:type="dxa"/>
            <w:shd w:val="clear" w:color="auto" w:fill="15284C" w:themeFill="accent5"/>
          </w:tcPr>
          <w:p w14:paraId="440A1DCB" w14:textId="60678584" w:rsidR="009B5BD9" w:rsidRPr="00AE4DBA" w:rsidRDefault="009B5BD9">
            <w:pPr>
              <w:spacing w:after="160" w:line="259" w:lineRule="auto"/>
            </w:pPr>
            <w:r w:rsidRPr="00AE4DBA">
              <w:rPr>
                <w:rFonts w:ascii="Calibri" w:eastAsia="Calibri" w:hAnsi="Calibri" w:cs="Calibri"/>
                <w:b/>
                <w:bCs/>
                <w:color w:val="FFFFFF"/>
                <w:szCs w:val="22"/>
                <w:lang w:eastAsia="en-US"/>
              </w:rPr>
              <w:t>Uncertainty</w:t>
            </w:r>
          </w:p>
        </w:tc>
      </w:tr>
      <w:tr w:rsidR="009B5BD9" w:rsidRPr="00AE4DBA" w14:paraId="5D7F33D7" w14:textId="77777777" w:rsidTr="00A04FCB">
        <w:trPr>
          <w:gridAfter w:val="5"/>
          <w:wAfter w:w="15900" w:type="dxa"/>
          <w:trHeight w:val="380"/>
        </w:trPr>
        <w:tc>
          <w:tcPr>
            <w:tcW w:w="1271" w:type="dxa"/>
            <w:vAlign w:val="center"/>
            <w:hideMark/>
          </w:tcPr>
          <w:p w14:paraId="62A73498" w14:textId="2A2D0759"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color w:val="000000"/>
                <w:szCs w:val="20"/>
                <w:lang w:eastAsia="en-US"/>
              </w:rPr>
              <w:t>Waste to landfill – General waste</w:t>
            </w:r>
          </w:p>
        </w:tc>
        <w:tc>
          <w:tcPr>
            <w:tcW w:w="1134" w:type="dxa"/>
            <w:vAlign w:val="center"/>
            <w:hideMark/>
          </w:tcPr>
          <w:p w14:paraId="43999D09" w14:textId="6782039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color w:val="000000"/>
                <w:szCs w:val="20"/>
                <w:lang w:eastAsia="en-US"/>
              </w:rPr>
              <w:t>Waste Management</w:t>
            </w:r>
          </w:p>
        </w:tc>
        <w:tc>
          <w:tcPr>
            <w:tcW w:w="851" w:type="dxa"/>
            <w:gridSpan w:val="2"/>
            <w:vAlign w:val="center"/>
            <w:hideMark/>
          </w:tcPr>
          <w:p w14:paraId="772A38BC" w14:textId="3D324024"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color w:val="000000"/>
                <w:szCs w:val="20"/>
                <w:lang w:eastAsia="en-US"/>
              </w:rPr>
              <w:t>Kg</w:t>
            </w:r>
          </w:p>
        </w:tc>
        <w:tc>
          <w:tcPr>
            <w:tcW w:w="2268" w:type="dxa"/>
            <w:vAlign w:val="center"/>
            <w:hideMark/>
          </w:tcPr>
          <w:p w14:paraId="29CF75AA" w14:textId="0C59DECF"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color w:val="000000"/>
                <w:szCs w:val="20"/>
                <w:lang w:eastAsia="en-US"/>
              </w:rPr>
              <w:t>Waste General Waste with LFGR - kg</w:t>
            </w:r>
            <w:r w:rsidRPr="00AE4DBA">
              <w:rPr>
                <w:rFonts w:ascii="Calibri" w:eastAsia="Calibri" w:hAnsi="Calibri" w:cs="Calibri"/>
                <w:color w:val="000000"/>
                <w:szCs w:val="20"/>
                <w:lang w:eastAsia="en-US"/>
              </w:rPr>
              <w:br/>
              <w:t>Waste General Waste without LFGR - kg.</w:t>
            </w:r>
          </w:p>
        </w:tc>
        <w:tc>
          <w:tcPr>
            <w:tcW w:w="5244" w:type="dxa"/>
            <w:vAlign w:val="center"/>
            <w:hideMark/>
          </w:tcPr>
          <w:p w14:paraId="16E1CDDB" w14:textId="2349D5FB"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color w:val="000000"/>
                <w:szCs w:val="20"/>
                <w:lang w:eastAsia="en-US"/>
              </w:rPr>
              <w:t>Lakes – Taupo and West Coast – Greymouth waste goes to landfill without gas recovery. All other landfill sites used by Waste Management have landfill gas recovery (LFGR)</w:t>
            </w:r>
          </w:p>
        </w:tc>
        <w:tc>
          <w:tcPr>
            <w:tcW w:w="3180" w:type="dxa"/>
            <w:vAlign w:val="center"/>
            <w:hideMark/>
          </w:tcPr>
          <w:p w14:paraId="6FA30EE4" w14:textId="195AD17B"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b/>
                <w:bCs/>
                <w:color w:val="FFFFFF"/>
                <w:szCs w:val="22"/>
                <w:lang w:eastAsia="en-US"/>
              </w:rPr>
            </w:pPr>
            <w:r w:rsidRPr="00AE4DBA">
              <w:rPr>
                <w:rFonts w:ascii="Calibri" w:eastAsia="Calibri" w:hAnsi="Calibri" w:cs="Calibri"/>
                <w:color w:val="000000"/>
                <w:szCs w:val="20"/>
                <w:lang w:eastAsia="en-US"/>
              </w:rPr>
              <w:t>High quality - It is assumed the supplier reports are complete and accurate.</w:t>
            </w:r>
            <w:r w:rsidRPr="00AE4DBA">
              <w:rPr>
                <w:rFonts w:ascii="Calibri" w:eastAsia="Calibri" w:hAnsi="Calibri" w:cs="Calibri"/>
                <w:b/>
                <w:bCs/>
                <w:color w:val="000000"/>
                <w:szCs w:val="20"/>
                <w:lang w:eastAsia="en-US"/>
              </w:rPr>
              <w:t xml:space="preserve"> </w:t>
            </w:r>
          </w:p>
        </w:tc>
      </w:tr>
      <w:tr w:rsidR="009B5BD9" w:rsidRPr="00AE4DBA" w14:paraId="04019E7F" w14:textId="77777777" w:rsidTr="00A04FCB">
        <w:trPr>
          <w:gridAfter w:val="5"/>
          <w:wAfter w:w="15900" w:type="dxa"/>
          <w:trHeight w:val="765"/>
        </w:trPr>
        <w:tc>
          <w:tcPr>
            <w:tcW w:w="1271" w:type="dxa"/>
            <w:vMerge w:val="restart"/>
            <w:vAlign w:val="center"/>
            <w:hideMark/>
          </w:tcPr>
          <w:p w14:paraId="4D4D6BD7"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Waste to landfill – General waste</w:t>
            </w:r>
          </w:p>
          <w:p w14:paraId="73F4B869" w14:textId="2E2F0806"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Medical waste to landfill and incineration</w:t>
            </w:r>
          </w:p>
        </w:tc>
        <w:tc>
          <w:tcPr>
            <w:tcW w:w="1134" w:type="dxa"/>
            <w:vAlign w:val="center"/>
            <w:hideMark/>
          </w:tcPr>
          <w:p w14:paraId="0E539746" w14:textId="7790AEFF"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roofErr w:type="spellStart"/>
            <w:r w:rsidRPr="00AE4DBA">
              <w:rPr>
                <w:rFonts w:ascii="Calibri" w:eastAsia="Calibri" w:hAnsi="Calibri" w:cs="Calibri"/>
                <w:color w:val="000000"/>
                <w:szCs w:val="20"/>
                <w:lang w:eastAsia="en-US"/>
              </w:rPr>
              <w:t>Envirowaste</w:t>
            </w:r>
            <w:proofErr w:type="spellEnd"/>
          </w:p>
        </w:tc>
        <w:tc>
          <w:tcPr>
            <w:tcW w:w="851" w:type="dxa"/>
            <w:gridSpan w:val="2"/>
            <w:vMerge w:val="restart"/>
            <w:vAlign w:val="center"/>
            <w:hideMark/>
          </w:tcPr>
          <w:p w14:paraId="785B7FEA"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Kg</w:t>
            </w:r>
          </w:p>
          <w:p w14:paraId="37DF071C" w14:textId="69473C3A"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Kg</w:t>
            </w:r>
          </w:p>
        </w:tc>
        <w:tc>
          <w:tcPr>
            <w:tcW w:w="2268" w:type="dxa"/>
            <w:vAlign w:val="center"/>
            <w:hideMark/>
          </w:tcPr>
          <w:p w14:paraId="02209D3C" w14:textId="16FA66F6"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Waste General Waste with LFGR - kg.</w:t>
            </w:r>
          </w:p>
        </w:tc>
        <w:tc>
          <w:tcPr>
            <w:tcW w:w="5244" w:type="dxa"/>
            <w:vAlign w:val="center"/>
            <w:hideMark/>
          </w:tcPr>
          <w:p w14:paraId="383CB507" w14:textId="5D5089C8"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szCs w:val="20"/>
                <w:lang w:eastAsia="en-US"/>
              </w:rPr>
              <w:t>Assumed all waste goes to landfill with landfill gas recovery</w:t>
            </w:r>
          </w:p>
        </w:tc>
        <w:tc>
          <w:tcPr>
            <w:tcW w:w="3180" w:type="dxa"/>
            <w:vMerge w:val="restart"/>
            <w:vAlign w:val="center"/>
            <w:hideMark/>
          </w:tcPr>
          <w:p w14:paraId="0A3B077E"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supplier reports are complete and accurate.</w:t>
            </w:r>
            <w:r w:rsidRPr="00AE4DBA">
              <w:rPr>
                <w:rFonts w:ascii="Calibri" w:eastAsia="Calibri" w:hAnsi="Calibri" w:cs="Calibri"/>
                <w:b/>
                <w:bCs/>
                <w:color w:val="000000"/>
                <w:szCs w:val="20"/>
                <w:lang w:eastAsia="en-US"/>
              </w:rPr>
              <w:t xml:space="preserve"> </w:t>
            </w:r>
          </w:p>
          <w:p w14:paraId="0BF9AA29" w14:textId="159B1144"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district inputs were recorded accurately</w:t>
            </w:r>
          </w:p>
        </w:tc>
      </w:tr>
      <w:tr w:rsidR="009B5BD9" w:rsidRPr="00AE4DBA" w14:paraId="33934EF8" w14:textId="77777777" w:rsidTr="00A04FCB">
        <w:trPr>
          <w:gridAfter w:val="5"/>
          <w:wAfter w:w="15900" w:type="dxa"/>
          <w:trHeight w:val="300"/>
        </w:trPr>
        <w:tc>
          <w:tcPr>
            <w:tcW w:w="1271" w:type="dxa"/>
            <w:vMerge/>
            <w:vAlign w:val="center"/>
            <w:hideMark/>
          </w:tcPr>
          <w:p w14:paraId="4D2A1912"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6310A473" w14:textId="460C8B5E"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Northland Waste</w:t>
            </w:r>
          </w:p>
        </w:tc>
        <w:tc>
          <w:tcPr>
            <w:tcW w:w="851" w:type="dxa"/>
            <w:gridSpan w:val="2"/>
            <w:vMerge/>
            <w:vAlign w:val="center"/>
            <w:hideMark/>
          </w:tcPr>
          <w:p w14:paraId="1081B29C"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Align w:val="center"/>
            <w:hideMark/>
          </w:tcPr>
          <w:p w14:paraId="5AADD48D" w14:textId="6BC827C0"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b/>
                <w:bCs/>
                <w:color w:val="000000"/>
                <w:szCs w:val="20"/>
                <w:lang w:eastAsia="en-US"/>
              </w:rPr>
            </w:pPr>
            <w:r w:rsidRPr="00AE4DBA">
              <w:rPr>
                <w:rFonts w:ascii="Calibri" w:eastAsia="Calibri" w:hAnsi="Calibri" w:cs="Calibri"/>
                <w:color w:val="000000"/>
                <w:szCs w:val="20"/>
                <w:lang w:eastAsia="en-US"/>
              </w:rPr>
              <w:t>Waste General Waste with LFGR - kg</w:t>
            </w:r>
          </w:p>
        </w:tc>
        <w:tc>
          <w:tcPr>
            <w:tcW w:w="5244" w:type="dxa"/>
            <w:vAlign w:val="center"/>
            <w:hideMark/>
          </w:tcPr>
          <w:p w14:paraId="59C002CF" w14:textId="298ADE0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 xml:space="preserve">Northland waste </w:t>
            </w:r>
            <w:proofErr w:type="spellStart"/>
            <w:r w:rsidRPr="00AE4DBA">
              <w:rPr>
                <w:rFonts w:ascii="Calibri" w:eastAsia="Calibri" w:hAnsi="Calibri" w:cs="Calibri"/>
                <w:color w:val="000000"/>
                <w:szCs w:val="20"/>
                <w:lang w:eastAsia="en-US"/>
              </w:rPr>
              <w:t>Puwera</w:t>
            </w:r>
            <w:proofErr w:type="spellEnd"/>
            <w:r w:rsidRPr="00AE4DBA">
              <w:rPr>
                <w:rFonts w:ascii="Calibri" w:eastAsia="Calibri" w:hAnsi="Calibri" w:cs="Calibri"/>
                <w:color w:val="000000"/>
                <w:szCs w:val="20"/>
                <w:lang w:eastAsia="en-US"/>
              </w:rPr>
              <w:t xml:space="preserve"> landfill with LFGR</w:t>
            </w:r>
          </w:p>
        </w:tc>
        <w:tc>
          <w:tcPr>
            <w:tcW w:w="3180" w:type="dxa"/>
            <w:vMerge/>
            <w:vAlign w:val="center"/>
            <w:hideMark/>
          </w:tcPr>
          <w:p w14:paraId="36389405"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52ED4F42" w14:textId="77777777" w:rsidTr="00A04FCB">
        <w:trPr>
          <w:gridAfter w:val="5"/>
          <w:wAfter w:w="15900" w:type="dxa"/>
          <w:trHeight w:val="300"/>
        </w:trPr>
        <w:tc>
          <w:tcPr>
            <w:tcW w:w="1271" w:type="dxa"/>
            <w:vMerge/>
            <w:vAlign w:val="center"/>
            <w:hideMark/>
          </w:tcPr>
          <w:p w14:paraId="3549610D"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5B1D0B35" w14:textId="444EA7E1"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Northland regional landfill</w:t>
            </w:r>
          </w:p>
        </w:tc>
        <w:tc>
          <w:tcPr>
            <w:tcW w:w="851" w:type="dxa"/>
            <w:gridSpan w:val="2"/>
            <w:vMerge/>
            <w:vAlign w:val="center"/>
            <w:hideMark/>
          </w:tcPr>
          <w:p w14:paraId="0443E825"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Align w:val="center"/>
            <w:hideMark/>
          </w:tcPr>
          <w:p w14:paraId="3C2D7888" w14:textId="2F74D8E4"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Waste General Waste with LFGR - kg.</w:t>
            </w:r>
          </w:p>
        </w:tc>
        <w:tc>
          <w:tcPr>
            <w:tcW w:w="5244" w:type="dxa"/>
            <w:vAlign w:val="center"/>
            <w:hideMark/>
          </w:tcPr>
          <w:p w14:paraId="3775CFE0" w14:textId="1F347568"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roofErr w:type="spellStart"/>
            <w:r w:rsidRPr="00AE4DBA">
              <w:rPr>
                <w:rFonts w:ascii="Calibri" w:eastAsia="Calibri" w:hAnsi="Calibri" w:cs="Calibri"/>
                <w:color w:val="000000"/>
                <w:szCs w:val="20"/>
                <w:lang w:eastAsia="en-US"/>
              </w:rPr>
              <w:t>Puwera</w:t>
            </w:r>
            <w:proofErr w:type="spellEnd"/>
            <w:r w:rsidRPr="00AE4DBA">
              <w:rPr>
                <w:rFonts w:ascii="Calibri" w:eastAsia="Calibri" w:hAnsi="Calibri" w:cs="Calibri"/>
                <w:color w:val="000000"/>
                <w:szCs w:val="20"/>
                <w:lang w:eastAsia="en-US"/>
              </w:rPr>
              <w:t xml:space="preserve"> landfill with LFGR</w:t>
            </w:r>
          </w:p>
        </w:tc>
        <w:tc>
          <w:tcPr>
            <w:tcW w:w="3180" w:type="dxa"/>
            <w:vMerge/>
            <w:vAlign w:val="center"/>
            <w:hideMark/>
          </w:tcPr>
          <w:p w14:paraId="3DB48F61"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01A79FC9" w14:textId="77777777" w:rsidTr="00A04FCB">
        <w:trPr>
          <w:gridAfter w:val="5"/>
          <w:wAfter w:w="15900" w:type="dxa"/>
          <w:trHeight w:val="300"/>
        </w:trPr>
        <w:tc>
          <w:tcPr>
            <w:tcW w:w="1271" w:type="dxa"/>
            <w:vMerge/>
            <w:vAlign w:val="center"/>
            <w:hideMark/>
          </w:tcPr>
          <w:p w14:paraId="75067AB4"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149E4288" w14:textId="2DCC8BC0"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 xml:space="preserve">District inputs </w:t>
            </w:r>
            <w:r w:rsidRPr="00AE4DBA">
              <w:rPr>
                <w:rFonts w:ascii="Calibri" w:eastAsia="Calibri" w:hAnsi="Calibri" w:cs="Calibri"/>
                <w:color w:val="000000"/>
                <w:szCs w:val="20"/>
                <w:lang w:eastAsia="en-US"/>
              </w:rPr>
              <w:lastRenderedPageBreak/>
              <w:t>various templates.</w:t>
            </w:r>
          </w:p>
        </w:tc>
        <w:tc>
          <w:tcPr>
            <w:tcW w:w="851" w:type="dxa"/>
            <w:gridSpan w:val="2"/>
            <w:vMerge/>
            <w:vAlign w:val="center"/>
            <w:hideMark/>
          </w:tcPr>
          <w:p w14:paraId="166B07B1"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Align w:val="center"/>
            <w:hideMark/>
          </w:tcPr>
          <w:p w14:paraId="2312D231" w14:textId="54AF918B"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Waste General Waste with LFGR - kg.</w:t>
            </w:r>
            <w:r w:rsidRPr="00AE4DBA">
              <w:rPr>
                <w:rFonts w:ascii="Calibri" w:eastAsia="Calibri" w:hAnsi="Calibri" w:cs="Calibri"/>
                <w:color w:val="000000"/>
                <w:szCs w:val="20"/>
                <w:lang w:eastAsia="en-US"/>
              </w:rPr>
              <w:br/>
            </w:r>
            <w:r w:rsidRPr="00AE4DBA">
              <w:rPr>
                <w:rFonts w:ascii="Calibri" w:eastAsia="Calibri" w:hAnsi="Calibri" w:cs="Calibri"/>
                <w:color w:val="000000"/>
                <w:szCs w:val="20"/>
                <w:lang w:eastAsia="en-US"/>
              </w:rPr>
              <w:lastRenderedPageBreak/>
              <w:t>Waste General Waste without LFGR - kg</w:t>
            </w:r>
          </w:p>
        </w:tc>
        <w:tc>
          <w:tcPr>
            <w:tcW w:w="5244" w:type="dxa"/>
            <w:vAlign w:val="center"/>
            <w:hideMark/>
          </w:tcPr>
          <w:p w14:paraId="241660D1" w14:textId="4223B780"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lastRenderedPageBreak/>
              <w:t xml:space="preserve">Hawkes Bay: Hastings District </w:t>
            </w:r>
            <w:proofErr w:type="spellStart"/>
            <w:r w:rsidRPr="00AE4DBA">
              <w:rPr>
                <w:rFonts w:ascii="Calibri" w:eastAsia="Calibri" w:hAnsi="Calibri" w:cs="Calibri"/>
                <w:color w:val="000000"/>
                <w:szCs w:val="20"/>
                <w:lang w:eastAsia="en-US"/>
              </w:rPr>
              <w:t>Omaranui</w:t>
            </w:r>
            <w:proofErr w:type="spellEnd"/>
            <w:r w:rsidRPr="00AE4DBA">
              <w:rPr>
                <w:rFonts w:ascii="Calibri" w:eastAsia="Calibri" w:hAnsi="Calibri" w:cs="Calibri"/>
                <w:color w:val="000000"/>
                <w:szCs w:val="20"/>
                <w:lang w:eastAsia="en-US"/>
              </w:rPr>
              <w:t xml:space="preserve"> with LFGR, Wairoa no LFGR.</w:t>
            </w:r>
          </w:p>
        </w:tc>
        <w:tc>
          <w:tcPr>
            <w:tcW w:w="3180" w:type="dxa"/>
            <w:vMerge/>
            <w:vAlign w:val="center"/>
            <w:hideMark/>
          </w:tcPr>
          <w:p w14:paraId="098D028D"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40C279B8" w14:textId="77777777" w:rsidTr="00A04FCB">
        <w:trPr>
          <w:gridAfter w:val="5"/>
          <w:wAfter w:w="15900" w:type="dxa"/>
          <w:trHeight w:val="510"/>
        </w:trPr>
        <w:tc>
          <w:tcPr>
            <w:tcW w:w="1271" w:type="dxa"/>
            <w:vMerge/>
            <w:vAlign w:val="center"/>
            <w:hideMark/>
          </w:tcPr>
          <w:p w14:paraId="16A99D37"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04010D7E" w14:textId="7C2D64FD"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Corporate offices</w:t>
            </w:r>
          </w:p>
        </w:tc>
        <w:tc>
          <w:tcPr>
            <w:tcW w:w="851" w:type="dxa"/>
            <w:gridSpan w:val="2"/>
            <w:vMerge/>
            <w:vAlign w:val="center"/>
            <w:hideMark/>
          </w:tcPr>
          <w:p w14:paraId="376F56D4"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Align w:val="center"/>
            <w:hideMark/>
          </w:tcPr>
          <w:p w14:paraId="4562E01D" w14:textId="284E0119"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Waste with gas recovery (unknown composition) - Office Waste - Kg</w:t>
            </w:r>
          </w:p>
        </w:tc>
        <w:tc>
          <w:tcPr>
            <w:tcW w:w="5244" w:type="dxa"/>
            <w:vAlign w:val="center"/>
            <w:hideMark/>
          </w:tcPr>
          <w:p w14:paraId="7D3C99A4" w14:textId="5CCCA991"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For several corporate leased offices where waste is part of the lease or unavailable, waste has been estimated at 8.3 kg/desk/year.</w:t>
            </w:r>
          </w:p>
        </w:tc>
        <w:tc>
          <w:tcPr>
            <w:tcW w:w="3180" w:type="dxa"/>
            <w:vAlign w:val="center"/>
            <w:hideMark/>
          </w:tcPr>
          <w:p w14:paraId="18DF1201" w14:textId="27CFEF9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Medium - some estimated office waste</w:t>
            </w:r>
          </w:p>
        </w:tc>
      </w:tr>
      <w:tr w:rsidR="009B5BD9" w:rsidRPr="00AE4DBA" w14:paraId="25B3CBF6" w14:textId="77777777" w:rsidTr="00A04FCB">
        <w:trPr>
          <w:gridAfter w:val="5"/>
          <w:wAfter w:w="15900" w:type="dxa"/>
          <w:trHeight w:val="540"/>
        </w:trPr>
        <w:tc>
          <w:tcPr>
            <w:tcW w:w="1271" w:type="dxa"/>
            <w:vMerge/>
            <w:vAlign w:val="center"/>
            <w:hideMark/>
          </w:tcPr>
          <w:p w14:paraId="7FC45B03"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2AE473C2" w14:textId="6BD7CB34"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Interwaste</w:t>
            </w:r>
          </w:p>
        </w:tc>
        <w:tc>
          <w:tcPr>
            <w:tcW w:w="851" w:type="dxa"/>
            <w:gridSpan w:val="2"/>
            <w:vMerge/>
            <w:vAlign w:val="center"/>
            <w:hideMark/>
          </w:tcPr>
          <w:p w14:paraId="1939A216"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Align w:val="center"/>
            <w:hideMark/>
          </w:tcPr>
          <w:p w14:paraId="530BD9D7" w14:textId="2A066B51"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Custom emission factors cytotoxic - kg</w:t>
            </w:r>
            <w:r w:rsidRPr="00AE4DBA">
              <w:rPr>
                <w:rFonts w:ascii="Calibri" w:eastAsia="Calibri" w:hAnsi="Calibri" w:cs="Calibri"/>
                <w:color w:val="000000"/>
                <w:szCs w:val="20"/>
                <w:lang w:eastAsia="en-US"/>
              </w:rPr>
              <w:br/>
              <w:t>Custom emission factors medical/clinical/ sharps waste - kg</w:t>
            </w:r>
            <w:r w:rsidRPr="00AE4DBA">
              <w:rPr>
                <w:rFonts w:ascii="Calibri" w:eastAsia="Calibri" w:hAnsi="Calibri" w:cs="Calibri"/>
                <w:color w:val="000000"/>
                <w:szCs w:val="20"/>
                <w:lang w:eastAsia="en-US"/>
              </w:rPr>
              <w:br/>
              <w:t>Waste General Waste with LFGR -kg.</w:t>
            </w:r>
          </w:p>
        </w:tc>
        <w:tc>
          <w:tcPr>
            <w:tcW w:w="5244" w:type="dxa"/>
            <w:vAlign w:val="center"/>
            <w:hideMark/>
          </w:tcPr>
          <w:p w14:paraId="08B1019F" w14:textId="37100D6A"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All landfills used for medical waste and sharps have landfill gas recovery. Cytotoxic waste is incinerated in Australia. The Interwaste dataset includes the pharmacy waste category, including waste from hospitals pharmacies, covid centres and community pharmacies. Community pharmacies are out of scope but are included in waste inventory as it is unclear which is which. Overestimation of estimated 10-30 tonnes of waste total.</w:t>
            </w:r>
          </w:p>
        </w:tc>
        <w:tc>
          <w:tcPr>
            <w:tcW w:w="3180" w:type="dxa"/>
            <w:vAlign w:val="center"/>
            <w:hideMark/>
          </w:tcPr>
          <w:p w14:paraId="0997F58D" w14:textId="7F527843"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supplier reports are complete and accurate.</w:t>
            </w:r>
          </w:p>
        </w:tc>
      </w:tr>
      <w:tr w:rsidR="009B5BD9" w:rsidRPr="00AE4DBA" w14:paraId="3A5ACD3D" w14:textId="77777777" w:rsidTr="00A04FCB">
        <w:trPr>
          <w:gridAfter w:val="5"/>
          <w:wAfter w:w="15900" w:type="dxa"/>
          <w:trHeight w:val="1530"/>
        </w:trPr>
        <w:tc>
          <w:tcPr>
            <w:tcW w:w="1271" w:type="dxa"/>
            <w:vMerge w:val="restart"/>
            <w:vAlign w:val="center"/>
            <w:hideMark/>
          </w:tcPr>
          <w:p w14:paraId="1E53B9BD"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Medical waste to landfill and incineration</w:t>
            </w:r>
          </w:p>
          <w:p w14:paraId="7DA45682" w14:textId="0D09591C"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 xml:space="preserve">Distributed energy </w:t>
            </w:r>
          </w:p>
        </w:tc>
        <w:tc>
          <w:tcPr>
            <w:tcW w:w="1134" w:type="dxa"/>
            <w:vAlign w:val="center"/>
            <w:hideMark/>
          </w:tcPr>
          <w:p w14:paraId="2497B7A2" w14:textId="3E66167D"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Waste Management</w:t>
            </w:r>
          </w:p>
        </w:tc>
        <w:tc>
          <w:tcPr>
            <w:tcW w:w="851" w:type="dxa"/>
            <w:gridSpan w:val="2"/>
            <w:vMerge w:val="restart"/>
            <w:vAlign w:val="center"/>
            <w:hideMark/>
          </w:tcPr>
          <w:p w14:paraId="14D92EE0"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Kg</w:t>
            </w:r>
          </w:p>
          <w:p w14:paraId="6B6C85CF" w14:textId="6AE7F2FB"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kWh</w:t>
            </w:r>
          </w:p>
        </w:tc>
        <w:tc>
          <w:tcPr>
            <w:tcW w:w="2268" w:type="dxa"/>
            <w:vMerge w:val="restart"/>
            <w:vAlign w:val="center"/>
            <w:hideMark/>
          </w:tcPr>
          <w:p w14:paraId="278B4978"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Custom emission factors cytotoxic - kg</w:t>
            </w:r>
            <w:r w:rsidRPr="00AE4DBA">
              <w:rPr>
                <w:rFonts w:ascii="Calibri" w:eastAsia="Calibri" w:hAnsi="Calibri" w:cs="Calibri"/>
                <w:color w:val="000000"/>
                <w:szCs w:val="20"/>
                <w:lang w:eastAsia="en-US"/>
              </w:rPr>
              <w:br/>
              <w:t>Custom emission factors medical/clinical/ sharps waste - kg</w:t>
            </w:r>
            <w:r w:rsidRPr="00AE4DBA">
              <w:rPr>
                <w:rFonts w:ascii="Calibri" w:eastAsia="Calibri" w:hAnsi="Calibri" w:cs="Calibri"/>
                <w:color w:val="000000"/>
                <w:szCs w:val="20"/>
                <w:lang w:eastAsia="en-US"/>
              </w:rPr>
              <w:br/>
              <w:t>Waste General Waste with LFGR -kg.</w:t>
            </w:r>
          </w:p>
          <w:p w14:paraId="3D564CBC" w14:textId="258E44C8"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Custom emission factors cytotoxic - kg</w:t>
            </w:r>
          </w:p>
        </w:tc>
        <w:tc>
          <w:tcPr>
            <w:tcW w:w="5244" w:type="dxa"/>
            <w:vAlign w:val="center"/>
            <w:hideMark/>
          </w:tcPr>
          <w:p w14:paraId="32CAAFED" w14:textId="6A0A8754"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All landfills used for medical waste and sharps have landfill gas recovery. The dataset of Waste Management includes some community pharmacies. Community pharmacies are out of scope but are included in waste inventory as it is unclear which is which.</w:t>
            </w:r>
          </w:p>
        </w:tc>
        <w:tc>
          <w:tcPr>
            <w:tcW w:w="3180" w:type="dxa"/>
            <w:vMerge w:val="restart"/>
            <w:vAlign w:val="center"/>
            <w:hideMark/>
          </w:tcPr>
          <w:p w14:paraId="01BBAAAF"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It is assumed the supplier reports are complete and accurate.</w:t>
            </w:r>
          </w:p>
          <w:p w14:paraId="24CBD298" w14:textId="178FA9CF"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Medium - estimation of volumes based on audit</w:t>
            </w:r>
          </w:p>
        </w:tc>
      </w:tr>
      <w:tr w:rsidR="009B5BD9" w:rsidRPr="00AE4DBA" w14:paraId="56258883" w14:textId="77777777" w:rsidTr="00A04FCB">
        <w:trPr>
          <w:gridAfter w:val="5"/>
          <w:wAfter w:w="15900" w:type="dxa"/>
          <w:trHeight w:val="1020"/>
        </w:trPr>
        <w:tc>
          <w:tcPr>
            <w:tcW w:w="1271" w:type="dxa"/>
            <w:vMerge/>
            <w:vAlign w:val="center"/>
            <w:hideMark/>
          </w:tcPr>
          <w:p w14:paraId="48806398"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00798E2C" w14:textId="7D654704"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West Coast District</w:t>
            </w:r>
          </w:p>
        </w:tc>
        <w:tc>
          <w:tcPr>
            <w:tcW w:w="851" w:type="dxa"/>
            <w:gridSpan w:val="2"/>
            <w:vMerge/>
            <w:vAlign w:val="center"/>
            <w:hideMark/>
          </w:tcPr>
          <w:p w14:paraId="524FDA31"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Merge/>
            <w:vAlign w:val="center"/>
            <w:hideMark/>
          </w:tcPr>
          <w:p w14:paraId="5C726A15"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hideMark/>
          </w:tcPr>
          <w:p w14:paraId="2C5C9C98" w14:textId="11B0F6A1"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Greymouth Hospital. Onsite incinerator for medical waste. Volumes per year based on audit 70 bags per day x 5kg each x 365 days = 127,750 kg per year or 10,646 kg/month. Emission factor cytotoxic incineration is used.</w:t>
            </w:r>
          </w:p>
        </w:tc>
        <w:tc>
          <w:tcPr>
            <w:tcW w:w="3180" w:type="dxa"/>
            <w:vMerge/>
            <w:vAlign w:val="center"/>
            <w:hideMark/>
          </w:tcPr>
          <w:p w14:paraId="77F03B72"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2DF401F6" w14:textId="77777777" w:rsidTr="00A04FCB">
        <w:trPr>
          <w:gridAfter w:val="5"/>
          <w:wAfter w:w="15900" w:type="dxa"/>
          <w:trHeight w:val="780"/>
        </w:trPr>
        <w:tc>
          <w:tcPr>
            <w:tcW w:w="1271" w:type="dxa"/>
            <w:vMerge/>
            <w:vAlign w:val="center"/>
            <w:hideMark/>
          </w:tcPr>
          <w:p w14:paraId="78F2EC6B"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1A64B51E" w14:textId="7EDF469E"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Canterbury District</w:t>
            </w:r>
          </w:p>
        </w:tc>
        <w:tc>
          <w:tcPr>
            <w:tcW w:w="851" w:type="dxa"/>
            <w:gridSpan w:val="2"/>
            <w:vMerge/>
            <w:vAlign w:val="center"/>
            <w:hideMark/>
          </w:tcPr>
          <w:p w14:paraId="2484F746"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Align w:val="center"/>
            <w:hideMark/>
          </w:tcPr>
          <w:p w14:paraId="1C0EF4D3" w14:textId="39F00598"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Electricity - kWh</w:t>
            </w:r>
          </w:p>
        </w:tc>
        <w:tc>
          <w:tcPr>
            <w:tcW w:w="5244" w:type="dxa"/>
            <w:vAlign w:val="center"/>
            <w:hideMark/>
          </w:tcPr>
          <w:p w14:paraId="04D30591" w14:textId="2C33E4D2"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Electricity purchased by Canterbury District but on charged and distributed to the University of Otago.</w:t>
            </w:r>
          </w:p>
        </w:tc>
        <w:tc>
          <w:tcPr>
            <w:tcW w:w="3180" w:type="dxa"/>
            <w:vAlign w:val="center"/>
            <w:hideMark/>
          </w:tcPr>
          <w:p w14:paraId="2E894705" w14:textId="2EABAEB0"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 based on submeter reading</w:t>
            </w:r>
          </w:p>
        </w:tc>
      </w:tr>
      <w:tr w:rsidR="009B5BD9" w:rsidRPr="00AE4DBA" w14:paraId="03EC30D9" w14:textId="77777777" w:rsidTr="00A04FCB">
        <w:trPr>
          <w:gridAfter w:val="5"/>
          <w:wAfter w:w="15900" w:type="dxa"/>
          <w:trHeight w:val="510"/>
        </w:trPr>
        <w:tc>
          <w:tcPr>
            <w:tcW w:w="1271" w:type="dxa"/>
            <w:vAlign w:val="center"/>
          </w:tcPr>
          <w:p w14:paraId="4F315C04" w14:textId="7E5BF6E8"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lastRenderedPageBreak/>
              <w:t>Transmissions and distribution losses</w:t>
            </w:r>
          </w:p>
        </w:tc>
        <w:tc>
          <w:tcPr>
            <w:tcW w:w="1134" w:type="dxa"/>
            <w:vAlign w:val="center"/>
          </w:tcPr>
          <w:p w14:paraId="33A3D4A7" w14:textId="34A3808E"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Derived from electricity inputs</w:t>
            </w:r>
          </w:p>
        </w:tc>
        <w:tc>
          <w:tcPr>
            <w:tcW w:w="851" w:type="dxa"/>
            <w:gridSpan w:val="2"/>
            <w:vAlign w:val="center"/>
          </w:tcPr>
          <w:p w14:paraId="2F21E449" w14:textId="0F62DA21"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kWh</w:t>
            </w:r>
          </w:p>
        </w:tc>
        <w:tc>
          <w:tcPr>
            <w:tcW w:w="2268" w:type="dxa"/>
            <w:vAlign w:val="center"/>
          </w:tcPr>
          <w:p w14:paraId="4E3E7815" w14:textId="39F00598" w:rsidR="009B5BD9" w:rsidRPr="00AE4DBA" w:rsidRDefault="16C4AC6D" w:rsidP="5B7F9A97">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5B7F9A97">
              <w:rPr>
                <w:rFonts w:ascii="Calibri" w:eastAsia="Calibri" w:hAnsi="Calibri" w:cs="Calibri"/>
                <w:color w:val="000000"/>
                <w:lang w:eastAsia="en-US"/>
              </w:rPr>
              <w:t>Electricity - kWh</w:t>
            </w:r>
          </w:p>
          <w:p w14:paraId="423F8149" w14:textId="00D4BC14"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p>
        </w:tc>
        <w:tc>
          <w:tcPr>
            <w:tcW w:w="5244" w:type="dxa"/>
            <w:vAlign w:val="center"/>
          </w:tcPr>
          <w:p w14:paraId="194FB346" w14:textId="21FCDAF4" w:rsidR="009B5BD9" w:rsidRPr="00AE4DBA" w:rsidRDefault="16C4AC6D" w:rsidP="003C7E5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5B7F9A97">
              <w:rPr>
                <w:rFonts w:ascii="Calibri" w:eastAsia="Calibri" w:hAnsi="Calibri" w:cs="Calibri"/>
                <w:color w:val="000000"/>
                <w:lang w:eastAsia="en-US"/>
              </w:rPr>
              <w:t>Calculated in tool based on electricity consumption using T&amp;D loss EF</w:t>
            </w:r>
          </w:p>
        </w:tc>
        <w:tc>
          <w:tcPr>
            <w:tcW w:w="3180" w:type="dxa"/>
            <w:vAlign w:val="center"/>
          </w:tcPr>
          <w:p w14:paraId="219D5188" w14:textId="255897EE"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derived from energy meter data</w:t>
            </w:r>
          </w:p>
        </w:tc>
      </w:tr>
      <w:tr w:rsidR="009B5BD9" w:rsidRPr="00AE4DBA" w14:paraId="4CD9AC30" w14:textId="77777777" w:rsidTr="00A04FCB">
        <w:trPr>
          <w:gridAfter w:val="5"/>
          <w:wAfter w:w="15900" w:type="dxa"/>
          <w:trHeight w:val="510"/>
        </w:trPr>
        <w:tc>
          <w:tcPr>
            <w:tcW w:w="1271" w:type="dxa"/>
            <w:vMerge w:val="restart"/>
            <w:vAlign w:val="center"/>
            <w:hideMark/>
          </w:tcPr>
          <w:p w14:paraId="1726D2C7"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Transmissions and distribution losses</w:t>
            </w:r>
          </w:p>
          <w:p w14:paraId="5CB530A3" w14:textId="4770DA8F"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Water and wastewater</w:t>
            </w:r>
          </w:p>
        </w:tc>
        <w:tc>
          <w:tcPr>
            <w:tcW w:w="1134" w:type="dxa"/>
            <w:vAlign w:val="center"/>
            <w:hideMark/>
          </w:tcPr>
          <w:p w14:paraId="2E17B87B" w14:textId="1173E8FE"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Derived from gas inputs</w:t>
            </w:r>
          </w:p>
        </w:tc>
        <w:tc>
          <w:tcPr>
            <w:tcW w:w="851" w:type="dxa"/>
            <w:gridSpan w:val="2"/>
            <w:vAlign w:val="center"/>
            <w:hideMark/>
          </w:tcPr>
          <w:p w14:paraId="5F0D034D" w14:textId="672E2FE1"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GJ</w:t>
            </w:r>
          </w:p>
        </w:tc>
        <w:tc>
          <w:tcPr>
            <w:tcW w:w="2268" w:type="dxa"/>
            <w:vAlign w:val="center"/>
            <w:hideMark/>
          </w:tcPr>
          <w:p w14:paraId="114478CB" w14:textId="4B7CCFBB" w:rsidR="009B5BD9" w:rsidRPr="00AE4DBA" w:rsidRDefault="31128420" w:rsidP="003C7E5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5B7F9A97">
              <w:rPr>
                <w:rFonts w:ascii="Calibri" w:eastAsia="Calibri" w:hAnsi="Calibri" w:cs="Calibri"/>
                <w:color w:val="000000"/>
                <w:lang w:eastAsia="en-US"/>
              </w:rPr>
              <w:t>GJ</w:t>
            </w:r>
          </w:p>
        </w:tc>
        <w:tc>
          <w:tcPr>
            <w:tcW w:w="5244" w:type="dxa"/>
            <w:vAlign w:val="center"/>
            <w:hideMark/>
          </w:tcPr>
          <w:p w14:paraId="2640CA77" w14:textId="6616DAA4" w:rsidR="009B5BD9" w:rsidRPr="00AE4DBA" w:rsidRDefault="31128420" w:rsidP="5B7F9A97">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5B7F9A97">
              <w:rPr>
                <w:rFonts w:ascii="Calibri" w:eastAsia="Calibri" w:hAnsi="Calibri" w:cs="Calibri"/>
                <w:color w:val="000000"/>
                <w:lang w:eastAsia="en-US"/>
              </w:rPr>
              <w:t>Calculated in tool based on gas consumption using T&amp;D loss EF</w:t>
            </w:r>
          </w:p>
          <w:p w14:paraId="0ADAB2BB" w14:textId="3B93766E"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p>
        </w:tc>
        <w:tc>
          <w:tcPr>
            <w:tcW w:w="3180" w:type="dxa"/>
            <w:vMerge w:val="restart"/>
            <w:vAlign w:val="center"/>
            <w:hideMark/>
          </w:tcPr>
          <w:p w14:paraId="5609EA35"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High quality - derived from energy meter data</w:t>
            </w:r>
          </w:p>
          <w:p w14:paraId="03075F24" w14:textId="556AC453"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Low to medium quality. Several hospitals have no water recordings, or water readings are only read at infrequent intervals. Estimates based on NABERSNZ Hospital benchmark formulas have been used to estimate predicated water consumption to complete gaps.</w:t>
            </w:r>
          </w:p>
        </w:tc>
      </w:tr>
      <w:tr w:rsidR="009B5BD9" w:rsidRPr="00AE4DBA" w14:paraId="3E07D322" w14:textId="77777777" w:rsidTr="00A04FCB">
        <w:trPr>
          <w:gridAfter w:val="5"/>
          <w:wAfter w:w="15900" w:type="dxa"/>
          <w:trHeight w:val="405"/>
        </w:trPr>
        <w:tc>
          <w:tcPr>
            <w:tcW w:w="1271" w:type="dxa"/>
            <w:vMerge/>
            <w:vAlign w:val="center"/>
            <w:hideMark/>
          </w:tcPr>
          <w:p w14:paraId="55AF8B8C"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hideMark/>
          </w:tcPr>
          <w:p w14:paraId="4A897019" w14:textId="1B62AFCF"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Water</w:t>
            </w:r>
          </w:p>
        </w:tc>
        <w:tc>
          <w:tcPr>
            <w:tcW w:w="851" w:type="dxa"/>
            <w:gridSpan w:val="2"/>
            <w:vAlign w:val="center"/>
            <w:hideMark/>
          </w:tcPr>
          <w:p w14:paraId="159E3AB0" w14:textId="649F56AA"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m3</w:t>
            </w:r>
          </w:p>
        </w:tc>
        <w:tc>
          <w:tcPr>
            <w:tcW w:w="2268" w:type="dxa"/>
            <w:vAlign w:val="center"/>
            <w:hideMark/>
          </w:tcPr>
          <w:p w14:paraId="723E2FFA" w14:textId="4FCC9CE9"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Water Supply - m3</w:t>
            </w:r>
          </w:p>
        </w:tc>
        <w:tc>
          <w:tcPr>
            <w:tcW w:w="5244" w:type="dxa"/>
            <w:vAlign w:val="center"/>
            <w:hideMark/>
          </w:tcPr>
          <w:p w14:paraId="56C372F2" w14:textId="163C5EAE"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lang w:eastAsia="en-US"/>
              </w:rPr>
            </w:pPr>
            <w:r w:rsidRPr="5B7F9A97">
              <w:rPr>
                <w:rFonts w:ascii="Calibri" w:eastAsia="Calibri" w:hAnsi="Calibri" w:cs="Calibri"/>
                <w:color w:val="000000"/>
                <w:lang w:eastAsia="en-US"/>
              </w:rPr>
              <w:t xml:space="preserve">Includes water of all district hospital sites and sites under direct contract. Leased offices excluded. No data is available for several sites. </w:t>
            </w:r>
          </w:p>
        </w:tc>
        <w:tc>
          <w:tcPr>
            <w:tcW w:w="3180" w:type="dxa"/>
            <w:vMerge/>
            <w:vAlign w:val="center"/>
            <w:hideMark/>
          </w:tcPr>
          <w:p w14:paraId="231D81C3"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r w:rsidR="009B5BD9" w:rsidRPr="00AE4DBA" w14:paraId="63D957A8" w14:textId="77777777" w:rsidTr="00A04FCB">
        <w:trPr>
          <w:gridAfter w:val="5"/>
          <w:wAfter w:w="15900" w:type="dxa"/>
          <w:trHeight w:val="1020"/>
        </w:trPr>
        <w:tc>
          <w:tcPr>
            <w:tcW w:w="1271" w:type="dxa"/>
            <w:vMerge w:val="restart"/>
            <w:vAlign w:val="center"/>
            <w:hideMark/>
          </w:tcPr>
          <w:p w14:paraId="4D3B8928"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Water and wastewater</w:t>
            </w:r>
          </w:p>
        </w:tc>
        <w:tc>
          <w:tcPr>
            <w:tcW w:w="1134" w:type="dxa"/>
            <w:vAlign w:val="center"/>
            <w:hideMark/>
          </w:tcPr>
          <w:p w14:paraId="00099A27" w14:textId="56D3E782"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Wastewater</w:t>
            </w:r>
          </w:p>
        </w:tc>
        <w:tc>
          <w:tcPr>
            <w:tcW w:w="851" w:type="dxa"/>
            <w:gridSpan w:val="2"/>
            <w:vAlign w:val="center"/>
            <w:hideMark/>
          </w:tcPr>
          <w:p w14:paraId="0B6B7CC0" w14:textId="3C87F91F"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m3</w:t>
            </w:r>
          </w:p>
        </w:tc>
        <w:tc>
          <w:tcPr>
            <w:tcW w:w="2268" w:type="dxa"/>
            <w:vAlign w:val="center"/>
            <w:hideMark/>
          </w:tcPr>
          <w:p w14:paraId="359D762B" w14:textId="36E0BD85"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Domestic Wastewater average - m3</w:t>
            </w:r>
          </w:p>
        </w:tc>
        <w:tc>
          <w:tcPr>
            <w:tcW w:w="5244" w:type="dxa"/>
            <w:vAlign w:val="center"/>
            <w:hideMark/>
          </w:tcPr>
          <w:p w14:paraId="74CB1B64" w14:textId="639E45C5"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Based on water inputs, assumed water in is water out</w:t>
            </w:r>
          </w:p>
        </w:tc>
        <w:tc>
          <w:tcPr>
            <w:tcW w:w="3180" w:type="dxa"/>
            <w:vMerge w:val="restart"/>
            <w:vAlign w:val="center"/>
            <w:hideMark/>
          </w:tcPr>
          <w:p w14:paraId="2EE6B5CD"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r w:rsidRPr="00AE4DBA">
              <w:rPr>
                <w:rFonts w:ascii="Calibri" w:eastAsia="Calibri" w:hAnsi="Calibri" w:cs="Calibri"/>
                <w:color w:val="000000"/>
                <w:szCs w:val="20"/>
                <w:lang w:eastAsia="en-US"/>
              </w:rPr>
              <w:t>Low to medium quality. Several hospitals have no water recordings, or water readings are only read at infrequent intervals. Estimates based on NABERSNZ Hospital benchmark formulas have been used to estimate predicated water consumption to complete gaps.</w:t>
            </w:r>
          </w:p>
        </w:tc>
      </w:tr>
      <w:tr w:rsidR="009B5BD9" w:rsidRPr="00AE4DBA" w14:paraId="1506E083" w14:textId="77777777" w:rsidTr="00A04FCB">
        <w:trPr>
          <w:gridAfter w:val="5"/>
          <w:wAfter w:w="15900" w:type="dxa"/>
          <w:trHeight w:val="315"/>
        </w:trPr>
        <w:tc>
          <w:tcPr>
            <w:tcW w:w="1271" w:type="dxa"/>
            <w:vMerge/>
            <w:vAlign w:val="center"/>
          </w:tcPr>
          <w:p w14:paraId="2404AE3C"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1134" w:type="dxa"/>
            <w:vAlign w:val="center"/>
          </w:tcPr>
          <w:p w14:paraId="629D0458" w14:textId="7E75733C"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851" w:type="dxa"/>
            <w:gridSpan w:val="2"/>
            <w:vAlign w:val="center"/>
          </w:tcPr>
          <w:p w14:paraId="3CBC87EC" w14:textId="352C4590"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2268" w:type="dxa"/>
            <w:vAlign w:val="center"/>
          </w:tcPr>
          <w:p w14:paraId="27B74E6A" w14:textId="6A78BE5F"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5244" w:type="dxa"/>
            <w:vAlign w:val="center"/>
          </w:tcPr>
          <w:p w14:paraId="3E47FEA4" w14:textId="1F0A555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c>
          <w:tcPr>
            <w:tcW w:w="3180" w:type="dxa"/>
            <w:vMerge/>
            <w:vAlign w:val="center"/>
          </w:tcPr>
          <w:p w14:paraId="6B00B404" w14:textId="77777777" w:rsidR="009B5BD9" w:rsidRPr="00AE4DBA" w:rsidRDefault="009B5BD9" w:rsidP="003C7E5F">
            <w:pPr>
              <w:suppressAutoHyphens/>
              <w:autoSpaceDE w:val="0"/>
              <w:autoSpaceDN w:val="0"/>
              <w:adjustRightInd w:val="0"/>
              <w:spacing w:before="113" w:after="200" w:line="288" w:lineRule="auto"/>
              <w:textAlignment w:val="center"/>
              <w:rPr>
                <w:rFonts w:ascii="Calibri" w:eastAsia="Calibri" w:hAnsi="Calibri" w:cs="Calibri"/>
                <w:color w:val="000000"/>
                <w:szCs w:val="20"/>
                <w:lang w:eastAsia="en-US"/>
              </w:rPr>
            </w:pPr>
          </w:p>
        </w:tc>
      </w:tr>
    </w:tbl>
    <w:p w14:paraId="483AAFC6" w14:textId="0B882C80" w:rsidR="7CED8CDD" w:rsidRPr="00AE4DBA" w:rsidRDefault="7CED8CDD"/>
    <w:p w14:paraId="3E648032" w14:textId="77777777" w:rsidR="00731BBB" w:rsidRPr="00AE4DBA" w:rsidRDefault="00731BBB" w:rsidP="00CA0C05"/>
    <w:sectPr w:rsidR="00731BBB" w:rsidRPr="00AE4DBA" w:rsidSect="0046786E">
      <w:pgSz w:w="16838" w:h="11906" w:orient="landscape"/>
      <w:pgMar w:top="1440" w:right="1531" w:bottom="1440" w:left="1077" w:header="851"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A0083" w14:textId="77777777" w:rsidR="00CD7AA8" w:rsidRDefault="00CD7AA8" w:rsidP="001D3387">
      <w:r>
        <w:separator/>
      </w:r>
    </w:p>
  </w:endnote>
  <w:endnote w:type="continuationSeparator" w:id="0">
    <w:p w14:paraId="10AB9B45" w14:textId="77777777" w:rsidR="00CD7AA8" w:rsidRDefault="00CD7AA8" w:rsidP="001D3387">
      <w:r>
        <w:continuationSeparator/>
      </w:r>
    </w:p>
  </w:endnote>
  <w:endnote w:type="continuationNotice" w:id="1">
    <w:p w14:paraId="4CBA6910" w14:textId="77777777" w:rsidR="00CD7AA8" w:rsidRDefault="00CD7AA8" w:rsidP="001D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Roboto">
    <w:altName w:val="Times New Roman"/>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 w:name="GillSans">
    <w:altName w:val="Calibri"/>
    <w:panose1 w:val="00000000000000000000"/>
    <w:charset w:val="00"/>
    <w:family w:val="moder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dobe Clean DC">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449008"/>
      <w:docPartObj>
        <w:docPartGallery w:val="Page Numbers (Bottom of Page)"/>
        <w:docPartUnique/>
      </w:docPartObj>
    </w:sdtPr>
    <w:sdtEndPr>
      <w:rPr>
        <w:noProof/>
      </w:rPr>
    </w:sdtEndPr>
    <w:sdtContent>
      <w:p w14:paraId="0D55168C" w14:textId="021A7349" w:rsidR="00431323" w:rsidRDefault="00920CB3" w:rsidP="00A32AA1">
        <w:pPr>
          <w:pStyle w:val="Footerbody"/>
          <w:tabs>
            <w:tab w:val="left" w:pos="8789"/>
          </w:tabs>
          <w:spacing w:after="100" w:afterAutospacing="1"/>
          <w:rPr>
            <w:noProof/>
          </w:rPr>
        </w:pPr>
        <w:r w:rsidRPr="001D3387">
          <w:tab/>
        </w:r>
        <w:r w:rsidR="00A32AA1">
          <w:fldChar w:fldCharType="begin"/>
        </w:r>
        <w:r w:rsidR="00A32AA1">
          <w:instrText xml:space="preserve"> PAGE   \* MERGEFORMAT </w:instrText>
        </w:r>
        <w:r w:rsidR="00A32AA1">
          <w:fldChar w:fldCharType="separate"/>
        </w:r>
        <w:r w:rsidR="00A7481F">
          <w:rPr>
            <w:noProof/>
          </w:rPr>
          <w:t>20</w:t>
        </w:r>
        <w:r w:rsidR="00A32AA1">
          <w:rPr>
            <w:noProof/>
          </w:rPr>
          <w:fldChar w:fldCharType="end"/>
        </w:r>
      </w:p>
    </w:sdtContent>
  </w:sdt>
  <w:p w14:paraId="144EC211" w14:textId="77777777" w:rsidR="0011702E" w:rsidRDefault="001170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748580"/>
      <w:docPartObj>
        <w:docPartGallery w:val="Page Numbers (Bottom of Page)"/>
        <w:docPartUnique/>
      </w:docPartObj>
    </w:sdtPr>
    <w:sdtEndPr>
      <w:rPr>
        <w:noProof/>
        <w:sz w:val="18"/>
        <w:szCs w:val="20"/>
      </w:rPr>
    </w:sdtEndPr>
    <w:sdtContent>
      <w:p w14:paraId="4BD18595" w14:textId="3C3FF62A" w:rsidR="00B037A1" w:rsidRDefault="00B037A1" w:rsidP="7C571EA4">
        <w:pPr>
          <w:pStyle w:val="Footer"/>
          <w:jc w:val="center"/>
        </w:pPr>
        <w:r>
          <w:fldChar w:fldCharType="begin"/>
        </w:r>
        <w:r>
          <w:instrText xml:space="preserve"> PAGE   \* MERGEFORMAT </w:instrText>
        </w:r>
        <w:r>
          <w:fldChar w:fldCharType="separate"/>
        </w:r>
        <w:r w:rsidR="00A7481F">
          <w:rPr>
            <w:noProof/>
          </w:rPr>
          <w:t>0</w:t>
        </w:r>
        <w:r>
          <w:rPr>
            <w:noProof/>
          </w:rPr>
          <w:fldChar w:fldCharType="end"/>
        </w:r>
      </w:p>
    </w:sdtContent>
  </w:sdt>
  <w:p w14:paraId="6D0C737D" w14:textId="0477512B" w:rsidR="003A10C8" w:rsidRDefault="003A10C8" w:rsidP="001D3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F0EF4" w14:textId="77777777" w:rsidR="00CD7AA8" w:rsidRDefault="00CD7AA8" w:rsidP="001D3387">
      <w:r>
        <w:separator/>
      </w:r>
    </w:p>
  </w:footnote>
  <w:footnote w:type="continuationSeparator" w:id="0">
    <w:p w14:paraId="289A3790" w14:textId="77777777" w:rsidR="00CD7AA8" w:rsidRDefault="00CD7AA8" w:rsidP="001D3387">
      <w:r>
        <w:continuationSeparator/>
      </w:r>
    </w:p>
  </w:footnote>
  <w:footnote w:type="continuationNotice" w:id="1">
    <w:p w14:paraId="55C723CA" w14:textId="77777777" w:rsidR="00CD7AA8" w:rsidRDefault="00CD7AA8" w:rsidP="001D3387"/>
  </w:footnote>
  <w:footnote w:id="2">
    <w:p w14:paraId="55C6F170" w14:textId="77777777" w:rsidR="00A90DAD" w:rsidRDefault="00A90DAD" w:rsidP="00A90DAD">
      <w:pPr>
        <w:pStyle w:val="FootnoteText"/>
      </w:pPr>
      <w:r w:rsidRPr="084A6B38">
        <w:rPr>
          <w:rStyle w:val="FootnoteReference"/>
        </w:rPr>
        <w:footnoteRef/>
      </w:r>
      <w:r>
        <w:t xml:space="preserve"> Throughout this document ’GHG Protocol’ refers to the GHG Protocol Corporate Accounting and Reporting Standard and ’ISO 14064-1:2018’ means the international standard Specification with Guidance at the Organizational Level for Quantification and Reporting of Greenhouse Gas Emissions and Removals.</w:t>
      </w:r>
    </w:p>
  </w:footnote>
  <w:footnote w:id="3">
    <w:p w14:paraId="13309624" w14:textId="77777777" w:rsidR="00E12E93" w:rsidRDefault="00E12E93" w:rsidP="00E12E93">
      <w:pPr>
        <w:pStyle w:val="FootnoteText"/>
      </w:pPr>
      <w:r w:rsidRPr="78914035">
        <w:rPr>
          <w:rStyle w:val="FootnoteReference"/>
        </w:rPr>
        <w:footnoteRef/>
      </w:r>
      <w:r>
        <w:t xml:space="preserve"> Henceforth referred to as ‘emissions’</w:t>
      </w:r>
    </w:p>
  </w:footnote>
  <w:footnote w:id="4">
    <w:p w14:paraId="7A77D784" w14:textId="77777777" w:rsidR="0079593D" w:rsidRDefault="0079593D" w:rsidP="0079593D">
      <w:pPr>
        <w:pStyle w:val="FootnoteText"/>
      </w:pPr>
      <w:r>
        <w:rPr>
          <w:rStyle w:val="FootnoteReference"/>
        </w:rPr>
        <w:footnoteRef/>
      </w:r>
      <w:r>
        <w:t xml:space="preserve"> Henceforth referred to as ISO 14064-1</w:t>
      </w:r>
    </w:p>
  </w:footnote>
  <w:footnote w:id="5">
    <w:p w14:paraId="7F4D141F" w14:textId="6F4A054A" w:rsidR="00220CEA" w:rsidRPr="00ED037C" w:rsidRDefault="00220CEA" w:rsidP="00220CEA">
      <w:pPr>
        <w:pStyle w:val="FootnoteText"/>
      </w:pPr>
      <w:r>
        <w:rPr>
          <w:rStyle w:val="FootnoteReference"/>
        </w:rPr>
        <w:footnoteRef/>
      </w:r>
      <w:r>
        <w:t xml:space="preserve"> Natural Gas and Electricity figures include </w:t>
      </w:r>
      <w:r w:rsidR="009C318F">
        <w:t xml:space="preserve">transmission </w:t>
      </w:r>
      <w:r>
        <w:t xml:space="preserve">and </w:t>
      </w:r>
      <w:r w:rsidR="009C318F">
        <w:t xml:space="preserve">distribution losses </w:t>
      </w:r>
      <w:r>
        <w:t>(T&amp;D). Coal figures include steam from coal purchases.</w:t>
      </w:r>
    </w:p>
  </w:footnote>
  <w:footnote w:id="6">
    <w:p w14:paraId="68AED318" w14:textId="77777777" w:rsidR="00C3777D" w:rsidRDefault="00C3777D" w:rsidP="00C3777D">
      <w:pPr>
        <w:pStyle w:val="FootnoteText"/>
      </w:pPr>
      <w:r w:rsidRPr="73C880AF">
        <w:rPr>
          <w:rStyle w:val="FootnoteReference"/>
        </w:rPr>
        <w:footnoteRef/>
      </w:r>
      <w:r>
        <w:t xml:space="preserve"> Pae Ora (Healthy Futures) Act 2022, s 7(e)</w:t>
      </w:r>
    </w:p>
  </w:footnote>
  <w:footnote w:id="7">
    <w:p w14:paraId="416852A9" w14:textId="77777777" w:rsidR="006A5D29" w:rsidRDefault="006A5D29" w:rsidP="006A5D29">
      <w:pPr>
        <w:pStyle w:val="FootnoteText"/>
      </w:pPr>
      <w:r>
        <w:rPr>
          <w:rStyle w:val="FootnoteReference"/>
        </w:rPr>
        <w:footnoteRef/>
      </w:r>
      <w:r>
        <w:t xml:space="preserve"> </w:t>
      </w:r>
      <w:r w:rsidRPr="00714495">
        <w:t>https://sbc.org.nz/</w:t>
      </w:r>
    </w:p>
  </w:footnote>
  <w:footnote w:id="8">
    <w:p w14:paraId="5A37E28E" w14:textId="77777777" w:rsidR="006A5D29" w:rsidRDefault="006A5D29" w:rsidP="006A5D29">
      <w:pPr>
        <w:pStyle w:val="FootnoteText"/>
      </w:pPr>
      <w:r>
        <w:rPr>
          <w:rStyle w:val="FootnoteReference"/>
        </w:rPr>
        <w:footnoteRef/>
      </w:r>
      <w:r>
        <w:t xml:space="preserve"> </w:t>
      </w:r>
      <w:r w:rsidRPr="004841EE">
        <w:t>https://greenhospitals.org/</w:t>
      </w:r>
    </w:p>
  </w:footnote>
  <w:footnote w:id="9">
    <w:p w14:paraId="2CFB452B" w14:textId="77777777" w:rsidR="006A5D29" w:rsidRDefault="006A5D29" w:rsidP="006A5D29">
      <w:pPr>
        <w:pStyle w:val="FootnoteText"/>
      </w:pPr>
      <w:r>
        <w:rPr>
          <w:rStyle w:val="FootnoteReference"/>
        </w:rPr>
        <w:footnoteRef/>
      </w:r>
      <w:r>
        <w:t xml:space="preserve"> </w:t>
      </w:r>
      <w:r w:rsidRPr="00351D17">
        <w:t>https://www.linkedin.com/company/sustainable-health-sector-national-network-aotearoa/?originalSubdomain=nz</w:t>
      </w:r>
    </w:p>
  </w:footnote>
  <w:footnote w:id="10">
    <w:p w14:paraId="3E994575" w14:textId="77777777" w:rsidR="006A5D29" w:rsidRDefault="006A5D29" w:rsidP="006A5D29">
      <w:pPr>
        <w:pStyle w:val="FootnoteText"/>
      </w:pPr>
      <w:r w:rsidRPr="28B1C063">
        <w:rPr>
          <w:rStyle w:val="FootnoteReference"/>
        </w:rPr>
        <w:footnoteRef/>
      </w:r>
      <w:r>
        <w:t xml:space="preserve"> https://www.wasteminz.org.nz/</w:t>
      </w:r>
    </w:p>
  </w:footnote>
  <w:footnote w:id="11">
    <w:p w14:paraId="130CDBF2" w14:textId="2619FE96" w:rsidR="00B913A8" w:rsidRDefault="00B913A8" w:rsidP="00B913A8">
      <w:pPr>
        <w:pStyle w:val="FootnoteText"/>
      </w:pPr>
      <w:r>
        <w:rPr>
          <w:rStyle w:val="FootnoteReference"/>
        </w:rPr>
        <w:footnoteRef/>
      </w:r>
      <w:r>
        <w:t xml:space="preserve"> Based on recorded FTE in the Health Workforce Information Programme as </w:t>
      </w:r>
      <w:r w:rsidR="00EC0913">
        <w:t>of</w:t>
      </w:r>
      <w:r>
        <w:t xml:space="preserve"> 31 March 2023. FTE total excludes FTE from subsidiaries.</w:t>
      </w:r>
    </w:p>
  </w:footnote>
  <w:footnote w:id="12">
    <w:p w14:paraId="6F5E9B84" w14:textId="678A8775" w:rsidR="00B913A8" w:rsidRDefault="00B913A8" w:rsidP="00B913A8">
      <w:pPr>
        <w:pStyle w:val="FootnoteText"/>
      </w:pPr>
      <w:r w:rsidRPr="606F915D">
        <w:rPr>
          <w:rStyle w:val="FootnoteReference"/>
        </w:rPr>
        <w:footnoteRef/>
      </w:r>
      <w:r>
        <w:t xml:space="preserve"> Based on recorded patient Length of Stay days in the National Minimum Dataset of hospital events (NMDS) as </w:t>
      </w:r>
      <w:proofErr w:type="gramStart"/>
      <w:r>
        <w:t>at</w:t>
      </w:r>
      <w:proofErr w:type="gramEnd"/>
      <w:r>
        <w:t xml:space="preserve"> 31 July 202</w:t>
      </w:r>
      <w:r w:rsidR="00F70533">
        <w:t>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59C5B" w14:textId="710980CD" w:rsidR="0011702E" w:rsidRDefault="001E1669" w:rsidP="00E27A4C">
    <w:pPr>
      <w:tabs>
        <w:tab w:val="left" w:pos="10730"/>
      </w:tabs>
    </w:pPr>
    <w:r w:rsidRPr="001E1669">
      <w:rPr>
        <w:noProof/>
      </w:rPr>
      <w:drawing>
        <wp:anchor distT="0" distB="0" distL="114300" distR="114300" simplePos="0" relativeHeight="251658240" behindDoc="1" locked="0" layoutInCell="1" allowOverlap="1" wp14:anchorId="4086C40E" wp14:editId="4380DB02">
          <wp:simplePos x="0" y="0"/>
          <wp:positionH relativeFrom="page">
            <wp:align>right</wp:align>
          </wp:positionH>
          <wp:positionV relativeFrom="paragraph">
            <wp:posOffset>-559435</wp:posOffset>
          </wp:positionV>
          <wp:extent cx="10680700" cy="1000125"/>
          <wp:effectExtent l="0" t="0" r="6350" b="0"/>
          <wp:wrapNone/>
          <wp:docPr id="1078806705" name="Picture 107880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80700" cy="1000125"/>
                  </a:xfrm>
                  <a:prstGeom prst="rect">
                    <a:avLst/>
                  </a:prstGeom>
                </pic:spPr>
              </pic:pic>
            </a:graphicData>
          </a:graphic>
          <wp14:sizeRelH relativeFrom="margin">
            <wp14:pctWidth>0</wp14:pctWidth>
          </wp14:sizeRelH>
          <wp14:sizeRelV relativeFrom="margin">
            <wp14:pctHeight>0</wp14:pctHeight>
          </wp14:sizeRelV>
        </wp:anchor>
      </w:drawing>
    </w:r>
    <w:r w:rsidR="00E27A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34EB1" w14:textId="77777777" w:rsidR="001218E6" w:rsidRDefault="001218E6">
    <w:pPr>
      <w:pStyle w:val="Header"/>
    </w:pPr>
    <w:r w:rsidRPr="001E1669">
      <w:rPr>
        <w:rFonts w:ascii="Poppins" w:hAnsi="Poppins" w:cs="Poppins"/>
        <w:b/>
        <w:bCs/>
        <w:noProof/>
        <w:kern w:val="22"/>
        <w:sz w:val="20"/>
        <w:szCs w:val="20"/>
      </w:rPr>
      <w:drawing>
        <wp:anchor distT="0" distB="0" distL="114300" distR="114300" simplePos="0" relativeHeight="251658241" behindDoc="1" locked="0" layoutInCell="1" allowOverlap="1" wp14:anchorId="0D335695" wp14:editId="619B63F9">
          <wp:simplePos x="0" y="0"/>
          <wp:positionH relativeFrom="page">
            <wp:align>right</wp:align>
          </wp:positionH>
          <wp:positionV relativeFrom="paragraph">
            <wp:posOffset>-540688</wp:posOffset>
          </wp:positionV>
          <wp:extent cx="10687050" cy="927100"/>
          <wp:effectExtent l="0" t="0" r="0" b="0"/>
          <wp:wrapNone/>
          <wp:docPr id="69108706" name="Picture 6910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87050"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D15"/>
    <w:multiLevelType w:val="multilevel"/>
    <w:tmpl w:val="EA58D380"/>
    <w:lvl w:ilvl="0">
      <w:start w:val="1"/>
      <w:numFmt w:val="decimal"/>
      <w:lvlText w:val="%1"/>
      <w:lvlJc w:val="left"/>
      <w:pPr>
        <w:ind w:left="540" w:hanging="54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DE70F2"/>
    <w:multiLevelType w:val="hybridMultilevel"/>
    <w:tmpl w:val="79D2DE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846930"/>
    <w:multiLevelType w:val="hybridMultilevel"/>
    <w:tmpl w:val="50785F2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15:restartNumberingAfterBreak="0">
    <w:nsid w:val="0A5919F3"/>
    <w:multiLevelType w:val="hybridMultilevel"/>
    <w:tmpl w:val="5B320D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5207C8"/>
    <w:multiLevelType w:val="hybridMultilevel"/>
    <w:tmpl w:val="56546D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BC5766"/>
    <w:multiLevelType w:val="hybridMultilevel"/>
    <w:tmpl w:val="3BF6A88E"/>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6" w15:restartNumberingAfterBreak="0">
    <w:nsid w:val="18E1B0D6"/>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AB57D1"/>
    <w:multiLevelType w:val="hybridMultilevel"/>
    <w:tmpl w:val="E5522FCC"/>
    <w:lvl w:ilvl="0" w:tplc="8AE63B42">
      <w:start w:val="9"/>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CA0303B"/>
    <w:multiLevelType w:val="hybridMultilevel"/>
    <w:tmpl w:val="859E8C28"/>
    <w:lvl w:ilvl="0" w:tplc="77905282">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00157E3"/>
    <w:multiLevelType w:val="multilevel"/>
    <w:tmpl w:val="BCF460F8"/>
    <w:lvl w:ilvl="0">
      <w:start w:val="1"/>
      <w:numFmt w:val="decimal"/>
      <w:lvlText w:val="%1."/>
      <w:lvlJc w:val="left"/>
      <w:pPr>
        <w:ind w:left="360" w:hanging="360"/>
      </w:pPr>
      <w:rPr>
        <w:rFonts w:ascii="Arial" w:eastAsia="Malgun Gothic" w:hAnsi="Arial" w:cs="Arial" w:hint="default"/>
      </w:rPr>
    </w:lvl>
    <w:lvl w:ilvl="1">
      <w:start w:val="1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7673579"/>
    <w:multiLevelType w:val="hybridMultilevel"/>
    <w:tmpl w:val="39D044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7D3516"/>
    <w:multiLevelType w:val="hybridMultilevel"/>
    <w:tmpl w:val="9B406908"/>
    <w:lvl w:ilvl="0" w:tplc="02084884">
      <w:start w:val="1"/>
      <w:numFmt w:val="decimal"/>
      <w:pStyle w:val="Numberedbullets"/>
      <w:lvlText w:val="%1."/>
      <w:lvlJc w:val="left"/>
      <w:pPr>
        <w:ind w:left="720" w:hanging="360"/>
      </w:pPr>
      <w:rPr>
        <w:rFonts w:ascii="Roboto" w:hAnsi="Roboto" w:hint="default"/>
        <w:b w:val="0"/>
        <w:color w:val="auto"/>
        <w:sz w:val="22"/>
      </w:rPr>
    </w:lvl>
    <w:lvl w:ilvl="1" w:tplc="EC02A6B6">
      <w:start w:val="1"/>
      <w:numFmt w:val="lowerLetter"/>
      <w:pStyle w:val="Letteredbullets"/>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7168E3"/>
    <w:multiLevelType w:val="hybridMultilevel"/>
    <w:tmpl w:val="49ACD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6626584"/>
    <w:multiLevelType w:val="multilevel"/>
    <w:tmpl w:val="A336DB88"/>
    <w:lvl w:ilvl="0">
      <w:start w:val="2"/>
      <w:numFmt w:val="decimal"/>
      <w:lvlText w:val="%1."/>
      <w:lvlJc w:val="left"/>
      <w:pPr>
        <w:ind w:left="360" w:hanging="360"/>
      </w:pPr>
      <w:rPr>
        <w:rFonts w:ascii="Arial" w:eastAsia="Malgun Gothic"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7B7BDA"/>
    <w:multiLevelType w:val="hybridMultilevel"/>
    <w:tmpl w:val="38B4A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86A496E"/>
    <w:multiLevelType w:val="hybridMultilevel"/>
    <w:tmpl w:val="9BC8EB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34B3BB9"/>
    <w:multiLevelType w:val="multilevel"/>
    <w:tmpl w:val="AA12E8B2"/>
    <w:lvl w:ilvl="0">
      <w:start w:val="1"/>
      <w:numFmt w:val="decimal"/>
      <w:lvlText w:val="%1."/>
      <w:lvlJc w:val="left"/>
      <w:pPr>
        <w:ind w:left="360" w:hanging="360"/>
      </w:pPr>
      <w:rPr>
        <w:rFonts w:ascii="Arial" w:eastAsia="Malgun Gothic"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B26EC9"/>
    <w:multiLevelType w:val="multilevel"/>
    <w:tmpl w:val="AA12E8B2"/>
    <w:lvl w:ilvl="0">
      <w:start w:val="1"/>
      <w:numFmt w:val="decimal"/>
      <w:lvlText w:val="%1."/>
      <w:lvlJc w:val="left"/>
      <w:pPr>
        <w:ind w:left="1080" w:hanging="360"/>
      </w:pPr>
      <w:rPr>
        <w:rFonts w:ascii="Arial" w:eastAsia="Malgun Gothic"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5921078C"/>
    <w:multiLevelType w:val="hybridMultilevel"/>
    <w:tmpl w:val="4A4E0E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CE74BCD"/>
    <w:multiLevelType w:val="hybridMultilevel"/>
    <w:tmpl w:val="6A28E1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F8D42B5"/>
    <w:multiLevelType w:val="hybridMultilevel"/>
    <w:tmpl w:val="A45862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24A4DE1"/>
    <w:multiLevelType w:val="hybridMultilevel"/>
    <w:tmpl w:val="B560BA58"/>
    <w:lvl w:ilvl="0" w:tplc="3CCA973E">
      <w:start w:val="1"/>
      <w:numFmt w:val="bullet"/>
      <w:pStyle w:val="Bulletpoints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EA4DA7"/>
    <w:multiLevelType w:val="multilevel"/>
    <w:tmpl w:val="AA12E8B2"/>
    <w:lvl w:ilvl="0">
      <w:start w:val="1"/>
      <w:numFmt w:val="decimal"/>
      <w:lvlText w:val="%1."/>
      <w:lvlJc w:val="left"/>
      <w:pPr>
        <w:ind w:left="360" w:hanging="360"/>
      </w:pPr>
      <w:rPr>
        <w:rFonts w:ascii="Arial" w:eastAsia="Malgun Gothic"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5864401">
    <w:abstractNumId w:val="11"/>
  </w:num>
  <w:num w:numId="2" w16cid:durableId="1321079133">
    <w:abstractNumId w:val="8"/>
  </w:num>
  <w:num w:numId="3" w16cid:durableId="2106917703">
    <w:abstractNumId w:val="21"/>
  </w:num>
  <w:num w:numId="4" w16cid:durableId="167527098">
    <w:abstractNumId w:val="7"/>
  </w:num>
  <w:num w:numId="5" w16cid:durableId="1828663558">
    <w:abstractNumId w:val="22"/>
  </w:num>
  <w:num w:numId="6" w16cid:durableId="309335204">
    <w:abstractNumId w:val="5"/>
  </w:num>
  <w:num w:numId="7" w16cid:durableId="273368328">
    <w:abstractNumId w:val="18"/>
  </w:num>
  <w:num w:numId="8" w16cid:durableId="1780031148">
    <w:abstractNumId w:val="4"/>
  </w:num>
  <w:num w:numId="9" w16cid:durableId="216941992">
    <w:abstractNumId w:val="19"/>
  </w:num>
  <w:num w:numId="10" w16cid:durableId="1996957465">
    <w:abstractNumId w:val="17"/>
  </w:num>
  <w:num w:numId="11" w16cid:durableId="198007989">
    <w:abstractNumId w:val="3"/>
  </w:num>
  <w:num w:numId="12" w16cid:durableId="1167600824">
    <w:abstractNumId w:val="1"/>
  </w:num>
  <w:num w:numId="13" w16cid:durableId="36324580">
    <w:abstractNumId w:val="10"/>
  </w:num>
  <w:num w:numId="14" w16cid:durableId="1684478387">
    <w:abstractNumId w:val="14"/>
  </w:num>
  <w:num w:numId="15" w16cid:durableId="1699352875">
    <w:abstractNumId w:val="16"/>
  </w:num>
  <w:num w:numId="16" w16cid:durableId="1353266737">
    <w:abstractNumId w:val="15"/>
  </w:num>
  <w:num w:numId="17" w16cid:durableId="1275091025">
    <w:abstractNumId w:val="6"/>
  </w:num>
  <w:num w:numId="18" w16cid:durableId="1839031494">
    <w:abstractNumId w:val="2"/>
  </w:num>
  <w:num w:numId="19" w16cid:durableId="1679307495">
    <w:abstractNumId w:val="20"/>
  </w:num>
  <w:num w:numId="20" w16cid:durableId="1988826525">
    <w:abstractNumId w:val="12"/>
  </w:num>
  <w:num w:numId="21" w16cid:durableId="22826603">
    <w:abstractNumId w:val="0"/>
  </w:num>
  <w:num w:numId="22" w16cid:durableId="837842889">
    <w:abstractNumId w:val="9"/>
  </w:num>
  <w:num w:numId="23" w16cid:durableId="163748580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CA1"/>
    <w:rsid w:val="00000C6D"/>
    <w:rsid w:val="0000140C"/>
    <w:rsid w:val="0000448A"/>
    <w:rsid w:val="00004C02"/>
    <w:rsid w:val="0000652C"/>
    <w:rsid w:val="0000741E"/>
    <w:rsid w:val="0000782A"/>
    <w:rsid w:val="00007ED0"/>
    <w:rsid w:val="00011445"/>
    <w:rsid w:val="00011FB0"/>
    <w:rsid w:val="000121E5"/>
    <w:rsid w:val="00012749"/>
    <w:rsid w:val="00013B07"/>
    <w:rsid w:val="00014A7C"/>
    <w:rsid w:val="00017EE7"/>
    <w:rsid w:val="00021270"/>
    <w:rsid w:val="00022201"/>
    <w:rsid w:val="00025235"/>
    <w:rsid w:val="00025A29"/>
    <w:rsid w:val="000263F1"/>
    <w:rsid w:val="000271B0"/>
    <w:rsid w:val="000277A9"/>
    <w:rsid w:val="00027B22"/>
    <w:rsid w:val="00030703"/>
    <w:rsid w:val="00030B35"/>
    <w:rsid w:val="000310B6"/>
    <w:rsid w:val="00032ECC"/>
    <w:rsid w:val="00034F84"/>
    <w:rsid w:val="00035A1F"/>
    <w:rsid w:val="00037E43"/>
    <w:rsid w:val="00040132"/>
    <w:rsid w:val="00040258"/>
    <w:rsid w:val="0004045C"/>
    <w:rsid w:val="00040F8D"/>
    <w:rsid w:val="00041EF6"/>
    <w:rsid w:val="000432E9"/>
    <w:rsid w:val="0004463E"/>
    <w:rsid w:val="00047A2C"/>
    <w:rsid w:val="0005001B"/>
    <w:rsid w:val="00051854"/>
    <w:rsid w:val="00052144"/>
    <w:rsid w:val="00054691"/>
    <w:rsid w:val="00054DED"/>
    <w:rsid w:val="00055DAC"/>
    <w:rsid w:val="0005AEDA"/>
    <w:rsid w:val="000609F2"/>
    <w:rsid w:val="00061D86"/>
    <w:rsid w:val="00063A34"/>
    <w:rsid w:val="00066ABA"/>
    <w:rsid w:val="00066AC4"/>
    <w:rsid w:val="000676FD"/>
    <w:rsid w:val="00070D2B"/>
    <w:rsid w:val="00071A33"/>
    <w:rsid w:val="000735BD"/>
    <w:rsid w:val="000735C6"/>
    <w:rsid w:val="00075204"/>
    <w:rsid w:val="000772A0"/>
    <w:rsid w:val="0008168C"/>
    <w:rsid w:val="0008399E"/>
    <w:rsid w:val="00084131"/>
    <w:rsid w:val="0008428B"/>
    <w:rsid w:val="00084861"/>
    <w:rsid w:val="00084EB2"/>
    <w:rsid w:val="00085148"/>
    <w:rsid w:val="00085E01"/>
    <w:rsid w:val="00087E84"/>
    <w:rsid w:val="00090A8A"/>
    <w:rsid w:val="000916CB"/>
    <w:rsid w:val="00093631"/>
    <w:rsid w:val="00094B15"/>
    <w:rsid w:val="00094D81"/>
    <w:rsid w:val="0009746A"/>
    <w:rsid w:val="000A0276"/>
    <w:rsid w:val="000A18B5"/>
    <w:rsid w:val="000A1A2D"/>
    <w:rsid w:val="000A318D"/>
    <w:rsid w:val="000A4E93"/>
    <w:rsid w:val="000A76B7"/>
    <w:rsid w:val="000B0F49"/>
    <w:rsid w:val="000B23D3"/>
    <w:rsid w:val="000B3650"/>
    <w:rsid w:val="000B3B63"/>
    <w:rsid w:val="000B4015"/>
    <w:rsid w:val="000B4517"/>
    <w:rsid w:val="000B5E00"/>
    <w:rsid w:val="000B616E"/>
    <w:rsid w:val="000B6AE5"/>
    <w:rsid w:val="000C04A9"/>
    <w:rsid w:val="000C191B"/>
    <w:rsid w:val="000C35DE"/>
    <w:rsid w:val="000C3DA2"/>
    <w:rsid w:val="000C4F26"/>
    <w:rsid w:val="000C51C2"/>
    <w:rsid w:val="000C51D3"/>
    <w:rsid w:val="000C6519"/>
    <w:rsid w:val="000C75AE"/>
    <w:rsid w:val="000D0B92"/>
    <w:rsid w:val="000D1722"/>
    <w:rsid w:val="000D2B84"/>
    <w:rsid w:val="000D3083"/>
    <w:rsid w:val="000D39F4"/>
    <w:rsid w:val="000D4093"/>
    <w:rsid w:val="000D482F"/>
    <w:rsid w:val="000D4F4A"/>
    <w:rsid w:val="000D5891"/>
    <w:rsid w:val="000E07D8"/>
    <w:rsid w:val="000E1F48"/>
    <w:rsid w:val="000E3644"/>
    <w:rsid w:val="000E4D03"/>
    <w:rsid w:val="000E5AF1"/>
    <w:rsid w:val="000F1133"/>
    <w:rsid w:val="000F1E56"/>
    <w:rsid w:val="000F319C"/>
    <w:rsid w:val="000F344A"/>
    <w:rsid w:val="000F3917"/>
    <w:rsid w:val="000F47B8"/>
    <w:rsid w:val="000F5B06"/>
    <w:rsid w:val="000F5C56"/>
    <w:rsid w:val="000F79DA"/>
    <w:rsid w:val="001001E2"/>
    <w:rsid w:val="00100A9D"/>
    <w:rsid w:val="001033AB"/>
    <w:rsid w:val="00103DB1"/>
    <w:rsid w:val="00107E7C"/>
    <w:rsid w:val="00107F0F"/>
    <w:rsid w:val="00110488"/>
    <w:rsid w:val="00110C14"/>
    <w:rsid w:val="00112F09"/>
    <w:rsid w:val="00115D5D"/>
    <w:rsid w:val="0011672E"/>
    <w:rsid w:val="0011702E"/>
    <w:rsid w:val="00121400"/>
    <w:rsid w:val="0012151E"/>
    <w:rsid w:val="001218E6"/>
    <w:rsid w:val="00121DE5"/>
    <w:rsid w:val="00122055"/>
    <w:rsid w:val="001227F8"/>
    <w:rsid w:val="001243C6"/>
    <w:rsid w:val="001246FA"/>
    <w:rsid w:val="0013160B"/>
    <w:rsid w:val="00131738"/>
    <w:rsid w:val="00132CF1"/>
    <w:rsid w:val="00132D63"/>
    <w:rsid w:val="00135197"/>
    <w:rsid w:val="00135E2A"/>
    <w:rsid w:val="0013648C"/>
    <w:rsid w:val="0014024A"/>
    <w:rsid w:val="00141DF0"/>
    <w:rsid w:val="00142AED"/>
    <w:rsid w:val="00144016"/>
    <w:rsid w:val="0014490E"/>
    <w:rsid w:val="00144CA9"/>
    <w:rsid w:val="001455AA"/>
    <w:rsid w:val="00146C81"/>
    <w:rsid w:val="00146D79"/>
    <w:rsid w:val="001471ED"/>
    <w:rsid w:val="0014761F"/>
    <w:rsid w:val="0015169C"/>
    <w:rsid w:val="00152513"/>
    <w:rsid w:val="001534C7"/>
    <w:rsid w:val="0015564C"/>
    <w:rsid w:val="00155A2B"/>
    <w:rsid w:val="00155CA1"/>
    <w:rsid w:val="0015711E"/>
    <w:rsid w:val="00157F71"/>
    <w:rsid w:val="00160B90"/>
    <w:rsid w:val="00160E79"/>
    <w:rsid w:val="001643C1"/>
    <w:rsid w:val="00165194"/>
    <w:rsid w:val="00165AB0"/>
    <w:rsid w:val="00165E62"/>
    <w:rsid w:val="00166998"/>
    <w:rsid w:val="00166DAF"/>
    <w:rsid w:val="001678D5"/>
    <w:rsid w:val="00167DCB"/>
    <w:rsid w:val="00170419"/>
    <w:rsid w:val="00171A3E"/>
    <w:rsid w:val="00173432"/>
    <w:rsid w:val="00173CD9"/>
    <w:rsid w:val="001754F6"/>
    <w:rsid w:val="00175A32"/>
    <w:rsid w:val="00175C24"/>
    <w:rsid w:val="00175D0F"/>
    <w:rsid w:val="00176596"/>
    <w:rsid w:val="00177BB0"/>
    <w:rsid w:val="0018017B"/>
    <w:rsid w:val="00180E1E"/>
    <w:rsid w:val="00181120"/>
    <w:rsid w:val="00181359"/>
    <w:rsid w:val="00181EE6"/>
    <w:rsid w:val="00184425"/>
    <w:rsid w:val="001859B1"/>
    <w:rsid w:val="00186029"/>
    <w:rsid w:val="001865C6"/>
    <w:rsid w:val="00186E74"/>
    <w:rsid w:val="001876CE"/>
    <w:rsid w:val="00187CDA"/>
    <w:rsid w:val="00190FA0"/>
    <w:rsid w:val="001930E7"/>
    <w:rsid w:val="00193571"/>
    <w:rsid w:val="00195661"/>
    <w:rsid w:val="0019673E"/>
    <w:rsid w:val="001A01A8"/>
    <w:rsid w:val="001A156F"/>
    <w:rsid w:val="001A4592"/>
    <w:rsid w:val="001A6120"/>
    <w:rsid w:val="001A78CE"/>
    <w:rsid w:val="001B1B60"/>
    <w:rsid w:val="001B1FEA"/>
    <w:rsid w:val="001B23B4"/>
    <w:rsid w:val="001B2C35"/>
    <w:rsid w:val="001B37BC"/>
    <w:rsid w:val="001B6201"/>
    <w:rsid w:val="001C2AB9"/>
    <w:rsid w:val="001C3E27"/>
    <w:rsid w:val="001C5B33"/>
    <w:rsid w:val="001D0350"/>
    <w:rsid w:val="001D1B5D"/>
    <w:rsid w:val="001D3387"/>
    <w:rsid w:val="001D5401"/>
    <w:rsid w:val="001D555C"/>
    <w:rsid w:val="001E1669"/>
    <w:rsid w:val="001E5EE1"/>
    <w:rsid w:val="001E66EB"/>
    <w:rsid w:val="001E7B27"/>
    <w:rsid w:val="001E7F96"/>
    <w:rsid w:val="002025B4"/>
    <w:rsid w:val="00203EFD"/>
    <w:rsid w:val="0020405A"/>
    <w:rsid w:val="00204767"/>
    <w:rsid w:val="002048AF"/>
    <w:rsid w:val="0020699A"/>
    <w:rsid w:val="00206EAA"/>
    <w:rsid w:val="00212BAE"/>
    <w:rsid w:val="0021448C"/>
    <w:rsid w:val="00214BE9"/>
    <w:rsid w:val="00214ED8"/>
    <w:rsid w:val="002154D5"/>
    <w:rsid w:val="002155FE"/>
    <w:rsid w:val="0021633E"/>
    <w:rsid w:val="00217972"/>
    <w:rsid w:val="00217A9C"/>
    <w:rsid w:val="00217BB4"/>
    <w:rsid w:val="00220CEA"/>
    <w:rsid w:val="00222623"/>
    <w:rsid w:val="002241D9"/>
    <w:rsid w:val="00224459"/>
    <w:rsid w:val="0022577B"/>
    <w:rsid w:val="00227591"/>
    <w:rsid w:val="00227D80"/>
    <w:rsid w:val="0023086F"/>
    <w:rsid w:val="00231A81"/>
    <w:rsid w:val="00232C90"/>
    <w:rsid w:val="002344CD"/>
    <w:rsid w:val="002353A8"/>
    <w:rsid w:val="00237F6E"/>
    <w:rsid w:val="00240E8B"/>
    <w:rsid w:val="0024139D"/>
    <w:rsid w:val="00241FBA"/>
    <w:rsid w:val="00242B83"/>
    <w:rsid w:val="00245E08"/>
    <w:rsid w:val="00245E25"/>
    <w:rsid w:val="002460FF"/>
    <w:rsid w:val="0024652B"/>
    <w:rsid w:val="0025135A"/>
    <w:rsid w:val="00252BE8"/>
    <w:rsid w:val="002615C4"/>
    <w:rsid w:val="00262044"/>
    <w:rsid w:val="002623AE"/>
    <w:rsid w:val="0026281E"/>
    <w:rsid w:val="00262D3F"/>
    <w:rsid w:val="0026623A"/>
    <w:rsid w:val="0026628E"/>
    <w:rsid w:val="002670F1"/>
    <w:rsid w:val="002718AB"/>
    <w:rsid w:val="00272E6C"/>
    <w:rsid w:val="00274634"/>
    <w:rsid w:val="00277866"/>
    <w:rsid w:val="0027791C"/>
    <w:rsid w:val="00277C2D"/>
    <w:rsid w:val="00281704"/>
    <w:rsid w:val="00284E39"/>
    <w:rsid w:val="00287032"/>
    <w:rsid w:val="002901B8"/>
    <w:rsid w:val="0029474F"/>
    <w:rsid w:val="00294917"/>
    <w:rsid w:val="00294DB2"/>
    <w:rsid w:val="00296109"/>
    <w:rsid w:val="0029653A"/>
    <w:rsid w:val="00296559"/>
    <w:rsid w:val="00296F94"/>
    <w:rsid w:val="00297022"/>
    <w:rsid w:val="00297E1F"/>
    <w:rsid w:val="002A063F"/>
    <w:rsid w:val="002A1631"/>
    <w:rsid w:val="002A1DB4"/>
    <w:rsid w:val="002A23E9"/>
    <w:rsid w:val="002A28E5"/>
    <w:rsid w:val="002A2E26"/>
    <w:rsid w:val="002A42C2"/>
    <w:rsid w:val="002A47FD"/>
    <w:rsid w:val="002A66E5"/>
    <w:rsid w:val="002A6F52"/>
    <w:rsid w:val="002A74EB"/>
    <w:rsid w:val="002B0ADF"/>
    <w:rsid w:val="002B1309"/>
    <w:rsid w:val="002B1351"/>
    <w:rsid w:val="002B1E57"/>
    <w:rsid w:val="002B2BE3"/>
    <w:rsid w:val="002B2D1A"/>
    <w:rsid w:val="002B3468"/>
    <w:rsid w:val="002B3B75"/>
    <w:rsid w:val="002B44BE"/>
    <w:rsid w:val="002B5D26"/>
    <w:rsid w:val="002B7B90"/>
    <w:rsid w:val="002C15C5"/>
    <w:rsid w:val="002C164D"/>
    <w:rsid w:val="002C1BC7"/>
    <w:rsid w:val="002C40C8"/>
    <w:rsid w:val="002C4DC5"/>
    <w:rsid w:val="002C6D4F"/>
    <w:rsid w:val="002C7AEF"/>
    <w:rsid w:val="002C7D17"/>
    <w:rsid w:val="002D0425"/>
    <w:rsid w:val="002D0A6E"/>
    <w:rsid w:val="002D0EB9"/>
    <w:rsid w:val="002D22A9"/>
    <w:rsid w:val="002D2A3E"/>
    <w:rsid w:val="002D5A94"/>
    <w:rsid w:val="002D5F15"/>
    <w:rsid w:val="002D6491"/>
    <w:rsid w:val="002E0142"/>
    <w:rsid w:val="002E014D"/>
    <w:rsid w:val="002E20EE"/>
    <w:rsid w:val="002E248E"/>
    <w:rsid w:val="002E29C2"/>
    <w:rsid w:val="002E41D1"/>
    <w:rsid w:val="002E4650"/>
    <w:rsid w:val="002E479D"/>
    <w:rsid w:val="002F0ED5"/>
    <w:rsid w:val="002F18BD"/>
    <w:rsid w:val="002F197D"/>
    <w:rsid w:val="002F4742"/>
    <w:rsid w:val="002F4A82"/>
    <w:rsid w:val="002F5E66"/>
    <w:rsid w:val="002F61CA"/>
    <w:rsid w:val="002F6315"/>
    <w:rsid w:val="002F7600"/>
    <w:rsid w:val="003014DC"/>
    <w:rsid w:val="003065FF"/>
    <w:rsid w:val="003066FF"/>
    <w:rsid w:val="00306EAB"/>
    <w:rsid w:val="003130CC"/>
    <w:rsid w:val="00313A0F"/>
    <w:rsid w:val="00315109"/>
    <w:rsid w:val="00315343"/>
    <w:rsid w:val="00315B3C"/>
    <w:rsid w:val="00315E69"/>
    <w:rsid w:val="00320899"/>
    <w:rsid w:val="00321624"/>
    <w:rsid w:val="00321681"/>
    <w:rsid w:val="00322321"/>
    <w:rsid w:val="00323320"/>
    <w:rsid w:val="003243D6"/>
    <w:rsid w:val="00324660"/>
    <w:rsid w:val="00324747"/>
    <w:rsid w:val="00324DAA"/>
    <w:rsid w:val="00330D13"/>
    <w:rsid w:val="00330E13"/>
    <w:rsid w:val="003324AB"/>
    <w:rsid w:val="00332770"/>
    <w:rsid w:val="00332F18"/>
    <w:rsid w:val="00333565"/>
    <w:rsid w:val="003348A7"/>
    <w:rsid w:val="00334957"/>
    <w:rsid w:val="00337327"/>
    <w:rsid w:val="00337DA0"/>
    <w:rsid w:val="003408CF"/>
    <w:rsid w:val="00340C19"/>
    <w:rsid w:val="00340C85"/>
    <w:rsid w:val="003414C4"/>
    <w:rsid w:val="00343C0F"/>
    <w:rsid w:val="0034520B"/>
    <w:rsid w:val="00345C3D"/>
    <w:rsid w:val="0035070D"/>
    <w:rsid w:val="003530DC"/>
    <w:rsid w:val="00357352"/>
    <w:rsid w:val="00360BEA"/>
    <w:rsid w:val="0036157F"/>
    <w:rsid w:val="00361C72"/>
    <w:rsid w:val="00361E53"/>
    <w:rsid w:val="00362BF9"/>
    <w:rsid w:val="00365E8A"/>
    <w:rsid w:val="00367001"/>
    <w:rsid w:val="00367720"/>
    <w:rsid w:val="00371573"/>
    <w:rsid w:val="00372F08"/>
    <w:rsid w:val="00373277"/>
    <w:rsid w:val="00377448"/>
    <w:rsid w:val="003774E4"/>
    <w:rsid w:val="003801C8"/>
    <w:rsid w:val="00381090"/>
    <w:rsid w:val="0038134B"/>
    <w:rsid w:val="003826F7"/>
    <w:rsid w:val="00382C42"/>
    <w:rsid w:val="00383891"/>
    <w:rsid w:val="00383ADF"/>
    <w:rsid w:val="00383BF8"/>
    <w:rsid w:val="00383CE4"/>
    <w:rsid w:val="0038555B"/>
    <w:rsid w:val="00385786"/>
    <w:rsid w:val="00386920"/>
    <w:rsid w:val="0038726C"/>
    <w:rsid w:val="003876D9"/>
    <w:rsid w:val="0038790A"/>
    <w:rsid w:val="00391133"/>
    <w:rsid w:val="00391F53"/>
    <w:rsid w:val="00392045"/>
    <w:rsid w:val="003929CA"/>
    <w:rsid w:val="00392F4F"/>
    <w:rsid w:val="003934FE"/>
    <w:rsid w:val="00396D2D"/>
    <w:rsid w:val="0039710A"/>
    <w:rsid w:val="003A05D2"/>
    <w:rsid w:val="003A10C8"/>
    <w:rsid w:val="003A19CE"/>
    <w:rsid w:val="003A2707"/>
    <w:rsid w:val="003A27F4"/>
    <w:rsid w:val="003A2AD0"/>
    <w:rsid w:val="003A2E78"/>
    <w:rsid w:val="003B02F8"/>
    <w:rsid w:val="003B0672"/>
    <w:rsid w:val="003B176E"/>
    <w:rsid w:val="003B2FE6"/>
    <w:rsid w:val="003B3503"/>
    <w:rsid w:val="003B4543"/>
    <w:rsid w:val="003B476C"/>
    <w:rsid w:val="003B5508"/>
    <w:rsid w:val="003B5721"/>
    <w:rsid w:val="003B5F22"/>
    <w:rsid w:val="003B5FD4"/>
    <w:rsid w:val="003B6B7C"/>
    <w:rsid w:val="003B6F57"/>
    <w:rsid w:val="003B75EC"/>
    <w:rsid w:val="003C115A"/>
    <w:rsid w:val="003C14A5"/>
    <w:rsid w:val="003C37BD"/>
    <w:rsid w:val="003C602B"/>
    <w:rsid w:val="003C640E"/>
    <w:rsid w:val="003C7101"/>
    <w:rsid w:val="003C73BC"/>
    <w:rsid w:val="003C7E5F"/>
    <w:rsid w:val="003D4243"/>
    <w:rsid w:val="003D5799"/>
    <w:rsid w:val="003D624F"/>
    <w:rsid w:val="003D6576"/>
    <w:rsid w:val="003D6DD9"/>
    <w:rsid w:val="003D6E29"/>
    <w:rsid w:val="003E03F6"/>
    <w:rsid w:val="003E0CD1"/>
    <w:rsid w:val="003E18FE"/>
    <w:rsid w:val="003E2C46"/>
    <w:rsid w:val="003E349D"/>
    <w:rsid w:val="003E3E2E"/>
    <w:rsid w:val="003E4E52"/>
    <w:rsid w:val="003E610C"/>
    <w:rsid w:val="003E6408"/>
    <w:rsid w:val="003E6514"/>
    <w:rsid w:val="003E6A95"/>
    <w:rsid w:val="003E6C45"/>
    <w:rsid w:val="003F1815"/>
    <w:rsid w:val="003F2D5A"/>
    <w:rsid w:val="003F2DDC"/>
    <w:rsid w:val="003F31E0"/>
    <w:rsid w:val="003F35F5"/>
    <w:rsid w:val="004014A7"/>
    <w:rsid w:val="004031C9"/>
    <w:rsid w:val="00403575"/>
    <w:rsid w:val="004045C0"/>
    <w:rsid w:val="00404C99"/>
    <w:rsid w:val="004052D7"/>
    <w:rsid w:val="00405923"/>
    <w:rsid w:val="004077AC"/>
    <w:rsid w:val="004079F7"/>
    <w:rsid w:val="00407E17"/>
    <w:rsid w:val="004115D0"/>
    <w:rsid w:val="00412293"/>
    <w:rsid w:val="00412B84"/>
    <w:rsid w:val="004133AB"/>
    <w:rsid w:val="00413F56"/>
    <w:rsid w:val="00415C2B"/>
    <w:rsid w:val="00416145"/>
    <w:rsid w:val="0041710E"/>
    <w:rsid w:val="00421A5B"/>
    <w:rsid w:val="00422C3A"/>
    <w:rsid w:val="00422F0E"/>
    <w:rsid w:val="00426A0B"/>
    <w:rsid w:val="004272E9"/>
    <w:rsid w:val="00427B67"/>
    <w:rsid w:val="00431323"/>
    <w:rsid w:val="00431A3F"/>
    <w:rsid w:val="00432919"/>
    <w:rsid w:val="00433A0D"/>
    <w:rsid w:val="004346B0"/>
    <w:rsid w:val="004347D4"/>
    <w:rsid w:val="00436439"/>
    <w:rsid w:val="0043659A"/>
    <w:rsid w:val="00436BE6"/>
    <w:rsid w:val="00437A48"/>
    <w:rsid w:val="00441ACB"/>
    <w:rsid w:val="00442B1C"/>
    <w:rsid w:val="00442E1B"/>
    <w:rsid w:val="0044368E"/>
    <w:rsid w:val="00443B28"/>
    <w:rsid w:val="00444182"/>
    <w:rsid w:val="0044767D"/>
    <w:rsid w:val="00447B89"/>
    <w:rsid w:val="00451078"/>
    <w:rsid w:val="00451F48"/>
    <w:rsid w:val="0045403A"/>
    <w:rsid w:val="004555CE"/>
    <w:rsid w:val="004555FE"/>
    <w:rsid w:val="0046219A"/>
    <w:rsid w:val="0046260A"/>
    <w:rsid w:val="0046464D"/>
    <w:rsid w:val="00464B73"/>
    <w:rsid w:val="00464E97"/>
    <w:rsid w:val="0046786E"/>
    <w:rsid w:val="00467D2D"/>
    <w:rsid w:val="004712F0"/>
    <w:rsid w:val="004718DF"/>
    <w:rsid w:val="00471CA1"/>
    <w:rsid w:val="0047247B"/>
    <w:rsid w:val="004729F3"/>
    <w:rsid w:val="0047465F"/>
    <w:rsid w:val="004746E3"/>
    <w:rsid w:val="00475914"/>
    <w:rsid w:val="00477167"/>
    <w:rsid w:val="0047754F"/>
    <w:rsid w:val="00480128"/>
    <w:rsid w:val="00480789"/>
    <w:rsid w:val="00482773"/>
    <w:rsid w:val="0048402D"/>
    <w:rsid w:val="00485610"/>
    <w:rsid w:val="00490923"/>
    <w:rsid w:val="0049266E"/>
    <w:rsid w:val="0049276C"/>
    <w:rsid w:val="00492833"/>
    <w:rsid w:val="004932A6"/>
    <w:rsid w:val="004957AD"/>
    <w:rsid w:val="0049664C"/>
    <w:rsid w:val="00496CFE"/>
    <w:rsid w:val="004A080C"/>
    <w:rsid w:val="004A2494"/>
    <w:rsid w:val="004A3AD5"/>
    <w:rsid w:val="004A4E0B"/>
    <w:rsid w:val="004A501F"/>
    <w:rsid w:val="004A6571"/>
    <w:rsid w:val="004A6DB3"/>
    <w:rsid w:val="004B0246"/>
    <w:rsid w:val="004B0511"/>
    <w:rsid w:val="004B1F73"/>
    <w:rsid w:val="004B24DE"/>
    <w:rsid w:val="004B3401"/>
    <w:rsid w:val="004B5173"/>
    <w:rsid w:val="004B62E1"/>
    <w:rsid w:val="004B7053"/>
    <w:rsid w:val="004C0200"/>
    <w:rsid w:val="004C1DAF"/>
    <w:rsid w:val="004C1FFF"/>
    <w:rsid w:val="004C2467"/>
    <w:rsid w:val="004C2E4A"/>
    <w:rsid w:val="004C41DB"/>
    <w:rsid w:val="004C47CD"/>
    <w:rsid w:val="004C505E"/>
    <w:rsid w:val="004D08E7"/>
    <w:rsid w:val="004D0B23"/>
    <w:rsid w:val="004D1462"/>
    <w:rsid w:val="004D1A43"/>
    <w:rsid w:val="004D1CB1"/>
    <w:rsid w:val="004D1DDC"/>
    <w:rsid w:val="004D653E"/>
    <w:rsid w:val="004D7F86"/>
    <w:rsid w:val="004E0F85"/>
    <w:rsid w:val="004E15BE"/>
    <w:rsid w:val="004E1E07"/>
    <w:rsid w:val="004E2440"/>
    <w:rsid w:val="004E30DF"/>
    <w:rsid w:val="004E4A17"/>
    <w:rsid w:val="004E5C91"/>
    <w:rsid w:val="004F3FE2"/>
    <w:rsid w:val="004F41E0"/>
    <w:rsid w:val="004F5A87"/>
    <w:rsid w:val="004F7248"/>
    <w:rsid w:val="004F794C"/>
    <w:rsid w:val="004F7A43"/>
    <w:rsid w:val="004F7DAE"/>
    <w:rsid w:val="0050308B"/>
    <w:rsid w:val="00503B4F"/>
    <w:rsid w:val="00504779"/>
    <w:rsid w:val="00504A79"/>
    <w:rsid w:val="0050662C"/>
    <w:rsid w:val="0050793F"/>
    <w:rsid w:val="00507C97"/>
    <w:rsid w:val="005115D9"/>
    <w:rsid w:val="00513441"/>
    <w:rsid w:val="005145F3"/>
    <w:rsid w:val="005146FC"/>
    <w:rsid w:val="005152A5"/>
    <w:rsid w:val="00515648"/>
    <w:rsid w:val="00515B46"/>
    <w:rsid w:val="005171C2"/>
    <w:rsid w:val="005200E8"/>
    <w:rsid w:val="00521CAF"/>
    <w:rsid w:val="00522582"/>
    <w:rsid w:val="005226EA"/>
    <w:rsid w:val="0052403A"/>
    <w:rsid w:val="005247A9"/>
    <w:rsid w:val="005247D4"/>
    <w:rsid w:val="00525BDF"/>
    <w:rsid w:val="00525C89"/>
    <w:rsid w:val="00525DEE"/>
    <w:rsid w:val="005266D3"/>
    <w:rsid w:val="00526FED"/>
    <w:rsid w:val="00527EB3"/>
    <w:rsid w:val="005310AF"/>
    <w:rsid w:val="00533134"/>
    <w:rsid w:val="005331C8"/>
    <w:rsid w:val="0053356D"/>
    <w:rsid w:val="00533B0F"/>
    <w:rsid w:val="00536A9E"/>
    <w:rsid w:val="00536C53"/>
    <w:rsid w:val="0053725D"/>
    <w:rsid w:val="0053772C"/>
    <w:rsid w:val="00541177"/>
    <w:rsid w:val="00541BF0"/>
    <w:rsid w:val="00542174"/>
    <w:rsid w:val="00543319"/>
    <w:rsid w:val="005442C4"/>
    <w:rsid w:val="0055173D"/>
    <w:rsid w:val="00552B7C"/>
    <w:rsid w:val="005537A1"/>
    <w:rsid w:val="00554C10"/>
    <w:rsid w:val="00554E13"/>
    <w:rsid w:val="0055539C"/>
    <w:rsid w:val="005565B4"/>
    <w:rsid w:val="005623C7"/>
    <w:rsid w:val="00564C3A"/>
    <w:rsid w:val="00565BC9"/>
    <w:rsid w:val="00566F92"/>
    <w:rsid w:val="005700FD"/>
    <w:rsid w:val="00570C01"/>
    <w:rsid w:val="00570EFD"/>
    <w:rsid w:val="00574BCA"/>
    <w:rsid w:val="0057685F"/>
    <w:rsid w:val="005769FB"/>
    <w:rsid w:val="00577AF6"/>
    <w:rsid w:val="005803AD"/>
    <w:rsid w:val="00580EA9"/>
    <w:rsid w:val="005826AA"/>
    <w:rsid w:val="005859E1"/>
    <w:rsid w:val="00590EC8"/>
    <w:rsid w:val="0059127F"/>
    <w:rsid w:val="00594AA0"/>
    <w:rsid w:val="00595EB4"/>
    <w:rsid w:val="00597ACD"/>
    <w:rsid w:val="005A021D"/>
    <w:rsid w:val="005A18C0"/>
    <w:rsid w:val="005A39B3"/>
    <w:rsid w:val="005A4B87"/>
    <w:rsid w:val="005B0B55"/>
    <w:rsid w:val="005B1037"/>
    <w:rsid w:val="005B188E"/>
    <w:rsid w:val="005B297A"/>
    <w:rsid w:val="005B476D"/>
    <w:rsid w:val="005B5AE1"/>
    <w:rsid w:val="005B7DDC"/>
    <w:rsid w:val="005C0F77"/>
    <w:rsid w:val="005C1474"/>
    <w:rsid w:val="005C45E9"/>
    <w:rsid w:val="005C58F7"/>
    <w:rsid w:val="005C5D62"/>
    <w:rsid w:val="005D2560"/>
    <w:rsid w:val="005D30E3"/>
    <w:rsid w:val="005D35C0"/>
    <w:rsid w:val="005D4D58"/>
    <w:rsid w:val="005D5CAC"/>
    <w:rsid w:val="005D6A43"/>
    <w:rsid w:val="005D7099"/>
    <w:rsid w:val="005D7B3A"/>
    <w:rsid w:val="005E25A1"/>
    <w:rsid w:val="005E3B7B"/>
    <w:rsid w:val="005E3D77"/>
    <w:rsid w:val="005E4A5F"/>
    <w:rsid w:val="005E5941"/>
    <w:rsid w:val="005E6467"/>
    <w:rsid w:val="005E658D"/>
    <w:rsid w:val="005E6B88"/>
    <w:rsid w:val="005E7789"/>
    <w:rsid w:val="005F0E64"/>
    <w:rsid w:val="005F195A"/>
    <w:rsid w:val="005F1A22"/>
    <w:rsid w:val="005F2449"/>
    <w:rsid w:val="005F72E8"/>
    <w:rsid w:val="00601C7E"/>
    <w:rsid w:val="00602474"/>
    <w:rsid w:val="00602FF2"/>
    <w:rsid w:val="00603249"/>
    <w:rsid w:val="00603310"/>
    <w:rsid w:val="00605F3D"/>
    <w:rsid w:val="00606A09"/>
    <w:rsid w:val="0060717F"/>
    <w:rsid w:val="00607229"/>
    <w:rsid w:val="006105D4"/>
    <w:rsid w:val="00611711"/>
    <w:rsid w:val="006117C8"/>
    <w:rsid w:val="00611B8C"/>
    <w:rsid w:val="00617999"/>
    <w:rsid w:val="00617ED9"/>
    <w:rsid w:val="006201F2"/>
    <w:rsid w:val="00620DCE"/>
    <w:rsid w:val="0062198B"/>
    <w:rsid w:val="00623542"/>
    <w:rsid w:val="006241F3"/>
    <w:rsid w:val="0062559A"/>
    <w:rsid w:val="0062583C"/>
    <w:rsid w:val="00625943"/>
    <w:rsid w:val="0062600F"/>
    <w:rsid w:val="0062681A"/>
    <w:rsid w:val="00630279"/>
    <w:rsid w:val="006318F6"/>
    <w:rsid w:val="00631C9D"/>
    <w:rsid w:val="0063228D"/>
    <w:rsid w:val="00632327"/>
    <w:rsid w:val="0063618E"/>
    <w:rsid w:val="006374B8"/>
    <w:rsid w:val="00643819"/>
    <w:rsid w:val="0064415C"/>
    <w:rsid w:val="00644EA3"/>
    <w:rsid w:val="006463F5"/>
    <w:rsid w:val="00646A43"/>
    <w:rsid w:val="00647F18"/>
    <w:rsid w:val="00651ACD"/>
    <w:rsid w:val="00651B9E"/>
    <w:rsid w:val="00652805"/>
    <w:rsid w:val="00652BA8"/>
    <w:rsid w:val="0065457D"/>
    <w:rsid w:val="00655073"/>
    <w:rsid w:val="00655F23"/>
    <w:rsid w:val="00655F51"/>
    <w:rsid w:val="00656E95"/>
    <w:rsid w:val="00657DE0"/>
    <w:rsid w:val="00660C92"/>
    <w:rsid w:val="00660DE4"/>
    <w:rsid w:val="00662919"/>
    <w:rsid w:val="00666576"/>
    <w:rsid w:val="00667FF4"/>
    <w:rsid w:val="0067272F"/>
    <w:rsid w:val="006730CE"/>
    <w:rsid w:val="006733A7"/>
    <w:rsid w:val="006749E0"/>
    <w:rsid w:val="00675422"/>
    <w:rsid w:val="00675CAE"/>
    <w:rsid w:val="00676F11"/>
    <w:rsid w:val="00676FAE"/>
    <w:rsid w:val="00682302"/>
    <w:rsid w:val="00682BB6"/>
    <w:rsid w:val="00684CAC"/>
    <w:rsid w:val="00685FDF"/>
    <w:rsid w:val="00690E6C"/>
    <w:rsid w:val="00691649"/>
    <w:rsid w:val="0069268E"/>
    <w:rsid w:val="0069374D"/>
    <w:rsid w:val="00693F36"/>
    <w:rsid w:val="00694B04"/>
    <w:rsid w:val="006955A2"/>
    <w:rsid w:val="006966F8"/>
    <w:rsid w:val="006A041E"/>
    <w:rsid w:val="006A0923"/>
    <w:rsid w:val="006A0DF6"/>
    <w:rsid w:val="006A2D13"/>
    <w:rsid w:val="006A3F2B"/>
    <w:rsid w:val="006A49F5"/>
    <w:rsid w:val="006A5D29"/>
    <w:rsid w:val="006B004D"/>
    <w:rsid w:val="006B049F"/>
    <w:rsid w:val="006B1CA8"/>
    <w:rsid w:val="006B22F2"/>
    <w:rsid w:val="006B234F"/>
    <w:rsid w:val="006B5C99"/>
    <w:rsid w:val="006B6B39"/>
    <w:rsid w:val="006B6FB9"/>
    <w:rsid w:val="006C1132"/>
    <w:rsid w:val="006C13C1"/>
    <w:rsid w:val="006C13C3"/>
    <w:rsid w:val="006C35E9"/>
    <w:rsid w:val="006C4C65"/>
    <w:rsid w:val="006C767F"/>
    <w:rsid w:val="006D24D6"/>
    <w:rsid w:val="006D26D9"/>
    <w:rsid w:val="006D3B16"/>
    <w:rsid w:val="006D4C5C"/>
    <w:rsid w:val="006D4CAA"/>
    <w:rsid w:val="006D5C59"/>
    <w:rsid w:val="006D68AD"/>
    <w:rsid w:val="006D6D1F"/>
    <w:rsid w:val="006E09AD"/>
    <w:rsid w:val="006E0B50"/>
    <w:rsid w:val="006E0C97"/>
    <w:rsid w:val="006E196E"/>
    <w:rsid w:val="006E2CF6"/>
    <w:rsid w:val="006E2F6C"/>
    <w:rsid w:val="006E419F"/>
    <w:rsid w:val="006E44E4"/>
    <w:rsid w:val="006E4824"/>
    <w:rsid w:val="006E4AF5"/>
    <w:rsid w:val="006E4EF5"/>
    <w:rsid w:val="006E5FE2"/>
    <w:rsid w:val="006E60D0"/>
    <w:rsid w:val="006E6638"/>
    <w:rsid w:val="006E76CC"/>
    <w:rsid w:val="006E7E84"/>
    <w:rsid w:val="006F179C"/>
    <w:rsid w:val="006F2C35"/>
    <w:rsid w:val="006F2E94"/>
    <w:rsid w:val="006F3275"/>
    <w:rsid w:val="006F3A4A"/>
    <w:rsid w:val="007012FA"/>
    <w:rsid w:val="00701B39"/>
    <w:rsid w:val="00702146"/>
    <w:rsid w:val="007028A6"/>
    <w:rsid w:val="00703192"/>
    <w:rsid w:val="007039DC"/>
    <w:rsid w:val="00703B5F"/>
    <w:rsid w:val="00704ABD"/>
    <w:rsid w:val="00705FEE"/>
    <w:rsid w:val="007072C6"/>
    <w:rsid w:val="00710BA1"/>
    <w:rsid w:val="0071283B"/>
    <w:rsid w:val="007129B2"/>
    <w:rsid w:val="00714741"/>
    <w:rsid w:val="00715A87"/>
    <w:rsid w:val="00721E36"/>
    <w:rsid w:val="007221FF"/>
    <w:rsid w:val="00724EA0"/>
    <w:rsid w:val="007253A7"/>
    <w:rsid w:val="007269CB"/>
    <w:rsid w:val="00726B70"/>
    <w:rsid w:val="00727C5C"/>
    <w:rsid w:val="007305C6"/>
    <w:rsid w:val="007318D6"/>
    <w:rsid w:val="00731BBB"/>
    <w:rsid w:val="00731FFF"/>
    <w:rsid w:val="00732D61"/>
    <w:rsid w:val="00734047"/>
    <w:rsid w:val="007352CE"/>
    <w:rsid w:val="00735A37"/>
    <w:rsid w:val="00737EBB"/>
    <w:rsid w:val="00740352"/>
    <w:rsid w:val="0074247D"/>
    <w:rsid w:val="00744612"/>
    <w:rsid w:val="00744D57"/>
    <w:rsid w:val="0074618D"/>
    <w:rsid w:val="00746559"/>
    <w:rsid w:val="0074666B"/>
    <w:rsid w:val="007467B7"/>
    <w:rsid w:val="00746A4C"/>
    <w:rsid w:val="00747E5E"/>
    <w:rsid w:val="007502EC"/>
    <w:rsid w:val="00751621"/>
    <w:rsid w:val="00751E9F"/>
    <w:rsid w:val="007520EB"/>
    <w:rsid w:val="007525B0"/>
    <w:rsid w:val="00752752"/>
    <w:rsid w:val="00752CEE"/>
    <w:rsid w:val="00753172"/>
    <w:rsid w:val="00753B14"/>
    <w:rsid w:val="00754138"/>
    <w:rsid w:val="00754DB3"/>
    <w:rsid w:val="0075744C"/>
    <w:rsid w:val="00757E85"/>
    <w:rsid w:val="00757ED3"/>
    <w:rsid w:val="00760EC1"/>
    <w:rsid w:val="00761FEE"/>
    <w:rsid w:val="00763E4A"/>
    <w:rsid w:val="00764802"/>
    <w:rsid w:val="00765303"/>
    <w:rsid w:val="00766185"/>
    <w:rsid w:val="0076643E"/>
    <w:rsid w:val="00766BCF"/>
    <w:rsid w:val="00767762"/>
    <w:rsid w:val="007677B3"/>
    <w:rsid w:val="007702A5"/>
    <w:rsid w:val="00770CEC"/>
    <w:rsid w:val="00772DB1"/>
    <w:rsid w:val="00774486"/>
    <w:rsid w:val="00774988"/>
    <w:rsid w:val="00775947"/>
    <w:rsid w:val="00776E51"/>
    <w:rsid w:val="0077723D"/>
    <w:rsid w:val="0077779E"/>
    <w:rsid w:val="00777972"/>
    <w:rsid w:val="00777B9C"/>
    <w:rsid w:val="00781C9B"/>
    <w:rsid w:val="00783489"/>
    <w:rsid w:val="0078392F"/>
    <w:rsid w:val="00786113"/>
    <w:rsid w:val="00787144"/>
    <w:rsid w:val="00790321"/>
    <w:rsid w:val="00791604"/>
    <w:rsid w:val="00791D4A"/>
    <w:rsid w:val="00792312"/>
    <w:rsid w:val="0079426D"/>
    <w:rsid w:val="0079593D"/>
    <w:rsid w:val="00795E3D"/>
    <w:rsid w:val="00796579"/>
    <w:rsid w:val="007966E1"/>
    <w:rsid w:val="007A049D"/>
    <w:rsid w:val="007A0A8C"/>
    <w:rsid w:val="007A0BB3"/>
    <w:rsid w:val="007A1311"/>
    <w:rsid w:val="007A22ED"/>
    <w:rsid w:val="007A29EC"/>
    <w:rsid w:val="007A496A"/>
    <w:rsid w:val="007A5151"/>
    <w:rsid w:val="007A5514"/>
    <w:rsid w:val="007A5BEE"/>
    <w:rsid w:val="007A6E82"/>
    <w:rsid w:val="007B06AA"/>
    <w:rsid w:val="007B1A1B"/>
    <w:rsid w:val="007B2622"/>
    <w:rsid w:val="007B38AD"/>
    <w:rsid w:val="007B4196"/>
    <w:rsid w:val="007B5728"/>
    <w:rsid w:val="007B64CB"/>
    <w:rsid w:val="007B7244"/>
    <w:rsid w:val="007C1BC8"/>
    <w:rsid w:val="007C1FFA"/>
    <w:rsid w:val="007C4005"/>
    <w:rsid w:val="007C4782"/>
    <w:rsid w:val="007C48CB"/>
    <w:rsid w:val="007C53CF"/>
    <w:rsid w:val="007C6095"/>
    <w:rsid w:val="007C6B64"/>
    <w:rsid w:val="007C7936"/>
    <w:rsid w:val="007C7E5B"/>
    <w:rsid w:val="007D1D1B"/>
    <w:rsid w:val="007D3CED"/>
    <w:rsid w:val="007D7A84"/>
    <w:rsid w:val="007E0A8A"/>
    <w:rsid w:val="007E131F"/>
    <w:rsid w:val="007E17C1"/>
    <w:rsid w:val="007E3498"/>
    <w:rsid w:val="007E53D7"/>
    <w:rsid w:val="007E54A6"/>
    <w:rsid w:val="007E6499"/>
    <w:rsid w:val="007E76A7"/>
    <w:rsid w:val="007E7875"/>
    <w:rsid w:val="007F223B"/>
    <w:rsid w:val="007F2671"/>
    <w:rsid w:val="007F3612"/>
    <w:rsid w:val="007F3C97"/>
    <w:rsid w:val="007F46CF"/>
    <w:rsid w:val="007F5E5F"/>
    <w:rsid w:val="007F786E"/>
    <w:rsid w:val="007F7D1B"/>
    <w:rsid w:val="00800040"/>
    <w:rsid w:val="00802019"/>
    <w:rsid w:val="0080534C"/>
    <w:rsid w:val="00805717"/>
    <w:rsid w:val="00805F54"/>
    <w:rsid w:val="00806C08"/>
    <w:rsid w:val="008108D8"/>
    <w:rsid w:val="00810AEF"/>
    <w:rsid w:val="00810F29"/>
    <w:rsid w:val="00811118"/>
    <w:rsid w:val="00811291"/>
    <w:rsid w:val="008139AF"/>
    <w:rsid w:val="00814C00"/>
    <w:rsid w:val="0081665A"/>
    <w:rsid w:val="008168FD"/>
    <w:rsid w:val="00816D56"/>
    <w:rsid w:val="008205CB"/>
    <w:rsid w:val="008209D4"/>
    <w:rsid w:val="008215A5"/>
    <w:rsid w:val="00822839"/>
    <w:rsid w:val="00824055"/>
    <w:rsid w:val="0082409D"/>
    <w:rsid w:val="008245A7"/>
    <w:rsid w:val="008247FF"/>
    <w:rsid w:val="00826A81"/>
    <w:rsid w:val="00827B09"/>
    <w:rsid w:val="00830127"/>
    <w:rsid w:val="0083108C"/>
    <w:rsid w:val="00833465"/>
    <w:rsid w:val="008401C2"/>
    <w:rsid w:val="00840ABD"/>
    <w:rsid w:val="008423A9"/>
    <w:rsid w:val="00842573"/>
    <w:rsid w:val="008443D2"/>
    <w:rsid w:val="00844DF6"/>
    <w:rsid w:val="00845ADD"/>
    <w:rsid w:val="00846421"/>
    <w:rsid w:val="00847C6B"/>
    <w:rsid w:val="00851316"/>
    <w:rsid w:val="0085305B"/>
    <w:rsid w:val="00853E23"/>
    <w:rsid w:val="008540F6"/>
    <w:rsid w:val="0085444D"/>
    <w:rsid w:val="0085586D"/>
    <w:rsid w:val="0085713E"/>
    <w:rsid w:val="00860B4E"/>
    <w:rsid w:val="00860E8C"/>
    <w:rsid w:val="008610CF"/>
    <w:rsid w:val="00863572"/>
    <w:rsid w:val="00864096"/>
    <w:rsid w:val="008658FE"/>
    <w:rsid w:val="00870AD5"/>
    <w:rsid w:val="00870BF7"/>
    <w:rsid w:val="00871895"/>
    <w:rsid w:val="0087284D"/>
    <w:rsid w:val="00874134"/>
    <w:rsid w:val="00874D9C"/>
    <w:rsid w:val="00877CB1"/>
    <w:rsid w:val="00881109"/>
    <w:rsid w:val="00881842"/>
    <w:rsid w:val="00882A82"/>
    <w:rsid w:val="0088550B"/>
    <w:rsid w:val="00885D35"/>
    <w:rsid w:val="0088613C"/>
    <w:rsid w:val="0088670E"/>
    <w:rsid w:val="0088684C"/>
    <w:rsid w:val="008901A8"/>
    <w:rsid w:val="008914DC"/>
    <w:rsid w:val="00891EC5"/>
    <w:rsid w:val="00892A44"/>
    <w:rsid w:val="0089351B"/>
    <w:rsid w:val="00894139"/>
    <w:rsid w:val="0089432C"/>
    <w:rsid w:val="008A06CE"/>
    <w:rsid w:val="008A1DC1"/>
    <w:rsid w:val="008A1F0D"/>
    <w:rsid w:val="008A4591"/>
    <w:rsid w:val="008A491C"/>
    <w:rsid w:val="008A5115"/>
    <w:rsid w:val="008A55BB"/>
    <w:rsid w:val="008A5C6E"/>
    <w:rsid w:val="008A6293"/>
    <w:rsid w:val="008B0335"/>
    <w:rsid w:val="008B1C13"/>
    <w:rsid w:val="008B3541"/>
    <w:rsid w:val="008B369B"/>
    <w:rsid w:val="008B4963"/>
    <w:rsid w:val="008B4F5D"/>
    <w:rsid w:val="008C0986"/>
    <w:rsid w:val="008C50DB"/>
    <w:rsid w:val="008C6BEC"/>
    <w:rsid w:val="008D0754"/>
    <w:rsid w:val="008D0821"/>
    <w:rsid w:val="008D253B"/>
    <w:rsid w:val="008D26D2"/>
    <w:rsid w:val="008D3DAB"/>
    <w:rsid w:val="008D3EAC"/>
    <w:rsid w:val="008D491B"/>
    <w:rsid w:val="008D5FCD"/>
    <w:rsid w:val="008D6319"/>
    <w:rsid w:val="008D64F5"/>
    <w:rsid w:val="008D7112"/>
    <w:rsid w:val="008E0652"/>
    <w:rsid w:val="008E1581"/>
    <w:rsid w:val="008E42A9"/>
    <w:rsid w:val="008E4A9E"/>
    <w:rsid w:val="008E4DFE"/>
    <w:rsid w:val="008E6DF0"/>
    <w:rsid w:val="008E798F"/>
    <w:rsid w:val="008F0708"/>
    <w:rsid w:val="008F0C9C"/>
    <w:rsid w:val="008F2D31"/>
    <w:rsid w:val="008F497C"/>
    <w:rsid w:val="008F4D79"/>
    <w:rsid w:val="008F57C2"/>
    <w:rsid w:val="008F7A6B"/>
    <w:rsid w:val="008F7BDB"/>
    <w:rsid w:val="00900733"/>
    <w:rsid w:val="00901440"/>
    <w:rsid w:val="0090293E"/>
    <w:rsid w:val="009043EC"/>
    <w:rsid w:val="00906192"/>
    <w:rsid w:val="00906E28"/>
    <w:rsid w:val="009079A6"/>
    <w:rsid w:val="00907C30"/>
    <w:rsid w:val="00910760"/>
    <w:rsid w:val="00912087"/>
    <w:rsid w:val="00912092"/>
    <w:rsid w:val="00912386"/>
    <w:rsid w:val="00912612"/>
    <w:rsid w:val="0091304B"/>
    <w:rsid w:val="009150DD"/>
    <w:rsid w:val="00920B48"/>
    <w:rsid w:val="00920CB3"/>
    <w:rsid w:val="00921C27"/>
    <w:rsid w:val="00923261"/>
    <w:rsid w:val="00923E5A"/>
    <w:rsid w:val="0092662B"/>
    <w:rsid w:val="009274AA"/>
    <w:rsid w:val="00927BD8"/>
    <w:rsid w:val="00927D2A"/>
    <w:rsid w:val="0093004A"/>
    <w:rsid w:val="009309FC"/>
    <w:rsid w:val="009319DD"/>
    <w:rsid w:val="00931BD1"/>
    <w:rsid w:val="009328F7"/>
    <w:rsid w:val="00932A57"/>
    <w:rsid w:val="009332D5"/>
    <w:rsid w:val="009334F7"/>
    <w:rsid w:val="00935730"/>
    <w:rsid w:val="00935EF9"/>
    <w:rsid w:val="00937529"/>
    <w:rsid w:val="009379F5"/>
    <w:rsid w:val="009410C9"/>
    <w:rsid w:val="00941809"/>
    <w:rsid w:val="00946532"/>
    <w:rsid w:val="009465A9"/>
    <w:rsid w:val="00946630"/>
    <w:rsid w:val="00946982"/>
    <w:rsid w:val="00946ECF"/>
    <w:rsid w:val="009505C4"/>
    <w:rsid w:val="00950DEE"/>
    <w:rsid w:val="00950FB3"/>
    <w:rsid w:val="00950FBC"/>
    <w:rsid w:val="00954022"/>
    <w:rsid w:val="009549C0"/>
    <w:rsid w:val="00954B31"/>
    <w:rsid w:val="00962E2E"/>
    <w:rsid w:val="0096350C"/>
    <w:rsid w:val="009646C4"/>
    <w:rsid w:val="0097074D"/>
    <w:rsid w:val="00970D4A"/>
    <w:rsid w:val="0097282B"/>
    <w:rsid w:val="00973704"/>
    <w:rsid w:val="009738DE"/>
    <w:rsid w:val="00975440"/>
    <w:rsid w:val="009769B3"/>
    <w:rsid w:val="00981700"/>
    <w:rsid w:val="00982109"/>
    <w:rsid w:val="00984389"/>
    <w:rsid w:val="009857D3"/>
    <w:rsid w:val="009907EB"/>
    <w:rsid w:val="009909FA"/>
    <w:rsid w:val="009910D3"/>
    <w:rsid w:val="009914AA"/>
    <w:rsid w:val="00991573"/>
    <w:rsid w:val="009923E9"/>
    <w:rsid w:val="00993D38"/>
    <w:rsid w:val="00995400"/>
    <w:rsid w:val="00997978"/>
    <w:rsid w:val="009A065D"/>
    <w:rsid w:val="009A234B"/>
    <w:rsid w:val="009A2B08"/>
    <w:rsid w:val="009A7C3B"/>
    <w:rsid w:val="009B2E34"/>
    <w:rsid w:val="009B35FB"/>
    <w:rsid w:val="009B5BD9"/>
    <w:rsid w:val="009B60B6"/>
    <w:rsid w:val="009B6180"/>
    <w:rsid w:val="009B7702"/>
    <w:rsid w:val="009B79D4"/>
    <w:rsid w:val="009C1126"/>
    <w:rsid w:val="009C2846"/>
    <w:rsid w:val="009C286D"/>
    <w:rsid w:val="009C318F"/>
    <w:rsid w:val="009C76E6"/>
    <w:rsid w:val="009D07C2"/>
    <w:rsid w:val="009D08F1"/>
    <w:rsid w:val="009D0BBC"/>
    <w:rsid w:val="009D332E"/>
    <w:rsid w:val="009D372E"/>
    <w:rsid w:val="009D3E46"/>
    <w:rsid w:val="009D5975"/>
    <w:rsid w:val="009D6C2B"/>
    <w:rsid w:val="009D7C10"/>
    <w:rsid w:val="009E2760"/>
    <w:rsid w:val="009E4A54"/>
    <w:rsid w:val="009E7837"/>
    <w:rsid w:val="009EB3A7"/>
    <w:rsid w:val="009F149C"/>
    <w:rsid w:val="009F14B5"/>
    <w:rsid w:val="009F195F"/>
    <w:rsid w:val="009F26A3"/>
    <w:rsid w:val="009F3ADC"/>
    <w:rsid w:val="009F3EE5"/>
    <w:rsid w:val="009F4043"/>
    <w:rsid w:val="009F4132"/>
    <w:rsid w:val="009F525E"/>
    <w:rsid w:val="009F54C8"/>
    <w:rsid w:val="009F61BD"/>
    <w:rsid w:val="009F7F19"/>
    <w:rsid w:val="00A0008D"/>
    <w:rsid w:val="00A00C31"/>
    <w:rsid w:val="00A03619"/>
    <w:rsid w:val="00A03C90"/>
    <w:rsid w:val="00A04FCB"/>
    <w:rsid w:val="00A057B0"/>
    <w:rsid w:val="00A06312"/>
    <w:rsid w:val="00A06970"/>
    <w:rsid w:val="00A1171B"/>
    <w:rsid w:val="00A12BD6"/>
    <w:rsid w:val="00A15E60"/>
    <w:rsid w:val="00A1605D"/>
    <w:rsid w:val="00A20551"/>
    <w:rsid w:val="00A205C4"/>
    <w:rsid w:val="00A20991"/>
    <w:rsid w:val="00A21B8A"/>
    <w:rsid w:val="00A21F22"/>
    <w:rsid w:val="00A231B9"/>
    <w:rsid w:val="00A2404F"/>
    <w:rsid w:val="00A25291"/>
    <w:rsid w:val="00A25298"/>
    <w:rsid w:val="00A25806"/>
    <w:rsid w:val="00A27008"/>
    <w:rsid w:val="00A3188A"/>
    <w:rsid w:val="00A32AA1"/>
    <w:rsid w:val="00A347C0"/>
    <w:rsid w:val="00A3562A"/>
    <w:rsid w:val="00A35E0F"/>
    <w:rsid w:val="00A36268"/>
    <w:rsid w:val="00A37EBA"/>
    <w:rsid w:val="00A403AC"/>
    <w:rsid w:val="00A42138"/>
    <w:rsid w:val="00A423DC"/>
    <w:rsid w:val="00A4251B"/>
    <w:rsid w:val="00A4284D"/>
    <w:rsid w:val="00A4389C"/>
    <w:rsid w:val="00A4427B"/>
    <w:rsid w:val="00A44BD9"/>
    <w:rsid w:val="00A47AA6"/>
    <w:rsid w:val="00A50D18"/>
    <w:rsid w:val="00A52CAC"/>
    <w:rsid w:val="00A52FD2"/>
    <w:rsid w:val="00A5304B"/>
    <w:rsid w:val="00A530A0"/>
    <w:rsid w:val="00A54046"/>
    <w:rsid w:val="00A56C70"/>
    <w:rsid w:val="00A574BE"/>
    <w:rsid w:val="00A57DE7"/>
    <w:rsid w:val="00A62D53"/>
    <w:rsid w:val="00A637ED"/>
    <w:rsid w:val="00A641D2"/>
    <w:rsid w:val="00A6442A"/>
    <w:rsid w:val="00A66AE7"/>
    <w:rsid w:val="00A670FD"/>
    <w:rsid w:val="00A674B5"/>
    <w:rsid w:val="00A70024"/>
    <w:rsid w:val="00A70F41"/>
    <w:rsid w:val="00A71908"/>
    <w:rsid w:val="00A730FF"/>
    <w:rsid w:val="00A74463"/>
    <w:rsid w:val="00A7481F"/>
    <w:rsid w:val="00A74C51"/>
    <w:rsid w:val="00A772E3"/>
    <w:rsid w:val="00A779DC"/>
    <w:rsid w:val="00A77B1B"/>
    <w:rsid w:val="00A77B4E"/>
    <w:rsid w:val="00A77CC8"/>
    <w:rsid w:val="00A80B6F"/>
    <w:rsid w:val="00A80F49"/>
    <w:rsid w:val="00A81BF2"/>
    <w:rsid w:val="00A84A27"/>
    <w:rsid w:val="00A84C71"/>
    <w:rsid w:val="00A850DC"/>
    <w:rsid w:val="00A90DAD"/>
    <w:rsid w:val="00A92B1B"/>
    <w:rsid w:val="00A92D1C"/>
    <w:rsid w:val="00A9307E"/>
    <w:rsid w:val="00A96239"/>
    <w:rsid w:val="00A9702F"/>
    <w:rsid w:val="00A97813"/>
    <w:rsid w:val="00A97D35"/>
    <w:rsid w:val="00AA088B"/>
    <w:rsid w:val="00AA0DD5"/>
    <w:rsid w:val="00AA21D1"/>
    <w:rsid w:val="00AA254D"/>
    <w:rsid w:val="00AA2DA8"/>
    <w:rsid w:val="00AA31C9"/>
    <w:rsid w:val="00AA3478"/>
    <w:rsid w:val="00AA359B"/>
    <w:rsid w:val="00AA359D"/>
    <w:rsid w:val="00AA379B"/>
    <w:rsid w:val="00AA4024"/>
    <w:rsid w:val="00AA589D"/>
    <w:rsid w:val="00AA60DB"/>
    <w:rsid w:val="00AA62F6"/>
    <w:rsid w:val="00AA7F18"/>
    <w:rsid w:val="00AB1A2C"/>
    <w:rsid w:val="00AB2952"/>
    <w:rsid w:val="00AB38F5"/>
    <w:rsid w:val="00AB5CB7"/>
    <w:rsid w:val="00AB5D58"/>
    <w:rsid w:val="00AB7F90"/>
    <w:rsid w:val="00AC173D"/>
    <w:rsid w:val="00AC19A6"/>
    <w:rsid w:val="00AC20B9"/>
    <w:rsid w:val="00AC236C"/>
    <w:rsid w:val="00AC407F"/>
    <w:rsid w:val="00AC680D"/>
    <w:rsid w:val="00AC692D"/>
    <w:rsid w:val="00AC7906"/>
    <w:rsid w:val="00AD084B"/>
    <w:rsid w:val="00AD0CD0"/>
    <w:rsid w:val="00AD2B0C"/>
    <w:rsid w:val="00AD3DE0"/>
    <w:rsid w:val="00AD3EA2"/>
    <w:rsid w:val="00AD3F3B"/>
    <w:rsid w:val="00AD553C"/>
    <w:rsid w:val="00AD5BD1"/>
    <w:rsid w:val="00AD5E81"/>
    <w:rsid w:val="00AD5FF0"/>
    <w:rsid w:val="00AD7595"/>
    <w:rsid w:val="00AE2C92"/>
    <w:rsid w:val="00AE4312"/>
    <w:rsid w:val="00AE4DA3"/>
    <w:rsid w:val="00AE4DBA"/>
    <w:rsid w:val="00AF07F1"/>
    <w:rsid w:val="00AF1537"/>
    <w:rsid w:val="00AF204F"/>
    <w:rsid w:val="00AF2F11"/>
    <w:rsid w:val="00AF35BA"/>
    <w:rsid w:val="00B004BC"/>
    <w:rsid w:val="00B00536"/>
    <w:rsid w:val="00B00B35"/>
    <w:rsid w:val="00B011C2"/>
    <w:rsid w:val="00B01BB2"/>
    <w:rsid w:val="00B023AA"/>
    <w:rsid w:val="00B029F5"/>
    <w:rsid w:val="00B037A1"/>
    <w:rsid w:val="00B0502A"/>
    <w:rsid w:val="00B063FA"/>
    <w:rsid w:val="00B06639"/>
    <w:rsid w:val="00B072CC"/>
    <w:rsid w:val="00B11DAE"/>
    <w:rsid w:val="00B12422"/>
    <w:rsid w:val="00B13D35"/>
    <w:rsid w:val="00B14015"/>
    <w:rsid w:val="00B158FC"/>
    <w:rsid w:val="00B15C83"/>
    <w:rsid w:val="00B15CAC"/>
    <w:rsid w:val="00B17DE0"/>
    <w:rsid w:val="00B20111"/>
    <w:rsid w:val="00B201F0"/>
    <w:rsid w:val="00B22D08"/>
    <w:rsid w:val="00B22E48"/>
    <w:rsid w:val="00B246A3"/>
    <w:rsid w:val="00B2584C"/>
    <w:rsid w:val="00B25C89"/>
    <w:rsid w:val="00B2698B"/>
    <w:rsid w:val="00B26BC2"/>
    <w:rsid w:val="00B2720D"/>
    <w:rsid w:val="00B27927"/>
    <w:rsid w:val="00B303F7"/>
    <w:rsid w:val="00B30631"/>
    <w:rsid w:val="00B3152D"/>
    <w:rsid w:val="00B32EB2"/>
    <w:rsid w:val="00B347C9"/>
    <w:rsid w:val="00B34819"/>
    <w:rsid w:val="00B35797"/>
    <w:rsid w:val="00B368D3"/>
    <w:rsid w:val="00B371F9"/>
    <w:rsid w:val="00B37F7F"/>
    <w:rsid w:val="00B417F3"/>
    <w:rsid w:val="00B41E8A"/>
    <w:rsid w:val="00B43F5C"/>
    <w:rsid w:val="00B45017"/>
    <w:rsid w:val="00B45255"/>
    <w:rsid w:val="00B45D75"/>
    <w:rsid w:val="00B478AA"/>
    <w:rsid w:val="00B53043"/>
    <w:rsid w:val="00B57368"/>
    <w:rsid w:val="00B60107"/>
    <w:rsid w:val="00B60768"/>
    <w:rsid w:val="00B616EE"/>
    <w:rsid w:val="00B62593"/>
    <w:rsid w:val="00B62628"/>
    <w:rsid w:val="00B63525"/>
    <w:rsid w:val="00B637EE"/>
    <w:rsid w:val="00B63EB5"/>
    <w:rsid w:val="00B65ECD"/>
    <w:rsid w:val="00B66B4F"/>
    <w:rsid w:val="00B67393"/>
    <w:rsid w:val="00B700E1"/>
    <w:rsid w:val="00B70551"/>
    <w:rsid w:val="00B709C1"/>
    <w:rsid w:val="00B727AE"/>
    <w:rsid w:val="00B73C43"/>
    <w:rsid w:val="00B74467"/>
    <w:rsid w:val="00B7526A"/>
    <w:rsid w:val="00B7535E"/>
    <w:rsid w:val="00B76071"/>
    <w:rsid w:val="00B76767"/>
    <w:rsid w:val="00B76CBE"/>
    <w:rsid w:val="00B80E4F"/>
    <w:rsid w:val="00B81939"/>
    <w:rsid w:val="00B83260"/>
    <w:rsid w:val="00B84489"/>
    <w:rsid w:val="00B85073"/>
    <w:rsid w:val="00B86F54"/>
    <w:rsid w:val="00B874F0"/>
    <w:rsid w:val="00B877EE"/>
    <w:rsid w:val="00B90879"/>
    <w:rsid w:val="00B90C54"/>
    <w:rsid w:val="00B91172"/>
    <w:rsid w:val="00B913A8"/>
    <w:rsid w:val="00B924B3"/>
    <w:rsid w:val="00B92566"/>
    <w:rsid w:val="00B93329"/>
    <w:rsid w:val="00B93A9D"/>
    <w:rsid w:val="00B94CDF"/>
    <w:rsid w:val="00B959AB"/>
    <w:rsid w:val="00B95CA5"/>
    <w:rsid w:val="00B975A2"/>
    <w:rsid w:val="00BA064C"/>
    <w:rsid w:val="00BA374A"/>
    <w:rsid w:val="00BA4D3D"/>
    <w:rsid w:val="00BA663F"/>
    <w:rsid w:val="00BA761C"/>
    <w:rsid w:val="00BB2B17"/>
    <w:rsid w:val="00BB2C1B"/>
    <w:rsid w:val="00BB2C5A"/>
    <w:rsid w:val="00BB3E0D"/>
    <w:rsid w:val="00BB57CA"/>
    <w:rsid w:val="00BB6999"/>
    <w:rsid w:val="00BC02CF"/>
    <w:rsid w:val="00BC1861"/>
    <w:rsid w:val="00BC1E35"/>
    <w:rsid w:val="00BC66EA"/>
    <w:rsid w:val="00BC702A"/>
    <w:rsid w:val="00BC7760"/>
    <w:rsid w:val="00BD1A73"/>
    <w:rsid w:val="00BD1E91"/>
    <w:rsid w:val="00BD4863"/>
    <w:rsid w:val="00BD4A6A"/>
    <w:rsid w:val="00BD511C"/>
    <w:rsid w:val="00BE01D5"/>
    <w:rsid w:val="00BE19DA"/>
    <w:rsid w:val="00BE50B5"/>
    <w:rsid w:val="00BE6032"/>
    <w:rsid w:val="00BF167C"/>
    <w:rsid w:val="00BF3109"/>
    <w:rsid w:val="00BF3EC4"/>
    <w:rsid w:val="00BF43E6"/>
    <w:rsid w:val="00BF4A30"/>
    <w:rsid w:val="00BF7593"/>
    <w:rsid w:val="00C00FB5"/>
    <w:rsid w:val="00C02A39"/>
    <w:rsid w:val="00C02ECC"/>
    <w:rsid w:val="00C03AC1"/>
    <w:rsid w:val="00C07D94"/>
    <w:rsid w:val="00C10C9D"/>
    <w:rsid w:val="00C11BC3"/>
    <w:rsid w:val="00C120F2"/>
    <w:rsid w:val="00C1260A"/>
    <w:rsid w:val="00C13A89"/>
    <w:rsid w:val="00C20522"/>
    <w:rsid w:val="00C20E85"/>
    <w:rsid w:val="00C21E09"/>
    <w:rsid w:val="00C21EBF"/>
    <w:rsid w:val="00C21FEC"/>
    <w:rsid w:val="00C2213B"/>
    <w:rsid w:val="00C263CD"/>
    <w:rsid w:val="00C266DC"/>
    <w:rsid w:val="00C26AAA"/>
    <w:rsid w:val="00C319A2"/>
    <w:rsid w:val="00C35335"/>
    <w:rsid w:val="00C3777D"/>
    <w:rsid w:val="00C378CB"/>
    <w:rsid w:val="00C41E47"/>
    <w:rsid w:val="00C4359A"/>
    <w:rsid w:val="00C43CF4"/>
    <w:rsid w:val="00C449D1"/>
    <w:rsid w:val="00C44CDE"/>
    <w:rsid w:val="00C44F9E"/>
    <w:rsid w:val="00C458E7"/>
    <w:rsid w:val="00C45A7C"/>
    <w:rsid w:val="00C45DB7"/>
    <w:rsid w:val="00C45EC8"/>
    <w:rsid w:val="00C4615C"/>
    <w:rsid w:val="00C47F08"/>
    <w:rsid w:val="00C50B10"/>
    <w:rsid w:val="00C53F15"/>
    <w:rsid w:val="00C558F3"/>
    <w:rsid w:val="00C5775A"/>
    <w:rsid w:val="00C601F8"/>
    <w:rsid w:val="00C60868"/>
    <w:rsid w:val="00C60BF2"/>
    <w:rsid w:val="00C610F8"/>
    <w:rsid w:val="00C62E90"/>
    <w:rsid w:val="00C639EB"/>
    <w:rsid w:val="00C63F24"/>
    <w:rsid w:val="00C6447E"/>
    <w:rsid w:val="00C655EF"/>
    <w:rsid w:val="00C65718"/>
    <w:rsid w:val="00C657E3"/>
    <w:rsid w:val="00C657FB"/>
    <w:rsid w:val="00C70499"/>
    <w:rsid w:val="00C7394C"/>
    <w:rsid w:val="00C74641"/>
    <w:rsid w:val="00C775D6"/>
    <w:rsid w:val="00C80CAC"/>
    <w:rsid w:val="00C81423"/>
    <w:rsid w:val="00C81F36"/>
    <w:rsid w:val="00C8349C"/>
    <w:rsid w:val="00C84AC3"/>
    <w:rsid w:val="00C86C73"/>
    <w:rsid w:val="00C87B7F"/>
    <w:rsid w:val="00C90A8F"/>
    <w:rsid w:val="00C927B5"/>
    <w:rsid w:val="00C94120"/>
    <w:rsid w:val="00C952B6"/>
    <w:rsid w:val="00C969A4"/>
    <w:rsid w:val="00CA03EB"/>
    <w:rsid w:val="00CA0C05"/>
    <w:rsid w:val="00CA0CC1"/>
    <w:rsid w:val="00CA0F24"/>
    <w:rsid w:val="00CA18A2"/>
    <w:rsid w:val="00CA1ED5"/>
    <w:rsid w:val="00CA2155"/>
    <w:rsid w:val="00CA363D"/>
    <w:rsid w:val="00CA38A2"/>
    <w:rsid w:val="00CA58F7"/>
    <w:rsid w:val="00CA591B"/>
    <w:rsid w:val="00CA5B81"/>
    <w:rsid w:val="00CA716F"/>
    <w:rsid w:val="00CA72FB"/>
    <w:rsid w:val="00CB0978"/>
    <w:rsid w:val="00CB14F8"/>
    <w:rsid w:val="00CB1A8E"/>
    <w:rsid w:val="00CB4727"/>
    <w:rsid w:val="00CB53D2"/>
    <w:rsid w:val="00CB58DD"/>
    <w:rsid w:val="00CB660C"/>
    <w:rsid w:val="00CB689F"/>
    <w:rsid w:val="00CC0B48"/>
    <w:rsid w:val="00CC16AD"/>
    <w:rsid w:val="00CC26D0"/>
    <w:rsid w:val="00CC37F5"/>
    <w:rsid w:val="00CD1410"/>
    <w:rsid w:val="00CD3124"/>
    <w:rsid w:val="00CD3E9D"/>
    <w:rsid w:val="00CD48FA"/>
    <w:rsid w:val="00CD62DB"/>
    <w:rsid w:val="00CD6CC5"/>
    <w:rsid w:val="00CD7AA8"/>
    <w:rsid w:val="00CE03A3"/>
    <w:rsid w:val="00CE0428"/>
    <w:rsid w:val="00CE0C50"/>
    <w:rsid w:val="00CE4DB3"/>
    <w:rsid w:val="00CE67F7"/>
    <w:rsid w:val="00CE7767"/>
    <w:rsid w:val="00CF03EA"/>
    <w:rsid w:val="00CF1136"/>
    <w:rsid w:val="00CF1245"/>
    <w:rsid w:val="00CF2202"/>
    <w:rsid w:val="00CF2763"/>
    <w:rsid w:val="00CF2D03"/>
    <w:rsid w:val="00CF594C"/>
    <w:rsid w:val="00D00E9C"/>
    <w:rsid w:val="00D013F8"/>
    <w:rsid w:val="00D01D9B"/>
    <w:rsid w:val="00D02837"/>
    <w:rsid w:val="00D03470"/>
    <w:rsid w:val="00D0583E"/>
    <w:rsid w:val="00D06CCD"/>
    <w:rsid w:val="00D072C6"/>
    <w:rsid w:val="00D121C1"/>
    <w:rsid w:val="00D134AE"/>
    <w:rsid w:val="00D15982"/>
    <w:rsid w:val="00D175BD"/>
    <w:rsid w:val="00D17D00"/>
    <w:rsid w:val="00D207F9"/>
    <w:rsid w:val="00D21171"/>
    <w:rsid w:val="00D236DB"/>
    <w:rsid w:val="00D24A37"/>
    <w:rsid w:val="00D24C10"/>
    <w:rsid w:val="00D24D2B"/>
    <w:rsid w:val="00D26255"/>
    <w:rsid w:val="00D26621"/>
    <w:rsid w:val="00D26B1C"/>
    <w:rsid w:val="00D26BD8"/>
    <w:rsid w:val="00D27A11"/>
    <w:rsid w:val="00D27C73"/>
    <w:rsid w:val="00D30ED3"/>
    <w:rsid w:val="00D32769"/>
    <w:rsid w:val="00D3333B"/>
    <w:rsid w:val="00D349AB"/>
    <w:rsid w:val="00D34C13"/>
    <w:rsid w:val="00D40030"/>
    <w:rsid w:val="00D471FA"/>
    <w:rsid w:val="00D5220A"/>
    <w:rsid w:val="00D52C7B"/>
    <w:rsid w:val="00D5550B"/>
    <w:rsid w:val="00D56487"/>
    <w:rsid w:val="00D576C0"/>
    <w:rsid w:val="00D60075"/>
    <w:rsid w:val="00D61009"/>
    <w:rsid w:val="00D61374"/>
    <w:rsid w:val="00D63457"/>
    <w:rsid w:val="00D637B9"/>
    <w:rsid w:val="00D65E80"/>
    <w:rsid w:val="00D6725B"/>
    <w:rsid w:val="00D67621"/>
    <w:rsid w:val="00D73FB0"/>
    <w:rsid w:val="00D758EB"/>
    <w:rsid w:val="00D76579"/>
    <w:rsid w:val="00D765D9"/>
    <w:rsid w:val="00D76690"/>
    <w:rsid w:val="00D80C16"/>
    <w:rsid w:val="00D81E19"/>
    <w:rsid w:val="00D827D8"/>
    <w:rsid w:val="00D839AF"/>
    <w:rsid w:val="00D84DAC"/>
    <w:rsid w:val="00D85052"/>
    <w:rsid w:val="00D8661D"/>
    <w:rsid w:val="00D86684"/>
    <w:rsid w:val="00D90E1E"/>
    <w:rsid w:val="00D93D4F"/>
    <w:rsid w:val="00D94E02"/>
    <w:rsid w:val="00D95902"/>
    <w:rsid w:val="00D9746C"/>
    <w:rsid w:val="00DA086D"/>
    <w:rsid w:val="00DA0D4E"/>
    <w:rsid w:val="00DA0E7C"/>
    <w:rsid w:val="00DA103C"/>
    <w:rsid w:val="00DA144D"/>
    <w:rsid w:val="00DA2FD9"/>
    <w:rsid w:val="00DA5378"/>
    <w:rsid w:val="00DA72A8"/>
    <w:rsid w:val="00DA7ED5"/>
    <w:rsid w:val="00DB1D49"/>
    <w:rsid w:val="00DB3826"/>
    <w:rsid w:val="00DB482A"/>
    <w:rsid w:val="00DB4D72"/>
    <w:rsid w:val="00DB510F"/>
    <w:rsid w:val="00DB5CB0"/>
    <w:rsid w:val="00DB6160"/>
    <w:rsid w:val="00DB7ABB"/>
    <w:rsid w:val="00DC0CCF"/>
    <w:rsid w:val="00DC3FEE"/>
    <w:rsid w:val="00DC5F07"/>
    <w:rsid w:val="00DC5F8B"/>
    <w:rsid w:val="00DD27BA"/>
    <w:rsid w:val="00DD3451"/>
    <w:rsid w:val="00DD4687"/>
    <w:rsid w:val="00DD46FE"/>
    <w:rsid w:val="00DD49DA"/>
    <w:rsid w:val="00DD4AD4"/>
    <w:rsid w:val="00DD543A"/>
    <w:rsid w:val="00DD54CC"/>
    <w:rsid w:val="00DE0892"/>
    <w:rsid w:val="00DE15BC"/>
    <w:rsid w:val="00DE2704"/>
    <w:rsid w:val="00DE2F9E"/>
    <w:rsid w:val="00DE49E9"/>
    <w:rsid w:val="00DE4EA8"/>
    <w:rsid w:val="00DE4EF8"/>
    <w:rsid w:val="00DE5C6F"/>
    <w:rsid w:val="00DE780C"/>
    <w:rsid w:val="00DF0755"/>
    <w:rsid w:val="00DF12E9"/>
    <w:rsid w:val="00DF2868"/>
    <w:rsid w:val="00DF2AD8"/>
    <w:rsid w:val="00DF5510"/>
    <w:rsid w:val="00DF7D20"/>
    <w:rsid w:val="00DF7E64"/>
    <w:rsid w:val="00DF7F7B"/>
    <w:rsid w:val="00E01526"/>
    <w:rsid w:val="00E01957"/>
    <w:rsid w:val="00E02988"/>
    <w:rsid w:val="00E0514D"/>
    <w:rsid w:val="00E12E93"/>
    <w:rsid w:val="00E15606"/>
    <w:rsid w:val="00E17893"/>
    <w:rsid w:val="00E2054F"/>
    <w:rsid w:val="00E2105F"/>
    <w:rsid w:val="00E21878"/>
    <w:rsid w:val="00E21AAC"/>
    <w:rsid w:val="00E21CF2"/>
    <w:rsid w:val="00E222F8"/>
    <w:rsid w:val="00E22760"/>
    <w:rsid w:val="00E23265"/>
    <w:rsid w:val="00E23C42"/>
    <w:rsid w:val="00E24B73"/>
    <w:rsid w:val="00E26754"/>
    <w:rsid w:val="00E27713"/>
    <w:rsid w:val="00E27927"/>
    <w:rsid w:val="00E27A4C"/>
    <w:rsid w:val="00E33923"/>
    <w:rsid w:val="00E35C30"/>
    <w:rsid w:val="00E35E13"/>
    <w:rsid w:val="00E36495"/>
    <w:rsid w:val="00E37714"/>
    <w:rsid w:val="00E40E6B"/>
    <w:rsid w:val="00E41B1B"/>
    <w:rsid w:val="00E433DA"/>
    <w:rsid w:val="00E45D90"/>
    <w:rsid w:val="00E466D0"/>
    <w:rsid w:val="00E46703"/>
    <w:rsid w:val="00E52523"/>
    <w:rsid w:val="00E52798"/>
    <w:rsid w:val="00E532F4"/>
    <w:rsid w:val="00E53884"/>
    <w:rsid w:val="00E53E2E"/>
    <w:rsid w:val="00E547B2"/>
    <w:rsid w:val="00E60CE9"/>
    <w:rsid w:val="00E61CF5"/>
    <w:rsid w:val="00E6267A"/>
    <w:rsid w:val="00E626EC"/>
    <w:rsid w:val="00E62B8A"/>
    <w:rsid w:val="00E63020"/>
    <w:rsid w:val="00E64D9A"/>
    <w:rsid w:val="00E70D08"/>
    <w:rsid w:val="00E7197E"/>
    <w:rsid w:val="00E757AD"/>
    <w:rsid w:val="00E80991"/>
    <w:rsid w:val="00E8105F"/>
    <w:rsid w:val="00E8291C"/>
    <w:rsid w:val="00E82BE4"/>
    <w:rsid w:val="00E83A06"/>
    <w:rsid w:val="00E83BCC"/>
    <w:rsid w:val="00E855A2"/>
    <w:rsid w:val="00E86C2E"/>
    <w:rsid w:val="00E86CAB"/>
    <w:rsid w:val="00E87A5A"/>
    <w:rsid w:val="00E9067B"/>
    <w:rsid w:val="00E90A2B"/>
    <w:rsid w:val="00E90A41"/>
    <w:rsid w:val="00E922D8"/>
    <w:rsid w:val="00E92AC9"/>
    <w:rsid w:val="00E93951"/>
    <w:rsid w:val="00E939A0"/>
    <w:rsid w:val="00E93E3B"/>
    <w:rsid w:val="00E95F00"/>
    <w:rsid w:val="00EA0FBE"/>
    <w:rsid w:val="00EA1309"/>
    <w:rsid w:val="00EA4621"/>
    <w:rsid w:val="00EA47AE"/>
    <w:rsid w:val="00EA5568"/>
    <w:rsid w:val="00EA57BD"/>
    <w:rsid w:val="00EA69C4"/>
    <w:rsid w:val="00EB0DF0"/>
    <w:rsid w:val="00EB1162"/>
    <w:rsid w:val="00EB23DD"/>
    <w:rsid w:val="00EB3422"/>
    <w:rsid w:val="00EB3AF8"/>
    <w:rsid w:val="00EB3EAE"/>
    <w:rsid w:val="00EB6461"/>
    <w:rsid w:val="00EB6CD3"/>
    <w:rsid w:val="00EB72E2"/>
    <w:rsid w:val="00EB76E4"/>
    <w:rsid w:val="00EC0913"/>
    <w:rsid w:val="00EC39F6"/>
    <w:rsid w:val="00EC5AC0"/>
    <w:rsid w:val="00EC62BA"/>
    <w:rsid w:val="00ED037C"/>
    <w:rsid w:val="00ED1485"/>
    <w:rsid w:val="00ED14CB"/>
    <w:rsid w:val="00ED3EA7"/>
    <w:rsid w:val="00ED5B98"/>
    <w:rsid w:val="00ED77B0"/>
    <w:rsid w:val="00EE107E"/>
    <w:rsid w:val="00EE49A9"/>
    <w:rsid w:val="00EE597D"/>
    <w:rsid w:val="00EE718B"/>
    <w:rsid w:val="00EE78FE"/>
    <w:rsid w:val="00EF23FA"/>
    <w:rsid w:val="00EF3A29"/>
    <w:rsid w:val="00EF46A4"/>
    <w:rsid w:val="00EF4EB2"/>
    <w:rsid w:val="00EF6496"/>
    <w:rsid w:val="00EF668C"/>
    <w:rsid w:val="00F01382"/>
    <w:rsid w:val="00F02361"/>
    <w:rsid w:val="00F03012"/>
    <w:rsid w:val="00F03B24"/>
    <w:rsid w:val="00F03B93"/>
    <w:rsid w:val="00F0493B"/>
    <w:rsid w:val="00F053D5"/>
    <w:rsid w:val="00F06466"/>
    <w:rsid w:val="00F067BC"/>
    <w:rsid w:val="00F1289E"/>
    <w:rsid w:val="00F145FB"/>
    <w:rsid w:val="00F16E46"/>
    <w:rsid w:val="00F1754E"/>
    <w:rsid w:val="00F216B4"/>
    <w:rsid w:val="00F2199A"/>
    <w:rsid w:val="00F223D3"/>
    <w:rsid w:val="00F239BC"/>
    <w:rsid w:val="00F23D7D"/>
    <w:rsid w:val="00F24957"/>
    <w:rsid w:val="00F250AF"/>
    <w:rsid w:val="00F30A6C"/>
    <w:rsid w:val="00F320B5"/>
    <w:rsid w:val="00F32EA2"/>
    <w:rsid w:val="00F3355A"/>
    <w:rsid w:val="00F337DF"/>
    <w:rsid w:val="00F33E7C"/>
    <w:rsid w:val="00F3435F"/>
    <w:rsid w:val="00F34A4B"/>
    <w:rsid w:val="00F35B2E"/>
    <w:rsid w:val="00F36065"/>
    <w:rsid w:val="00F365EC"/>
    <w:rsid w:val="00F40C9B"/>
    <w:rsid w:val="00F416A4"/>
    <w:rsid w:val="00F41992"/>
    <w:rsid w:val="00F42835"/>
    <w:rsid w:val="00F430C9"/>
    <w:rsid w:val="00F43235"/>
    <w:rsid w:val="00F4391A"/>
    <w:rsid w:val="00F43E55"/>
    <w:rsid w:val="00F46E08"/>
    <w:rsid w:val="00F47124"/>
    <w:rsid w:val="00F4775F"/>
    <w:rsid w:val="00F5045B"/>
    <w:rsid w:val="00F50A41"/>
    <w:rsid w:val="00F51174"/>
    <w:rsid w:val="00F536A3"/>
    <w:rsid w:val="00F552D1"/>
    <w:rsid w:val="00F55FAB"/>
    <w:rsid w:val="00F5651F"/>
    <w:rsid w:val="00F56E9E"/>
    <w:rsid w:val="00F57AEA"/>
    <w:rsid w:val="00F57E37"/>
    <w:rsid w:val="00F6614B"/>
    <w:rsid w:val="00F669BE"/>
    <w:rsid w:val="00F70533"/>
    <w:rsid w:val="00F71322"/>
    <w:rsid w:val="00F715C1"/>
    <w:rsid w:val="00F72043"/>
    <w:rsid w:val="00F724E3"/>
    <w:rsid w:val="00F72502"/>
    <w:rsid w:val="00F726E4"/>
    <w:rsid w:val="00F72786"/>
    <w:rsid w:val="00F75238"/>
    <w:rsid w:val="00F76AC2"/>
    <w:rsid w:val="00F81537"/>
    <w:rsid w:val="00F81936"/>
    <w:rsid w:val="00F82B25"/>
    <w:rsid w:val="00F82D1D"/>
    <w:rsid w:val="00F82D77"/>
    <w:rsid w:val="00F87B74"/>
    <w:rsid w:val="00F93F9D"/>
    <w:rsid w:val="00F9612A"/>
    <w:rsid w:val="00F961E3"/>
    <w:rsid w:val="00F97437"/>
    <w:rsid w:val="00FA038A"/>
    <w:rsid w:val="00FA0FA5"/>
    <w:rsid w:val="00FA13D8"/>
    <w:rsid w:val="00FA22E9"/>
    <w:rsid w:val="00FA3238"/>
    <w:rsid w:val="00FA38F4"/>
    <w:rsid w:val="00FA428F"/>
    <w:rsid w:val="00FA496A"/>
    <w:rsid w:val="00FA4A3C"/>
    <w:rsid w:val="00FA5073"/>
    <w:rsid w:val="00FA52D5"/>
    <w:rsid w:val="00FA6FE4"/>
    <w:rsid w:val="00FA7D89"/>
    <w:rsid w:val="00FA7F42"/>
    <w:rsid w:val="00FB1B23"/>
    <w:rsid w:val="00FB49B7"/>
    <w:rsid w:val="00FB53D6"/>
    <w:rsid w:val="00FB547F"/>
    <w:rsid w:val="00FB5BC3"/>
    <w:rsid w:val="00FB66FB"/>
    <w:rsid w:val="00FB7782"/>
    <w:rsid w:val="00FB7B42"/>
    <w:rsid w:val="00FB7BD0"/>
    <w:rsid w:val="00FC0BDD"/>
    <w:rsid w:val="00FC17D3"/>
    <w:rsid w:val="00FC1A5D"/>
    <w:rsid w:val="00FC2CDE"/>
    <w:rsid w:val="00FC3EE3"/>
    <w:rsid w:val="00FC589B"/>
    <w:rsid w:val="00FC6F62"/>
    <w:rsid w:val="00FD253E"/>
    <w:rsid w:val="00FD3D33"/>
    <w:rsid w:val="00FD4C0C"/>
    <w:rsid w:val="00FD6936"/>
    <w:rsid w:val="00FE2484"/>
    <w:rsid w:val="00FE3087"/>
    <w:rsid w:val="00FE3170"/>
    <w:rsid w:val="00FE3E73"/>
    <w:rsid w:val="00FE4533"/>
    <w:rsid w:val="00FE6BAB"/>
    <w:rsid w:val="00FE7E82"/>
    <w:rsid w:val="00FE7EB2"/>
    <w:rsid w:val="00FE7FA0"/>
    <w:rsid w:val="00FF19D1"/>
    <w:rsid w:val="00FF1AC3"/>
    <w:rsid w:val="00FF1D01"/>
    <w:rsid w:val="00FF29E4"/>
    <w:rsid w:val="00FF2D64"/>
    <w:rsid w:val="00FF41C9"/>
    <w:rsid w:val="00FF53D7"/>
    <w:rsid w:val="00FF56FF"/>
    <w:rsid w:val="00FF576F"/>
    <w:rsid w:val="00FF6D9A"/>
    <w:rsid w:val="00FF7256"/>
    <w:rsid w:val="00FF7F8A"/>
    <w:rsid w:val="00FF7FE8"/>
    <w:rsid w:val="02441044"/>
    <w:rsid w:val="02E9DAC6"/>
    <w:rsid w:val="030A1F00"/>
    <w:rsid w:val="03131D20"/>
    <w:rsid w:val="0403C816"/>
    <w:rsid w:val="045AA8C0"/>
    <w:rsid w:val="04B189D8"/>
    <w:rsid w:val="05AE92B3"/>
    <w:rsid w:val="0608B768"/>
    <w:rsid w:val="06DFF16D"/>
    <w:rsid w:val="07C30272"/>
    <w:rsid w:val="085BEF09"/>
    <w:rsid w:val="08EC11BF"/>
    <w:rsid w:val="0AF6A830"/>
    <w:rsid w:val="0B180567"/>
    <w:rsid w:val="0B1AA988"/>
    <w:rsid w:val="0B5A0357"/>
    <w:rsid w:val="0C011935"/>
    <w:rsid w:val="0C2F4A72"/>
    <w:rsid w:val="0C8F4B69"/>
    <w:rsid w:val="0DB904FD"/>
    <w:rsid w:val="0E126203"/>
    <w:rsid w:val="0E316B80"/>
    <w:rsid w:val="0ECDB6F2"/>
    <w:rsid w:val="0F15941F"/>
    <w:rsid w:val="0F8565D3"/>
    <w:rsid w:val="0F94C5EA"/>
    <w:rsid w:val="10D46E77"/>
    <w:rsid w:val="10F20383"/>
    <w:rsid w:val="11A268A3"/>
    <w:rsid w:val="11A4DC98"/>
    <w:rsid w:val="129DDB44"/>
    <w:rsid w:val="136C4A3C"/>
    <w:rsid w:val="13F264FD"/>
    <w:rsid w:val="1420B85E"/>
    <w:rsid w:val="142D4FB3"/>
    <w:rsid w:val="15516875"/>
    <w:rsid w:val="16C4AC6D"/>
    <w:rsid w:val="1780459C"/>
    <w:rsid w:val="178699E8"/>
    <w:rsid w:val="17F2D0F5"/>
    <w:rsid w:val="19395D90"/>
    <w:rsid w:val="1940582A"/>
    <w:rsid w:val="19BAE348"/>
    <w:rsid w:val="19E545C8"/>
    <w:rsid w:val="1A4B1A41"/>
    <w:rsid w:val="1A8B09BF"/>
    <w:rsid w:val="1B40D806"/>
    <w:rsid w:val="1BAD6AE8"/>
    <w:rsid w:val="1C87FCBC"/>
    <w:rsid w:val="1CBDDBBB"/>
    <w:rsid w:val="1CBE7150"/>
    <w:rsid w:val="1CF8354C"/>
    <w:rsid w:val="1D4A7E15"/>
    <w:rsid w:val="1D716F78"/>
    <w:rsid w:val="1D7A1313"/>
    <w:rsid w:val="1D86F286"/>
    <w:rsid w:val="1DCB833C"/>
    <w:rsid w:val="1E09B53F"/>
    <w:rsid w:val="1E2BFA80"/>
    <w:rsid w:val="1EAC444F"/>
    <w:rsid w:val="1EB82F3C"/>
    <w:rsid w:val="1F58EA38"/>
    <w:rsid w:val="1F5CE8B2"/>
    <w:rsid w:val="1F9FDD36"/>
    <w:rsid w:val="1FD30B51"/>
    <w:rsid w:val="20BAACE3"/>
    <w:rsid w:val="20D9AEAD"/>
    <w:rsid w:val="20F25865"/>
    <w:rsid w:val="211AD1E8"/>
    <w:rsid w:val="21809312"/>
    <w:rsid w:val="2238D610"/>
    <w:rsid w:val="223959EF"/>
    <w:rsid w:val="225E9520"/>
    <w:rsid w:val="228A1873"/>
    <w:rsid w:val="23769CC3"/>
    <w:rsid w:val="2388A6AD"/>
    <w:rsid w:val="23A18C8F"/>
    <w:rsid w:val="23C4DA6B"/>
    <w:rsid w:val="23C6D3A7"/>
    <w:rsid w:val="2475980C"/>
    <w:rsid w:val="24DCB24B"/>
    <w:rsid w:val="24FEE9D5"/>
    <w:rsid w:val="25321123"/>
    <w:rsid w:val="27B9483B"/>
    <w:rsid w:val="27F73626"/>
    <w:rsid w:val="281F42B3"/>
    <w:rsid w:val="286343D9"/>
    <w:rsid w:val="28637781"/>
    <w:rsid w:val="2864371F"/>
    <w:rsid w:val="28AA74B7"/>
    <w:rsid w:val="28ACD0E7"/>
    <w:rsid w:val="28FF6331"/>
    <w:rsid w:val="2942A8BF"/>
    <w:rsid w:val="2992F321"/>
    <w:rsid w:val="29CEA661"/>
    <w:rsid w:val="2A9E6C9C"/>
    <w:rsid w:val="2AE56F2E"/>
    <w:rsid w:val="2BC6B879"/>
    <w:rsid w:val="2BD79303"/>
    <w:rsid w:val="2C7D020E"/>
    <w:rsid w:val="2C844AA2"/>
    <w:rsid w:val="2D0AE939"/>
    <w:rsid w:val="2D468952"/>
    <w:rsid w:val="2D4A9171"/>
    <w:rsid w:val="2D70F2E9"/>
    <w:rsid w:val="2E8E63D7"/>
    <w:rsid w:val="2E903B58"/>
    <w:rsid w:val="2F0D6844"/>
    <w:rsid w:val="2F2E0A2E"/>
    <w:rsid w:val="2F3931CF"/>
    <w:rsid w:val="2F6D2578"/>
    <w:rsid w:val="2F8FD57F"/>
    <w:rsid w:val="300554CA"/>
    <w:rsid w:val="30A0E4BA"/>
    <w:rsid w:val="310261B1"/>
    <w:rsid w:val="31128420"/>
    <w:rsid w:val="3192B5DF"/>
    <w:rsid w:val="31B2FFA8"/>
    <w:rsid w:val="3429DC97"/>
    <w:rsid w:val="34322237"/>
    <w:rsid w:val="34384384"/>
    <w:rsid w:val="344E78A1"/>
    <w:rsid w:val="34532B06"/>
    <w:rsid w:val="346888CD"/>
    <w:rsid w:val="350EC1A1"/>
    <w:rsid w:val="355152F5"/>
    <w:rsid w:val="35790943"/>
    <w:rsid w:val="35BADF14"/>
    <w:rsid w:val="3601A98E"/>
    <w:rsid w:val="3807D89D"/>
    <w:rsid w:val="3861AA7E"/>
    <w:rsid w:val="3891DA86"/>
    <w:rsid w:val="395A5EAF"/>
    <w:rsid w:val="39D90FF9"/>
    <w:rsid w:val="3A4C636E"/>
    <w:rsid w:val="3AD8A28C"/>
    <w:rsid w:val="3B94A60B"/>
    <w:rsid w:val="3BE83291"/>
    <w:rsid w:val="3C4E5775"/>
    <w:rsid w:val="3CA6DFE6"/>
    <w:rsid w:val="3CBB5AE6"/>
    <w:rsid w:val="3D0DA88A"/>
    <w:rsid w:val="3D1B493D"/>
    <w:rsid w:val="3D8F5608"/>
    <w:rsid w:val="3DAE41E1"/>
    <w:rsid w:val="3E013177"/>
    <w:rsid w:val="3E053E4C"/>
    <w:rsid w:val="3E55A100"/>
    <w:rsid w:val="3E8D92E1"/>
    <w:rsid w:val="3E8FC46F"/>
    <w:rsid w:val="3F210F7C"/>
    <w:rsid w:val="3FC4BEB6"/>
    <w:rsid w:val="4066E773"/>
    <w:rsid w:val="40FCC65B"/>
    <w:rsid w:val="40FDFD41"/>
    <w:rsid w:val="41D1B931"/>
    <w:rsid w:val="422E2AA6"/>
    <w:rsid w:val="42907C08"/>
    <w:rsid w:val="42B61917"/>
    <w:rsid w:val="430AB20D"/>
    <w:rsid w:val="4325F719"/>
    <w:rsid w:val="442838A3"/>
    <w:rsid w:val="44CC3302"/>
    <w:rsid w:val="4592E12D"/>
    <w:rsid w:val="45A1E992"/>
    <w:rsid w:val="45A5D1D6"/>
    <w:rsid w:val="45B2CFB9"/>
    <w:rsid w:val="45F75E2F"/>
    <w:rsid w:val="4644C4E8"/>
    <w:rsid w:val="46A0F1B0"/>
    <w:rsid w:val="46ECF094"/>
    <w:rsid w:val="46FA85B0"/>
    <w:rsid w:val="475989AF"/>
    <w:rsid w:val="4796C5D2"/>
    <w:rsid w:val="4797C5AC"/>
    <w:rsid w:val="47A792D7"/>
    <w:rsid w:val="481BF9F3"/>
    <w:rsid w:val="486226C3"/>
    <w:rsid w:val="489BEFF3"/>
    <w:rsid w:val="48C29236"/>
    <w:rsid w:val="48C6E975"/>
    <w:rsid w:val="48FDEFA7"/>
    <w:rsid w:val="49442D6C"/>
    <w:rsid w:val="497D3349"/>
    <w:rsid w:val="4983D6F4"/>
    <w:rsid w:val="4A2B767E"/>
    <w:rsid w:val="4A70223D"/>
    <w:rsid w:val="4BC9ACB7"/>
    <w:rsid w:val="4C46B1A4"/>
    <w:rsid w:val="4CD53B48"/>
    <w:rsid w:val="4CEA1409"/>
    <w:rsid w:val="4CEFF4A7"/>
    <w:rsid w:val="4D0BA206"/>
    <w:rsid w:val="4D662991"/>
    <w:rsid w:val="4E045EC7"/>
    <w:rsid w:val="4E92327B"/>
    <w:rsid w:val="4EB80C08"/>
    <w:rsid w:val="4EC54FE4"/>
    <w:rsid w:val="4F3EAE79"/>
    <w:rsid w:val="4FC2B2EE"/>
    <w:rsid w:val="4FDD14AA"/>
    <w:rsid w:val="4FF0DB3A"/>
    <w:rsid w:val="4FFC776B"/>
    <w:rsid w:val="50B17BA1"/>
    <w:rsid w:val="513E1262"/>
    <w:rsid w:val="514D9F55"/>
    <w:rsid w:val="515B3C09"/>
    <w:rsid w:val="516EA119"/>
    <w:rsid w:val="51AA312B"/>
    <w:rsid w:val="51D69720"/>
    <w:rsid w:val="5274D291"/>
    <w:rsid w:val="52DB088A"/>
    <w:rsid w:val="5336BA8C"/>
    <w:rsid w:val="53D78AC9"/>
    <w:rsid w:val="5465DF0A"/>
    <w:rsid w:val="549320B3"/>
    <w:rsid w:val="5502CED4"/>
    <w:rsid w:val="5520CC77"/>
    <w:rsid w:val="55F2D4A4"/>
    <w:rsid w:val="5634063F"/>
    <w:rsid w:val="563AD217"/>
    <w:rsid w:val="56B8C8B7"/>
    <w:rsid w:val="582C21D7"/>
    <w:rsid w:val="582D9B7B"/>
    <w:rsid w:val="583B1310"/>
    <w:rsid w:val="595AEF21"/>
    <w:rsid w:val="59B5A364"/>
    <w:rsid w:val="5A5CF09D"/>
    <w:rsid w:val="5A76FBB8"/>
    <w:rsid w:val="5ADDAFAC"/>
    <w:rsid w:val="5B7CFEE9"/>
    <w:rsid w:val="5B7F9A97"/>
    <w:rsid w:val="5BBEB309"/>
    <w:rsid w:val="5BF1D18B"/>
    <w:rsid w:val="5C2973C2"/>
    <w:rsid w:val="5D9E8435"/>
    <w:rsid w:val="5E019AEA"/>
    <w:rsid w:val="5E0BC251"/>
    <w:rsid w:val="5E2A4DA2"/>
    <w:rsid w:val="5E336E7A"/>
    <w:rsid w:val="5E925CC0"/>
    <w:rsid w:val="5EF229F6"/>
    <w:rsid w:val="5EF8CE41"/>
    <w:rsid w:val="60DFB91F"/>
    <w:rsid w:val="611E8632"/>
    <w:rsid w:val="615A1ACD"/>
    <w:rsid w:val="619D81A9"/>
    <w:rsid w:val="61AF4849"/>
    <w:rsid w:val="6233A0C9"/>
    <w:rsid w:val="6279B4AE"/>
    <w:rsid w:val="627EC360"/>
    <w:rsid w:val="629FFF96"/>
    <w:rsid w:val="63A1D178"/>
    <w:rsid w:val="63C0166D"/>
    <w:rsid w:val="6448E3D2"/>
    <w:rsid w:val="6453410C"/>
    <w:rsid w:val="65155707"/>
    <w:rsid w:val="654C158C"/>
    <w:rsid w:val="655FC06F"/>
    <w:rsid w:val="656F0C95"/>
    <w:rsid w:val="6691E82A"/>
    <w:rsid w:val="669B93BB"/>
    <w:rsid w:val="66AE5C26"/>
    <w:rsid w:val="670003F8"/>
    <w:rsid w:val="671BBCE1"/>
    <w:rsid w:val="6733DBF1"/>
    <w:rsid w:val="68293218"/>
    <w:rsid w:val="685FB097"/>
    <w:rsid w:val="687F34BF"/>
    <w:rsid w:val="6895BA32"/>
    <w:rsid w:val="68E33EF4"/>
    <w:rsid w:val="6AB13D64"/>
    <w:rsid w:val="6B362372"/>
    <w:rsid w:val="6B9274E7"/>
    <w:rsid w:val="6DA14D69"/>
    <w:rsid w:val="6DC54ED2"/>
    <w:rsid w:val="6F439AEE"/>
    <w:rsid w:val="6FE365FF"/>
    <w:rsid w:val="70053F28"/>
    <w:rsid w:val="702771D3"/>
    <w:rsid w:val="705BB847"/>
    <w:rsid w:val="7065E517"/>
    <w:rsid w:val="706BEBE0"/>
    <w:rsid w:val="70A44500"/>
    <w:rsid w:val="71990D16"/>
    <w:rsid w:val="71B42766"/>
    <w:rsid w:val="727F24F4"/>
    <w:rsid w:val="729DC53C"/>
    <w:rsid w:val="72B1D762"/>
    <w:rsid w:val="73347005"/>
    <w:rsid w:val="74352721"/>
    <w:rsid w:val="743D4C9D"/>
    <w:rsid w:val="7469A516"/>
    <w:rsid w:val="754B2ACF"/>
    <w:rsid w:val="761A17F6"/>
    <w:rsid w:val="763DBC42"/>
    <w:rsid w:val="7670ED09"/>
    <w:rsid w:val="76C5D56E"/>
    <w:rsid w:val="76E5DCF0"/>
    <w:rsid w:val="76EB1B75"/>
    <w:rsid w:val="77857CAF"/>
    <w:rsid w:val="77C4F508"/>
    <w:rsid w:val="7807B9A0"/>
    <w:rsid w:val="78BCE47A"/>
    <w:rsid w:val="795A640B"/>
    <w:rsid w:val="796020E3"/>
    <w:rsid w:val="796559B7"/>
    <w:rsid w:val="7985D9C9"/>
    <w:rsid w:val="79EAA3AD"/>
    <w:rsid w:val="7A7239B6"/>
    <w:rsid w:val="7AE4A3A9"/>
    <w:rsid w:val="7BF39FA5"/>
    <w:rsid w:val="7C03A994"/>
    <w:rsid w:val="7C0C8897"/>
    <w:rsid w:val="7C1DB1FB"/>
    <w:rsid w:val="7C571EA4"/>
    <w:rsid w:val="7CED8CDD"/>
    <w:rsid w:val="7D8B6DB4"/>
    <w:rsid w:val="7E027F27"/>
    <w:rsid w:val="7EAAAA32"/>
    <w:rsid w:val="7F848EC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8F5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277"/>
    <w:pPr>
      <w:spacing w:after="0" w:line="240" w:lineRule="auto"/>
    </w:pPr>
    <w:rPr>
      <w:rFonts w:ascii="Arial" w:eastAsia="Times New Roman" w:hAnsi="Arial" w:cs="Times New Roman"/>
      <w:szCs w:val="24"/>
      <w:lang w:eastAsia="en-NZ"/>
    </w:rPr>
  </w:style>
  <w:style w:type="paragraph" w:styleId="Heading1">
    <w:name w:val="heading 1"/>
    <w:aliases w:val="Report title style"/>
    <w:basedOn w:val="Normal"/>
    <w:next w:val="Normal"/>
    <w:link w:val="Heading1Char"/>
    <w:uiPriority w:val="9"/>
    <w:qFormat/>
    <w:rsid w:val="00167DCB"/>
    <w:pPr>
      <w:keepNext/>
      <w:keepLines/>
      <w:spacing w:after="120"/>
      <w:outlineLvl w:val="0"/>
    </w:pPr>
    <w:rPr>
      <w:rFonts w:eastAsiaTheme="majorEastAsia"/>
      <w:b/>
      <w:bCs/>
      <w:noProof/>
      <w:color w:val="F6F4EC" w:themeColor="background1"/>
      <w:sz w:val="120"/>
      <w:szCs w:val="120"/>
    </w:rPr>
  </w:style>
  <w:style w:type="paragraph" w:styleId="Heading2">
    <w:name w:val="heading 2"/>
    <w:basedOn w:val="Heading1"/>
    <w:next w:val="Normal"/>
    <w:link w:val="Heading2Char"/>
    <w:uiPriority w:val="9"/>
    <w:unhideWhenUsed/>
    <w:qFormat/>
    <w:rsid w:val="0046219A"/>
    <w:pPr>
      <w:spacing w:before="240" w:after="240"/>
      <w:outlineLvl w:val="1"/>
    </w:pPr>
    <w:rPr>
      <w:color w:val="0C818F" w:themeColor="accent3"/>
      <w:sz w:val="32"/>
    </w:rPr>
  </w:style>
  <w:style w:type="paragraph" w:styleId="Heading3">
    <w:name w:val="heading 3"/>
    <w:basedOn w:val="Heading1"/>
    <w:next w:val="Normal"/>
    <w:link w:val="Heading3Char"/>
    <w:uiPriority w:val="9"/>
    <w:unhideWhenUsed/>
    <w:qFormat/>
    <w:rsid w:val="0046219A"/>
    <w:pPr>
      <w:spacing w:before="360" w:after="240"/>
      <w:outlineLvl w:val="2"/>
    </w:pPr>
    <w:rPr>
      <w:color w:val="0C818F" w:themeColor="accent3"/>
      <w:sz w:val="28"/>
      <w:szCs w:val="28"/>
    </w:rPr>
  </w:style>
  <w:style w:type="paragraph" w:styleId="Heading4">
    <w:name w:val="heading 4"/>
    <w:basedOn w:val="Title"/>
    <w:next w:val="Normal"/>
    <w:link w:val="Heading4Char"/>
    <w:uiPriority w:val="9"/>
    <w:unhideWhenUsed/>
    <w:qFormat/>
    <w:rsid w:val="0046219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Report title"/>
    <w:basedOn w:val="Normal"/>
    <w:link w:val="NoSpacingChar"/>
    <w:uiPriority w:val="1"/>
    <w:rsid w:val="00C50B10"/>
    <w:pPr>
      <w:ind w:left="-9214" w:firstLine="9214"/>
    </w:pPr>
    <w:rPr>
      <w:rFonts w:ascii="Poppins" w:hAnsi="Poppins" w:cs="Poppins"/>
      <w:b/>
      <w:bCs/>
      <w:color w:val="15284C"/>
      <w:sz w:val="48"/>
      <w:szCs w:val="48"/>
    </w:rPr>
  </w:style>
  <w:style w:type="character" w:customStyle="1" w:styleId="NoSpacingChar">
    <w:name w:val="No Spacing Char"/>
    <w:aliases w:val="Template title Char,Report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pPr>
  </w:style>
  <w:style w:type="character" w:customStyle="1" w:styleId="HeaderChar">
    <w:name w:val="Header Char"/>
    <w:basedOn w:val="DefaultParagraphFont"/>
    <w:link w:val="Header"/>
    <w:uiPriority w:val="99"/>
    <w:rsid w:val="00EB3422"/>
    <w:rPr>
      <w:rFonts w:ascii="Times New Roman" w:eastAsia="Times New Roman" w:hAnsi="Times New Roman" w:cs="Times New Roman"/>
      <w:sz w:val="24"/>
      <w:szCs w:val="24"/>
      <w:lang w:eastAsia="en-NZ"/>
    </w:rPr>
  </w:style>
  <w:style w:type="paragraph" w:styleId="Footer">
    <w:name w:val="footer"/>
    <w:basedOn w:val="Normal"/>
    <w:link w:val="FooterChar"/>
    <w:uiPriority w:val="99"/>
    <w:unhideWhenUsed/>
    <w:rsid w:val="00EB3422"/>
    <w:pPr>
      <w:tabs>
        <w:tab w:val="center" w:pos="4513"/>
        <w:tab w:val="right" w:pos="9026"/>
      </w:tabs>
    </w:pPr>
  </w:style>
  <w:style w:type="character" w:customStyle="1" w:styleId="FooterChar">
    <w:name w:val="Footer Char"/>
    <w:basedOn w:val="DefaultParagraphFont"/>
    <w:link w:val="Footer"/>
    <w:uiPriority w:val="99"/>
    <w:rsid w:val="00EB3422"/>
    <w:rPr>
      <w:rFonts w:ascii="Times New Roman" w:eastAsia="Times New Roman" w:hAnsi="Times New Roman" w:cs="Times New Roman"/>
      <w:sz w:val="24"/>
      <w:szCs w:val="24"/>
      <w:lang w:eastAsia="en-NZ"/>
    </w:rPr>
  </w:style>
  <w:style w:type="character" w:customStyle="1" w:styleId="Heading1Char">
    <w:name w:val="Heading 1 Char"/>
    <w:aliases w:val="Report title style Char"/>
    <w:basedOn w:val="DefaultParagraphFont"/>
    <w:link w:val="Heading1"/>
    <w:uiPriority w:val="9"/>
    <w:rsid w:val="00167DCB"/>
    <w:rPr>
      <w:rFonts w:ascii="Arial" w:eastAsiaTheme="majorEastAsia" w:hAnsi="Arial" w:cs="Arial"/>
      <w:b/>
      <w:bCs/>
      <w:noProof/>
      <w:color w:val="F6F4EC" w:themeColor="background1"/>
      <w:sz w:val="120"/>
      <w:szCs w:val="120"/>
    </w:rPr>
  </w:style>
  <w:style w:type="paragraph" w:styleId="TOCHeading">
    <w:name w:val="TOC Heading"/>
    <w:basedOn w:val="Heading1"/>
    <w:next w:val="Normal"/>
    <w:uiPriority w:val="39"/>
    <w:unhideWhenUsed/>
    <w:rsid w:val="00EB3422"/>
    <w:pPr>
      <w:outlineLvl w:val="9"/>
    </w:pPr>
    <w:rPr>
      <w:b w:val="0"/>
      <w:bCs w:val="0"/>
    </w:rPr>
  </w:style>
  <w:style w:type="character" w:customStyle="1" w:styleId="Heading2Char">
    <w:name w:val="Heading 2 Char"/>
    <w:basedOn w:val="DefaultParagraphFont"/>
    <w:link w:val="Heading2"/>
    <w:uiPriority w:val="9"/>
    <w:rsid w:val="0046219A"/>
    <w:rPr>
      <w:rFonts w:ascii="Arial" w:eastAsiaTheme="majorEastAsia" w:hAnsi="Arial" w:cs="Arial"/>
      <w:b/>
      <w:bCs/>
      <w:noProof/>
      <w:color w:val="0C818F" w:themeColor="accent3"/>
      <w:sz w:val="32"/>
      <w:szCs w:val="32"/>
    </w:rPr>
  </w:style>
  <w:style w:type="character" w:customStyle="1" w:styleId="Heading3Char">
    <w:name w:val="Heading 3 Char"/>
    <w:basedOn w:val="DefaultParagraphFont"/>
    <w:link w:val="Heading3"/>
    <w:uiPriority w:val="9"/>
    <w:rsid w:val="0046219A"/>
    <w:rPr>
      <w:rFonts w:ascii="Arial" w:eastAsiaTheme="majorEastAsia" w:hAnsi="Arial" w:cs="Arial"/>
      <w:b/>
      <w:bCs/>
      <w:noProof/>
      <w:color w:val="0C818F" w:themeColor="accent3"/>
      <w:sz w:val="28"/>
      <w:szCs w:val="28"/>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59"/>
    <w:rsid w:val="00840ABD"/>
    <w:pPr>
      <w:spacing w:before="120" w:after="120"/>
      <w:ind w:left="454" w:hanging="454"/>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20" w:beforeAutospacing="0" w:afterLines="0" w:after="120" w:afterAutospacing="0"/>
      </w:pPr>
      <w:rPr>
        <w:rFonts w:ascii="Arial" w:hAnsi="Arial"/>
        <w:b/>
        <w:color w:val="auto"/>
        <w:sz w:val="20"/>
      </w:rPr>
      <w:tblPr/>
      <w:tcPr>
        <w:shd w:val="clear" w:color="auto" w:fill="F2F2F2" w:themeFill="accent4" w:themeFillShade="F2"/>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Bullets,Level 3,List Paragraph1,List Paragraph numbered,List Bullet indent,Body,Recommendation,List Paragraph11,TOC style,lp1,Bullet OSM,Proposal Bullet List,Rec para,Bullet Normal,Colorful List - Accent 11,Bullet Heading,列出段落,Bullet list"/>
    <w:basedOn w:val="Normal"/>
    <w:link w:val="ListParagraphChar"/>
    <w:uiPriority w:val="34"/>
    <w:qFormat/>
    <w:rsid w:val="004079F7"/>
    <w:pPr>
      <w:ind w:left="720"/>
      <w:contextualSpacing/>
    </w:pPr>
  </w:style>
  <w:style w:type="paragraph" w:styleId="BodyText">
    <w:name w:val="Body Text"/>
    <w:basedOn w:val="Normal"/>
    <w:link w:val="BodyTextChar"/>
    <w:semiHidden/>
    <w:rsid w:val="00C639EB"/>
    <w:pPr>
      <w:spacing w:after="120" w:line="240" w:lineRule="atLeast"/>
      <w:jc w:val="both"/>
    </w:pPr>
    <w:rPr>
      <w:kern w:val="22"/>
    </w:rPr>
  </w:style>
  <w:style w:type="character" w:customStyle="1" w:styleId="BodyTextChar">
    <w:name w:val="Body Text Char"/>
    <w:basedOn w:val="DefaultParagraphFont"/>
    <w:link w:val="BodyText"/>
    <w:semiHidden/>
    <w:rsid w:val="00C639EB"/>
    <w:rPr>
      <w:rFonts w:ascii="Times New Roman" w:eastAsia="Times New Roman" w:hAnsi="Times New Roman" w:cs="Times New Roman"/>
      <w:kern w:val="22"/>
      <w:sz w:val="24"/>
      <w:szCs w:val="24"/>
      <w:lang w:eastAsia="en-NZ"/>
    </w:rPr>
  </w:style>
  <w:style w:type="paragraph" w:customStyle="1" w:styleId="Letteredbullets">
    <w:name w:val="Lettered bullets"/>
    <w:basedOn w:val="Numberedbullets"/>
    <w:qFormat/>
    <w:rsid w:val="00337327"/>
    <w:pPr>
      <w:numPr>
        <w:ilvl w:val="1"/>
      </w:numPr>
      <w:ind w:left="811" w:hanging="357"/>
    </w:pPr>
    <w:rPr>
      <w:shd w:val="clear" w:color="auto" w:fill="auto"/>
    </w:rPr>
  </w:style>
  <w:style w:type="paragraph" w:customStyle="1" w:styleId="ReportBody-TeWhatuOra">
    <w:name w:val="Report Body - Te Whatu Ora"/>
    <w:basedOn w:val="Normal"/>
    <w:link w:val="ReportBody-TeWhatuOraChar"/>
    <w:autoRedefine/>
    <w:rsid w:val="0067272F"/>
    <w:pPr>
      <w:autoSpaceDE w:val="0"/>
      <w:autoSpaceDN w:val="0"/>
      <w:spacing w:line="360" w:lineRule="auto"/>
    </w:pPr>
    <w:rPr>
      <w:bCs/>
      <w:color w:val="15284C" w:themeColor="text1"/>
      <w:shd w:val="clear" w:color="auto" w:fill="FFFFFF"/>
    </w:rPr>
  </w:style>
  <w:style w:type="paragraph" w:customStyle="1" w:styleId="TableHeading2">
    <w:name w:val="Table Heading 2"/>
    <w:basedOn w:val="Normal"/>
    <w:link w:val="TableHeading2Char"/>
    <w:uiPriority w:val="2"/>
    <w:rsid w:val="00C639EB"/>
    <w:pPr>
      <w:spacing w:before="60" w:after="60" w:line="240" w:lineRule="atLeast"/>
    </w:pPr>
    <w:rPr>
      <w:b/>
      <w:bCs/>
      <w:color w:val="15284C" w:themeColor="text1"/>
      <w:sz w:val="20"/>
      <w:szCs w:val="14"/>
      <w:lang w:val="en-GB" w:eastAsia="en-GB"/>
    </w:rPr>
  </w:style>
  <w:style w:type="paragraph" w:customStyle="1" w:styleId="TableText">
    <w:name w:val="Table Text"/>
    <w:link w:val="TableTextChar"/>
    <w:uiPriority w:val="2"/>
    <w:rsid w:val="00C639EB"/>
    <w:pPr>
      <w:autoSpaceDE w:val="0"/>
      <w:autoSpaceDN w:val="0"/>
      <w:adjustRightInd w:val="0"/>
      <w:spacing w:before="60" w:after="60" w:line="240" w:lineRule="atLeast"/>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46219A"/>
    <w:pPr>
      <w:spacing w:before="60" w:after="60"/>
    </w:pPr>
    <w:rPr>
      <w:b/>
      <w:sz w:val="20"/>
      <w:szCs w:val="20"/>
    </w:rPr>
  </w:style>
  <w:style w:type="character" w:customStyle="1" w:styleId="TableBoldChar">
    <w:name w:val="Table Bold Char"/>
    <w:basedOn w:val="DefaultParagraphFont"/>
    <w:link w:val="TableBold"/>
    <w:uiPriority w:val="2"/>
    <w:rsid w:val="0046219A"/>
    <w:rPr>
      <w:rFonts w:ascii="Times New Roman" w:eastAsia="Times New Roman" w:hAnsi="Times New Roman" w:cs="Times New Roman"/>
      <w:b/>
      <w:sz w:val="20"/>
      <w:szCs w:val="20"/>
      <w:lang w:eastAsia="en-NZ"/>
    </w:rPr>
  </w:style>
  <w:style w:type="character" w:customStyle="1" w:styleId="TableTextChar">
    <w:name w:val="Table Text Char"/>
    <w:basedOn w:val="DefaultParagraphFont"/>
    <w:link w:val="TableText"/>
    <w:uiPriority w:val="2"/>
    <w:rsid w:val="00C639EB"/>
    <w:rPr>
      <w:rFonts w:ascii="Arial" w:eastAsia="Times New Roman" w:hAnsi="Arial" w:cs="GillSans"/>
      <w:sz w:val="20"/>
      <w:szCs w:val="18"/>
      <w:lang w:val="en-GB" w:eastAsia="en-AU"/>
    </w:rPr>
  </w:style>
  <w:style w:type="character" w:customStyle="1" w:styleId="normaltextrun">
    <w:name w:val="normaltextrun"/>
    <w:basedOn w:val="DefaultParagraphFont"/>
    <w:rsid w:val="00C639EB"/>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Times New Roman" w:eastAsia="Times New Roman" w:hAnsi="Times New Roman" w:cs="Times New Roman"/>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qFormat/>
    <w:rsid w:val="0067272F"/>
    <w:pPr>
      <w:numPr>
        <w:numId w:val="2"/>
      </w:numPr>
      <w:spacing w:line="259" w:lineRule="auto"/>
      <w:ind w:left="357" w:hanging="357"/>
      <w:contextualSpacing w:val="0"/>
    </w:pPr>
    <w:rPr>
      <w:shd w:val="clear" w:color="auto" w:fill="FFFFFF"/>
    </w:rPr>
  </w:style>
  <w:style w:type="character" w:customStyle="1" w:styleId="ListParagraphChar">
    <w:name w:val="List Paragraph Char"/>
    <w:aliases w:val="Bullets Char,Level 3 Char,List Paragraph1 Char,List Paragraph numbered Char,List Bullet indent Char,Body Char,Recommendation Char,List Paragraph11 Char,TOC style Char,lp1 Char,Bullet OSM Char,Proposal Bullet List Char,Rec para Char"/>
    <w:basedOn w:val="DefaultParagraphFont"/>
    <w:link w:val="ListParagraph"/>
    <w:uiPriority w:val="34"/>
    <w:qFormat/>
    <w:rsid w:val="001D3387"/>
    <w:rPr>
      <w:rFonts w:ascii="Arial" w:eastAsia="Roboto" w:hAnsi="Arial" w:cs="Arial"/>
      <w:lang w:val="en-US"/>
    </w:rPr>
  </w:style>
  <w:style w:type="character" w:customStyle="1" w:styleId="BulletpointsChar">
    <w:name w:val="Bullet points Char"/>
    <w:basedOn w:val="ListParagraphChar"/>
    <w:link w:val="Bulletpoints"/>
    <w:rsid w:val="0067272F"/>
    <w:rPr>
      <w:rFonts w:ascii="Arial" w:eastAsia="Roboto" w:hAnsi="Arial" w:cs="Arial"/>
      <w:lang w:val="en-US"/>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337327"/>
    <w:pPr>
      <w:widowControl w:val="0"/>
      <w:numPr>
        <w:numId w:val="1"/>
      </w:numPr>
      <w:autoSpaceDE w:val="0"/>
      <w:autoSpaceDN w:val="0"/>
      <w:spacing w:line="259" w:lineRule="auto"/>
      <w:ind w:left="425" w:hanging="425"/>
    </w:pPr>
    <w:rPr>
      <w:rFonts w:eastAsia="Arial"/>
      <w:shd w:val="clear" w:color="auto" w:fill="FFFFFF"/>
    </w:rPr>
  </w:style>
  <w:style w:type="character" w:customStyle="1" w:styleId="NumberedbulletsChar">
    <w:name w:val="Numbered bullets Char"/>
    <w:basedOn w:val="DefaultParagraphFont"/>
    <w:link w:val="Numberedbullets"/>
    <w:rsid w:val="00337327"/>
    <w:rPr>
      <w:rFonts w:ascii="Arial" w:eastAsia="Arial" w:hAnsi="Arial" w:cs="Arial"/>
      <w:lang w:val="en-US"/>
    </w:rPr>
  </w:style>
  <w:style w:type="paragraph" w:customStyle="1" w:styleId="Heading30">
    <w:name w:val="Heading3"/>
    <w:basedOn w:val="Heading3"/>
    <w:link w:val="Heading3Char0"/>
    <w:rsid w:val="00C657FB"/>
    <w:rPr>
      <w:i/>
      <w:iCs/>
      <w:color w:val="auto"/>
      <w:sz w:val="22"/>
      <w:szCs w:val="22"/>
    </w:rPr>
  </w:style>
  <w:style w:type="character" w:customStyle="1" w:styleId="Heading3Char0">
    <w:name w:val="Heading3 Char"/>
    <w:basedOn w:val="Heading3Char"/>
    <w:link w:val="Heading30"/>
    <w:rsid w:val="00C657FB"/>
    <w:rPr>
      <w:rFonts w:ascii="Arial" w:eastAsia="Roboto" w:hAnsi="Arial" w:cs="Arial"/>
      <w:b/>
      <w:bCs/>
      <w:i/>
      <w:iCs/>
      <w:noProof/>
      <w:color w:val="15284C"/>
      <w:sz w:val="28"/>
      <w:szCs w:val="28"/>
      <w:lang w:val="en-US"/>
    </w:rPr>
  </w:style>
  <w:style w:type="character" w:customStyle="1" w:styleId="ReportBody-TeWhatuOraChar">
    <w:name w:val="Report Body - Te Whatu Ora Char"/>
    <w:basedOn w:val="DefaultParagraphFont"/>
    <w:link w:val="ReportBody-TeWhatuOra"/>
    <w:rsid w:val="0067272F"/>
    <w:rPr>
      <w:rFonts w:ascii="Arial" w:eastAsia="Roboto" w:hAnsi="Arial" w:cs="Arial"/>
      <w:bCs/>
      <w:color w:val="15284C" w:themeColor="text1"/>
      <w:lang w:eastAsia="en-NZ"/>
    </w:rPr>
  </w:style>
  <w:style w:type="paragraph" w:customStyle="1" w:styleId="TableParagraph">
    <w:name w:val="Table Paragraph"/>
    <w:basedOn w:val="Normal"/>
    <w:uiPriority w:val="1"/>
    <w:rsid w:val="00B73C43"/>
    <w:pPr>
      <w:widowControl w:val="0"/>
      <w:autoSpaceDE w:val="0"/>
      <w:autoSpaceDN w:val="0"/>
      <w:ind w:left="105"/>
    </w:pPr>
    <w:rPr>
      <w:rFonts w:eastAsia="Arial"/>
    </w:rPr>
  </w:style>
  <w:style w:type="paragraph" w:styleId="FootnoteText">
    <w:name w:val="footnote text"/>
    <w:basedOn w:val="Normal"/>
    <w:link w:val="FootnoteTextChar"/>
    <w:uiPriority w:val="99"/>
    <w:semiHidden/>
    <w:unhideWhenUsed/>
    <w:rsid w:val="00F724E3"/>
    <w:pPr>
      <w:widowControl w:val="0"/>
      <w:autoSpaceDE w:val="0"/>
      <w:autoSpaceDN w:val="0"/>
    </w:pPr>
    <w:rPr>
      <w:rFonts w:eastAsia="Arial"/>
      <w:sz w:val="20"/>
      <w:szCs w:val="20"/>
    </w:rPr>
  </w:style>
  <w:style w:type="character" w:customStyle="1" w:styleId="FootnoteTextChar">
    <w:name w:val="Footnote Text Char"/>
    <w:basedOn w:val="DefaultParagraphFont"/>
    <w:link w:val="FootnoteText"/>
    <w:uiPriority w:val="99"/>
    <w:semiHidden/>
    <w:rsid w:val="00F724E3"/>
    <w:rPr>
      <w:rFonts w:ascii="Times New Roman" w:eastAsia="Arial" w:hAnsi="Times New Roman" w:cs="Times New Roman"/>
      <w:sz w:val="20"/>
      <w:szCs w:val="20"/>
      <w:lang w:eastAsia="en-NZ"/>
    </w:rPr>
  </w:style>
  <w:style w:type="character" w:styleId="FootnoteReference">
    <w:name w:val="footnote reference"/>
    <w:basedOn w:val="DefaultParagraphFont"/>
    <w:uiPriority w:val="99"/>
    <w:semiHidden/>
    <w:unhideWhenUsed/>
    <w:rsid w:val="00F724E3"/>
    <w:rPr>
      <w:vertAlign w:val="superscript"/>
    </w:rPr>
  </w:style>
  <w:style w:type="character" w:customStyle="1" w:styleId="eop">
    <w:name w:val="eop"/>
    <w:basedOn w:val="DefaultParagraphFont"/>
    <w:rsid w:val="009F4132"/>
  </w:style>
  <w:style w:type="paragraph" w:customStyle="1" w:styleId="paragraph">
    <w:name w:val="paragraph"/>
    <w:basedOn w:val="Normal"/>
    <w:rsid w:val="0046219A"/>
    <w:pPr>
      <w:spacing w:line="259" w:lineRule="auto"/>
    </w:pPr>
  </w:style>
  <w:style w:type="character" w:styleId="CommentReference">
    <w:name w:val="annotation reference"/>
    <w:basedOn w:val="DefaultParagraphFont"/>
    <w:uiPriority w:val="99"/>
    <w:semiHidden/>
    <w:unhideWhenUsed/>
    <w:rsid w:val="004B3401"/>
    <w:rPr>
      <w:sz w:val="16"/>
      <w:szCs w:val="16"/>
    </w:rPr>
  </w:style>
  <w:style w:type="paragraph" w:styleId="CommentText">
    <w:name w:val="annotation text"/>
    <w:basedOn w:val="Normal"/>
    <w:link w:val="CommentTextChar"/>
    <w:uiPriority w:val="99"/>
    <w:unhideWhenUsed/>
    <w:rsid w:val="004B3401"/>
    <w:rPr>
      <w:sz w:val="20"/>
      <w:szCs w:val="20"/>
    </w:rPr>
  </w:style>
  <w:style w:type="character" w:customStyle="1" w:styleId="CommentTextChar">
    <w:name w:val="Comment Text Char"/>
    <w:basedOn w:val="DefaultParagraphFont"/>
    <w:link w:val="CommentText"/>
    <w:uiPriority w:val="99"/>
    <w:rsid w:val="004B340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4B3401"/>
    <w:rPr>
      <w:b/>
      <w:bCs/>
    </w:rPr>
  </w:style>
  <w:style w:type="character" w:customStyle="1" w:styleId="CommentSubjectChar">
    <w:name w:val="Comment Subject Char"/>
    <w:basedOn w:val="CommentTextChar"/>
    <w:link w:val="CommentSubject"/>
    <w:uiPriority w:val="99"/>
    <w:semiHidden/>
    <w:rsid w:val="004B3401"/>
    <w:rPr>
      <w:rFonts w:ascii="Arial" w:eastAsia="Roboto" w:hAnsi="Arial" w:cs="Arial"/>
      <w:b/>
      <w:bCs/>
      <w:sz w:val="20"/>
      <w:szCs w:val="20"/>
      <w:lang w:val="en-US"/>
    </w:rPr>
  </w:style>
  <w:style w:type="paragraph" w:styleId="Title">
    <w:name w:val="Title"/>
    <w:basedOn w:val="Heading1"/>
    <w:next w:val="Normal"/>
    <w:link w:val="TitleChar"/>
    <w:uiPriority w:val="10"/>
    <w:rsid w:val="0046219A"/>
    <w:pPr>
      <w:spacing w:before="240"/>
    </w:pPr>
    <w:rPr>
      <w:color w:val="auto"/>
      <w:sz w:val="24"/>
      <w:szCs w:val="24"/>
    </w:rPr>
  </w:style>
  <w:style w:type="character" w:customStyle="1" w:styleId="TitleChar">
    <w:name w:val="Title Char"/>
    <w:basedOn w:val="DefaultParagraphFont"/>
    <w:link w:val="Title"/>
    <w:uiPriority w:val="10"/>
    <w:rsid w:val="0046219A"/>
    <w:rPr>
      <w:rFonts w:ascii="Arial" w:eastAsiaTheme="majorEastAsia" w:hAnsi="Arial" w:cs="Arial"/>
      <w:b/>
      <w:bCs/>
      <w:noProof/>
      <w:sz w:val="24"/>
      <w:szCs w:val="24"/>
    </w:rPr>
  </w:style>
  <w:style w:type="character" w:customStyle="1" w:styleId="Heading4Char">
    <w:name w:val="Heading 4 Char"/>
    <w:basedOn w:val="DefaultParagraphFont"/>
    <w:link w:val="Heading4"/>
    <w:uiPriority w:val="9"/>
    <w:rsid w:val="0046219A"/>
    <w:rPr>
      <w:rFonts w:ascii="Arial" w:eastAsiaTheme="majorEastAsia" w:hAnsi="Arial" w:cs="Arial"/>
      <w:b/>
      <w:bCs/>
      <w:noProof/>
      <w:sz w:val="24"/>
      <w:szCs w:val="24"/>
    </w:rPr>
  </w:style>
  <w:style w:type="paragraph" w:customStyle="1" w:styleId="Bulletpoints2">
    <w:name w:val="Bullet points 2"/>
    <w:basedOn w:val="Bulletpoints"/>
    <w:link w:val="Bulletpoints2Char"/>
    <w:qFormat/>
    <w:rsid w:val="00155CA1"/>
    <w:pPr>
      <w:numPr>
        <w:numId w:val="3"/>
      </w:numPr>
      <w:ind w:left="357" w:hanging="357"/>
    </w:pPr>
  </w:style>
  <w:style w:type="character" w:customStyle="1" w:styleId="Bulletpoints2Char">
    <w:name w:val="Bullet points 2 Char"/>
    <w:basedOn w:val="BulletpointsChar"/>
    <w:link w:val="Bulletpoints2"/>
    <w:rsid w:val="00155CA1"/>
    <w:rPr>
      <w:rFonts w:ascii="Arial" w:eastAsia="Roboto" w:hAnsi="Arial" w:cs="Arial"/>
      <w:lang w:val="en-US"/>
    </w:rPr>
  </w:style>
  <w:style w:type="paragraph" w:customStyle="1" w:styleId="Subheading1">
    <w:name w:val="Sub heading 1"/>
    <w:basedOn w:val="Heading1"/>
    <w:qFormat/>
    <w:rsid w:val="00A90DAD"/>
    <w:pPr>
      <w:spacing w:before="360" w:after="240"/>
    </w:pPr>
    <w:rPr>
      <w:rFonts w:eastAsia="Malgun Gothic"/>
      <w:bCs w:val="0"/>
      <w:noProof w:val="0"/>
      <w:color w:val="0C818F"/>
      <w:sz w:val="36"/>
      <w:szCs w:val="36"/>
    </w:rPr>
  </w:style>
  <w:style w:type="paragraph" w:customStyle="1" w:styleId="BodyText1">
    <w:name w:val="Body Text1"/>
    <w:basedOn w:val="Normal"/>
    <w:link w:val="bodytextChar0"/>
    <w:qFormat/>
    <w:rsid w:val="00A90DAD"/>
    <w:pPr>
      <w:suppressAutoHyphens/>
      <w:autoSpaceDE w:val="0"/>
      <w:autoSpaceDN w:val="0"/>
      <w:adjustRightInd w:val="0"/>
      <w:spacing w:before="113" w:line="288" w:lineRule="auto"/>
      <w:textAlignment w:val="center"/>
    </w:pPr>
    <w:rPr>
      <w:rFonts w:eastAsia="Calibri"/>
      <w:color w:val="000000"/>
      <w:lang w:val="en-GB"/>
    </w:rPr>
  </w:style>
  <w:style w:type="character" w:customStyle="1" w:styleId="bodytextChar0">
    <w:name w:val="body text Char"/>
    <w:link w:val="BodyText1"/>
    <w:rsid w:val="00A90DAD"/>
    <w:rPr>
      <w:rFonts w:ascii="Times New Roman" w:eastAsia="Calibri" w:hAnsi="Times New Roman" w:cs="Times New Roman"/>
      <w:color w:val="000000"/>
      <w:sz w:val="24"/>
      <w:szCs w:val="24"/>
      <w:lang w:val="en-GB" w:eastAsia="en-NZ"/>
    </w:rPr>
  </w:style>
  <w:style w:type="paragraph" w:customStyle="1" w:styleId="BIGBOARD1">
    <w:name w:val="BIG BOARD 1"/>
    <w:basedOn w:val="Normal"/>
    <w:link w:val="BIGBOARD1Char"/>
    <w:qFormat/>
    <w:rsid w:val="00A90DAD"/>
    <w:pPr>
      <w:keepNext/>
      <w:ind w:left="360" w:hanging="360"/>
      <w:jc w:val="both"/>
      <w:outlineLvl w:val="0"/>
    </w:pPr>
    <w:rPr>
      <w:rFonts w:ascii="Calibri" w:hAnsi="Calibri"/>
      <w:b/>
      <w:sz w:val="28"/>
      <w:lang w:val="en-GB"/>
    </w:rPr>
  </w:style>
  <w:style w:type="character" w:customStyle="1" w:styleId="BIGBOARD1Char">
    <w:name w:val="BIG BOARD 1 Char"/>
    <w:basedOn w:val="DefaultParagraphFont"/>
    <w:link w:val="BIGBOARD1"/>
    <w:rsid w:val="00A90DAD"/>
    <w:rPr>
      <w:rFonts w:ascii="Calibri" w:eastAsia="Times New Roman" w:hAnsi="Calibri" w:cs="Times New Roman"/>
      <w:b/>
      <w:sz w:val="28"/>
      <w:szCs w:val="24"/>
      <w:lang w:val="en-GB" w:eastAsia="en-NZ"/>
    </w:rPr>
  </w:style>
  <w:style w:type="paragraph" w:customStyle="1" w:styleId="Tableheading-reverse">
    <w:name w:val="Table heading - reverse"/>
    <w:basedOn w:val="Heading2"/>
    <w:link w:val="Tableheading-reverseChar"/>
    <w:qFormat/>
    <w:rsid w:val="00731BBB"/>
    <w:pPr>
      <w:spacing w:after="60"/>
    </w:pPr>
    <w:rPr>
      <w:rFonts w:eastAsia="Malgun Gothic"/>
      <w:bCs w:val="0"/>
      <w:noProof w:val="0"/>
      <w:color w:val="auto"/>
      <w:sz w:val="28"/>
      <w:szCs w:val="28"/>
    </w:rPr>
  </w:style>
  <w:style w:type="character" w:customStyle="1" w:styleId="Tableheading-reverseChar">
    <w:name w:val="Table heading - reverse Char"/>
    <w:link w:val="Tableheading-reverse"/>
    <w:rsid w:val="00731BBB"/>
    <w:rPr>
      <w:rFonts w:ascii="Arial" w:eastAsia="Malgun Gothic" w:hAnsi="Arial" w:cs="Arial"/>
      <w:b/>
      <w:sz w:val="28"/>
      <w:szCs w:val="28"/>
    </w:rPr>
  </w:style>
  <w:style w:type="paragraph" w:styleId="Caption">
    <w:name w:val="caption"/>
    <w:basedOn w:val="Normal"/>
    <w:next w:val="Normal"/>
    <w:uiPriority w:val="35"/>
    <w:unhideWhenUsed/>
    <w:qFormat/>
    <w:rsid w:val="000B3B63"/>
    <w:pPr>
      <w:spacing w:after="200"/>
    </w:pPr>
    <w:rPr>
      <w:rFonts w:ascii="Calibri" w:eastAsia="Calibri" w:hAnsi="Calibri"/>
      <w:i/>
      <w:iCs/>
      <w:color w:val="15284C" w:themeColor="text2"/>
      <w:sz w:val="18"/>
      <w:szCs w:val="18"/>
    </w:rPr>
  </w:style>
  <w:style w:type="table" w:styleId="ListTable3-Accent2">
    <w:name w:val="List Table 3 Accent 2"/>
    <w:basedOn w:val="TableNormal"/>
    <w:uiPriority w:val="48"/>
    <w:rsid w:val="009B35FB"/>
    <w:pPr>
      <w:spacing w:after="0" w:line="240" w:lineRule="auto"/>
    </w:pPr>
    <w:rPr>
      <w:rFonts w:ascii="Calibri" w:eastAsia="Calibri" w:hAnsi="Calibri" w:cs="Times New Roman"/>
      <w:sz w:val="20"/>
      <w:szCs w:val="20"/>
      <w:lang w:eastAsia="en-NZ"/>
    </w:rPr>
    <w:tblPr>
      <w:tblStyleRowBandSize w:val="1"/>
      <w:tblStyleColBandSize w:val="1"/>
      <w:tblBorders>
        <w:top w:val="single" w:sz="4" w:space="0" w:color="003399" w:themeColor="accent2"/>
        <w:left w:val="single" w:sz="4" w:space="0" w:color="003399" w:themeColor="accent2"/>
        <w:bottom w:val="single" w:sz="4" w:space="0" w:color="003399" w:themeColor="accent2"/>
        <w:right w:val="single" w:sz="4" w:space="0" w:color="003399" w:themeColor="accent2"/>
      </w:tblBorders>
    </w:tblPr>
    <w:tblStylePr w:type="firstRow">
      <w:rPr>
        <w:b/>
        <w:bCs/>
        <w:color w:val="F6F4EC" w:themeColor="background1"/>
      </w:rPr>
      <w:tblPr/>
      <w:tcPr>
        <w:shd w:val="clear" w:color="auto" w:fill="003399" w:themeFill="accent2"/>
      </w:tcPr>
    </w:tblStylePr>
    <w:tblStylePr w:type="lastRow">
      <w:rPr>
        <w:b/>
        <w:bCs/>
      </w:rPr>
      <w:tblPr/>
      <w:tcPr>
        <w:tcBorders>
          <w:top w:val="double" w:sz="4" w:space="0" w:color="003399" w:themeColor="accent2"/>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03399" w:themeColor="accent2"/>
          <w:right w:val="single" w:sz="4" w:space="0" w:color="003399" w:themeColor="accent2"/>
        </w:tcBorders>
      </w:tcPr>
    </w:tblStylePr>
    <w:tblStylePr w:type="band1Horz">
      <w:tblPr/>
      <w:tcPr>
        <w:tcBorders>
          <w:top w:val="single" w:sz="4" w:space="0" w:color="003399" w:themeColor="accent2"/>
          <w:bottom w:val="single" w:sz="4" w:space="0" w:color="00339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99" w:themeColor="accent2"/>
          <w:left w:val="nil"/>
        </w:tcBorders>
      </w:tcPr>
    </w:tblStylePr>
    <w:tblStylePr w:type="swCell">
      <w:tblPr/>
      <w:tcPr>
        <w:tcBorders>
          <w:top w:val="double" w:sz="4" w:space="0" w:color="003399" w:themeColor="accent2"/>
          <w:right w:val="nil"/>
        </w:tcBorders>
      </w:tcPr>
    </w:tblStylePr>
  </w:style>
  <w:style w:type="table" w:customStyle="1" w:styleId="TableGrid1">
    <w:name w:val="Table Grid1"/>
    <w:basedOn w:val="TableNormal"/>
    <w:next w:val="TableGrid"/>
    <w:uiPriority w:val="59"/>
    <w:rsid w:val="0075744C"/>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744C"/>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40E6B"/>
  </w:style>
  <w:style w:type="paragraph" w:styleId="Revision">
    <w:name w:val="Revision"/>
    <w:hidden/>
    <w:uiPriority w:val="99"/>
    <w:semiHidden/>
    <w:rsid w:val="00946982"/>
    <w:pPr>
      <w:spacing w:after="0" w:line="240" w:lineRule="auto"/>
    </w:pPr>
    <w:rPr>
      <w:rFonts w:ascii="Arial" w:eastAsia="Roboto" w:hAnsi="Arial" w:cs="Arial"/>
      <w:lang w:val="en-US"/>
    </w:rPr>
  </w:style>
  <w:style w:type="table" w:styleId="ListTable3-Accent5">
    <w:name w:val="List Table 3 Accent 5"/>
    <w:basedOn w:val="TableNormal"/>
    <w:uiPriority w:val="48"/>
    <w:rsid w:val="00772DB1"/>
    <w:pPr>
      <w:spacing w:after="0" w:line="240" w:lineRule="auto"/>
    </w:pPr>
    <w:rPr>
      <w:rFonts w:ascii="Calibri" w:eastAsia="Calibri" w:hAnsi="Calibri" w:cs="Times New Roman"/>
      <w:sz w:val="20"/>
      <w:szCs w:val="20"/>
      <w:lang w:eastAsia="en-NZ"/>
    </w:rPr>
    <w:tblPr>
      <w:tblStyleRowBandSize w:val="1"/>
      <w:tblStyleColBandSize w:val="1"/>
      <w:tblBorders>
        <w:top w:val="single" w:sz="4" w:space="0" w:color="15284C" w:themeColor="accent5"/>
        <w:left w:val="single" w:sz="4" w:space="0" w:color="15284C" w:themeColor="accent5"/>
        <w:bottom w:val="single" w:sz="4" w:space="0" w:color="15284C" w:themeColor="accent5"/>
        <w:right w:val="single" w:sz="4" w:space="0" w:color="15284C" w:themeColor="accent5"/>
      </w:tblBorders>
    </w:tblPr>
    <w:tblStylePr w:type="firstRow">
      <w:rPr>
        <w:b/>
        <w:bCs/>
        <w:color w:val="F6F4EC" w:themeColor="background1"/>
      </w:rPr>
      <w:tblPr/>
      <w:tcPr>
        <w:shd w:val="clear" w:color="auto" w:fill="15284C" w:themeFill="accent5"/>
      </w:tcPr>
    </w:tblStylePr>
    <w:tblStylePr w:type="lastRow">
      <w:rPr>
        <w:b/>
        <w:bCs/>
      </w:rPr>
      <w:tblPr/>
      <w:tcPr>
        <w:tcBorders>
          <w:top w:val="double" w:sz="4" w:space="0" w:color="15284C" w:themeColor="accent5"/>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accent5"/>
          <w:right w:val="single" w:sz="4" w:space="0" w:color="15284C" w:themeColor="accent5"/>
        </w:tcBorders>
      </w:tcPr>
    </w:tblStylePr>
    <w:tblStylePr w:type="band1Horz">
      <w:tblPr/>
      <w:tcPr>
        <w:tcBorders>
          <w:top w:val="single" w:sz="4" w:space="0" w:color="15284C" w:themeColor="accent5"/>
          <w:bottom w:val="single" w:sz="4" w:space="0" w:color="1528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accent5"/>
          <w:left w:val="nil"/>
        </w:tcBorders>
      </w:tcPr>
    </w:tblStylePr>
    <w:tblStylePr w:type="swCell">
      <w:tblPr/>
      <w:tcPr>
        <w:tcBorders>
          <w:top w:val="double" w:sz="4" w:space="0" w:color="15284C" w:themeColor="accent5"/>
          <w:right w:val="nil"/>
        </w:tcBorders>
      </w:tcPr>
    </w:tblStylePr>
  </w:style>
  <w:style w:type="table" w:customStyle="1" w:styleId="TableGrid3">
    <w:name w:val="Table Grid3"/>
    <w:basedOn w:val="TableNormal"/>
    <w:next w:val="TableGrid"/>
    <w:uiPriority w:val="59"/>
    <w:rsid w:val="00995400"/>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95400"/>
    <w:rPr>
      <w:color w:val="605E5C"/>
      <w:shd w:val="clear" w:color="auto" w:fill="E1DFDD"/>
    </w:rPr>
  </w:style>
  <w:style w:type="character" w:customStyle="1" w:styleId="Mention1">
    <w:name w:val="Mention1"/>
    <w:basedOn w:val="DefaultParagraphFont"/>
    <w:uiPriority w:val="99"/>
    <w:unhideWhenUsed/>
    <w:rsid w:val="00F5651F"/>
    <w:rPr>
      <w:color w:val="2B579A"/>
      <w:shd w:val="clear" w:color="auto" w:fill="E1DFDD"/>
    </w:rPr>
  </w:style>
  <w:style w:type="paragraph" w:styleId="TableofFigures">
    <w:name w:val="table of figures"/>
    <w:basedOn w:val="Normal"/>
    <w:next w:val="Normal"/>
    <w:uiPriority w:val="99"/>
    <w:unhideWhenUsed/>
    <w:rsid w:val="00B7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63806">
      <w:bodyDiv w:val="1"/>
      <w:marLeft w:val="0"/>
      <w:marRight w:val="0"/>
      <w:marTop w:val="0"/>
      <w:marBottom w:val="0"/>
      <w:divBdr>
        <w:top w:val="none" w:sz="0" w:space="0" w:color="auto"/>
        <w:left w:val="none" w:sz="0" w:space="0" w:color="auto"/>
        <w:bottom w:val="none" w:sz="0" w:space="0" w:color="auto"/>
        <w:right w:val="none" w:sz="0" w:space="0" w:color="auto"/>
      </w:divBdr>
    </w:div>
    <w:div w:id="132332476">
      <w:bodyDiv w:val="1"/>
      <w:marLeft w:val="0"/>
      <w:marRight w:val="0"/>
      <w:marTop w:val="0"/>
      <w:marBottom w:val="0"/>
      <w:divBdr>
        <w:top w:val="none" w:sz="0" w:space="0" w:color="auto"/>
        <w:left w:val="none" w:sz="0" w:space="0" w:color="auto"/>
        <w:bottom w:val="none" w:sz="0" w:space="0" w:color="auto"/>
        <w:right w:val="none" w:sz="0" w:space="0" w:color="auto"/>
      </w:divBdr>
    </w:div>
    <w:div w:id="162011942">
      <w:bodyDiv w:val="1"/>
      <w:marLeft w:val="0"/>
      <w:marRight w:val="0"/>
      <w:marTop w:val="0"/>
      <w:marBottom w:val="0"/>
      <w:divBdr>
        <w:top w:val="none" w:sz="0" w:space="0" w:color="auto"/>
        <w:left w:val="none" w:sz="0" w:space="0" w:color="auto"/>
        <w:bottom w:val="none" w:sz="0" w:space="0" w:color="auto"/>
        <w:right w:val="none" w:sz="0" w:space="0" w:color="auto"/>
      </w:divBdr>
    </w:div>
    <w:div w:id="246502303">
      <w:bodyDiv w:val="1"/>
      <w:marLeft w:val="0"/>
      <w:marRight w:val="0"/>
      <w:marTop w:val="0"/>
      <w:marBottom w:val="0"/>
      <w:divBdr>
        <w:top w:val="none" w:sz="0" w:space="0" w:color="auto"/>
        <w:left w:val="none" w:sz="0" w:space="0" w:color="auto"/>
        <w:bottom w:val="none" w:sz="0" w:space="0" w:color="auto"/>
        <w:right w:val="none" w:sz="0" w:space="0" w:color="auto"/>
      </w:divBdr>
    </w:div>
    <w:div w:id="288630916">
      <w:bodyDiv w:val="1"/>
      <w:marLeft w:val="0"/>
      <w:marRight w:val="0"/>
      <w:marTop w:val="0"/>
      <w:marBottom w:val="0"/>
      <w:divBdr>
        <w:top w:val="none" w:sz="0" w:space="0" w:color="auto"/>
        <w:left w:val="none" w:sz="0" w:space="0" w:color="auto"/>
        <w:bottom w:val="none" w:sz="0" w:space="0" w:color="auto"/>
        <w:right w:val="none" w:sz="0" w:space="0" w:color="auto"/>
      </w:divBdr>
    </w:div>
    <w:div w:id="306475625">
      <w:bodyDiv w:val="1"/>
      <w:marLeft w:val="0"/>
      <w:marRight w:val="0"/>
      <w:marTop w:val="0"/>
      <w:marBottom w:val="0"/>
      <w:divBdr>
        <w:top w:val="none" w:sz="0" w:space="0" w:color="auto"/>
        <w:left w:val="none" w:sz="0" w:space="0" w:color="auto"/>
        <w:bottom w:val="none" w:sz="0" w:space="0" w:color="auto"/>
        <w:right w:val="none" w:sz="0" w:space="0" w:color="auto"/>
      </w:divBdr>
    </w:div>
    <w:div w:id="375155619">
      <w:bodyDiv w:val="1"/>
      <w:marLeft w:val="0"/>
      <w:marRight w:val="0"/>
      <w:marTop w:val="0"/>
      <w:marBottom w:val="0"/>
      <w:divBdr>
        <w:top w:val="none" w:sz="0" w:space="0" w:color="auto"/>
        <w:left w:val="none" w:sz="0" w:space="0" w:color="auto"/>
        <w:bottom w:val="none" w:sz="0" w:space="0" w:color="auto"/>
        <w:right w:val="none" w:sz="0" w:space="0" w:color="auto"/>
      </w:divBdr>
    </w:div>
    <w:div w:id="398093914">
      <w:bodyDiv w:val="1"/>
      <w:marLeft w:val="0"/>
      <w:marRight w:val="0"/>
      <w:marTop w:val="0"/>
      <w:marBottom w:val="0"/>
      <w:divBdr>
        <w:top w:val="none" w:sz="0" w:space="0" w:color="auto"/>
        <w:left w:val="none" w:sz="0" w:space="0" w:color="auto"/>
        <w:bottom w:val="none" w:sz="0" w:space="0" w:color="auto"/>
        <w:right w:val="none" w:sz="0" w:space="0" w:color="auto"/>
      </w:divBdr>
    </w:div>
    <w:div w:id="433936758">
      <w:bodyDiv w:val="1"/>
      <w:marLeft w:val="0"/>
      <w:marRight w:val="0"/>
      <w:marTop w:val="0"/>
      <w:marBottom w:val="0"/>
      <w:divBdr>
        <w:top w:val="none" w:sz="0" w:space="0" w:color="auto"/>
        <w:left w:val="none" w:sz="0" w:space="0" w:color="auto"/>
        <w:bottom w:val="none" w:sz="0" w:space="0" w:color="auto"/>
        <w:right w:val="none" w:sz="0" w:space="0" w:color="auto"/>
      </w:divBdr>
    </w:div>
    <w:div w:id="442655049">
      <w:bodyDiv w:val="1"/>
      <w:marLeft w:val="0"/>
      <w:marRight w:val="0"/>
      <w:marTop w:val="0"/>
      <w:marBottom w:val="0"/>
      <w:divBdr>
        <w:top w:val="none" w:sz="0" w:space="0" w:color="auto"/>
        <w:left w:val="none" w:sz="0" w:space="0" w:color="auto"/>
        <w:bottom w:val="none" w:sz="0" w:space="0" w:color="auto"/>
        <w:right w:val="none" w:sz="0" w:space="0" w:color="auto"/>
      </w:divBdr>
    </w:div>
    <w:div w:id="443423276">
      <w:bodyDiv w:val="1"/>
      <w:marLeft w:val="0"/>
      <w:marRight w:val="0"/>
      <w:marTop w:val="0"/>
      <w:marBottom w:val="0"/>
      <w:divBdr>
        <w:top w:val="none" w:sz="0" w:space="0" w:color="auto"/>
        <w:left w:val="none" w:sz="0" w:space="0" w:color="auto"/>
        <w:bottom w:val="none" w:sz="0" w:space="0" w:color="auto"/>
        <w:right w:val="none" w:sz="0" w:space="0" w:color="auto"/>
      </w:divBdr>
    </w:div>
    <w:div w:id="465899373">
      <w:bodyDiv w:val="1"/>
      <w:marLeft w:val="0"/>
      <w:marRight w:val="0"/>
      <w:marTop w:val="0"/>
      <w:marBottom w:val="0"/>
      <w:divBdr>
        <w:top w:val="none" w:sz="0" w:space="0" w:color="auto"/>
        <w:left w:val="none" w:sz="0" w:space="0" w:color="auto"/>
        <w:bottom w:val="none" w:sz="0" w:space="0" w:color="auto"/>
        <w:right w:val="none" w:sz="0" w:space="0" w:color="auto"/>
      </w:divBdr>
    </w:div>
    <w:div w:id="467629189">
      <w:bodyDiv w:val="1"/>
      <w:marLeft w:val="0"/>
      <w:marRight w:val="0"/>
      <w:marTop w:val="0"/>
      <w:marBottom w:val="0"/>
      <w:divBdr>
        <w:top w:val="none" w:sz="0" w:space="0" w:color="auto"/>
        <w:left w:val="none" w:sz="0" w:space="0" w:color="auto"/>
        <w:bottom w:val="none" w:sz="0" w:space="0" w:color="auto"/>
        <w:right w:val="none" w:sz="0" w:space="0" w:color="auto"/>
      </w:divBdr>
    </w:div>
    <w:div w:id="490414943">
      <w:bodyDiv w:val="1"/>
      <w:marLeft w:val="0"/>
      <w:marRight w:val="0"/>
      <w:marTop w:val="0"/>
      <w:marBottom w:val="0"/>
      <w:divBdr>
        <w:top w:val="none" w:sz="0" w:space="0" w:color="auto"/>
        <w:left w:val="none" w:sz="0" w:space="0" w:color="auto"/>
        <w:bottom w:val="none" w:sz="0" w:space="0" w:color="auto"/>
        <w:right w:val="none" w:sz="0" w:space="0" w:color="auto"/>
      </w:divBdr>
    </w:div>
    <w:div w:id="557589092">
      <w:bodyDiv w:val="1"/>
      <w:marLeft w:val="0"/>
      <w:marRight w:val="0"/>
      <w:marTop w:val="0"/>
      <w:marBottom w:val="0"/>
      <w:divBdr>
        <w:top w:val="none" w:sz="0" w:space="0" w:color="auto"/>
        <w:left w:val="none" w:sz="0" w:space="0" w:color="auto"/>
        <w:bottom w:val="none" w:sz="0" w:space="0" w:color="auto"/>
        <w:right w:val="none" w:sz="0" w:space="0" w:color="auto"/>
      </w:divBdr>
    </w:div>
    <w:div w:id="577325163">
      <w:bodyDiv w:val="1"/>
      <w:marLeft w:val="0"/>
      <w:marRight w:val="0"/>
      <w:marTop w:val="0"/>
      <w:marBottom w:val="0"/>
      <w:divBdr>
        <w:top w:val="none" w:sz="0" w:space="0" w:color="auto"/>
        <w:left w:val="none" w:sz="0" w:space="0" w:color="auto"/>
        <w:bottom w:val="none" w:sz="0" w:space="0" w:color="auto"/>
        <w:right w:val="none" w:sz="0" w:space="0" w:color="auto"/>
      </w:divBdr>
    </w:div>
    <w:div w:id="606888186">
      <w:bodyDiv w:val="1"/>
      <w:marLeft w:val="0"/>
      <w:marRight w:val="0"/>
      <w:marTop w:val="0"/>
      <w:marBottom w:val="0"/>
      <w:divBdr>
        <w:top w:val="none" w:sz="0" w:space="0" w:color="auto"/>
        <w:left w:val="none" w:sz="0" w:space="0" w:color="auto"/>
        <w:bottom w:val="none" w:sz="0" w:space="0" w:color="auto"/>
        <w:right w:val="none" w:sz="0" w:space="0" w:color="auto"/>
      </w:divBdr>
    </w:div>
    <w:div w:id="620036430">
      <w:bodyDiv w:val="1"/>
      <w:marLeft w:val="0"/>
      <w:marRight w:val="0"/>
      <w:marTop w:val="0"/>
      <w:marBottom w:val="0"/>
      <w:divBdr>
        <w:top w:val="none" w:sz="0" w:space="0" w:color="auto"/>
        <w:left w:val="none" w:sz="0" w:space="0" w:color="auto"/>
        <w:bottom w:val="none" w:sz="0" w:space="0" w:color="auto"/>
        <w:right w:val="none" w:sz="0" w:space="0" w:color="auto"/>
      </w:divBdr>
    </w:div>
    <w:div w:id="624626586">
      <w:bodyDiv w:val="1"/>
      <w:marLeft w:val="0"/>
      <w:marRight w:val="0"/>
      <w:marTop w:val="0"/>
      <w:marBottom w:val="0"/>
      <w:divBdr>
        <w:top w:val="none" w:sz="0" w:space="0" w:color="auto"/>
        <w:left w:val="none" w:sz="0" w:space="0" w:color="auto"/>
        <w:bottom w:val="none" w:sz="0" w:space="0" w:color="auto"/>
        <w:right w:val="none" w:sz="0" w:space="0" w:color="auto"/>
      </w:divBdr>
    </w:div>
    <w:div w:id="629553118">
      <w:bodyDiv w:val="1"/>
      <w:marLeft w:val="0"/>
      <w:marRight w:val="0"/>
      <w:marTop w:val="0"/>
      <w:marBottom w:val="0"/>
      <w:divBdr>
        <w:top w:val="none" w:sz="0" w:space="0" w:color="auto"/>
        <w:left w:val="none" w:sz="0" w:space="0" w:color="auto"/>
        <w:bottom w:val="none" w:sz="0" w:space="0" w:color="auto"/>
        <w:right w:val="none" w:sz="0" w:space="0" w:color="auto"/>
      </w:divBdr>
    </w:div>
    <w:div w:id="651301450">
      <w:bodyDiv w:val="1"/>
      <w:marLeft w:val="0"/>
      <w:marRight w:val="0"/>
      <w:marTop w:val="0"/>
      <w:marBottom w:val="0"/>
      <w:divBdr>
        <w:top w:val="none" w:sz="0" w:space="0" w:color="auto"/>
        <w:left w:val="none" w:sz="0" w:space="0" w:color="auto"/>
        <w:bottom w:val="none" w:sz="0" w:space="0" w:color="auto"/>
        <w:right w:val="none" w:sz="0" w:space="0" w:color="auto"/>
      </w:divBdr>
    </w:div>
    <w:div w:id="679771948">
      <w:bodyDiv w:val="1"/>
      <w:marLeft w:val="0"/>
      <w:marRight w:val="0"/>
      <w:marTop w:val="0"/>
      <w:marBottom w:val="0"/>
      <w:divBdr>
        <w:top w:val="none" w:sz="0" w:space="0" w:color="auto"/>
        <w:left w:val="none" w:sz="0" w:space="0" w:color="auto"/>
        <w:bottom w:val="none" w:sz="0" w:space="0" w:color="auto"/>
        <w:right w:val="none" w:sz="0" w:space="0" w:color="auto"/>
      </w:divBdr>
    </w:div>
    <w:div w:id="707024028">
      <w:bodyDiv w:val="1"/>
      <w:marLeft w:val="0"/>
      <w:marRight w:val="0"/>
      <w:marTop w:val="0"/>
      <w:marBottom w:val="0"/>
      <w:divBdr>
        <w:top w:val="none" w:sz="0" w:space="0" w:color="auto"/>
        <w:left w:val="none" w:sz="0" w:space="0" w:color="auto"/>
        <w:bottom w:val="none" w:sz="0" w:space="0" w:color="auto"/>
        <w:right w:val="none" w:sz="0" w:space="0" w:color="auto"/>
      </w:divBdr>
    </w:div>
    <w:div w:id="722294614">
      <w:bodyDiv w:val="1"/>
      <w:marLeft w:val="0"/>
      <w:marRight w:val="0"/>
      <w:marTop w:val="0"/>
      <w:marBottom w:val="0"/>
      <w:divBdr>
        <w:top w:val="none" w:sz="0" w:space="0" w:color="auto"/>
        <w:left w:val="none" w:sz="0" w:space="0" w:color="auto"/>
        <w:bottom w:val="none" w:sz="0" w:space="0" w:color="auto"/>
        <w:right w:val="none" w:sz="0" w:space="0" w:color="auto"/>
      </w:divBdr>
    </w:div>
    <w:div w:id="729111806">
      <w:bodyDiv w:val="1"/>
      <w:marLeft w:val="0"/>
      <w:marRight w:val="0"/>
      <w:marTop w:val="0"/>
      <w:marBottom w:val="0"/>
      <w:divBdr>
        <w:top w:val="none" w:sz="0" w:space="0" w:color="auto"/>
        <w:left w:val="none" w:sz="0" w:space="0" w:color="auto"/>
        <w:bottom w:val="none" w:sz="0" w:space="0" w:color="auto"/>
        <w:right w:val="none" w:sz="0" w:space="0" w:color="auto"/>
      </w:divBdr>
    </w:div>
    <w:div w:id="808282858">
      <w:bodyDiv w:val="1"/>
      <w:marLeft w:val="0"/>
      <w:marRight w:val="0"/>
      <w:marTop w:val="0"/>
      <w:marBottom w:val="0"/>
      <w:divBdr>
        <w:top w:val="none" w:sz="0" w:space="0" w:color="auto"/>
        <w:left w:val="none" w:sz="0" w:space="0" w:color="auto"/>
        <w:bottom w:val="none" w:sz="0" w:space="0" w:color="auto"/>
        <w:right w:val="none" w:sz="0" w:space="0" w:color="auto"/>
      </w:divBdr>
    </w:div>
    <w:div w:id="824200487">
      <w:bodyDiv w:val="1"/>
      <w:marLeft w:val="0"/>
      <w:marRight w:val="0"/>
      <w:marTop w:val="0"/>
      <w:marBottom w:val="0"/>
      <w:divBdr>
        <w:top w:val="none" w:sz="0" w:space="0" w:color="auto"/>
        <w:left w:val="none" w:sz="0" w:space="0" w:color="auto"/>
        <w:bottom w:val="none" w:sz="0" w:space="0" w:color="auto"/>
        <w:right w:val="none" w:sz="0" w:space="0" w:color="auto"/>
      </w:divBdr>
    </w:div>
    <w:div w:id="891309845">
      <w:bodyDiv w:val="1"/>
      <w:marLeft w:val="0"/>
      <w:marRight w:val="0"/>
      <w:marTop w:val="0"/>
      <w:marBottom w:val="0"/>
      <w:divBdr>
        <w:top w:val="none" w:sz="0" w:space="0" w:color="auto"/>
        <w:left w:val="none" w:sz="0" w:space="0" w:color="auto"/>
        <w:bottom w:val="none" w:sz="0" w:space="0" w:color="auto"/>
        <w:right w:val="none" w:sz="0" w:space="0" w:color="auto"/>
      </w:divBdr>
    </w:div>
    <w:div w:id="923033482">
      <w:bodyDiv w:val="1"/>
      <w:marLeft w:val="0"/>
      <w:marRight w:val="0"/>
      <w:marTop w:val="0"/>
      <w:marBottom w:val="0"/>
      <w:divBdr>
        <w:top w:val="none" w:sz="0" w:space="0" w:color="auto"/>
        <w:left w:val="none" w:sz="0" w:space="0" w:color="auto"/>
        <w:bottom w:val="none" w:sz="0" w:space="0" w:color="auto"/>
        <w:right w:val="none" w:sz="0" w:space="0" w:color="auto"/>
      </w:divBdr>
    </w:div>
    <w:div w:id="925190008">
      <w:bodyDiv w:val="1"/>
      <w:marLeft w:val="0"/>
      <w:marRight w:val="0"/>
      <w:marTop w:val="0"/>
      <w:marBottom w:val="0"/>
      <w:divBdr>
        <w:top w:val="none" w:sz="0" w:space="0" w:color="auto"/>
        <w:left w:val="none" w:sz="0" w:space="0" w:color="auto"/>
        <w:bottom w:val="none" w:sz="0" w:space="0" w:color="auto"/>
        <w:right w:val="none" w:sz="0" w:space="0" w:color="auto"/>
      </w:divBdr>
    </w:div>
    <w:div w:id="927694539">
      <w:bodyDiv w:val="1"/>
      <w:marLeft w:val="0"/>
      <w:marRight w:val="0"/>
      <w:marTop w:val="0"/>
      <w:marBottom w:val="0"/>
      <w:divBdr>
        <w:top w:val="none" w:sz="0" w:space="0" w:color="auto"/>
        <w:left w:val="none" w:sz="0" w:space="0" w:color="auto"/>
        <w:bottom w:val="none" w:sz="0" w:space="0" w:color="auto"/>
        <w:right w:val="none" w:sz="0" w:space="0" w:color="auto"/>
      </w:divBdr>
    </w:div>
    <w:div w:id="948468975">
      <w:bodyDiv w:val="1"/>
      <w:marLeft w:val="0"/>
      <w:marRight w:val="0"/>
      <w:marTop w:val="0"/>
      <w:marBottom w:val="0"/>
      <w:divBdr>
        <w:top w:val="none" w:sz="0" w:space="0" w:color="auto"/>
        <w:left w:val="none" w:sz="0" w:space="0" w:color="auto"/>
        <w:bottom w:val="none" w:sz="0" w:space="0" w:color="auto"/>
        <w:right w:val="none" w:sz="0" w:space="0" w:color="auto"/>
      </w:divBdr>
    </w:div>
    <w:div w:id="980689630">
      <w:bodyDiv w:val="1"/>
      <w:marLeft w:val="0"/>
      <w:marRight w:val="0"/>
      <w:marTop w:val="0"/>
      <w:marBottom w:val="0"/>
      <w:divBdr>
        <w:top w:val="none" w:sz="0" w:space="0" w:color="auto"/>
        <w:left w:val="none" w:sz="0" w:space="0" w:color="auto"/>
        <w:bottom w:val="none" w:sz="0" w:space="0" w:color="auto"/>
        <w:right w:val="none" w:sz="0" w:space="0" w:color="auto"/>
      </w:divBdr>
    </w:div>
    <w:div w:id="980961425">
      <w:bodyDiv w:val="1"/>
      <w:marLeft w:val="0"/>
      <w:marRight w:val="0"/>
      <w:marTop w:val="0"/>
      <w:marBottom w:val="0"/>
      <w:divBdr>
        <w:top w:val="none" w:sz="0" w:space="0" w:color="auto"/>
        <w:left w:val="none" w:sz="0" w:space="0" w:color="auto"/>
        <w:bottom w:val="none" w:sz="0" w:space="0" w:color="auto"/>
        <w:right w:val="none" w:sz="0" w:space="0" w:color="auto"/>
      </w:divBdr>
    </w:div>
    <w:div w:id="1022048839">
      <w:bodyDiv w:val="1"/>
      <w:marLeft w:val="0"/>
      <w:marRight w:val="0"/>
      <w:marTop w:val="0"/>
      <w:marBottom w:val="0"/>
      <w:divBdr>
        <w:top w:val="none" w:sz="0" w:space="0" w:color="auto"/>
        <w:left w:val="none" w:sz="0" w:space="0" w:color="auto"/>
        <w:bottom w:val="none" w:sz="0" w:space="0" w:color="auto"/>
        <w:right w:val="none" w:sz="0" w:space="0" w:color="auto"/>
      </w:divBdr>
    </w:div>
    <w:div w:id="1046760843">
      <w:bodyDiv w:val="1"/>
      <w:marLeft w:val="0"/>
      <w:marRight w:val="0"/>
      <w:marTop w:val="0"/>
      <w:marBottom w:val="0"/>
      <w:divBdr>
        <w:top w:val="none" w:sz="0" w:space="0" w:color="auto"/>
        <w:left w:val="none" w:sz="0" w:space="0" w:color="auto"/>
        <w:bottom w:val="none" w:sz="0" w:space="0" w:color="auto"/>
        <w:right w:val="none" w:sz="0" w:space="0" w:color="auto"/>
      </w:divBdr>
    </w:div>
    <w:div w:id="1049845643">
      <w:bodyDiv w:val="1"/>
      <w:marLeft w:val="0"/>
      <w:marRight w:val="0"/>
      <w:marTop w:val="0"/>
      <w:marBottom w:val="0"/>
      <w:divBdr>
        <w:top w:val="none" w:sz="0" w:space="0" w:color="auto"/>
        <w:left w:val="none" w:sz="0" w:space="0" w:color="auto"/>
        <w:bottom w:val="none" w:sz="0" w:space="0" w:color="auto"/>
        <w:right w:val="none" w:sz="0" w:space="0" w:color="auto"/>
      </w:divBdr>
    </w:div>
    <w:div w:id="1079641314">
      <w:bodyDiv w:val="1"/>
      <w:marLeft w:val="0"/>
      <w:marRight w:val="0"/>
      <w:marTop w:val="0"/>
      <w:marBottom w:val="0"/>
      <w:divBdr>
        <w:top w:val="none" w:sz="0" w:space="0" w:color="auto"/>
        <w:left w:val="none" w:sz="0" w:space="0" w:color="auto"/>
        <w:bottom w:val="none" w:sz="0" w:space="0" w:color="auto"/>
        <w:right w:val="none" w:sz="0" w:space="0" w:color="auto"/>
      </w:divBdr>
    </w:div>
    <w:div w:id="1083184337">
      <w:bodyDiv w:val="1"/>
      <w:marLeft w:val="0"/>
      <w:marRight w:val="0"/>
      <w:marTop w:val="0"/>
      <w:marBottom w:val="0"/>
      <w:divBdr>
        <w:top w:val="none" w:sz="0" w:space="0" w:color="auto"/>
        <w:left w:val="none" w:sz="0" w:space="0" w:color="auto"/>
        <w:bottom w:val="none" w:sz="0" w:space="0" w:color="auto"/>
        <w:right w:val="none" w:sz="0" w:space="0" w:color="auto"/>
      </w:divBdr>
    </w:div>
    <w:div w:id="1135828941">
      <w:bodyDiv w:val="1"/>
      <w:marLeft w:val="0"/>
      <w:marRight w:val="0"/>
      <w:marTop w:val="0"/>
      <w:marBottom w:val="0"/>
      <w:divBdr>
        <w:top w:val="none" w:sz="0" w:space="0" w:color="auto"/>
        <w:left w:val="none" w:sz="0" w:space="0" w:color="auto"/>
        <w:bottom w:val="none" w:sz="0" w:space="0" w:color="auto"/>
        <w:right w:val="none" w:sz="0" w:space="0" w:color="auto"/>
      </w:divBdr>
    </w:div>
    <w:div w:id="1163550122">
      <w:bodyDiv w:val="1"/>
      <w:marLeft w:val="0"/>
      <w:marRight w:val="0"/>
      <w:marTop w:val="0"/>
      <w:marBottom w:val="0"/>
      <w:divBdr>
        <w:top w:val="none" w:sz="0" w:space="0" w:color="auto"/>
        <w:left w:val="none" w:sz="0" w:space="0" w:color="auto"/>
        <w:bottom w:val="none" w:sz="0" w:space="0" w:color="auto"/>
        <w:right w:val="none" w:sz="0" w:space="0" w:color="auto"/>
      </w:divBdr>
    </w:div>
    <w:div w:id="1189027892">
      <w:bodyDiv w:val="1"/>
      <w:marLeft w:val="0"/>
      <w:marRight w:val="0"/>
      <w:marTop w:val="0"/>
      <w:marBottom w:val="0"/>
      <w:divBdr>
        <w:top w:val="none" w:sz="0" w:space="0" w:color="auto"/>
        <w:left w:val="none" w:sz="0" w:space="0" w:color="auto"/>
        <w:bottom w:val="none" w:sz="0" w:space="0" w:color="auto"/>
        <w:right w:val="none" w:sz="0" w:space="0" w:color="auto"/>
      </w:divBdr>
    </w:div>
    <w:div w:id="1197767359">
      <w:bodyDiv w:val="1"/>
      <w:marLeft w:val="0"/>
      <w:marRight w:val="0"/>
      <w:marTop w:val="0"/>
      <w:marBottom w:val="0"/>
      <w:divBdr>
        <w:top w:val="none" w:sz="0" w:space="0" w:color="auto"/>
        <w:left w:val="none" w:sz="0" w:space="0" w:color="auto"/>
        <w:bottom w:val="none" w:sz="0" w:space="0" w:color="auto"/>
        <w:right w:val="none" w:sz="0" w:space="0" w:color="auto"/>
      </w:divBdr>
    </w:div>
    <w:div w:id="1206140626">
      <w:bodyDiv w:val="1"/>
      <w:marLeft w:val="0"/>
      <w:marRight w:val="0"/>
      <w:marTop w:val="0"/>
      <w:marBottom w:val="0"/>
      <w:divBdr>
        <w:top w:val="none" w:sz="0" w:space="0" w:color="auto"/>
        <w:left w:val="none" w:sz="0" w:space="0" w:color="auto"/>
        <w:bottom w:val="none" w:sz="0" w:space="0" w:color="auto"/>
        <w:right w:val="none" w:sz="0" w:space="0" w:color="auto"/>
      </w:divBdr>
    </w:div>
    <w:div w:id="1226529722">
      <w:bodyDiv w:val="1"/>
      <w:marLeft w:val="0"/>
      <w:marRight w:val="0"/>
      <w:marTop w:val="0"/>
      <w:marBottom w:val="0"/>
      <w:divBdr>
        <w:top w:val="none" w:sz="0" w:space="0" w:color="auto"/>
        <w:left w:val="none" w:sz="0" w:space="0" w:color="auto"/>
        <w:bottom w:val="none" w:sz="0" w:space="0" w:color="auto"/>
        <w:right w:val="none" w:sz="0" w:space="0" w:color="auto"/>
      </w:divBdr>
    </w:div>
    <w:div w:id="1291549803">
      <w:bodyDiv w:val="1"/>
      <w:marLeft w:val="0"/>
      <w:marRight w:val="0"/>
      <w:marTop w:val="0"/>
      <w:marBottom w:val="0"/>
      <w:divBdr>
        <w:top w:val="none" w:sz="0" w:space="0" w:color="auto"/>
        <w:left w:val="none" w:sz="0" w:space="0" w:color="auto"/>
        <w:bottom w:val="none" w:sz="0" w:space="0" w:color="auto"/>
        <w:right w:val="none" w:sz="0" w:space="0" w:color="auto"/>
      </w:divBdr>
    </w:div>
    <w:div w:id="1293902973">
      <w:bodyDiv w:val="1"/>
      <w:marLeft w:val="0"/>
      <w:marRight w:val="0"/>
      <w:marTop w:val="0"/>
      <w:marBottom w:val="0"/>
      <w:divBdr>
        <w:top w:val="none" w:sz="0" w:space="0" w:color="auto"/>
        <w:left w:val="none" w:sz="0" w:space="0" w:color="auto"/>
        <w:bottom w:val="none" w:sz="0" w:space="0" w:color="auto"/>
        <w:right w:val="none" w:sz="0" w:space="0" w:color="auto"/>
      </w:divBdr>
    </w:div>
    <w:div w:id="1335691683">
      <w:bodyDiv w:val="1"/>
      <w:marLeft w:val="0"/>
      <w:marRight w:val="0"/>
      <w:marTop w:val="0"/>
      <w:marBottom w:val="0"/>
      <w:divBdr>
        <w:top w:val="none" w:sz="0" w:space="0" w:color="auto"/>
        <w:left w:val="none" w:sz="0" w:space="0" w:color="auto"/>
        <w:bottom w:val="none" w:sz="0" w:space="0" w:color="auto"/>
        <w:right w:val="none" w:sz="0" w:space="0" w:color="auto"/>
      </w:divBdr>
    </w:div>
    <w:div w:id="1348562165">
      <w:bodyDiv w:val="1"/>
      <w:marLeft w:val="0"/>
      <w:marRight w:val="0"/>
      <w:marTop w:val="0"/>
      <w:marBottom w:val="0"/>
      <w:divBdr>
        <w:top w:val="none" w:sz="0" w:space="0" w:color="auto"/>
        <w:left w:val="none" w:sz="0" w:space="0" w:color="auto"/>
        <w:bottom w:val="none" w:sz="0" w:space="0" w:color="auto"/>
        <w:right w:val="none" w:sz="0" w:space="0" w:color="auto"/>
      </w:divBdr>
    </w:div>
    <w:div w:id="1351028283">
      <w:bodyDiv w:val="1"/>
      <w:marLeft w:val="0"/>
      <w:marRight w:val="0"/>
      <w:marTop w:val="0"/>
      <w:marBottom w:val="0"/>
      <w:divBdr>
        <w:top w:val="none" w:sz="0" w:space="0" w:color="auto"/>
        <w:left w:val="none" w:sz="0" w:space="0" w:color="auto"/>
        <w:bottom w:val="none" w:sz="0" w:space="0" w:color="auto"/>
        <w:right w:val="none" w:sz="0" w:space="0" w:color="auto"/>
      </w:divBdr>
    </w:div>
    <w:div w:id="1353726483">
      <w:bodyDiv w:val="1"/>
      <w:marLeft w:val="0"/>
      <w:marRight w:val="0"/>
      <w:marTop w:val="0"/>
      <w:marBottom w:val="0"/>
      <w:divBdr>
        <w:top w:val="none" w:sz="0" w:space="0" w:color="auto"/>
        <w:left w:val="none" w:sz="0" w:space="0" w:color="auto"/>
        <w:bottom w:val="none" w:sz="0" w:space="0" w:color="auto"/>
        <w:right w:val="none" w:sz="0" w:space="0" w:color="auto"/>
      </w:divBdr>
    </w:div>
    <w:div w:id="1357316653">
      <w:bodyDiv w:val="1"/>
      <w:marLeft w:val="0"/>
      <w:marRight w:val="0"/>
      <w:marTop w:val="0"/>
      <w:marBottom w:val="0"/>
      <w:divBdr>
        <w:top w:val="none" w:sz="0" w:space="0" w:color="auto"/>
        <w:left w:val="none" w:sz="0" w:space="0" w:color="auto"/>
        <w:bottom w:val="none" w:sz="0" w:space="0" w:color="auto"/>
        <w:right w:val="none" w:sz="0" w:space="0" w:color="auto"/>
      </w:divBdr>
    </w:div>
    <w:div w:id="1397781142">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9614973">
      <w:bodyDiv w:val="1"/>
      <w:marLeft w:val="0"/>
      <w:marRight w:val="0"/>
      <w:marTop w:val="0"/>
      <w:marBottom w:val="0"/>
      <w:divBdr>
        <w:top w:val="none" w:sz="0" w:space="0" w:color="auto"/>
        <w:left w:val="none" w:sz="0" w:space="0" w:color="auto"/>
        <w:bottom w:val="none" w:sz="0" w:space="0" w:color="auto"/>
        <w:right w:val="none" w:sz="0" w:space="0" w:color="auto"/>
      </w:divBdr>
    </w:div>
    <w:div w:id="1416703942">
      <w:bodyDiv w:val="1"/>
      <w:marLeft w:val="0"/>
      <w:marRight w:val="0"/>
      <w:marTop w:val="0"/>
      <w:marBottom w:val="0"/>
      <w:divBdr>
        <w:top w:val="none" w:sz="0" w:space="0" w:color="auto"/>
        <w:left w:val="none" w:sz="0" w:space="0" w:color="auto"/>
        <w:bottom w:val="none" w:sz="0" w:space="0" w:color="auto"/>
        <w:right w:val="none" w:sz="0" w:space="0" w:color="auto"/>
      </w:divBdr>
    </w:div>
    <w:div w:id="1431196668">
      <w:bodyDiv w:val="1"/>
      <w:marLeft w:val="0"/>
      <w:marRight w:val="0"/>
      <w:marTop w:val="0"/>
      <w:marBottom w:val="0"/>
      <w:divBdr>
        <w:top w:val="none" w:sz="0" w:space="0" w:color="auto"/>
        <w:left w:val="none" w:sz="0" w:space="0" w:color="auto"/>
        <w:bottom w:val="none" w:sz="0" w:space="0" w:color="auto"/>
        <w:right w:val="none" w:sz="0" w:space="0" w:color="auto"/>
      </w:divBdr>
    </w:div>
    <w:div w:id="1497377114">
      <w:bodyDiv w:val="1"/>
      <w:marLeft w:val="0"/>
      <w:marRight w:val="0"/>
      <w:marTop w:val="0"/>
      <w:marBottom w:val="0"/>
      <w:divBdr>
        <w:top w:val="none" w:sz="0" w:space="0" w:color="auto"/>
        <w:left w:val="none" w:sz="0" w:space="0" w:color="auto"/>
        <w:bottom w:val="none" w:sz="0" w:space="0" w:color="auto"/>
        <w:right w:val="none" w:sz="0" w:space="0" w:color="auto"/>
      </w:divBdr>
    </w:div>
    <w:div w:id="1581600863">
      <w:bodyDiv w:val="1"/>
      <w:marLeft w:val="0"/>
      <w:marRight w:val="0"/>
      <w:marTop w:val="0"/>
      <w:marBottom w:val="0"/>
      <w:divBdr>
        <w:top w:val="none" w:sz="0" w:space="0" w:color="auto"/>
        <w:left w:val="none" w:sz="0" w:space="0" w:color="auto"/>
        <w:bottom w:val="none" w:sz="0" w:space="0" w:color="auto"/>
        <w:right w:val="none" w:sz="0" w:space="0" w:color="auto"/>
      </w:divBdr>
    </w:div>
    <w:div w:id="1630013053">
      <w:bodyDiv w:val="1"/>
      <w:marLeft w:val="0"/>
      <w:marRight w:val="0"/>
      <w:marTop w:val="0"/>
      <w:marBottom w:val="0"/>
      <w:divBdr>
        <w:top w:val="none" w:sz="0" w:space="0" w:color="auto"/>
        <w:left w:val="none" w:sz="0" w:space="0" w:color="auto"/>
        <w:bottom w:val="none" w:sz="0" w:space="0" w:color="auto"/>
        <w:right w:val="none" w:sz="0" w:space="0" w:color="auto"/>
      </w:divBdr>
    </w:div>
    <w:div w:id="1668360063">
      <w:bodyDiv w:val="1"/>
      <w:marLeft w:val="0"/>
      <w:marRight w:val="0"/>
      <w:marTop w:val="0"/>
      <w:marBottom w:val="0"/>
      <w:divBdr>
        <w:top w:val="none" w:sz="0" w:space="0" w:color="auto"/>
        <w:left w:val="none" w:sz="0" w:space="0" w:color="auto"/>
        <w:bottom w:val="none" w:sz="0" w:space="0" w:color="auto"/>
        <w:right w:val="none" w:sz="0" w:space="0" w:color="auto"/>
      </w:divBdr>
    </w:div>
    <w:div w:id="1689287769">
      <w:bodyDiv w:val="1"/>
      <w:marLeft w:val="0"/>
      <w:marRight w:val="0"/>
      <w:marTop w:val="0"/>
      <w:marBottom w:val="0"/>
      <w:divBdr>
        <w:top w:val="none" w:sz="0" w:space="0" w:color="auto"/>
        <w:left w:val="none" w:sz="0" w:space="0" w:color="auto"/>
        <w:bottom w:val="none" w:sz="0" w:space="0" w:color="auto"/>
        <w:right w:val="none" w:sz="0" w:space="0" w:color="auto"/>
      </w:divBdr>
    </w:div>
    <w:div w:id="1709985473">
      <w:bodyDiv w:val="1"/>
      <w:marLeft w:val="0"/>
      <w:marRight w:val="0"/>
      <w:marTop w:val="0"/>
      <w:marBottom w:val="0"/>
      <w:divBdr>
        <w:top w:val="none" w:sz="0" w:space="0" w:color="auto"/>
        <w:left w:val="none" w:sz="0" w:space="0" w:color="auto"/>
        <w:bottom w:val="none" w:sz="0" w:space="0" w:color="auto"/>
        <w:right w:val="none" w:sz="0" w:space="0" w:color="auto"/>
      </w:divBdr>
    </w:div>
    <w:div w:id="1733507139">
      <w:bodyDiv w:val="1"/>
      <w:marLeft w:val="0"/>
      <w:marRight w:val="0"/>
      <w:marTop w:val="0"/>
      <w:marBottom w:val="0"/>
      <w:divBdr>
        <w:top w:val="none" w:sz="0" w:space="0" w:color="auto"/>
        <w:left w:val="none" w:sz="0" w:space="0" w:color="auto"/>
        <w:bottom w:val="none" w:sz="0" w:space="0" w:color="auto"/>
        <w:right w:val="none" w:sz="0" w:space="0" w:color="auto"/>
      </w:divBdr>
    </w:div>
    <w:div w:id="1742286419">
      <w:bodyDiv w:val="1"/>
      <w:marLeft w:val="0"/>
      <w:marRight w:val="0"/>
      <w:marTop w:val="0"/>
      <w:marBottom w:val="0"/>
      <w:divBdr>
        <w:top w:val="none" w:sz="0" w:space="0" w:color="auto"/>
        <w:left w:val="none" w:sz="0" w:space="0" w:color="auto"/>
        <w:bottom w:val="none" w:sz="0" w:space="0" w:color="auto"/>
        <w:right w:val="none" w:sz="0" w:space="0" w:color="auto"/>
      </w:divBdr>
    </w:div>
    <w:div w:id="1764647386">
      <w:bodyDiv w:val="1"/>
      <w:marLeft w:val="0"/>
      <w:marRight w:val="0"/>
      <w:marTop w:val="0"/>
      <w:marBottom w:val="0"/>
      <w:divBdr>
        <w:top w:val="none" w:sz="0" w:space="0" w:color="auto"/>
        <w:left w:val="none" w:sz="0" w:space="0" w:color="auto"/>
        <w:bottom w:val="none" w:sz="0" w:space="0" w:color="auto"/>
        <w:right w:val="none" w:sz="0" w:space="0" w:color="auto"/>
      </w:divBdr>
    </w:div>
    <w:div w:id="1771657669">
      <w:bodyDiv w:val="1"/>
      <w:marLeft w:val="0"/>
      <w:marRight w:val="0"/>
      <w:marTop w:val="0"/>
      <w:marBottom w:val="0"/>
      <w:divBdr>
        <w:top w:val="none" w:sz="0" w:space="0" w:color="auto"/>
        <w:left w:val="none" w:sz="0" w:space="0" w:color="auto"/>
        <w:bottom w:val="none" w:sz="0" w:space="0" w:color="auto"/>
        <w:right w:val="none" w:sz="0" w:space="0" w:color="auto"/>
      </w:divBdr>
    </w:div>
    <w:div w:id="1783766722">
      <w:bodyDiv w:val="1"/>
      <w:marLeft w:val="0"/>
      <w:marRight w:val="0"/>
      <w:marTop w:val="0"/>
      <w:marBottom w:val="0"/>
      <w:divBdr>
        <w:top w:val="none" w:sz="0" w:space="0" w:color="auto"/>
        <w:left w:val="none" w:sz="0" w:space="0" w:color="auto"/>
        <w:bottom w:val="none" w:sz="0" w:space="0" w:color="auto"/>
        <w:right w:val="none" w:sz="0" w:space="0" w:color="auto"/>
      </w:divBdr>
      <w:divsChild>
        <w:div w:id="2128037228">
          <w:marLeft w:val="432"/>
          <w:marRight w:val="432"/>
          <w:marTop w:val="150"/>
          <w:marBottom w:val="150"/>
          <w:divBdr>
            <w:top w:val="none" w:sz="0" w:space="0" w:color="auto"/>
            <w:left w:val="none" w:sz="0" w:space="0" w:color="auto"/>
            <w:bottom w:val="none" w:sz="0" w:space="0" w:color="auto"/>
            <w:right w:val="none" w:sz="0" w:space="0" w:color="auto"/>
          </w:divBdr>
        </w:div>
      </w:divsChild>
    </w:div>
    <w:div w:id="1836219769">
      <w:bodyDiv w:val="1"/>
      <w:marLeft w:val="0"/>
      <w:marRight w:val="0"/>
      <w:marTop w:val="0"/>
      <w:marBottom w:val="0"/>
      <w:divBdr>
        <w:top w:val="none" w:sz="0" w:space="0" w:color="auto"/>
        <w:left w:val="none" w:sz="0" w:space="0" w:color="auto"/>
        <w:bottom w:val="none" w:sz="0" w:space="0" w:color="auto"/>
        <w:right w:val="none" w:sz="0" w:space="0" w:color="auto"/>
      </w:divBdr>
    </w:div>
    <w:div w:id="1840265597">
      <w:bodyDiv w:val="1"/>
      <w:marLeft w:val="0"/>
      <w:marRight w:val="0"/>
      <w:marTop w:val="0"/>
      <w:marBottom w:val="0"/>
      <w:divBdr>
        <w:top w:val="none" w:sz="0" w:space="0" w:color="auto"/>
        <w:left w:val="none" w:sz="0" w:space="0" w:color="auto"/>
        <w:bottom w:val="none" w:sz="0" w:space="0" w:color="auto"/>
        <w:right w:val="none" w:sz="0" w:space="0" w:color="auto"/>
      </w:divBdr>
    </w:div>
    <w:div w:id="1885209986">
      <w:bodyDiv w:val="1"/>
      <w:marLeft w:val="0"/>
      <w:marRight w:val="0"/>
      <w:marTop w:val="0"/>
      <w:marBottom w:val="0"/>
      <w:divBdr>
        <w:top w:val="none" w:sz="0" w:space="0" w:color="auto"/>
        <w:left w:val="none" w:sz="0" w:space="0" w:color="auto"/>
        <w:bottom w:val="none" w:sz="0" w:space="0" w:color="auto"/>
        <w:right w:val="none" w:sz="0" w:space="0" w:color="auto"/>
      </w:divBdr>
    </w:div>
    <w:div w:id="1916741545">
      <w:bodyDiv w:val="1"/>
      <w:marLeft w:val="0"/>
      <w:marRight w:val="0"/>
      <w:marTop w:val="0"/>
      <w:marBottom w:val="0"/>
      <w:divBdr>
        <w:top w:val="none" w:sz="0" w:space="0" w:color="auto"/>
        <w:left w:val="none" w:sz="0" w:space="0" w:color="auto"/>
        <w:bottom w:val="none" w:sz="0" w:space="0" w:color="auto"/>
        <w:right w:val="none" w:sz="0" w:space="0" w:color="auto"/>
      </w:divBdr>
    </w:div>
    <w:div w:id="1928225569">
      <w:bodyDiv w:val="1"/>
      <w:marLeft w:val="0"/>
      <w:marRight w:val="0"/>
      <w:marTop w:val="0"/>
      <w:marBottom w:val="0"/>
      <w:divBdr>
        <w:top w:val="none" w:sz="0" w:space="0" w:color="auto"/>
        <w:left w:val="none" w:sz="0" w:space="0" w:color="auto"/>
        <w:bottom w:val="none" w:sz="0" w:space="0" w:color="auto"/>
        <w:right w:val="none" w:sz="0" w:space="0" w:color="auto"/>
      </w:divBdr>
    </w:div>
    <w:div w:id="1974869330">
      <w:bodyDiv w:val="1"/>
      <w:marLeft w:val="0"/>
      <w:marRight w:val="0"/>
      <w:marTop w:val="0"/>
      <w:marBottom w:val="0"/>
      <w:divBdr>
        <w:top w:val="none" w:sz="0" w:space="0" w:color="auto"/>
        <w:left w:val="none" w:sz="0" w:space="0" w:color="auto"/>
        <w:bottom w:val="none" w:sz="0" w:space="0" w:color="auto"/>
        <w:right w:val="none" w:sz="0" w:space="0" w:color="auto"/>
      </w:divBdr>
    </w:div>
    <w:div w:id="1981878747">
      <w:bodyDiv w:val="1"/>
      <w:marLeft w:val="0"/>
      <w:marRight w:val="0"/>
      <w:marTop w:val="0"/>
      <w:marBottom w:val="0"/>
      <w:divBdr>
        <w:top w:val="none" w:sz="0" w:space="0" w:color="auto"/>
        <w:left w:val="none" w:sz="0" w:space="0" w:color="auto"/>
        <w:bottom w:val="none" w:sz="0" w:space="0" w:color="auto"/>
        <w:right w:val="none" w:sz="0" w:space="0" w:color="auto"/>
      </w:divBdr>
    </w:div>
    <w:div w:id="2010980635">
      <w:bodyDiv w:val="1"/>
      <w:marLeft w:val="0"/>
      <w:marRight w:val="0"/>
      <w:marTop w:val="0"/>
      <w:marBottom w:val="0"/>
      <w:divBdr>
        <w:top w:val="none" w:sz="0" w:space="0" w:color="auto"/>
        <w:left w:val="none" w:sz="0" w:space="0" w:color="auto"/>
        <w:bottom w:val="none" w:sz="0" w:space="0" w:color="auto"/>
        <w:right w:val="none" w:sz="0" w:space="0" w:color="auto"/>
      </w:divBdr>
    </w:div>
    <w:div w:id="2074306921">
      <w:bodyDiv w:val="1"/>
      <w:marLeft w:val="0"/>
      <w:marRight w:val="0"/>
      <w:marTop w:val="0"/>
      <w:marBottom w:val="0"/>
      <w:divBdr>
        <w:top w:val="none" w:sz="0" w:space="0" w:color="auto"/>
        <w:left w:val="none" w:sz="0" w:space="0" w:color="auto"/>
        <w:bottom w:val="none" w:sz="0" w:space="0" w:color="auto"/>
        <w:right w:val="none" w:sz="0" w:space="0" w:color="auto"/>
      </w:divBdr>
    </w:div>
    <w:div w:id="2099520662">
      <w:bodyDiv w:val="1"/>
      <w:marLeft w:val="0"/>
      <w:marRight w:val="0"/>
      <w:marTop w:val="0"/>
      <w:marBottom w:val="0"/>
      <w:divBdr>
        <w:top w:val="none" w:sz="0" w:space="0" w:color="auto"/>
        <w:left w:val="none" w:sz="0" w:space="0" w:color="auto"/>
        <w:bottom w:val="none" w:sz="0" w:space="0" w:color="auto"/>
        <w:right w:val="none" w:sz="0" w:space="0" w:color="auto"/>
      </w:divBdr>
    </w:div>
    <w:div w:id="2113822717">
      <w:bodyDiv w:val="1"/>
      <w:marLeft w:val="0"/>
      <w:marRight w:val="0"/>
      <w:marTop w:val="0"/>
      <w:marBottom w:val="0"/>
      <w:divBdr>
        <w:top w:val="none" w:sz="0" w:space="0" w:color="auto"/>
        <w:left w:val="none" w:sz="0" w:space="0" w:color="auto"/>
        <w:bottom w:val="none" w:sz="0" w:space="0" w:color="auto"/>
        <w:right w:val="none" w:sz="0" w:space="0" w:color="auto"/>
      </w:divBdr>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 w:id="214584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https://midcentraldhb-my.sharepoint.com/personal/daygane_mdhb_health_nz/Documents/Emissions%20Reporting/Copy%20of%20Te%20Whatu%20Ora%20GHG%20Inventory%20OfficeConnect%20FY24%20Version%202024_07_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275292200484688"/>
          <c:y val="2.5108659395752683E-2"/>
          <c:w val="0.61925129677868485"/>
          <c:h val="0.91969916970402321"/>
        </c:manualLayout>
      </c:layout>
      <c:barChart>
        <c:barDir val="bar"/>
        <c:grouping val="clustered"/>
        <c:varyColors val="0"/>
        <c:ser>
          <c:idx val="0"/>
          <c:order val="0"/>
          <c:spPr>
            <a:solidFill>
              <a:schemeClr val="accent1"/>
            </a:solidFill>
            <a:ln>
              <a:noFill/>
            </a:ln>
            <a:effectLst/>
          </c:spPr>
          <c:invertIfNegative val="0"/>
          <c:dLbls>
            <c:dLbl>
              <c:idx val="0"/>
              <c:layout>
                <c:manualLayout>
                  <c:x val="1.0507362919100774E-2"/>
                  <c:y val="0"/>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fld id="{B359D042-8E66-4C28-B5A7-89AD7F394B3A}" type="CELLRANGE">
                      <a:rPr lang="en-US">
                        <a:solidFill>
                          <a:schemeClr val="tx1"/>
                        </a:solidFill>
                      </a:rPr>
                      <a:pPr>
                        <a:defRPr>
                          <a:solidFill>
                            <a:schemeClr val="tx1"/>
                          </a:solidFill>
                        </a:defRPr>
                      </a:pPr>
                      <a:t>[CELLRANGE]</a:t>
                    </a:fld>
                    <a:endParaRPr lang="en-NZ"/>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DF8C-4B3D-9975-9C3CCCC90770}"/>
                </c:ext>
              </c:extLst>
            </c:dLbl>
            <c:dLbl>
              <c:idx val="1"/>
              <c:tx>
                <c:rich>
                  <a:bodyPr/>
                  <a:lstStyle/>
                  <a:p>
                    <a:fld id="{CA3962B5-0C96-44C5-9124-C5136B847A16}" type="CELLRANGE">
                      <a:rPr lang="en-NZ"/>
                      <a:pPr/>
                      <a:t>[CELLRANGE]</a:t>
                    </a:fld>
                    <a:endParaRPr lang="en-NZ"/>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F8C-4B3D-9975-9C3CCCC90770}"/>
                </c:ext>
              </c:extLst>
            </c:dLbl>
            <c:dLbl>
              <c:idx val="2"/>
              <c:tx>
                <c:rich>
                  <a:bodyPr/>
                  <a:lstStyle/>
                  <a:p>
                    <a:fld id="{A1AB7686-9FEC-44E4-9DE5-B7778CE69074}" type="CELLRANGE">
                      <a:rPr lang="en-NZ"/>
                      <a:pPr/>
                      <a:t>[CELLRANGE]</a:t>
                    </a:fld>
                    <a:endParaRPr lang="en-NZ"/>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F8C-4B3D-9975-9C3CCCC90770}"/>
                </c:ext>
              </c:extLst>
            </c:dLbl>
            <c:dLbl>
              <c:idx val="3"/>
              <c:tx>
                <c:rich>
                  <a:bodyPr/>
                  <a:lstStyle/>
                  <a:p>
                    <a:fld id="{D1B90649-53ED-447B-8EB8-20B79F5E96BF}" type="CELLRANGE">
                      <a:rPr lang="en-NZ"/>
                      <a:pPr/>
                      <a:t>[CELLRANGE]</a:t>
                    </a:fld>
                    <a:endParaRPr lang="en-NZ"/>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F8C-4B3D-9975-9C3CCCC90770}"/>
                </c:ext>
              </c:extLst>
            </c:dLbl>
            <c:dLbl>
              <c:idx val="4"/>
              <c:tx>
                <c:rich>
                  <a:bodyPr/>
                  <a:lstStyle/>
                  <a:p>
                    <a:fld id="{91980D8D-366A-4D82-9193-B59BD5821173}" type="CELLRANGE">
                      <a:rPr lang="en-NZ"/>
                      <a:pPr/>
                      <a:t>[CELLRANGE]</a:t>
                    </a:fld>
                    <a:endParaRPr lang="en-NZ"/>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DF8C-4B3D-9975-9C3CCCC90770}"/>
                </c:ext>
              </c:extLst>
            </c:dLbl>
            <c:dLbl>
              <c:idx val="5"/>
              <c:tx>
                <c:rich>
                  <a:bodyPr/>
                  <a:lstStyle/>
                  <a:p>
                    <a:fld id="{04A80762-ED7F-4495-AE8B-01EBDB847BAC}" type="CELLRANGE">
                      <a:rPr lang="en-NZ"/>
                      <a:pPr/>
                      <a:t>[CELLRANGE]</a:t>
                    </a:fld>
                    <a:endParaRPr lang="en-NZ"/>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DF8C-4B3D-9975-9C3CCCC90770}"/>
                </c:ext>
              </c:extLst>
            </c:dLbl>
            <c:dLbl>
              <c:idx val="6"/>
              <c:tx>
                <c:rich>
                  <a:bodyPr/>
                  <a:lstStyle/>
                  <a:p>
                    <a:fld id="{BAD57D19-3F70-485A-966D-483888AE5C7A}" type="CELLRANGE">
                      <a:rPr lang="en-NZ"/>
                      <a:pPr/>
                      <a:t>[CELLRANGE]</a:t>
                    </a:fld>
                    <a:endParaRPr lang="en-NZ"/>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DF8C-4B3D-9975-9C3CCCC90770}"/>
                </c:ext>
              </c:extLst>
            </c:dLbl>
            <c:dLbl>
              <c:idx val="7"/>
              <c:tx>
                <c:rich>
                  <a:bodyPr/>
                  <a:lstStyle/>
                  <a:p>
                    <a:fld id="{CC48B2B3-0BE9-4ED8-984A-F1EEFBE7F5B3}" type="CELLRANGE">
                      <a:rPr lang="en-NZ"/>
                      <a:pPr/>
                      <a:t>[CELLRANGE]</a:t>
                    </a:fld>
                    <a:endParaRPr lang="en-NZ"/>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F8C-4B3D-9975-9C3CCCC90770}"/>
                </c:ext>
              </c:extLst>
            </c:dLbl>
            <c:dLbl>
              <c:idx val="8"/>
              <c:tx>
                <c:rich>
                  <a:bodyPr/>
                  <a:lstStyle/>
                  <a:p>
                    <a:fld id="{0F1BF715-1FF6-4FBF-BC34-BA17C8A80E28}" type="CELLRANGE">
                      <a:rPr lang="en-NZ"/>
                      <a:pPr/>
                      <a:t>[CELLRANGE]</a:t>
                    </a:fld>
                    <a:endParaRPr lang="en-NZ"/>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DF8C-4B3D-9975-9C3CCCC90770}"/>
                </c:ext>
              </c:extLst>
            </c:dLbl>
            <c:dLbl>
              <c:idx val="9"/>
              <c:tx>
                <c:rich>
                  <a:bodyPr/>
                  <a:lstStyle/>
                  <a:p>
                    <a:fld id="{399DDBCD-BBA0-4F88-BCFE-946819F8CADD}" type="CELLRANGE">
                      <a:rPr lang="en-NZ"/>
                      <a:pPr/>
                      <a:t>[CELLRANGE]</a:t>
                    </a:fld>
                    <a:endParaRPr lang="en-NZ"/>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DF8C-4B3D-9975-9C3CCCC9077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'[Copy of Te Whatu Ora GHG Inventory OfficeConnect FY24 Version 2024_07_25.xlsx]Annual Report Graph'!$C$110:$C$119</c:f>
              <c:strCache>
                <c:ptCount val="10"/>
                <c:pt idx="0">
                  <c:v>Water And Wastewater</c:v>
                </c:pt>
                <c:pt idx="1">
                  <c:v>Waste</c:v>
                </c:pt>
                <c:pt idx="2">
                  <c:v>Coal</c:v>
                </c:pt>
                <c:pt idx="3">
                  <c:v>Fleet Fuels</c:v>
                </c:pt>
                <c:pt idx="4">
                  <c:v>Patient Travel By Road</c:v>
                </c:pt>
                <c:pt idx="5">
                  <c:v>Medical Gases And Anaesthetic Vapours</c:v>
                </c:pt>
                <c:pt idx="6">
                  <c:v>Patient Travel By Air</c:v>
                </c:pt>
                <c:pt idx="7">
                  <c:v>Electricity</c:v>
                </c:pt>
                <c:pt idx="8">
                  <c:v>Natural Gas</c:v>
                </c:pt>
                <c:pt idx="9">
                  <c:v>Staff Air Travel</c:v>
                </c:pt>
              </c:strCache>
            </c:strRef>
          </c:cat>
          <c:val>
            <c:numRef>
              <c:f>'[Copy of Te Whatu Ora GHG Inventory OfficeConnect FY24 Version 2024_07_25.xlsx]Annual Report Graph'!$D$110:$D$119</c:f>
              <c:numCache>
                <c:formatCode>#,##0_ ;[Red]\(#,##0\);\ \-_ ;</c:formatCode>
                <c:ptCount val="10"/>
                <c:pt idx="0">
                  <c:v>2922.2630937500048</c:v>
                </c:pt>
                <c:pt idx="1">
                  <c:v>6367.719559656176</c:v>
                </c:pt>
                <c:pt idx="2">
                  <c:v>8303.7924615424508</c:v>
                </c:pt>
                <c:pt idx="3">
                  <c:v>8492.6286545433159</c:v>
                </c:pt>
                <c:pt idx="4">
                  <c:v>12980.025904187694</c:v>
                </c:pt>
                <c:pt idx="5">
                  <c:v>13670.891941036236</c:v>
                </c:pt>
                <c:pt idx="6">
                  <c:v>15300.862616172875</c:v>
                </c:pt>
                <c:pt idx="7">
                  <c:v>28235.312681613261</c:v>
                </c:pt>
                <c:pt idx="8">
                  <c:v>50792.706526299211</c:v>
                </c:pt>
                <c:pt idx="9">
                  <c:v>52415.308480355809</c:v>
                </c:pt>
              </c:numCache>
            </c:numRef>
          </c:val>
          <c:extLst>
            <c:ext xmlns:c15="http://schemas.microsoft.com/office/drawing/2012/chart" uri="{02D57815-91ED-43cb-92C2-25804820EDAC}">
              <c15:datalabelsRange>
                <c15:f>'[Copy of Te Whatu Ora GHG Inventory OfficeConnect FY24 Version 2024_07_25.xlsx]Annual Report Graph'!$D$110:$D$119</c15:f>
                <c15:dlblRangeCache>
                  <c:ptCount val="10"/>
                  <c:pt idx="0">
                    <c:v>2,922 </c:v>
                  </c:pt>
                  <c:pt idx="1">
                    <c:v>6,368 </c:v>
                  </c:pt>
                  <c:pt idx="2">
                    <c:v>8,304 </c:v>
                  </c:pt>
                  <c:pt idx="3">
                    <c:v>8,493 </c:v>
                  </c:pt>
                  <c:pt idx="4">
                    <c:v>12,980 </c:v>
                  </c:pt>
                  <c:pt idx="5">
                    <c:v>13,671 </c:v>
                  </c:pt>
                  <c:pt idx="6">
                    <c:v>15,301 </c:v>
                  </c:pt>
                  <c:pt idx="7">
                    <c:v>28,235 </c:v>
                  </c:pt>
                  <c:pt idx="8">
                    <c:v>50,793 </c:v>
                  </c:pt>
                  <c:pt idx="9">
                    <c:v>52,415 </c:v>
                  </c:pt>
                </c15:dlblRangeCache>
              </c15:datalabelsRange>
            </c:ext>
            <c:ext xmlns:c16="http://schemas.microsoft.com/office/drawing/2014/chart" uri="{C3380CC4-5D6E-409C-BE32-E72D297353CC}">
              <c16:uniqueId val="{0000000A-DF8C-4B3D-9975-9C3CCCC90770}"/>
            </c:ext>
          </c:extLst>
        </c:ser>
        <c:dLbls>
          <c:showLegendKey val="0"/>
          <c:showVal val="0"/>
          <c:showCatName val="0"/>
          <c:showSerName val="0"/>
          <c:showPercent val="0"/>
          <c:showBubbleSize val="0"/>
        </c:dLbls>
        <c:gapWidth val="182"/>
        <c:axId val="269480656"/>
        <c:axId val="269481488"/>
      </c:barChart>
      <c:catAx>
        <c:axId val="269480656"/>
        <c:scaling>
          <c:orientation val="minMax"/>
        </c:scaling>
        <c:delete val="0"/>
        <c:axPos val="l"/>
        <c:title>
          <c:tx>
            <c:rich>
              <a:bodyPr rot="-540000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r>
                  <a:rPr lang="en-NZ" sz="1800"/>
                  <a:t>Emissions sources</a:t>
                </a:r>
              </a:p>
            </c:rich>
          </c:tx>
          <c:overlay val="0"/>
          <c:spPr>
            <a:noFill/>
            <a:ln>
              <a:noFill/>
            </a:ln>
            <a:effectLst/>
          </c:spPr>
          <c:txPr>
            <a:bodyPr rot="-540000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69481488"/>
        <c:crosses val="autoZero"/>
        <c:auto val="1"/>
        <c:lblAlgn val="ctr"/>
        <c:lblOffset val="100"/>
        <c:tickMarkSkip val="1"/>
        <c:noMultiLvlLbl val="0"/>
      </c:catAx>
      <c:valAx>
        <c:axId val="269481488"/>
        <c:scaling>
          <c:orientation val="minMax"/>
        </c:scaling>
        <c:delete val="1"/>
        <c:axPos val="b"/>
        <c:title>
          <c:tx>
            <c:rich>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r>
                  <a:rPr lang="en-NZ" sz="1800"/>
                  <a:t>tCOe</a:t>
                </a:r>
              </a:p>
            </c:rich>
          </c:tx>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title>
        <c:numFmt formatCode="#,##0_ ;[Red]\(#,##0\);\ \-_ ;" sourceLinked="1"/>
        <c:majorTickMark val="none"/>
        <c:minorTickMark val="none"/>
        <c:tickLblPos val="nextTo"/>
        <c:crossAx val="269480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8150823252357"/>
          <c:y val="0"/>
          <c:w val="0.79988933815705465"/>
          <c:h val="0.8353480566324708"/>
        </c:manualLayout>
      </c:layout>
      <c:barChart>
        <c:barDir val="col"/>
        <c:grouping val="clustered"/>
        <c:varyColors val="0"/>
        <c:ser>
          <c:idx val="0"/>
          <c:order val="0"/>
          <c:spPr>
            <a:solidFill>
              <a:srgbClr val="1C556C"/>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Te Whatu Ora GHG Inventory OfficeConnect FY24 Version 2024_07_25.xlsx]8 GHG Emission Calc + Results 2'!$B$29:$B$33</c:f>
              <c:strCache>
                <c:ptCount val="5"/>
                <c:pt idx="0">
                  <c:v>Northern</c:v>
                </c:pt>
                <c:pt idx="1">
                  <c:v>Te Waipounamu</c:v>
                </c:pt>
                <c:pt idx="2">
                  <c:v>Central</c:v>
                </c:pt>
                <c:pt idx="3">
                  <c:v>Te Manawa Taki</c:v>
                </c:pt>
                <c:pt idx="4">
                  <c:v>National</c:v>
                </c:pt>
              </c:strCache>
            </c:strRef>
          </c:cat>
          <c:val>
            <c:numRef>
              <c:f>'[Copy of Te Whatu Ora GHG Inventory OfficeConnect FY24 Version 2024_07_25.xlsx]8 GHG Emission Calc + Results 2'!$C$29:$C$33</c:f>
              <c:numCache>
                <c:formatCode>#,##0_ ;[Red]\(#,##0\);\ \-_ ;</c:formatCode>
                <c:ptCount val="5"/>
                <c:pt idx="0">
                  <c:v>65343.152033160892</c:v>
                </c:pt>
                <c:pt idx="1">
                  <c:v>48079.627177964234</c:v>
                </c:pt>
                <c:pt idx="2">
                  <c:v>41525.091700271558</c:v>
                </c:pt>
                <c:pt idx="3">
                  <c:v>35943.62783743281</c:v>
                </c:pt>
                <c:pt idx="4">
                  <c:v>11445.750749119819</c:v>
                </c:pt>
              </c:numCache>
            </c:numRef>
          </c:val>
          <c:extLst>
            <c:ext xmlns:c16="http://schemas.microsoft.com/office/drawing/2014/chart" uri="{C3380CC4-5D6E-409C-BE32-E72D297353CC}">
              <c16:uniqueId val="{00000000-7EBA-49E2-9F24-FABFB2186644}"/>
            </c:ext>
          </c:extLst>
        </c:ser>
        <c:dLbls>
          <c:dLblPos val="outEnd"/>
          <c:showLegendKey val="0"/>
          <c:showVal val="1"/>
          <c:showCatName val="0"/>
          <c:showSerName val="0"/>
          <c:showPercent val="0"/>
          <c:showBubbleSize val="0"/>
        </c:dLbls>
        <c:gapWidth val="182"/>
        <c:axId val="269480656"/>
        <c:axId val="269481488"/>
      </c:barChart>
      <c:catAx>
        <c:axId val="26948065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NZ"/>
                  <a:t>Region</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69481488"/>
        <c:crosses val="autoZero"/>
        <c:auto val="1"/>
        <c:lblAlgn val="ctr"/>
        <c:lblOffset val="100"/>
        <c:noMultiLvlLbl val="0"/>
      </c:catAx>
      <c:valAx>
        <c:axId val="26948148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NZ"/>
                  <a:t>tCO2e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_ ;[Red]\(#,##0\);\ \-_ ;" sourceLinked="1"/>
        <c:majorTickMark val="cross"/>
        <c:minorTickMark val="none"/>
        <c:tickLblPos val="nextTo"/>
        <c:spPr>
          <a:noFill/>
          <a:ln>
            <a:solidFill>
              <a:schemeClr val="bg1">
                <a:lumMod val="50000"/>
              </a:schemeClr>
            </a:solidFill>
          </a:ln>
          <a:effectLst/>
        </c:spPr>
        <c:txPr>
          <a:bodyPr rot="0" spcFirstLastPara="1" vertOverflow="ellipsis"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69480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278574058145235"/>
          <c:y val="3.6080332943700145E-2"/>
          <c:w val="0.63031243075559495"/>
          <c:h val="0.91969916970402321"/>
        </c:manualLayout>
      </c:layout>
      <c:barChart>
        <c:barDir val="bar"/>
        <c:grouping val="clustered"/>
        <c:varyColors val="0"/>
        <c:ser>
          <c:idx val="1"/>
          <c:order val="0"/>
          <c:tx>
            <c:v>FY24</c:v>
          </c:tx>
          <c:spPr>
            <a:solidFill>
              <a:srgbClr val="2ED2BA"/>
            </a:solidFill>
            <a:ln>
              <a:noFill/>
            </a:ln>
            <a:effectLst/>
          </c:spPr>
          <c:invertIfNegative val="0"/>
          <c:dLbls>
            <c:dLbl>
              <c:idx val="0"/>
              <c:layout>
                <c:manualLayout>
                  <c:x val="1.93493168386774E-2"/>
                  <c:y val="1.6313213703099509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2D-4AD3-BE5D-0FA2356D6C1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Te Whatu Ora GHG Inventory Report Comparison FY23 and FY24 26 August 2024.xlsx]Annual Report Graph'!$N$147:$N$156</c:f>
              <c:strCache>
                <c:ptCount val="10"/>
                <c:pt idx="0">
                  <c:v>Water And Wastewater</c:v>
                </c:pt>
                <c:pt idx="1">
                  <c:v>Waste</c:v>
                </c:pt>
                <c:pt idx="2">
                  <c:v>Coal</c:v>
                </c:pt>
                <c:pt idx="3">
                  <c:v>Fleet Fuels</c:v>
                </c:pt>
                <c:pt idx="4">
                  <c:v>Patient Travel By Road</c:v>
                </c:pt>
                <c:pt idx="5">
                  <c:v>Medical Gases And Anaesthetic Vapours</c:v>
                </c:pt>
                <c:pt idx="6">
                  <c:v>Patient Travel By Air</c:v>
                </c:pt>
                <c:pt idx="7">
                  <c:v>Electricity</c:v>
                </c:pt>
                <c:pt idx="8">
                  <c:v>Natural Gas</c:v>
                </c:pt>
                <c:pt idx="9">
                  <c:v>Staff Air Travel</c:v>
                </c:pt>
              </c:strCache>
            </c:strRef>
          </c:cat>
          <c:val>
            <c:numRef>
              <c:f>'[Copy of Te Whatu Ora GHG Inventory Report Comparison FY23 and FY24 26 August 2024.xlsx]Annual Report Graph'!$P$147:$P$156</c:f>
              <c:numCache>
                <c:formatCode>#,##0_ ;[Red]\(#,##0\);\ \-_ ;</c:formatCode>
                <c:ptCount val="10"/>
                <c:pt idx="0">
                  <c:v>2922.2630937500048</c:v>
                </c:pt>
                <c:pt idx="1">
                  <c:v>6367.719559656176</c:v>
                </c:pt>
                <c:pt idx="2">
                  <c:v>8303.7924615424508</c:v>
                </c:pt>
                <c:pt idx="3">
                  <c:v>8492.6286545433159</c:v>
                </c:pt>
                <c:pt idx="4">
                  <c:v>12980.025904187694</c:v>
                </c:pt>
                <c:pt idx="5">
                  <c:v>13670.891941036236</c:v>
                </c:pt>
                <c:pt idx="6">
                  <c:v>15300.862616172875</c:v>
                </c:pt>
                <c:pt idx="7">
                  <c:v>28235.312681613261</c:v>
                </c:pt>
                <c:pt idx="8">
                  <c:v>50792.706526299211</c:v>
                </c:pt>
                <c:pt idx="9">
                  <c:v>52415.308480355809</c:v>
                </c:pt>
              </c:numCache>
            </c:numRef>
          </c:val>
          <c:extLst>
            <c:ext xmlns:c16="http://schemas.microsoft.com/office/drawing/2014/chart" uri="{C3380CC4-5D6E-409C-BE32-E72D297353CC}">
              <c16:uniqueId val="{00000001-E42D-4AD3-BE5D-0FA2356D6C1A}"/>
            </c:ext>
          </c:extLst>
        </c:ser>
        <c:ser>
          <c:idx val="0"/>
          <c:order val="1"/>
          <c:tx>
            <c:v>FY23</c:v>
          </c:tx>
          <c:spPr>
            <a:solidFill>
              <a:srgbClr val="6E63A8"/>
            </a:solidFill>
            <a:ln>
              <a:noFill/>
            </a:ln>
            <a:effectLst/>
          </c:spPr>
          <c:invertIfNegative val="0"/>
          <c:dLbls>
            <c:dLbl>
              <c:idx val="0"/>
              <c:layout>
                <c:manualLayout>
                  <c:x val="2.4095005082789119E-2"/>
                  <c:y val="-1.3050570962479729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2D-4AD3-BE5D-0FA2356D6C1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Te Whatu Ora GHG Inventory Report Comparison FY23 and FY24 26 August 2024.xlsx]Annual Report Graph'!$N$147:$N$156</c:f>
              <c:strCache>
                <c:ptCount val="10"/>
                <c:pt idx="0">
                  <c:v>Water And Wastewater</c:v>
                </c:pt>
                <c:pt idx="1">
                  <c:v>Waste</c:v>
                </c:pt>
                <c:pt idx="2">
                  <c:v>Coal</c:v>
                </c:pt>
                <c:pt idx="3">
                  <c:v>Fleet Fuels</c:v>
                </c:pt>
                <c:pt idx="4">
                  <c:v>Patient Travel By Road</c:v>
                </c:pt>
                <c:pt idx="5">
                  <c:v>Medical Gases And Anaesthetic Vapours</c:v>
                </c:pt>
                <c:pt idx="6">
                  <c:v>Patient Travel By Air</c:v>
                </c:pt>
                <c:pt idx="7">
                  <c:v>Electricity</c:v>
                </c:pt>
                <c:pt idx="8">
                  <c:v>Natural Gas</c:v>
                </c:pt>
                <c:pt idx="9">
                  <c:v>Staff Air Travel</c:v>
                </c:pt>
              </c:strCache>
            </c:strRef>
          </c:cat>
          <c:val>
            <c:numRef>
              <c:f>'[Copy of Te Whatu Ora GHG Inventory Report Comparison FY23 and FY24 26 August 2024.xlsx]Annual Report Graph'!$O$147:$O$156</c:f>
              <c:numCache>
                <c:formatCode>#,##0_ ;[Red]\(#,##0\);\ \-_ ;</c:formatCode>
                <c:ptCount val="10"/>
                <c:pt idx="0">
                  <c:v>1770.9300397034899</c:v>
                </c:pt>
                <c:pt idx="1">
                  <c:v>6294.1478072985474</c:v>
                </c:pt>
                <c:pt idx="2">
                  <c:v>34828.195130010354</c:v>
                </c:pt>
                <c:pt idx="3">
                  <c:v>9214.3724750812744</c:v>
                </c:pt>
                <c:pt idx="4">
                  <c:v>12267.793917535162</c:v>
                </c:pt>
                <c:pt idx="5">
                  <c:v>15696.599388594703</c:v>
                </c:pt>
                <c:pt idx="6">
                  <c:v>17371.495382861991</c:v>
                </c:pt>
                <c:pt idx="7">
                  <c:v>30540.629553836225</c:v>
                </c:pt>
                <c:pt idx="8">
                  <c:v>54862.46661029118</c:v>
                </c:pt>
                <c:pt idx="9">
                  <c:v>48411.902150686074</c:v>
                </c:pt>
              </c:numCache>
            </c:numRef>
          </c:val>
          <c:extLst>
            <c:ext xmlns:c16="http://schemas.microsoft.com/office/drawing/2014/chart" uri="{C3380CC4-5D6E-409C-BE32-E72D297353CC}">
              <c16:uniqueId val="{00000003-E42D-4AD3-BE5D-0FA2356D6C1A}"/>
            </c:ext>
          </c:extLst>
        </c:ser>
        <c:dLbls>
          <c:showLegendKey val="0"/>
          <c:showVal val="0"/>
          <c:showCatName val="0"/>
          <c:showSerName val="0"/>
          <c:showPercent val="0"/>
          <c:showBubbleSize val="0"/>
        </c:dLbls>
        <c:gapWidth val="182"/>
        <c:axId val="269480656"/>
        <c:axId val="269481488"/>
      </c:barChart>
      <c:catAx>
        <c:axId val="269480656"/>
        <c:scaling>
          <c:orientation val="minMax"/>
        </c:scaling>
        <c:delete val="0"/>
        <c:axPos val="l"/>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NZ" sz="1400" b="1"/>
                  <a:t>Emissions Source</a:t>
                </a:r>
              </a:p>
            </c:rich>
          </c:tx>
          <c:layout>
            <c:manualLayout>
              <c:xMode val="edge"/>
              <c:yMode val="edge"/>
              <c:x val="2.1598496731227892E-2"/>
              <c:y val="0.28519463236109571"/>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269481488"/>
        <c:crosses val="autoZero"/>
        <c:auto val="1"/>
        <c:lblAlgn val="ctr"/>
        <c:lblOffset val="100"/>
        <c:tickMarkSkip val="1"/>
        <c:noMultiLvlLbl val="0"/>
      </c:catAx>
      <c:valAx>
        <c:axId val="269481488"/>
        <c:scaling>
          <c:orientation val="minMax"/>
        </c:scaling>
        <c:delete val="1"/>
        <c:axPos val="b"/>
        <c:title>
          <c:tx>
            <c:rich>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r>
                  <a:rPr lang="en-NZ" sz="1400" b="1"/>
                  <a:t>tCO2e</a:t>
                </a:r>
              </a:p>
            </c:rich>
          </c:tx>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title>
        <c:numFmt formatCode="#,##0_ ;[Red]\(#,##0\);\ \-_ ;" sourceLinked="1"/>
        <c:majorTickMark val="none"/>
        <c:minorTickMark val="none"/>
        <c:tickLblPos val="nextTo"/>
        <c:crossAx val="269480656"/>
        <c:crosses val="autoZero"/>
        <c:crossBetween val="between"/>
      </c:valAx>
      <c:spPr>
        <a:noFill/>
        <a:ln>
          <a:noFill/>
        </a:ln>
        <a:effectLst/>
      </c:spPr>
    </c:plotArea>
    <c:legend>
      <c:legendPos val="r"/>
      <c:layout>
        <c:manualLayout>
          <c:xMode val="edge"/>
          <c:yMode val="edge"/>
          <c:x val="0.67847608174027141"/>
          <c:y val="0.505147351873524"/>
          <c:w val="6.9613732759868707E-2"/>
          <c:h val="7.299669850313750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FB180-9893-4AE0-B7B0-AC70CCD0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11399</Words>
  <Characters>64980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76227</CharactersWithSpaces>
  <SharedDoc>false</SharedDoc>
  <HLinks>
    <vt:vector size="330" baseType="variant">
      <vt:variant>
        <vt:i4>1638450</vt:i4>
      </vt:variant>
      <vt:variant>
        <vt:i4>332</vt:i4>
      </vt:variant>
      <vt:variant>
        <vt:i4>0</vt:i4>
      </vt:variant>
      <vt:variant>
        <vt:i4>5</vt:i4>
      </vt:variant>
      <vt:variant>
        <vt:lpwstr/>
      </vt:variant>
      <vt:variant>
        <vt:lpwstr>_Toc176252094</vt:lpwstr>
      </vt:variant>
      <vt:variant>
        <vt:i4>1638450</vt:i4>
      </vt:variant>
      <vt:variant>
        <vt:i4>326</vt:i4>
      </vt:variant>
      <vt:variant>
        <vt:i4>0</vt:i4>
      </vt:variant>
      <vt:variant>
        <vt:i4>5</vt:i4>
      </vt:variant>
      <vt:variant>
        <vt:lpwstr/>
      </vt:variant>
      <vt:variant>
        <vt:lpwstr>_Toc176252093</vt:lpwstr>
      </vt:variant>
      <vt:variant>
        <vt:i4>1638450</vt:i4>
      </vt:variant>
      <vt:variant>
        <vt:i4>320</vt:i4>
      </vt:variant>
      <vt:variant>
        <vt:i4>0</vt:i4>
      </vt:variant>
      <vt:variant>
        <vt:i4>5</vt:i4>
      </vt:variant>
      <vt:variant>
        <vt:lpwstr/>
      </vt:variant>
      <vt:variant>
        <vt:lpwstr>_Toc176252092</vt:lpwstr>
      </vt:variant>
      <vt:variant>
        <vt:i4>1638450</vt:i4>
      </vt:variant>
      <vt:variant>
        <vt:i4>314</vt:i4>
      </vt:variant>
      <vt:variant>
        <vt:i4>0</vt:i4>
      </vt:variant>
      <vt:variant>
        <vt:i4>5</vt:i4>
      </vt:variant>
      <vt:variant>
        <vt:lpwstr/>
      </vt:variant>
      <vt:variant>
        <vt:lpwstr>_Toc176252091</vt:lpwstr>
      </vt:variant>
      <vt:variant>
        <vt:i4>1638450</vt:i4>
      </vt:variant>
      <vt:variant>
        <vt:i4>308</vt:i4>
      </vt:variant>
      <vt:variant>
        <vt:i4>0</vt:i4>
      </vt:variant>
      <vt:variant>
        <vt:i4>5</vt:i4>
      </vt:variant>
      <vt:variant>
        <vt:lpwstr/>
      </vt:variant>
      <vt:variant>
        <vt:lpwstr>_Toc176252090</vt:lpwstr>
      </vt:variant>
      <vt:variant>
        <vt:i4>1572914</vt:i4>
      </vt:variant>
      <vt:variant>
        <vt:i4>299</vt:i4>
      </vt:variant>
      <vt:variant>
        <vt:i4>0</vt:i4>
      </vt:variant>
      <vt:variant>
        <vt:i4>5</vt:i4>
      </vt:variant>
      <vt:variant>
        <vt:lpwstr/>
      </vt:variant>
      <vt:variant>
        <vt:lpwstr>_Toc176252089</vt:lpwstr>
      </vt:variant>
      <vt:variant>
        <vt:i4>1572914</vt:i4>
      </vt:variant>
      <vt:variant>
        <vt:i4>293</vt:i4>
      </vt:variant>
      <vt:variant>
        <vt:i4>0</vt:i4>
      </vt:variant>
      <vt:variant>
        <vt:i4>5</vt:i4>
      </vt:variant>
      <vt:variant>
        <vt:lpwstr/>
      </vt:variant>
      <vt:variant>
        <vt:lpwstr>_Toc176252088</vt:lpwstr>
      </vt:variant>
      <vt:variant>
        <vt:i4>1572914</vt:i4>
      </vt:variant>
      <vt:variant>
        <vt:i4>287</vt:i4>
      </vt:variant>
      <vt:variant>
        <vt:i4>0</vt:i4>
      </vt:variant>
      <vt:variant>
        <vt:i4>5</vt:i4>
      </vt:variant>
      <vt:variant>
        <vt:lpwstr/>
      </vt:variant>
      <vt:variant>
        <vt:lpwstr>_Toc176252087</vt:lpwstr>
      </vt:variant>
      <vt:variant>
        <vt:i4>1572914</vt:i4>
      </vt:variant>
      <vt:variant>
        <vt:i4>281</vt:i4>
      </vt:variant>
      <vt:variant>
        <vt:i4>0</vt:i4>
      </vt:variant>
      <vt:variant>
        <vt:i4>5</vt:i4>
      </vt:variant>
      <vt:variant>
        <vt:lpwstr/>
      </vt:variant>
      <vt:variant>
        <vt:lpwstr>_Toc176252086</vt:lpwstr>
      </vt:variant>
      <vt:variant>
        <vt:i4>1572914</vt:i4>
      </vt:variant>
      <vt:variant>
        <vt:i4>275</vt:i4>
      </vt:variant>
      <vt:variant>
        <vt:i4>0</vt:i4>
      </vt:variant>
      <vt:variant>
        <vt:i4>5</vt:i4>
      </vt:variant>
      <vt:variant>
        <vt:lpwstr/>
      </vt:variant>
      <vt:variant>
        <vt:lpwstr>_Toc176252085</vt:lpwstr>
      </vt:variant>
      <vt:variant>
        <vt:i4>1572914</vt:i4>
      </vt:variant>
      <vt:variant>
        <vt:i4>269</vt:i4>
      </vt:variant>
      <vt:variant>
        <vt:i4>0</vt:i4>
      </vt:variant>
      <vt:variant>
        <vt:i4>5</vt:i4>
      </vt:variant>
      <vt:variant>
        <vt:lpwstr/>
      </vt:variant>
      <vt:variant>
        <vt:lpwstr>_Toc176252084</vt:lpwstr>
      </vt:variant>
      <vt:variant>
        <vt:i4>1572914</vt:i4>
      </vt:variant>
      <vt:variant>
        <vt:i4>263</vt:i4>
      </vt:variant>
      <vt:variant>
        <vt:i4>0</vt:i4>
      </vt:variant>
      <vt:variant>
        <vt:i4>5</vt:i4>
      </vt:variant>
      <vt:variant>
        <vt:lpwstr/>
      </vt:variant>
      <vt:variant>
        <vt:lpwstr>_Toc176252083</vt:lpwstr>
      </vt:variant>
      <vt:variant>
        <vt:i4>1572914</vt:i4>
      </vt:variant>
      <vt:variant>
        <vt:i4>257</vt:i4>
      </vt:variant>
      <vt:variant>
        <vt:i4>0</vt:i4>
      </vt:variant>
      <vt:variant>
        <vt:i4>5</vt:i4>
      </vt:variant>
      <vt:variant>
        <vt:lpwstr/>
      </vt:variant>
      <vt:variant>
        <vt:lpwstr>_Toc176252082</vt:lpwstr>
      </vt:variant>
      <vt:variant>
        <vt:i4>1572914</vt:i4>
      </vt:variant>
      <vt:variant>
        <vt:i4>251</vt:i4>
      </vt:variant>
      <vt:variant>
        <vt:i4>0</vt:i4>
      </vt:variant>
      <vt:variant>
        <vt:i4>5</vt:i4>
      </vt:variant>
      <vt:variant>
        <vt:lpwstr/>
      </vt:variant>
      <vt:variant>
        <vt:lpwstr>_Toc176252081</vt:lpwstr>
      </vt:variant>
      <vt:variant>
        <vt:i4>1572914</vt:i4>
      </vt:variant>
      <vt:variant>
        <vt:i4>245</vt:i4>
      </vt:variant>
      <vt:variant>
        <vt:i4>0</vt:i4>
      </vt:variant>
      <vt:variant>
        <vt:i4>5</vt:i4>
      </vt:variant>
      <vt:variant>
        <vt:lpwstr/>
      </vt:variant>
      <vt:variant>
        <vt:lpwstr>_Toc176252080</vt:lpwstr>
      </vt:variant>
      <vt:variant>
        <vt:i4>1507378</vt:i4>
      </vt:variant>
      <vt:variant>
        <vt:i4>239</vt:i4>
      </vt:variant>
      <vt:variant>
        <vt:i4>0</vt:i4>
      </vt:variant>
      <vt:variant>
        <vt:i4>5</vt:i4>
      </vt:variant>
      <vt:variant>
        <vt:lpwstr/>
      </vt:variant>
      <vt:variant>
        <vt:lpwstr>_Toc176252079</vt:lpwstr>
      </vt:variant>
      <vt:variant>
        <vt:i4>1179698</vt:i4>
      </vt:variant>
      <vt:variant>
        <vt:i4>230</vt:i4>
      </vt:variant>
      <vt:variant>
        <vt:i4>0</vt:i4>
      </vt:variant>
      <vt:variant>
        <vt:i4>5</vt:i4>
      </vt:variant>
      <vt:variant>
        <vt:lpwstr/>
      </vt:variant>
      <vt:variant>
        <vt:lpwstr>_Toc176345145</vt:lpwstr>
      </vt:variant>
      <vt:variant>
        <vt:i4>1179698</vt:i4>
      </vt:variant>
      <vt:variant>
        <vt:i4>224</vt:i4>
      </vt:variant>
      <vt:variant>
        <vt:i4>0</vt:i4>
      </vt:variant>
      <vt:variant>
        <vt:i4>5</vt:i4>
      </vt:variant>
      <vt:variant>
        <vt:lpwstr/>
      </vt:variant>
      <vt:variant>
        <vt:lpwstr>_Toc176345144</vt:lpwstr>
      </vt:variant>
      <vt:variant>
        <vt:i4>1179698</vt:i4>
      </vt:variant>
      <vt:variant>
        <vt:i4>218</vt:i4>
      </vt:variant>
      <vt:variant>
        <vt:i4>0</vt:i4>
      </vt:variant>
      <vt:variant>
        <vt:i4>5</vt:i4>
      </vt:variant>
      <vt:variant>
        <vt:lpwstr/>
      </vt:variant>
      <vt:variant>
        <vt:lpwstr>_Toc176345143</vt:lpwstr>
      </vt:variant>
      <vt:variant>
        <vt:i4>1179698</vt:i4>
      </vt:variant>
      <vt:variant>
        <vt:i4>212</vt:i4>
      </vt:variant>
      <vt:variant>
        <vt:i4>0</vt:i4>
      </vt:variant>
      <vt:variant>
        <vt:i4>5</vt:i4>
      </vt:variant>
      <vt:variant>
        <vt:lpwstr/>
      </vt:variant>
      <vt:variant>
        <vt:lpwstr>_Toc176345142</vt:lpwstr>
      </vt:variant>
      <vt:variant>
        <vt:i4>1179698</vt:i4>
      </vt:variant>
      <vt:variant>
        <vt:i4>206</vt:i4>
      </vt:variant>
      <vt:variant>
        <vt:i4>0</vt:i4>
      </vt:variant>
      <vt:variant>
        <vt:i4>5</vt:i4>
      </vt:variant>
      <vt:variant>
        <vt:lpwstr/>
      </vt:variant>
      <vt:variant>
        <vt:lpwstr>_Toc176345141</vt:lpwstr>
      </vt:variant>
      <vt:variant>
        <vt:i4>1179698</vt:i4>
      </vt:variant>
      <vt:variant>
        <vt:i4>200</vt:i4>
      </vt:variant>
      <vt:variant>
        <vt:i4>0</vt:i4>
      </vt:variant>
      <vt:variant>
        <vt:i4>5</vt:i4>
      </vt:variant>
      <vt:variant>
        <vt:lpwstr/>
      </vt:variant>
      <vt:variant>
        <vt:lpwstr>_Toc176345140</vt:lpwstr>
      </vt:variant>
      <vt:variant>
        <vt:i4>1376306</vt:i4>
      </vt:variant>
      <vt:variant>
        <vt:i4>194</vt:i4>
      </vt:variant>
      <vt:variant>
        <vt:i4>0</vt:i4>
      </vt:variant>
      <vt:variant>
        <vt:i4>5</vt:i4>
      </vt:variant>
      <vt:variant>
        <vt:lpwstr/>
      </vt:variant>
      <vt:variant>
        <vt:lpwstr>_Toc176345139</vt:lpwstr>
      </vt:variant>
      <vt:variant>
        <vt:i4>1376306</vt:i4>
      </vt:variant>
      <vt:variant>
        <vt:i4>188</vt:i4>
      </vt:variant>
      <vt:variant>
        <vt:i4>0</vt:i4>
      </vt:variant>
      <vt:variant>
        <vt:i4>5</vt:i4>
      </vt:variant>
      <vt:variant>
        <vt:lpwstr/>
      </vt:variant>
      <vt:variant>
        <vt:lpwstr>_Toc176345138</vt:lpwstr>
      </vt:variant>
      <vt:variant>
        <vt:i4>1376306</vt:i4>
      </vt:variant>
      <vt:variant>
        <vt:i4>182</vt:i4>
      </vt:variant>
      <vt:variant>
        <vt:i4>0</vt:i4>
      </vt:variant>
      <vt:variant>
        <vt:i4>5</vt:i4>
      </vt:variant>
      <vt:variant>
        <vt:lpwstr/>
      </vt:variant>
      <vt:variant>
        <vt:lpwstr>_Toc176345137</vt:lpwstr>
      </vt:variant>
      <vt:variant>
        <vt:i4>1376306</vt:i4>
      </vt:variant>
      <vt:variant>
        <vt:i4>176</vt:i4>
      </vt:variant>
      <vt:variant>
        <vt:i4>0</vt:i4>
      </vt:variant>
      <vt:variant>
        <vt:i4>5</vt:i4>
      </vt:variant>
      <vt:variant>
        <vt:lpwstr/>
      </vt:variant>
      <vt:variant>
        <vt:lpwstr>_Toc176345136</vt:lpwstr>
      </vt:variant>
      <vt:variant>
        <vt:i4>1376306</vt:i4>
      </vt:variant>
      <vt:variant>
        <vt:i4>170</vt:i4>
      </vt:variant>
      <vt:variant>
        <vt:i4>0</vt:i4>
      </vt:variant>
      <vt:variant>
        <vt:i4>5</vt:i4>
      </vt:variant>
      <vt:variant>
        <vt:lpwstr/>
      </vt:variant>
      <vt:variant>
        <vt:lpwstr>_Toc176345135</vt:lpwstr>
      </vt:variant>
      <vt:variant>
        <vt:i4>1376306</vt:i4>
      </vt:variant>
      <vt:variant>
        <vt:i4>164</vt:i4>
      </vt:variant>
      <vt:variant>
        <vt:i4>0</vt:i4>
      </vt:variant>
      <vt:variant>
        <vt:i4>5</vt:i4>
      </vt:variant>
      <vt:variant>
        <vt:lpwstr/>
      </vt:variant>
      <vt:variant>
        <vt:lpwstr>_Toc176345134</vt:lpwstr>
      </vt:variant>
      <vt:variant>
        <vt:i4>1376306</vt:i4>
      </vt:variant>
      <vt:variant>
        <vt:i4>158</vt:i4>
      </vt:variant>
      <vt:variant>
        <vt:i4>0</vt:i4>
      </vt:variant>
      <vt:variant>
        <vt:i4>5</vt:i4>
      </vt:variant>
      <vt:variant>
        <vt:lpwstr/>
      </vt:variant>
      <vt:variant>
        <vt:lpwstr>_Toc176345133</vt:lpwstr>
      </vt:variant>
      <vt:variant>
        <vt:i4>1376306</vt:i4>
      </vt:variant>
      <vt:variant>
        <vt:i4>152</vt:i4>
      </vt:variant>
      <vt:variant>
        <vt:i4>0</vt:i4>
      </vt:variant>
      <vt:variant>
        <vt:i4>5</vt:i4>
      </vt:variant>
      <vt:variant>
        <vt:lpwstr/>
      </vt:variant>
      <vt:variant>
        <vt:lpwstr>_Toc176345132</vt:lpwstr>
      </vt:variant>
      <vt:variant>
        <vt:i4>1376306</vt:i4>
      </vt:variant>
      <vt:variant>
        <vt:i4>146</vt:i4>
      </vt:variant>
      <vt:variant>
        <vt:i4>0</vt:i4>
      </vt:variant>
      <vt:variant>
        <vt:i4>5</vt:i4>
      </vt:variant>
      <vt:variant>
        <vt:lpwstr/>
      </vt:variant>
      <vt:variant>
        <vt:lpwstr>_Toc176345131</vt:lpwstr>
      </vt:variant>
      <vt:variant>
        <vt:i4>1376306</vt:i4>
      </vt:variant>
      <vt:variant>
        <vt:i4>140</vt:i4>
      </vt:variant>
      <vt:variant>
        <vt:i4>0</vt:i4>
      </vt:variant>
      <vt:variant>
        <vt:i4>5</vt:i4>
      </vt:variant>
      <vt:variant>
        <vt:lpwstr/>
      </vt:variant>
      <vt:variant>
        <vt:lpwstr>_Toc176345130</vt:lpwstr>
      </vt:variant>
      <vt:variant>
        <vt:i4>1310770</vt:i4>
      </vt:variant>
      <vt:variant>
        <vt:i4>134</vt:i4>
      </vt:variant>
      <vt:variant>
        <vt:i4>0</vt:i4>
      </vt:variant>
      <vt:variant>
        <vt:i4>5</vt:i4>
      </vt:variant>
      <vt:variant>
        <vt:lpwstr/>
      </vt:variant>
      <vt:variant>
        <vt:lpwstr>_Toc176345129</vt:lpwstr>
      </vt:variant>
      <vt:variant>
        <vt:i4>1310770</vt:i4>
      </vt:variant>
      <vt:variant>
        <vt:i4>128</vt:i4>
      </vt:variant>
      <vt:variant>
        <vt:i4>0</vt:i4>
      </vt:variant>
      <vt:variant>
        <vt:i4>5</vt:i4>
      </vt:variant>
      <vt:variant>
        <vt:lpwstr/>
      </vt:variant>
      <vt:variant>
        <vt:lpwstr>_Toc176345128</vt:lpwstr>
      </vt:variant>
      <vt:variant>
        <vt:i4>1310770</vt:i4>
      </vt:variant>
      <vt:variant>
        <vt:i4>122</vt:i4>
      </vt:variant>
      <vt:variant>
        <vt:i4>0</vt:i4>
      </vt:variant>
      <vt:variant>
        <vt:i4>5</vt:i4>
      </vt:variant>
      <vt:variant>
        <vt:lpwstr/>
      </vt:variant>
      <vt:variant>
        <vt:lpwstr>_Toc176345127</vt:lpwstr>
      </vt:variant>
      <vt:variant>
        <vt:i4>1310770</vt:i4>
      </vt:variant>
      <vt:variant>
        <vt:i4>116</vt:i4>
      </vt:variant>
      <vt:variant>
        <vt:i4>0</vt:i4>
      </vt:variant>
      <vt:variant>
        <vt:i4>5</vt:i4>
      </vt:variant>
      <vt:variant>
        <vt:lpwstr/>
      </vt:variant>
      <vt:variant>
        <vt:lpwstr>_Toc176345126</vt:lpwstr>
      </vt:variant>
      <vt:variant>
        <vt:i4>1310770</vt:i4>
      </vt:variant>
      <vt:variant>
        <vt:i4>110</vt:i4>
      </vt:variant>
      <vt:variant>
        <vt:i4>0</vt:i4>
      </vt:variant>
      <vt:variant>
        <vt:i4>5</vt:i4>
      </vt:variant>
      <vt:variant>
        <vt:lpwstr/>
      </vt:variant>
      <vt:variant>
        <vt:lpwstr>_Toc176345125</vt:lpwstr>
      </vt:variant>
      <vt:variant>
        <vt:i4>1310770</vt:i4>
      </vt:variant>
      <vt:variant>
        <vt:i4>104</vt:i4>
      </vt:variant>
      <vt:variant>
        <vt:i4>0</vt:i4>
      </vt:variant>
      <vt:variant>
        <vt:i4>5</vt:i4>
      </vt:variant>
      <vt:variant>
        <vt:lpwstr/>
      </vt:variant>
      <vt:variant>
        <vt:lpwstr>_Toc176345124</vt:lpwstr>
      </vt:variant>
      <vt:variant>
        <vt:i4>1310770</vt:i4>
      </vt:variant>
      <vt:variant>
        <vt:i4>98</vt:i4>
      </vt:variant>
      <vt:variant>
        <vt:i4>0</vt:i4>
      </vt:variant>
      <vt:variant>
        <vt:i4>5</vt:i4>
      </vt:variant>
      <vt:variant>
        <vt:lpwstr/>
      </vt:variant>
      <vt:variant>
        <vt:lpwstr>_Toc176345123</vt:lpwstr>
      </vt:variant>
      <vt:variant>
        <vt:i4>1310770</vt:i4>
      </vt:variant>
      <vt:variant>
        <vt:i4>92</vt:i4>
      </vt:variant>
      <vt:variant>
        <vt:i4>0</vt:i4>
      </vt:variant>
      <vt:variant>
        <vt:i4>5</vt:i4>
      </vt:variant>
      <vt:variant>
        <vt:lpwstr/>
      </vt:variant>
      <vt:variant>
        <vt:lpwstr>_Toc176345122</vt:lpwstr>
      </vt:variant>
      <vt:variant>
        <vt:i4>1310770</vt:i4>
      </vt:variant>
      <vt:variant>
        <vt:i4>86</vt:i4>
      </vt:variant>
      <vt:variant>
        <vt:i4>0</vt:i4>
      </vt:variant>
      <vt:variant>
        <vt:i4>5</vt:i4>
      </vt:variant>
      <vt:variant>
        <vt:lpwstr/>
      </vt:variant>
      <vt:variant>
        <vt:lpwstr>_Toc176345121</vt:lpwstr>
      </vt:variant>
      <vt:variant>
        <vt:i4>1310770</vt:i4>
      </vt:variant>
      <vt:variant>
        <vt:i4>80</vt:i4>
      </vt:variant>
      <vt:variant>
        <vt:i4>0</vt:i4>
      </vt:variant>
      <vt:variant>
        <vt:i4>5</vt:i4>
      </vt:variant>
      <vt:variant>
        <vt:lpwstr/>
      </vt:variant>
      <vt:variant>
        <vt:lpwstr>_Toc176345120</vt:lpwstr>
      </vt:variant>
      <vt:variant>
        <vt:i4>1507378</vt:i4>
      </vt:variant>
      <vt:variant>
        <vt:i4>74</vt:i4>
      </vt:variant>
      <vt:variant>
        <vt:i4>0</vt:i4>
      </vt:variant>
      <vt:variant>
        <vt:i4>5</vt:i4>
      </vt:variant>
      <vt:variant>
        <vt:lpwstr/>
      </vt:variant>
      <vt:variant>
        <vt:lpwstr>_Toc176345119</vt:lpwstr>
      </vt:variant>
      <vt:variant>
        <vt:i4>1507378</vt:i4>
      </vt:variant>
      <vt:variant>
        <vt:i4>68</vt:i4>
      </vt:variant>
      <vt:variant>
        <vt:i4>0</vt:i4>
      </vt:variant>
      <vt:variant>
        <vt:i4>5</vt:i4>
      </vt:variant>
      <vt:variant>
        <vt:lpwstr/>
      </vt:variant>
      <vt:variant>
        <vt:lpwstr>_Toc176345118</vt:lpwstr>
      </vt:variant>
      <vt:variant>
        <vt:i4>1507378</vt:i4>
      </vt:variant>
      <vt:variant>
        <vt:i4>62</vt:i4>
      </vt:variant>
      <vt:variant>
        <vt:i4>0</vt:i4>
      </vt:variant>
      <vt:variant>
        <vt:i4>5</vt:i4>
      </vt:variant>
      <vt:variant>
        <vt:lpwstr/>
      </vt:variant>
      <vt:variant>
        <vt:lpwstr>_Toc176345117</vt:lpwstr>
      </vt:variant>
      <vt:variant>
        <vt:i4>1507378</vt:i4>
      </vt:variant>
      <vt:variant>
        <vt:i4>56</vt:i4>
      </vt:variant>
      <vt:variant>
        <vt:i4>0</vt:i4>
      </vt:variant>
      <vt:variant>
        <vt:i4>5</vt:i4>
      </vt:variant>
      <vt:variant>
        <vt:lpwstr/>
      </vt:variant>
      <vt:variant>
        <vt:lpwstr>_Toc176345116</vt:lpwstr>
      </vt:variant>
      <vt:variant>
        <vt:i4>1507378</vt:i4>
      </vt:variant>
      <vt:variant>
        <vt:i4>50</vt:i4>
      </vt:variant>
      <vt:variant>
        <vt:i4>0</vt:i4>
      </vt:variant>
      <vt:variant>
        <vt:i4>5</vt:i4>
      </vt:variant>
      <vt:variant>
        <vt:lpwstr/>
      </vt:variant>
      <vt:variant>
        <vt:lpwstr>_Toc176345115</vt:lpwstr>
      </vt:variant>
      <vt:variant>
        <vt:i4>1507378</vt:i4>
      </vt:variant>
      <vt:variant>
        <vt:i4>44</vt:i4>
      </vt:variant>
      <vt:variant>
        <vt:i4>0</vt:i4>
      </vt:variant>
      <vt:variant>
        <vt:i4>5</vt:i4>
      </vt:variant>
      <vt:variant>
        <vt:lpwstr/>
      </vt:variant>
      <vt:variant>
        <vt:lpwstr>_Toc176345114</vt:lpwstr>
      </vt:variant>
      <vt:variant>
        <vt:i4>1507378</vt:i4>
      </vt:variant>
      <vt:variant>
        <vt:i4>38</vt:i4>
      </vt:variant>
      <vt:variant>
        <vt:i4>0</vt:i4>
      </vt:variant>
      <vt:variant>
        <vt:i4>5</vt:i4>
      </vt:variant>
      <vt:variant>
        <vt:lpwstr/>
      </vt:variant>
      <vt:variant>
        <vt:lpwstr>_Toc176345113</vt:lpwstr>
      </vt:variant>
      <vt:variant>
        <vt:i4>1507378</vt:i4>
      </vt:variant>
      <vt:variant>
        <vt:i4>32</vt:i4>
      </vt:variant>
      <vt:variant>
        <vt:i4>0</vt:i4>
      </vt:variant>
      <vt:variant>
        <vt:i4>5</vt:i4>
      </vt:variant>
      <vt:variant>
        <vt:lpwstr/>
      </vt:variant>
      <vt:variant>
        <vt:lpwstr>_Toc176345112</vt:lpwstr>
      </vt:variant>
      <vt:variant>
        <vt:i4>1507378</vt:i4>
      </vt:variant>
      <vt:variant>
        <vt:i4>26</vt:i4>
      </vt:variant>
      <vt:variant>
        <vt:i4>0</vt:i4>
      </vt:variant>
      <vt:variant>
        <vt:i4>5</vt:i4>
      </vt:variant>
      <vt:variant>
        <vt:lpwstr/>
      </vt:variant>
      <vt:variant>
        <vt:lpwstr>_Toc176345111</vt:lpwstr>
      </vt:variant>
      <vt:variant>
        <vt:i4>1507378</vt:i4>
      </vt:variant>
      <vt:variant>
        <vt:i4>20</vt:i4>
      </vt:variant>
      <vt:variant>
        <vt:i4>0</vt:i4>
      </vt:variant>
      <vt:variant>
        <vt:i4>5</vt:i4>
      </vt:variant>
      <vt:variant>
        <vt:lpwstr/>
      </vt:variant>
      <vt:variant>
        <vt:lpwstr>_Toc176345110</vt:lpwstr>
      </vt:variant>
      <vt:variant>
        <vt:i4>1441842</vt:i4>
      </vt:variant>
      <vt:variant>
        <vt:i4>14</vt:i4>
      </vt:variant>
      <vt:variant>
        <vt:i4>0</vt:i4>
      </vt:variant>
      <vt:variant>
        <vt:i4>5</vt:i4>
      </vt:variant>
      <vt:variant>
        <vt:lpwstr/>
      </vt:variant>
      <vt:variant>
        <vt:lpwstr>_Toc176345109</vt:lpwstr>
      </vt:variant>
      <vt:variant>
        <vt:i4>1441842</vt:i4>
      </vt:variant>
      <vt:variant>
        <vt:i4>8</vt:i4>
      </vt:variant>
      <vt:variant>
        <vt:i4>0</vt:i4>
      </vt:variant>
      <vt:variant>
        <vt:i4>5</vt:i4>
      </vt:variant>
      <vt:variant>
        <vt:lpwstr/>
      </vt:variant>
      <vt:variant>
        <vt:lpwstr>_Toc176345108</vt:lpwstr>
      </vt:variant>
      <vt:variant>
        <vt:i4>1441842</vt:i4>
      </vt:variant>
      <vt:variant>
        <vt:i4>2</vt:i4>
      </vt:variant>
      <vt:variant>
        <vt:i4>0</vt:i4>
      </vt:variant>
      <vt:variant>
        <vt:i4>5</vt:i4>
      </vt:variant>
      <vt:variant>
        <vt:lpwstr/>
      </vt:variant>
      <vt:variant>
        <vt:lpwstr>_Toc176345107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2025-01-15T20:28:00Z</dcterms:created>
  <dcterms:modified xsi:type="dcterms:W3CDTF">2025-01-15T20:28:00Z</dcterms:modified>
</cp:coreProperties>
</file>