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0E52E2" w:rsidRDefault="00201CDE" w:rsidP="00D54D50">
      <w:pPr>
        <w:pStyle w:val="Title"/>
      </w:pPr>
      <w:r w:rsidRPr="000E52E2">
        <w:t>Diabetic Retinal Screening, Grading, Monitoring and Referral Guidance</w:t>
      </w:r>
    </w:p>
    <w:p w:rsidR="00C86248" w:rsidRPr="000E52E2" w:rsidRDefault="00C86248" w:rsidP="00343365">
      <w:pPr>
        <w:pStyle w:val="Subhead"/>
      </w:pPr>
    </w:p>
    <w:p w:rsidR="00142954" w:rsidRPr="000E52E2" w:rsidRDefault="00142954" w:rsidP="00142954">
      <w:pPr>
        <w:sectPr w:rsidR="00142954" w:rsidRPr="000E52E2" w:rsidSect="000F2AE2">
          <w:headerReference w:type="default" r:id="rId9"/>
          <w:footerReference w:type="default" r:id="rId10"/>
          <w:pgSz w:w="11907" w:h="16834" w:code="9"/>
          <w:pgMar w:top="3969" w:right="851" w:bottom="851" w:left="2552" w:header="851" w:footer="851" w:gutter="0"/>
          <w:cols w:space="720"/>
        </w:sectPr>
      </w:pPr>
    </w:p>
    <w:p w:rsidR="00A80363" w:rsidRPr="000E52E2" w:rsidRDefault="00A80363">
      <w:pPr>
        <w:pStyle w:val="Imprint"/>
      </w:pPr>
      <w:r w:rsidRPr="000E52E2">
        <w:lastRenderedPageBreak/>
        <w:t xml:space="preserve">Citation: </w:t>
      </w:r>
      <w:r w:rsidR="00442C1C" w:rsidRPr="000E52E2">
        <w:t xml:space="preserve">Ministry of Health. </w:t>
      </w:r>
      <w:r w:rsidR="00201CDE" w:rsidRPr="000E52E2">
        <w:t>2016</w:t>
      </w:r>
      <w:r w:rsidR="00442C1C" w:rsidRPr="000E52E2">
        <w:t xml:space="preserve">. </w:t>
      </w:r>
      <w:r w:rsidR="00201CDE" w:rsidRPr="000E52E2">
        <w:rPr>
          <w:i/>
        </w:rPr>
        <w:t>Diabetic Retinal Screening, Grading, Monitoring and Referral Guidance</w:t>
      </w:r>
      <w:r w:rsidR="00442C1C" w:rsidRPr="000E52E2">
        <w:t>. Wellington: Ministry of Health.</w:t>
      </w:r>
    </w:p>
    <w:p w:rsidR="00C86248" w:rsidRPr="000E52E2" w:rsidRDefault="00C86248">
      <w:pPr>
        <w:pStyle w:val="Imprint"/>
      </w:pPr>
      <w:r w:rsidRPr="000E52E2">
        <w:t xml:space="preserve">Published in </w:t>
      </w:r>
      <w:r w:rsidR="00201CDE" w:rsidRPr="000E52E2">
        <w:t>March 2016</w:t>
      </w:r>
      <w:r w:rsidR="005019AE" w:rsidRPr="000E52E2">
        <w:br/>
      </w:r>
      <w:r w:rsidRPr="000E52E2">
        <w:t>by the</w:t>
      </w:r>
      <w:r w:rsidR="00442C1C" w:rsidRPr="000E52E2">
        <w:t xml:space="preserve"> </w:t>
      </w:r>
      <w:r w:rsidRPr="000E52E2">
        <w:t>Ministry of Health</w:t>
      </w:r>
      <w:r w:rsidRPr="000E52E2">
        <w:br/>
        <w:t>PO Box 5013, Wellington</w:t>
      </w:r>
      <w:r w:rsidR="00A80363" w:rsidRPr="000E52E2">
        <w:t xml:space="preserve"> 6145</w:t>
      </w:r>
      <w:r w:rsidRPr="000E52E2">
        <w:t>, New Zealand</w:t>
      </w:r>
    </w:p>
    <w:p w:rsidR="00082CD6" w:rsidRPr="000E52E2" w:rsidRDefault="00D863D0" w:rsidP="00082CD6">
      <w:pPr>
        <w:pStyle w:val="Imprint"/>
      </w:pPr>
      <w:r w:rsidRPr="000E52E2">
        <w:t>ISBN</w:t>
      </w:r>
      <w:r w:rsidR="00442C1C" w:rsidRPr="000E52E2">
        <w:t xml:space="preserve"> </w:t>
      </w:r>
      <w:r w:rsidR="00201CDE" w:rsidRPr="000E52E2">
        <w:t>978-0-947491-66-6</w:t>
      </w:r>
      <w:r w:rsidR="00442C1C" w:rsidRPr="000E52E2">
        <w:t xml:space="preserve"> </w:t>
      </w:r>
      <w:r w:rsidRPr="000E52E2">
        <w:t>(</w:t>
      </w:r>
      <w:r w:rsidR="00442C1C" w:rsidRPr="000E52E2">
        <w:t>online</w:t>
      </w:r>
      <w:proofErr w:type="gramStart"/>
      <w:r w:rsidRPr="000E52E2">
        <w:t>)</w:t>
      </w:r>
      <w:proofErr w:type="gramEnd"/>
      <w:r w:rsidR="00082CD6" w:rsidRPr="000E52E2">
        <w:br/>
        <w:t xml:space="preserve">HP </w:t>
      </w:r>
      <w:r w:rsidR="00201CDE" w:rsidRPr="000E52E2">
        <w:t>6350</w:t>
      </w:r>
    </w:p>
    <w:p w:rsidR="00C86248" w:rsidRPr="000E52E2" w:rsidRDefault="00C86248">
      <w:pPr>
        <w:pStyle w:val="Imprint"/>
      </w:pPr>
      <w:r w:rsidRPr="000E52E2">
        <w:t xml:space="preserve">This document is available </w:t>
      </w:r>
      <w:r w:rsidR="0071741C" w:rsidRPr="000E52E2">
        <w:t xml:space="preserve">at </w:t>
      </w:r>
      <w:r w:rsidRPr="000E52E2">
        <w:t>h</w:t>
      </w:r>
      <w:r w:rsidR="00A80363" w:rsidRPr="000E52E2">
        <w:t>ealth</w:t>
      </w:r>
      <w:r w:rsidRPr="000E52E2">
        <w:t>.govt.nz</w:t>
      </w:r>
    </w:p>
    <w:p w:rsidR="00C86248" w:rsidRPr="000E52E2" w:rsidRDefault="008C64C4">
      <w:pPr>
        <w:jc w:val="center"/>
      </w:pPr>
      <w:r w:rsidRPr="000E52E2">
        <w:rPr>
          <w:noProof/>
          <w:lang w:eastAsia="en-NZ"/>
        </w:rPr>
        <w:drawing>
          <wp:inline distT="0" distB="0" distL="0" distR="0" wp14:anchorId="2D2AE300" wp14:editId="61534E24">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0E52E2" w:rsidRDefault="007E74F1" w:rsidP="007E74F1">
      <w:pPr>
        <w:pStyle w:val="Heading3"/>
        <w:keepNext w:val="0"/>
        <w:shd w:val="clear" w:color="auto" w:fill="FFFFFF"/>
        <w:ind w:right="-851"/>
        <w:rPr>
          <w:sz w:val="18"/>
          <w:szCs w:val="18"/>
        </w:rPr>
      </w:pPr>
      <w:r w:rsidRPr="000E52E2">
        <w:rPr>
          <w:b w:val="0"/>
          <w:noProof/>
          <w:sz w:val="22"/>
          <w:szCs w:val="22"/>
          <w:lang w:eastAsia="en-NZ"/>
        </w:rPr>
        <w:drawing>
          <wp:inline distT="0" distB="0" distL="0" distR="0" wp14:anchorId="53E99E6F" wp14:editId="446FDC9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0E52E2">
        <w:rPr>
          <w:b w:val="0"/>
          <w:sz w:val="22"/>
          <w:szCs w:val="22"/>
        </w:rPr>
        <w:t xml:space="preserve"> </w:t>
      </w:r>
      <w:r w:rsidRPr="000E52E2">
        <w:rPr>
          <w:b w:val="0"/>
          <w:sz w:val="18"/>
          <w:szCs w:val="18"/>
        </w:rPr>
        <w:t xml:space="preserve">This work is licensed under the Creative Commons Attribution 4.0 International licence. In essence, </w:t>
      </w:r>
      <w:r w:rsidRPr="000E52E2">
        <w:rPr>
          <w:rFonts w:cs="Arial"/>
          <w:b w:val="0"/>
          <w:bCs/>
          <w:sz w:val="18"/>
          <w:szCs w:val="18"/>
        </w:rPr>
        <w:t xml:space="preserve">you are free to: </w:t>
      </w:r>
      <w:r w:rsidRPr="000E52E2">
        <w:rPr>
          <w:rFonts w:cs="Arial"/>
          <w:b w:val="0"/>
          <w:sz w:val="18"/>
          <w:szCs w:val="18"/>
        </w:rPr>
        <w:t xml:space="preserve">share </w:t>
      </w:r>
      <w:proofErr w:type="spellStart"/>
      <w:r w:rsidRPr="000E52E2">
        <w:rPr>
          <w:rFonts w:cs="Arial"/>
          <w:b w:val="0"/>
          <w:sz w:val="18"/>
          <w:szCs w:val="18"/>
        </w:rPr>
        <w:t>ie</w:t>
      </w:r>
      <w:proofErr w:type="spellEnd"/>
      <w:r w:rsidRPr="000E52E2">
        <w:rPr>
          <w:rFonts w:cs="Arial"/>
          <w:b w:val="0"/>
          <w:sz w:val="18"/>
          <w:szCs w:val="18"/>
        </w:rPr>
        <w:t xml:space="preserve">, copy and redistribute the material in any medium or format; adapt </w:t>
      </w:r>
      <w:proofErr w:type="spellStart"/>
      <w:r w:rsidRPr="000E52E2">
        <w:rPr>
          <w:rFonts w:cs="Arial"/>
          <w:b w:val="0"/>
          <w:sz w:val="18"/>
          <w:szCs w:val="18"/>
        </w:rPr>
        <w:t>ie</w:t>
      </w:r>
      <w:proofErr w:type="spellEnd"/>
      <w:r w:rsidRPr="000E52E2">
        <w:rPr>
          <w:rFonts w:cs="Arial"/>
          <w:b w:val="0"/>
          <w:sz w:val="18"/>
          <w:szCs w:val="18"/>
        </w:rPr>
        <w:t xml:space="preserve">, remix, transform and build upon the material. </w:t>
      </w:r>
      <w:r w:rsidRPr="000E52E2">
        <w:rPr>
          <w:rFonts w:cs="Arial"/>
          <w:b w:val="0"/>
          <w:bCs/>
          <w:sz w:val="18"/>
          <w:szCs w:val="18"/>
        </w:rPr>
        <w:t>You must give appropriate credit, provide a link to the licence and indicate if changes were made.</w:t>
      </w:r>
    </w:p>
    <w:p w:rsidR="00C86248" w:rsidRPr="000E52E2" w:rsidRDefault="00C86248">
      <w:pPr>
        <w:jc w:val="center"/>
        <w:sectPr w:rsidR="00C86248" w:rsidRPr="000E52E2" w:rsidSect="0016468A">
          <w:footerReference w:type="even" r:id="rId13"/>
          <w:footerReference w:type="default" r:id="rId14"/>
          <w:pgSz w:w="11907" w:h="16834" w:code="9"/>
          <w:pgMar w:top="1701" w:right="1134" w:bottom="1134" w:left="1985" w:header="0" w:footer="0" w:gutter="0"/>
          <w:cols w:space="720"/>
          <w:vAlign w:val="bottom"/>
        </w:sectPr>
      </w:pPr>
    </w:p>
    <w:p w:rsidR="006B3736" w:rsidRPr="000E52E2" w:rsidRDefault="006B3736" w:rsidP="006B3736">
      <w:pPr>
        <w:pStyle w:val="Heading1"/>
      </w:pPr>
      <w:bookmarkStart w:id="0" w:name="_Toc446335143"/>
      <w:bookmarkStart w:id="1" w:name="_Toc405792991"/>
      <w:bookmarkStart w:id="2" w:name="_Toc405793224"/>
      <w:r w:rsidRPr="000E52E2">
        <w:lastRenderedPageBreak/>
        <w:t>Acknowledgements</w:t>
      </w:r>
      <w:bookmarkEnd w:id="0"/>
    </w:p>
    <w:p w:rsidR="006B3736" w:rsidRPr="000E52E2" w:rsidRDefault="006B3736" w:rsidP="000E52E2">
      <w:r w:rsidRPr="000E52E2">
        <w:t>Feedback was received from:</w:t>
      </w:r>
    </w:p>
    <w:p w:rsidR="006B3736" w:rsidRPr="000E52E2" w:rsidRDefault="006B3736" w:rsidP="000E52E2">
      <w:pPr>
        <w:pStyle w:val="Bullet"/>
      </w:pPr>
      <w:r w:rsidRPr="000E52E2">
        <w:t>Auckland Diabetes Centre</w:t>
      </w:r>
    </w:p>
    <w:p w:rsidR="006B3736" w:rsidRPr="000E52E2" w:rsidRDefault="006B3736" w:rsidP="000E52E2">
      <w:pPr>
        <w:pStyle w:val="Bullet"/>
      </w:pPr>
      <w:r w:rsidRPr="000E52E2">
        <w:t xml:space="preserve">Barry </w:t>
      </w:r>
      <w:proofErr w:type="spellStart"/>
      <w:r w:rsidRPr="000E52E2">
        <w:t>Gainford</w:t>
      </w:r>
      <w:proofErr w:type="spellEnd"/>
      <w:r w:rsidRPr="000E52E2">
        <w:t xml:space="preserve"> </w:t>
      </w:r>
      <w:proofErr w:type="spellStart"/>
      <w:r w:rsidRPr="000E52E2">
        <w:t>Eyecare</w:t>
      </w:r>
      <w:proofErr w:type="spellEnd"/>
      <w:r w:rsidRPr="000E52E2">
        <w:t>, Blenheim</w:t>
      </w:r>
    </w:p>
    <w:p w:rsidR="006B3736" w:rsidRPr="000E52E2" w:rsidRDefault="006B3736" w:rsidP="000E52E2">
      <w:pPr>
        <w:pStyle w:val="Bullet"/>
      </w:pPr>
      <w:r w:rsidRPr="000E52E2">
        <w:t>Diabetes New Zealand</w:t>
      </w:r>
    </w:p>
    <w:p w:rsidR="006B3736" w:rsidRPr="000E52E2" w:rsidRDefault="006B3736" w:rsidP="000E52E2">
      <w:pPr>
        <w:pStyle w:val="Bullet"/>
      </w:pPr>
      <w:r w:rsidRPr="000E52E2">
        <w:t xml:space="preserve">Diabetes Retinal Screening Group, </w:t>
      </w:r>
      <w:proofErr w:type="spellStart"/>
      <w:r w:rsidRPr="000E52E2">
        <w:t>Tair</w:t>
      </w:r>
      <w:r w:rsidR="00E61D6E">
        <w:t>ā</w:t>
      </w:r>
      <w:r w:rsidRPr="000E52E2">
        <w:t>whiti</w:t>
      </w:r>
      <w:proofErr w:type="spellEnd"/>
      <w:r w:rsidRPr="000E52E2">
        <w:t xml:space="preserve"> District Health Board</w:t>
      </w:r>
    </w:p>
    <w:p w:rsidR="006B3736" w:rsidRPr="000E52E2" w:rsidRDefault="006B3736" w:rsidP="000E52E2">
      <w:pPr>
        <w:pStyle w:val="Bullet"/>
      </w:pPr>
      <w:r w:rsidRPr="000E52E2">
        <w:t>Diabetic Photographic Retinopathy Screening Service Governance Group, Canterbury Clinical Network, Canterbury District Health Board</w:t>
      </w:r>
    </w:p>
    <w:p w:rsidR="006B3736" w:rsidRPr="000E52E2" w:rsidRDefault="006B3736" w:rsidP="000E52E2">
      <w:pPr>
        <w:pStyle w:val="Bullet"/>
      </w:pPr>
      <w:r w:rsidRPr="000E52E2">
        <w:t>Hawke</w:t>
      </w:r>
      <w:r w:rsidR="00464C89">
        <w:t>’</w:t>
      </w:r>
      <w:r w:rsidRPr="000E52E2">
        <w:t>s Bay District Health Board</w:t>
      </w:r>
    </w:p>
    <w:p w:rsidR="006B3736" w:rsidRPr="000E52E2" w:rsidRDefault="006B3736" w:rsidP="000E52E2">
      <w:pPr>
        <w:pStyle w:val="Bullet"/>
      </w:pPr>
      <w:r w:rsidRPr="000E52E2">
        <w:t>National Diabetes Service Improvement Group (NDSIG)</w:t>
      </w:r>
    </w:p>
    <w:p w:rsidR="006B3736" w:rsidRPr="000E52E2" w:rsidRDefault="006B3736" w:rsidP="000E52E2">
      <w:pPr>
        <w:pStyle w:val="Bullet"/>
      </w:pPr>
      <w:r w:rsidRPr="000E52E2">
        <w:t>New Zealand Association of Optometrists (NZAO)</w:t>
      </w:r>
    </w:p>
    <w:p w:rsidR="006B3736" w:rsidRPr="000E52E2" w:rsidRDefault="006B3736" w:rsidP="000E52E2">
      <w:pPr>
        <w:pStyle w:val="Bullet"/>
      </w:pPr>
      <w:r w:rsidRPr="000E52E2">
        <w:t>Northern Region Diabetes Network, Northern Regional Alliance, Auckland</w:t>
      </w:r>
    </w:p>
    <w:p w:rsidR="006B3736" w:rsidRPr="000E52E2" w:rsidRDefault="006B3736" w:rsidP="000E52E2">
      <w:pPr>
        <w:pStyle w:val="Bullet"/>
      </w:pPr>
      <w:r w:rsidRPr="000E52E2">
        <w:t>The Royal Australasian College of Physicians</w:t>
      </w:r>
    </w:p>
    <w:p w:rsidR="006B3736" w:rsidRPr="000E52E2" w:rsidRDefault="006B3736" w:rsidP="000E52E2">
      <w:pPr>
        <w:pStyle w:val="Bullet"/>
      </w:pPr>
      <w:r w:rsidRPr="000E52E2">
        <w:t>The Royal Australian and New Zealand College of Ophthalmologists.</w:t>
      </w:r>
    </w:p>
    <w:p w:rsidR="006B3736" w:rsidRPr="000E52E2" w:rsidRDefault="006B3736" w:rsidP="000E52E2">
      <w:pPr>
        <w:rPr>
          <w:rFonts w:eastAsia="Century"/>
        </w:rPr>
      </w:pPr>
    </w:p>
    <w:p w:rsidR="006B3736" w:rsidRPr="000E52E2" w:rsidRDefault="006B3736" w:rsidP="000E52E2">
      <w:r w:rsidRPr="000E52E2">
        <w:t>Diabetic Retinal Screening, Grading and Management Guidance Steering Group (SG) and Implementation Group (IG) members:</w:t>
      </w:r>
    </w:p>
    <w:p w:rsidR="006B3736" w:rsidRPr="000E52E2" w:rsidRDefault="006B3736" w:rsidP="000E52E2">
      <w:pPr>
        <w:pStyle w:val="Bullet"/>
      </w:pPr>
      <w:r w:rsidRPr="000E52E2">
        <w:t xml:space="preserve">Olga </w:t>
      </w:r>
      <w:proofErr w:type="spellStart"/>
      <w:r w:rsidRPr="000E52E2">
        <w:t>Brochner</w:t>
      </w:r>
      <w:proofErr w:type="spellEnd"/>
      <w:r w:rsidRPr="000E52E2">
        <w:t>, Ophthalmology Clinical Nurse Specialist, Auckland DHB (SG)</w:t>
      </w:r>
    </w:p>
    <w:p w:rsidR="006B3736" w:rsidRPr="000E52E2" w:rsidRDefault="006B3736" w:rsidP="000E52E2">
      <w:pPr>
        <w:pStyle w:val="Bullet"/>
      </w:pPr>
      <w:r w:rsidRPr="000E52E2">
        <w:t xml:space="preserve">Kirsten Coppell, Public Health Physician, University of </w:t>
      </w:r>
      <w:proofErr w:type="spellStart"/>
      <w:r w:rsidRPr="000E52E2">
        <w:t>Otago</w:t>
      </w:r>
      <w:proofErr w:type="spellEnd"/>
      <w:r w:rsidRPr="000E52E2">
        <w:t>, Dunedin (SG)</w:t>
      </w:r>
    </w:p>
    <w:p w:rsidR="006B3736" w:rsidRPr="000E52E2" w:rsidRDefault="006B3736" w:rsidP="000E52E2">
      <w:pPr>
        <w:pStyle w:val="Bullet"/>
      </w:pPr>
      <w:r w:rsidRPr="000E52E2">
        <w:t xml:space="preserve">Stephanie Emma, General Manager, </w:t>
      </w:r>
      <w:proofErr w:type="spellStart"/>
      <w:r w:rsidRPr="000E52E2">
        <w:t>Mangere</w:t>
      </w:r>
      <w:proofErr w:type="spellEnd"/>
      <w:r w:rsidRPr="000E52E2">
        <w:t xml:space="preserve"> Community Health Trust (SG, IG)</w:t>
      </w:r>
    </w:p>
    <w:p w:rsidR="006B3736" w:rsidRPr="000E52E2" w:rsidRDefault="006B3736" w:rsidP="000E52E2">
      <w:pPr>
        <w:pStyle w:val="Bullet"/>
      </w:pPr>
      <w:r w:rsidRPr="000E52E2">
        <w:t xml:space="preserve">John </w:t>
      </w:r>
      <w:proofErr w:type="spellStart"/>
      <w:r w:rsidRPr="000E52E2">
        <w:t>Grylls</w:t>
      </w:r>
      <w:proofErr w:type="spellEnd"/>
      <w:r w:rsidRPr="000E52E2">
        <w:t xml:space="preserve">, Optometrist, </w:t>
      </w:r>
      <w:proofErr w:type="spellStart"/>
      <w:r w:rsidRPr="000E52E2">
        <w:t>Kapiti</w:t>
      </w:r>
      <w:proofErr w:type="spellEnd"/>
      <w:r w:rsidRPr="000E52E2">
        <w:t xml:space="preserve"> (SG)</w:t>
      </w:r>
    </w:p>
    <w:p w:rsidR="006B3736" w:rsidRPr="000E52E2" w:rsidRDefault="006B3736" w:rsidP="000E52E2">
      <w:pPr>
        <w:pStyle w:val="Bullet"/>
      </w:pPr>
      <w:proofErr w:type="spellStart"/>
      <w:r w:rsidRPr="000E52E2">
        <w:t>Tofa</w:t>
      </w:r>
      <w:proofErr w:type="spellEnd"/>
      <w:r w:rsidRPr="000E52E2">
        <w:t xml:space="preserve"> Gush, Director, Pacific Peoples Health, </w:t>
      </w:r>
      <w:proofErr w:type="spellStart"/>
      <w:r w:rsidRPr="000E52E2">
        <w:t>Wairarapa</w:t>
      </w:r>
      <w:proofErr w:type="spellEnd"/>
      <w:r w:rsidRPr="000E52E2">
        <w:t xml:space="preserve"> and Hutt Valley DHBs (IG)</w:t>
      </w:r>
    </w:p>
    <w:p w:rsidR="006B3736" w:rsidRPr="000E52E2" w:rsidRDefault="006B3736" w:rsidP="000E52E2">
      <w:pPr>
        <w:pStyle w:val="Bullet"/>
      </w:pPr>
      <w:r w:rsidRPr="000E52E2">
        <w:t xml:space="preserve">Kit </w:t>
      </w:r>
      <w:proofErr w:type="spellStart"/>
      <w:r w:rsidRPr="000E52E2">
        <w:t>Hoeben</w:t>
      </w:r>
      <w:proofErr w:type="spellEnd"/>
      <w:r w:rsidRPr="000E52E2">
        <w:t>, Funding and Planning Portfolio Manager, Canterbury DHB (IG)</w:t>
      </w:r>
    </w:p>
    <w:p w:rsidR="006B3736" w:rsidRPr="000E52E2" w:rsidRDefault="006B3736" w:rsidP="000E52E2">
      <w:pPr>
        <w:pStyle w:val="Bullet"/>
      </w:pPr>
      <w:r w:rsidRPr="000E52E2">
        <w:t xml:space="preserve">Jeff Lowe, General Practitioner, </w:t>
      </w:r>
      <w:proofErr w:type="spellStart"/>
      <w:r w:rsidRPr="000E52E2">
        <w:t>Karori</w:t>
      </w:r>
      <w:proofErr w:type="spellEnd"/>
      <w:r w:rsidRPr="000E52E2">
        <w:t xml:space="preserve"> Medical Centre (IG)</w:t>
      </w:r>
    </w:p>
    <w:p w:rsidR="006B3736" w:rsidRPr="000E52E2" w:rsidRDefault="006B3736" w:rsidP="000E52E2">
      <w:pPr>
        <w:pStyle w:val="Bullet"/>
      </w:pPr>
      <w:r w:rsidRPr="000E52E2">
        <w:t xml:space="preserve">Jayden </w:t>
      </w:r>
      <w:proofErr w:type="spellStart"/>
      <w:r w:rsidRPr="000E52E2">
        <w:t>MacRae</w:t>
      </w:r>
      <w:proofErr w:type="spellEnd"/>
      <w:r w:rsidRPr="000E52E2">
        <w:t>, Chief Executive Officer, Patients First, Wellington (IG)</w:t>
      </w:r>
    </w:p>
    <w:p w:rsidR="006B3736" w:rsidRPr="000E52E2" w:rsidRDefault="006B3736" w:rsidP="000E52E2">
      <w:pPr>
        <w:pStyle w:val="Bullet"/>
      </w:pPr>
      <w:r w:rsidRPr="000E52E2">
        <w:t>Sam Kemp-</w:t>
      </w:r>
      <w:proofErr w:type="spellStart"/>
      <w:r w:rsidRPr="000E52E2">
        <w:t>Milham</w:t>
      </w:r>
      <w:proofErr w:type="spellEnd"/>
      <w:r w:rsidRPr="000E52E2">
        <w:t>, Diabetes Programme Manager, Ministry of Health (SG, IG)</w:t>
      </w:r>
    </w:p>
    <w:p w:rsidR="006B3736" w:rsidRPr="000E52E2" w:rsidRDefault="006B3736" w:rsidP="000E52E2">
      <w:pPr>
        <w:pStyle w:val="Bullet"/>
      </w:pPr>
      <w:r w:rsidRPr="000E52E2">
        <w:t xml:space="preserve">Helen </w:t>
      </w:r>
      <w:proofErr w:type="spellStart"/>
      <w:r w:rsidRPr="000E52E2">
        <w:t>Rodenburg</w:t>
      </w:r>
      <w:proofErr w:type="spellEnd"/>
      <w:r w:rsidRPr="000E52E2">
        <w:t>, Clinical Director, Long Term Conditions, Ministry of Health (IG)</w:t>
      </w:r>
    </w:p>
    <w:p w:rsidR="006B3736" w:rsidRPr="000E52E2" w:rsidRDefault="006B3736" w:rsidP="000E52E2">
      <w:pPr>
        <w:pStyle w:val="Bullet"/>
      </w:pPr>
      <w:r w:rsidRPr="000E52E2">
        <w:t xml:space="preserve">Gordon Sanderson (Chair), Optometrist, University of </w:t>
      </w:r>
      <w:proofErr w:type="spellStart"/>
      <w:r w:rsidRPr="000E52E2">
        <w:t>Otago</w:t>
      </w:r>
      <w:proofErr w:type="spellEnd"/>
      <w:r w:rsidRPr="000E52E2">
        <w:t>, Dunedin (SG)</w:t>
      </w:r>
    </w:p>
    <w:p w:rsidR="006B3736" w:rsidRPr="000E52E2" w:rsidRDefault="006B3736" w:rsidP="000E52E2">
      <w:pPr>
        <w:pStyle w:val="Bullet"/>
      </w:pPr>
      <w:r w:rsidRPr="000E52E2">
        <w:t>Derek Sherwood, Ophthalmologist, Nelson Marlborough DHB (SG)</w:t>
      </w:r>
    </w:p>
    <w:p w:rsidR="006B3736" w:rsidRPr="000E52E2" w:rsidRDefault="006B3736" w:rsidP="000E52E2">
      <w:pPr>
        <w:pStyle w:val="Bullet"/>
      </w:pPr>
      <w:r w:rsidRPr="000E52E2">
        <w:t xml:space="preserve">Mary Jane </w:t>
      </w:r>
      <w:proofErr w:type="spellStart"/>
      <w:r w:rsidRPr="000E52E2">
        <w:t>Sime</w:t>
      </w:r>
      <w:proofErr w:type="spellEnd"/>
      <w:r w:rsidRPr="000E52E2">
        <w:t>, Ophthalmologist, Southern DHB (SG)</w:t>
      </w:r>
    </w:p>
    <w:p w:rsidR="006B3736" w:rsidRPr="000E52E2" w:rsidRDefault="006B3736" w:rsidP="000E52E2">
      <w:pPr>
        <w:pStyle w:val="Bullet"/>
      </w:pPr>
      <w:r w:rsidRPr="000E52E2">
        <w:t>David Squirrel, Ophthalmologist, Auckland DHB (SG, IG)</w:t>
      </w:r>
    </w:p>
    <w:p w:rsidR="006B3736" w:rsidRPr="000E52E2" w:rsidRDefault="006B3736" w:rsidP="000E52E2">
      <w:pPr>
        <w:pStyle w:val="Bullet"/>
      </w:pPr>
      <w:r w:rsidRPr="000E52E2">
        <w:t>Wilson Sue, Optometrist, Upper Hutt (IG)</w:t>
      </w:r>
    </w:p>
    <w:p w:rsidR="006B3736" w:rsidRPr="000E52E2" w:rsidRDefault="006B3736" w:rsidP="000E52E2">
      <w:pPr>
        <w:pStyle w:val="Bullet"/>
      </w:pPr>
      <w:r w:rsidRPr="000E52E2">
        <w:t>Debbie Walker, Ministry of Health Long Term Conditions Consumer Advisory Panellist, Health Navigator Charitable Trust (IG)</w:t>
      </w:r>
    </w:p>
    <w:p w:rsidR="006B3736" w:rsidRPr="000E52E2" w:rsidRDefault="006B3736" w:rsidP="000E52E2">
      <w:pPr>
        <w:pStyle w:val="Bullet"/>
      </w:pPr>
      <w:r w:rsidRPr="000E52E2">
        <w:t xml:space="preserve">Fiona Wu, Consultant </w:t>
      </w:r>
      <w:proofErr w:type="spellStart"/>
      <w:r w:rsidRPr="000E52E2">
        <w:t>Diabetologist</w:t>
      </w:r>
      <w:proofErr w:type="spellEnd"/>
      <w:r w:rsidRPr="000E52E2">
        <w:t xml:space="preserve">/Endocrinologist, </w:t>
      </w:r>
      <w:proofErr w:type="spellStart"/>
      <w:r w:rsidRPr="000E52E2">
        <w:t>Greenlane</w:t>
      </w:r>
      <w:proofErr w:type="spellEnd"/>
      <w:r w:rsidRPr="000E52E2">
        <w:t xml:space="preserve"> Clinical Centre (IG)</w:t>
      </w:r>
    </w:p>
    <w:p w:rsidR="006B3736" w:rsidRPr="000E52E2" w:rsidRDefault="006B3736" w:rsidP="000E52E2">
      <w:pPr>
        <w:pStyle w:val="Bullet"/>
      </w:pPr>
      <w:r w:rsidRPr="000E52E2">
        <w:t>Justina Wu, Endocrinologist, Waikato Regional Diabetes Service (IG).</w:t>
      </w:r>
    </w:p>
    <w:p w:rsidR="00357282" w:rsidRDefault="00357282">
      <w:pPr>
        <w:spacing w:line="240" w:lineRule="auto"/>
      </w:pPr>
    </w:p>
    <w:p w:rsidR="00357282" w:rsidRDefault="00357282">
      <w:pPr>
        <w:spacing w:line="240" w:lineRule="auto"/>
        <w:sectPr w:rsidR="00357282"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357282" w:rsidRDefault="00357282">
      <w:pPr>
        <w:spacing w:line="240" w:lineRule="auto"/>
      </w:pPr>
    </w:p>
    <w:p w:rsidR="00357282" w:rsidRDefault="00357282">
      <w:pPr>
        <w:spacing w:line="240" w:lineRule="auto"/>
        <w:sectPr w:rsidR="00357282" w:rsidSect="009D5125">
          <w:footerReference w:type="even" r:id="rId19"/>
          <w:pgSz w:w="11907" w:h="16840" w:code="9"/>
          <w:pgMar w:top="851" w:right="1134" w:bottom="1134" w:left="1134" w:header="284" w:footer="567" w:gutter="284"/>
          <w:pgNumType w:fmt="lowerRoman"/>
          <w:cols w:space="720"/>
        </w:sectPr>
      </w:pPr>
    </w:p>
    <w:p w:rsidR="00C86248" w:rsidRPr="000E52E2" w:rsidRDefault="00C86248">
      <w:pPr>
        <w:pStyle w:val="IntroHead"/>
      </w:pPr>
      <w:r w:rsidRPr="000E52E2">
        <w:lastRenderedPageBreak/>
        <w:t>Contents</w:t>
      </w:r>
      <w:bookmarkEnd w:id="1"/>
      <w:bookmarkEnd w:id="2"/>
    </w:p>
    <w:p w:rsidR="000F13D1" w:rsidRDefault="00C86248">
      <w:pPr>
        <w:pStyle w:val="TOC1"/>
        <w:rPr>
          <w:rFonts w:asciiTheme="minorHAnsi" w:eastAsiaTheme="minorEastAsia" w:hAnsiTheme="minorHAnsi" w:cstheme="minorBidi"/>
          <w:b w:val="0"/>
          <w:noProof/>
          <w:szCs w:val="22"/>
          <w:lang w:eastAsia="en-NZ"/>
        </w:rPr>
      </w:pPr>
      <w:r w:rsidRPr="000E52E2">
        <w:rPr>
          <w:b w:val="0"/>
        </w:rPr>
        <w:fldChar w:fldCharType="begin"/>
      </w:r>
      <w:r w:rsidRPr="000E52E2">
        <w:instrText xml:space="preserve"> TOC \o "1-2" </w:instrText>
      </w:r>
      <w:r w:rsidRPr="000E52E2">
        <w:rPr>
          <w:b w:val="0"/>
        </w:rPr>
        <w:fldChar w:fldCharType="separate"/>
      </w:r>
      <w:r w:rsidR="000F13D1">
        <w:rPr>
          <w:noProof/>
        </w:rPr>
        <w:t>Acknowledgements</w:t>
      </w:r>
      <w:r w:rsidR="000F13D1">
        <w:rPr>
          <w:noProof/>
        </w:rPr>
        <w:tab/>
      </w:r>
      <w:r w:rsidR="000F13D1">
        <w:rPr>
          <w:noProof/>
        </w:rPr>
        <w:fldChar w:fldCharType="begin"/>
      </w:r>
      <w:r w:rsidR="000F13D1">
        <w:rPr>
          <w:noProof/>
        </w:rPr>
        <w:instrText xml:space="preserve"> PAGEREF _Toc446335143 \h </w:instrText>
      </w:r>
      <w:r w:rsidR="000F13D1">
        <w:rPr>
          <w:noProof/>
        </w:rPr>
      </w:r>
      <w:r w:rsidR="000F13D1">
        <w:rPr>
          <w:noProof/>
        </w:rPr>
        <w:fldChar w:fldCharType="separate"/>
      </w:r>
      <w:r w:rsidR="00BF31D9">
        <w:rPr>
          <w:noProof/>
        </w:rPr>
        <w:t>iii</w:t>
      </w:r>
      <w:r w:rsidR="000F13D1">
        <w:rPr>
          <w:noProof/>
        </w:rPr>
        <w:fldChar w:fldCharType="end"/>
      </w:r>
    </w:p>
    <w:p w:rsidR="000F13D1" w:rsidRDefault="000F13D1">
      <w:pPr>
        <w:pStyle w:val="TOC1"/>
        <w:rPr>
          <w:rFonts w:asciiTheme="minorHAnsi" w:eastAsiaTheme="minorEastAsia" w:hAnsiTheme="minorHAnsi" w:cstheme="minorBidi"/>
          <w:b w:val="0"/>
          <w:noProof/>
          <w:szCs w:val="22"/>
          <w:lang w:eastAsia="en-NZ"/>
        </w:rPr>
      </w:pPr>
      <w:r>
        <w:rPr>
          <w:noProof/>
        </w:rPr>
        <w:t>Executive summary</w:t>
      </w:r>
      <w:r>
        <w:rPr>
          <w:noProof/>
        </w:rPr>
        <w:tab/>
      </w:r>
      <w:r>
        <w:rPr>
          <w:noProof/>
        </w:rPr>
        <w:fldChar w:fldCharType="begin"/>
      </w:r>
      <w:r>
        <w:rPr>
          <w:noProof/>
        </w:rPr>
        <w:instrText xml:space="preserve"> PAGEREF _Toc446335144 \h </w:instrText>
      </w:r>
      <w:r>
        <w:rPr>
          <w:noProof/>
        </w:rPr>
      </w:r>
      <w:r>
        <w:rPr>
          <w:noProof/>
        </w:rPr>
        <w:fldChar w:fldCharType="separate"/>
      </w:r>
      <w:r w:rsidR="00BF31D9">
        <w:rPr>
          <w:noProof/>
        </w:rPr>
        <w:t>vii</w:t>
      </w:r>
      <w:r>
        <w:rPr>
          <w:noProof/>
        </w:rPr>
        <w:fldChar w:fldCharType="end"/>
      </w:r>
    </w:p>
    <w:p w:rsidR="000F13D1" w:rsidRDefault="000F13D1">
      <w:pPr>
        <w:pStyle w:val="TOC1"/>
        <w:tabs>
          <w:tab w:val="left" w:pos="1276"/>
        </w:tabs>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Introduction</w:t>
      </w:r>
      <w:r>
        <w:rPr>
          <w:noProof/>
        </w:rPr>
        <w:tab/>
      </w:r>
      <w:r>
        <w:rPr>
          <w:noProof/>
        </w:rPr>
        <w:fldChar w:fldCharType="begin"/>
      </w:r>
      <w:r>
        <w:rPr>
          <w:noProof/>
        </w:rPr>
        <w:instrText xml:space="preserve"> PAGEREF _Toc446335145 \h </w:instrText>
      </w:r>
      <w:r>
        <w:rPr>
          <w:noProof/>
        </w:rPr>
      </w:r>
      <w:r>
        <w:rPr>
          <w:noProof/>
        </w:rPr>
        <w:fldChar w:fldCharType="separate"/>
      </w:r>
      <w:r w:rsidR="00BF31D9">
        <w:rPr>
          <w:noProof/>
        </w:rPr>
        <w:t>1</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Overview</w:t>
      </w:r>
      <w:r>
        <w:rPr>
          <w:noProof/>
        </w:rPr>
        <w:tab/>
      </w:r>
      <w:r>
        <w:rPr>
          <w:noProof/>
        </w:rPr>
        <w:fldChar w:fldCharType="begin"/>
      </w:r>
      <w:r>
        <w:rPr>
          <w:noProof/>
        </w:rPr>
        <w:instrText xml:space="preserve"> PAGEREF _Toc446335146 \h </w:instrText>
      </w:r>
      <w:r>
        <w:rPr>
          <w:noProof/>
        </w:rPr>
      </w:r>
      <w:r>
        <w:rPr>
          <w:noProof/>
        </w:rPr>
        <w:fldChar w:fldCharType="separate"/>
      </w:r>
      <w:r w:rsidR="00BF31D9">
        <w:rPr>
          <w:noProof/>
        </w:rPr>
        <w:t>1</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The diabetes retinal screening pathway</w:t>
      </w:r>
      <w:r>
        <w:rPr>
          <w:noProof/>
        </w:rPr>
        <w:tab/>
      </w:r>
      <w:r>
        <w:rPr>
          <w:noProof/>
        </w:rPr>
        <w:fldChar w:fldCharType="begin"/>
      </w:r>
      <w:r>
        <w:rPr>
          <w:noProof/>
        </w:rPr>
        <w:instrText xml:space="preserve"> PAGEREF _Toc446335147 \h </w:instrText>
      </w:r>
      <w:r>
        <w:rPr>
          <w:noProof/>
        </w:rPr>
      </w:r>
      <w:r>
        <w:rPr>
          <w:noProof/>
        </w:rPr>
        <w:fldChar w:fldCharType="separate"/>
      </w:r>
      <w:r w:rsidR="00BF31D9">
        <w:rPr>
          <w:noProof/>
        </w:rPr>
        <w:t>2</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Key features</w:t>
      </w:r>
      <w:r>
        <w:rPr>
          <w:noProof/>
        </w:rPr>
        <w:tab/>
      </w:r>
      <w:r>
        <w:rPr>
          <w:noProof/>
        </w:rPr>
        <w:fldChar w:fldCharType="begin"/>
      </w:r>
      <w:r>
        <w:rPr>
          <w:noProof/>
        </w:rPr>
        <w:instrText xml:space="preserve"> PAGEREF _Toc446335148 \h </w:instrText>
      </w:r>
      <w:r>
        <w:rPr>
          <w:noProof/>
        </w:rPr>
      </w:r>
      <w:r>
        <w:rPr>
          <w:noProof/>
        </w:rPr>
        <w:fldChar w:fldCharType="separate"/>
      </w:r>
      <w:r w:rsidR="00BF31D9">
        <w:rPr>
          <w:noProof/>
        </w:rPr>
        <w:t>2</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Risk of occurrence and progression of diabetic retinopathy: clinical modifiers</w:t>
      </w:r>
      <w:r>
        <w:rPr>
          <w:noProof/>
        </w:rPr>
        <w:tab/>
      </w:r>
      <w:r>
        <w:rPr>
          <w:noProof/>
        </w:rPr>
        <w:fldChar w:fldCharType="begin"/>
      </w:r>
      <w:r>
        <w:rPr>
          <w:noProof/>
        </w:rPr>
        <w:instrText xml:space="preserve"> PAGEREF _Toc446335149 \h </w:instrText>
      </w:r>
      <w:r>
        <w:rPr>
          <w:noProof/>
        </w:rPr>
      </w:r>
      <w:r>
        <w:rPr>
          <w:noProof/>
        </w:rPr>
        <w:fldChar w:fldCharType="separate"/>
      </w:r>
      <w:r w:rsidR="00BF31D9">
        <w:rPr>
          <w:noProof/>
        </w:rPr>
        <w:t>3</w:t>
      </w:r>
      <w:r>
        <w:rPr>
          <w:noProof/>
        </w:rPr>
        <w:fldChar w:fldCharType="end"/>
      </w:r>
    </w:p>
    <w:p w:rsidR="000F13D1" w:rsidRDefault="000F13D1">
      <w:pPr>
        <w:pStyle w:val="TOC1"/>
        <w:tabs>
          <w:tab w:val="left" w:pos="1276"/>
        </w:tabs>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Screening the population</w:t>
      </w:r>
      <w:r>
        <w:rPr>
          <w:noProof/>
        </w:rPr>
        <w:tab/>
      </w:r>
      <w:r>
        <w:rPr>
          <w:noProof/>
        </w:rPr>
        <w:fldChar w:fldCharType="begin"/>
      </w:r>
      <w:r>
        <w:rPr>
          <w:noProof/>
        </w:rPr>
        <w:instrText xml:space="preserve"> PAGEREF _Toc446335150 \h </w:instrText>
      </w:r>
      <w:r>
        <w:rPr>
          <w:noProof/>
        </w:rPr>
      </w:r>
      <w:r>
        <w:rPr>
          <w:noProof/>
        </w:rPr>
        <w:fldChar w:fldCharType="separate"/>
      </w:r>
      <w:r w:rsidR="00BF31D9">
        <w:rPr>
          <w:noProof/>
        </w:rPr>
        <w:t>4</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Eligibility for referral to diabetic retinal screening</w:t>
      </w:r>
      <w:r>
        <w:rPr>
          <w:noProof/>
        </w:rPr>
        <w:tab/>
      </w:r>
      <w:r>
        <w:rPr>
          <w:noProof/>
        </w:rPr>
        <w:fldChar w:fldCharType="begin"/>
      </w:r>
      <w:r>
        <w:rPr>
          <w:noProof/>
        </w:rPr>
        <w:instrText xml:space="preserve"> PAGEREF _Toc446335151 \h </w:instrText>
      </w:r>
      <w:r>
        <w:rPr>
          <w:noProof/>
        </w:rPr>
      </w:r>
      <w:r>
        <w:rPr>
          <w:noProof/>
        </w:rPr>
        <w:fldChar w:fldCharType="separate"/>
      </w:r>
      <w:r w:rsidR="00BF31D9">
        <w:rPr>
          <w:noProof/>
        </w:rPr>
        <w:t>4</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Ineligibility for referral to retinal screening</w:t>
      </w:r>
      <w:r>
        <w:rPr>
          <w:noProof/>
        </w:rPr>
        <w:tab/>
      </w:r>
      <w:r>
        <w:rPr>
          <w:noProof/>
        </w:rPr>
        <w:fldChar w:fldCharType="begin"/>
      </w:r>
      <w:r>
        <w:rPr>
          <w:noProof/>
        </w:rPr>
        <w:instrText xml:space="preserve"> PAGEREF _Toc446335152 \h </w:instrText>
      </w:r>
      <w:r>
        <w:rPr>
          <w:noProof/>
        </w:rPr>
      </w:r>
      <w:r>
        <w:rPr>
          <w:noProof/>
        </w:rPr>
        <w:fldChar w:fldCharType="separate"/>
      </w:r>
      <w:r w:rsidR="00BF31D9">
        <w:rPr>
          <w:noProof/>
        </w:rPr>
        <w:t>4</w:t>
      </w:r>
      <w:r>
        <w:rPr>
          <w:noProof/>
        </w:rPr>
        <w:fldChar w:fldCharType="end"/>
      </w:r>
    </w:p>
    <w:p w:rsidR="000F13D1" w:rsidRDefault="000F13D1">
      <w:pPr>
        <w:pStyle w:val="TOC1"/>
        <w:tabs>
          <w:tab w:val="left" w:pos="1276"/>
        </w:tabs>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When to start and stop screening for diabetic retinopathy</w:t>
      </w:r>
      <w:r>
        <w:rPr>
          <w:noProof/>
        </w:rPr>
        <w:tab/>
      </w:r>
      <w:r>
        <w:rPr>
          <w:noProof/>
        </w:rPr>
        <w:fldChar w:fldCharType="begin"/>
      </w:r>
      <w:r>
        <w:rPr>
          <w:noProof/>
        </w:rPr>
        <w:instrText xml:space="preserve"> PAGEREF _Toc446335153 \h </w:instrText>
      </w:r>
      <w:r>
        <w:rPr>
          <w:noProof/>
        </w:rPr>
      </w:r>
      <w:r>
        <w:rPr>
          <w:noProof/>
        </w:rPr>
        <w:fldChar w:fldCharType="separate"/>
      </w:r>
      <w:r w:rsidR="00BF31D9">
        <w:rPr>
          <w:noProof/>
        </w:rPr>
        <w:t>5</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When to start diabetic retinal screening</w:t>
      </w:r>
      <w:r>
        <w:rPr>
          <w:noProof/>
        </w:rPr>
        <w:tab/>
      </w:r>
      <w:r>
        <w:rPr>
          <w:noProof/>
        </w:rPr>
        <w:fldChar w:fldCharType="begin"/>
      </w:r>
      <w:r>
        <w:rPr>
          <w:noProof/>
        </w:rPr>
        <w:instrText xml:space="preserve"> PAGEREF _Toc446335154 \h </w:instrText>
      </w:r>
      <w:r>
        <w:rPr>
          <w:noProof/>
        </w:rPr>
      </w:r>
      <w:r>
        <w:rPr>
          <w:noProof/>
        </w:rPr>
        <w:fldChar w:fldCharType="separate"/>
      </w:r>
      <w:r w:rsidR="00BF31D9">
        <w:rPr>
          <w:noProof/>
        </w:rPr>
        <w:t>5</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When to cease diabetic retinal screening</w:t>
      </w:r>
      <w:r>
        <w:rPr>
          <w:noProof/>
        </w:rPr>
        <w:tab/>
      </w:r>
      <w:r>
        <w:rPr>
          <w:noProof/>
        </w:rPr>
        <w:fldChar w:fldCharType="begin"/>
      </w:r>
      <w:r>
        <w:rPr>
          <w:noProof/>
        </w:rPr>
        <w:instrText xml:space="preserve"> PAGEREF _Toc446335155 \h </w:instrText>
      </w:r>
      <w:r>
        <w:rPr>
          <w:noProof/>
        </w:rPr>
      </w:r>
      <w:r>
        <w:rPr>
          <w:noProof/>
        </w:rPr>
        <w:fldChar w:fldCharType="separate"/>
      </w:r>
      <w:r w:rsidR="00BF31D9">
        <w:rPr>
          <w:noProof/>
        </w:rPr>
        <w:t>5</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3.3</w:t>
      </w:r>
      <w:r>
        <w:rPr>
          <w:rFonts w:asciiTheme="minorHAnsi" w:eastAsiaTheme="minorEastAsia" w:hAnsiTheme="minorHAnsi" w:cstheme="minorBidi"/>
          <w:noProof/>
          <w:szCs w:val="22"/>
          <w:lang w:eastAsia="en-NZ"/>
        </w:rPr>
        <w:tab/>
      </w:r>
      <w:r>
        <w:rPr>
          <w:noProof/>
        </w:rPr>
        <w:t>Patients transferring between regional diabetic retinal screening services</w:t>
      </w:r>
      <w:r>
        <w:rPr>
          <w:noProof/>
        </w:rPr>
        <w:tab/>
      </w:r>
      <w:r>
        <w:rPr>
          <w:noProof/>
        </w:rPr>
        <w:fldChar w:fldCharType="begin"/>
      </w:r>
      <w:r>
        <w:rPr>
          <w:noProof/>
        </w:rPr>
        <w:instrText xml:space="preserve"> PAGEREF _Toc446335156 \h </w:instrText>
      </w:r>
      <w:r>
        <w:rPr>
          <w:noProof/>
        </w:rPr>
      </w:r>
      <w:r>
        <w:rPr>
          <w:noProof/>
        </w:rPr>
        <w:fldChar w:fldCharType="separate"/>
      </w:r>
      <w:r w:rsidR="00BF31D9">
        <w:rPr>
          <w:noProof/>
        </w:rPr>
        <w:t>5</w:t>
      </w:r>
      <w:r>
        <w:rPr>
          <w:noProof/>
        </w:rPr>
        <w:fldChar w:fldCharType="end"/>
      </w:r>
    </w:p>
    <w:p w:rsidR="000F13D1" w:rsidRDefault="000F13D1">
      <w:pPr>
        <w:pStyle w:val="TOC1"/>
        <w:tabs>
          <w:tab w:val="left" w:pos="1276"/>
        </w:tabs>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Diabetic retinal screening intervals and recall</w:t>
      </w:r>
      <w:r>
        <w:rPr>
          <w:noProof/>
        </w:rPr>
        <w:tab/>
      </w:r>
      <w:r>
        <w:rPr>
          <w:noProof/>
        </w:rPr>
        <w:fldChar w:fldCharType="begin"/>
      </w:r>
      <w:r>
        <w:rPr>
          <w:noProof/>
        </w:rPr>
        <w:instrText xml:space="preserve"> PAGEREF _Toc446335157 \h </w:instrText>
      </w:r>
      <w:r>
        <w:rPr>
          <w:noProof/>
        </w:rPr>
      </w:r>
      <w:r>
        <w:rPr>
          <w:noProof/>
        </w:rPr>
        <w:fldChar w:fldCharType="separate"/>
      </w:r>
      <w:r w:rsidR="00BF31D9">
        <w:rPr>
          <w:noProof/>
        </w:rPr>
        <w:t>6</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Referral guidance: clinical modifiers may result in earlier re-screening or referral</w:t>
      </w:r>
      <w:r>
        <w:rPr>
          <w:noProof/>
        </w:rPr>
        <w:tab/>
      </w:r>
      <w:r>
        <w:rPr>
          <w:noProof/>
        </w:rPr>
        <w:fldChar w:fldCharType="begin"/>
      </w:r>
      <w:r>
        <w:rPr>
          <w:noProof/>
        </w:rPr>
        <w:instrText xml:space="preserve"> PAGEREF _Toc446335158 \h </w:instrText>
      </w:r>
      <w:r>
        <w:rPr>
          <w:noProof/>
        </w:rPr>
      </w:r>
      <w:r>
        <w:rPr>
          <w:noProof/>
        </w:rPr>
        <w:fldChar w:fldCharType="separate"/>
      </w:r>
      <w:r w:rsidR="00BF31D9">
        <w:rPr>
          <w:noProof/>
        </w:rPr>
        <w:t>6</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Communicating the results</w:t>
      </w:r>
      <w:r>
        <w:rPr>
          <w:noProof/>
        </w:rPr>
        <w:tab/>
      </w:r>
      <w:r>
        <w:rPr>
          <w:noProof/>
        </w:rPr>
        <w:fldChar w:fldCharType="begin"/>
      </w:r>
      <w:r>
        <w:rPr>
          <w:noProof/>
        </w:rPr>
        <w:instrText xml:space="preserve"> PAGEREF _Toc446335159 \h </w:instrText>
      </w:r>
      <w:r>
        <w:rPr>
          <w:noProof/>
        </w:rPr>
      </w:r>
      <w:r>
        <w:rPr>
          <w:noProof/>
        </w:rPr>
        <w:fldChar w:fldCharType="separate"/>
      </w:r>
      <w:r w:rsidR="00BF31D9">
        <w:rPr>
          <w:noProof/>
        </w:rPr>
        <w:t>7</w:t>
      </w:r>
      <w:r>
        <w:rPr>
          <w:noProof/>
        </w:rPr>
        <w:fldChar w:fldCharType="end"/>
      </w:r>
    </w:p>
    <w:p w:rsidR="000F13D1" w:rsidRDefault="000F13D1">
      <w:pPr>
        <w:pStyle w:val="TOC1"/>
        <w:tabs>
          <w:tab w:val="left" w:pos="1276"/>
        </w:tabs>
        <w:rPr>
          <w:rFonts w:asciiTheme="minorHAnsi" w:eastAsiaTheme="minorEastAsia" w:hAnsiTheme="minorHAnsi" w:cstheme="minorBidi"/>
          <w:b w:val="0"/>
          <w:noProof/>
          <w:szCs w:val="22"/>
          <w:lang w:eastAsia="en-NZ"/>
        </w:rPr>
      </w:pPr>
      <w:r w:rsidRPr="009C6B36">
        <w:rPr>
          <w:rFonts w:eastAsia="Century"/>
          <w:noProof/>
        </w:rPr>
        <w:t>5</w:t>
      </w:r>
      <w:r>
        <w:rPr>
          <w:rFonts w:asciiTheme="minorHAnsi" w:eastAsiaTheme="minorEastAsia" w:hAnsiTheme="minorHAnsi" w:cstheme="minorBidi"/>
          <w:b w:val="0"/>
          <w:noProof/>
          <w:szCs w:val="22"/>
          <w:lang w:eastAsia="en-NZ"/>
        </w:rPr>
        <w:tab/>
      </w:r>
      <w:r w:rsidRPr="009C6B36">
        <w:rPr>
          <w:rFonts w:eastAsia="Century"/>
          <w:noProof/>
        </w:rPr>
        <w:t>Diabetic retinal screening methods</w:t>
      </w:r>
      <w:r>
        <w:rPr>
          <w:noProof/>
        </w:rPr>
        <w:tab/>
      </w:r>
      <w:r>
        <w:rPr>
          <w:noProof/>
        </w:rPr>
        <w:fldChar w:fldCharType="begin"/>
      </w:r>
      <w:r>
        <w:rPr>
          <w:noProof/>
        </w:rPr>
        <w:instrText xml:space="preserve"> PAGEREF _Toc446335160 \h </w:instrText>
      </w:r>
      <w:r>
        <w:rPr>
          <w:noProof/>
        </w:rPr>
      </w:r>
      <w:r>
        <w:rPr>
          <w:noProof/>
        </w:rPr>
        <w:fldChar w:fldCharType="separate"/>
      </w:r>
      <w:r w:rsidR="00BF31D9">
        <w:rPr>
          <w:noProof/>
        </w:rPr>
        <w:t>8</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5.1</w:t>
      </w:r>
      <w:r>
        <w:rPr>
          <w:rFonts w:asciiTheme="minorHAnsi" w:eastAsiaTheme="minorEastAsia" w:hAnsiTheme="minorHAnsi" w:cstheme="minorBidi"/>
          <w:noProof/>
          <w:szCs w:val="22"/>
          <w:lang w:eastAsia="en-NZ"/>
        </w:rPr>
        <w:tab/>
      </w:r>
      <w:r>
        <w:rPr>
          <w:noProof/>
        </w:rPr>
        <w:t>Visual acuity</w:t>
      </w:r>
      <w:r>
        <w:rPr>
          <w:noProof/>
        </w:rPr>
        <w:tab/>
      </w:r>
      <w:r>
        <w:rPr>
          <w:noProof/>
        </w:rPr>
        <w:fldChar w:fldCharType="begin"/>
      </w:r>
      <w:r>
        <w:rPr>
          <w:noProof/>
        </w:rPr>
        <w:instrText xml:space="preserve"> PAGEREF _Toc446335161 \h </w:instrText>
      </w:r>
      <w:r>
        <w:rPr>
          <w:noProof/>
        </w:rPr>
      </w:r>
      <w:r>
        <w:rPr>
          <w:noProof/>
        </w:rPr>
        <w:fldChar w:fldCharType="separate"/>
      </w:r>
      <w:r w:rsidR="00BF31D9">
        <w:rPr>
          <w:noProof/>
        </w:rPr>
        <w:t>8</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5.2</w:t>
      </w:r>
      <w:r>
        <w:rPr>
          <w:rFonts w:asciiTheme="minorHAnsi" w:eastAsiaTheme="minorEastAsia" w:hAnsiTheme="minorHAnsi" w:cstheme="minorBidi"/>
          <w:noProof/>
          <w:szCs w:val="22"/>
          <w:lang w:eastAsia="en-NZ"/>
        </w:rPr>
        <w:tab/>
      </w:r>
      <w:r>
        <w:rPr>
          <w:noProof/>
        </w:rPr>
        <w:t>Visualisation of the retina: methods</w:t>
      </w:r>
      <w:r>
        <w:rPr>
          <w:noProof/>
        </w:rPr>
        <w:tab/>
      </w:r>
      <w:r>
        <w:rPr>
          <w:noProof/>
        </w:rPr>
        <w:fldChar w:fldCharType="begin"/>
      </w:r>
      <w:r>
        <w:rPr>
          <w:noProof/>
        </w:rPr>
        <w:instrText xml:space="preserve"> PAGEREF _Toc446335162 \h </w:instrText>
      </w:r>
      <w:r>
        <w:rPr>
          <w:noProof/>
        </w:rPr>
      </w:r>
      <w:r>
        <w:rPr>
          <w:noProof/>
        </w:rPr>
        <w:fldChar w:fldCharType="separate"/>
      </w:r>
      <w:r w:rsidR="00BF31D9">
        <w:rPr>
          <w:noProof/>
        </w:rPr>
        <w:t>8</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5.3</w:t>
      </w:r>
      <w:r>
        <w:rPr>
          <w:rFonts w:asciiTheme="minorHAnsi" w:eastAsiaTheme="minorEastAsia" w:hAnsiTheme="minorHAnsi" w:cstheme="minorBidi"/>
          <w:noProof/>
          <w:szCs w:val="22"/>
          <w:lang w:eastAsia="en-NZ"/>
        </w:rPr>
        <w:tab/>
      </w:r>
      <w:r>
        <w:rPr>
          <w:noProof/>
        </w:rPr>
        <w:t>Pupil dilation</w:t>
      </w:r>
      <w:r>
        <w:rPr>
          <w:noProof/>
        </w:rPr>
        <w:tab/>
      </w:r>
      <w:r>
        <w:rPr>
          <w:noProof/>
        </w:rPr>
        <w:fldChar w:fldCharType="begin"/>
      </w:r>
      <w:r>
        <w:rPr>
          <w:noProof/>
        </w:rPr>
        <w:instrText xml:space="preserve"> PAGEREF _Toc446335163 \h </w:instrText>
      </w:r>
      <w:r>
        <w:rPr>
          <w:noProof/>
        </w:rPr>
      </w:r>
      <w:r>
        <w:rPr>
          <w:noProof/>
        </w:rPr>
        <w:fldChar w:fldCharType="separate"/>
      </w:r>
      <w:r w:rsidR="00BF31D9">
        <w:rPr>
          <w:noProof/>
        </w:rPr>
        <w:t>8</w:t>
      </w:r>
      <w:r>
        <w:rPr>
          <w:noProof/>
        </w:rPr>
        <w:fldChar w:fldCharType="end"/>
      </w:r>
    </w:p>
    <w:p w:rsidR="000F13D1" w:rsidRDefault="000F13D1">
      <w:pPr>
        <w:pStyle w:val="TOC1"/>
        <w:tabs>
          <w:tab w:val="left" w:pos="1276"/>
        </w:tabs>
        <w:rPr>
          <w:rFonts w:asciiTheme="minorHAnsi" w:eastAsiaTheme="minorEastAsia" w:hAnsiTheme="minorHAnsi" w:cstheme="minorBidi"/>
          <w:b w:val="0"/>
          <w:noProof/>
          <w:szCs w:val="22"/>
          <w:lang w:eastAsia="en-NZ"/>
        </w:rPr>
      </w:pPr>
      <w:r w:rsidRPr="009C6B36">
        <w:rPr>
          <w:rFonts w:eastAsia="Century"/>
          <w:noProof/>
        </w:rPr>
        <w:t>6</w:t>
      </w:r>
      <w:r>
        <w:rPr>
          <w:rFonts w:asciiTheme="minorHAnsi" w:eastAsiaTheme="minorEastAsia" w:hAnsiTheme="minorHAnsi" w:cstheme="minorBidi"/>
          <w:b w:val="0"/>
          <w:noProof/>
          <w:szCs w:val="22"/>
          <w:lang w:eastAsia="en-NZ"/>
        </w:rPr>
        <w:tab/>
      </w:r>
      <w:r w:rsidRPr="009C6B36">
        <w:rPr>
          <w:rFonts w:eastAsia="Century"/>
          <w:noProof/>
        </w:rPr>
        <w:t>Standards for retinal imaging and grading</w:t>
      </w:r>
      <w:r>
        <w:rPr>
          <w:noProof/>
        </w:rPr>
        <w:tab/>
      </w:r>
      <w:r>
        <w:rPr>
          <w:noProof/>
        </w:rPr>
        <w:fldChar w:fldCharType="begin"/>
      </w:r>
      <w:r>
        <w:rPr>
          <w:noProof/>
        </w:rPr>
        <w:instrText xml:space="preserve"> PAGEREF _Toc446335164 \h </w:instrText>
      </w:r>
      <w:r>
        <w:rPr>
          <w:noProof/>
        </w:rPr>
      </w:r>
      <w:r>
        <w:rPr>
          <w:noProof/>
        </w:rPr>
        <w:fldChar w:fldCharType="separate"/>
      </w:r>
      <w:r w:rsidR="00BF31D9">
        <w:rPr>
          <w:noProof/>
        </w:rPr>
        <w:t>10</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6.1</w:t>
      </w:r>
      <w:r>
        <w:rPr>
          <w:rFonts w:asciiTheme="minorHAnsi" w:eastAsiaTheme="minorEastAsia" w:hAnsiTheme="minorHAnsi" w:cstheme="minorBidi"/>
          <w:noProof/>
          <w:szCs w:val="22"/>
          <w:lang w:eastAsia="en-NZ"/>
        </w:rPr>
        <w:tab/>
      </w:r>
      <w:r>
        <w:rPr>
          <w:noProof/>
        </w:rPr>
        <w:t>Photographic images</w:t>
      </w:r>
      <w:r>
        <w:rPr>
          <w:noProof/>
        </w:rPr>
        <w:tab/>
      </w:r>
      <w:r>
        <w:rPr>
          <w:noProof/>
        </w:rPr>
        <w:fldChar w:fldCharType="begin"/>
      </w:r>
      <w:r>
        <w:rPr>
          <w:noProof/>
        </w:rPr>
        <w:instrText xml:space="preserve"> PAGEREF _Toc446335165 \h </w:instrText>
      </w:r>
      <w:r>
        <w:rPr>
          <w:noProof/>
        </w:rPr>
      </w:r>
      <w:r>
        <w:rPr>
          <w:noProof/>
        </w:rPr>
        <w:fldChar w:fldCharType="separate"/>
      </w:r>
      <w:r w:rsidR="00BF31D9">
        <w:rPr>
          <w:noProof/>
        </w:rPr>
        <w:t>10</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6.2</w:t>
      </w:r>
      <w:r>
        <w:rPr>
          <w:rFonts w:asciiTheme="minorHAnsi" w:eastAsiaTheme="minorEastAsia" w:hAnsiTheme="minorHAnsi" w:cstheme="minorBidi"/>
          <w:noProof/>
          <w:szCs w:val="22"/>
          <w:lang w:eastAsia="en-NZ"/>
        </w:rPr>
        <w:tab/>
      </w:r>
      <w:r>
        <w:rPr>
          <w:noProof/>
        </w:rPr>
        <w:t>Grading</w:t>
      </w:r>
      <w:r>
        <w:rPr>
          <w:noProof/>
        </w:rPr>
        <w:tab/>
      </w:r>
      <w:r>
        <w:rPr>
          <w:noProof/>
        </w:rPr>
        <w:fldChar w:fldCharType="begin"/>
      </w:r>
      <w:r>
        <w:rPr>
          <w:noProof/>
        </w:rPr>
        <w:instrText xml:space="preserve"> PAGEREF _Toc446335166 \h </w:instrText>
      </w:r>
      <w:r>
        <w:rPr>
          <w:noProof/>
        </w:rPr>
      </w:r>
      <w:r>
        <w:rPr>
          <w:noProof/>
        </w:rPr>
        <w:fldChar w:fldCharType="separate"/>
      </w:r>
      <w:r w:rsidR="00BF31D9">
        <w:rPr>
          <w:noProof/>
        </w:rPr>
        <w:t>10</w:t>
      </w:r>
      <w:r>
        <w:rPr>
          <w:noProof/>
        </w:rPr>
        <w:fldChar w:fldCharType="end"/>
      </w:r>
    </w:p>
    <w:p w:rsidR="000F13D1" w:rsidRDefault="000F13D1">
      <w:pPr>
        <w:pStyle w:val="TOC1"/>
        <w:tabs>
          <w:tab w:val="left" w:pos="1276"/>
        </w:tabs>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Pregnancy</w:t>
      </w:r>
      <w:r>
        <w:rPr>
          <w:noProof/>
        </w:rPr>
        <w:tab/>
      </w:r>
      <w:r>
        <w:rPr>
          <w:noProof/>
        </w:rPr>
        <w:fldChar w:fldCharType="begin"/>
      </w:r>
      <w:r>
        <w:rPr>
          <w:noProof/>
        </w:rPr>
        <w:instrText xml:space="preserve"> PAGEREF _Toc446335167 \h </w:instrText>
      </w:r>
      <w:r>
        <w:rPr>
          <w:noProof/>
        </w:rPr>
      </w:r>
      <w:r>
        <w:rPr>
          <w:noProof/>
        </w:rPr>
        <w:fldChar w:fldCharType="separate"/>
      </w:r>
      <w:r w:rsidR="00BF31D9">
        <w:rPr>
          <w:noProof/>
        </w:rPr>
        <w:t>11</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7.1</w:t>
      </w:r>
      <w:r>
        <w:rPr>
          <w:rFonts w:asciiTheme="minorHAnsi" w:eastAsiaTheme="minorEastAsia" w:hAnsiTheme="minorHAnsi" w:cstheme="minorBidi"/>
          <w:noProof/>
          <w:szCs w:val="22"/>
          <w:lang w:eastAsia="en-NZ"/>
        </w:rPr>
        <w:tab/>
      </w:r>
      <w:r>
        <w:rPr>
          <w:noProof/>
        </w:rPr>
        <w:t>Grading and referral guidance for pregnant women with diabetes</w:t>
      </w:r>
      <w:r>
        <w:rPr>
          <w:noProof/>
        </w:rPr>
        <w:tab/>
      </w:r>
      <w:r>
        <w:rPr>
          <w:noProof/>
        </w:rPr>
        <w:fldChar w:fldCharType="begin"/>
      </w:r>
      <w:r>
        <w:rPr>
          <w:noProof/>
        </w:rPr>
        <w:instrText xml:space="preserve"> PAGEREF _Toc446335168 \h </w:instrText>
      </w:r>
      <w:r>
        <w:rPr>
          <w:noProof/>
        </w:rPr>
      </w:r>
      <w:r>
        <w:rPr>
          <w:noProof/>
        </w:rPr>
        <w:fldChar w:fldCharType="separate"/>
      </w:r>
      <w:r w:rsidR="00BF31D9">
        <w:rPr>
          <w:noProof/>
        </w:rPr>
        <w:t>11</w:t>
      </w:r>
      <w:r>
        <w:rPr>
          <w:noProof/>
        </w:rPr>
        <w:fldChar w:fldCharType="end"/>
      </w:r>
    </w:p>
    <w:p w:rsidR="000F13D1" w:rsidRDefault="000F13D1">
      <w:pPr>
        <w:pStyle w:val="TOC1"/>
        <w:tabs>
          <w:tab w:val="left" w:pos="1276"/>
        </w:tabs>
        <w:rPr>
          <w:rFonts w:asciiTheme="minorHAnsi" w:eastAsiaTheme="minorEastAsia" w:hAnsiTheme="minorHAnsi" w:cstheme="minorBidi"/>
          <w:b w:val="0"/>
          <w:noProof/>
          <w:szCs w:val="22"/>
          <w:lang w:eastAsia="en-NZ"/>
        </w:rPr>
      </w:pPr>
      <w:r w:rsidRPr="009C6B36">
        <w:rPr>
          <w:rFonts w:eastAsia="Arial"/>
          <w:noProof/>
        </w:rPr>
        <w:t>8</w:t>
      </w:r>
      <w:r>
        <w:rPr>
          <w:rFonts w:asciiTheme="minorHAnsi" w:eastAsiaTheme="minorEastAsia" w:hAnsiTheme="minorHAnsi" w:cstheme="minorBidi"/>
          <w:b w:val="0"/>
          <w:noProof/>
          <w:szCs w:val="22"/>
          <w:lang w:eastAsia="en-NZ"/>
        </w:rPr>
        <w:tab/>
      </w:r>
      <w:r>
        <w:rPr>
          <w:noProof/>
        </w:rPr>
        <w:t>Diabetic retinal monitoring</w:t>
      </w:r>
      <w:r>
        <w:rPr>
          <w:noProof/>
        </w:rPr>
        <w:tab/>
      </w:r>
      <w:r>
        <w:rPr>
          <w:noProof/>
        </w:rPr>
        <w:fldChar w:fldCharType="begin"/>
      </w:r>
      <w:r>
        <w:rPr>
          <w:noProof/>
        </w:rPr>
        <w:instrText xml:space="preserve"> PAGEREF _Toc446335169 \h </w:instrText>
      </w:r>
      <w:r>
        <w:rPr>
          <w:noProof/>
        </w:rPr>
      </w:r>
      <w:r>
        <w:rPr>
          <w:noProof/>
        </w:rPr>
        <w:fldChar w:fldCharType="separate"/>
      </w:r>
      <w:r w:rsidR="00BF31D9">
        <w:rPr>
          <w:noProof/>
        </w:rPr>
        <w:t>12</w:t>
      </w:r>
      <w:r>
        <w:rPr>
          <w:noProof/>
        </w:rPr>
        <w:fldChar w:fldCharType="end"/>
      </w:r>
    </w:p>
    <w:p w:rsidR="000F13D1" w:rsidRDefault="000F13D1">
      <w:pPr>
        <w:pStyle w:val="TOC1"/>
        <w:tabs>
          <w:tab w:val="left" w:pos="1276"/>
        </w:tabs>
        <w:rPr>
          <w:rFonts w:asciiTheme="minorHAnsi" w:eastAsiaTheme="minorEastAsia" w:hAnsiTheme="minorHAnsi" w:cstheme="minorBidi"/>
          <w:b w:val="0"/>
          <w:noProof/>
          <w:szCs w:val="22"/>
          <w:lang w:eastAsia="en-NZ"/>
        </w:rPr>
      </w:pPr>
      <w:r w:rsidRPr="009C6B36">
        <w:rPr>
          <w:rFonts w:eastAsia="Century"/>
          <w:noProof/>
        </w:rPr>
        <w:t>9</w:t>
      </w:r>
      <w:r>
        <w:rPr>
          <w:rFonts w:asciiTheme="minorHAnsi" w:eastAsiaTheme="minorEastAsia" w:hAnsiTheme="minorHAnsi" w:cstheme="minorBidi"/>
          <w:b w:val="0"/>
          <w:noProof/>
          <w:szCs w:val="22"/>
          <w:lang w:eastAsia="en-NZ"/>
        </w:rPr>
        <w:tab/>
      </w:r>
      <w:r w:rsidRPr="009C6B36">
        <w:rPr>
          <w:rFonts w:eastAsia="Century"/>
          <w:noProof/>
        </w:rPr>
        <w:t>Clinical governa</w:t>
      </w:r>
      <w:r w:rsidR="00E61D6E">
        <w:rPr>
          <w:rFonts w:eastAsia="Century"/>
          <w:noProof/>
        </w:rPr>
        <w:t>n</w:t>
      </w:r>
      <w:r w:rsidRPr="009C6B36">
        <w:rPr>
          <w:rFonts w:eastAsia="Century"/>
          <w:noProof/>
        </w:rPr>
        <w:t>ce</w:t>
      </w:r>
      <w:r>
        <w:rPr>
          <w:noProof/>
        </w:rPr>
        <w:tab/>
      </w:r>
      <w:r>
        <w:rPr>
          <w:noProof/>
        </w:rPr>
        <w:fldChar w:fldCharType="begin"/>
      </w:r>
      <w:r>
        <w:rPr>
          <w:noProof/>
        </w:rPr>
        <w:instrText xml:space="preserve"> PAGEREF _Toc446335170 \h </w:instrText>
      </w:r>
      <w:r>
        <w:rPr>
          <w:noProof/>
        </w:rPr>
      </w:r>
      <w:r>
        <w:rPr>
          <w:noProof/>
        </w:rPr>
        <w:fldChar w:fldCharType="separate"/>
      </w:r>
      <w:r w:rsidR="00BF31D9">
        <w:rPr>
          <w:noProof/>
        </w:rPr>
        <w:t>13</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9.1</w:t>
      </w:r>
      <w:r>
        <w:rPr>
          <w:rFonts w:asciiTheme="minorHAnsi" w:eastAsiaTheme="minorEastAsia" w:hAnsiTheme="minorHAnsi" w:cstheme="minorBidi"/>
          <w:noProof/>
          <w:szCs w:val="22"/>
          <w:lang w:eastAsia="en-NZ"/>
        </w:rPr>
        <w:tab/>
      </w:r>
      <w:r>
        <w:rPr>
          <w:noProof/>
        </w:rPr>
        <w:t>Designated lead clinical advisor</w:t>
      </w:r>
      <w:r>
        <w:rPr>
          <w:noProof/>
        </w:rPr>
        <w:tab/>
      </w:r>
      <w:r>
        <w:rPr>
          <w:noProof/>
        </w:rPr>
        <w:fldChar w:fldCharType="begin"/>
      </w:r>
      <w:r>
        <w:rPr>
          <w:noProof/>
        </w:rPr>
        <w:instrText xml:space="preserve"> PAGEREF _Toc446335171 \h </w:instrText>
      </w:r>
      <w:r>
        <w:rPr>
          <w:noProof/>
        </w:rPr>
      </w:r>
      <w:r>
        <w:rPr>
          <w:noProof/>
        </w:rPr>
        <w:fldChar w:fldCharType="separate"/>
      </w:r>
      <w:r w:rsidR="00BF31D9">
        <w:rPr>
          <w:noProof/>
        </w:rPr>
        <w:t>13</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9.2</w:t>
      </w:r>
      <w:r>
        <w:rPr>
          <w:rFonts w:asciiTheme="minorHAnsi" w:eastAsiaTheme="minorEastAsia" w:hAnsiTheme="minorHAnsi" w:cstheme="minorBidi"/>
          <w:noProof/>
          <w:szCs w:val="22"/>
          <w:lang w:eastAsia="en-NZ"/>
        </w:rPr>
        <w:tab/>
      </w:r>
      <w:r>
        <w:rPr>
          <w:noProof/>
        </w:rPr>
        <w:t>Retinal screening manager/coordinator</w:t>
      </w:r>
      <w:r>
        <w:rPr>
          <w:noProof/>
        </w:rPr>
        <w:tab/>
      </w:r>
      <w:r>
        <w:rPr>
          <w:noProof/>
        </w:rPr>
        <w:fldChar w:fldCharType="begin"/>
      </w:r>
      <w:r>
        <w:rPr>
          <w:noProof/>
        </w:rPr>
        <w:instrText xml:space="preserve"> PAGEREF _Toc446335172 \h </w:instrText>
      </w:r>
      <w:r>
        <w:rPr>
          <w:noProof/>
        </w:rPr>
      </w:r>
      <w:r>
        <w:rPr>
          <w:noProof/>
        </w:rPr>
        <w:fldChar w:fldCharType="separate"/>
      </w:r>
      <w:r w:rsidR="00BF31D9">
        <w:rPr>
          <w:noProof/>
        </w:rPr>
        <w:t>13</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9.3</w:t>
      </w:r>
      <w:r>
        <w:rPr>
          <w:rFonts w:asciiTheme="minorHAnsi" w:eastAsiaTheme="minorEastAsia" w:hAnsiTheme="minorHAnsi" w:cstheme="minorBidi"/>
          <w:noProof/>
          <w:szCs w:val="22"/>
          <w:lang w:eastAsia="en-NZ"/>
        </w:rPr>
        <w:tab/>
      </w:r>
      <w:r>
        <w:rPr>
          <w:noProof/>
        </w:rPr>
        <w:t>Professional competency</w:t>
      </w:r>
      <w:r>
        <w:rPr>
          <w:noProof/>
        </w:rPr>
        <w:tab/>
      </w:r>
      <w:r>
        <w:rPr>
          <w:noProof/>
        </w:rPr>
        <w:fldChar w:fldCharType="begin"/>
      </w:r>
      <w:r>
        <w:rPr>
          <w:noProof/>
        </w:rPr>
        <w:instrText xml:space="preserve"> PAGEREF _Toc446335173 \h </w:instrText>
      </w:r>
      <w:r>
        <w:rPr>
          <w:noProof/>
        </w:rPr>
      </w:r>
      <w:r>
        <w:rPr>
          <w:noProof/>
        </w:rPr>
        <w:fldChar w:fldCharType="separate"/>
      </w:r>
      <w:r w:rsidR="00BF31D9">
        <w:rPr>
          <w:noProof/>
        </w:rPr>
        <w:t>13</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9.4</w:t>
      </w:r>
      <w:r>
        <w:rPr>
          <w:rFonts w:asciiTheme="minorHAnsi" w:eastAsiaTheme="minorEastAsia" w:hAnsiTheme="minorHAnsi" w:cstheme="minorBidi"/>
          <w:noProof/>
          <w:szCs w:val="22"/>
          <w:lang w:eastAsia="en-NZ"/>
        </w:rPr>
        <w:tab/>
      </w:r>
      <w:r>
        <w:rPr>
          <w:noProof/>
        </w:rPr>
        <w:t>Service review</w:t>
      </w:r>
      <w:r>
        <w:rPr>
          <w:noProof/>
        </w:rPr>
        <w:tab/>
      </w:r>
      <w:r>
        <w:rPr>
          <w:noProof/>
        </w:rPr>
        <w:fldChar w:fldCharType="begin"/>
      </w:r>
      <w:r>
        <w:rPr>
          <w:noProof/>
        </w:rPr>
        <w:instrText xml:space="preserve"> PAGEREF _Toc446335174 \h </w:instrText>
      </w:r>
      <w:r>
        <w:rPr>
          <w:noProof/>
        </w:rPr>
      </w:r>
      <w:r>
        <w:rPr>
          <w:noProof/>
        </w:rPr>
        <w:fldChar w:fldCharType="separate"/>
      </w:r>
      <w:r w:rsidR="00BF31D9">
        <w:rPr>
          <w:noProof/>
        </w:rPr>
        <w:t>14</w:t>
      </w:r>
      <w:r>
        <w:rPr>
          <w:noProof/>
        </w:rPr>
        <w:fldChar w:fldCharType="end"/>
      </w:r>
    </w:p>
    <w:p w:rsidR="000F13D1" w:rsidRDefault="000F13D1">
      <w:pPr>
        <w:pStyle w:val="TOC2"/>
        <w:tabs>
          <w:tab w:val="left" w:pos="1276"/>
        </w:tabs>
        <w:rPr>
          <w:rFonts w:asciiTheme="minorHAnsi" w:eastAsiaTheme="minorEastAsia" w:hAnsiTheme="minorHAnsi" w:cstheme="minorBidi"/>
          <w:noProof/>
          <w:szCs w:val="22"/>
          <w:lang w:eastAsia="en-NZ"/>
        </w:rPr>
      </w:pPr>
      <w:r>
        <w:rPr>
          <w:noProof/>
        </w:rPr>
        <w:t>9.5</w:t>
      </w:r>
      <w:r>
        <w:rPr>
          <w:rFonts w:asciiTheme="minorHAnsi" w:eastAsiaTheme="minorEastAsia" w:hAnsiTheme="minorHAnsi" w:cstheme="minorBidi"/>
          <w:noProof/>
          <w:szCs w:val="22"/>
          <w:lang w:eastAsia="en-NZ"/>
        </w:rPr>
        <w:tab/>
      </w:r>
      <w:r>
        <w:rPr>
          <w:noProof/>
        </w:rPr>
        <w:t>Quality assurance requirements</w:t>
      </w:r>
      <w:r>
        <w:rPr>
          <w:noProof/>
        </w:rPr>
        <w:tab/>
      </w:r>
      <w:r>
        <w:rPr>
          <w:noProof/>
        </w:rPr>
        <w:fldChar w:fldCharType="begin"/>
      </w:r>
      <w:r>
        <w:rPr>
          <w:noProof/>
        </w:rPr>
        <w:instrText xml:space="preserve"> PAGEREF _Toc446335175 \h </w:instrText>
      </w:r>
      <w:r>
        <w:rPr>
          <w:noProof/>
        </w:rPr>
      </w:r>
      <w:r>
        <w:rPr>
          <w:noProof/>
        </w:rPr>
        <w:fldChar w:fldCharType="separate"/>
      </w:r>
      <w:r w:rsidR="00BF31D9">
        <w:rPr>
          <w:noProof/>
        </w:rPr>
        <w:t>14</w:t>
      </w:r>
      <w:r>
        <w:rPr>
          <w:noProof/>
        </w:rPr>
        <w:fldChar w:fldCharType="end"/>
      </w:r>
    </w:p>
    <w:p w:rsidR="000F13D1" w:rsidRDefault="000F13D1">
      <w:pPr>
        <w:pStyle w:val="TOC1"/>
        <w:rPr>
          <w:noProof/>
        </w:rPr>
      </w:pPr>
      <w:r>
        <w:rPr>
          <w:noProof/>
        </w:rPr>
        <w:lastRenderedPageBreak/>
        <w:t>Appendices</w:t>
      </w:r>
    </w:p>
    <w:p w:rsidR="000F13D1" w:rsidRDefault="000F13D1" w:rsidP="000F13D1">
      <w:pPr>
        <w:pStyle w:val="TOC2"/>
        <w:rPr>
          <w:rFonts w:asciiTheme="minorHAnsi" w:eastAsiaTheme="minorEastAsia" w:hAnsiTheme="minorHAnsi" w:cstheme="minorBidi"/>
          <w:b/>
          <w:noProof/>
          <w:szCs w:val="22"/>
          <w:lang w:eastAsia="en-NZ"/>
        </w:rPr>
      </w:pPr>
      <w:r>
        <w:rPr>
          <w:noProof/>
        </w:rPr>
        <w:t>Appendix A: Progression of diabetic retinopathy</w:t>
      </w:r>
      <w:r>
        <w:rPr>
          <w:noProof/>
        </w:rPr>
        <w:tab/>
      </w:r>
      <w:r>
        <w:rPr>
          <w:noProof/>
        </w:rPr>
        <w:fldChar w:fldCharType="begin"/>
      </w:r>
      <w:r>
        <w:rPr>
          <w:noProof/>
        </w:rPr>
        <w:instrText xml:space="preserve"> PAGEREF _Toc446335176 \h </w:instrText>
      </w:r>
      <w:r>
        <w:rPr>
          <w:noProof/>
        </w:rPr>
      </w:r>
      <w:r>
        <w:rPr>
          <w:noProof/>
        </w:rPr>
        <w:fldChar w:fldCharType="separate"/>
      </w:r>
      <w:r w:rsidR="00BF31D9">
        <w:rPr>
          <w:noProof/>
        </w:rPr>
        <w:t>15</w:t>
      </w:r>
      <w:r>
        <w:rPr>
          <w:noProof/>
        </w:rPr>
        <w:fldChar w:fldCharType="end"/>
      </w:r>
    </w:p>
    <w:p w:rsidR="000F13D1" w:rsidRDefault="000F13D1" w:rsidP="000F13D1">
      <w:pPr>
        <w:pStyle w:val="TOC2"/>
        <w:rPr>
          <w:rFonts w:asciiTheme="minorHAnsi" w:eastAsiaTheme="minorEastAsia" w:hAnsiTheme="minorHAnsi" w:cstheme="minorBidi"/>
          <w:b/>
          <w:noProof/>
          <w:szCs w:val="22"/>
          <w:lang w:eastAsia="en-NZ"/>
        </w:rPr>
      </w:pPr>
      <w:r>
        <w:rPr>
          <w:noProof/>
        </w:rPr>
        <w:t>Appendix B: Grading</w:t>
      </w:r>
      <w:r>
        <w:rPr>
          <w:noProof/>
        </w:rPr>
        <w:tab/>
      </w:r>
      <w:r>
        <w:rPr>
          <w:noProof/>
        </w:rPr>
        <w:fldChar w:fldCharType="begin"/>
      </w:r>
      <w:r>
        <w:rPr>
          <w:noProof/>
        </w:rPr>
        <w:instrText xml:space="preserve"> PAGEREF _Toc446335177 \h </w:instrText>
      </w:r>
      <w:r>
        <w:rPr>
          <w:noProof/>
        </w:rPr>
      </w:r>
      <w:r>
        <w:rPr>
          <w:noProof/>
        </w:rPr>
        <w:fldChar w:fldCharType="separate"/>
      </w:r>
      <w:r w:rsidR="00BF31D9">
        <w:rPr>
          <w:noProof/>
        </w:rPr>
        <w:t>16</w:t>
      </w:r>
      <w:r>
        <w:rPr>
          <w:noProof/>
        </w:rPr>
        <w:fldChar w:fldCharType="end"/>
      </w:r>
    </w:p>
    <w:p w:rsidR="000F13D1" w:rsidRDefault="000F13D1" w:rsidP="000F13D1">
      <w:pPr>
        <w:pStyle w:val="TOC2"/>
        <w:rPr>
          <w:rFonts w:asciiTheme="minorHAnsi" w:eastAsiaTheme="minorEastAsia" w:hAnsiTheme="minorHAnsi" w:cstheme="minorBidi"/>
          <w:b/>
          <w:noProof/>
          <w:szCs w:val="22"/>
          <w:lang w:eastAsia="en-NZ"/>
        </w:rPr>
      </w:pPr>
      <w:r>
        <w:rPr>
          <w:noProof/>
        </w:rPr>
        <w:t>Appendix C: Diabetic retinopathy monitoring</w:t>
      </w:r>
      <w:r>
        <w:rPr>
          <w:noProof/>
        </w:rPr>
        <w:tab/>
      </w:r>
      <w:r>
        <w:rPr>
          <w:noProof/>
        </w:rPr>
        <w:fldChar w:fldCharType="begin"/>
      </w:r>
      <w:r>
        <w:rPr>
          <w:noProof/>
        </w:rPr>
        <w:instrText xml:space="preserve"> PAGEREF _Toc446335182 \h </w:instrText>
      </w:r>
      <w:r>
        <w:rPr>
          <w:noProof/>
        </w:rPr>
      </w:r>
      <w:r>
        <w:rPr>
          <w:noProof/>
        </w:rPr>
        <w:fldChar w:fldCharType="separate"/>
      </w:r>
      <w:r w:rsidR="00BF31D9">
        <w:rPr>
          <w:noProof/>
        </w:rPr>
        <w:t>20</w:t>
      </w:r>
      <w:r>
        <w:rPr>
          <w:noProof/>
        </w:rPr>
        <w:fldChar w:fldCharType="end"/>
      </w:r>
    </w:p>
    <w:p w:rsidR="000F13D1" w:rsidRDefault="000F13D1" w:rsidP="000F13D1">
      <w:pPr>
        <w:pStyle w:val="TOC2"/>
        <w:rPr>
          <w:rFonts w:asciiTheme="minorHAnsi" w:eastAsiaTheme="minorEastAsia" w:hAnsiTheme="minorHAnsi" w:cstheme="minorBidi"/>
          <w:b/>
          <w:noProof/>
          <w:szCs w:val="22"/>
          <w:lang w:eastAsia="en-NZ"/>
        </w:rPr>
      </w:pPr>
      <w:r w:rsidRPr="009C6B36">
        <w:rPr>
          <w:rFonts w:eastAsia="Georgia"/>
          <w:noProof/>
        </w:rPr>
        <w:t>Appendix D: Case Study – Wellington Region Diabetic Retinal Screening and Monitoring</w:t>
      </w:r>
      <w:r>
        <w:rPr>
          <w:noProof/>
        </w:rPr>
        <w:tab/>
      </w:r>
      <w:r>
        <w:rPr>
          <w:noProof/>
        </w:rPr>
        <w:fldChar w:fldCharType="begin"/>
      </w:r>
      <w:r>
        <w:rPr>
          <w:noProof/>
        </w:rPr>
        <w:instrText xml:space="preserve"> PAGEREF _Toc446335185 \h </w:instrText>
      </w:r>
      <w:r>
        <w:rPr>
          <w:noProof/>
        </w:rPr>
      </w:r>
      <w:r>
        <w:rPr>
          <w:noProof/>
        </w:rPr>
        <w:fldChar w:fldCharType="separate"/>
      </w:r>
      <w:r w:rsidR="00BF31D9">
        <w:rPr>
          <w:noProof/>
        </w:rPr>
        <w:t>22</w:t>
      </w:r>
      <w:r>
        <w:rPr>
          <w:noProof/>
        </w:rPr>
        <w:fldChar w:fldCharType="end"/>
      </w:r>
    </w:p>
    <w:p w:rsidR="000F13D1" w:rsidRDefault="000F13D1" w:rsidP="000F13D1">
      <w:pPr>
        <w:pStyle w:val="TOC2"/>
        <w:rPr>
          <w:rFonts w:asciiTheme="minorHAnsi" w:eastAsiaTheme="minorEastAsia" w:hAnsiTheme="minorHAnsi" w:cstheme="minorBidi"/>
          <w:b/>
          <w:noProof/>
          <w:szCs w:val="22"/>
          <w:lang w:eastAsia="en-NZ"/>
        </w:rPr>
      </w:pPr>
      <w:r>
        <w:rPr>
          <w:noProof/>
        </w:rPr>
        <w:t>Appendix E: Draft retinal screening indicators and measures</w:t>
      </w:r>
      <w:r>
        <w:rPr>
          <w:noProof/>
        </w:rPr>
        <w:tab/>
      </w:r>
      <w:r>
        <w:rPr>
          <w:noProof/>
        </w:rPr>
        <w:fldChar w:fldCharType="begin"/>
      </w:r>
      <w:r>
        <w:rPr>
          <w:noProof/>
        </w:rPr>
        <w:instrText xml:space="preserve"> PAGEREF _Toc446335188 \h </w:instrText>
      </w:r>
      <w:r>
        <w:rPr>
          <w:noProof/>
        </w:rPr>
      </w:r>
      <w:r>
        <w:rPr>
          <w:noProof/>
        </w:rPr>
        <w:fldChar w:fldCharType="separate"/>
      </w:r>
      <w:r w:rsidR="00BF31D9">
        <w:rPr>
          <w:noProof/>
        </w:rPr>
        <w:t>24</w:t>
      </w:r>
      <w:r>
        <w:rPr>
          <w:noProof/>
        </w:rPr>
        <w:fldChar w:fldCharType="end"/>
      </w:r>
    </w:p>
    <w:p w:rsidR="000F13D1" w:rsidRDefault="000F13D1">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_Toc446335189 \h </w:instrText>
      </w:r>
      <w:r>
        <w:rPr>
          <w:noProof/>
        </w:rPr>
      </w:r>
      <w:r>
        <w:rPr>
          <w:noProof/>
        </w:rPr>
        <w:fldChar w:fldCharType="separate"/>
      </w:r>
      <w:r w:rsidR="00BF31D9">
        <w:rPr>
          <w:noProof/>
        </w:rPr>
        <w:t>27</w:t>
      </w:r>
      <w:r>
        <w:rPr>
          <w:noProof/>
        </w:rPr>
        <w:fldChar w:fldCharType="end"/>
      </w:r>
    </w:p>
    <w:p w:rsidR="00C86248" w:rsidRPr="000E52E2" w:rsidRDefault="00C86248">
      <w:r w:rsidRPr="000E52E2">
        <w:rPr>
          <w:b/>
        </w:rPr>
        <w:fldChar w:fldCharType="end"/>
      </w:r>
    </w:p>
    <w:p w:rsidR="00C86248" w:rsidRPr="000E52E2" w:rsidRDefault="00C86248"/>
    <w:p w:rsidR="00C86248" w:rsidRPr="000E52E2" w:rsidRDefault="00C86248" w:rsidP="003B1D10">
      <w:pPr>
        <w:pStyle w:val="TOC1"/>
        <w:keepNext/>
      </w:pPr>
      <w:r w:rsidRPr="000E52E2">
        <w:t>List of Tables</w:t>
      </w:r>
    </w:p>
    <w:p w:rsidR="000F13D1" w:rsidRDefault="00C86248">
      <w:pPr>
        <w:pStyle w:val="TOC3"/>
        <w:rPr>
          <w:rFonts w:asciiTheme="minorHAnsi" w:eastAsiaTheme="minorEastAsia" w:hAnsiTheme="minorHAnsi" w:cstheme="minorBidi"/>
          <w:noProof/>
          <w:szCs w:val="22"/>
          <w:lang w:eastAsia="en-NZ"/>
        </w:rPr>
      </w:pPr>
      <w:r w:rsidRPr="000E52E2">
        <w:rPr>
          <w:sz w:val="20"/>
        </w:rPr>
        <w:fldChar w:fldCharType="begin"/>
      </w:r>
      <w:r w:rsidRPr="000E52E2">
        <w:instrText xml:space="preserve"> TOC \t "Table,3" </w:instrText>
      </w:r>
      <w:r w:rsidRPr="000E52E2">
        <w:rPr>
          <w:sz w:val="20"/>
        </w:rPr>
        <w:fldChar w:fldCharType="separate"/>
      </w:r>
      <w:r w:rsidR="000F13D1">
        <w:rPr>
          <w:noProof/>
        </w:rPr>
        <w:t>Table 1:</w:t>
      </w:r>
      <w:r w:rsidR="000F13D1">
        <w:rPr>
          <w:noProof/>
        </w:rPr>
        <w:tab/>
        <w:t>Changes to screening interval or referral guidance due to clinical modifiers</w:t>
      </w:r>
      <w:r w:rsidR="000F13D1">
        <w:rPr>
          <w:noProof/>
        </w:rPr>
        <w:tab/>
      </w:r>
      <w:r w:rsidR="000F13D1">
        <w:rPr>
          <w:noProof/>
        </w:rPr>
        <w:fldChar w:fldCharType="begin"/>
      </w:r>
      <w:r w:rsidR="000F13D1">
        <w:rPr>
          <w:noProof/>
        </w:rPr>
        <w:instrText xml:space="preserve"> PAGEREF _Toc446335196 \h </w:instrText>
      </w:r>
      <w:r w:rsidR="000F13D1">
        <w:rPr>
          <w:noProof/>
        </w:rPr>
      </w:r>
      <w:r w:rsidR="000F13D1">
        <w:rPr>
          <w:noProof/>
        </w:rPr>
        <w:fldChar w:fldCharType="separate"/>
      </w:r>
      <w:r w:rsidR="00BF31D9">
        <w:rPr>
          <w:noProof/>
        </w:rPr>
        <w:t>6</w:t>
      </w:r>
      <w:r w:rsidR="000F13D1">
        <w:rPr>
          <w:noProof/>
        </w:rPr>
        <w:fldChar w:fldCharType="end"/>
      </w:r>
    </w:p>
    <w:p w:rsidR="000F13D1" w:rsidRDefault="000F13D1">
      <w:pPr>
        <w:pStyle w:val="TOC3"/>
        <w:rPr>
          <w:rFonts w:asciiTheme="minorHAnsi" w:eastAsiaTheme="minorEastAsia" w:hAnsiTheme="minorHAnsi" w:cstheme="minorBidi"/>
          <w:noProof/>
          <w:szCs w:val="22"/>
          <w:lang w:eastAsia="en-NZ"/>
        </w:rPr>
      </w:pPr>
      <w:r>
        <w:rPr>
          <w:noProof/>
        </w:rPr>
        <w:t>Table 2:</w:t>
      </w:r>
      <w:r>
        <w:rPr>
          <w:noProof/>
        </w:rPr>
        <w:tab/>
        <w:t>Photographic field standard and size</w:t>
      </w:r>
      <w:r>
        <w:rPr>
          <w:noProof/>
        </w:rPr>
        <w:tab/>
      </w:r>
      <w:r>
        <w:rPr>
          <w:noProof/>
        </w:rPr>
        <w:fldChar w:fldCharType="begin"/>
      </w:r>
      <w:r>
        <w:rPr>
          <w:noProof/>
        </w:rPr>
        <w:instrText xml:space="preserve"> PAGEREF _Toc446335197 \h </w:instrText>
      </w:r>
      <w:r>
        <w:rPr>
          <w:noProof/>
        </w:rPr>
      </w:r>
      <w:r>
        <w:rPr>
          <w:noProof/>
        </w:rPr>
        <w:fldChar w:fldCharType="separate"/>
      </w:r>
      <w:r w:rsidR="00BF31D9">
        <w:rPr>
          <w:noProof/>
        </w:rPr>
        <w:t>10</w:t>
      </w:r>
      <w:r>
        <w:rPr>
          <w:noProof/>
        </w:rPr>
        <w:fldChar w:fldCharType="end"/>
      </w:r>
    </w:p>
    <w:p w:rsidR="000F13D1" w:rsidRDefault="000F13D1">
      <w:pPr>
        <w:pStyle w:val="TOC3"/>
        <w:rPr>
          <w:rFonts w:asciiTheme="minorHAnsi" w:eastAsiaTheme="minorEastAsia" w:hAnsiTheme="minorHAnsi" w:cstheme="minorBidi"/>
          <w:noProof/>
          <w:szCs w:val="22"/>
          <w:lang w:eastAsia="en-NZ"/>
        </w:rPr>
      </w:pPr>
      <w:r>
        <w:rPr>
          <w:noProof/>
        </w:rPr>
        <w:t>Table 3:</w:t>
      </w:r>
      <w:r>
        <w:rPr>
          <w:noProof/>
        </w:rPr>
        <w:tab/>
        <w:t>Grading and referral guidance for women with diabetes who are also pregnant</w:t>
      </w:r>
      <w:r>
        <w:rPr>
          <w:noProof/>
        </w:rPr>
        <w:tab/>
      </w:r>
      <w:r>
        <w:rPr>
          <w:noProof/>
        </w:rPr>
        <w:fldChar w:fldCharType="begin"/>
      </w:r>
      <w:r>
        <w:rPr>
          <w:noProof/>
        </w:rPr>
        <w:instrText xml:space="preserve"> PAGEREF _Toc446335198 \h </w:instrText>
      </w:r>
      <w:r>
        <w:rPr>
          <w:noProof/>
        </w:rPr>
      </w:r>
      <w:r>
        <w:rPr>
          <w:noProof/>
        </w:rPr>
        <w:fldChar w:fldCharType="separate"/>
      </w:r>
      <w:r w:rsidR="00BF31D9">
        <w:rPr>
          <w:noProof/>
        </w:rPr>
        <w:t>11</w:t>
      </w:r>
      <w:r>
        <w:rPr>
          <w:noProof/>
        </w:rPr>
        <w:fldChar w:fldCharType="end"/>
      </w:r>
    </w:p>
    <w:p w:rsidR="000F13D1" w:rsidRDefault="000F13D1">
      <w:pPr>
        <w:pStyle w:val="TOC3"/>
        <w:rPr>
          <w:rFonts w:asciiTheme="minorHAnsi" w:eastAsiaTheme="minorEastAsia" w:hAnsiTheme="minorHAnsi" w:cstheme="minorBidi"/>
          <w:noProof/>
          <w:szCs w:val="22"/>
          <w:lang w:eastAsia="en-NZ"/>
        </w:rPr>
      </w:pPr>
      <w:r>
        <w:rPr>
          <w:noProof/>
        </w:rPr>
        <w:t>Table A:</w:t>
      </w:r>
      <w:r>
        <w:rPr>
          <w:noProof/>
        </w:rPr>
        <w:tab/>
        <w:t>Guide to the rate of progression of disease</w:t>
      </w:r>
      <w:r>
        <w:rPr>
          <w:noProof/>
        </w:rPr>
        <w:tab/>
      </w:r>
      <w:r>
        <w:rPr>
          <w:noProof/>
        </w:rPr>
        <w:fldChar w:fldCharType="begin"/>
      </w:r>
      <w:r>
        <w:rPr>
          <w:noProof/>
        </w:rPr>
        <w:instrText xml:space="preserve"> PAGEREF _Toc446335199 \h </w:instrText>
      </w:r>
      <w:r>
        <w:rPr>
          <w:noProof/>
        </w:rPr>
      </w:r>
      <w:r>
        <w:rPr>
          <w:noProof/>
        </w:rPr>
        <w:fldChar w:fldCharType="separate"/>
      </w:r>
      <w:r w:rsidR="00BF31D9">
        <w:rPr>
          <w:noProof/>
        </w:rPr>
        <w:t>15</w:t>
      </w:r>
      <w:r>
        <w:rPr>
          <w:noProof/>
        </w:rPr>
        <w:fldChar w:fldCharType="end"/>
      </w:r>
    </w:p>
    <w:p w:rsidR="000F13D1" w:rsidRDefault="000F13D1">
      <w:pPr>
        <w:pStyle w:val="TOC3"/>
        <w:rPr>
          <w:rFonts w:asciiTheme="minorHAnsi" w:eastAsiaTheme="minorEastAsia" w:hAnsiTheme="minorHAnsi" w:cstheme="minorBidi"/>
          <w:noProof/>
          <w:szCs w:val="22"/>
          <w:lang w:eastAsia="en-NZ"/>
        </w:rPr>
      </w:pPr>
      <w:r>
        <w:rPr>
          <w:noProof/>
        </w:rPr>
        <w:t>Table B:</w:t>
      </w:r>
      <w:r>
        <w:rPr>
          <w:noProof/>
        </w:rPr>
        <w:tab/>
        <w:t>Grading for image clarity and field size</w:t>
      </w:r>
      <w:r>
        <w:rPr>
          <w:noProof/>
        </w:rPr>
        <w:tab/>
      </w:r>
      <w:r>
        <w:rPr>
          <w:noProof/>
        </w:rPr>
        <w:fldChar w:fldCharType="begin"/>
      </w:r>
      <w:r>
        <w:rPr>
          <w:noProof/>
        </w:rPr>
        <w:instrText xml:space="preserve"> PAGEREF _Toc446335200 \h </w:instrText>
      </w:r>
      <w:r>
        <w:rPr>
          <w:noProof/>
        </w:rPr>
      </w:r>
      <w:r>
        <w:rPr>
          <w:noProof/>
        </w:rPr>
        <w:fldChar w:fldCharType="separate"/>
      </w:r>
      <w:r w:rsidR="00BF31D9">
        <w:rPr>
          <w:noProof/>
        </w:rPr>
        <w:t>16</w:t>
      </w:r>
      <w:r>
        <w:rPr>
          <w:noProof/>
        </w:rPr>
        <w:fldChar w:fldCharType="end"/>
      </w:r>
    </w:p>
    <w:p w:rsidR="000F13D1" w:rsidRDefault="000F13D1">
      <w:pPr>
        <w:pStyle w:val="TOC3"/>
        <w:rPr>
          <w:rFonts w:asciiTheme="minorHAnsi" w:eastAsiaTheme="minorEastAsia" w:hAnsiTheme="minorHAnsi" w:cstheme="minorBidi"/>
          <w:noProof/>
          <w:szCs w:val="22"/>
          <w:lang w:eastAsia="en-NZ"/>
        </w:rPr>
      </w:pPr>
      <w:r>
        <w:rPr>
          <w:noProof/>
        </w:rPr>
        <w:t>Table C:</w:t>
      </w:r>
      <w:r>
        <w:rPr>
          <w:noProof/>
        </w:rPr>
        <w:tab/>
        <w:t>Diabetic retinopathy grading classification and referral guidance</w:t>
      </w:r>
      <w:r>
        <w:rPr>
          <w:noProof/>
        </w:rPr>
        <w:tab/>
      </w:r>
      <w:r>
        <w:rPr>
          <w:noProof/>
        </w:rPr>
        <w:fldChar w:fldCharType="begin"/>
      </w:r>
      <w:r>
        <w:rPr>
          <w:noProof/>
        </w:rPr>
        <w:instrText xml:space="preserve"> PAGEREF _Toc446335201 \h </w:instrText>
      </w:r>
      <w:r>
        <w:rPr>
          <w:noProof/>
        </w:rPr>
      </w:r>
      <w:r>
        <w:rPr>
          <w:noProof/>
        </w:rPr>
        <w:fldChar w:fldCharType="separate"/>
      </w:r>
      <w:r w:rsidR="00BF31D9">
        <w:rPr>
          <w:noProof/>
        </w:rPr>
        <w:t>17</w:t>
      </w:r>
      <w:r>
        <w:rPr>
          <w:noProof/>
        </w:rPr>
        <w:fldChar w:fldCharType="end"/>
      </w:r>
    </w:p>
    <w:p w:rsidR="000F13D1" w:rsidRDefault="000F13D1">
      <w:pPr>
        <w:pStyle w:val="TOC3"/>
        <w:rPr>
          <w:rFonts w:asciiTheme="minorHAnsi" w:eastAsiaTheme="minorEastAsia" w:hAnsiTheme="minorHAnsi" w:cstheme="minorBidi"/>
          <w:noProof/>
          <w:szCs w:val="22"/>
          <w:lang w:eastAsia="en-NZ"/>
        </w:rPr>
      </w:pPr>
      <w:r>
        <w:rPr>
          <w:noProof/>
        </w:rPr>
        <w:t>Table D:</w:t>
      </w:r>
      <w:r>
        <w:rPr>
          <w:noProof/>
        </w:rPr>
        <w:tab/>
        <w:t>Diabetic macular disease classification and referral guidance</w:t>
      </w:r>
      <w:r>
        <w:rPr>
          <w:noProof/>
        </w:rPr>
        <w:tab/>
      </w:r>
      <w:r>
        <w:rPr>
          <w:noProof/>
        </w:rPr>
        <w:fldChar w:fldCharType="begin"/>
      </w:r>
      <w:r>
        <w:rPr>
          <w:noProof/>
        </w:rPr>
        <w:instrText xml:space="preserve"> PAGEREF _Toc446335202 \h </w:instrText>
      </w:r>
      <w:r>
        <w:rPr>
          <w:noProof/>
        </w:rPr>
      </w:r>
      <w:r>
        <w:rPr>
          <w:noProof/>
        </w:rPr>
        <w:fldChar w:fldCharType="separate"/>
      </w:r>
      <w:r w:rsidR="00BF31D9">
        <w:rPr>
          <w:noProof/>
        </w:rPr>
        <w:t>18</w:t>
      </w:r>
      <w:r>
        <w:rPr>
          <w:noProof/>
        </w:rPr>
        <w:fldChar w:fldCharType="end"/>
      </w:r>
    </w:p>
    <w:p w:rsidR="000F13D1" w:rsidRDefault="000F13D1">
      <w:pPr>
        <w:pStyle w:val="TOC3"/>
        <w:rPr>
          <w:rFonts w:asciiTheme="minorHAnsi" w:eastAsiaTheme="minorEastAsia" w:hAnsiTheme="minorHAnsi" w:cstheme="minorBidi"/>
          <w:noProof/>
          <w:szCs w:val="22"/>
          <w:lang w:eastAsia="en-NZ"/>
        </w:rPr>
      </w:pPr>
      <w:r>
        <w:rPr>
          <w:noProof/>
        </w:rPr>
        <w:t>Table E:</w:t>
      </w:r>
      <w:r>
        <w:rPr>
          <w:noProof/>
        </w:rPr>
        <w:tab/>
        <w:t>Grading of non-diabetic pathology</w:t>
      </w:r>
      <w:r>
        <w:rPr>
          <w:noProof/>
        </w:rPr>
        <w:tab/>
      </w:r>
      <w:r>
        <w:rPr>
          <w:noProof/>
        </w:rPr>
        <w:fldChar w:fldCharType="begin"/>
      </w:r>
      <w:r>
        <w:rPr>
          <w:noProof/>
        </w:rPr>
        <w:instrText xml:space="preserve"> PAGEREF _Toc446335203 \h </w:instrText>
      </w:r>
      <w:r>
        <w:rPr>
          <w:noProof/>
        </w:rPr>
      </w:r>
      <w:r>
        <w:rPr>
          <w:noProof/>
        </w:rPr>
        <w:fldChar w:fldCharType="separate"/>
      </w:r>
      <w:r w:rsidR="00BF31D9">
        <w:rPr>
          <w:noProof/>
        </w:rPr>
        <w:t>19</w:t>
      </w:r>
      <w:r>
        <w:rPr>
          <w:noProof/>
        </w:rPr>
        <w:fldChar w:fldCharType="end"/>
      </w:r>
    </w:p>
    <w:p w:rsidR="00C86248" w:rsidRPr="000E52E2" w:rsidRDefault="00C86248" w:rsidP="0030382F">
      <w:r w:rsidRPr="000E52E2">
        <w:fldChar w:fldCharType="end"/>
      </w:r>
    </w:p>
    <w:p w:rsidR="003A5FEA" w:rsidRPr="000E52E2" w:rsidRDefault="003A5FEA" w:rsidP="003A5FEA">
      <w:pPr>
        <w:pStyle w:val="TOC1"/>
      </w:pPr>
      <w:r w:rsidRPr="000E52E2">
        <w:t>List of Figures</w:t>
      </w:r>
    </w:p>
    <w:p w:rsidR="000F13D1" w:rsidRDefault="003A5FEA">
      <w:pPr>
        <w:pStyle w:val="TOC3"/>
        <w:rPr>
          <w:rFonts w:asciiTheme="minorHAnsi" w:eastAsiaTheme="minorEastAsia" w:hAnsiTheme="minorHAnsi" w:cstheme="minorBidi"/>
          <w:noProof/>
          <w:szCs w:val="22"/>
          <w:lang w:eastAsia="en-NZ"/>
        </w:rPr>
      </w:pPr>
      <w:r w:rsidRPr="000E52E2">
        <w:fldChar w:fldCharType="begin"/>
      </w:r>
      <w:r w:rsidRPr="000E52E2">
        <w:instrText xml:space="preserve"> TOC \t "Figure,3" </w:instrText>
      </w:r>
      <w:r w:rsidRPr="000E52E2">
        <w:fldChar w:fldCharType="separate"/>
      </w:r>
      <w:r w:rsidR="000F13D1">
        <w:rPr>
          <w:noProof/>
        </w:rPr>
        <w:t>Figure 1:</w:t>
      </w:r>
      <w:r w:rsidR="000F13D1">
        <w:rPr>
          <w:noProof/>
        </w:rPr>
        <w:tab/>
        <w:t>Retinal screening pathway</w:t>
      </w:r>
      <w:r w:rsidR="000F13D1">
        <w:rPr>
          <w:noProof/>
        </w:rPr>
        <w:tab/>
      </w:r>
      <w:r w:rsidR="000F13D1">
        <w:rPr>
          <w:noProof/>
        </w:rPr>
        <w:fldChar w:fldCharType="begin"/>
      </w:r>
      <w:r w:rsidR="000F13D1">
        <w:rPr>
          <w:noProof/>
        </w:rPr>
        <w:instrText xml:space="preserve"> PAGEREF _Toc446335204 \h </w:instrText>
      </w:r>
      <w:r w:rsidR="000F13D1">
        <w:rPr>
          <w:noProof/>
        </w:rPr>
      </w:r>
      <w:r w:rsidR="000F13D1">
        <w:rPr>
          <w:noProof/>
        </w:rPr>
        <w:fldChar w:fldCharType="separate"/>
      </w:r>
      <w:r w:rsidR="00BF31D9">
        <w:rPr>
          <w:noProof/>
        </w:rPr>
        <w:t>2</w:t>
      </w:r>
      <w:r w:rsidR="000F13D1">
        <w:rPr>
          <w:noProof/>
        </w:rPr>
        <w:fldChar w:fldCharType="end"/>
      </w:r>
    </w:p>
    <w:p w:rsidR="000F13D1" w:rsidRDefault="000F13D1">
      <w:pPr>
        <w:pStyle w:val="TOC3"/>
        <w:rPr>
          <w:rFonts w:asciiTheme="minorHAnsi" w:eastAsiaTheme="minorEastAsia" w:hAnsiTheme="minorHAnsi" w:cstheme="minorBidi"/>
          <w:noProof/>
          <w:szCs w:val="22"/>
          <w:lang w:eastAsia="en-NZ"/>
        </w:rPr>
      </w:pPr>
      <w:r>
        <w:rPr>
          <w:noProof/>
        </w:rPr>
        <w:t>Figure 2:</w:t>
      </w:r>
      <w:r>
        <w:rPr>
          <w:noProof/>
        </w:rPr>
        <w:tab/>
        <w:t>Example optical coherence tomography image</w:t>
      </w:r>
      <w:r>
        <w:rPr>
          <w:noProof/>
        </w:rPr>
        <w:tab/>
      </w:r>
      <w:r>
        <w:rPr>
          <w:noProof/>
        </w:rPr>
        <w:fldChar w:fldCharType="begin"/>
      </w:r>
      <w:r>
        <w:rPr>
          <w:noProof/>
        </w:rPr>
        <w:instrText xml:space="preserve"> PAGEREF _Toc446335205 \h </w:instrText>
      </w:r>
      <w:r>
        <w:rPr>
          <w:noProof/>
        </w:rPr>
      </w:r>
      <w:r>
        <w:rPr>
          <w:noProof/>
        </w:rPr>
        <w:fldChar w:fldCharType="separate"/>
      </w:r>
      <w:r w:rsidR="00BF31D9">
        <w:rPr>
          <w:noProof/>
        </w:rPr>
        <w:t>12</w:t>
      </w:r>
      <w:r>
        <w:rPr>
          <w:noProof/>
        </w:rPr>
        <w:fldChar w:fldCharType="end"/>
      </w:r>
    </w:p>
    <w:p w:rsidR="000F13D1" w:rsidRDefault="000F13D1">
      <w:pPr>
        <w:pStyle w:val="TOC3"/>
        <w:rPr>
          <w:rFonts w:asciiTheme="minorHAnsi" w:eastAsiaTheme="minorEastAsia" w:hAnsiTheme="minorHAnsi" w:cstheme="minorBidi"/>
          <w:noProof/>
          <w:szCs w:val="22"/>
          <w:lang w:eastAsia="en-NZ"/>
        </w:rPr>
      </w:pPr>
      <w:r>
        <w:rPr>
          <w:noProof/>
        </w:rPr>
        <w:t>Figure A:</w:t>
      </w:r>
      <w:r>
        <w:rPr>
          <w:noProof/>
        </w:rPr>
        <w:tab/>
        <w:t>Retinal monitoring pathway for R3, R4 or previously treated PDR disease</w:t>
      </w:r>
      <w:r>
        <w:rPr>
          <w:noProof/>
        </w:rPr>
        <w:tab/>
      </w:r>
      <w:r>
        <w:rPr>
          <w:noProof/>
        </w:rPr>
        <w:fldChar w:fldCharType="begin"/>
      </w:r>
      <w:r>
        <w:rPr>
          <w:noProof/>
        </w:rPr>
        <w:instrText xml:space="preserve"> PAGEREF _Toc446335206 \h </w:instrText>
      </w:r>
      <w:r>
        <w:rPr>
          <w:noProof/>
        </w:rPr>
      </w:r>
      <w:r>
        <w:rPr>
          <w:noProof/>
        </w:rPr>
        <w:fldChar w:fldCharType="separate"/>
      </w:r>
      <w:r w:rsidR="00BF31D9">
        <w:rPr>
          <w:noProof/>
        </w:rPr>
        <w:t>20</w:t>
      </w:r>
      <w:r>
        <w:rPr>
          <w:noProof/>
        </w:rPr>
        <w:fldChar w:fldCharType="end"/>
      </w:r>
    </w:p>
    <w:p w:rsidR="000F13D1" w:rsidRDefault="000F13D1">
      <w:pPr>
        <w:pStyle w:val="TOC3"/>
        <w:rPr>
          <w:rFonts w:asciiTheme="minorHAnsi" w:eastAsiaTheme="minorEastAsia" w:hAnsiTheme="minorHAnsi" w:cstheme="minorBidi"/>
          <w:noProof/>
          <w:szCs w:val="22"/>
          <w:lang w:eastAsia="en-NZ"/>
        </w:rPr>
      </w:pPr>
      <w:r>
        <w:rPr>
          <w:noProof/>
        </w:rPr>
        <w:t>Figure B:</w:t>
      </w:r>
      <w:r>
        <w:rPr>
          <w:noProof/>
        </w:rPr>
        <w:tab/>
        <w:t>Proposed retinal monitoring macular pathway</w:t>
      </w:r>
      <w:r>
        <w:rPr>
          <w:noProof/>
        </w:rPr>
        <w:tab/>
      </w:r>
      <w:r>
        <w:rPr>
          <w:noProof/>
        </w:rPr>
        <w:fldChar w:fldCharType="begin"/>
      </w:r>
      <w:r>
        <w:rPr>
          <w:noProof/>
        </w:rPr>
        <w:instrText xml:space="preserve"> PAGEREF _Toc446335207 \h </w:instrText>
      </w:r>
      <w:r>
        <w:rPr>
          <w:noProof/>
        </w:rPr>
      </w:r>
      <w:r>
        <w:rPr>
          <w:noProof/>
        </w:rPr>
        <w:fldChar w:fldCharType="separate"/>
      </w:r>
      <w:r w:rsidR="00BF31D9">
        <w:rPr>
          <w:noProof/>
        </w:rPr>
        <w:t>21</w:t>
      </w:r>
      <w:r>
        <w:rPr>
          <w:noProof/>
        </w:rPr>
        <w:fldChar w:fldCharType="end"/>
      </w:r>
    </w:p>
    <w:p w:rsidR="003A5FEA" w:rsidRPr="000E52E2" w:rsidRDefault="003A5FEA" w:rsidP="003A5FEA">
      <w:r w:rsidRPr="000E52E2">
        <w:fldChar w:fldCharType="end"/>
      </w:r>
    </w:p>
    <w:p w:rsidR="0021763B" w:rsidRPr="000E52E2" w:rsidRDefault="0021763B" w:rsidP="0021763B">
      <w:pPr>
        <w:pStyle w:val="Heading1"/>
      </w:pPr>
      <w:r w:rsidRPr="000E52E2">
        <w:br w:type="page"/>
      </w:r>
      <w:bookmarkStart w:id="3" w:name="_Toc446335144"/>
      <w:r w:rsidRPr="000E52E2">
        <w:lastRenderedPageBreak/>
        <w:t>Executive summary</w:t>
      </w:r>
      <w:bookmarkEnd w:id="3"/>
    </w:p>
    <w:p w:rsidR="006B3736" w:rsidRPr="000E52E2" w:rsidRDefault="006B3736" w:rsidP="000E52E2">
      <w:r w:rsidRPr="000E52E2">
        <w:t>Anyone with diabetes is at risk of developing diabetic retinopathy (DR), or damage to the retina. Continued damage can lead to blindness. More than 257,000 New Zealanders now live with diabetes, and approximately 20–25 percent of those with diabetes have some form of DR.</w:t>
      </w:r>
    </w:p>
    <w:p w:rsidR="006B3736" w:rsidRPr="000E52E2" w:rsidRDefault="006B3736" w:rsidP="000E52E2">
      <w:pPr>
        <w:rPr>
          <w:rFonts w:ascii="Century" w:eastAsia="Century" w:hAnsi="Century" w:cs="Century"/>
          <w:sz w:val="18"/>
          <w:szCs w:val="18"/>
        </w:rPr>
      </w:pPr>
    </w:p>
    <w:p w:rsidR="006B3736" w:rsidRPr="000E52E2" w:rsidRDefault="006B3736" w:rsidP="000E52E2">
      <w:r w:rsidRPr="000E52E2">
        <w:t>Fortunately, DR can be detected and early intervention can prevent or reduce vision loss. For service providers, DR screening is not only cost-effective but, in the long term, it can even save costs.</w:t>
      </w:r>
    </w:p>
    <w:p w:rsidR="006B3736" w:rsidRPr="000E52E2" w:rsidRDefault="006B3736" w:rsidP="000E52E2">
      <w:pPr>
        <w:rPr>
          <w:rFonts w:ascii="Century" w:eastAsia="Century" w:hAnsi="Century" w:cs="Century"/>
          <w:sz w:val="18"/>
          <w:szCs w:val="18"/>
        </w:rPr>
      </w:pPr>
    </w:p>
    <w:p w:rsidR="006B3736" w:rsidRPr="000E52E2" w:rsidRDefault="006B3736" w:rsidP="000E52E2">
      <w:r w:rsidRPr="000E52E2">
        <w:t xml:space="preserve">The elements of an organised national retinal screening programme first took shape in 2001. The National Diabetes Retinal Screening Grading System and Referral Guidelines 2006 (updated 2008) (Ministry of Health 2008) extended the information on DR screening for service providers and revised the grading system. </w:t>
      </w:r>
      <w:r w:rsidRPr="000E52E2">
        <w:rPr>
          <w:i/>
        </w:rPr>
        <w:t xml:space="preserve">The Diabetic Retinal Screening, Grading, Monitoring and Referral Guidance 2016 </w:t>
      </w:r>
      <w:proofErr w:type="gramStart"/>
      <w:r w:rsidRPr="000E52E2">
        <w:t>updates</w:t>
      </w:r>
      <w:proofErr w:type="gramEnd"/>
      <w:r w:rsidRPr="000E52E2">
        <w:t xml:space="preserve"> all previous guidelines and recommends:</w:t>
      </w:r>
    </w:p>
    <w:p w:rsidR="006B3736" w:rsidRPr="000E52E2" w:rsidRDefault="006B3736" w:rsidP="000E52E2">
      <w:pPr>
        <w:pStyle w:val="Bullet"/>
      </w:pPr>
      <w:r w:rsidRPr="000E52E2">
        <w:t>revising the screening interval to three-yearly for those without clinical modifiers and for those with no diabetic retinopathy detected</w:t>
      </w:r>
    </w:p>
    <w:p w:rsidR="006B3736" w:rsidRPr="000E52E2" w:rsidRDefault="006B3736" w:rsidP="000E52E2">
      <w:pPr>
        <w:pStyle w:val="Bullet"/>
      </w:pPr>
      <w:r w:rsidRPr="000E52E2">
        <w:t>updating the retinal screening pathway</w:t>
      </w:r>
    </w:p>
    <w:p w:rsidR="006B3736" w:rsidRPr="000E52E2" w:rsidRDefault="006B3736" w:rsidP="000E52E2">
      <w:pPr>
        <w:pStyle w:val="Bullet"/>
      </w:pPr>
      <w:r w:rsidRPr="000E52E2">
        <w:t>making pupil dilation a choice to be discussed with the person being screened</w:t>
      </w:r>
    </w:p>
    <w:p w:rsidR="006B3736" w:rsidRPr="000E52E2" w:rsidRDefault="006B3736" w:rsidP="000E52E2">
      <w:pPr>
        <w:pStyle w:val="Bullet"/>
      </w:pPr>
      <w:r w:rsidRPr="000E52E2">
        <w:t xml:space="preserve">focusing more on </w:t>
      </w:r>
      <w:proofErr w:type="spellStart"/>
      <w:r w:rsidRPr="000E52E2">
        <w:t>self management</w:t>
      </w:r>
      <w:proofErr w:type="spellEnd"/>
      <w:r w:rsidRPr="000E52E2">
        <w:t xml:space="preserve"> with better control if retinopathy progresses and timely re-screening if retinopathy control deteriorates</w:t>
      </w:r>
    </w:p>
    <w:p w:rsidR="006B3736" w:rsidRPr="000E52E2" w:rsidRDefault="006B3736" w:rsidP="000E52E2">
      <w:pPr>
        <w:pStyle w:val="Bullet"/>
      </w:pPr>
      <w:r w:rsidRPr="000E52E2">
        <w:t>screening for pregnant women with diabetes</w:t>
      </w:r>
    </w:p>
    <w:p w:rsidR="006B3736" w:rsidRPr="000E52E2" w:rsidRDefault="006B3736" w:rsidP="000E52E2">
      <w:pPr>
        <w:pStyle w:val="Bullet"/>
      </w:pPr>
      <w:r w:rsidRPr="000E52E2">
        <w:t>monitoring by optometrists, with each region having a central coordinator for its DR screening service based on national standards and an ophthalmologist overseeing the region</w:t>
      </w:r>
      <w:r w:rsidR="00464C89">
        <w:t>’</w:t>
      </w:r>
      <w:r w:rsidRPr="000E52E2">
        <w:t>s programme</w:t>
      </w:r>
    </w:p>
    <w:p w:rsidR="006B3736" w:rsidRPr="000E52E2" w:rsidRDefault="006B3736" w:rsidP="000E52E2">
      <w:pPr>
        <w:pStyle w:val="Bullet"/>
      </w:pPr>
      <w:r w:rsidRPr="000E52E2">
        <w:t>encouraging the general practice as the health care home for people with diabetes, which includes accessing electronic information and ensuring enrolment with the screening programme, especially when a person with diabetes shifts to a different district health board (DHB) area</w:t>
      </w:r>
    </w:p>
    <w:p w:rsidR="006B3736" w:rsidRPr="000E52E2" w:rsidRDefault="006B3736" w:rsidP="000E52E2">
      <w:pPr>
        <w:pStyle w:val="Bullet"/>
      </w:pPr>
      <w:proofErr w:type="gramStart"/>
      <w:r w:rsidRPr="000E52E2">
        <w:t>providing</w:t>
      </w:r>
      <w:proofErr w:type="gramEnd"/>
      <w:r w:rsidRPr="000E52E2">
        <w:t xml:space="preserve"> screening and monitoring results within three weeks to the person with diabetes, their GP and their referring clinician.</w:t>
      </w:r>
    </w:p>
    <w:p w:rsidR="006B3736" w:rsidRPr="000E52E2" w:rsidRDefault="006B3736" w:rsidP="000E52E2">
      <w:pPr>
        <w:rPr>
          <w:rFonts w:eastAsia="Century"/>
        </w:rPr>
      </w:pPr>
    </w:p>
    <w:p w:rsidR="006B3736" w:rsidRPr="000E52E2" w:rsidRDefault="006B3736" w:rsidP="000E52E2">
      <w:r w:rsidRPr="000E52E2">
        <w:t xml:space="preserve">Although the target population has type </w:t>
      </w:r>
      <w:proofErr w:type="gramStart"/>
      <w:r w:rsidRPr="000E52E2">
        <w:t>2 diabetes</w:t>
      </w:r>
      <w:proofErr w:type="gramEnd"/>
      <w:r w:rsidRPr="000E52E2">
        <w:t>, these guidelines also address diabetes in pregnancy and children and adults with type 1 diabetes to ensure these groups also have the support of an organised retinal screening programme.</w:t>
      </w:r>
    </w:p>
    <w:p w:rsidR="006B3736" w:rsidRPr="000E52E2" w:rsidRDefault="006B3736" w:rsidP="000E52E2">
      <w:pPr>
        <w:rPr>
          <w:rFonts w:eastAsia="Century"/>
        </w:rPr>
      </w:pPr>
    </w:p>
    <w:p w:rsidR="0021763B" w:rsidRPr="000E52E2" w:rsidRDefault="006B3736" w:rsidP="000E52E2">
      <w:r w:rsidRPr="000E52E2">
        <w:t>New Zealand already has a variety of regional DR screening services, some of which are very effective. The updated standards for grading, referring and monitoring set out in these guidelines recognise that some established programmes will have to adjust their processes and also that technology is quickly evolving. As a result, the guidelines are flexible and should promote further integration of regional services to result in a consistent national standard.</w:t>
      </w:r>
    </w:p>
    <w:p w:rsidR="00C86248" w:rsidRPr="000E52E2" w:rsidRDefault="00C86248" w:rsidP="0086388B"/>
    <w:p w:rsidR="00C86248" w:rsidRPr="000E52E2" w:rsidRDefault="00C86248">
      <w:pPr>
        <w:sectPr w:rsidR="00C86248" w:rsidRPr="000E52E2" w:rsidSect="009D5125">
          <w:footerReference w:type="even" r:id="rId20"/>
          <w:pgSz w:w="11907" w:h="16840" w:code="9"/>
          <w:pgMar w:top="851" w:right="1134" w:bottom="1134" w:left="1134" w:header="284" w:footer="567" w:gutter="284"/>
          <w:pgNumType w:fmt="lowerRoman"/>
          <w:cols w:space="720"/>
        </w:sectPr>
      </w:pPr>
    </w:p>
    <w:p w:rsidR="008C2973" w:rsidRPr="000E52E2" w:rsidRDefault="000E52E2" w:rsidP="0086388B">
      <w:pPr>
        <w:pStyle w:val="Heading1"/>
      </w:pPr>
      <w:bookmarkStart w:id="4" w:name="_Toc446335145"/>
      <w:r w:rsidRPr="000E52E2">
        <w:lastRenderedPageBreak/>
        <w:t>1</w:t>
      </w:r>
      <w:r w:rsidRPr="000E52E2">
        <w:tab/>
      </w:r>
      <w:r w:rsidR="0086388B" w:rsidRPr="000E52E2">
        <w:t>Introduction</w:t>
      </w:r>
      <w:bookmarkEnd w:id="4"/>
    </w:p>
    <w:p w:rsidR="000E52E2" w:rsidRPr="000E52E2" w:rsidRDefault="000E52E2" w:rsidP="000E52E2">
      <w:pPr>
        <w:pStyle w:val="Heading2"/>
      </w:pPr>
      <w:bookmarkStart w:id="5" w:name="_Toc446335146"/>
      <w:r w:rsidRPr="000E52E2">
        <w:t>1.1</w:t>
      </w:r>
      <w:r w:rsidRPr="000E52E2">
        <w:tab/>
        <w:t>Overview</w:t>
      </w:r>
      <w:bookmarkEnd w:id="5"/>
    </w:p>
    <w:p w:rsidR="006B3736" w:rsidRPr="000E52E2" w:rsidRDefault="006B3736" w:rsidP="001B04CA">
      <w:r w:rsidRPr="000E52E2">
        <w:t>Anyone with diabetes is at risk of developing diabetic retinopathy (DR). This eye disease is defined as abnormal retinal changes associated with diabetes, and it can lead to visual loss. In New Zealand, approximately 20–25 percent of people with diabetes have some form of DR (</w:t>
      </w:r>
      <w:proofErr w:type="spellStart"/>
      <w:r w:rsidRPr="000E52E2">
        <w:t>Frederikson</w:t>
      </w:r>
      <w:proofErr w:type="spellEnd"/>
      <w:r w:rsidRPr="000E52E2">
        <w:t xml:space="preserve"> and Jacobs</w:t>
      </w:r>
      <w:r w:rsidR="001B04CA">
        <w:t xml:space="preserve"> </w:t>
      </w:r>
      <w:r w:rsidRPr="000E52E2">
        <w:t xml:space="preserve">2008; Coppell et al 2011; </w:t>
      </w:r>
      <w:proofErr w:type="spellStart"/>
      <w:r w:rsidRPr="000E52E2">
        <w:t>Papali</w:t>
      </w:r>
      <w:r w:rsidR="00464C89">
        <w:t>’</w:t>
      </w:r>
      <w:r w:rsidRPr="000E52E2">
        <w:t>i</w:t>
      </w:r>
      <w:proofErr w:type="spellEnd"/>
      <w:r w:rsidRPr="000E52E2">
        <w:t xml:space="preserve">-Curtin and </w:t>
      </w:r>
      <w:proofErr w:type="spellStart"/>
      <w:r w:rsidRPr="000E52E2">
        <w:t>Dalziel</w:t>
      </w:r>
      <w:proofErr w:type="spellEnd"/>
      <w:r w:rsidRPr="000E52E2">
        <w:t xml:space="preserve"> 2013). The main risk factors of DR are discussed in section 1.4 below.</w:t>
      </w:r>
    </w:p>
    <w:p w:rsidR="006B3736" w:rsidRPr="000E52E2" w:rsidRDefault="006B3736" w:rsidP="001B04CA">
      <w:pPr>
        <w:rPr>
          <w:rFonts w:eastAsia="Century"/>
        </w:rPr>
      </w:pPr>
    </w:p>
    <w:p w:rsidR="006B3736" w:rsidRPr="000E52E2" w:rsidRDefault="006B3736" w:rsidP="001B04CA">
      <w:r w:rsidRPr="000E52E2">
        <w:t>People with diabetes should be encouraged to participate in an organised retinal screening service because there is good evidence that retinal screening and subsequent treatment reduces preventable blindness. Retinal screening is also cost effective (</w:t>
      </w:r>
      <w:proofErr w:type="spellStart"/>
      <w:r w:rsidRPr="000E52E2">
        <w:t>Javitt</w:t>
      </w:r>
      <w:proofErr w:type="spellEnd"/>
      <w:r w:rsidRPr="000E52E2">
        <w:t xml:space="preserve"> and Aiello 1996).</w:t>
      </w:r>
    </w:p>
    <w:p w:rsidR="006B3736" w:rsidRPr="000E52E2" w:rsidRDefault="006B3736" w:rsidP="001B04CA">
      <w:pPr>
        <w:rPr>
          <w:rFonts w:eastAsia="Century"/>
        </w:rPr>
      </w:pPr>
    </w:p>
    <w:p w:rsidR="006B3736" w:rsidRPr="000E52E2" w:rsidRDefault="006B3736" w:rsidP="001B04CA">
      <w:pPr>
        <w:rPr>
          <w:rFonts w:eastAsia="Century" w:hAnsi="Century" w:cs="Century"/>
        </w:rPr>
      </w:pPr>
      <w:r w:rsidRPr="000E52E2">
        <w:t xml:space="preserve">In 2014, the Ministry of Health (the Ministry) established the Diabetes Retinal Steering Group (the Steering Group) to update the </w:t>
      </w:r>
      <w:r w:rsidRPr="000E52E2">
        <w:rPr>
          <w:i/>
        </w:rPr>
        <w:t xml:space="preserve">National Diabetes Retinal Screening Grading System and Referral Guidelines (2006) and Resources (2008) </w:t>
      </w:r>
      <w:r w:rsidRPr="000E52E2">
        <w:t>(Ministry of Health 2007). The Steering Group produced the current guidance document, which outlines the key components of an organised DR screening service with the aim of providing high-quality, equitable screening for those at risk of diabetic eye disease.</w:t>
      </w:r>
    </w:p>
    <w:p w:rsidR="006B3736" w:rsidRPr="000E52E2" w:rsidRDefault="006B3736" w:rsidP="001B04CA">
      <w:pPr>
        <w:rPr>
          <w:rFonts w:eastAsia="Century"/>
        </w:rPr>
      </w:pPr>
    </w:p>
    <w:p w:rsidR="006B3736" w:rsidRPr="000E52E2" w:rsidRDefault="006B3736" w:rsidP="001B04CA">
      <w:r w:rsidRPr="000E52E2">
        <w:t>The guidance represents a statement of best practice, based on evidence and expert consensus (at the time of publishing), and is intended to inform and guide the delivery of a nationally consistent retinal screening programme. For the first time, the guidelines attempt to distinguish between screening</w:t>
      </w:r>
      <w:r w:rsidR="001B04CA">
        <w:rPr>
          <w:rStyle w:val="FootnoteReference"/>
        </w:rPr>
        <w:footnoteReference w:id="1"/>
      </w:r>
      <w:r w:rsidR="001B04CA">
        <w:t xml:space="preserve"> </w:t>
      </w:r>
      <w:r w:rsidRPr="000E52E2">
        <w:t>for and monitoring</w:t>
      </w:r>
      <w:r w:rsidR="001B04CA">
        <w:rPr>
          <w:rStyle w:val="FootnoteReference"/>
        </w:rPr>
        <w:footnoteReference w:id="2"/>
      </w:r>
      <w:r w:rsidR="001B04CA">
        <w:t xml:space="preserve"> </w:t>
      </w:r>
      <w:r w:rsidRPr="000E52E2">
        <w:t>DR.</w:t>
      </w:r>
    </w:p>
    <w:p w:rsidR="006B3736" w:rsidRPr="000E52E2" w:rsidRDefault="006B3736" w:rsidP="001B04CA">
      <w:pPr>
        <w:rPr>
          <w:rFonts w:eastAsia="Century"/>
        </w:rPr>
      </w:pPr>
    </w:p>
    <w:p w:rsidR="006B3736" w:rsidRPr="000E52E2" w:rsidRDefault="006B3736" w:rsidP="001B04CA">
      <w:r w:rsidRPr="000E52E2">
        <w:t>This guidance should be read in conjunction with:</w:t>
      </w:r>
    </w:p>
    <w:p w:rsidR="006B3736" w:rsidRPr="000E52E2" w:rsidRDefault="006B3736" w:rsidP="001B04CA">
      <w:pPr>
        <w:pStyle w:val="Bullet"/>
        <w:rPr>
          <w:rFonts w:eastAsia="Century" w:hAnsi="Century" w:cs="Century"/>
        </w:rPr>
      </w:pPr>
      <w:r w:rsidRPr="000E52E2">
        <w:rPr>
          <w:i/>
        </w:rPr>
        <w:t xml:space="preserve">New Zealand Primary Care Handbook 2012 </w:t>
      </w:r>
      <w:r w:rsidRPr="000E52E2">
        <w:t>(New Zealand Guidelines Group 2012)</w:t>
      </w:r>
    </w:p>
    <w:p w:rsidR="006B3736" w:rsidRPr="000E52E2" w:rsidRDefault="006B3736" w:rsidP="001B04CA">
      <w:pPr>
        <w:pStyle w:val="Bullet"/>
        <w:rPr>
          <w:rFonts w:eastAsia="Century" w:hAnsi="Century" w:cs="Century"/>
        </w:rPr>
      </w:pPr>
      <w:r w:rsidRPr="000E52E2">
        <w:rPr>
          <w:i/>
        </w:rPr>
        <w:t xml:space="preserve">Quality Standards for Diabetes Care </w:t>
      </w:r>
      <w:r w:rsidRPr="000E52E2">
        <w:t>(Ministry of Health 2014a)</w:t>
      </w:r>
    </w:p>
    <w:p w:rsidR="006B3736" w:rsidRPr="000E52E2" w:rsidRDefault="006B3736" w:rsidP="001B04CA">
      <w:pPr>
        <w:pStyle w:val="Bullet"/>
        <w:rPr>
          <w:rFonts w:eastAsia="Century" w:hAnsi="Century" w:cs="Century"/>
        </w:rPr>
      </w:pPr>
      <w:r w:rsidRPr="000E52E2">
        <w:rPr>
          <w:rFonts w:eastAsia="Georgia" w:cs="Georgia"/>
          <w:i/>
        </w:rPr>
        <w:t>Living Well with Diabetes: A plan for people at high risk of or living with diabetes</w:t>
      </w:r>
      <w:r w:rsidR="001B04CA">
        <w:rPr>
          <w:rFonts w:eastAsia="Georgia" w:cs="Georgia"/>
          <w:i/>
        </w:rPr>
        <w:br/>
      </w:r>
      <w:r w:rsidRPr="000E52E2">
        <w:rPr>
          <w:rFonts w:eastAsia="Georgia" w:cs="Georgia"/>
          <w:i/>
        </w:rPr>
        <w:t xml:space="preserve">2015–2020 </w:t>
      </w:r>
      <w:r w:rsidRPr="000E52E2">
        <w:rPr>
          <w:rFonts w:eastAsia="Century" w:hAnsi="Century" w:cs="Century"/>
        </w:rPr>
        <w:t>(Ministry of Health 2015).</w:t>
      </w:r>
    </w:p>
    <w:p w:rsidR="006B3736" w:rsidRPr="000E52E2" w:rsidRDefault="006B3736" w:rsidP="001B04CA">
      <w:pPr>
        <w:rPr>
          <w:rFonts w:eastAsia="Century"/>
        </w:rPr>
      </w:pPr>
    </w:p>
    <w:p w:rsidR="006B3736" w:rsidRPr="000E52E2" w:rsidRDefault="001B04CA" w:rsidP="001B04CA">
      <w:pPr>
        <w:pStyle w:val="Heading2"/>
        <w:rPr>
          <w:bCs/>
        </w:rPr>
      </w:pPr>
      <w:bookmarkStart w:id="6" w:name="_TOC_250028"/>
      <w:bookmarkStart w:id="7" w:name="_Toc446335147"/>
      <w:r>
        <w:lastRenderedPageBreak/>
        <w:t>1.2</w:t>
      </w:r>
      <w:r>
        <w:tab/>
      </w:r>
      <w:r w:rsidR="006B3736" w:rsidRPr="000E52E2">
        <w:t>The diabetes retinal screening pathway</w:t>
      </w:r>
      <w:bookmarkEnd w:id="6"/>
      <w:bookmarkEnd w:id="7"/>
    </w:p>
    <w:p w:rsidR="006B3736" w:rsidRPr="000E52E2" w:rsidRDefault="006B3736" w:rsidP="001B04CA">
      <w:pPr>
        <w:keepNext/>
      </w:pPr>
      <w:r w:rsidRPr="000E52E2">
        <w:t>The main outcome of retinal screening is the identification and appropriate management of patients with DR. The screening can also recommend those people with worsening DR for a review of their overall diabetes medical management.</w:t>
      </w:r>
    </w:p>
    <w:p w:rsidR="006B3736" w:rsidRPr="000E52E2" w:rsidRDefault="006B3736" w:rsidP="001B04CA">
      <w:pPr>
        <w:keepNext/>
        <w:rPr>
          <w:rFonts w:eastAsia="Century"/>
        </w:rPr>
      </w:pPr>
    </w:p>
    <w:p w:rsidR="006B3736" w:rsidRPr="000E52E2" w:rsidRDefault="006B3736" w:rsidP="001B04CA">
      <w:pPr>
        <w:keepLines/>
      </w:pPr>
      <w:r w:rsidRPr="000E52E2">
        <w:t>DR screening can be done opportunistically, but ideally it should be part of an organised screening programme. With organised screening, all activities along the screening pathway are planned, coordinated, monitored and evaluated. Figure 1 below provides an overview of the screening pathway.</w:t>
      </w:r>
    </w:p>
    <w:p w:rsidR="006B3736" w:rsidRPr="000E52E2" w:rsidRDefault="006B3736" w:rsidP="001B04CA">
      <w:pPr>
        <w:rPr>
          <w:rFonts w:eastAsia="Century"/>
        </w:rPr>
      </w:pPr>
    </w:p>
    <w:p w:rsidR="006B3736" w:rsidRDefault="006B3736" w:rsidP="00C84D6D">
      <w:pPr>
        <w:pStyle w:val="Figure"/>
      </w:pPr>
      <w:bookmarkStart w:id="8" w:name="_Toc446335204"/>
      <w:r w:rsidRPr="000E52E2">
        <w:t>Figure 1: Retinal screening pathway</w:t>
      </w:r>
      <w:bookmarkEnd w:id="8"/>
    </w:p>
    <w:p w:rsidR="00C84D6D" w:rsidRPr="00C84D6D" w:rsidRDefault="00C84D6D" w:rsidP="00C84D6D">
      <w:pPr>
        <w:rPr>
          <w:rFonts w:eastAsia="Georgia"/>
        </w:rPr>
      </w:pPr>
      <w:r w:rsidRPr="00C84D6D">
        <w:rPr>
          <w:noProof/>
          <w:lang w:eastAsia="en-NZ"/>
        </w:rPr>
        <w:drawing>
          <wp:inline distT="0" distB="0" distL="0" distR="0" wp14:anchorId="3E000B74" wp14:editId="22C447DF">
            <wp:extent cx="5940425" cy="5037937"/>
            <wp:effectExtent l="0" t="0" r="3175" b="0"/>
            <wp:docPr id="1043" name="Picture 1043" descr="figure describing the retinal screening path" title="Retinal screening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0425" cy="5037937"/>
                    </a:xfrm>
                    <a:prstGeom prst="rect">
                      <a:avLst/>
                    </a:prstGeom>
                  </pic:spPr>
                </pic:pic>
              </a:graphicData>
            </a:graphic>
          </wp:inline>
        </w:drawing>
      </w:r>
    </w:p>
    <w:p w:rsidR="006B3736" w:rsidRPr="000E52E2" w:rsidRDefault="006B3736" w:rsidP="00C84D6D">
      <w:pPr>
        <w:rPr>
          <w:rFonts w:eastAsia="Georgia"/>
        </w:rPr>
      </w:pPr>
    </w:p>
    <w:p w:rsidR="006B3736" w:rsidRPr="000E52E2" w:rsidRDefault="00C84D6D" w:rsidP="00C84D6D">
      <w:pPr>
        <w:pStyle w:val="Heading2"/>
        <w:rPr>
          <w:bCs/>
        </w:rPr>
      </w:pPr>
      <w:bookmarkStart w:id="9" w:name="_TOC_250027"/>
      <w:bookmarkStart w:id="10" w:name="_Toc446335148"/>
      <w:r>
        <w:t>1.3</w:t>
      </w:r>
      <w:r>
        <w:tab/>
      </w:r>
      <w:r w:rsidR="006B3736" w:rsidRPr="000E52E2">
        <w:t>Key features</w:t>
      </w:r>
      <w:bookmarkEnd w:id="9"/>
      <w:bookmarkEnd w:id="10"/>
    </w:p>
    <w:p w:rsidR="006B3736" w:rsidRPr="000E52E2" w:rsidRDefault="006B3736" w:rsidP="00C84D6D">
      <w:r w:rsidRPr="000E52E2">
        <w:t>The following are some key features of an organised DR screening programme. Overall responsibility for the delivery of publicly funded organised retinal screening services lies with the 20 individual district health boards (DHBs).</w:t>
      </w:r>
    </w:p>
    <w:p w:rsidR="006B3736" w:rsidRDefault="006B3736" w:rsidP="00C84D6D">
      <w:pPr>
        <w:pStyle w:val="Bullet"/>
      </w:pPr>
      <w:r w:rsidRPr="000E52E2">
        <w:t>A primary health care service coordinates the overall health care of a person with diabetes. The general practice is the health care home for the person with diabetes, which includes accessing electronic information and ensuring the person is enrolled with a DR screening programme.</w:t>
      </w:r>
    </w:p>
    <w:p w:rsidR="006B3736" w:rsidRPr="000E52E2" w:rsidRDefault="006B3736" w:rsidP="00C84D6D">
      <w:pPr>
        <w:pStyle w:val="Bullet"/>
      </w:pPr>
      <w:r w:rsidRPr="000E52E2">
        <w:lastRenderedPageBreak/>
        <w:t>Each region has a central coordinator for its DR screening service, who is responsible for processing appointment invitations and recalls, attendance at screenings, referrals to secondary health care for assessment and management, and dissemination of population management results.</w:t>
      </w:r>
    </w:p>
    <w:p w:rsidR="006B3736" w:rsidRPr="000E52E2" w:rsidRDefault="006B3736" w:rsidP="00C84D6D">
      <w:pPr>
        <w:pStyle w:val="Bullet"/>
      </w:pPr>
      <w:r w:rsidRPr="000E52E2">
        <w:t>Each region delivers organised DR screening services based on national standards but using local models and solutions that are appropriate for the local area.</w:t>
      </w:r>
    </w:p>
    <w:p w:rsidR="006B3736" w:rsidRPr="000E52E2" w:rsidRDefault="006B3736" w:rsidP="00C84D6D">
      <w:pPr>
        <w:pStyle w:val="Bullet"/>
      </w:pPr>
      <w:r w:rsidRPr="000E52E2">
        <w:t>Retinal screeners deliver competency-based services.</w:t>
      </w:r>
    </w:p>
    <w:p w:rsidR="006B3736" w:rsidRPr="000E52E2" w:rsidRDefault="006B3736" w:rsidP="00C84D6D">
      <w:pPr>
        <w:pStyle w:val="Bullet"/>
      </w:pPr>
      <w:r w:rsidRPr="000E52E2">
        <w:t>Retinal screening and monitoring results are provided within three weeks (longer if secondary confirmation is required) to the person with diabetes, their GP and their referring clinician (where relevant).</w:t>
      </w:r>
    </w:p>
    <w:p w:rsidR="006B3736" w:rsidRPr="000E52E2" w:rsidRDefault="006B3736" w:rsidP="00C84D6D">
      <w:pPr>
        <w:pStyle w:val="Bullet"/>
      </w:pPr>
      <w:r w:rsidRPr="000E52E2">
        <w:t>The DR screening programme collects and stores a core national minimum data set for clinical, quality improvement, audit, research and benchmarking purposes.</w:t>
      </w:r>
    </w:p>
    <w:p w:rsidR="006B3736" w:rsidRPr="000E52E2" w:rsidRDefault="006B3736" w:rsidP="00C84D6D">
      <w:pPr>
        <w:pStyle w:val="Bullet"/>
      </w:pPr>
      <w:r w:rsidRPr="000E52E2">
        <w:t>Designated ophthalmologists provide oversight of the DR screening programme.</w:t>
      </w:r>
    </w:p>
    <w:p w:rsidR="006B3736" w:rsidRPr="000E52E2" w:rsidRDefault="006B3736" w:rsidP="00C84D6D">
      <w:pPr>
        <w:pStyle w:val="Bullet"/>
      </w:pPr>
      <w:r w:rsidRPr="000E52E2">
        <w:t>Women who develop gestational diabetes after 20 weeks of pregnancy do not require screening for DR.</w:t>
      </w:r>
    </w:p>
    <w:p w:rsidR="006B3736" w:rsidRPr="000E52E2" w:rsidRDefault="006B3736" w:rsidP="00C84D6D">
      <w:pPr>
        <w:pStyle w:val="Bullet"/>
      </w:pPr>
      <w:r w:rsidRPr="000E52E2">
        <w:t>Women with type 2 diabetes newly diagnosed during pregnancy (usually at booking visit) require monitoring during and after their pregnancy.</w:t>
      </w:r>
    </w:p>
    <w:p w:rsidR="006B3736" w:rsidRPr="000E52E2" w:rsidRDefault="006B3736" w:rsidP="00C84D6D">
      <w:pPr>
        <w:pStyle w:val="Bullet"/>
      </w:pPr>
      <w:r w:rsidRPr="000E52E2">
        <w:t>People with diabetes should have a choice about pupil dilation.</w:t>
      </w:r>
    </w:p>
    <w:p w:rsidR="006B3736" w:rsidRPr="000E52E2" w:rsidRDefault="006B3736" w:rsidP="00C84D6D">
      <w:pPr>
        <w:rPr>
          <w:rFonts w:eastAsia="Century"/>
        </w:rPr>
      </w:pPr>
    </w:p>
    <w:p w:rsidR="006B3736" w:rsidRPr="000E52E2" w:rsidRDefault="00C84D6D" w:rsidP="00C84D6D">
      <w:pPr>
        <w:pStyle w:val="Heading2"/>
        <w:rPr>
          <w:bCs/>
        </w:rPr>
      </w:pPr>
      <w:bookmarkStart w:id="11" w:name="_TOC_250026"/>
      <w:bookmarkStart w:id="12" w:name="_Toc446335149"/>
      <w:r>
        <w:t>1.4</w:t>
      </w:r>
      <w:r>
        <w:tab/>
      </w:r>
      <w:r w:rsidR="006B3736" w:rsidRPr="000E52E2">
        <w:t>Risk of occurrence and progression of diabetic retinopathy: clinical modifiers</w:t>
      </w:r>
      <w:bookmarkEnd w:id="11"/>
      <w:bookmarkEnd w:id="12"/>
    </w:p>
    <w:p w:rsidR="006B3736" w:rsidRPr="000E52E2" w:rsidRDefault="006B3736" w:rsidP="00C84D6D">
      <w:r w:rsidRPr="000E52E2">
        <w:t>The risk of developing, and the rate of progression of, DR increases with:</w:t>
      </w:r>
    </w:p>
    <w:p w:rsidR="006B3736" w:rsidRPr="000E52E2" w:rsidRDefault="006B3736" w:rsidP="00C84D6D">
      <w:pPr>
        <w:pStyle w:val="Bullet"/>
      </w:pPr>
      <w:r w:rsidRPr="000E52E2">
        <w:t>poor blood glucose control</w:t>
      </w:r>
    </w:p>
    <w:p w:rsidR="006B3736" w:rsidRPr="000E52E2" w:rsidRDefault="006B3736" w:rsidP="00C84D6D">
      <w:pPr>
        <w:pStyle w:val="Bullet"/>
      </w:pPr>
      <w:r w:rsidRPr="000E52E2">
        <w:t>duration of diabetes</w:t>
      </w:r>
    </w:p>
    <w:p w:rsidR="006B3736" w:rsidRPr="000E52E2" w:rsidRDefault="006B3736" w:rsidP="00C84D6D">
      <w:pPr>
        <w:pStyle w:val="Bullet"/>
      </w:pPr>
      <w:r w:rsidRPr="000E52E2">
        <w:t>poor engagement with the health system</w:t>
      </w:r>
    </w:p>
    <w:p w:rsidR="006B3736" w:rsidRPr="000E52E2" w:rsidRDefault="006B3736" w:rsidP="00C84D6D">
      <w:pPr>
        <w:pStyle w:val="Bullet"/>
      </w:pPr>
      <w:r w:rsidRPr="000E52E2">
        <w:t>rapid and marked improvement in blood glucose control (over a period of three to four months)</w:t>
      </w:r>
    </w:p>
    <w:p w:rsidR="006B3736" w:rsidRPr="000E52E2" w:rsidRDefault="006B3736" w:rsidP="00C84D6D">
      <w:pPr>
        <w:pStyle w:val="Bullet"/>
      </w:pPr>
      <w:r w:rsidRPr="000E52E2">
        <w:t>uncontrolled hypertension</w:t>
      </w:r>
    </w:p>
    <w:p w:rsidR="006B3736" w:rsidRPr="000E52E2" w:rsidRDefault="006B3736" w:rsidP="00C84D6D">
      <w:pPr>
        <w:pStyle w:val="Bullet"/>
      </w:pPr>
      <w:r w:rsidRPr="000E52E2">
        <w:t>renal impairment</w:t>
      </w:r>
    </w:p>
    <w:p w:rsidR="006B3736" w:rsidRPr="000E52E2" w:rsidRDefault="006B3736" w:rsidP="00C84D6D">
      <w:pPr>
        <w:pStyle w:val="Bullet"/>
      </w:pPr>
      <w:proofErr w:type="gramStart"/>
      <w:r w:rsidRPr="000E52E2">
        <w:t>non-healing</w:t>
      </w:r>
      <w:proofErr w:type="gramEnd"/>
      <w:r w:rsidRPr="000E52E2">
        <w:t xml:space="preserve"> foot ulcers (</w:t>
      </w:r>
      <w:proofErr w:type="spellStart"/>
      <w:r w:rsidRPr="000E52E2">
        <w:t>Nwanyanwu</w:t>
      </w:r>
      <w:proofErr w:type="spellEnd"/>
      <w:r w:rsidRPr="000E52E2">
        <w:t xml:space="preserve"> et al 2013).</w:t>
      </w:r>
    </w:p>
    <w:p w:rsidR="006B3736" w:rsidRPr="000E52E2" w:rsidRDefault="006B3736" w:rsidP="00C84D6D">
      <w:pPr>
        <w:pStyle w:val="Bullet"/>
      </w:pPr>
      <w:proofErr w:type="gramStart"/>
      <w:r w:rsidRPr="000E52E2">
        <w:t>pregnancy</w:t>
      </w:r>
      <w:proofErr w:type="gramEnd"/>
      <w:r w:rsidRPr="000E52E2">
        <w:t>.</w:t>
      </w:r>
    </w:p>
    <w:p w:rsidR="006B3736" w:rsidRPr="000E52E2" w:rsidRDefault="006B3736" w:rsidP="00C84D6D">
      <w:pPr>
        <w:rPr>
          <w:rFonts w:eastAsia="Century"/>
        </w:rPr>
      </w:pPr>
    </w:p>
    <w:p w:rsidR="006B3736" w:rsidRPr="000E52E2" w:rsidRDefault="006B3736" w:rsidP="00C84D6D">
      <w:r w:rsidRPr="000E52E2">
        <w:t>Good management of the modifiable risk factors, such as glycaemic control and blood pressure control, reduces the risk of occurrence and progression of DR (DCCT 1994; Klein et al 1994; Ohkubo et al 1995; UKPDS 1998, 1998b; Wong et al 2009).</w:t>
      </w:r>
    </w:p>
    <w:p w:rsidR="00C84D6D" w:rsidRDefault="00C84D6D" w:rsidP="00C84D6D"/>
    <w:p w:rsidR="006B3736" w:rsidRPr="000E52E2" w:rsidRDefault="006B3736" w:rsidP="00C84D6D">
      <w:r w:rsidRPr="000E52E2">
        <w:t>The DR screening programme should be notified when any clinical modifiers change.</w:t>
      </w:r>
    </w:p>
    <w:p w:rsidR="006B3736" w:rsidRPr="000E52E2" w:rsidRDefault="006B3736" w:rsidP="00C84D6D"/>
    <w:p w:rsidR="00C84D6D" w:rsidRDefault="00C84D6D" w:rsidP="00C84D6D">
      <w:bookmarkStart w:id="13" w:name="_TOC_250025"/>
      <w:r>
        <w:br w:type="page"/>
      </w:r>
    </w:p>
    <w:p w:rsidR="006B3736" w:rsidRPr="000E52E2" w:rsidRDefault="00C84D6D" w:rsidP="00C84D6D">
      <w:pPr>
        <w:pStyle w:val="Heading1"/>
        <w:rPr>
          <w:bCs/>
        </w:rPr>
      </w:pPr>
      <w:bookmarkStart w:id="14" w:name="_Toc446335150"/>
      <w:r>
        <w:lastRenderedPageBreak/>
        <w:t>2</w:t>
      </w:r>
      <w:r>
        <w:tab/>
      </w:r>
      <w:r w:rsidR="006B3736" w:rsidRPr="000E52E2">
        <w:t>Screening the population</w:t>
      </w:r>
      <w:bookmarkEnd w:id="13"/>
      <w:bookmarkEnd w:id="14"/>
    </w:p>
    <w:p w:rsidR="006B3736" w:rsidRPr="000E52E2" w:rsidRDefault="00C84D6D" w:rsidP="00C84D6D">
      <w:pPr>
        <w:pStyle w:val="Heading2"/>
        <w:rPr>
          <w:bCs/>
        </w:rPr>
      </w:pPr>
      <w:bookmarkStart w:id="15" w:name="_TOC_250024"/>
      <w:bookmarkStart w:id="16" w:name="_Toc446335151"/>
      <w:r>
        <w:t>2.1</w:t>
      </w:r>
      <w:r>
        <w:tab/>
      </w:r>
      <w:r w:rsidR="006B3736" w:rsidRPr="000E52E2">
        <w:t>Eligibility for referral to diabetic retinal screening</w:t>
      </w:r>
      <w:bookmarkEnd w:id="15"/>
      <w:bookmarkEnd w:id="16"/>
    </w:p>
    <w:p w:rsidR="006B3736" w:rsidRPr="000E52E2" w:rsidRDefault="006B3736" w:rsidP="00C84D6D">
      <w:r w:rsidRPr="000E52E2">
        <w:t>People with a confirmed diagnosis of diabetes should be referred for DR screening.</w:t>
      </w:r>
    </w:p>
    <w:p w:rsidR="006B3736" w:rsidRPr="000E52E2" w:rsidRDefault="006B3736" w:rsidP="00C84D6D">
      <w:pPr>
        <w:rPr>
          <w:rFonts w:eastAsia="Century"/>
        </w:rPr>
      </w:pPr>
    </w:p>
    <w:p w:rsidR="006B3736" w:rsidRPr="000E52E2" w:rsidRDefault="00C84D6D" w:rsidP="00C84D6D">
      <w:pPr>
        <w:pStyle w:val="Heading2"/>
        <w:rPr>
          <w:bCs/>
        </w:rPr>
      </w:pPr>
      <w:bookmarkStart w:id="17" w:name="_TOC_250023"/>
      <w:bookmarkStart w:id="18" w:name="_Toc446335152"/>
      <w:r>
        <w:t>2.2</w:t>
      </w:r>
      <w:r>
        <w:tab/>
      </w:r>
      <w:r w:rsidR="006B3736" w:rsidRPr="000E52E2">
        <w:t>Ineligibility for referral to retinal screening</w:t>
      </w:r>
      <w:bookmarkEnd w:id="17"/>
      <w:bookmarkEnd w:id="18"/>
    </w:p>
    <w:p w:rsidR="006B3736" w:rsidRPr="000E52E2" w:rsidRDefault="006B3736" w:rsidP="00C84D6D">
      <w:r w:rsidRPr="000E52E2">
        <w:t>People who are not eligible for referral to DR screening include:</w:t>
      </w:r>
    </w:p>
    <w:p w:rsidR="006B3736" w:rsidRPr="000E52E2" w:rsidRDefault="006B3736" w:rsidP="00C84D6D">
      <w:pPr>
        <w:pStyle w:val="Bullet"/>
      </w:pPr>
      <w:r w:rsidRPr="000E52E2">
        <w:t xml:space="preserve">those with </w:t>
      </w:r>
      <w:proofErr w:type="spellStart"/>
      <w:r w:rsidRPr="000E52E2">
        <w:t>prediabetes</w:t>
      </w:r>
      <w:proofErr w:type="spellEnd"/>
      <w:r w:rsidRPr="000E52E2">
        <w:t xml:space="preserve"> (using the New Zealand definition, this includes the old categories of impaired glucose intolerance and impaired fasting glycaemia)</w:t>
      </w:r>
    </w:p>
    <w:p w:rsidR="006B3736" w:rsidRPr="000E52E2" w:rsidRDefault="006B3736" w:rsidP="00C84D6D">
      <w:pPr>
        <w:pStyle w:val="Bullet"/>
      </w:pPr>
      <w:r w:rsidRPr="000E52E2">
        <w:t>those with gestational diabetes</w:t>
      </w:r>
    </w:p>
    <w:p w:rsidR="006B3736" w:rsidRPr="000E52E2" w:rsidRDefault="006B3736" w:rsidP="00C84D6D">
      <w:pPr>
        <w:pStyle w:val="Bullet"/>
      </w:pPr>
      <w:r w:rsidRPr="000E52E2">
        <w:t>those under the active care of specialist eye services for DR</w:t>
      </w:r>
    </w:p>
    <w:p w:rsidR="006B3736" w:rsidRPr="000E52E2" w:rsidRDefault="006B3736" w:rsidP="00C84D6D">
      <w:pPr>
        <w:pStyle w:val="Bullet"/>
      </w:pPr>
      <w:r w:rsidRPr="000E52E2">
        <w:t>those with advanced cataracts or otherwise where the retina cannot be visualised</w:t>
      </w:r>
    </w:p>
    <w:p w:rsidR="006B3736" w:rsidRPr="000E52E2" w:rsidRDefault="006B3736" w:rsidP="00C84D6D">
      <w:pPr>
        <w:pStyle w:val="Bullet"/>
      </w:pPr>
      <w:proofErr w:type="gramStart"/>
      <w:r w:rsidRPr="000E52E2">
        <w:t>those</w:t>
      </w:r>
      <w:proofErr w:type="gramEnd"/>
      <w:r w:rsidRPr="000E52E2">
        <w:t xml:space="preserve"> unable/unlikely to benefit from treatment if DR is detected (</w:t>
      </w:r>
      <w:proofErr w:type="spellStart"/>
      <w:r w:rsidRPr="000E52E2">
        <w:t>eg</w:t>
      </w:r>
      <w:proofErr w:type="spellEnd"/>
      <w:r w:rsidRPr="000E52E2">
        <w:t>, already blind, terminally ill).</w:t>
      </w:r>
    </w:p>
    <w:p w:rsidR="006B3736" w:rsidRDefault="006B3736" w:rsidP="00C84D6D"/>
    <w:p w:rsidR="00C84D6D" w:rsidRDefault="00C84D6D">
      <w:pPr>
        <w:spacing w:line="240" w:lineRule="auto"/>
      </w:pPr>
      <w:r>
        <w:br w:type="page"/>
      </w:r>
    </w:p>
    <w:p w:rsidR="00C84D6D" w:rsidRPr="000E52E2" w:rsidRDefault="00C84D6D" w:rsidP="00C84D6D">
      <w:pPr>
        <w:pStyle w:val="Heading1"/>
      </w:pPr>
      <w:bookmarkStart w:id="19" w:name="_Toc446335153"/>
      <w:r>
        <w:lastRenderedPageBreak/>
        <w:t>3</w:t>
      </w:r>
      <w:r>
        <w:tab/>
        <w:t>When to start and stop screening for diabetic retinopathy</w:t>
      </w:r>
      <w:bookmarkEnd w:id="19"/>
    </w:p>
    <w:p w:rsidR="006B3736" w:rsidRPr="000E52E2" w:rsidRDefault="00C84D6D" w:rsidP="00C84D6D">
      <w:pPr>
        <w:pStyle w:val="Heading2"/>
        <w:rPr>
          <w:bCs/>
        </w:rPr>
      </w:pPr>
      <w:bookmarkStart w:id="20" w:name="_TOC_250021"/>
      <w:bookmarkStart w:id="21" w:name="_Toc446335154"/>
      <w:r>
        <w:t>3.1</w:t>
      </w:r>
      <w:r>
        <w:tab/>
      </w:r>
      <w:r w:rsidR="006B3736" w:rsidRPr="000E52E2">
        <w:t>When to start diabetic retinal screening</w:t>
      </w:r>
      <w:bookmarkEnd w:id="20"/>
      <w:bookmarkEnd w:id="21"/>
    </w:p>
    <w:p w:rsidR="006B3736" w:rsidRPr="000E52E2" w:rsidRDefault="006B3736" w:rsidP="00C84D6D">
      <w:pPr>
        <w:pStyle w:val="Bullet"/>
      </w:pPr>
      <w:r w:rsidRPr="000E52E2">
        <w:t xml:space="preserve">People with newly diagnosed type </w:t>
      </w:r>
      <w:proofErr w:type="gramStart"/>
      <w:r w:rsidRPr="000E52E2">
        <w:t>1 diabetes</w:t>
      </w:r>
      <w:proofErr w:type="gramEnd"/>
      <w:r w:rsidRPr="000E52E2">
        <w:t xml:space="preserve"> should be enrolled in the DR screening programme and screening should occur within five years after diagnosis (</w:t>
      </w:r>
      <w:proofErr w:type="spellStart"/>
      <w:r w:rsidRPr="000E52E2">
        <w:t>Echouffo-Tcheugui</w:t>
      </w:r>
      <w:proofErr w:type="spellEnd"/>
      <w:r w:rsidRPr="000E52E2">
        <w:t xml:space="preserve"> et al 2013).</w:t>
      </w:r>
    </w:p>
    <w:p w:rsidR="006B3736" w:rsidRPr="000E52E2" w:rsidRDefault="006B3736" w:rsidP="00C84D6D">
      <w:pPr>
        <w:pStyle w:val="Bullet"/>
      </w:pPr>
      <w:r w:rsidRPr="000E52E2">
        <w:t>For children with type 1 diabetes, screening can be delayed until age 10, or until five years after diagnosis, whichever occurs first (</w:t>
      </w:r>
      <w:proofErr w:type="spellStart"/>
      <w:r w:rsidRPr="000E52E2">
        <w:t>Donaghue</w:t>
      </w:r>
      <w:proofErr w:type="spellEnd"/>
      <w:r w:rsidRPr="000E52E2">
        <w:t xml:space="preserve"> et al 2014).</w:t>
      </w:r>
    </w:p>
    <w:p w:rsidR="006B3736" w:rsidRPr="000E52E2" w:rsidRDefault="006B3736" w:rsidP="00C84D6D">
      <w:pPr>
        <w:pStyle w:val="Bullet"/>
      </w:pPr>
      <w:r w:rsidRPr="000E52E2">
        <w:t>People with newly diagnosed type 2 diabetes should be enrolled in the DR screening programme at the time of diagnosis of their diabetes (Looker et al 2013), when DR is often present.</w:t>
      </w:r>
    </w:p>
    <w:p w:rsidR="006B3736" w:rsidRPr="000E52E2" w:rsidRDefault="006B3736" w:rsidP="00C84D6D">
      <w:pPr>
        <w:pStyle w:val="Bullet"/>
      </w:pPr>
      <w:r w:rsidRPr="000E52E2">
        <w:t>People with secondary diabetes, such as new onset diabetes after transplant (NODAT), post-</w:t>
      </w:r>
      <w:proofErr w:type="spellStart"/>
      <w:r w:rsidRPr="000E52E2">
        <w:t>pancreatectomy</w:t>
      </w:r>
      <w:proofErr w:type="spellEnd"/>
      <w:r w:rsidRPr="000E52E2">
        <w:t>, chronic pancreatitis and cystic-fibrosis-related diabetes should be treated as per type 1 diabetes when there is a defined date of onset.</w:t>
      </w:r>
    </w:p>
    <w:p w:rsidR="006B3736" w:rsidRPr="000E52E2" w:rsidRDefault="006B3736" w:rsidP="00C84D6D">
      <w:pPr>
        <w:pStyle w:val="Bullet"/>
      </w:pPr>
      <w:r w:rsidRPr="000E52E2">
        <w:t>People with uncertain types of diabetes, or without definite dates of onset, should be treated as per type 2 diabetes with immediate screening.</w:t>
      </w:r>
    </w:p>
    <w:p w:rsidR="006B3736" w:rsidRPr="000E52E2" w:rsidRDefault="006B3736" w:rsidP="00C84D6D">
      <w:pPr>
        <w:rPr>
          <w:rFonts w:eastAsia="Century"/>
        </w:rPr>
      </w:pPr>
    </w:p>
    <w:p w:rsidR="006B3736" w:rsidRPr="000E52E2" w:rsidRDefault="00C84D6D" w:rsidP="00C84D6D">
      <w:pPr>
        <w:pStyle w:val="Heading2"/>
        <w:rPr>
          <w:bCs/>
        </w:rPr>
      </w:pPr>
      <w:bookmarkStart w:id="22" w:name="_TOC_250020"/>
      <w:bookmarkStart w:id="23" w:name="_Toc446335155"/>
      <w:r>
        <w:t>3.2</w:t>
      </w:r>
      <w:r>
        <w:tab/>
      </w:r>
      <w:r w:rsidR="006B3736" w:rsidRPr="000E52E2">
        <w:t>When to cease diabetic retinal screening</w:t>
      </w:r>
      <w:bookmarkEnd w:id="22"/>
      <w:bookmarkEnd w:id="23"/>
    </w:p>
    <w:p w:rsidR="006B3736" w:rsidRPr="000E52E2" w:rsidRDefault="006B3736" w:rsidP="00C84D6D">
      <w:r w:rsidRPr="000E52E2">
        <w:t>A person may be discharged from a DR screening service if they:</w:t>
      </w:r>
    </w:p>
    <w:p w:rsidR="006B3736" w:rsidRPr="000E52E2" w:rsidRDefault="006B3736" w:rsidP="00C84D6D">
      <w:pPr>
        <w:pStyle w:val="Bullet"/>
      </w:pPr>
      <w:r w:rsidRPr="000E52E2">
        <w:t>have made an informed choice to decline screening</w:t>
      </w:r>
    </w:p>
    <w:p w:rsidR="006B3736" w:rsidRPr="000E52E2" w:rsidRDefault="006B3736" w:rsidP="00C84D6D">
      <w:pPr>
        <w:pStyle w:val="Bullet"/>
      </w:pPr>
      <w:r w:rsidRPr="000E52E2">
        <w:t>have been transferred to the care of specialist ophthalmology services specifically for the management of their DR, though they may need re-referral when specialist supervision ends</w:t>
      </w:r>
    </w:p>
    <w:p w:rsidR="006B3736" w:rsidRPr="000E52E2" w:rsidRDefault="006B3736" w:rsidP="00C84D6D">
      <w:pPr>
        <w:pStyle w:val="Bullet"/>
      </w:pPr>
      <w:proofErr w:type="gramStart"/>
      <w:r w:rsidRPr="000E52E2">
        <w:t>are</w:t>
      </w:r>
      <w:proofErr w:type="gramEnd"/>
      <w:r w:rsidRPr="000E52E2">
        <w:t xml:space="preserve"> unable or unlikely to benefit from treatment if DR is detected (</w:t>
      </w:r>
      <w:proofErr w:type="spellStart"/>
      <w:r w:rsidRPr="000E52E2">
        <w:t>eg</w:t>
      </w:r>
      <w:proofErr w:type="spellEnd"/>
      <w:r w:rsidRPr="000E52E2">
        <w:t>, those who are already blind or the terminally ill).</w:t>
      </w:r>
    </w:p>
    <w:p w:rsidR="006B3736" w:rsidRPr="000E52E2" w:rsidRDefault="006B3736" w:rsidP="00C84D6D">
      <w:pPr>
        <w:rPr>
          <w:rFonts w:eastAsia="Century"/>
        </w:rPr>
      </w:pPr>
    </w:p>
    <w:p w:rsidR="006B3736" w:rsidRPr="000E52E2" w:rsidRDefault="00C84D6D" w:rsidP="00C84D6D">
      <w:pPr>
        <w:pStyle w:val="Heading2"/>
        <w:rPr>
          <w:bCs/>
        </w:rPr>
      </w:pPr>
      <w:bookmarkStart w:id="24" w:name="_TOC_250019"/>
      <w:bookmarkStart w:id="25" w:name="_Toc446335156"/>
      <w:r>
        <w:t>3.3</w:t>
      </w:r>
      <w:r>
        <w:tab/>
      </w:r>
      <w:r w:rsidR="006B3736" w:rsidRPr="000E52E2">
        <w:t>Patients transferring between regional diabetic retinal screening services</w:t>
      </w:r>
      <w:bookmarkEnd w:id="24"/>
      <w:bookmarkEnd w:id="25"/>
    </w:p>
    <w:p w:rsidR="006B3736" w:rsidRPr="000E52E2" w:rsidRDefault="006B3736" w:rsidP="00C84D6D">
      <w:r w:rsidRPr="000E52E2">
        <w:t>When a patient moves domicile to a different DHB area, their DR screening information should transfer with their medical records and recall should be entered by their new primary health care practice with referral to the local DR screening programme.</w:t>
      </w:r>
    </w:p>
    <w:p w:rsidR="006B3736" w:rsidRDefault="006B3736" w:rsidP="00C84D6D"/>
    <w:p w:rsidR="00C84D6D" w:rsidRDefault="00C84D6D">
      <w:pPr>
        <w:spacing w:line="240" w:lineRule="auto"/>
      </w:pPr>
      <w:r>
        <w:br w:type="page"/>
      </w:r>
    </w:p>
    <w:p w:rsidR="006B3736" w:rsidRPr="000E52E2" w:rsidRDefault="00C84D6D" w:rsidP="00C84D6D">
      <w:pPr>
        <w:pStyle w:val="Heading1"/>
        <w:rPr>
          <w:bCs/>
        </w:rPr>
      </w:pPr>
      <w:bookmarkStart w:id="26" w:name="_TOC_250018"/>
      <w:bookmarkStart w:id="27" w:name="_Toc446335157"/>
      <w:r>
        <w:lastRenderedPageBreak/>
        <w:t>4</w:t>
      </w:r>
      <w:r>
        <w:tab/>
      </w:r>
      <w:r w:rsidR="006B3736" w:rsidRPr="000E52E2">
        <w:t>Diabetic retinal screening intervals and recall</w:t>
      </w:r>
      <w:bookmarkEnd w:id="26"/>
      <w:bookmarkEnd w:id="27"/>
    </w:p>
    <w:p w:rsidR="006B3736" w:rsidRPr="000E52E2" w:rsidRDefault="006B3736" w:rsidP="00C84D6D">
      <w:r w:rsidRPr="000E52E2">
        <w:t>The recommended interval for the next DR examination is informed by a person</w:t>
      </w:r>
      <w:r w:rsidR="00464C89">
        <w:t>’</w:t>
      </w:r>
      <w:r w:rsidRPr="000E52E2">
        <w:t>s grading result (see Appendix B). The standard screening interval is two years, but this can be extended to three years (</w:t>
      </w:r>
      <w:proofErr w:type="spellStart"/>
      <w:r w:rsidRPr="000E52E2">
        <w:t>Echouffo-Tcheugui</w:t>
      </w:r>
      <w:proofErr w:type="spellEnd"/>
      <w:r w:rsidRPr="000E52E2">
        <w:t xml:space="preserve"> et al 2013) if:</w:t>
      </w:r>
    </w:p>
    <w:p w:rsidR="006B3736" w:rsidRPr="000E52E2" w:rsidRDefault="006B3736" w:rsidP="00C84D6D">
      <w:pPr>
        <w:pStyle w:val="Bullet"/>
      </w:pPr>
      <w:r w:rsidRPr="000E52E2">
        <w:t>no DR was detected at the previous screen and no clinical modifiers are present (Table 1)</w:t>
      </w:r>
    </w:p>
    <w:p w:rsidR="006B3736" w:rsidRPr="000E52E2" w:rsidRDefault="006B3736" w:rsidP="00C84D6D">
      <w:pPr>
        <w:pStyle w:val="Bullet"/>
      </w:pPr>
      <w:r w:rsidRPr="000E52E2">
        <w:t xml:space="preserve">HbA1c has consistently been less than or equal to 64 </w:t>
      </w:r>
      <w:proofErr w:type="spellStart"/>
      <w:r w:rsidRPr="000E52E2">
        <w:t>mmol</w:t>
      </w:r>
      <w:proofErr w:type="spellEnd"/>
      <w:r w:rsidRPr="000E52E2">
        <w:t>/mol.</w:t>
      </w:r>
    </w:p>
    <w:p w:rsidR="006B3736" w:rsidRPr="000E52E2" w:rsidRDefault="006B3736" w:rsidP="00C84D6D">
      <w:pPr>
        <w:rPr>
          <w:rFonts w:eastAsia="Century"/>
        </w:rPr>
      </w:pPr>
    </w:p>
    <w:p w:rsidR="006B3736" w:rsidRPr="000E52E2" w:rsidRDefault="006B3736" w:rsidP="00C84D6D">
      <w:r w:rsidRPr="000E52E2">
        <w:t>These intervals are guidelines only; clinicians may vary them provided that patient safety, sensitivity and quality are not compromised.</w:t>
      </w:r>
    </w:p>
    <w:p w:rsidR="006B3736" w:rsidRPr="000E52E2" w:rsidRDefault="006B3736" w:rsidP="00C84D6D">
      <w:pPr>
        <w:rPr>
          <w:rFonts w:eastAsia="Century"/>
        </w:rPr>
      </w:pPr>
    </w:p>
    <w:p w:rsidR="006B3736" w:rsidRPr="000E52E2" w:rsidRDefault="00C84D6D" w:rsidP="00C84D6D">
      <w:pPr>
        <w:pStyle w:val="Heading2"/>
        <w:rPr>
          <w:bCs/>
        </w:rPr>
      </w:pPr>
      <w:bookmarkStart w:id="28" w:name="_TOC_250017"/>
      <w:bookmarkStart w:id="29" w:name="_Toc446335158"/>
      <w:r>
        <w:t>4.1</w:t>
      </w:r>
      <w:r>
        <w:tab/>
      </w:r>
      <w:r w:rsidR="006B3736" w:rsidRPr="000E52E2">
        <w:t>Referral guidance: clinical modifiers may result in earlier re-screening or referral</w:t>
      </w:r>
      <w:bookmarkEnd w:id="28"/>
      <w:bookmarkEnd w:id="29"/>
    </w:p>
    <w:p w:rsidR="006B3736" w:rsidRPr="000E52E2" w:rsidRDefault="006B3736" w:rsidP="00C84D6D">
      <w:r w:rsidRPr="000E52E2">
        <w:t>Refer to Appendix B for grading details. Consider decreasing the screening interval or referral if any of the following clinical modifiers are present (Table 1).</w:t>
      </w:r>
    </w:p>
    <w:p w:rsidR="006B3736" w:rsidRPr="000E52E2" w:rsidRDefault="006B3736" w:rsidP="00C84D6D"/>
    <w:p w:rsidR="006B3736" w:rsidRPr="000E52E2" w:rsidRDefault="006B3736" w:rsidP="00C84D6D">
      <w:pPr>
        <w:pStyle w:val="Table"/>
        <w:rPr>
          <w:rFonts w:eastAsia="Georgia" w:cs="Georgia"/>
          <w:szCs w:val="18"/>
        </w:rPr>
      </w:pPr>
      <w:bookmarkStart w:id="30" w:name="_Toc446335196"/>
      <w:r w:rsidRPr="000E52E2">
        <w:t>Table 1: Changes to screening interval or referral guidance due to clinical modifiers</w:t>
      </w:r>
      <w:bookmarkEnd w:id="30"/>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261"/>
        <w:gridCol w:w="3685"/>
        <w:gridCol w:w="2410"/>
      </w:tblGrid>
      <w:tr w:rsidR="006B3736" w:rsidRPr="00C84D6D" w:rsidTr="00C84D6D">
        <w:trPr>
          <w:cantSplit/>
        </w:trPr>
        <w:tc>
          <w:tcPr>
            <w:tcW w:w="3261" w:type="dxa"/>
            <w:tcBorders>
              <w:top w:val="single" w:sz="4" w:space="0" w:color="auto"/>
              <w:bottom w:val="single" w:sz="4" w:space="0" w:color="auto"/>
            </w:tcBorders>
            <w:shd w:val="clear" w:color="auto" w:fill="auto"/>
          </w:tcPr>
          <w:p w:rsidR="006B3736" w:rsidRPr="00C84D6D" w:rsidRDefault="006B3736" w:rsidP="00C84D6D">
            <w:pPr>
              <w:pStyle w:val="TableText"/>
              <w:ind w:right="142"/>
              <w:rPr>
                <w:rFonts w:eastAsia="Arial" w:cs="Arial"/>
                <w:b/>
              </w:rPr>
            </w:pPr>
            <w:r w:rsidRPr="00C84D6D">
              <w:rPr>
                <w:b/>
              </w:rPr>
              <w:t>Clinical modifier</w:t>
            </w:r>
          </w:p>
        </w:tc>
        <w:tc>
          <w:tcPr>
            <w:tcW w:w="3685" w:type="dxa"/>
            <w:tcBorders>
              <w:top w:val="single" w:sz="4" w:space="0" w:color="auto"/>
              <w:bottom w:val="single" w:sz="4" w:space="0" w:color="auto"/>
            </w:tcBorders>
            <w:shd w:val="clear" w:color="auto" w:fill="auto"/>
          </w:tcPr>
          <w:p w:rsidR="006B3736" w:rsidRPr="00C84D6D" w:rsidRDefault="006B3736" w:rsidP="00C84D6D">
            <w:pPr>
              <w:pStyle w:val="TableText"/>
              <w:ind w:right="142"/>
              <w:rPr>
                <w:rFonts w:eastAsia="Arial" w:cs="Arial"/>
                <w:b/>
              </w:rPr>
            </w:pPr>
            <w:r w:rsidRPr="00C84D6D">
              <w:rPr>
                <w:b/>
              </w:rPr>
              <w:t>Note</w:t>
            </w:r>
          </w:p>
        </w:tc>
        <w:tc>
          <w:tcPr>
            <w:tcW w:w="2410" w:type="dxa"/>
            <w:tcBorders>
              <w:top w:val="single" w:sz="4" w:space="0" w:color="auto"/>
              <w:bottom w:val="single" w:sz="4" w:space="0" w:color="auto"/>
            </w:tcBorders>
            <w:shd w:val="clear" w:color="auto" w:fill="auto"/>
          </w:tcPr>
          <w:p w:rsidR="006B3736" w:rsidRPr="00C84D6D" w:rsidRDefault="006B3736" w:rsidP="00C84D6D">
            <w:pPr>
              <w:pStyle w:val="TableText"/>
              <w:rPr>
                <w:rFonts w:eastAsia="Arial" w:cs="Arial"/>
                <w:b/>
              </w:rPr>
            </w:pPr>
            <w:r w:rsidRPr="00C84D6D">
              <w:rPr>
                <w:b/>
              </w:rPr>
              <w:t>Outcome</w:t>
            </w:r>
          </w:p>
        </w:tc>
      </w:tr>
      <w:tr w:rsidR="006B3736" w:rsidRPr="000E52E2" w:rsidTr="00C84D6D">
        <w:trPr>
          <w:cantSplit/>
        </w:trPr>
        <w:tc>
          <w:tcPr>
            <w:tcW w:w="3261" w:type="dxa"/>
            <w:tcBorders>
              <w:top w:val="single" w:sz="4" w:space="0" w:color="auto"/>
              <w:bottom w:val="single" w:sz="4" w:space="0" w:color="A6A6A6" w:themeColor="background1" w:themeShade="A6"/>
            </w:tcBorders>
            <w:shd w:val="clear" w:color="auto" w:fill="auto"/>
          </w:tcPr>
          <w:p w:rsidR="006B3736" w:rsidRPr="000E52E2" w:rsidRDefault="00464C89" w:rsidP="00C84D6D">
            <w:pPr>
              <w:pStyle w:val="TableText"/>
              <w:ind w:right="142"/>
              <w:rPr>
                <w:rFonts w:eastAsia="Arial" w:cs="Arial"/>
              </w:rPr>
            </w:pPr>
            <w:r>
              <w:rPr>
                <w:rFonts w:eastAsia="Arial" w:cs="Arial"/>
              </w:rPr>
              <w:t>‘</w:t>
            </w:r>
            <w:r w:rsidR="006B3736" w:rsidRPr="000E52E2">
              <w:rPr>
                <w:rFonts w:eastAsia="Arial" w:cs="Arial"/>
              </w:rPr>
              <w:t>Did not attend</w:t>
            </w:r>
            <w:r>
              <w:rPr>
                <w:rFonts w:eastAsia="Arial" w:cs="Arial"/>
              </w:rPr>
              <w:t>’</w:t>
            </w:r>
            <w:r w:rsidR="006B3736" w:rsidRPr="000E52E2">
              <w:rPr>
                <w:rFonts w:eastAsia="Arial" w:cs="Arial"/>
              </w:rPr>
              <w:t xml:space="preserve"> (DNA) retinal screening two or more consecutive times.</w:t>
            </w:r>
          </w:p>
        </w:tc>
        <w:tc>
          <w:tcPr>
            <w:tcW w:w="3685" w:type="dxa"/>
            <w:vMerge w:val="restart"/>
            <w:tcBorders>
              <w:top w:val="single" w:sz="4" w:space="0" w:color="auto"/>
              <w:bottom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t>May indicate increased risk.</w:t>
            </w:r>
          </w:p>
        </w:tc>
        <w:tc>
          <w:tcPr>
            <w:tcW w:w="2410" w:type="dxa"/>
            <w:vMerge w:val="restart"/>
            <w:tcBorders>
              <w:top w:val="single" w:sz="4" w:space="0" w:color="auto"/>
              <w:bottom w:val="single" w:sz="4" w:space="0" w:color="A6A6A6" w:themeColor="background1" w:themeShade="A6"/>
            </w:tcBorders>
            <w:shd w:val="clear" w:color="auto" w:fill="auto"/>
          </w:tcPr>
          <w:p w:rsidR="006B3736" w:rsidRPr="000E52E2" w:rsidRDefault="006B3736" w:rsidP="00C84D6D">
            <w:pPr>
              <w:pStyle w:val="TableText"/>
              <w:rPr>
                <w:rFonts w:eastAsia="Arial" w:cs="Arial"/>
              </w:rPr>
            </w:pPr>
            <w:r w:rsidRPr="000E52E2">
              <w:t>Consider reducing screening interval or referral.</w:t>
            </w:r>
          </w:p>
        </w:tc>
      </w:tr>
      <w:tr w:rsidR="006B3736" w:rsidRPr="000E52E2" w:rsidTr="00C84D6D">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t>Poorly controlled diabetes:</w:t>
            </w:r>
            <w:r w:rsidR="00C84D6D">
              <w:br/>
            </w:r>
            <w:r w:rsidRPr="000E52E2">
              <w:t>HbA1c</w:t>
            </w:r>
            <w:r w:rsidR="00C84D6D">
              <w:t xml:space="preserve"> </w:t>
            </w:r>
            <w:r w:rsidRPr="000E52E2">
              <w:t xml:space="preserve">&gt; 64 </w:t>
            </w:r>
            <w:proofErr w:type="spellStart"/>
            <w:r w:rsidRPr="000E52E2">
              <w:t>mmol</w:t>
            </w:r>
            <w:proofErr w:type="spellEnd"/>
            <w:r w:rsidRPr="000E52E2">
              <w:t>/mol.</w:t>
            </w:r>
          </w:p>
        </w:tc>
        <w:tc>
          <w:tcPr>
            <w:tcW w:w="3685" w:type="dxa"/>
            <w:vMerge/>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pPr>
          </w:p>
        </w:tc>
        <w:tc>
          <w:tcPr>
            <w:tcW w:w="2410" w:type="dxa"/>
            <w:vMerge/>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pPr>
          </w:p>
        </w:tc>
      </w:tr>
      <w:tr w:rsidR="006B3736" w:rsidRPr="000E52E2" w:rsidTr="00C84D6D">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t>Duration of diabetes (&gt; 10 years).</w:t>
            </w:r>
          </w:p>
        </w:tc>
        <w:tc>
          <w:tcPr>
            <w:tcW w:w="3685" w:type="dxa"/>
            <w:vMerge/>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pPr>
          </w:p>
        </w:tc>
        <w:tc>
          <w:tcPr>
            <w:tcW w:w="2410" w:type="dxa"/>
            <w:vMerge/>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pPr>
          </w:p>
        </w:tc>
      </w:tr>
      <w:tr w:rsidR="006B3736" w:rsidRPr="000E52E2" w:rsidTr="00C84D6D">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t>Rapid progression of DR.</w:t>
            </w:r>
          </w:p>
        </w:tc>
        <w:tc>
          <w:tcPr>
            <w:tcW w:w="3685" w:type="dxa"/>
            <w:vMerge/>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pPr>
          </w:p>
        </w:tc>
        <w:tc>
          <w:tcPr>
            <w:tcW w:w="2410" w:type="dxa"/>
            <w:vMerge/>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pPr>
          </w:p>
        </w:tc>
      </w:tr>
      <w:tr w:rsidR="006B3736" w:rsidRPr="000E52E2" w:rsidTr="00C84D6D">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rPr>
                <w:rFonts w:eastAsia="Arial" w:cs="Arial"/>
              </w:rPr>
              <w:t>Poorly controlled hypertension (BP</w:t>
            </w:r>
            <w:r w:rsidR="00C84D6D">
              <w:rPr>
                <w:rFonts w:eastAsia="Arial" w:cs="Arial"/>
              </w:rPr>
              <w:t> </w:t>
            </w:r>
            <w:r w:rsidRPr="000E52E2">
              <w:rPr>
                <w:rFonts w:eastAsia="Arial" w:cs="Arial"/>
              </w:rPr>
              <w:t>≥</w:t>
            </w:r>
            <w:r w:rsidR="00C84D6D">
              <w:rPr>
                <w:rFonts w:eastAsia="Arial" w:cs="Arial"/>
              </w:rPr>
              <w:t> </w:t>
            </w:r>
            <w:r w:rsidRPr="000E52E2">
              <w:rPr>
                <w:rFonts w:eastAsia="Arial" w:cs="Arial"/>
              </w:rPr>
              <w:t xml:space="preserve">160/95). See </w:t>
            </w:r>
            <w:r w:rsidRPr="000E52E2">
              <w:rPr>
                <w:rFonts w:eastAsia="Arial" w:cs="Arial"/>
                <w:i/>
              </w:rPr>
              <w:t xml:space="preserve">New Zealand Primary Care Handbook </w:t>
            </w:r>
            <w:r w:rsidRPr="000E52E2">
              <w:rPr>
                <w:rFonts w:eastAsia="Arial" w:cs="Arial"/>
              </w:rPr>
              <w:t>(2012) and update (2013).</w:t>
            </w:r>
          </w:p>
        </w:tc>
        <w:tc>
          <w:tcPr>
            <w:tcW w:w="3685" w:type="dxa"/>
            <w:vMerge/>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pPr>
          </w:p>
        </w:tc>
        <w:tc>
          <w:tcPr>
            <w:tcW w:w="2410" w:type="dxa"/>
            <w:vMerge/>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pPr>
          </w:p>
        </w:tc>
      </w:tr>
      <w:tr w:rsidR="006B3736" w:rsidRPr="000E52E2" w:rsidTr="00C84D6D">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t>Asymmetrical DR.</w:t>
            </w:r>
          </w:p>
        </w:tc>
        <w:tc>
          <w:tcPr>
            <w:tcW w:w="3685" w:type="dxa"/>
            <w:vMerge/>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pPr>
          </w:p>
        </w:tc>
        <w:tc>
          <w:tcPr>
            <w:tcW w:w="2410" w:type="dxa"/>
            <w:vMerge/>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pPr>
          </w:p>
        </w:tc>
      </w:tr>
      <w:tr w:rsidR="006B3736" w:rsidRPr="000E52E2" w:rsidTr="00C84D6D">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t>Renal failure/proteinuria.</w:t>
            </w:r>
          </w:p>
        </w:tc>
        <w:tc>
          <w:tcPr>
            <w:tcW w:w="3685"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t xml:space="preserve">Last </w:t>
            </w:r>
            <w:proofErr w:type="spellStart"/>
            <w:r w:rsidRPr="000E52E2">
              <w:t>eGFR</w:t>
            </w:r>
            <w:proofErr w:type="spellEnd"/>
            <w:r w:rsidRPr="000E52E2">
              <w:t xml:space="preserve"> &lt; 45 and/or last ACR</w:t>
            </w:r>
            <w:r w:rsidR="00C84D6D">
              <w:t xml:space="preserve"> </w:t>
            </w:r>
            <w:r w:rsidRPr="000E52E2">
              <w:t>&gt; 100.</w:t>
            </w:r>
          </w:p>
        </w:tc>
        <w:tc>
          <w:tcPr>
            <w:tcW w:w="2410"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rPr>
                <w:rFonts w:eastAsia="Arial" w:cs="Arial"/>
              </w:rPr>
            </w:pPr>
            <w:r w:rsidRPr="000E52E2">
              <w:t>Consider reducing screening interval or review.</w:t>
            </w:r>
          </w:p>
        </w:tc>
      </w:tr>
      <w:tr w:rsidR="006B3736" w:rsidRPr="000E52E2" w:rsidTr="00C84D6D">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t>Type 1 diabetes &gt; 15 years.</w:t>
            </w:r>
          </w:p>
        </w:tc>
        <w:tc>
          <w:tcPr>
            <w:tcW w:w="3685"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t>May have peripheral retinal ischaemia without significant changes in the fields covered by photography. Peripheral</w:t>
            </w:r>
          </w:p>
          <w:p w:rsidR="006B3736" w:rsidRPr="000E52E2" w:rsidRDefault="006B3736" w:rsidP="00C84D6D">
            <w:pPr>
              <w:pStyle w:val="TableText"/>
              <w:ind w:right="142"/>
              <w:rPr>
                <w:rFonts w:eastAsia="Arial" w:cs="Arial"/>
              </w:rPr>
            </w:pPr>
            <w:proofErr w:type="gramStart"/>
            <w:r w:rsidRPr="000E52E2">
              <w:t>neovascularisation</w:t>
            </w:r>
            <w:proofErr w:type="gramEnd"/>
            <w:r w:rsidRPr="000E52E2">
              <w:t xml:space="preserve"> or features of severe DR may be present beyond the field of view.</w:t>
            </w:r>
          </w:p>
        </w:tc>
        <w:tc>
          <w:tcPr>
            <w:tcW w:w="2410"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C84D6D">
            <w:pPr>
              <w:pStyle w:val="TableText"/>
              <w:rPr>
                <w:rFonts w:eastAsia="Arial" w:cs="Arial"/>
              </w:rPr>
            </w:pPr>
            <w:r w:rsidRPr="000E52E2">
              <w:t xml:space="preserve">Advisable to refer to an ophthalmologist for clinical examination by slit lamp </w:t>
            </w:r>
            <w:proofErr w:type="spellStart"/>
            <w:r w:rsidRPr="000E52E2">
              <w:t>biomicroscopy</w:t>
            </w:r>
            <w:proofErr w:type="spellEnd"/>
            <w:r w:rsidRPr="000E52E2">
              <w:t xml:space="preserve"> of the peripheral retina.</w:t>
            </w:r>
          </w:p>
        </w:tc>
      </w:tr>
      <w:tr w:rsidR="006B3736" w:rsidRPr="000E52E2" w:rsidTr="00C84D6D">
        <w:trPr>
          <w:cantSplit/>
        </w:trPr>
        <w:tc>
          <w:tcPr>
            <w:tcW w:w="3261" w:type="dxa"/>
            <w:tcBorders>
              <w:top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t>Foot ulcers.</w:t>
            </w:r>
          </w:p>
        </w:tc>
        <w:tc>
          <w:tcPr>
            <w:tcW w:w="3685" w:type="dxa"/>
            <w:tcBorders>
              <w:top w:val="single" w:sz="4" w:space="0" w:color="A6A6A6" w:themeColor="background1" w:themeShade="A6"/>
            </w:tcBorders>
            <w:shd w:val="clear" w:color="auto" w:fill="auto"/>
          </w:tcPr>
          <w:p w:rsidR="006B3736" w:rsidRPr="000E52E2" w:rsidRDefault="006B3736" w:rsidP="00C84D6D">
            <w:pPr>
              <w:pStyle w:val="TableText"/>
              <w:ind w:right="142"/>
              <w:rPr>
                <w:rFonts w:eastAsia="Arial" w:cs="Arial"/>
              </w:rPr>
            </w:pPr>
            <w:r w:rsidRPr="000E52E2">
              <w:t>Their presence can be associated with an accelerated progression of DR.</w:t>
            </w:r>
          </w:p>
        </w:tc>
        <w:tc>
          <w:tcPr>
            <w:tcW w:w="2410" w:type="dxa"/>
            <w:tcBorders>
              <w:top w:val="single" w:sz="4" w:space="0" w:color="A6A6A6" w:themeColor="background1" w:themeShade="A6"/>
            </w:tcBorders>
            <w:shd w:val="clear" w:color="auto" w:fill="auto"/>
          </w:tcPr>
          <w:p w:rsidR="006B3736" w:rsidRPr="000E52E2" w:rsidRDefault="006B3736" w:rsidP="00C84D6D">
            <w:pPr>
              <w:pStyle w:val="TableText"/>
              <w:rPr>
                <w:rFonts w:eastAsia="Arial" w:cs="Arial"/>
              </w:rPr>
            </w:pPr>
            <w:r w:rsidRPr="000E52E2">
              <w:t>Consider reducing screening interval.</w:t>
            </w:r>
          </w:p>
        </w:tc>
      </w:tr>
    </w:tbl>
    <w:p w:rsidR="006B3736" w:rsidRPr="000E52E2" w:rsidRDefault="006B3736" w:rsidP="00C84D6D">
      <w:pPr>
        <w:rPr>
          <w:rFonts w:eastAsia="Georgia"/>
        </w:rPr>
      </w:pPr>
    </w:p>
    <w:p w:rsidR="006B3736" w:rsidRPr="000E52E2" w:rsidRDefault="006B3736" w:rsidP="001E291E">
      <w:r w:rsidRPr="000E52E2">
        <w:lastRenderedPageBreak/>
        <w:t>HbA1c levels should be available to screeners and ideally should be no more than six months old. Screeners may need to liaise with the primary health care provider or the local laboratory to obtain this information or, ideally, would have shared-care record access.</w:t>
      </w:r>
    </w:p>
    <w:p w:rsidR="006B3736" w:rsidRPr="000E52E2" w:rsidRDefault="006B3736" w:rsidP="001E291E">
      <w:pPr>
        <w:rPr>
          <w:rFonts w:eastAsia="Century"/>
        </w:rPr>
      </w:pPr>
    </w:p>
    <w:p w:rsidR="006B3736" w:rsidRPr="000E52E2" w:rsidRDefault="001E291E" w:rsidP="001E291E">
      <w:pPr>
        <w:pStyle w:val="Heading2"/>
        <w:rPr>
          <w:bCs/>
        </w:rPr>
      </w:pPr>
      <w:bookmarkStart w:id="31" w:name="_TOC_250016"/>
      <w:bookmarkStart w:id="32" w:name="_Toc446335159"/>
      <w:r>
        <w:t>4.2</w:t>
      </w:r>
      <w:r>
        <w:tab/>
      </w:r>
      <w:r w:rsidR="006B3736" w:rsidRPr="000E52E2">
        <w:t>Communicating the results</w:t>
      </w:r>
      <w:bookmarkEnd w:id="31"/>
      <w:bookmarkEnd w:id="32"/>
    </w:p>
    <w:p w:rsidR="006B3736" w:rsidRPr="000E52E2" w:rsidRDefault="006B3736" w:rsidP="001E291E">
      <w:r w:rsidRPr="000E52E2">
        <w:t>The results are provided to the patient, the primary health care provider and the relevant diabetes specialist service (if required) within a timely interval. This includes the screeners (if they are not doing the reporting) and the screening programme.</w:t>
      </w:r>
    </w:p>
    <w:p w:rsidR="006B3736" w:rsidRPr="000E52E2" w:rsidRDefault="006B3736" w:rsidP="001E291E"/>
    <w:p w:rsidR="001E291E" w:rsidRDefault="001E291E">
      <w:pPr>
        <w:spacing w:line="240" w:lineRule="auto"/>
        <w:rPr>
          <w:rFonts w:eastAsia="Century"/>
        </w:rPr>
      </w:pPr>
      <w:r>
        <w:rPr>
          <w:rFonts w:eastAsia="Century"/>
        </w:rPr>
        <w:br w:type="page"/>
      </w:r>
    </w:p>
    <w:p w:rsidR="006B3736" w:rsidRPr="000E52E2" w:rsidRDefault="001E291E" w:rsidP="001E291E">
      <w:pPr>
        <w:pStyle w:val="Heading1"/>
        <w:rPr>
          <w:rFonts w:eastAsia="Century"/>
        </w:rPr>
      </w:pPr>
      <w:bookmarkStart w:id="33" w:name="_Toc446335160"/>
      <w:r>
        <w:rPr>
          <w:rFonts w:eastAsia="Century"/>
        </w:rPr>
        <w:lastRenderedPageBreak/>
        <w:t>5</w:t>
      </w:r>
      <w:r>
        <w:rPr>
          <w:rFonts w:eastAsia="Century"/>
        </w:rPr>
        <w:tab/>
        <w:t>Diabetic retinal screening methods</w:t>
      </w:r>
      <w:bookmarkEnd w:id="33"/>
    </w:p>
    <w:p w:rsidR="006B3736" w:rsidRPr="000E52E2" w:rsidRDefault="006B3736" w:rsidP="001E291E">
      <w:r w:rsidRPr="000E52E2">
        <w:t>The purpose of screening is to assess the status of the person</w:t>
      </w:r>
      <w:r w:rsidR="00464C89">
        <w:t>’</w:t>
      </w:r>
      <w:r w:rsidRPr="000E52E2">
        <w:t>s retina for damage or changes caused by diabetes. The process of screening includes an assessment of visual acuity, visualisation of the retina and a review of clinical factors that may affect the recommended screening interval (</w:t>
      </w:r>
      <w:proofErr w:type="spellStart"/>
      <w:r w:rsidRPr="000E52E2">
        <w:t>ie</w:t>
      </w:r>
      <w:proofErr w:type="spellEnd"/>
      <w:r w:rsidRPr="000E52E2">
        <w:t>, the clinical modifiers – see sections 1.4 and 4.1).</w:t>
      </w:r>
    </w:p>
    <w:p w:rsidR="006B3736" w:rsidRPr="000E52E2" w:rsidRDefault="006B3736" w:rsidP="001E291E">
      <w:pPr>
        <w:rPr>
          <w:rFonts w:eastAsia="Century"/>
        </w:rPr>
      </w:pPr>
    </w:p>
    <w:p w:rsidR="006B3736" w:rsidRPr="000E52E2" w:rsidRDefault="001E291E" w:rsidP="001E291E">
      <w:pPr>
        <w:pStyle w:val="Heading2"/>
        <w:rPr>
          <w:bCs/>
        </w:rPr>
      </w:pPr>
      <w:bookmarkStart w:id="34" w:name="_TOC_250014"/>
      <w:bookmarkStart w:id="35" w:name="_Toc446335161"/>
      <w:r>
        <w:t>5.1</w:t>
      </w:r>
      <w:r>
        <w:tab/>
      </w:r>
      <w:r w:rsidR="006B3736" w:rsidRPr="000E52E2">
        <w:t>Visual acuity</w:t>
      </w:r>
      <w:bookmarkEnd w:id="34"/>
      <w:bookmarkEnd w:id="35"/>
    </w:p>
    <w:p w:rsidR="006B3736" w:rsidRPr="000E52E2" w:rsidRDefault="006B3736" w:rsidP="001E291E">
      <w:r w:rsidRPr="000E52E2">
        <w:t>Visual acuity should be tested in both eyes with best correction. Where this is not possible, pin-hole acuity is acceptable.</w:t>
      </w:r>
    </w:p>
    <w:p w:rsidR="006B3736" w:rsidRPr="000E52E2" w:rsidRDefault="006B3736" w:rsidP="001E291E">
      <w:pPr>
        <w:rPr>
          <w:rFonts w:eastAsia="Century"/>
        </w:rPr>
      </w:pPr>
    </w:p>
    <w:p w:rsidR="006B3736" w:rsidRPr="000E52E2" w:rsidRDefault="001E291E" w:rsidP="001E291E">
      <w:pPr>
        <w:pStyle w:val="Heading2"/>
        <w:rPr>
          <w:bCs/>
        </w:rPr>
      </w:pPr>
      <w:bookmarkStart w:id="36" w:name="_TOC_250013"/>
      <w:bookmarkStart w:id="37" w:name="_Toc446335162"/>
      <w:r>
        <w:t>5.2</w:t>
      </w:r>
      <w:r>
        <w:tab/>
      </w:r>
      <w:r w:rsidR="006B3736" w:rsidRPr="000E52E2">
        <w:t>Visualisation of the retina: methods</w:t>
      </w:r>
      <w:bookmarkEnd w:id="36"/>
      <w:bookmarkEnd w:id="37"/>
    </w:p>
    <w:p w:rsidR="006B3736" w:rsidRPr="000E52E2" w:rsidRDefault="006B3736" w:rsidP="001E291E">
      <w:r w:rsidRPr="000E52E2">
        <w:t>Retinal visualisation can be undertaken using:</w:t>
      </w:r>
    </w:p>
    <w:p w:rsidR="006B3736" w:rsidRPr="000E52E2" w:rsidRDefault="006B3736" w:rsidP="001E291E">
      <w:pPr>
        <w:pStyle w:val="Bullet"/>
      </w:pPr>
      <w:r w:rsidRPr="000E52E2">
        <w:t>colour digital retinal photography to the standard detailed in Table B in Appendix B</w:t>
      </w:r>
    </w:p>
    <w:p w:rsidR="006B3736" w:rsidRPr="000E52E2" w:rsidRDefault="006B3736" w:rsidP="001E291E">
      <w:pPr>
        <w:pStyle w:val="Bullet"/>
      </w:pPr>
      <w:proofErr w:type="gramStart"/>
      <w:r w:rsidRPr="000E52E2">
        <w:t>a</w:t>
      </w:r>
      <w:proofErr w:type="gramEnd"/>
      <w:r w:rsidRPr="000E52E2">
        <w:t xml:space="preserve"> dilated pupil fundus examination, using binocular ophthalmoscopy (</w:t>
      </w:r>
      <w:proofErr w:type="spellStart"/>
      <w:r w:rsidRPr="000E52E2">
        <w:t>eg</w:t>
      </w:r>
      <w:proofErr w:type="spellEnd"/>
      <w:r w:rsidRPr="000E52E2">
        <w:t xml:space="preserve">, slit-lamp </w:t>
      </w:r>
      <w:proofErr w:type="spellStart"/>
      <w:r w:rsidRPr="000E52E2">
        <w:t>biomicroscopy</w:t>
      </w:r>
      <w:proofErr w:type="spellEnd"/>
      <w:r w:rsidRPr="000E52E2">
        <w:t>).</w:t>
      </w:r>
    </w:p>
    <w:p w:rsidR="006B3736" w:rsidRPr="000E52E2" w:rsidRDefault="006B3736" w:rsidP="001E291E">
      <w:pPr>
        <w:rPr>
          <w:rFonts w:eastAsia="Century"/>
        </w:rPr>
      </w:pPr>
    </w:p>
    <w:p w:rsidR="006B3736" w:rsidRPr="000E52E2" w:rsidRDefault="006B3736" w:rsidP="001E291E">
      <w:r w:rsidRPr="000E52E2">
        <w:t>Digital retinal photography is the preferred method unless it is unsuitable for the patient. Where retinal photography is unsuitable, screening should be undertaken in a clinical setting. Referral to an approved provider (ophthalmologist or optometrist) is indicated if adequate visualisation and assessment of the retina are not possible.</w:t>
      </w:r>
    </w:p>
    <w:p w:rsidR="001E291E" w:rsidRDefault="001E291E" w:rsidP="001E291E"/>
    <w:p w:rsidR="006B3736" w:rsidRPr="000E52E2" w:rsidRDefault="006B3736" w:rsidP="001E291E">
      <w:r w:rsidRPr="000E52E2">
        <w:t>If available, optical coherence tomography (OCT) imaging may be used, but its utility as a primary screening tool is yet to be established. It is likely to be more widely used over the next few years.</w:t>
      </w:r>
    </w:p>
    <w:p w:rsidR="006B3736" w:rsidRPr="000E52E2" w:rsidRDefault="006B3736" w:rsidP="001E291E">
      <w:pPr>
        <w:rPr>
          <w:rFonts w:eastAsia="Century"/>
        </w:rPr>
      </w:pPr>
    </w:p>
    <w:p w:rsidR="006B3736" w:rsidRPr="000E52E2" w:rsidRDefault="001E291E" w:rsidP="001E291E">
      <w:pPr>
        <w:pStyle w:val="Heading2"/>
        <w:rPr>
          <w:bCs/>
        </w:rPr>
      </w:pPr>
      <w:bookmarkStart w:id="38" w:name="_TOC_250012"/>
      <w:bookmarkStart w:id="39" w:name="_Toc446335163"/>
      <w:r>
        <w:t>5.3</w:t>
      </w:r>
      <w:r>
        <w:tab/>
      </w:r>
      <w:r w:rsidR="006B3736" w:rsidRPr="000E52E2">
        <w:t>Pupil dilation</w:t>
      </w:r>
      <w:bookmarkEnd w:id="38"/>
      <w:bookmarkEnd w:id="39"/>
    </w:p>
    <w:p w:rsidR="006B3736" w:rsidRPr="000E52E2" w:rsidRDefault="006B3736" w:rsidP="001E291E">
      <w:r w:rsidRPr="000E52E2">
        <w:t>Pupil dilation is a choice and needs to be discussed with the person being screened. Pupil dilation</w:t>
      </w:r>
      <w:r w:rsidR="00464C89">
        <w:t xml:space="preserve"> </w:t>
      </w:r>
      <w:r w:rsidRPr="000E52E2">
        <w:t>may be required for good visualisation of the retina. Before attending screening, individuals should be informed that pupil dilation may be necessary and that side effects can include:</w:t>
      </w:r>
    </w:p>
    <w:p w:rsidR="006B3736" w:rsidRPr="000E52E2" w:rsidRDefault="006B3736" w:rsidP="001E291E">
      <w:pPr>
        <w:pStyle w:val="Bullet"/>
      </w:pPr>
      <w:r w:rsidRPr="000E52E2">
        <w:t>temporary blurred or distorted vision</w:t>
      </w:r>
    </w:p>
    <w:p w:rsidR="006B3736" w:rsidRPr="000E52E2" w:rsidRDefault="006B3736" w:rsidP="001E291E">
      <w:pPr>
        <w:pStyle w:val="Bullet"/>
      </w:pPr>
      <w:r w:rsidRPr="000E52E2">
        <w:t>temporary lack of tolerance to bright light or sunlight</w:t>
      </w:r>
    </w:p>
    <w:p w:rsidR="006B3736" w:rsidRPr="000E52E2" w:rsidRDefault="006B3736" w:rsidP="001E291E">
      <w:pPr>
        <w:pStyle w:val="Bullet"/>
      </w:pPr>
      <w:proofErr w:type="gramStart"/>
      <w:r w:rsidRPr="000E52E2">
        <w:t>possible</w:t>
      </w:r>
      <w:proofErr w:type="gramEnd"/>
      <w:r w:rsidRPr="000E52E2">
        <w:t xml:space="preserve"> loss of balance.</w:t>
      </w:r>
    </w:p>
    <w:p w:rsidR="006B3736" w:rsidRPr="000E52E2" w:rsidRDefault="006B3736" w:rsidP="001E291E">
      <w:pPr>
        <w:rPr>
          <w:rFonts w:eastAsia="Century"/>
        </w:rPr>
      </w:pPr>
    </w:p>
    <w:p w:rsidR="006B3736" w:rsidRPr="000E52E2" w:rsidRDefault="006B3736" w:rsidP="001E291E">
      <w:r w:rsidRPr="000E52E2">
        <w:t>A person should avoid driving or using machinery when their pupils are dilated.</w:t>
      </w:r>
    </w:p>
    <w:p w:rsidR="006B3736" w:rsidRPr="000E52E2" w:rsidRDefault="006B3736" w:rsidP="001E291E">
      <w:pPr>
        <w:rPr>
          <w:rFonts w:eastAsia="Century"/>
        </w:rPr>
      </w:pPr>
    </w:p>
    <w:p w:rsidR="006B3736" w:rsidRPr="000E52E2" w:rsidRDefault="006B3736" w:rsidP="001E291E">
      <w:r w:rsidRPr="000E52E2">
        <w:t>These side effects may last up to four hours, but in certain circumstances (depending on the dilating agent used), the duration may be longer, and the patients should be advised accordingly.</w:t>
      </w:r>
    </w:p>
    <w:p w:rsidR="006B3736" w:rsidRPr="000E52E2" w:rsidRDefault="006B3736" w:rsidP="001E291E">
      <w:pPr>
        <w:rPr>
          <w:rFonts w:eastAsia="Century"/>
        </w:rPr>
      </w:pPr>
    </w:p>
    <w:p w:rsidR="006B3736" w:rsidRPr="000E52E2" w:rsidRDefault="006B3736" w:rsidP="001E291E">
      <w:r w:rsidRPr="000E52E2">
        <w:lastRenderedPageBreak/>
        <w:t xml:space="preserve">There is an extremely small risk of precipitating acute angle closure glaucoma, which can occur three to six hours after pupil dilation. If a patient develops symptoms of acute closure glaucoma (including sudden severe eye pain, a red eye, blurred or reduced vision and a headache), they should be told to seek ophthalmic advice </w:t>
      </w:r>
      <w:r w:rsidRPr="000E52E2">
        <w:rPr>
          <w:i/>
        </w:rPr>
        <w:t>urgently</w:t>
      </w:r>
      <w:r w:rsidRPr="000E52E2">
        <w:t>.</w:t>
      </w:r>
    </w:p>
    <w:p w:rsidR="006B3736" w:rsidRPr="000E52E2" w:rsidRDefault="006B3736" w:rsidP="001E291E">
      <w:pPr>
        <w:rPr>
          <w:rFonts w:eastAsia="Century"/>
        </w:rPr>
      </w:pPr>
    </w:p>
    <w:p w:rsidR="006B3736" w:rsidRPr="000E52E2" w:rsidRDefault="006B3736" w:rsidP="001E291E">
      <w:r w:rsidRPr="000E52E2">
        <w:t>Pupil dilation in pregnancy is safe.</w:t>
      </w:r>
    </w:p>
    <w:p w:rsidR="006B3736" w:rsidRPr="000E52E2" w:rsidRDefault="006B3736" w:rsidP="001E291E"/>
    <w:p w:rsidR="001E291E" w:rsidRDefault="001E291E">
      <w:pPr>
        <w:spacing w:line="240" w:lineRule="auto"/>
        <w:rPr>
          <w:rFonts w:eastAsia="Century"/>
        </w:rPr>
      </w:pPr>
      <w:r>
        <w:rPr>
          <w:rFonts w:eastAsia="Century"/>
        </w:rPr>
        <w:br w:type="page"/>
      </w:r>
    </w:p>
    <w:p w:rsidR="006B3736" w:rsidRPr="000E52E2" w:rsidRDefault="001E291E" w:rsidP="001E291E">
      <w:pPr>
        <w:pStyle w:val="Heading1"/>
        <w:rPr>
          <w:rFonts w:eastAsia="Century"/>
        </w:rPr>
      </w:pPr>
      <w:bookmarkStart w:id="40" w:name="_Toc446335164"/>
      <w:r>
        <w:rPr>
          <w:rFonts w:eastAsia="Century"/>
        </w:rPr>
        <w:lastRenderedPageBreak/>
        <w:t>6</w:t>
      </w:r>
      <w:r>
        <w:rPr>
          <w:rFonts w:eastAsia="Century"/>
        </w:rPr>
        <w:tab/>
        <w:t>Standards for retinal imaging and grading</w:t>
      </w:r>
      <w:bookmarkEnd w:id="40"/>
    </w:p>
    <w:p w:rsidR="006B3736" w:rsidRPr="000E52E2" w:rsidRDefault="001E291E" w:rsidP="001E291E">
      <w:pPr>
        <w:pStyle w:val="Heading2"/>
        <w:rPr>
          <w:bCs/>
        </w:rPr>
      </w:pPr>
      <w:bookmarkStart w:id="41" w:name="_TOC_250011"/>
      <w:bookmarkStart w:id="42" w:name="_Toc446335165"/>
      <w:r>
        <w:t>6.1</w:t>
      </w:r>
      <w:r>
        <w:tab/>
      </w:r>
      <w:bookmarkStart w:id="43" w:name="_TOC_250010"/>
      <w:bookmarkEnd w:id="41"/>
      <w:r w:rsidR="006B3736" w:rsidRPr="000E52E2">
        <w:t>Photographic images</w:t>
      </w:r>
      <w:bookmarkEnd w:id="42"/>
      <w:bookmarkEnd w:id="43"/>
    </w:p>
    <w:p w:rsidR="006B3736" w:rsidRPr="000E52E2" w:rsidRDefault="006B3736" w:rsidP="001E291E">
      <w:pPr>
        <w:rPr>
          <w:rFonts w:eastAsia="Century" w:hAnsi="Century" w:cs="Century"/>
        </w:rPr>
      </w:pPr>
      <w:r w:rsidRPr="000E52E2">
        <w:t xml:space="preserve">A quality assured grading process requires photographs of adequate quality (see Appendix B). The minimum field size is two 45-degree fields. </w:t>
      </w:r>
      <w:r w:rsidRPr="000E52E2">
        <w:rPr>
          <w:i/>
        </w:rPr>
        <w:t xml:space="preserve">For those with type 1 diabetes or with R3 or more, </w:t>
      </w:r>
      <w:proofErr w:type="gramStart"/>
      <w:r w:rsidRPr="000E52E2">
        <w:rPr>
          <w:i/>
        </w:rPr>
        <w:t>an inferior and superior image are</w:t>
      </w:r>
      <w:proofErr w:type="gramEnd"/>
      <w:r w:rsidRPr="000E52E2">
        <w:rPr>
          <w:i/>
        </w:rPr>
        <w:t xml:space="preserve"> mandatory</w:t>
      </w:r>
      <w:r w:rsidRPr="000E52E2">
        <w:t>.</w:t>
      </w:r>
    </w:p>
    <w:p w:rsidR="006B3736" w:rsidRPr="000E52E2" w:rsidRDefault="006B3736" w:rsidP="001E291E">
      <w:pPr>
        <w:rPr>
          <w:rFonts w:eastAsia="Century"/>
        </w:rPr>
      </w:pPr>
    </w:p>
    <w:p w:rsidR="006B3736" w:rsidRPr="000E52E2" w:rsidRDefault="006B3736" w:rsidP="001E291E">
      <w:r w:rsidRPr="000E52E2">
        <w:t>Details of the photographic field standard and size are shown in Table 2. These fields will provide approximately 75 degrees horizontal and 45 degrees vertical coverage. Photographs of less than 45 degrees will require extra photographs for the same areas.</w:t>
      </w:r>
    </w:p>
    <w:p w:rsidR="006B3736" w:rsidRPr="000E52E2" w:rsidRDefault="006B3736" w:rsidP="001E291E">
      <w:pPr>
        <w:rPr>
          <w:rFonts w:eastAsia="Century"/>
        </w:rPr>
      </w:pPr>
    </w:p>
    <w:p w:rsidR="006B3736" w:rsidRPr="000E52E2" w:rsidRDefault="006B3736" w:rsidP="001E291E">
      <w:pPr>
        <w:pStyle w:val="Table"/>
        <w:rPr>
          <w:rFonts w:eastAsia="Georgia" w:cs="Georgia"/>
          <w:szCs w:val="18"/>
        </w:rPr>
      </w:pPr>
      <w:bookmarkStart w:id="44" w:name="_Toc446335197"/>
      <w:r w:rsidRPr="000E52E2">
        <w:t>Table 2: Photographic field standard and size</w:t>
      </w:r>
      <w:bookmarkEnd w:id="44"/>
    </w:p>
    <w:tbl>
      <w:tblPr>
        <w:tblW w:w="9356"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127"/>
        <w:gridCol w:w="3967"/>
        <w:gridCol w:w="3262"/>
      </w:tblGrid>
      <w:tr w:rsidR="006B3736" w:rsidRPr="001E291E" w:rsidTr="001E291E">
        <w:trPr>
          <w:cantSplit/>
        </w:trPr>
        <w:tc>
          <w:tcPr>
            <w:tcW w:w="2127" w:type="dxa"/>
            <w:tcBorders>
              <w:top w:val="single" w:sz="4" w:space="0" w:color="auto"/>
              <w:bottom w:val="single" w:sz="4" w:space="0" w:color="auto"/>
            </w:tcBorders>
            <w:shd w:val="clear" w:color="auto" w:fill="auto"/>
          </w:tcPr>
          <w:p w:rsidR="006B3736" w:rsidRPr="001E291E" w:rsidRDefault="006B3736" w:rsidP="001E291E">
            <w:pPr>
              <w:pStyle w:val="TableText"/>
              <w:rPr>
                <w:rFonts w:eastAsia="Arial" w:cs="Arial"/>
                <w:b/>
                <w:szCs w:val="19"/>
              </w:rPr>
            </w:pPr>
            <w:r w:rsidRPr="001E291E">
              <w:rPr>
                <w:b/>
              </w:rPr>
              <w:t>Field</w:t>
            </w:r>
          </w:p>
        </w:tc>
        <w:tc>
          <w:tcPr>
            <w:tcW w:w="3967" w:type="dxa"/>
            <w:tcBorders>
              <w:top w:val="single" w:sz="4" w:space="0" w:color="auto"/>
              <w:bottom w:val="single" w:sz="4" w:space="0" w:color="auto"/>
            </w:tcBorders>
            <w:shd w:val="clear" w:color="auto" w:fill="auto"/>
          </w:tcPr>
          <w:p w:rsidR="006B3736" w:rsidRPr="001E291E" w:rsidRDefault="006B3736" w:rsidP="001E291E">
            <w:pPr>
              <w:pStyle w:val="TableText"/>
              <w:ind w:right="142"/>
              <w:rPr>
                <w:rFonts w:eastAsia="Arial" w:cs="Arial"/>
                <w:b/>
                <w:szCs w:val="19"/>
              </w:rPr>
            </w:pPr>
            <w:r w:rsidRPr="001E291E">
              <w:rPr>
                <w:b/>
              </w:rPr>
              <w:t>Description</w:t>
            </w:r>
          </w:p>
        </w:tc>
        <w:tc>
          <w:tcPr>
            <w:tcW w:w="3262" w:type="dxa"/>
            <w:tcBorders>
              <w:top w:val="single" w:sz="4" w:space="0" w:color="auto"/>
              <w:bottom w:val="single" w:sz="4" w:space="0" w:color="auto"/>
            </w:tcBorders>
            <w:shd w:val="clear" w:color="auto" w:fill="auto"/>
          </w:tcPr>
          <w:p w:rsidR="006B3736" w:rsidRPr="001E291E" w:rsidRDefault="006B3736" w:rsidP="001E291E">
            <w:pPr>
              <w:pStyle w:val="TableText"/>
              <w:rPr>
                <w:rFonts w:eastAsia="Arial" w:cs="Arial"/>
                <w:b/>
                <w:szCs w:val="19"/>
              </w:rPr>
            </w:pPr>
            <w:r w:rsidRPr="001E291E">
              <w:rPr>
                <w:b/>
              </w:rPr>
              <w:t>Extension</w:t>
            </w:r>
          </w:p>
        </w:tc>
      </w:tr>
      <w:tr w:rsidR="006B3736" w:rsidRPr="000E52E2" w:rsidTr="001E291E">
        <w:trPr>
          <w:cantSplit/>
        </w:trPr>
        <w:tc>
          <w:tcPr>
            <w:tcW w:w="2127" w:type="dxa"/>
            <w:tcBorders>
              <w:top w:val="single" w:sz="4" w:space="0" w:color="auto"/>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Adequate macular field</w:t>
            </w:r>
          </w:p>
        </w:tc>
        <w:tc>
          <w:tcPr>
            <w:tcW w:w="3967" w:type="dxa"/>
            <w:tcBorders>
              <w:top w:val="single" w:sz="4" w:space="0" w:color="auto"/>
              <w:bottom w:val="single" w:sz="4" w:space="0" w:color="A6A6A6" w:themeColor="background1" w:themeShade="A6"/>
            </w:tcBorders>
            <w:shd w:val="clear" w:color="auto" w:fill="auto"/>
          </w:tcPr>
          <w:p w:rsidR="006B3736" w:rsidRPr="000E52E2" w:rsidRDefault="006B3736" w:rsidP="001E291E">
            <w:pPr>
              <w:pStyle w:val="TableText"/>
              <w:ind w:right="142"/>
              <w:rPr>
                <w:rFonts w:eastAsia="Arial" w:cs="Arial"/>
                <w:szCs w:val="19"/>
              </w:rPr>
            </w:pPr>
            <w:r w:rsidRPr="000E52E2">
              <w:t>Centre of the optic disc at nasal edge of field.</w:t>
            </w:r>
          </w:p>
        </w:tc>
        <w:tc>
          <w:tcPr>
            <w:tcW w:w="3262" w:type="dxa"/>
            <w:tcBorders>
              <w:top w:val="single" w:sz="4" w:space="0" w:color="auto"/>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Field extends temporally at least</w:t>
            </w:r>
            <w:r w:rsidR="001E291E">
              <w:t xml:space="preserve"> </w:t>
            </w:r>
            <w:r w:rsidRPr="000E52E2">
              <w:t>4</w:t>
            </w:r>
            <w:r w:rsidR="001E291E">
              <w:t> </w:t>
            </w:r>
            <w:r w:rsidRPr="000E52E2">
              <w:t>DD from the temporal disc margin.</w:t>
            </w:r>
          </w:p>
        </w:tc>
      </w:tr>
      <w:tr w:rsidR="006B3736" w:rsidRPr="000E52E2" w:rsidTr="001E291E">
        <w:trPr>
          <w:cantSplit/>
        </w:trPr>
        <w:tc>
          <w:tcPr>
            <w:tcW w:w="2127"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Adequate nasal field</w:t>
            </w:r>
          </w:p>
        </w:tc>
        <w:tc>
          <w:tcPr>
            <w:tcW w:w="3967"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1E291E">
            <w:pPr>
              <w:pStyle w:val="TableText"/>
              <w:ind w:right="142"/>
              <w:rPr>
                <w:rFonts w:eastAsia="Arial" w:cs="Arial"/>
                <w:szCs w:val="19"/>
              </w:rPr>
            </w:pPr>
            <w:r w:rsidRPr="000E52E2">
              <w:t>Centre of the optic disc 1 DD from the temporal edge of the field.</w:t>
            </w:r>
          </w:p>
        </w:tc>
        <w:tc>
          <w:tcPr>
            <w:tcW w:w="3262"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Whole field extends nasally at least 3</w:t>
            </w:r>
            <w:r w:rsidR="001E291E">
              <w:t> </w:t>
            </w:r>
            <w:r w:rsidRPr="000E52E2">
              <w:t>DD from the nasal disc margin.</w:t>
            </w:r>
          </w:p>
        </w:tc>
      </w:tr>
      <w:tr w:rsidR="006B3736" w:rsidRPr="000E52E2" w:rsidTr="001E291E">
        <w:trPr>
          <w:cantSplit/>
        </w:trPr>
        <w:tc>
          <w:tcPr>
            <w:tcW w:w="2127"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Superior retinal image</w:t>
            </w:r>
          </w:p>
        </w:tc>
        <w:tc>
          <w:tcPr>
            <w:tcW w:w="3967"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1E291E">
            <w:pPr>
              <w:pStyle w:val="TableText"/>
              <w:ind w:right="142"/>
              <w:rPr>
                <w:rFonts w:eastAsia="Arial" w:cs="Arial"/>
                <w:szCs w:val="19"/>
              </w:rPr>
            </w:pPr>
            <w:r w:rsidRPr="000E52E2">
              <w:t>Centre of the optic disc positioned 1 DD from the inferior edge of the image.</w:t>
            </w:r>
          </w:p>
        </w:tc>
        <w:tc>
          <w:tcPr>
            <w:tcW w:w="3262"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Image extends superiorly at least</w:t>
            </w:r>
            <w:r w:rsidR="001E291E">
              <w:t xml:space="preserve"> </w:t>
            </w:r>
            <w:r w:rsidRPr="000E52E2">
              <w:t>3</w:t>
            </w:r>
            <w:r w:rsidR="001E291E">
              <w:t> </w:t>
            </w:r>
            <w:r w:rsidRPr="000E52E2">
              <w:t>DD from the superior disc margin.</w:t>
            </w:r>
          </w:p>
        </w:tc>
      </w:tr>
      <w:tr w:rsidR="006B3736" w:rsidRPr="000E52E2" w:rsidTr="001E291E">
        <w:trPr>
          <w:cantSplit/>
        </w:trPr>
        <w:tc>
          <w:tcPr>
            <w:tcW w:w="2127" w:type="dxa"/>
            <w:tcBorders>
              <w:top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Inferior retinal image</w:t>
            </w:r>
          </w:p>
        </w:tc>
        <w:tc>
          <w:tcPr>
            <w:tcW w:w="3967" w:type="dxa"/>
            <w:tcBorders>
              <w:top w:val="single" w:sz="4" w:space="0" w:color="A6A6A6" w:themeColor="background1" w:themeShade="A6"/>
            </w:tcBorders>
            <w:shd w:val="clear" w:color="auto" w:fill="auto"/>
          </w:tcPr>
          <w:p w:rsidR="006B3736" w:rsidRPr="000E52E2" w:rsidRDefault="006B3736" w:rsidP="001E291E">
            <w:pPr>
              <w:pStyle w:val="TableText"/>
              <w:ind w:right="142"/>
              <w:rPr>
                <w:rFonts w:eastAsia="Arial" w:cs="Arial"/>
                <w:szCs w:val="19"/>
              </w:rPr>
            </w:pPr>
            <w:r w:rsidRPr="000E52E2">
              <w:t>Centre of the optic disc positioned 1 DD from the superior edge of the image.</w:t>
            </w:r>
          </w:p>
        </w:tc>
        <w:tc>
          <w:tcPr>
            <w:tcW w:w="3262" w:type="dxa"/>
            <w:tcBorders>
              <w:top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Image extends inferiorly at least</w:t>
            </w:r>
            <w:r w:rsidR="001E291E">
              <w:t xml:space="preserve"> </w:t>
            </w:r>
            <w:r w:rsidRPr="000E52E2">
              <w:t>3</w:t>
            </w:r>
            <w:r w:rsidR="001E291E">
              <w:t> </w:t>
            </w:r>
            <w:r w:rsidRPr="000E52E2">
              <w:t>DD from the inferior disc margin.</w:t>
            </w:r>
          </w:p>
        </w:tc>
      </w:tr>
    </w:tbl>
    <w:p w:rsidR="006B3736" w:rsidRPr="000E52E2" w:rsidRDefault="006B3736" w:rsidP="001E291E">
      <w:pPr>
        <w:pStyle w:val="Note"/>
        <w:rPr>
          <w:rFonts w:eastAsia="Arial" w:cs="Arial"/>
          <w:szCs w:val="18"/>
        </w:rPr>
      </w:pPr>
      <w:r w:rsidRPr="000E52E2">
        <w:t>Note: DD = disc diameters</w:t>
      </w:r>
    </w:p>
    <w:p w:rsidR="006B3736" w:rsidRPr="000E52E2" w:rsidRDefault="006B3736" w:rsidP="001E291E">
      <w:pPr>
        <w:rPr>
          <w:rFonts w:eastAsia="Arial"/>
        </w:rPr>
      </w:pPr>
    </w:p>
    <w:p w:rsidR="006B3736" w:rsidRPr="000E52E2" w:rsidRDefault="001E291E" w:rsidP="001E291E">
      <w:pPr>
        <w:pStyle w:val="Heading2"/>
        <w:rPr>
          <w:bCs/>
        </w:rPr>
      </w:pPr>
      <w:bookmarkStart w:id="45" w:name="_TOC_250009"/>
      <w:bookmarkStart w:id="46" w:name="_Toc446335166"/>
      <w:r>
        <w:t>6.2</w:t>
      </w:r>
      <w:r>
        <w:tab/>
      </w:r>
      <w:r w:rsidR="006B3736" w:rsidRPr="000E52E2">
        <w:t>Grading</w:t>
      </w:r>
      <w:bookmarkEnd w:id="45"/>
      <w:bookmarkEnd w:id="46"/>
    </w:p>
    <w:p w:rsidR="006B3736" w:rsidRPr="000E52E2" w:rsidRDefault="006B3736" w:rsidP="001E291E">
      <w:r w:rsidRPr="000E52E2">
        <w:t>If photography is used, the grading process should commence with a quality assessment of the photograph to assess the definition of field clarity (see Appendix B). The screener who is taking the photograph is responsible for assessing the quality of the photograph. Each eye should be graded separately, and the overall DR grade should be based on the worst eye. All grading should be consistent with the standards and the National Diabetes Retinal Grading System outlined in these guidelines (see tables C and D in Appendix B).</w:t>
      </w:r>
    </w:p>
    <w:p w:rsidR="006B3736" w:rsidRDefault="006B3736" w:rsidP="001E291E"/>
    <w:p w:rsidR="001E291E" w:rsidRDefault="001E291E" w:rsidP="001E291E">
      <w:r>
        <w:br w:type="page"/>
      </w:r>
    </w:p>
    <w:p w:rsidR="006B3736" w:rsidRPr="000E52E2" w:rsidRDefault="001E291E" w:rsidP="001E291E">
      <w:pPr>
        <w:pStyle w:val="Heading1"/>
        <w:rPr>
          <w:bCs/>
        </w:rPr>
      </w:pPr>
      <w:bookmarkStart w:id="47" w:name="_Toc446335167"/>
      <w:r>
        <w:lastRenderedPageBreak/>
        <w:t>7</w:t>
      </w:r>
      <w:r>
        <w:tab/>
      </w:r>
      <w:bookmarkStart w:id="48" w:name="_TOC_250008"/>
      <w:r w:rsidR="006B3736" w:rsidRPr="000E52E2">
        <w:t>Pregnancy</w:t>
      </w:r>
      <w:bookmarkEnd w:id="47"/>
      <w:bookmarkEnd w:id="48"/>
    </w:p>
    <w:p w:rsidR="006B3736" w:rsidRPr="000E52E2" w:rsidRDefault="006B3736" w:rsidP="001E291E">
      <w:r w:rsidRPr="000E52E2">
        <w:t>All pregnant women with established diabetes (type 1 or type 2) should be screened in the first trimester of their pregnancy (</w:t>
      </w:r>
      <w:proofErr w:type="spellStart"/>
      <w:r w:rsidRPr="000E52E2">
        <w:t>Kaziwe</w:t>
      </w:r>
      <w:proofErr w:type="spellEnd"/>
      <w:r w:rsidRPr="000E52E2">
        <w:t xml:space="preserve"> et al 2013).</w:t>
      </w:r>
    </w:p>
    <w:p w:rsidR="006B3736" w:rsidRPr="000E52E2" w:rsidRDefault="006B3736" w:rsidP="001E291E">
      <w:pPr>
        <w:pStyle w:val="Bullet"/>
      </w:pPr>
      <w:r w:rsidRPr="000E52E2">
        <w:t>Pregnant women, previously unknown to have diabetes but found to have an HbA1c of 50 or greater at the time of booking their antenatal blood tests are likely to have had diabetes at conception (Ministry of Health 2014b). These women should also be screened in the first trimester or within four weeks of detection of their diabetes.</w:t>
      </w:r>
    </w:p>
    <w:p w:rsidR="006B3736" w:rsidRPr="000E52E2" w:rsidRDefault="006B3736" w:rsidP="001E291E">
      <w:pPr>
        <w:pStyle w:val="Bullet"/>
      </w:pPr>
      <w:r w:rsidRPr="000E52E2">
        <w:t>Those who have no DR and no modifiable risk factors can continue with their normal two- or three-yearly screening.</w:t>
      </w:r>
    </w:p>
    <w:p w:rsidR="006B3736" w:rsidRPr="000E52E2" w:rsidRDefault="006B3736" w:rsidP="001E291E">
      <w:pPr>
        <w:pStyle w:val="Bullet"/>
      </w:pPr>
      <w:r w:rsidRPr="000E52E2">
        <w:t>Women with gestational diabetes do not need to be screened.</w:t>
      </w:r>
    </w:p>
    <w:p w:rsidR="006B3736" w:rsidRPr="000E52E2" w:rsidRDefault="006B3736" w:rsidP="001E291E">
      <w:pPr>
        <w:rPr>
          <w:rFonts w:eastAsia="Century"/>
        </w:rPr>
      </w:pPr>
    </w:p>
    <w:p w:rsidR="006B3736" w:rsidRPr="000E52E2" w:rsidRDefault="006B3736" w:rsidP="001E291E">
      <w:r w:rsidRPr="000E52E2">
        <w:t>Those women with:</w:t>
      </w:r>
    </w:p>
    <w:p w:rsidR="006B3736" w:rsidRPr="000E52E2" w:rsidRDefault="006B3736" w:rsidP="001E291E">
      <w:pPr>
        <w:pStyle w:val="Bullet"/>
      </w:pPr>
      <w:r w:rsidRPr="000E52E2">
        <w:t>minimal DR will require more frequent screening during their pregnancy</w:t>
      </w:r>
    </w:p>
    <w:p w:rsidR="006B3736" w:rsidRPr="000E52E2" w:rsidRDefault="006B3736" w:rsidP="001E291E">
      <w:pPr>
        <w:pStyle w:val="Bullet"/>
      </w:pPr>
      <w:proofErr w:type="gramStart"/>
      <w:r w:rsidRPr="000E52E2">
        <w:t>mild</w:t>
      </w:r>
      <w:proofErr w:type="gramEnd"/>
      <w:r w:rsidRPr="000E52E2">
        <w:t xml:space="preserve"> or more advanced DR will require a referral to an ophthalmologist for ongoing review during their pregnancy.</w:t>
      </w:r>
    </w:p>
    <w:p w:rsidR="006B3736" w:rsidRPr="000E52E2" w:rsidRDefault="006B3736" w:rsidP="001E291E">
      <w:pPr>
        <w:rPr>
          <w:rFonts w:eastAsia="Century"/>
        </w:rPr>
      </w:pPr>
    </w:p>
    <w:p w:rsidR="006B3736" w:rsidRPr="000E52E2" w:rsidRDefault="001E291E" w:rsidP="001E291E">
      <w:pPr>
        <w:pStyle w:val="Heading2"/>
        <w:rPr>
          <w:bCs/>
        </w:rPr>
      </w:pPr>
      <w:bookmarkStart w:id="49" w:name="_TOC_250007"/>
      <w:bookmarkStart w:id="50" w:name="_Toc446335168"/>
      <w:r>
        <w:t>7.1</w:t>
      </w:r>
      <w:r>
        <w:tab/>
      </w:r>
      <w:r w:rsidR="006B3736" w:rsidRPr="000E52E2">
        <w:t>Grading and referral guidance for pregnant women with diabetes</w:t>
      </w:r>
      <w:bookmarkEnd w:id="49"/>
      <w:bookmarkEnd w:id="50"/>
    </w:p>
    <w:p w:rsidR="006B3736" w:rsidRPr="000E52E2" w:rsidRDefault="006B3736" w:rsidP="001E291E">
      <w:r w:rsidRPr="000E52E2">
        <w:t>Table 3 provides grading and referral guidance for women who have diabetes and are also pregnant. Some designated ophthalmologists may recommend screening every three months throughout pregnancy, regardless of retinopathy status or presence of clinical modifiers.</w:t>
      </w:r>
    </w:p>
    <w:p w:rsidR="006B3736" w:rsidRPr="000E52E2" w:rsidRDefault="006B3736" w:rsidP="001E291E">
      <w:pPr>
        <w:rPr>
          <w:rFonts w:eastAsia="Century"/>
        </w:rPr>
      </w:pPr>
    </w:p>
    <w:p w:rsidR="006B3736" w:rsidRPr="000E52E2" w:rsidRDefault="006B3736" w:rsidP="001E291E">
      <w:pPr>
        <w:pStyle w:val="Table"/>
        <w:rPr>
          <w:rFonts w:eastAsia="Georgia" w:cs="Georgia"/>
          <w:szCs w:val="18"/>
        </w:rPr>
      </w:pPr>
      <w:bookmarkStart w:id="51" w:name="_Toc446335198"/>
      <w:r w:rsidRPr="000E52E2">
        <w:t>Table 3: Grading and referral guidance for women with diabetes who are also pregnant</w:t>
      </w:r>
      <w:bookmarkEnd w:id="51"/>
    </w:p>
    <w:tbl>
      <w:tblPr>
        <w:tblW w:w="9356"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851"/>
        <w:gridCol w:w="1843"/>
        <w:gridCol w:w="2693"/>
        <w:gridCol w:w="3969"/>
      </w:tblGrid>
      <w:tr w:rsidR="006B3736" w:rsidRPr="001E291E" w:rsidTr="001E291E">
        <w:trPr>
          <w:cantSplit/>
        </w:trPr>
        <w:tc>
          <w:tcPr>
            <w:tcW w:w="851" w:type="dxa"/>
            <w:tcBorders>
              <w:top w:val="single" w:sz="4" w:space="0" w:color="auto"/>
              <w:bottom w:val="single" w:sz="4" w:space="0" w:color="auto"/>
            </w:tcBorders>
            <w:shd w:val="clear" w:color="auto" w:fill="auto"/>
          </w:tcPr>
          <w:p w:rsidR="006B3736" w:rsidRPr="001E291E" w:rsidRDefault="006B3736" w:rsidP="001E291E">
            <w:pPr>
              <w:pStyle w:val="TableText"/>
              <w:rPr>
                <w:rFonts w:eastAsia="Arial" w:cs="Arial"/>
                <w:b/>
                <w:szCs w:val="19"/>
              </w:rPr>
            </w:pPr>
            <w:r w:rsidRPr="001E291E">
              <w:rPr>
                <w:b/>
              </w:rPr>
              <w:t>Grade</w:t>
            </w:r>
          </w:p>
        </w:tc>
        <w:tc>
          <w:tcPr>
            <w:tcW w:w="1843" w:type="dxa"/>
            <w:tcBorders>
              <w:top w:val="single" w:sz="4" w:space="0" w:color="auto"/>
              <w:bottom w:val="single" w:sz="4" w:space="0" w:color="auto"/>
            </w:tcBorders>
            <w:shd w:val="clear" w:color="auto" w:fill="auto"/>
          </w:tcPr>
          <w:p w:rsidR="006B3736" w:rsidRPr="001E291E" w:rsidRDefault="006B3736" w:rsidP="001E291E">
            <w:pPr>
              <w:pStyle w:val="TableText"/>
              <w:rPr>
                <w:rFonts w:eastAsia="Arial" w:cs="Arial"/>
                <w:b/>
                <w:szCs w:val="19"/>
              </w:rPr>
            </w:pPr>
            <w:r w:rsidRPr="001E291E">
              <w:rPr>
                <w:b/>
              </w:rPr>
              <w:t>Brief description</w:t>
            </w:r>
          </w:p>
        </w:tc>
        <w:tc>
          <w:tcPr>
            <w:tcW w:w="2693" w:type="dxa"/>
            <w:tcBorders>
              <w:top w:val="single" w:sz="4" w:space="0" w:color="auto"/>
              <w:bottom w:val="single" w:sz="4" w:space="0" w:color="auto"/>
            </w:tcBorders>
            <w:shd w:val="clear" w:color="auto" w:fill="auto"/>
          </w:tcPr>
          <w:p w:rsidR="006B3736" w:rsidRPr="001E291E" w:rsidRDefault="006B3736" w:rsidP="001E291E">
            <w:pPr>
              <w:pStyle w:val="TableText"/>
              <w:rPr>
                <w:rFonts w:eastAsia="Arial" w:cs="Arial"/>
                <w:b/>
                <w:szCs w:val="19"/>
              </w:rPr>
            </w:pPr>
            <w:r w:rsidRPr="001E291E">
              <w:rPr>
                <w:b/>
              </w:rPr>
              <w:t>Clinical signs</w:t>
            </w:r>
          </w:p>
        </w:tc>
        <w:tc>
          <w:tcPr>
            <w:tcW w:w="3969" w:type="dxa"/>
            <w:tcBorders>
              <w:top w:val="single" w:sz="4" w:space="0" w:color="auto"/>
              <w:bottom w:val="single" w:sz="4" w:space="0" w:color="auto"/>
            </w:tcBorders>
            <w:shd w:val="clear" w:color="auto" w:fill="auto"/>
          </w:tcPr>
          <w:p w:rsidR="006B3736" w:rsidRPr="001E291E" w:rsidRDefault="006B3736" w:rsidP="001E291E">
            <w:pPr>
              <w:pStyle w:val="TableText"/>
              <w:rPr>
                <w:rFonts w:eastAsia="Arial" w:cs="Arial"/>
                <w:b/>
                <w:szCs w:val="19"/>
              </w:rPr>
            </w:pPr>
            <w:r w:rsidRPr="001E291E">
              <w:rPr>
                <w:b/>
              </w:rPr>
              <w:t>Outcome</w:t>
            </w:r>
          </w:p>
        </w:tc>
      </w:tr>
      <w:tr w:rsidR="006B3736" w:rsidRPr="000E52E2" w:rsidTr="00D2458B">
        <w:trPr>
          <w:cantSplit/>
        </w:trPr>
        <w:tc>
          <w:tcPr>
            <w:tcW w:w="851" w:type="dxa"/>
            <w:tcBorders>
              <w:top w:val="single" w:sz="4" w:space="0" w:color="auto"/>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P0</w:t>
            </w:r>
          </w:p>
        </w:tc>
        <w:tc>
          <w:tcPr>
            <w:tcW w:w="1843" w:type="dxa"/>
            <w:tcBorders>
              <w:top w:val="single" w:sz="4" w:space="0" w:color="auto"/>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No DR or macular disease</w:t>
            </w:r>
          </w:p>
        </w:tc>
        <w:tc>
          <w:tcPr>
            <w:tcW w:w="2693" w:type="dxa"/>
            <w:tcBorders>
              <w:top w:val="single" w:sz="4" w:space="0" w:color="auto"/>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No DR or macular disease (R0</w:t>
            </w:r>
            <w:r w:rsidR="001E291E">
              <w:t> </w:t>
            </w:r>
            <w:r w:rsidRPr="000E52E2">
              <w:t>M0).</w:t>
            </w:r>
          </w:p>
        </w:tc>
        <w:tc>
          <w:tcPr>
            <w:tcW w:w="3969" w:type="dxa"/>
            <w:tcBorders>
              <w:top w:val="single" w:sz="4" w:space="0" w:color="auto"/>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Continue 2- to 3-yearly screening.</w:t>
            </w:r>
          </w:p>
          <w:p w:rsidR="006B3736" w:rsidRPr="000E52E2" w:rsidRDefault="006B3736" w:rsidP="001E291E">
            <w:pPr>
              <w:pStyle w:val="TableText"/>
              <w:rPr>
                <w:rFonts w:eastAsia="Arial" w:cs="Arial"/>
                <w:szCs w:val="19"/>
              </w:rPr>
            </w:pPr>
            <w:r w:rsidRPr="000E52E2">
              <w:t>If clinical modifiers are present (see sections 1.4 and 4.1), retinal screen 3-monthly for the remainder of pregnancy.</w:t>
            </w:r>
          </w:p>
        </w:tc>
      </w:tr>
      <w:tr w:rsidR="006B3736" w:rsidRPr="000E52E2" w:rsidTr="00D2458B">
        <w:trPr>
          <w:cantSplit/>
        </w:trPr>
        <w:tc>
          <w:tcPr>
            <w:tcW w:w="851"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P1</w:t>
            </w:r>
          </w:p>
        </w:tc>
        <w:tc>
          <w:tcPr>
            <w:tcW w:w="1843"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Minimal</w:t>
            </w:r>
          </w:p>
        </w:tc>
        <w:tc>
          <w:tcPr>
            <w:tcW w:w="2693"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Minimal DR, no macular disease (R1 M0).</w:t>
            </w:r>
          </w:p>
        </w:tc>
        <w:tc>
          <w:tcPr>
            <w:tcW w:w="3969"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The retinal screening interval is a minimum of 3</w:t>
            </w:r>
            <w:r w:rsidR="001E291E">
              <w:noBreakHyphen/>
            </w:r>
            <w:r w:rsidRPr="000E52E2">
              <w:t>monthly for the remainder of the pregnancy.</w:t>
            </w:r>
          </w:p>
        </w:tc>
      </w:tr>
      <w:tr w:rsidR="006B3736" w:rsidRPr="000E52E2" w:rsidTr="00D2458B">
        <w:trPr>
          <w:cantSplit/>
        </w:trPr>
        <w:tc>
          <w:tcPr>
            <w:tcW w:w="851" w:type="dxa"/>
            <w:tcBorders>
              <w:top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P2</w:t>
            </w:r>
          </w:p>
        </w:tc>
        <w:tc>
          <w:tcPr>
            <w:tcW w:w="1843" w:type="dxa"/>
            <w:tcBorders>
              <w:top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&gt; Minimal</w:t>
            </w:r>
          </w:p>
        </w:tc>
        <w:tc>
          <w:tcPr>
            <w:tcW w:w="2693" w:type="dxa"/>
            <w:tcBorders>
              <w:top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More than minimal DR and/or macular disease (&gt; R1 &gt; M0).</w:t>
            </w:r>
          </w:p>
        </w:tc>
        <w:tc>
          <w:tcPr>
            <w:tcW w:w="3969" w:type="dxa"/>
            <w:tcBorders>
              <w:top w:val="single" w:sz="4" w:space="0" w:color="A6A6A6" w:themeColor="background1" w:themeShade="A6"/>
            </w:tcBorders>
            <w:shd w:val="clear" w:color="auto" w:fill="auto"/>
          </w:tcPr>
          <w:p w:rsidR="006B3736" w:rsidRPr="000E52E2" w:rsidRDefault="006B3736" w:rsidP="001E291E">
            <w:pPr>
              <w:pStyle w:val="TableText"/>
              <w:rPr>
                <w:rFonts w:eastAsia="Arial" w:cs="Arial"/>
                <w:szCs w:val="19"/>
              </w:rPr>
            </w:pPr>
            <w:r w:rsidRPr="000E52E2">
              <w:t>Urgent referral to an ophthalmologist</w:t>
            </w:r>
          </w:p>
        </w:tc>
      </w:tr>
    </w:tbl>
    <w:p w:rsidR="006B3736" w:rsidRDefault="006B3736" w:rsidP="001E291E">
      <w:pPr>
        <w:rPr>
          <w:rFonts w:eastAsia="Arial"/>
        </w:rPr>
      </w:pPr>
    </w:p>
    <w:p w:rsidR="001E291E" w:rsidRDefault="001E291E">
      <w:pPr>
        <w:spacing w:line="240" w:lineRule="auto"/>
        <w:rPr>
          <w:rFonts w:eastAsia="Arial"/>
        </w:rPr>
      </w:pPr>
      <w:r>
        <w:rPr>
          <w:rFonts w:eastAsia="Arial"/>
        </w:rPr>
        <w:br w:type="page"/>
      </w:r>
    </w:p>
    <w:p w:rsidR="006B3736" w:rsidRPr="000E52E2" w:rsidRDefault="001E291E" w:rsidP="001E291E">
      <w:pPr>
        <w:pStyle w:val="Heading1"/>
        <w:rPr>
          <w:bCs/>
        </w:rPr>
      </w:pPr>
      <w:bookmarkStart w:id="52" w:name="_Toc446335169"/>
      <w:r>
        <w:rPr>
          <w:rFonts w:eastAsia="Arial"/>
        </w:rPr>
        <w:lastRenderedPageBreak/>
        <w:t>8</w:t>
      </w:r>
      <w:r>
        <w:rPr>
          <w:rFonts w:eastAsia="Arial"/>
        </w:rPr>
        <w:tab/>
      </w:r>
      <w:bookmarkStart w:id="53" w:name="_TOC_250006"/>
      <w:r w:rsidR="006B3736" w:rsidRPr="000E52E2">
        <w:t>Diabetic retinal monitoring</w:t>
      </w:r>
      <w:bookmarkEnd w:id="52"/>
      <w:bookmarkEnd w:id="53"/>
    </w:p>
    <w:p w:rsidR="006B3736" w:rsidRPr="000E52E2" w:rsidRDefault="006B3736" w:rsidP="001E291E">
      <w:r w:rsidRPr="000E52E2">
        <w:t>Clinical training and scopes of practice for optometrists and nurse practitioners have changed since the Health Practitioners Competence Assurance Act 2003 was first introduced.</w:t>
      </w:r>
    </w:p>
    <w:p w:rsidR="006B3736" w:rsidRPr="000E52E2" w:rsidRDefault="006B3736" w:rsidP="001E291E">
      <w:pPr>
        <w:rPr>
          <w:rFonts w:eastAsia="Century"/>
        </w:rPr>
      </w:pPr>
    </w:p>
    <w:p w:rsidR="006B3736" w:rsidRPr="000E52E2" w:rsidRDefault="006B3736" w:rsidP="001E291E">
      <w:r w:rsidRPr="000E52E2">
        <w:t>Changes to clinical training, scopes of practice and the advent of new technologies, such as optical coherence tomography (OCT)</w:t>
      </w:r>
      <w:r w:rsidR="001E291E">
        <w:rPr>
          <w:rStyle w:val="FootnoteReference"/>
        </w:rPr>
        <w:footnoteReference w:id="3"/>
      </w:r>
      <w:r w:rsidRPr="000E52E2">
        <w:rPr>
          <w:sz w:val="11"/>
          <w:szCs w:val="11"/>
        </w:rPr>
        <w:t xml:space="preserve">3 </w:t>
      </w:r>
      <w:r w:rsidRPr="000E52E2">
        <w:t xml:space="preserve">and ultra-wide field imaging, mean that it is now possible to monitor patients who would otherwise need to be reviewed by an ophthalmologist in a structured </w:t>
      </w:r>
      <w:r w:rsidR="00464C89">
        <w:t>‘</w:t>
      </w:r>
      <w:r w:rsidRPr="000E52E2">
        <w:t>virtual clinic</w:t>
      </w:r>
      <w:r w:rsidR="00464C89">
        <w:t>’</w:t>
      </w:r>
      <w:r w:rsidRPr="000E52E2">
        <w:t>. Appendix D provides a Wellington region case study demonstrating how optometrists can be integrated into the DR screening pathway. If suitable clinicians and equipment are available, two groups of patients can be monitored this way. Those:</w:t>
      </w:r>
    </w:p>
    <w:p w:rsidR="006B3736" w:rsidRPr="000E52E2" w:rsidRDefault="006B3736" w:rsidP="001E291E">
      <w:pPr>
        <w:pStyle w:val="Bullet"/>
      </w:pPr>
      <w:r w:rsidRPr="000E52E2">
        <w:t>with moderate non-proliferative DR</w:t>
      </w:r>
    </w:p>
    <w:p w:rsidR="006B3736" w:rsidRPr="000E52E2" w:rsidRDefault="006B3736" w:rsidP="001E291E">
      <w:pPr>
        <w:pStyle w:val="Bullet"/>
      </w:pPr>
      <w:proofErr w:type="gramStart"/>
      <w:r w:rsidRPr="000E52E2">
        <w:t>who</w:t>
      </w:r>
      <w:proofErr w:type="gramEnd"/>
      <w:r w:rsidRPr="000E52E2">
        <w:t xml:space="preserve"> have quiescent (previously) treated proliferative DR and suspected diabetic </w:t>
      </w:r>
      <w:proofErr w:type="spellStart"/>
      <w:r w:rsidRPr="000E52E2">
        <w:t>maculopathy</w:t>
      </w:r>
      <w:proofErr w:type="spellEnd"/>
      <w:r w:rsidRPr="000E52E2">
        <w:t>.</w:t>
      </w:r>
    </w:p>
    <w:p w:rsidR="006B3736" w:rsidRPr="000E52E2" w:rsidRDefault="006B3736" w:rsidP="001E291E">
      <w:pPr>
        <w:rPr>
          <w:rFonts w:eastAsia="Century"/>
        </w:rPr>
      </w:pPr>
    </w:p>
    <w:p w:rsidR="006B3736" w:rsidRPr="000E52E2" w:rsidRDefault="006B3736" w:rsidP="001E291E">
      <w:r w:rsidRPr="000E52E2">
        <w:t xml:space="preserve">A </w:t>
      </w:r>
      <w:r w:rsidR="00464C89">
        <w:t>‘</w:t>
      </w:r>
      <w:r w:rsidRPr="000E52E2">
        <w:t>virtual clinic</w:t>
      </w:r>
      <w:r w:rsidR="00464C89">
        <w:t>’</w:t>
      </w:r>
      <w:r w:rsidRPr="000E52E2">
        <w:t xml:space="preserve"> could exist in either the primary or secondary health care setting, with approval and oversight by the designat</w:t>
      </w:r>
      <w:r w:rsidRPr="000E52E2">
        <w:t xml:space="preserve">ed </w:t>
      </w:r>
      <w:proofErr w:type="spellStart"/>
      <w:r w:rsidRPr="000E52E2">
        <w:t>opth</w:t>
      </w:r>
      <w:r w:rsidRPr="000E52E2">
        <w:t>almologist</w:t>
      </w:r>
      <w:proofErr w:type="spellEnd"/>
      <w:r w:rsidRPr="000E52E2">
        <w:t>. While not intending to be prescriptive, suggested DR monitoring pathways are provided in Appendix C.</w:t>
      </w:r>
    </w:p>
    <w:p w:rsidR="006B3736" w:rsidRPr="000E52E2" w:rsidRDefault="006B3736" w:rsidP="001E291E">
      <w:pPr>
        <w:rPr>
          <w:rFonts w:eastAsia="Century"/>
        </w:rPr>
      </w:pPr>
    </w:p>
    <w:p w:rsidR="006B3736" w:rsidRPr="000E52E2" w:rsidRDefault="006B3736" w:rsidP="001E291E">
      <w:pPr>
        <w:pStyle w:val="Figure"/>
        <w:rPr>
          <w:rFonts w:eastAsia="Georgia" w:cs="Georgia"/>
          <w:szCs w:val="18"/>
        </w:rPr>
      </w:pPr>
      <w:bookmarkStart w:id="54" w:name="_Toc446335205"/>
      <w:r w:rsidRPr="000E52E2">
        <w:t>Figure 2: Example optical coherence tomography image</w:t>
      </w:r>
      <w:bookmarkEnd w:id="54"/>
    </w:p>
    <w:p w:rsidR="006B3736" w:rsidRPr="001E291E" w:rsidRDefault="006B3736" w:rsidP="000E52E2">
      <w:pPr>
        <w:rPr>
          <w:rFonts w:eastAsia="Georgia"/>
        </w:rPr>
      </w:pPr>
      <w:r w:rsidRPr="000E52E2">
        <w:rPr>
          <w:rFonts w:eastAsia="Georgia" w:cs="Georgia"/>
          <w:noProof/>
          <w:sz w:val="20"/>
          <w:lang w:eastAsia="en-NZ"/>
        </w:rPr>
        <w:drawing>
          <wp:inline distT="0" distB="0" distL="0" distR="0" wp14:anchorId="3BD4718E" wp14:editId="6015176C">
            <wp:extent cx="3728836" cy="4069079"/>
            <wp:effectExtent l="0" t="0" r="5080" b="8255"/>
            <wp:docPr id="9" name="image7.jpeg" descr="optical coherence tomography image" title="Figure 2: Example optical coherence tomograph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2" cstate="print"/>
                    <a:stretch>
                      <a:fillRect/>
                    </a:stretch>
                  </pic:blipFill>
                  <pic:spPr>
                    <a:xfrm>
                      <a:off x="0" y="0"/>
                      <a:ext cx="3728836" cy="4069079"/>
                    </a:xfrm>
                    <a:prstGeom prst="rect">
                      <a:avLst/>
                    </a:prstGeom>
                  </pic:spPr>
                </pic:pic>
              </a:graphicData>
            </a:graphic>
          </wp:inline>
        </w:drawing>
      </w:r>
    </w:p>
    <w:p w:rsidR="006B3736" w:rsidRPr="000E52E2" w:rsidRDefault="006B3736" w:rsidP="001E291E">
      <w:pPr>
        <w:rPr>
          <w:rFonts w:eastAsia="Century"/>
        </w:rPr>
      </w:pPr>
    </w:p>
    <w:p w:rsidR="006B3736" w:rsidRPr="000E52E2" w:rsidRDefault="001E291E" w:rsidP="001E291E">
      <w:pPr>
        <w:pStyle w:val="Heading1"/>
        <w:rPr>
          <w:rFonts w:eastAsia="Century"/>
        </w:rPr>
      </w:pPr>
      <w:bookmarkStart w:id="55" w:name="_Toc446335170"/>
      <w:bookmarkStart w:id="56" w:name="_GoBack"/>
      <w:bookmarkEnd w:id="56"/>
      <w:r>
        <w:rPr>
          <w:rFonts w:eastAsia="Century"/>
        </w:rPr>
        <w:lastRenderedPageBreak/>
        <w:t>9</w:t>
      </w:r>
      <w:r>
        <w:rPr>
          <w:rFonts w:eastAsia="Century"/>
        </w:rPr>
        <w:tab/>
        <w:t>Clinical governa</w:t>
      </w:r>
      <w:r w:rsidR="00E61D6E">
        <w:rPr>
          <w:rFonts w:eastAsia="Century"/>
        </w:rPr>
        <w:t>n</w:t>
      </w:r>
      <w:r>
        <w:rPr>
          <w:rFonts w:eastAsia="Century"/>
        </w:rPr>
        <w:t>ce</w:t>
      </w:r>
      <w:bookmarkEnd w:id="55"/>
    </w:p>
    <w:p w:rsidR="006B3736" w:rsidRPr="000E52E2" w:rsidRDefault="006B3736" w:rsidP="001E291E">
      <w:r w:rsidRPr="000E52E2">
        <w:t>Each retinal screening service should have a clinical governance group that includes consumers and that has oversight of the retinal screening pathway and provides clinical governance. Such governance should include clinical and service level audits and oversight of reporting information, which would usually be done annually.</w:t>
      </w:r>
    </w:p>
    <w:p w:rsidR="006B3736" w:rsidRPr="000E52E2" w:rsidRDefault="006B3736" w:rsidP="001E291E">
      <w:pPr>
        <w:rPr>
          <w:rFonts w:eastAsia="Century"/>
        </w:rPr>
      </w:pPr>
    </w:p>
    <w:p w:rsidR="006B3736" w:rsidRPr="000E52E2" w:rsidRDefault="001E291E" w:rsidP="001E291E">
      <w:pPr>
        <w:pStyle w:val="Heading2"/>
        <w:rPr>
          <w:bCs/>
        </w:rPr>
      </w:pPr>
      <w:bookmarkStart w:id="57" w:name="_TOC_250004"/>
      <w:bookmarkStart w:id="58" w:name="_Toc446335171"/>
      <w:r>
        <w:t>9.1</w:t>
      </w:r>
      <w:r>
        <w:tab/>
      </w:r>
      <w:r w:rsidR="006B3736" w:rsidRPr="000E52E2">
        <w:t>Designated lead clinical advisor</w:t>
      </w:r>
      <w:bookmarkEnd w:id="57"/>
      <w:bookmarkEnd w:id="58"/>
    </w:p>
    <w:p w:rsidR="006B3736" w:rsidRPr="000E52E2" w:rsidRDefault="006B3736" w:rsidP="001E291E">
      <w:r w:rsidRPr="000E52E2">
        <w:t>Each DHB should appoint a designated lead clinical ophthalmologist as part of the multidisciplinary oversight group to be responsible for:</w:t>
      </w:r>
    </w:p>
    <w:p w:rsidR="006B3736" w:rsidRPr="000E52E2" w:rsidRDefault="006B3736" w:rsidP="001E291E">
      <w:pPr>
        <w:pStyle w:val="Bullet"/>
      </w:pPr>
      <w:r w:rsidRPr="000E52E2">
        <w:t>clinical oversight</w:t>
      </w:r>
    </w:p>
    <w:p w:rsidR="006B3736" w:rsidRPr="000E52E2" w:rsidRDefault="006B3736" w:rsidP="001E291E">
      <w:pPr>
        <w:pStyle w:val="Bullet"/>
      </w:pPr>
      <w:r w:rsidRPr="000E52E2">
        <w:t>providing clinical advice</w:t>
      </w:r>
    </w:p>
    <w:p w:rsidR="006B3736" w:rsidRPr="000E52E2" w:rsidRDefault="006B3736" w:rsidP="001E291E">
      <w:pPr>
        <w:pStyle w:val="Bullet"/>
      </w:pPr>
      <w:r w:rsidRPr="000E52E2">
        <w:t>assuring retinal screening quality</w:t>
      </w:r>
    </w:p>
    <w:p w:rsidR="006B3736" w:rsidRPr="000E52E2" w:rsidRDefault="006B3736" w:rsidP="001E291E">
      <w:pPr>
        <w:pStyle w:val="Bullet"/>
      </w:pPr>
      <w:proofErr w:type="gramStart"/>
      <w:r w:rsidRPr="000E52E2">
        <w:t>assessing</w:t>
      </w:r>
      <w:proofErr w:type="gramEnd"/>
      <w:r w:rsidRPr="000E52E2">
        <w:t xml:space="preserve"> performance, including assessing </w:t>
      </w:r>
      <w:r w:rsidR="00464C89">
        <w:t>‘</w:t>
      </w:r>
      <w:r w:rsidRPr="000E52E2">
        <w:t>near misses</w:t>
      </w:r>
      <w:r w:rsidR="00464C89">
        <w:t>’</w:t>
      </w:r>
      <w:r w:rsidR="001E291E">
        <w:rPr>
          <w:rStyle w:val="FootnoteReference"/>
        </w:rPr>
        <w:footnoteReference w:id="4"/>
      </w:r>
      <w:r w:rsidR="001E291E">
        <w:t xml:space="preserve"> </w:t>
      </w:r>
      <w:r w:rsidRPr="000E52E2">
        <w:t>and approving and endorsing training and accreditation.</w:t>
      </w:r>
    </w:p>
    <w:p w:rsidR="006B3736" w:rsidRPr="000E52E2" w:rsidRDefault="006B3736" w:rsidP="001E291E">
      <w:pPr>
        <w:rPr>
          <w:rFonts w:eastAsia="Century"/>
        </w:rPr>
      </w:pPr>
    </w:p>
    <w:p w:rsidR="006B3736" w:rsidRPr="000E52E2" w:rsidRDefault="001E291E" w:rsidP="001E291E">
      <w:pPr>
        <w:pStyle w:val="Heading2"/>
        <w:rPr>
          <w:bCs/>
        </w:rPr>
      </w:pPr>
      <w:bookmarkStart w:id="59" w:name="_TOC_250003"/>
      <w:bookmarkStart w:id="60" w:name="_Toc446335172"/>
      <w:r>
        <w:t>9.2</w:t>
      </w:r>
      <w:r>
        <w:tab/>
      </w:r>
      <w:r w:rsidR="006B3736" w:rsidRPr="000E52E2">
        <w:t>Retinal screening manager/coordinator</w:t>
      </w:r>
      <w:bookmarkEnd w:id="59"/>
      <w:bookmarkEnd w:id="60"/>
    </w:p>
    <w:p w:rsidR="006B3736" w:rsidRPr="000E52E2" w:rsidRDefault="006B3736" w:rsidP="001E291E">
      <w:r w:rsidRPr="000E52E2">
        <w:t>Within each regional retinal screening service, there should be a designated manager/</w:t>
      </w:r>
      <w:r w:rsidR="001E291E">
        <w:t xml:space="preserve"> </w:t>
      </w:r>
      <w:r w:rsidRPr="000E52E2">
        <w:t xml:space="preserve">coordinator who </w:t>
      </w:r>
      <w:proofErr w:type="gramStart"/>
      <w:r w:rsidRPr="000E52E2">
        <w:t>is</w:t>
      </w:r>
      <w:proofErr w:type="gramEnd"/>
      <w:r w:rsidRPr="000E52E2">
        <w:t xml:space="preserve"> responsible for:</w:t>
      </w:r>
    </w:p>
    <w:p w:rsidR="006B3736" w:rsidRPr="000E52E2" w:rsidRDefault="006B3736" w:rsidP="001E291E">
      <w:pPr>
        <w:pStyle w:val="Bullet"/>
      </w:pPr>
      <w:r w:rsidRPr="000E52E2">
        <w:t>managing and providing services</w:t>
      </w:r>
    </w:p>
    <w:p w:rsidR="006B3736" w:rsidRPr="000E52E2" w:rsidRDefault="006B3736" w:rsidP="001E291E">
      <w:pPr>
        <w:pStyle w:val="Bullet"/>
      </w:pPr>
      <w:r w:rsidRPr="000E52E2">
        <w:t>operational oversight of referrals and associated care pathways</w:t>
      </w:r>
    </w:p>
    <w:p w:rsidR="006B3736" w:rsidRPr="000E52E2" w:rsidRDefault="006B3736" w:rsidP="001E291E">
      <w:pPr>
        <w:pStyle w:val="Bullet"/>
      </w:pPr>
      <w:r w:rsidRPr="000E52E2">
        <w:t>communicating with primary health care stakeholders</w:t>
      </w:r>
    </w:p>
    <w:p w:rsidR="006B3736" w:rsidRPr="000E52E2" w:rsidRDefault="006B3736" w:rsidP="001E291E">
      <w:pPr>
        <w:pStyle w:val="Bullet"/>
      </w:pPr>
      <w:proofErr w:type="gramStart"/>
      <w:r w:rsidRPr="000E52E2">
        <w:t>communicating</w:t>
      </w:r>
      <w:proofErr w:type="gramEnd"/>
      <w:r w:rsidRPr="000E52E2">
        <w:t xml:space="preserve"> with ophthalmology clinics.</w:t>
      </w:r>
    </w:p>
    <w:p w:rsidR="006B3736" w:rsidRPr="000E52E2" w:rsidRDefault="006B3736" w:rsidP="001E291E">
      <w:pPr>
        <w:rPr>
          <w:rFonts w:eastAsia="Century"/>
        </w:rPr>
      </w:pPr>
    </w:p>
    <w:p w:rsidR="006B3736" w:rsidRPr="000E52E2" w:rsidRDefault="001E291E" w:rsidP="001E291E">
      <w:pPr>
        <w:pStyle w:val="Heading2"/>
        <w:rPr>
          <w:bCs/>
        </w:rPr>
      </w:pPr>
      <w:bookmarkStart w:id="61" w:name="_TOC_250002"/>
      <w:bookmarkStart w:id="62" w:name="_Toc446335173"/>
      <w:r>
        <w:t>9.3</w:t>
      </w:r>
      <w:r>
        <w:tab/>
      </w:r>
      <w:r w:rsidR="006B3736" w:rsidRPr="000E52E2">
        <w:t>Professional competency</w:t>
      </w:r>
      <w:bookmarkEnd w:id="61"/>
      <w:bookmarkEnd w:id="62"/>
    </w:p>
    <w:p w:rsidR="006B3736" w:rsidRPr="000E52E2" w:rsidRDefault="006B3736" w:rsidP="001E291E">
      <w:r w:rsidRPr="000E52E2">
        <w:t>All health practitioners providing retinal screening must participate in professional quality assurance activities, including a peer-review process. They should hold a current practising certificate from their respective professional body and be approved or accredited by the designated lead clinical advisor for retinal screening. Any retinal screening technician who does not have a practising certificate must be supervised. Anyone delivering retinal screening should have retinal screening defined within their scope of practice.</w:t>
      </w:r>
    </w:p>
    <w:p w:rsidR="006B3736" w:rsidRPr="000E52E2" w:rsidRDefault="006B3736" w:rsidP="001E291E">
      <w:pPr>
        <w:rPr>
          <w:rFonts w:eastAsia="Century"/>
        </w:rPr>
      </w:pPr>
    </w:p>
    <w:p w:rsidR="006B3736" w:rsidRPr="000E52E2" w:rsidRDefault="006B3736" w:rsidP="001E291E">
      <w:r w:rsidRPr="000E52E2">
        <w:t xml:space="preserve">Photography, grading, slit-lamp </w:t>
      </w:r>
      <w:proofErr w:type="spellStart"/>
      <w:r w:rsidRPr="000E52E2">
        <w:t>biomicroscopy</w:t>
      </w:r>
      <w:proofErr w:type="spellEnd"/>
      <w:r w:rsidRPr="000E52E2">
        <w:t xml:space="preserve"> and OCT should be undertaken by a retinal-screener clinician (optometrist, ophthalmologist, registered nurse or trained technician, as required) (Looker et al 2013; </w:t>
      </w:r>
      <w:proofErr w:type="spellStart"/>
      <w:r w:rsidRPr="000E52E2">
        <w:t>Donaghue</w:t>
      </w:r>
      <w:proofErr w:type="spellEnd"/>
      <w:r w:rsidRPr="000E52E2">
        <w:t xml:space="preserve"> et al 2014). The level of work that clinician or technician should undertake depends on their competency and skill level.</w:t>
      </w:r>
    </w:p>
    <w:p w:rsidR="006B3736" w:rsidRPr="000E52E2" w:rsidRDefault="006B3736" w:rsidP="001E291E">
      <w:pPr>
        <w:rPr>
          <w:rFonts w:eastAsia="Century"/>
        </w:rPr>
      </w:pPr>
    </w:p>
    <w:p w:rsidR="006B3736" w:rsidRPr="000E52E2" w:rsidRDefault="001E291E" w:rsidP="001E291E">
      <w:pPr>
        <w:pStyle w:val="Heading2"/>
        <w:rPr>
          <w:bCs/>
        </w:rPr>
      </w:pPr>
      <w:bookmarkStart w:id="63" w:name="_TOC_250001"/>
      <w:bookmarkStart w:id="64" w:name="_Toc446335174"/>
      <w:r>
        <w:lastRenderedPageBreak/>
        <w:t>9.4</w:t>
      </w:r>
      <w:r>
        <w:tab/>
      </w:r>
      <w:r w:rsidR="006B3736" w:rsidRPr="000E52E2">
        <w:t>Service review</w:t>
      </w:r>
      <w:bookmarkEnd w:id="63"/>
      <w:bookmarkEnd w:id="64"/>
    </w:p>
    <w:p w:rsidR="006B3736" w:rsidRPr="000E52E2" w:rsidRDefault="006B3736" w:rsidP="001E291E">
      <w:r w:rsidRPr="000E52E2">
        <w:t xml:space="preserve">The designated lead clinical advisor and/or retinal screening manager/coordinator must </w:t>
      </w:r>
      <w:proofErr w:type="gramStart"/>
      <w:r w:rsidRPr="000E52E2">
        <w:t>appraise</w:t>
      </w:r>
      <w:proofErr w:type="gramEnd"/>
      <w:r w:rsidRPr="000E52E2">
        <w:t xml:space="preserve"> the clinician or technician who delivers retinal screening annually. The annual appraisal should include reviewing the number of patients the person has screened over the previous 12 months and evidence of their clinical audit and/or quality assurance activities in the area of retinal screening.</w:t>
      </w:r>
    </w:p>
    <w:p w:rsidR="006B3736" w:rsidRPr="000E52E2" w:rsidRDefault="006B3736" w:rsidP="001E291E">
      <w:pPr>
        <w:rPr>
          <w:rFonts w:eastAsia="Century"/>
        </w:rPr>
      </w:pPr>
    </w:p>
    <w:p w:rsidR="006B3736" w:rsidRPr="000E52E2" w:rsidRDefault="001E291E" w:rsidP="001E291E">
      <w:pPr>
        <w:pStyle w:val="Heading2"/>
        <w:rPr>
          <w:bCs/>
        </w:rPr>
      </w:pPr>
      <w:bookmarkStart w:id="65" w:name="_TOC_250000"/>
      <w:bookmarkStart w:id="66" w:name="_Toc446335175"/>
      <w:r>
        <w:t>9.5</w:t>
      </w:r>
      <w:r>
        <w:tab/>
      </w:r>
      <w:r w:rsidR="006B3736" w:rsidRPr="000E52E2">
        <w:t>Quality assurance requirements</w:t>
      </w:r>
      <w:bookmarkEnd w:id="65"/>
      <w:bookmarkEnd w:id="66"/>
    </w:p>
    <w:p w:rsidR="006B3736" w:rsidRPr="000E52E2" w:rsidRDefault="006B3736" w:rsidP="001E291E">
      <w:r w:rsidRPr="000E52E2">
        <w:t xml:space="preserve">Each regional retinal screening service must complete an annual report with the Ministry of Health. The report should include the following mandatory and recommended retinal </w:t>
      </w:r>
      <w:proofErr w:type="gramStart"/>
      <w:r w:rsidRPr="000E52E2">
        <w:t>screening,</w:t>
      </w:r>
      <w:proofErr w:type="gramEnd"/>
      <w:r w:rsidRPr="000E52E2">
        <w:t xml:space="preserve"> grading and monitoring indicators (refer to Appendix E for definitions). Include:</w:t>
      </w:r>
    </w:p>
    <w:p w:rsidR="006B3736" w:rsidRPr="000E52E2" w:rsidRDefault="001E291E" w:rsidP="001E291E">
      <w:pPr>
        <w:spacing w:before="90"/>
        <w:ind w:left="567" w:hanging="567"/>
      </w:pPr>
      <w:r>
        <w:t>1.</w:t>
      </w:r>
      <w:r>
        <w:tab/>
      </w:r>
      <w:proofErr w:type="gramStart"/>
      <w:r w:rsidR="006B3736" w:rsidRPr="000E52E2">
        <w:t>screened</w:t>
      </w:r>
      <w:proofErr w:type="gramEnd"/>
      <w:r w:rsidR="006B3736" w:rsidRPr="000E52E2">
        <w:t xml:space="preserve"> population demographic data</w:t>
      </w:r>
    </w:p>
    <w:p w:rsidR="006B3736" w:rsidRPr="000E52E2" w:rsidRDefault="001E291E" w:rsidP="001E291E">
      <w:pPr>
        <w:spacing w:before="90"/>
        <w:ind w:left="567" w:hanging="567"/>
      </w:pPr>
      <w:r>
        <w:t>2.</w:t>
      </w:r>
      <w:r>
        <w:tab/>
      </w:r>
      <w:proofErr w:type="gramStart"/>
      <w:r w:rsidR="006B3736" w:rsidRPr="000E52E2">
        <w:t>the</w:t>
      </w:r>
      <w:proofErr w:type="gramEnd"/>
      <w:r w:rsidR="006B3736" w:rsidRPr="000E52E2">
        <w:t xml:space="preserve"> proportion of people with diabetes screened each year</w:t>
      </w:r>
    </w:p>
    <w:p w:rsidR="006B3736" w:rsidRPr="000E52E2" w:rsidRDefault="001E291E" w:rsidP="001E291E">
      <w:pPr>
        <w:spacing w:before="90"/>
        <w:ind w:left="567" w:hanging="567"/>
      </w:pPr>
      <w:r>
        <w:t>3.</w:t>
      </w:r>
      <w:r>
        <w:tab/>
      </w:r>
      <w:proofErr w:type="gramStart"/>
      <w:r w:rsidR="006B3736" w:rsidRPr="000E52E2">
        <w:t>timely</w:t>
      </w:r>
      <w:proofErr w:type="gramEnd"/>
      <w:r w:rsidR="006B3736" w:rsidRPr="000E52E2">
        <w:t xml:space="preserve"> assessment of risk for people newly diagnosed with type 2 diabetes</w:t>
      </w:r>
    </w:p>
    <w:p w:rsidR="006B3736" w:rsidRPr="000E52E2" w:rsidRDefault="001E291E" w:rsidP="001E291E">
      <w:pPr>
        <w:spacing w:before="90"/>
        <w:ind w:left="567" w:hanging="567"/>
      </w:pPr>
      <w:r>
        <w:t>4.</w:t>
      </w:r>
      <w:r>
        <w:tab/>
      </w:r>
      <w:proofErr w:type="gramStart"/>
      <w:r w:rsidR="006B3736" w:rsidRPr="000E52E2">
        <w:t>the</w:t>
      </w:r>
      <w:proofErr w:type="gramEnd"/>
      <w:r w:rsidR="006B3736" w:rsidRPr="000E52E2">
        <w:t xml:space="preserve"> proportion of sight-threatening DR at first presentation</w:t>
      </w:r>
    </w:p>
    <w:p w:rsidR="006B3736" w:rsidRPr="000E52E2" w:rsidRDefault="001E291E" w:rsidP="001E291E">
      <w:pPr>
        <w:spacing w:before="90"/>
        <w:ind w:left="567" w:hanging="567"/>
      </w:pPr>
      <w:r>
        <w:t>5.</w:t>
      </w:r>
      <w:r>
        <w:tab/>
      </w:r>
      <w:proofErr w:type="gramStart"/>
      <w:r w:rsidR="006B3736" w:rsidRPr="000E52E2">
        <w:t>an</w:t>
      </w:r>
      <w:proofErr w:type="gramEnd"/>
      <w:r w:rsidR="006B3736" w:rsidRPr="000E52E2">
        <w:t xml:space="preserve"> assessment of the screening process</w:t>
      </w:r>
    </w:p>
    <w:p w:rsidR="006B3736" w:rsidRPr="000E52E2" w:rsidRDefault="001E291E" w:rsidP="001E291E">
      <w:pPr>
        <w:spacing w:before="90"/>
        <w:ind w:left="567" w:hanging="567"/>
      </w:pPr>
      <w:r>
        <w:t>6.</w:t>
      </w:r>
      <w:r>
        <w:tab/>
      </w:r>
      <w:proofErr w:type="gramStart"/>
      <w:r w:rsidR="006B3736" w:rsidRPr="000E52E2">
        <w:t>outcome</w:t>
      </w:r>
      <w:proofErr w:type="gramEnd"/>
      <w:r w:rsidR="006B3736" w:rsidRPr="000E52E2">
        <w:t xml:space="preserve"> grades</w:t>
      </w:r>
    </w:p>
    <w:p w:rsidR="006B3736" w:rsidRPr="000E52E2" w:rsidRDefault="001E291E" w:rsidP="001E291E">
      <w:pPr>
        <w:spacing w:before="90"/>
        <w:ind w:left="567" w:hanging="567"/>
      </w:pPr>
      <w:r>
        <w:t>7.</w:t>
      </w:r>
      <w:r>
        <w:tab/>
      </w:r>
      <w:proofErr w:type="gramStart"/>
      <w:r w:rsidR="006B3736" w:rsidRPr="000E52E2">
        <w:t>the</w:t>
      </w:r>
      <w:proofErr w:type="gramEnd"/>
      <w:r w:rsidR="006B3736" w:rsidRPr="000E52E2">
        <w:t xml:space="preserve"> retinal screening programme quality (additional DHB reporting)</w:t>
      </w:r>
    </w:p>
    <w:p w:rsidR="006B3736" w:rsidRPr="000E52E2" w:rsidRDefault="001E291E" w:rsidP="001E291E">
      <w:pPr>
        <w:spacing w:before="90"/>
        <w:ind w:left="567" w:hanging="567"/>
      </w:pPr>
      <w:r>
        <w:t>8.</w:t>
      </w:r>
      <w:r>
        <w:tab/>
      </w:r>
      <w:proofErr w:type="gramStart"/>
      <w:r w:rsidR="006B3736" w:rsidRPr="000E52E2">
        <w:t>validity</w:t>
      </w:r>
      <w:proofErr w:type="gramEnd"/>
      <w:r w:rsidR="006B3736" w:rsidRPr="000E52E2">
        <w:t xml:space="preserve"> measures (national or regional level, beyond the screening programme).</w:t>
      </w:r>
    </w:p>
    <w:p w:rsidR="006B3736" w:rsidRDefault="006B3736" w:rsidP="001E291E"/>
    <w:p w:rsidR="001E291E" w:rsidRDefault="001E291E">
      <w:pPr>
        <w:spacing w:line="240" w:lineRule="auto"/>
      </w:pPr>
      <w:r>
        <w:br w:type="page"/>
      </w:r>
    </w:p>
    <w:p w:rsidR="006B3736" w:rsidRPr="000E52E2" w:rsidRDefault="006B3736" w:rsidP="001E291E">
      <w:pPr>
        <w:pStyle w:val="Heading1"/>
        <w:ind w:left="0" w:firstLine="0"/>
        <w:rPr>
          <w:rFonts w:eastAsia="Georgia" w:cs="Georgia"/>
          <w:szCs w:val="50"/>
        </w:rPr>
      </w:pPr>
      <w:bookmarkStart w:id="67" w:name="_Toc446335176"/>
      <w:r w:rsidRPr="000E52E2">
        <w:lastRenderedPageBreak/>
        <w:t>Appendix A: Progression of diabetic retinopathy</w:t>
      </w:r>
      <w:bookmarkEnd w:id="67"/>
    </w:p>
    <w:p w:rsidR="006B3736" w:rsidRPr="000E52E2" w:rsidRDefault="006B3736" w:rsidP="001E291E">
      <w:pPr>
        <w:pStyle w:val="Table"/>
        <w:rPr>
          <w:rFonts w:eastAsia="Georgia" w:cs="Georgia"/>
          <w:szCs w:val="18"/>
        </w:rPr>
      </w:pPr>
      <w:bookmarkStart w:id="68" w:name="_Toc446335199"/>
      <w:r w:rsidRPr="000E52E2">
        <w:t>Table A: Guide to the rate of progression of disease</w:t>
      </w:r>
      <w:bookmarkEnd w:id="68"/>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701"/>
        <w:gridCol w:w="3741"/>
        <w:gridCol w:w="964"/>
        <w:gridCol w:w="965"/>
        <w:gridCol w:w="992"/>
        <w:gridCol w:w="993"/>
      </w:tblGrid>
      <w:tr w:rsidR="006B3736" w:rsidRPr="001E291E" w:rsidTr="009418CB">
        <w:trPr>
          <w:cantSplit/>
        </w:trPr>
        <w:tc>
          <w:tcPr>
            <w:tcW w:w="1701" w:type="dxa"/>
            <w:vMerge w:val="restart"/>
            <w:tcBorders>
              <w:top w:val="single" w:sz="4" w:space="0" w:color="auto"/>
              <w:bottom w:val="nil"/>
            </w:tcBorders>
            <w:shd w:val="clear" w:color="auto" w:fill="auto"/>
          </w:tcPr>
          <w:p w:rsidR="006B3736" w:rsidRPr="001E291E" w:rsidRDefault="006B3736" w:rsidP="001E291E">
            <w:pPr>
              <w:pStyle w:val="TableText"/>
              <w:rPr>
                <w:rFonts w:eastAsia="Arial" w:cs="Arial"/>
                <w:b/>
                <w:szCs w:val="19"/>
              </w:rPr>
            </w:pPr>
            <w:r w:rsidRPr="001E291E">
              <w:rPr>
                <w:b/>
              </w:rPr>
              <w:t>Retinopathy stage</w:t>
            </w:r>
          </w:p>
        </w:tc>
        <w:tc>
          <w:tcPr>
            <w:tcW w:w="3741" w:type="dxa"/>
            <w:vMerge w:val="restart"/>
            <w:tcBorders>
              <w:top w:val="single" w:sz="4" w:space="0" w:color="auto"/>
              <w:bottom w:val="nil"/>
              <w:right w:val="single" w:sz="4" w:space="0" w:color="A6A6A6" w:themeColor="background1" w:themeShade="A6"/>
            </w:tcBorders>
            <w:shd w:val="clear" w:color="auto" w:fill="auto"/>
          </w:tcPr>
          <w:p w:rsidR="006B3736" w:rsidRPr="001E291E" w:rsidRDefault="006B3736" w:rsidP="001E291E">
            <w:pPr>
              <w:pStyle w:val="TableText"/>
              <w:rPr>
                <w:rFonts w:eastAsia="Arial" w:cs="Arial"/>
                <w:b/>
                <w:szCs w:val="19"/>
              </w:rPr>
            </w:pPr>
            <w:r w:rsidRPr="001E291E">
              <w:rPr>
                <w:b/>
              </w:rPr>
              <w:t>Definition</w:t>
            </w:r>
          </w:p>
        </w:tc>
        <w:tc>
          <w:tcPr>
            <w:tcW w:w="3914" w:type="dxa"/>
            <w:gridSpan w:val="4"/>
            <w:tcBorders>
              <w:top w:val="single" w:sz="4" w:space="0" w:color="auto"/>
              <w:left w:val="single" w:sz="4" w:space="0" w:color="A6A6A6" w:themeColor="background1" w:themeShade="A6"/>
              <w:bottom w:val="single" w:sz="4" w:space="0" w:color="A6A6A6" w:themeColor="background1" w:themeShade="A6"/>
            </w:tcBorders>
            <w:shd w:val="clear" w:color="auto" w:fill="auto"/>
          </w:tcPr>
          <w:p w:rsidR="006B3736" w:rsidRPr="001E291E" w:rsidRDefault="006B3736" w:rsidP="009418CB">
            <w:pPr>
              <w:pStyle w:val="TableText"/>
              <w:jc w:val="center"/>
              <w:rPr>
                <w:rFonts w:eastAsia="Arial" w:cs="Arial"/>
                <w:b/>
                <w:szCs w:val="19"/>
              </w:rPr>
            </w:pPr>
            <w:r w:rsidRPr="001E291E">
              <w:rPr>
                <w:b/>
              </w:rPr>
              <w:t>Rate of progression (%)</w:t>
            </w:r>
          </w:p>
        </w:tc>
      </w:tr>
      <w:tr w:rsidR="006B3736" w:rsidRPr="001E291E" w:rsidTr="009418CB">
        <w:trPr>
          <w:cantSplit/>
        </w:trPr>
        <w:tc>
          <w:tcPr>
            <w:tcW w:w="1701" w:type="dxa"/>
            <w:vMerge/>
            <w:tcBorders>
              <w:top w:val="nil"/>
              <w:bottom w:val="nil"/>
            </w:tcBorders>
            <w:shd w:val="clear" w:color="auto" w:fill="auto"/>
          </w:tcPr>
          <w:p w:rsidR="006B3736" w:rsidRPr="001E291E" w:rsidRDefault="006B3736" w:rsidP="001E291E">
            <w:pPr>
              <w:pStyle w:val="TableText"/>
              <w:rPr>
                <w:b/>
              </w:rPr>
            </w:pPr>
          </w:p>
        </w:tc>
        <w:tc>
          <w:tcPr>
            <w:tcW w:w="3741" w:type="dxa"/>
            <w:vMerge/>
            <w:tcBorders>
              <w:top w:val="nil"/>
              <w:bottom w:val="nil"/>
              <w:right w:val="single" w:sz="4" w:space="0" w:color="A6A6A6" w:themeColor="background1" w:themeShade="A6"/>
            </w:tcBorders>
            <w:shd w:val="clear" w:color="auto" w:fill="auto"/>
          </w:tcPr>
          <w:p w:rsidR="006B3736" w:rsidRPr="001E291E" w:rsidRDefault="006B3736" w:rsidP="001E291E">
            <w:pPr>
              <w:pStyle w:val="TableText"/>
              <w:rPr>
                <w:b/>
              </w:rPr>
            </w:pPr>
          </w:p>
        </w:tc>
        <w:tc>
          <w:tcPr>
            <w:tcW w:w="19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B3736" w:rsidRPr="001E291E" w:rsidRDefault="006B3736" w:rsidP="009418CB">
            <w:pPr>
              <w:pStyle w:val="TableText"/>
              <w:jc w:val="center"/>
              <w:rPr>
                <w:rFonts w:eastAsia="Arial" w:cs="Arial"/>
                <w:b/>
                <w:szCs w:val="19"/>
              </w:rPr>
            </w:pPr>
            <w:r w:rsidRPr="001E291E">
              <w:rPr>
                <w:b/>
              </w:rPr>
              <w:t>To PDR</w:t>
            </w:r>
          </w:p>
        </w:tc>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6B3736" w:rsidRPr="001E291E" w:rsidRDefault="006B3736" w:rsidP="009418CB">
            <w:pPr>
              <w:pStyle w:val="TableText"/>
              <w:jc w:val="center"/>
              <w:rPr>
                <w:rFonts w:eastAsia="Arial" w:cs="Arial"/>
                <w:b/>
                <w:szCs w:val="19"/>
              </w:rPr>
            </w:pPr>
            <w:r w:rsidRPr="001E291E">
              <w:rPr>
                <w:b/>
              </w:rPr>
              <w:t>To referable disease</w:t>
            </w:r>
          </w:p>
        </w:tc>
      </w:tr>
      <w:tr w:rsidR="006B3736" w:rsidRPr="001E291E" w:rsidTr="009418CB">
        <w:trPr>
          <w:cantSplit/>
        </w:trPr>
        <w:tc>
          <w:tcPr>
            <w:tcW w:w="1701" w:type="dxa"/>
            <w:vMerge/>
            <w:tcBorders>
              <w:top w:val="nil"/>
              <w:bottom w:val="single" w:sz="4" w:space="0" w:color="auto"/>
            </w:tcBorders>
            <w:shd w:val="clear" w:color="auto" w:fill="auto"/>
          </w:tcPr>
          <w:p w:rsidR="006B3736" w:rsidRPr="001E291E" w:rsidRDefault="006B3736" w:rsidP="001E291E">
            <w:pPr>
              <w:pStyle w:val="TableText"/>
              <w:rPr>
                <w:b/>
              </w:rPr>
            </w:pPr>
          </w:p>
        </w:tc>
        <w:tc>
          <w:tcPr>
            <w:tcW w:w="3741" w:type="dxa"/>
            <w:vMerge/>
            <w:tcBorders>
              <w:top w:val="nil"/>
              <w:bottom w:val="single" w:sz="4" w:space="0" w:color="auto"/>
              <w:right w:val="single" w:sz="4" w:space="0" w:color="A6A6A6" w:themeColor="background1" w:themeShade="A6"/>
            </w:tcBorders>
            <w:shd w:val="clear" w:color="auto" w:fill="auto"/>
          </w:tcPr>
          <w:p w:rsidR="006B3736" w:rsidRPr="001E291E" w:rsidRDefault="006B3736" w:rsidP="001E291E">
            <w:pPr>
              <w:pStyle w:val="TableText"/>
              <w:rPr>
                <w:b/>
              </w:rPr>
            </w:pPr>
          </w:p>
        </w:tc>
        <w:tc>
          <w:tcPr>
            <w:tcW w:w="964"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rsidR="006B3736" w:rsidRPr="001E291E" w:rsidRDefault="006B3736" w:rsidP="009418CB">
            <w:pPr>
              <w:pStyle w:val="TableText"/>
              <w:jc w:val="center"/>
              <w:rPr>
                <w:rFonts w:eastAsia="Arial" w:cs="Arial"/>
                <w:b/>
                <w:szCs w:val="19"/>
              </w:rPr>
            </w:pPr>
            <w:r w:rsidRPr="001E291E">
              <w:rPr>
                <w:b/>
              </w:rPr>
              <w:t>1 year</w:t>
            </w:r>
          </w:p>
        </w:tc>
        <w:tc>
          <w:tcPr>
            <w:tcW w:w="965"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rsidR="006B3736" w:rsidRPr="001E291E" w:rsidRDefault="006B3736" w:rsidP="009418CB">
            <w:pPr>
              <w:pStyle w:val="TableText"/>
              <w:jc w:val="center"/>
              <w:rPr>
                <w:rFonts w:eastAsia="Arial" w:cs="Arial"/>
                <w:b/>
                <w:szCs w:val="19"/>
              </w:rPr>
            </w:pPr>
            <w:r w:rsidRPr="001E291E">
              <w:rPr>
                <w:b/>
              </w:rPr>
              <w:t>3 years</w:t>
            </w:r>
          </w:p>
        </w:tc>
        <w:tc>
          <w:tcPr>
            <w:tcW w:w="992"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rsidR="006B3736" w:rsidRPr="001E291E" w:rsidRDefault="006B3736" w:rsidP="009418CB">
            <w:pPr>
              <w:pStyle w:val="TableText"/>
              <w:jc w:val="center"/>
              <w:rPr>
                <w:rFonts w:eastAsia="Arial" w:cs="Arial"/>
                <w:b/>
                <w:szCs w:val="19"/>
              </w:rPr>
            </w:pPr>
            <w:r w:rsidRPr="001E291E">
              <w:rPr>
                <w:b/>
              </w:rPr>
              <w:t>1 year</w:t>
            </w:r>
          </w:p>
        </w:tc>
        <w:tc>
          <w:tcPr>
            <w:tcW w:w="993" w:type="dxa"/>
            <w:tcBorders>
              <w:top w:val="single" w:sz="4" w:space="0" w:color="A6A6A6" w:themeColor="background1" w:themeShade="A6"/>
              <w:bottom w:val="single" w:sz="4" w:space="0" w:color="auto"/>
            </w:tcBorders>
            <w:shd w:val="clear" w:color="auto" w:fill="auto"/>
          </w:tcPr>
          <w:p w:rsidR="006B3736" w:rsidRPr="001E291E" w:rsidRDefault="006B3736" w:rsidP="009418CB">
            <w:pPr>
              <w:pStyle w:val="TableText"/>
              <w:jc w:val="center"/>
              <w:rPr>
                <w:rFonts w:eastAsia="Arial" w:cs="Arial"/>
                <w:b/>
                <w:szCs w:val="19"/>
              </w:rPr>
            </w:pPr>
            <w:r w:rsidRPr="001E291E">
              <w:rPr>
                <w:b/>
              </w:rPr>
              <w:t>5 years</w:t>
            </w:r>
          </w:p>
        </w:tc>
      </w:tr>
      <w:tr w:rsidR="006B3736" w:rsidRPr="000E52E2" w:rsidTr="009418CB">
        <w:trPr>
          <w:cantSplit/>
        </w:trPr>
        <w:tc>
          <w:tcPr>
            <w:tcW w:w="1701" w:type="dxa"/>
            <w:tcBorders>
              <w:top w:val="single" w:sz="4" w:space="0" w:color="auto"/>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No DR</w:t>
            </w:r>
          </w:p>
        </w:tc>
        <w:tc>
          <w:tcPr>
            <w:tcW w:w="3741" w:type="dxa"/>
            <w:tcBorders>
              <w:top w:val="single" w:sz="4" w:space="0" w:color="auto"/>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ind w:right="113"/>
            </w:pPr>
          </w:p>
        </w:tc>
        <w:tc>
          <w:tcPr>
            <w:tcW w:w="964" w:type="dxa"/>
            <w:tcBorders>
              <w:top w:val="single" w:sz="4" w:space="0" w:color="auto"/>
              <w:left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t>&lt;0.5</w:t>
            </w:r>
          </w:p>
        </w:tc>
        <w:tc>
          <w:tcPr>
            <w:tcW w:w="965" w:type="dxa"/>
            <w:tcBorders>
              <w:top w:val="single" w:sz="4" w:space="0" w:color="auto"/>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t>&lt;0.5</w:t>
            </w:r>
          </w:p>
        </w:tc>
        <w:tc>
          <w:tcPr>
            <w:tcW w:w="992" w:type="dxa"/>
            <w:tcBorders>
              <w:top w:val="single" w:sz="4" w:space="0" w:color="auto"/>
              <w:left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t>&lt;1</w:t>
            </w:r>
          </w:p>
        </w:tc>
        <w:tc>
          <w:tcPr>
            <w:tcW w:w="993" w:type="dxa"/>
            <w:tcBorders>
              <w:top w:val="single" w:sz="4" w:space="0" w:color="auto"/>
              <w:bottom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rPr>
                <w:rFonts w:eastAsia="Arial" w:cs="Arial"/>
                <w:szCs w:val="19"/>
              </w:rPr>
              <w:t>2–3</w:t>
            </w:r>
          </w:p>
        </w:tc>
      </w:tr>
      <w:tr w:rsidR="006B3736" w:rsidRPr="000E52E2" w:rsidTr="009418C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ind w:right="113"/>
              <w:rPr>
                <w:rFonts w:eastAsia="Arial" w:cs="Arial"/>
                <w:szCs w:val="19"/>
              </w:rPr>
            </w:pPr>
            <w:r w:rsidRPr="000E52E2">
              <w:t>Mild NPDR (level 30)</w:t>
            </w:r>
          </w:p>
        </w:tc>
        <w:tc>
          <w:tcPr>
            <w:tcW w:w="374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 xml:space="preserve">MAs and one or more of: retinal haem, </w:t>
            </w:r>
            <w:proofErr w:type="spellStart"/>
            <w:r w:rsidRPr="000E52E2">
              <w:t>HEx</w:t>
            </w:r>
            <w:proofErr w:type="spellEnd"/>
            <w:r w:rsidRPr="000E52E2">
              <w:t>, but not meeting moderate NPDR definition</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jc w:val="center"/>
              <w:rPr>
                <w:rFonts w:eastAsia="Arial" w:cs="Arial"/>
                <w:szCs w:val="19"/>
              </w:rPr>
            </w:pPr>
            <w:r w:rsidRPr="000E52E2">
              <w:rPr>
                <w:rFonts w:eastAsia="Arial" w:cs="Arial"/>
                <w:szCs w:val="19"/>
              </w:rPr>
              <w:t>1–2</w:t>
            </w:r>
          </w:p>
        </w:tc>
        <w:tc>
          <w:tcPr>
            <w:tcW w:w="9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rPr>
                <w:rFonts w:eastAsia="Arial" w:cs="Arial"/>
                <w:szCs w:val="19"/>
              </w:rPr>
              <w:t>2–4</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jc w:val="center"/>
              <w:rPr>
                <w:rFonts w:eastAsia="Arial" w:cs="Arial"/>
                <w:szCs w:val="19"/>
              </w:rPr>
            </w:pPr>
            <w:r w:rsidRPr="000E52E2">
              <w:t>5</w:t>
            </w:r>
          </w:p>
        </w:tc>
        <w:tc>
          <w:tcPr>
            <w:tcW w:w="993" w:type="dxa"/>
            <w:tcBorders>
              <w:top w:val="single" w:sz="4" w:space="0" w:color="A6A6A6" w:themeColor="background1" w:themeShade="A6"/>
              <w:left w:val="nil"/>
              <w:bottom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rPr>
                <w:rFonts w:eastAsia="Arial" w:cs="Arial"/>
                <w:szCs w:val="19"/>
              </w:rPr>
              <w:t>8–15</w:t>
            </w:r>
          </w:p>
        </w:tc>
      </w:tr>
      <w:tr w:rsidR="006B3736" w:rsidRPr="000E52E2" w:rsidTr="009418C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ind w:right="113"/>
              <w:rPr>
                <w:rFonts w:eastAsia="Arial" w:cs="Arial"/>
                <w:szCs w:val="19"/>
              </w:rPr>
            </w:pPr>
            <w:r w:rsidRPr="000E52E2">
              <w:t>Moderate NPDR (level 40)</w:t>
            </w:r>
          </w:p>
        </w:tc>
        <w:tc>
          <w:tcPr>
            <w:tcW w:w="374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 xml:space="preserve">H/MA&gt; </w:t>
            </w:r>
            <w:proofErr w:type="spellStart"/>
            <w:r w:rsidRPr="000E52E2">
              <w:t>std</w:t>
            </w:r>
            <w:proofErr w:type="spellEnd"/>
            <w:r w:rsidRPr="000E52E2">
              <w:t xml:space="preserve"> photo ETDRS 2A: that is H/MA in at least one quadrant and one or more of: VB, IRMA, but not meeting severe NPDR definition</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jc w:val="center"/>
              <w:rPr>
                <w:rFonts w:eastAsia="Arial" w:cs="Arial"/>
                <w:szCs w:val="19"/>
              </w:rPr>
            </w:pPr>
            <w:r w:rsidRPr="000E52E2">
              <w:rPr>
                <w:rFonts w:eastAsia="Arial" w:cs="Arial"/>
                <w:szCs w:val="19"/>
              </w:rPr>
              <w:t>12–26</w:t>
            </w:r>
          </w:p>
        </w:tc>
        <w:tc>
          <w:tcPr>
            <w:tcW w:w="9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rPr>
                <w:rFonts w:eastAsia="Arial" w:cs="Arial"/>
                <w:szCs w:val="19"/>
              </w:rPr>
              <w:t>15–30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jc w:val="center"/>
              <w:rPr>
                <w:rFonts w:eastAsia="Arial" w:cs="Arial"/>
                <w:szCs w:val="19"/>
              </w:rPr>
            </w:pPr>
            <w:r w:rsidRPr="000E52E2">
              <w:t>N/A</w:t>
            </w:r>
          </w:p>
        </w:tc>
        <w:tc>
          <w:tcPr>
            <w:tcW w:w="993" w:type="dxa"/>
            <w:tcBorders>
              <w:top w:val="single" w:sz="4" w:space="0" w:color="A6A6A6" w:themeColor="background1" w:themeShade="A6"/>
              <w:left w:val="nil"/>
              <w:bottom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t>N/A</w:t>
            </w:r>
          </w:p>
        </w:tc>
      </w:tr>
      <w:tr w:rsidR="006B3736" w:rsidRPr="000E52E2" w:rsidTr="009418C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ind w:right="113"/>
              <w:rPr>
                <w:rFonts w:eastAsia="Arial" w:cs="Arial"/>
                <w:szCs w:val="19"/>
              </w:rPr>
            </w:pPr>
            <w:r w:rsidRPr="000E52E2">
              <w:t>Severe NPDR pre-proliferative (level 50)</w:t>
            </w:r>
          </w:p>
        </w:tc>
        <w:tc>
          <w:tcPr>
            <w:tcW w:w="374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 xml:space="preserve">Any of: H/MA &gt; </w:t>
            </w:r>
            <w:proofErr w:type="spellStart"/>
            <w:r w:rsidRPr="000E52E2">
              <w:t>std</w:t>
            </w:r>
            <w:proofErr w:type="spellEnd"/>
            <w:r w:rsidRPr="000E52E2">
              <w:t xml:space="preserve"> photo ETDRS 2A in all four quadrants, IRMA &gt; </w:t>
            </w:r>
            <w:proofErr w:type="spellStart"/>
            <w:r w:rsidRPr="000E52E2">
              <w:t>std</w:t>
            </w:r>
            <w:proofErr w:type="spellEnd"/>
            <w:r w:rsidRPr="000E52E2">
              <w:t xml:space="preserve"> photo, ETDRS 8A in one or more quadrants, VB in two or more quadrants</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jc w:val="center"/>
              <w:rPr>
                <w:rFonts w:eastAsia="Arial" w:cs="Arial"/>
                <w:szCs w:val="19"/>
              </w:rPr>
            </w:pPr>
            <w:r w:rsidRPr="000E52E2">
              <w:t>56</w:t>
            </w:r>
          </w:p>
        </w:tc>
        <w:tc>
          <w:tcPr>
            <w:tcW w:w="9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t>71</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jc w:val="center"/>
              <w:rPr>
                <w:rFonts w:eastAsia="Arial" w:cs="Arial"/>
                <w:szCs w:val="19"/>
              </w:rPr>
            </w:pPr>
            <w:r w:rsidRPr="000E52E2">
              <w:t>N/A</w:t>
            </w:r>
          </w:p>
        </w:tc>
        <w:tc>
          <w:tcPr>
            <w:tcW w:w="993" w:type="dxa"/>
            <w:tcBorders>
              <w:top w:val="single" w:sz="4" w:space="0" w:color="A6A6A6" w:themeColor="background1" w:themeShade="A6"/>
              <w:left w:val="nil"/>
              <w:bottom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t>N/A</w:t>
            </w:r>
          </w:p>
        </w:tc>
      </w:tr>
      <w:tr w:rsidR="006B3736" w:rsidRPr="000E52E2" w:rsidTr="009418C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ind w:right="113"/>
              <w:rPr>
                <w:rFonts w:eastAsia="Arial" w:cs="Arial"/>
                <w:szCs w:val="19"/>
              </w:rPr>
            </w:pPr>
            <w:r w:rsidRPr="000E52E2">
              <w:t>PDR (level 60)</w:t>
            </w:r>
          </w:p>
        </w:tc>
        <w:tc>
          <w:tcPr>
            <w:tcW w:w="374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 xml:space="preserve">Any of: NVE or NVD &lt; </w:t>
            </w:r>
            <w:proofErr w:type="spellStart"/>
            <w:r w:rsidRPr="000E52E2">
              <w:t>std</w:t>
            </w:r>
            <w:proofErr w:type="spellEnd"/>
            <w:r w:rsidRPr="000E52E2">
              <w:t xml:space="preserve"> photo 10A, vitreous/pre-retinal haem and NVE</w:t>
            </w:r>
            <w:r w:rsidR="009418CB">
              <w:br/>
            </w:r>
            <w:r w:rsidRPr="000E52E2">
              <w:t>&lt; ½ disc area (DA) without NVD</w:t>
            </w:r>
          </w:p>
        </w:tc>
        <w:tc>
          <w:tcPr>
            <w:tcW w:w="19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t xml:space="preserve">Severe visual </w:t>
            </w:r>
            <w:proofErr w:type="gramStart"/>
            <w:r w:rsidRPr="000E52E2">
              <w:t>loss</w:t>
            </w:r>
            <w:proofErr w:type="gramEnd"/>
            <w:r w:rsidR="009418CB">
              <w:br/>
            </w:r>
            <w:r w:rsidRPr="000E52E2">
              <w:t>(VA</w:t>
            </w:r>
            <w:r w:rsidR="009418CB">
              <w:t xml:space="preserve"> </w:t>
            </w:r>
            <w:r w:rsidRPr="000E52E2">
              <w:rPr>
                <w:rFonts w:eastAsia="Arial" w:cs="Arial"/>
                <w:szCs w:val="19"/>
              </w:rPr>
              <w:t>&lt; 5/200) develops in 15–25% within 2</w:t>
            </w:r>
            <w:r w:rsidR="009418CB">
              <w:rPr>
                <w:rFonts w:eastAsia="Arial" w:cs="Arial"/>
                <w:szCs w:val="19"/>
              </w:rPr>
              <w:t> </w:t>
            </w:r>
            <w:r w:rsidRPr="000E52E2">
              <w:rPr>
                <w:rFonts w:eastAsia="Arial" w:cs="Arial"/>
                <w:szCs w:val="19"/>
              </w:rPr>
              <w:t>years.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jc w:val="center"/>
              <w:rPr>
                <w:rFonts w:eastAsia="Arial" w:cs="Arial"/>
                <w:szCs w:val="19"/>
              </w:rPr>
            </w:pPr>
            <w:r w:rsidRPr="000E52E2">
              <w:t>N/A</w:t>
            </w:r>
          </w:p>
        </w:tc>
        <w:tc>
          <w:tcPr>
            <w:tcW w:w="993" w:type="dxa"/>
            <w:tcBorders>
              <w:top w:val="single" w:sz="4" w:space="0" w:color="A6A6A6" w:themeColor="background1" w:themeShade="A6"/>
              <w:left w:val="nil"/>
              <w:bottom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t>N/A</w:t>
            </w:r>
          </w:p>
        </w:tc>
      </w:tr>
      <w:tr w:rsidR="006B3736" w:rsidRPr="000E52E2" w:rsidTr="009418CB">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High-risk PDR (level 70)</w:t>
            </w:r>
          </w:p>
        </w:tc>
        <w:tc>
          <w:tcPr>
            <w:tcW w:w="374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rPr>
                <w:rFonts w:eastAsia="Arial" w:cs="Arial"/>
                <w:szCs w:val="19"/>
              </w:rPr>
              <w:t>Any of: NVD&gt; ¼ to ⅓ disc area or with vitreous/pre-retinal haemorrhages or NVE</w:t>
            </w:r>
            <w:r w:rsidR="009418CB">
              <w:rPr>
                <w:rFonts w:eastAsia="Arial" w:cs="Arial"/>
                <w:szCs w:val="19"/>
              </w:rPr>
              <w:br/>
            </w:r>
            <w:r w:rsidRPr="000E52E2">
              <w:t>&gt; ½ DD with vitreous/pre-retinal haem</w:t>
            </w:r>
          </w:p>
        </w:tc>
        <w:tc>
          <w:tcPr>
            <w:tcW w:w="39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rPr>
                <w:rFonts w:eastAsia="Arial" w:cs="Arial"/>
                <w:szCs w:val="19"/>
              </w:rPr>
              <w:t>Severe visual loss (VA &lt; 5/200) develops in</w:t>
            </w:r>
            <w:r w:rsidR="009418CB">
              <w:rPr>
                <w:rFonts w:eastAsia="Arial" w:cs="Arial"/>
                <w:szCs w:val="19"/>
              </w:rPr>
              <w:br/>
            </w:r>
            <w:r w:rsidRPr="000E52E2">
              <w:rPr>
                <w:rFonts w:eastAsia="Arial" w:cs="Arial"/>
                <w:szCs w:val="19"/>
              </w:rPr>
              <w:t>25–40% within 2 years</w:t>
            </w:r>
          </w:p>
        </w:tc>
      </w:tr>
      <w:tr w:rsidR="006B3736" w:rsidRPr="000E52E2" w:rsidTr="009418C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ind w:right="113"/>
              <w:rPr>
                <w:rFonts w:eastAsia="Arial" w:cs="Arial"/>
                <w:szCs w:val="19"/>
              </w:rPr>
            </w:pPr>
            <w:r w:rsidRPr="000E52E2">
              <w:t>Advanced PDR</w:t>
            </w:r>
          </w:p>
        </w:tc>
        <w:tc>
          <w:tcPr>
            <w:tcW w:w="374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 xml:space="preserve">High-risk PDR with </w:t>
            </w:r>
            <w:proofErr w:type="spellStart"/>
            <w:r w:rsidRPr="000E52E2">
              <w:t>tractional</w:t>
            </w:r>
            <w:proofErr w:type="spellEnd"/>
            <w:r w:rsidRPr="000E52E2">
              <w:t xml:space="preserve"> detachment involving macula or vitreous haemorrhages obscuring ability to grade NVD and NVE</w:t>
            </w:r>
          </w:p>
        </w:tc>
        <w:tc>
          <w:tcPr>
            <w:tcW w:w="39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jc w:val="center"/>
            </w:pPr>
          </w:p>
        </w:tc>
      </w:tr>
      <w:tr w:rsidR="006B3736" w:rsidRPr="000E52E2" w:rsidTr="009418C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rsidR="006B3736" w:rsidRPr="000E52E2" w:rsidRDefault="006B3736" w:rsidP="009418CB">
            <w:pPr>
              <w:pStyle w:val="TableText"/>
              <w:ind w:right="113"/>
              <w:rPr>
                <w:rFonts w:eastAsia="Arial" w:cs="Arial"/>
                <w:szCs w:val="19"/>
              </w:rPr>
            </w:pPr>
            <w:r w:rsidRPr="000E52E2">
              <w:t>Macular oedema</w:t>
            </w:r>
          </w:p>
        </w:tc>
        <w:tc>
          <w:tcPr>
            <w:tcW w:w="374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Retinal thickening within 2 DD of fovea (macular centre)</w:t>
            </w:r>
          </w:p>
        </w:tc>
        <w:tc>
          <w:tcPr>
            <w:tcW w:w="39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jc w:val="center"/>
              <w:rPr>
                <w:rFonts w:eastAsia="Arial" w:cs="Arial"/>
                <w:szCs w:val="19"/>
              </w:rPr>
            </w:pPr>
            <w:r w:rsidRPr="000E52E2">
              <w:t>Can occur at any stage of diabetic retinopathy</w:t>
            </w:r>
          </w:p>
        </w:tc>
      </w:tr>
      <w:tr w:rsidR="006B3736" w:rsidRPr="000E52E2" w:rsidTr="009418CB">
        <w:trPr>
          <w:cantSplit/>
        </w:trPr>
        <w:tc>
          <w:tcPr>
            <w:tcW w:w="1701" w:type="dxa"/>
            <w:tcBorders>
              <w:top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Clinically significant macular oedema</w:t>
            </w:r>
          </w:p>
        </w:tc>
        <w:tc>
          <w:tcPr>
            <w:tcW w:w="3741" w:type="dxa"/>
            <w:tcBorders>
              <w:top w:val="single" w:sz="4" w:space="0" w:color="A6A6A6" w:themeColor="background1" w:themeShade="A6"/>
              <w:right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 xml:space="preserve">Retinal thickening within 500 </w:t>
            </w:r>
            <w:proofErr w:type="spellStart"/>
            <w:r w:rsidRPr="000E52E2">
              <w:t>μm</w:t>
            </w:r>
            <w:proofErr w:type="spellEnd"/>
            <w:r w:rsidRPr="000E52E2">
              <w:t xml:space="preserve"> of fovea or hard exudates within 500 </w:t>
            </w:r>
            <w:proofErr w:type="spellStart"/>
            <w:r w:rsidRPr="000E52E2">
              <w:t>μm</w:t>
            </w:r>
            <w:proofErr w:type="spellEnd"/>
            <w:r w:rsidRPr="000E52E2">
              <w:t xml:space="preserve"> of fovea with adjacent thickening</w:t>
            </w:r>
          </w:p>
        </w:tc>
        <w:tc>
          <w:tcPr>
            <w:tcW w:w="3914" w:type="dxa"/>
            <w:gridSpan w:val="4"/>
            <w:tcBorders>
              <w:top w:val="single" w:sz="4" w:space="0" w:color="A6A6A6" w:themeColor="background1" w:themeShade="A6"/>
              <w:left w:val="single" w:sz="4" w:space="0" w:color="A6A6A6" w:themeColor="background1" w:themeShade="A6"/>
              <w:bottom w:val="single" w:sz="4" w:space="0" w:color="auto"/>
            </w:tcBorders>
            <w:shd w:val="clear" w:color="auto" w:fill="auto"/>
          </w:tcPr>
          <w:p w:rsidR="006B3736" w:rsidRPr="000E52E2" w:rsidRDefault="006B3736" w:rsidP="009418CB">
            <w:pPr>
              <w:pStyle w:val="TableText"/>
              <w:jc w:val="center"/>
              <w:rPr>
                <w:rFonts w:eastAsia="Arial" w:cs="Arial"/>
                <w:szCs w:val="19"/>
              </w:rPr>
            </w:pPr>
            <w:r w:rsidRPr="000E52E2">
              <w:t>Can occur at any stage of diabetic retinopathy</w:t>
            </w:r>
          </w:p>
        </w:tc>
      </w:tr>
    </w:tbl>
    <w:p w:rsidR="006B3736" w:rsidRPr="000E52E2" w:rsidRDefault="006B3736" w:rsidP="001E291E">
      <w:pPr>
        <w:pStyle w:val="Note"/>
        <w:rPr>
          <w:rFonts w:eastAsia="Arial" w:cs="Arial"/>
          <w:szCs w:val="18"/>
        </w:rPr>
      </w:pPr>
      <w:r w:rsidRPr="000E52E2">
        <w:t xml:space="preserve">PDR = proliferative diabetic retinopathy (Looker et al 2013); DR = diabetic retinopathy; NPDR = non-proliferative diabetic retinopathy; MA = </w:t>
      </w:r>
      <w:proofErr w:type="spellStart"/>
      <w:r w:rsidRPr="000E52E2">
        <w:t>microaneurysm</w:t>
      </w:r>
      <w:proofErr w:type="spellEnd"/>
      <w:r w:rsidRPr="000E52E2">
        <w:t xml:space="preserve">; </w:t>
      </w:r>
      <w:proofErr w:type="spellStart"/>
      <w:r w:rsidRPr="000E52E2">
        <w:t>HEx</w:t>
      </w:r>
      <w:proofErr w:type="spellEnd"/>
      <w:r w:rsidRPr="000E52E2">
        <w:t xml:space="preserve"> = hard exudates; H/Ma = haemorrhages and </w:t>
      </w:r>
      <w:proofErr w:type="spellStart"/>
      <w:r w:rsidRPr="000E52E2">
        <w:t>microaneurysms</w:t>
      </w:r>
      <w:proofErr w:type="spellEnd"/>
      <w:r w:rsidRPr="000E52E2">
        <w:t xml:space="preserve">; ETDRS = Early Treatment Diabetic Retinopathy Study; VB = venous beading; IRMA = intra-retinal microvascular abnormalities; NVE = neovascularisation and fibrous </w:t>
      </w:r>
      <w:proofErr w:type="spellStart"/>
      <w:r w:rsidRPr="000E52E2">
        <w:t>proliferans</w:t>
      </w:r>
      <w:proofErr w:type="spellEnd"/>
      <w:r w:rsidRPr="000E52E2">
        <w:t xml:space="preserve"> involving other areas of the retina;</w:t>
      </w:r>
      <w:r w:rsidR="001E291E">
        <w:t xml:space="preserve"> </w:t>
      </w:r>
      <w:r w:rsidRPr="000E52E2">
        <w:t xml:space="preserve">NVD = neovascularisation and fibrous </w:t>
      </w:r>
      <w:proofErr w:type="spellStart"/>
      <w:r w:rsidRPr="000E52E2">
        <w:t>proliferans</w:t>
      </w:r>
      <w:proofErr w:type="spellEnd"/>
      <w:r w:rsidRPr="000E52E2">
        <w:t xml:space="preserve"> involving the optic disc; DD = disc diameters</w:t>
      </w:r>
    </w:p>
    <w:p w:rsidR="006B3736" w:rsidRPr="000E52E2" w:rsidRDefault="006B3736" w:rsidP="001E291E">
      <w:pPr>
        <w:rPr>
          <w:rFonts w:eastAsia="Arial"/>
        </w:rPr>
      </w:pPr>
    </w:p>
    <w:p w:rsidR="001E291E" w:rsidRDefault="001E291E" w:rsidP="001E291E">
      <w:r>
        <w:br w:type="page"/>
      </w:r>
    </w:p>
    <w:p w:rsidR="006B3736" w:rsidRPr="000E52E2" w:rsidRDefault="006B3736" w:rsidP="001E291E">
      <w:pPr>
        <w:pStyle w:val="Heading1"/>
        <w:rPr>
          <w:rFonts w:eastAsia="Georgia" w:cs="Georgia"/>
          <w:szCs w:val="50"/>
        </w:rPr>
      </w:pPr>
      <w:bookmarkStart w:id="69" w:name="_Toc446335177"/>
      <w:r w:rsidRPr="000E52E2">
        <w:lastRenderedPageBreak/>
        <w:t>Appendix B: Grading</w:t>
      </w:r>
      <w:bookmarkEnd w:id="69"/>
    </w:p>
    <w:p w:rsidR="006B3736" w:rsidRPr="000E52E2" w:rsidRDefault="006B3736" w:rsidP="001E291E">
      <w:pPr>
        <w:pStyle w:val="Heading2"/>
        <w:rPr>
          <w:rFonts w:eastAsia="Georgia" w:cs="Georgia"/>
          <w:szCs w:val="40"/>
        </w:rPr>
      </w:pPr>
      <w:bookmarkStart w:id="70" w:name="_Toc446335178"/>
      <w:r w:rsidRPr="000E52E2">
        <w:t>Grading for image clarity and field size</w:t>
      </w:r>
      <w:bookmarkEnd w:id="70"/>
    </w:p>
    <w:p w:rsidR="006B3736" w:rsidRPr="000E52E2" w:rsidRDefault="006B3736" w:rsidP="00460C0A">
      <w:r w:rsidRPr="000E52E2">
        <w:t>The outcome of retinal screening is that the visible retina is graded. Section 6 details the images that are required. The recommended minimal image quality for grading purposes is listed in Table</w:t>
      </w:r>
      <w:r w:rsidR="00460C0A">
        <w:t> </w:t>
      </w:r>
      <w:r w:rsidRPr="000E52E2">
        <w:t>B below.</w:t>
      </w:r>
    </w:p>
    <w:p w:rsidR="006B3736" w:rsidRPr="000E52E2" w:rsidRDefault="006B3736" w:rsidP="00460C0A">
      <w:pPr>
        <w:rPr>
          <w:rFonts w:eastAsia="Century"/>
        </w:rPr>
      </w:pPr>
    </w:p>
    <w:p w:rsidR="006B3736" w:rsidRPr="000E52E2" w:rsidRDefault="006B3736" w:rsidP="00460C0A">
      <w:pPr>
        <w:pStyle w:val="Table"/>
        <w:rPr>
          <w:rFonts w:eastAsia="Georgia" w:cs="Georgia"/>
          <w:szCs w:val="18"/>
        </w:rPr>
      </w:pPr>
      <w:bookmarkStart w:id="71" w:name="_Toc446335200"/>
      <w:r w:rsidRPr="000E52E2">
        <w:t>Table B: Grading for image clarity and field size</w:t>
      </w:r>
      <w:bookmarkEnd w:id="71"/>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851"/>
        <w:gridCol w:w="1843"/>
        <w:gridCol w:w="3118"/>
        <w:gridCol w:w="3544"/>
      </w:tblGrid>
      <w:tr w:rsidR="006B3736" w:rsidRPr="009418CB" w:rsidTr="009418CB">
        <w:trPr>
          <w:cantSplit/>
        </w:trPr>
        <w:tc>
          <w:tcPr>
            <w:tcW w:w="851" w:type="dxa"/>
            <w:tcBorders>
              <w:top w:val="single" w:sz="4" w:space="0" w:color="auto"/>
              <w:bottom w:val="single" w:sz="4" w:space="0" w:color="auto"/>
            </w:tcBorders>
          </w:tcPr>
          <w:p w:rsidR="006B3736" w:rsidRPr="009418CB" w:rsidRDefault="006B3736" w:rsidP="009418CB">
            <w:pPr>
              <w:pStyle w:val="TableText"/>
              <w:rPr>
                <w:rFonts w:eastAsia="Arial" w:cs="Arial"/>
                <w:b/>
                <w:szCs w:val="19"/>
              </w:rPr>
            </w:pPr>
            <w:r w:rsidRPr="009418CB">
              <w:rPr>
                <w:b/>
              </w:rPr>
              <w:t>Grade</w:t>
            </w:r>
          </w:p>
        </w:tc>
        <w:tc>
          <w:tcPr>
            <w:tcW w:w="1843" w:type="dxa"/>
            <w:tcBorders>
              <w:top w:val="single" w:sz="4" w:space="0" w:color="auto"/>
              <w:bottom w:val="single" w:sz="4" w:space="0" w:color="auto"/>
            </w:tcBorders>
          </w:tcPr>
          <w:p w:rsidR="006B3736" w:rsidRPr="009418CB" w:rsidRDefault="006B3736" w:rsidP="009418CB">
            <w:pPr>
              <w:pStyle w:val="TableText"/>
              <w:rPr>
                <w:rFonts w:eastAsia="Arial" w:cs="Arial"/>
                <w:b/>
                <w:szCs w:val="19"/>
              </w:rPr>
            </w:pPr>
            <w:r w:rsidRPr="009418CB">
              <w:rPr>
                <w:b/>
              </w:rPr>
              <w:t>Brief description</w:t>
            </w:r>
          </w:p>
        </w:tc>
        <w:tc>
          <w:tcPr>
            <w:tcW w:w="3118" w:type="dxa"/>
            <w:tcBorders>
              <w:top w:val="single" w:sz="4" w:space="0" w:color="auto"/>
              <w:bottom w:val="single" w:sz="4" w:space="0" w:color="auto"/>
            </w:tcBorders>
          </w:tcPr>
          <w:p w:rsidR="006B3736" w:rsidRPr="009418CB" w:rsidRDefault="006B3736" w:rsidP="009418CB">
            <w:pPr>
              <w:pStyle w:val="TableText"/>
              <w:ind w:right="113"/>
              <w:rPr>
                <w:rFonts w:eastAsia="Arial" w:cs="Arial"/>
                <w:b/>
                <w:szCs w:val="19"/>
              </w:rPr>
            </w:pPr>
            <w:r w:rsidRPr="009418CB">
              <w:rPr>
                <w:b/>
              </w:rPr>
              <w:t>Minimum features</w:t>
            </w:r>
          </w:p>
        </w:tc>
        <w:tc>
          <w:tcPr>
            <w:tcW w:w="3544" w:type="dxa"/>
            <w:tcBorders>
              <w:top w:val="single" w:sz="4" w:space="0" w:color="auto"/>
              <w:bottom w:val="single" w:sz="4" w:space="0" w:color="auto"/>
            </w:tcBorders>
          </w:tcPr>
          <w:p w:rsidR="006B3736" w:rsidRPr="009418CB" w:rsidRDefault="006B3736" w:rsidP="009418CB">
            <w:pPr>
              <w:pStyle w:val="TableText"/>
              <w:rPr>
                <w:rFonts w:eastAsia="Arial" w:cs="Arial"/>
                <w:b/>
                <w:szCs w:val="19"/>
              </w:rPr>
            </w:pPr>
            <w:r w:rsidRPr="009418CB">
              <w:rPr>
                <w:b/>
              </w:rPr>
              <w:t>Action</w:t>
            </w:r>
          </w:p>
        </w:tc>
      </w:tr>
      <w:tr w:rsidR="006B3736" w:rsidRPr="000E52E2" w:rsidTr="009418CB">
        <w:trPr>
          <w:cantSplit/>
        </w:trPr>
        <w:tc>
          <w:tcPr>
            <w:tcW w:w="851" w:type="dxa"/>
            <w:tcBorders>
              <w:top w:val="single" w:sz="4" w:space="0" w:color="auto"/>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QA</w:t>
            </w:r>
          </w:p>
        </w:tc>
        <w:tc>
          <w:tcPr>
            <w:tcW w:w="1843" w:type="dxa"/>
            <w:tcBorders>
              <w:top w:val="single" w:sz="4" w:space="0" w:color="auto"/>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Adequate</w:t>
            </w:r>
          </w:p>
        </w:tc>
        <w:tc>
          <w:tcPr>
            <w:tcW w:w="3118" w:type="dxa"/>
            <w:tcBorders>
              <w:top w:val="single" w:sz="4" w:space="0" w:color="auto"/>
              <w:bottom w:val="single" w:sz="4" w:space="0" w:color="A6A6A6" w:themeColor="background1" w:themeShade="A6"/>
            </w:tcBorders>
          </w:tcPr>
          <w:p w:rsidR="006B3736" w:rsidRPr="000E52E2" w:rsidRDefault="006B3736" w:rsidP="009418CB">
            <w:pPr>
              <w:pStyle w:val="TableText"/>
              <w:ind w:right="113"/>
              <w:rPr>
                <w:rFonts w:eastAsia="Arial" w:cs="Arial"/>
                <w:szCs w:val="19"/>
              </w:rPr>
            </w:pPr>
            <w:r w:rsidRPr="000E52E2">
              <w:t>Clarity:</w:t>
            </w:r>
          </w:p>
          <w:p w:rsidR="006B3736" w:rsidRPr="000E52E2" w:rsidRDefault="006B3736" w:rsidP="009418CB">
            <w:pPr>
              <w:pStyle w:val="TableBullet"/>
              <w:rPr>
                <w:rFonts w:eastAsia="Arial" w:cs="Arial"/>
                <w:szCs w:val="19"/>
              </w:rPr>
            </w:pPr>
            <w:r w:rsidRPr="000E52E2">
              <w:t>small vessels visible over majority of both fields, including maculae</w:t>
            </w:r>
          </w:p>
          <w:p w:rsidR="006B3736" w:rsidRPr="000E52E2" w:rsidRDefault="006B3736" w:rsidP="009418CB">
            <w:pPr>
              <w:pStyle w:val="TableText"/>
              <w:ind w:right="113"/>
              <w:rPr>
                <w:rFonts w:eastAsia="Arial" w:cs="Arial"/>
                <w:szCs w:val="19"/>
              </w:rPr>
            </w:pPr>
            <w:r w:rsidRPr="000E52E2">
              <w:t>Field size:</w:t>
            </w:r>
          </w:p>
          <w:p w:rsidR="006B3736" w:rsidRPr="000E52E2" w:rsidRDefault="006B3736" w:rsidP="009418CB">
            <w:pPr>
              <w:pStyle w:val="TableBullet"/>
              <w:rPr>
                <w:rFonts w:eastAsia="Arial"/>
              </w:rPr>
            </w:pPr>
            <w:r w:rsidRPr="000E52E2">
              <w:rPr>
                <w:rFonts w:eastAsia="Arial"/>
              </w:rPr>
              <w:t>macula field – extends temporally at least 4 DD from temporal disc margin</w:t>
            </w:r>
          </w:p>
          <w:p w:rsidR="006B3736" w:rsidRPr="000E52E2" w:rsidRDefault="006B3736" w:rsidP="009418CB">
            <w:pPr>
              <w:pStyle w:val="TableBullet"/>
              <w:rPr>
                <w:rFonts w:eastAsia="Arial"/>
              </w:rPr>
            </w:pPr>
            <w:proofErr w:type="gramStart"/>
            <w:r w:rsidRPr="000E52E2">
              <w:rPr>
                <w:rFonts w:eastAsia="Arial"/>
              </w:rPr>
              <w:t>nasal</w:t>
            </w:r>
            <w:proofErr w:type="gramEnd"/>
            <w:r w:rsidRPr="000E52E2">
              <w:rPr>
                <w:rFonts w:eastAsia="Arial"/>
              </w:rPr>
              <w:t xml:space="preserve"> field – extends nasally at least 3 DD from nasal disc margin.</w:t>
            </w:r>
          </w:p>
        </w:tc>
        <w:tc>
          <w:tcPr>
            <w:tcW w:w="3544" w:type="dxa"/>
            <w:tcBorders>
              <w:top w:val="single" w:sz="4" w:space="0" w:color="auto"/>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Proceed with grading.</w:t>
            </w:r>
          </w:p>
        </w:tc>
      </w:tr>
      <w:tr w:rsidR="006B3736" w:rsidRPr="000E52E2" w:rsidTr="009418CB">
        <w:trPr>
          <w:cantSplit/>
        </w:trPr>
        <w:tc>
          <w:tcPr>
            <w:tcW w:w="851" w:type="dxa"/>
            <w:tcBorders>
              <w:top w:val="single" w:sz="4" w:space="0" w:color="A6A6A6" w:themeColor="background1" w:themeShade="A6"/>
              <w:bottom w:val="single" w:sz="4" w:space="0" w:color="auto"/>
            </w:tcBorders>
          </w:tcPr>
          <w:p w:rsidR="006B3736" w:rsidRPr="000E52E2" w:rsidRDefault="006B3736" w:rsidP="009418CB">
            <w:pPr>
              <w:pStyle w:val="TableText"/>
              <w:rPr>
                <w:rFonts w:eastAsia="Arial" w:cs="Arial"/>
                <w:szCs w:val="19"/>
              </w:rPr>
            </w:pPr>
            <w:r w:rsidRPr="000E52E2">
              <w:t>QI</w:t>
            </w:r>
          </w:p>
        </w:tc>
        <w:tc>
          <w:tcPr>
            <w:tcW w:w="1843" w:type="dxa"/>
            <w:tcBorders>
              <w:top w:val="single" w:sz="4" w:space="0" w:color="A6A6A6" w:themeColor="background1" w:themeShade="A6"/>
              <w:bottom w:val="single" w:sz="4" w:space="0" w:color="auto"/>
            </w:tcBorders>
          </w:tcPr>
          <w:p w:rsidR="006B3736" w:rsidRPr="000E52E2" w:rsidRDefault="006B3736" w:rsidP="009418CB">
            <w:pPr>
              <w:pStyle w:val="TableText"/>
              <w:rPr>
                <w:rFonts w:eastAsia="Arial" w:cs="Arial"/>
                <w:szCs w:val="19"/>
              </w:rPr>
            </w:pPr>
            <w:r w:rsidRPr="000E52E2">
              <w:t>Inadequate</w:t>
            </w:r>
          </w:p>
        </w:tc>
        <w:tc>
          <w:tcPr>
            <w:tcW w:w="3118" w:type="dxa"/>
            <w:tcBorders>
              <w:top w:val="single" w:sz="4" w:space="0" w:color="A6A6A6" w:themeColor="background1" w:themeShade="A6"/>
              <w:bottom w:val="single" w:sz="4" w:space="0" w:color="auto"/>
            </w:tcBorders>
          </w:tcPr>
          <w:p w:rsidR="006B3736" w:rsidRPr="000E52E2" w:rsidRDefault="006B3736" w:rsidP="009418CB">
            <w:pPr>
              <w:pStyle w:val="TableText"/>
              <w:ind w:right="113"/>
              <w:rPr>
                <w:rFonts w:eastAsia="Arial" w:cs="Arial"/>
                <w:szCs w:val="19"/>
              </w:rPr>
            </w:pPr>
            <w:r w:rsidRPr="000E52E2">
              <w:t>Does not meet all of the above criteria.</w:t>
            </w:r>
          </w:p>
        </w:tc>
        <w:tc>
          <w:tcPr>
            <w:tcW w:w="3544" w:type="dxa"/>
            <w:tcBorders>
              <w:top w:val="single" w:sz="4" w:space="0" w:color="A6A6A6" w:themeColor="background1" w:themeShade="A6"/>
              <w:bottom w:val="single" w:sz="4" w:space="0" w:color="auto"/>
            </w:tcBorders>
          </w:tcPr>
          <w:p w:rsidR="006B3736" w:rsidRPr="000E52E2" w:rsidRDefault="006B3736" w:rsidP="009418CB">
            <w:pPr>
              <w:pStyle w:val="TableText"/>
              <w:rPr>
                <w:rFonts w:eastAsia="Arial" w:cs="Arial"/>
                <w:szCs w:val="19"/>
              </w:rPr>
            </w:pPr>
            <w:r w:rsidRPr="000E52E2">
              <w:t>If retinal screening:</w:t>
            </w:r>
          </w:p>
          <w:p w:rsidR="006B3736" w:rsidRPr="000E52E2" w:rsidRDefault="006B3736" w:rsidP="009418CB">
            <w:pPr>
              <w:pStyle w:val="TableBullet"/>
              <w:rPr>
                <w:rFonts w:eastAsia="Arial" w:cs="Arial"/>
                <w:szCs w:val="19"/>
              </w:rPr>
            </w:pPr>
            <w:r w:rsidRPr="000E52E2">
              <w:t xml:space="preserve">has been performed </w:t>
            </w:r>
            <w:proofErr w:type="spellStart"/>
            <w:r w:rsidRPr="000E52E2">
              <w:t>undilated</w:t>
            </w:r>
            <w:proofErr w:type="spellEnd"/>
            <w:r w:rsidRPr="000E52E2">
              <w:t xml:space="preserve">, repeat with </w:t>
            </w:r>
            <w:proofErr w:type="spellStart"/>
            <w:r w:rsidRPr="000E52E2">
              <w:t>mydriasis</w:t>
            </w:r>
            <w:proofErr w:type="spellEnd"/>
          </w:p>
          <w:p w:rsidR="006B3736" w:rsidRPr="009418CB" w:rsidRDefault="006B3736" w:rsidP="009418CB">
            <w:pPr>
              <w:pStyle w:val="TableBullet"/>
              <w:rPr>
                <w:rFonts w:eastAsia="Arial" w:cs="Arial"/>
                <w:szCs w:val="19"/>
              </w:rPr>
            </w:pPr>
            <w:proofErr w:type="gramStart"/>
            <w:r w:rsidRPr="000E52E2">
              <w:t>is</w:t>
            </w:r>
            <w:proofErr w:type="gramEnd"/>
            <w:r w:rsidRPr="000E52E2">
              <w:t xml:space="preserve"> inadequate with </w:t>
            </w:r>
            <w:proofErr w:type="spellStart"/>
            <w:r w:rsidRPr="000E52E2">
              <w:t>mydriasis</w:t>
            </w:r>
            <w:proofErr w:type="spellEnd"/>
            <w:r w:rsidRPr="000E52E2">
              <w:t>, refer to ophthalmology, unless binocular ophthalmoscopy (</w:t>
            </w:r>
            <w:proofErr w:type="spellStart"/>
            <w:r w:rsidRPr="000E52E2">
              <w:t>eg</w:t>
            </w:r>
            <w:proofErr w:type="spellEnd"/>
            <w:r w:rsidRPr="000E52E2">
              <w:t>, slit-lamp</w:t>
            </w:r>
            <w:r w:rsidR="009418CB">
              <w:t xml:space="preserve"> </w:t>
            </w:r>
            <w:proofErr w:type="spellStart"/>
            <w:r w:rsidRPr="000E52E2">
              <w:t>biomicroscopy</w:t>
            </w:r>
            <w:proofErr w:type="spellEnd"/>
            <w:r w:rsidRPr="000E52E2">
              <w:t xml:space="preserve"> screening) is available/ approved.</w:t>
            </w:r>
          </w:p>
          <w:p w:rsidR="006B3736" w:rsidRPr="000E52E2" w:rsidRDefault="006B3736" w:rsidP="009418CB">
            <w:pPr>
              <w:pStyle w:val="TableText"/>
              <w:rPr>
                <w:rFonts w:eastAsia="Arial" w:cs="Arial"/>
                <w:szCs w:val="19"/>
              </w:rPr>
            </w:pPr>
            <w:r w:rsidRPr="000E52E2">
              <w:t>If image is poor but clear enough to establish moderate DR, then refer to an ophthalmologist for accurate assessment.</w:t>
            </w:r>
          </w:p>
        </w:tc>
      </w:tr>
    </w:tbl>
    <w:p w:rsidR="006B3736" w:rsidRPr="000E52E2" w:rsidRDefault="006B3736" w:rsidP="00460C0A">
      <w:pPr>
        <w:rPr>
          <w:rFonts w:eastAsia="Arial"/>
        </w:rPr>
      </w:pPr>
    </w:p>
    <w:p w:rsidR="006B3736" w:rsidRPr="000E52E2" w:rsidRDefault="006B3736" w:rsidP="00460C0A">
      <w:pPr>
        <w:pStyle w:val="Heading2"/>
        <w:ind w:left="0" w:firstLine="0"/>
        <w:rPr>
          <w:rFonts w:eastAsia="Georgia" w:cs="Georgia"/>
          <w:szCs w:val="40"/>
        </w:rPr>
      </w:pPr>
      <w:bookmarkStart w:id="72" w:name="_Toc446335179"/>
      <w:r w:rsidRPr="000E52E2">
        <w:lastRenderedPageBreak/>
        <w:t>Grading for diabetic retinopathy and recommended screening and monitoring intervals</w:t>
      </w:r>
      <w:bookmarkEnd w:id="72"/>
    </w:p>
    <w:p w:rsidR="006B3736" w:rsidRPr="000E52E2" w:rsidRDefault="006B3736" w:rsidP="009418CB">
      <w:pPr>
        <w:keepNext/>
      </w:pPr>
      <w:r w:rsidRPr="000E52E2">
        <w:t>Note: Grading is based on the grade in the worst eye.</w:t>
      </w:r>
    </w:p>
    <w:p w:rsidR="006B3736" w:rsidRPr="000E52E2" w:rsidRDefault="006B3736" w:rsidP="009418CB">
      <w:pPr>
        <w:keepNext/>
        <w:rPr>
          <w:rFonts w:eastAsia="Century"/>
        </w:rPr>
      </w:pPr>
    </w:p>
    <w:p w:rsidR="006B3736" w:rsidRPr="000E52E2" w:rsidRDefault="006B3736" w:rsidP="009418CB">
      <w:pPr>
        <w:pStyle w:val="Table"/>
        <w:rPr>
          <w:rFonts w:eastAsia="Georgia" w:cs="Georgia"/>
          <w:szCs w:val="18"/>
        </w:rPr>
      </w:pPr>
      <w:bookmarkStart w:id="73" w:name="_Toc446335201"/>
      <w:r w:rsidRPr="000E52E2">
        <w:t>Table C: Diabetic retinopathy grading classification and referral guidance</w:t>
      </w:r>
      <w:bookmarkEnd w:id="73"/>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560"/>
        <w:gridCol w:w="2976"/>
        <w:gridCol w:w="2268"/>
        <w:gridCol w:w="2552"/>
      </w:tblGrid>
      <w:tr w:rsidR="006B3736" w:rsidRPr="009418CB" w:rsidTr="009418CB">
        <w:trPr>
          <w:cantSplit/>
          <w:tblHeader/>
        </w:trPr>
        <w:tc>
          <w:tcPr>
            <w:tcW w:w="1560" w:type="dxa"/>
            <w:tcBorders>
              <w:bottom w:val="single" w:sz="4" w:space="0" w:color="auto"/>
            </w:tcBorders>
            <w:shd w:val="clear" w:color="auto" w:fill="auto"/>
          </w:tcPr>
          <w:p w:rsidR="006B3736" w:rsidRPr="009418CB" w:rsidRDefault="006B3736" w:rsidP="009418CB">
            <w:pPr>
              <w:pStyle w:val="TableText"/>
              <w:keepNext/>
              <w:rPr>
                <w:rFonts w:eastAsia="Arial" w:cs="Arial"/>
                <w:b/>
                <w:szCs w:val="19"/>
              </w:rPr>
            </w:pPr>
            <w:r w:rsidRPr="009418CB">
              <w:rPr>
                <w:b/>
              </w:rPr>
              <w:t>Grade and brief</w:t>
            </w:r>
            <w:r w:rsidR="009418CB" w:rsidRPr="009418CB">
              <w:rPr>
                <w:b/>
              </w:rPr>
              <w:t xml:space="preserve"> </w:t>
            </w:r>
            <w:r w:rsidRPr="009418CB">
              <w:rPr>
                <w:b/>
              </w:rPr>
              <w:t>description</w:t>
            </w:r>
          </w:p>
        </w:tc>
        <w:tc>
          <w:tcPr>
            <w:tcW w:w="2976" w:type="dxa"/>
            <w:tcBorders>
              <w:bottom w:val="single" w:sz="4" w:space="0" w:color="auto"/>
            </w:tcBorders>
            <w:shd w:val="clear" w:color="auto" w:fill="auto"/>
          </w:tcPr>
          <w:p w:rsidR="006B3736" w:rsidRPr="009418CB" w:rsidRDefault="006B3736" w:rsidP="009418CB">
            <w:pPr>
              <w:pStyle w:val="TableText"/>
              <w:keepNext/>
              <w:ind w:right="113"/>
              <w:rPr>
                <w:rFonts w:eastAsia="Arial" w:cs="Arial"/>
                <w:b/>
                <w:szCs w:val="19"/>
              </w:rPr>
            </w:pPr>
            <w:r w:rsidRPr="009418CB">
              <w:rPr>
                <w:b/>
              </w:rPr>
              <w:t>Clinical signs</w:t>
            </w:r>
          </w:p>
        </w:tc>
        <w:tc>
          <w:tcPr>
            <w:tcW w:w="2268" w:type="dxa"/>
            <w:tcBorders>
              <w:bottom w:val="single" w:sz="4" w:space="0" w:color="auto"/>
            </w:tcBorders>
            <w:shd w:val="clear" w:color="auto" w:fill="auto"/>
          </w:tcPr>
          <w:p w:rsidR="006B3736" w:rsidRPr="009418CB" w:rsidRDefault="006B3736" w:rsidP="009418CB">
            <w:pPr>
              <w:pStyle w:val="TableText"/>
              <w:keepNext/>
              <w:ind w:right="113"/>
              <w:rPr>
                <w:rFonts w:eastAsia="Arial" w:cs="Arial"/>
                <w:b/>
                <w:szCs w:val="19"/>
              </w:rPr>
            </w:pPr>
            <w:r w:rsidRPr="009418CB">
              <w:rPr>
                <w:b/>
              </w:rPr>
              <w:t>Outcome</w:t>
            </w:r>
          </w:p>
        </w:tc>
        <w:tc>
          <w:tcPr>
            <w:tcW w:w="2552" w:type="dxa"/>
            <w:tcBorders>
              <w:bottom w:val="single" w:sz="4" w:space="0" w:color="auto"/>
            </w:tcBorders>
            <w:shd w:val="clear" w:color="auto" w:fill="auto"/>
          </w:tcPr>
          <w:p w:rsidR="006B3736" w:rsidRPr="009418CB" w:rsidRDefault="006B3736" w:rsidP="009418CB">
            <w:pPr>
              <w:pStyle w:val="TableText"/>
              <w:keepNext/>
              <w:rPr>
                <w:rFonts w:eastAsia="Arial" w:cs="Arial"/>
                <w:b/>
                <w:szCs w:val="19"/>
              </w:rPr>
            </w:pPr>
            <w:r w:rsidRPr="009418CB">
              <w:rPr>
                <w:b/>
              </w:rPr>
              <w:t>Notes</w:t>
            </w:r>
          </w:p>
        </w:tc>
      </w:tr>
      <w:tr w:rsidR="006B3736" w:rsidRPr="000E52E2" w:rsidTr="009418CB">
        <w:trPr>
          <w:cantSplit/>
        </w:trPr>
        <w:tc>
          <w:tcPr>
            <w:tcW w:w="1560" w:type="dxa"/>
            <w:tcBorders>
              <w:top w:val="single" w:sz="4" w:space="0" w:color="auto"/>
              <w:bottom w:val="single" w:sz="4" w:space="0" w:color="A6A6A6" w:themeColor="background1" w:themeShade="A6"/>
            </w:tcBorders>
            <w:shd w:val="clear" w:color="auto" w:fill="auto"/>
          </w:tcPr>
          <w:p w:rsidR="006B3736" w:rsidRPr="000E52E2" w:rsidRDefault="006B3736" w:rsidP="009418CB">
            <w:pPr>
              <w:pStyle w:val="TableText"/>
              <w:rPr>
                <w:rFonts w:eastAsia="Arial" w:cs="Arial"/>
                <w:szCs w:val="19"/>
              </w:rPr>
            </w:pPr>
            <w:r w:rsidRPr="000E52E2">
              <w:t>R0</w:t>
            </w:r>
            <w:r w:rsidR="009418CB">
              <w:br/>
            </w:r>
            <w:r w:rsidRPr="000E52E2">
              <w:t>No DR</w:t>
            </w:r>
          </w:p>
        </w:tc>
        <w:tc>
          <w:tcPr>
            <w:tcW w:w="2976" w:type="dxa"/>
            <w:tcBorders>
              <w:top w:val="single" w:sz="4" w:space="0" w:color="auto"/>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No abnormalities.</w:t>
            </w:r>
          </w:p>
        </w:tc>
        <w:tc>
          <w:tcPr>
            <w:tcW w:w="2268" w:type="dxa"/>
            <w:tcBorders>
              <w:top w:val="single" w:sz="4" w:space="0" w:color="auto"/>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9418CB">
              <w:rPr>
                <w:b/>
              </w:rPr>
              <w:t>Type 1:</w:t>
            </w:r>
            <w:r w:rsidRPr="000E52E2">
              <w:t xml:space="preserve"> re-screen at 2</w:t>
            </w:r>
            <w:r w:rsidR="009418CB">
              <w:t> </w:t>
            </w:r>
            <w:r w:rsidRPr="000E52E2">
              <w:t>years, adjusting for clinical modifiers.</w:t>
            </w:r>
          </w:p>
          <w:p w:rsidR="006B3736" w:rsidRPr="000E52E2" w:rsidRDefault="006B3736" w:rsidP="009418CB">
            <w:pPr>
              <w:pStyle w:val="TableText"/>
              <w:ind w:right="113"/>
              <w:rPr>
                <w:rFonts w:eastAsia="Arial" w:cs="Arial"/>
                <w:szCs w:val="19"/>
              </w:rPr>
            </w:pPr>
            <w:r w:rsidRPr="009418CB">
              <w:rPr>
                <w:rFonts w:eastAsia="Arial" w:cs="Arial"/>
                <w:b/>
                <w:bCs/>
                <w:szCs w:val="19"/>
              </w:rPr>
              <w:t>Type 2:</w:t>
            </w:r>
            <w:r w:rsidRPr="000E52E2">
              <w:rPr>
                <w:rFonts w:eastAsia="Arial" w:cs="Arial"/>
                <w:bCs/>
                <w:szCs w:val="19"/>
              </w:rPr>
              <w:t xml:space="preserve"> </w:t>
            </w:r>
            <w:r w:rsidRPr="000E52E2">
              <w:rPr>
                <w:rFonts w:eastAsia="Arial" w:cs="Arial"/>
                <w:szCs w:val="19"/>
              </w:rPr>
              <w:t>re-screen at 2–3 years, adjusting for clinical modifiers.</w:t>
            </w:r>
          </w:p>
          <w:p w:rsidR="006B3736" w:rsidRPr="000E52E2" w:rsidRDefault="006B3736" w:rsidP="009418CB">
            <w:pPr>
              <w:pStyle w:val="TableText"/>
              <w:ind w:right="113"/>
              <w:rPr>
                <w:rFonts w:eastAsia="Arial" w:cs="Arial"/>
                <w:szCs w:val="19"/>
              </w:rPr>
            </w:pPr>
            <w:r w:rsidRPr="000E52E2">
              <w:t>Presence of clinical modifiers may require earlier re-screening (see sections 1.4 and 4).</w:t>
            </w:r>
          </w:p>
        </w:tc>
        <w:tc>
          <w:tcPr>
            <w:tcW w:w="2552" w:type="dxa"/>
            <w:tcBorders>
              <w:top w:val="single" w:sz="4" w:space="0" w:color="auto"/>
              <w:bottom w:val="single" w:sz="4" w:space="0" w:color="A6A6A6" w:themeColor="background1" w:themeShade="A6"/>
            </w:tcBorders>
            <w:shd w:val="clear" w:color="auto" w:fill="auto"/>
          </w:tcPr>
          <w:p w:rsidR="006B3736" w:rsidRPr="000E52E2" w:rsidRDefault="006B3736" w:rsidP="009418CB">
            <w:pPr>
              <w:pStyle w:val="TableText"/>
              <w:rPr>
                <w:rFonts w:eastAsia="Arial" w:cs="Arial"/>
                <w:szCs w:val="19"/>
              </w:rPr>
            </w:pPr>
            <w:r w:rsidRPr="000E52E2">
              <w:t>If screeners identify that clinical risk factors need attention, the patient and their GP and specialist should be advised if immediate intervention is required.</w:t>
            </w:r>
          </w:p>
          <w:p w:rsidR="006B3736" w:rsidRPr="000E52E2" w:rsidRDefault="006B3736" w:rsidP="009418CB">
            <w:pPr>
              <w:pStyle w:val="TableText"/>
              <w:rPr>
                <w:rFonts w:eastAsia="Arial" w:cs="Arial"/>
                <w:szCs w:val="19"/>
              </w:rPr>
            </w:pPr>
            <w:r w:rsidRPr="000E52E2">
              <w:t>The re-screening interval can be extended to 3 years for some low-risk patients (see section 4).</w:t>
            </w:r>
          </w:p>
        </w:tc>
      </w:tr>
      <w:tr w:rsidR="006B3736" w:rsidRPr="000E52E2" w:rsidTr="009418CB">
        <w:trPr>
          <w:cantSplit/>
        </w:trPr>
        <w:tc>
          <w:tcPr>
            <w:tcW w:w="1560"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rPr>
                <w:rFonts w:eastAsia="Arial" w:cs="Arial"/>
                <w:szCs w:val="19"/>
              </w:rPr>
            </w:pPr>
            <w:r w:rsidRPr="000E52E2">
              <w:t>R1</w:t>
            </w:r>
            <w:r w:rsidR="009418CB">
              <w:br/>
            </w:r>
            <w:r w:rsidRPr="000E52E2">
              <w:t>Minimal</w:t>
            </w:r>
          </w:p>
        </w:tc>
        <w:tc>
          <w:tcPr>
            <w:tcW w:w="2976"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 xml:space="preserve">&lt; 5 </w:t>
            </w:r>
            <w:proofErr w:type="spellStart"/>
            <w:r w:rsidRPr="000E52E2">
              <w:t>microaneurysms</w:t>
            </w:r>
            <w:proofErr w:type="spellEnd"/>
            <w:r w:rsidRPr="000E52E2">
              <w:t xml:space="preserve"> (MAs) or dot haemorrhages.</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Re-screen at 2 years depending on clinical modifiers (see section</w:t>
            </w:r>
            <w:r w:rsidR="009418CB">
              <w:t> </w:t>
            </w:r>
            <w:r w:rsidRPr="000E52E2">
              <w:t>1.4).</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rPr>
                <w:rFonts w:eastAsia="Arial" w:cs="Arial"/>
                <w:szCs w:val="19"/>
              </w:rPr>
            </w:pPr>
            <w:r w:rsidRPr="000E52E2">
              <w:t>If screeners identify that clinical modifiers need attention, the patient and their GP and specialist should be advised if immediate intervention is required.</w:t>
            </w:r>
          </w:p>
          <w:p w:rsidR="006B3736" w:rsidRPr="000E52E2" w:rsidRDefault="006B3736" w:rsidP="009418CB">
            <w:pPr>
              <w:pStyle w:val="TableText"/>
              <w:rPr>
                <w:rFonts w:eastAsia="Arial" w:cs="Arial"/>
                <w:szCs w:val="19"/>
              </w:rPr>
            </w:pPr>
            <w:r w:rsidRPr="000E52E2">
              <w:t>Presence of clinical modifiers may require earlier</w:t>
            </w:r>
            <w:r w:rsidR="009418CB">
              <w:t xml:space="preserve"> </w:t>
            </w:r>
            <w:r w:rsidRPr="000E52E2">
              <w:t>re</w:t>
            </w:r>
            <w:r w:rsidR="009418CB">
              <w:noBreakHyphen/>
            </w:r>
            <w:r w:rsidRPr="000E52E2">
              <w:t>screening (see sections 1.4 and 4.1).</w:t>
            </w:r>
          </w:p>
        </w:tc>
      </w:tr>
      <w:tr w:rsidR="006B3736" w:rsidRPr="000E52E2" w:rsidTr="009418CB">
        <w:trPr>
          <w:cantSplit/>
        </w:trPr>
        <w:tc>
          <w:tcPr>
            <w:tcW w:w="1560"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rPr>
                <w:rFonts w:eastAsia="Arial" w:cs="Arial"/>
                <w:szCs w:val="19"/>
              </w:rPr>
            </w:pPr>
            <w:r w:rsidRPr="000E52E2">
              <w:t>R2</w:t>
            </w:r>
            <w:r w:rsidR="009418CB">
              <w:br/>
            </w:r>
            <w:r w:rsidRPr="000E52E2">
              <w:t>Mild</w:t>
            </w:r>
          </w:p>
        </w:tc>
        <w:tc>
          <w:tcPr>
            <w:tcW w:w="2976"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&gt; 4 MAs or dot haemorrhages. Exudates &gt; 2 DD from fovea.</w:t>
            </w:r>
          </w:p>
          <w:p w:rsidR="006B3736" w:rsidRPr="000E52E2" w:rsidRDefault="006B3736" w:rsidP="009418CB">
            <w:pPr>
              <w:pStyle w:val="TableText"/>
              <w:ind w:right="113"/>
              <w:rPr>
                <w:rFonts w:eastAsia="Arial" w:cs="Arial"/>
                <w:szCs w:val="19"/>
              </w:rPr>
            </w:pPr>
            <w:r w:rsidRPr="000E52E2">
              <w:t>Some blot and larger haemorrhages acceptable.</w:t>
            </w:r>
          </w:p>
          <w:p w:rsidR="006B3736" w:rsidRPr="000E52E2" w:rsidRDefault="006B3736" w:rsidP="009418CB">
            <w:pPr>
              <w:pStyle w:val="TableText"/>
              <w:ind w:right="113"/>
              <w:rPr>
                <w:rFonts w:eastAsia="Arial" w:cs="Arial"/>
                <w:szCs w:val="19"/>
              </w:rPr>
            </w:pPr>
            <w:r w:rsidRPr="000E52E2">
              <w:t>If more than 20 MAs or haemorrhages per photographic field, upgrade to R3, moderate.</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Rescreen after 12</w:t>
            </w:r>
            <w:r w:rsidR="009418CB">
              <w:t> </w:t>
            </w:r>
            <w:r w:rsidRPr="000E52E2">
              <w:t>months.</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rPr>
                <w:rFonts w:eastAsia="Arial" w:cs="Arial"/>
                <w:szCs w:val="19"/>
              </w:rPr>
            </w:pPr>
            <w:r w:rsidRPr="000E52E2">
              <w:t>See additional notes for peripheral retinopathy.</w:t>
            </w:r>
          </w:p>
          <w:p w:rsidR="006B3736" w:rsidRPr="000E52E2" w:rsidRDefault="006B3736" w:rsidP="009418CB">
            <w:pPr>
              <w:pStyle w:val="TableText"/>
              <w:rPr>
                <w:rFonts w:eastAsia="Arial" w:cs="Arial"/>
                <w:szCs w:val="19"/>
              </w:rPr>
            </w:pPr>
            <w:r w:rsidRPr="009418CB">
              <w:rPr>
                <w:b/>
              </w:rPr>
              <w:t>Type 2:</w:t>
            </w:r>
            <w:r w:rsidRPr="000E52E2">
              <w:t xml:space="preserve"> interval may be extended to 18 months if current HbA1c is</w:t>
            </w:r>
            <w:r w:rsidR="009418CB">
              <w:t xml:space="preserve"> </w:t>
            </w:r>
            <w:r w:rsidRPr="000E52E2">
              <w:t>&lt;</w:t>
            </w:r>
            <w:r w:rsidR="009418CB">
              <w:t> </w:t>
            </w:r>
            <w:r w:rsidRPr="000E52E2">
              <w:t>64</w:t>
            </w:r>
            <w:r w:rsidR="009418CB">
              <w:t> </w:t>
            </w:r>
            <w:proofErr w:type="spellStart"/>
            <w:r w:rsidRPr="000E52E2">
              <w:t>mmol</w:t>
            </w:r>
            <w:proofErr w:type="spellEnd"/>
            <w:r w:rsidRPr="000E52E2">
              <w:t>/mol.</w:t>
            </w:r>
          </w:p>
        </w:tc>
      </w:tr>
      <w:tr w:rsidR="006B3736" w:rsidRPr="000E52E2" w:rsidTr="009418CB">
        <w:trPr>
          <w:cantSplit/>
        </w:trPr>
        <w:tc>
          <w:tcPr>
            <w:tcW w:w="1560"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rPr>
                <w:rFonts w:eastAsia="Arial" w:cs="Arial"/>
                <w:szCs w:val="19"/>
              </w:rPr>
            </w:pPr>
            <w:r w:rsidRPr="000E52E2">
              <w:t>R3</w:t>
            </w:r>
            <w:r w:rsidR="009418CB">
              <w:br/>
            </w:r>
            <w:r w:rsidRPr="000E52E2">
              <w:t>Moderate</w:t>
            </w:r>
          </w:p>
        </w:tc>
        <w:tc>
          <w:tcPr>
            <w:tcW w:w="2976"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Any features of Mild.</w:t>
            </w:r>
          </w:p>
          <w:p w:rsidR="006B3736" w:rsidRPr="000E52E2" w:rsidRDefault="006B3736" w:rsidP="009418CB">
            <w:pPr>
              <w:pStyle w:val="TableText"/>
              <w:ind w:right="113"/>
              <w:rPr>
                <w:rFonts w:eastAsia="Arial" w:cs="Arial"/>
                <w:szCs w:val="19"/>
              </w:rPr>
            </w:pPr>
            <w:r w:rsidRPr="000E52E2">
              <w:t>Blot or larger haemorrhages.</w:t>
            </w:r>
          </w:p>
          <w:p w:rsidR="006B3736" w:rsidRPr="000E52E2" w:rsidRDefault="006B3736" w:rsidP="009418CB">
            <w:pPr>
              <w:pStyle w:val="TableText"/>
              <w:ind w:right="113"/>
              <w:rPr>
                <w:rFonts w:eastAsia="Arial" w:cs="Arial"/>
                <w:szCs w:val="19"/>
              </w:rPr>
            </w:pPr>
            <w:r w:rsidRPr="000E52E2">
              <w:t>Up to one quadrant of venous beading.</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Re-screen 6 months.</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rPr>
                <w:rFonts w:eastAsia="Arial" w:cs="Arial"/>
                <w:szCs w:val="19"/>
              </w:rPr>
            </w:pPr>
            <w:r w:rsidRPr="000E52E2">
              <w:t xml:space="preserve">If HbA1c &gt; 75 </w:t>
            </w:r>
            <w:proofErr w:type="spellStart"/>
            <w:r w:rsidRPr="000E52E2">
              <w:t>mmol</w:t>
            </w:r>
            <w:proofErr w:type="spellEnd"/>
            <w:r w:rsidRPr="000E52E2">
              <w:t xml:space="preserve">/ </w:t>
            </w:r>
            <w:proofErr w:type="spellStart"/>
            <w:r w:rsidRPr="000E52E2">
              <w:t>mol</w:t>
            </w:r>
            <w:proofErr w:type="spellEnd"/>
            <w:r w:rsidRPr="000E52E2">
              <w:t>, consider review by ophthalmologist within 4</w:t>
            </w:r>
            <w:r w:rsidR="009418CB">
              <w:t> </w:t>
            </w:r>
            <w:r w:rsidRPr="000E52E2">
              <w:t>months.</w:t>
            </w:r>
          </w:p>
        </w:tc>
      </w:tr>
      <w:tr w:rsidR="006B3736" w:rsidRPr="000E52E2" w:rsidTr="009418CB">
        <w:trPr>
          <w:cantSplit/>
        </w:trPr>
        <w:tc>
          <w:tcPr>
            <w:tcW w:w="1560"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rPr>
                <w:rFonts w:eastAsia="Arial" w:cs="Arial"/>
                <w:szCs w:val="19"/>
              </w:rPr>
            </w:pPr>
            <w:r w:rsidRPr="000E52E2">
              <w:t>R4</w:t>
            </w:r>
            <w:r w:rsidR="009418CB">
              <w:br/>
            </w:r>
            <w:r w:rsidRPr="000E52E2">
              <w:t>Severe</w:t>
            </w:r>
          </w:p>
        </w:tc>
        <w:tc>
          <w:tcPr>
            <w:tcW w:w="2976"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One or more of:</w:t>
            </w:r>
          </w:p>
          <w:p w:rsidR="006B3736" w:rsidRPr="000E52E2" w:rsidRDefault="006B3736" w:rsidP="009418CB">
            <w:pPr>
              <w:pStyle w:val="TableBullet"/>
              <w:ind w:right="113"/>
              <w:rPr>
                <w:rFonts w:eastAsia="Arial" w:cs="Arial"/>
                <w:szCs w:val="19"/>
              </w:rPr>
            </w:pPr>
            <w:r w:rsidRPr="000E52E2">
              <w:t>definite intra-retinal microvascular abnormalities</w:t>
            </w:r>
            <w:r w:rsidR="00464C89">
              <w:t xml:space="preserve"> </w:t>
            </w:r>
            <w:r w:rsidRPr="000E52E2">
              <w:t>(IRMA)</w:t>
            </w:r>
          </w:p>
          <w:p w:rsidR="006B3736" w:rsidRPr="000E52E2" w:rsidRDefault="006B3736" w:rsidP="009418CB">
            <w:pPr>
              <w:pStyle w:val="TableBullet"/>
              <w:ind w:right="113"/>
              <w:rPr>
                <w:rFonts w:eastAsia="Arial" w:cs="Arial"/>
                <w:szCs w:val="19"/>
              </w:rPr>
            </w:pPr>
            <w:r w:rsidRPr="000E52E2">
              <w:t>two quadrants or more of venous beading</w:t>
            </w:r>
          </w:p>
          <w:p w:rsidR="006B3736" w:rsidRPr="000E52E2" w:rsidRDefault="006B3736" w:rsidP="009418CB">
            <w:pPr>
              <w:pStyle w:val="TableBullet"/>
              <w:ind w:right="113"/>
              <w:rPr>
                <w:rFonts w:eastAsia="Arial" w:cs="Arial"/>
                <w:szCs w:val="19"/>
              </w:rPr>
            </w:pPr>
            <w:proofErr w:type="gramStart"/>
            <w:r w:rsidRPr="000E52E2">
              <w:t>four</w:t>
            </w:r>
            <w:proofErr w:type="gramEnd"/>
            <w:r w:rsidRPr="000E52E2">
              <w:t xml:space="preserve"> quadrants of blot or larger haemorrhages.</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Review by ophthalmologist within</w:t>
            </w:r>
            <w:r w:rsidR="009418CB">
              <w:t xml:space="preserve"> </w:t>
            </w:r>
            <w:r w:rsidRPr="000E52E2">
              <w:t>6</w:t>
            </w:r>
            <w:r w:rsidR="009418CB">
              <w:t> </w:t>
            </w:r>
            <w:r w:rsidRPr="000E52E2">
              <w:t>weeks.</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6B3736" w:rsidRPr="000E52E2" w:rsidRDefault="006B3736" w:rsidP="009418CB">
            <w:pPr>
              <w:pStyle w:val="TableText"/>
            </w:pPr>
          </w:p>
        </w:tc>
      </w:tr>
      <w:tr w:rsidR="006B3736" w:rsidRPr="000E52E2" w:rsidTr="009418CB">
        <w:trPr>
          <w:cantSplit/>
        </w:trPr>
        <w:tc>
          <w:tcPr>
            <w:tcW w:w="1560" w:type="dxa"/>
            <w:tcBorders>
              <w:top w:val="single" w:sz="4" w:space="0" w:color="A6A6A6" w:themeColor="background1" w:themeShade="A6"/>
            </w:tcBorders>
            <w:shd w:val="clear" w:color="auto" w:fill="auto"/>
          </w:tcPr>
          <w:p w:rsidR="006B3736" w:rsidRPr="000E52E2" w:rsidRDefault="006B3736" w:rsidP="009418CB">
            <w:pPr>
              <w:pStyle w:val="TableText"/>
              <w:rPr>
                <w:rFonts w:eastAsia="Arial" w:cs="Arial"/>
                <w:szCs w:val="19"/>
              </w:rPr>
            </w:pPr>
            <w:r w:rsidRPr="000E52E2">
              <w:t>R5</w:t>
            </w:r>
            <w:r w:rsidR="009418CB">
              <w:br/>
            </w:r>
            <w:r w:rsidRPr="000E52E2">
              <w:t>Proliferative</w:t>
            </w:r>
          </w:p>
        </w:tc>
        <w:tc>
          <w:tcPr>
            <w:tcW w:w="2976" w:type="dxa"/>
            <w:tcBorders>
              <w:top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One or more of:</w:t>
            </w:r>
          </w:p>
          <w:p w:rsidR="006B3736" w:rsidRPr="000E52E2" w:rsidRDefault="006B3736" w:rsidP="009418CB">
            <w:pPr>
              <w:pStyle w:val="TableBullet"/>
              <w:ind w:right="113"/>
              <w:rPr>
                <w:rFonts w:eastAsia="Arial" w:cs="Arial"/>
                <w:szCs w:val="19"/>
              </w:rPr>
            </w:pPr>
            <w:r w:rsidRPr="000E52E2">
              <w:t>neovascularisation</w:t>
            </w:r>
          </w:p>
          <w:p w:rsidR="006B3736" w:rsidRPr="000E52E2" w:rsidRDefault="006B3736" w:rsidP="009418CB">
            <w:pPr>
              <w:pStyle w:val="TableBullet"/>
              <w:ind w:right="113"/>
              <w:rPr>
                <w:rFonts w:eastAsia="Arial" w:cs="Arial"/>
                <w:szCs w:val="19"/>
              </w:rPr>
            </w:pPr>
            <w:r w:rsidRPr="000E52E2">
              <w:t>sub-</w:t>
            </w:r>
            <w:proofErr w:type="spellStart"/>
            <w:r w:rsidRPr="000E52E2">
              <w:t>hyaloid</w:t>
            </w:r>
            <w:proofErr w:type="spellEnd"/>
            <w:r w:rsidRPr="000E52E2">
              <w:t xml:space="preserve"> or vitreous haemorrhage</w:t>
            </w:r>
          </w:p>
          <w:p w:rsidR="006B3736" w:rsidRPr="000E52E2" w:rsidRDefault="006B3736" w:rsidP="009418CB">
            <w:pPr>
              <w:pStyle w:val="TableBullet"/>
              <w:ind w:right="113"/>
              <w:rPr>
                <w:rFonts w:eastAsia="Arial" w:cs="Arial"/>
                <w:szCs w:val="19"/>
              </w:rPr>
            </w:pPr>
            <w:proofErr w:type="gramStart"/>
            <w:r w:rsidRPr="000E52E2">
              <w:t>traction</w:t>
            </w:r>
            <w:proofErr w:type="gramEnd"/>
            <w:r w:rsidRPr="000E52E2">
              <w:t xml:space="preserve"> retinal detachment or retinal gliosis.</w:t>
            </w:r>
          </w:p>
        </w:tc>
        <w:tc>
          <w:tcPr>
            <w:tcW w:w="2268" w:type="dxa"/>
            <w:tcBorders>
              <w:top w:val="single" w:sz="4" w:space="0" w:color="A6A6A6" w:themeColor="background1" w:themeShade="A6"/>
            </w:tcBorders>
            <w:shd w:val="clear" w:color="auto" w:fill="auto"/>
          </w:tcPr>
          <w:p w:rsidR="006B3736" w:rsidRPr="000E52E2" w:rsidRDefault="006B3736" w:rsidP="009418CB">
            <w:pPr>
              <w:pStyle w:val="TableText"/>
              <w:ind w:right="113"/>
              <w:rPr>
                <w:rFonts w:eastAsia="Arial" w:cs="Arial"/>
                <w:szCs w:val="19"/>
              </w:rPr>
            </w:pPr>
            <w:r w:rsidRPr="000E52E2">
              <w:t>Urgent referral to ophthalmologist; consider review within 2</w:t>
            </w:r>
            <w:r w:rsidR="009418CB">
              <w:t> </w:t>
            </w:r>
            <w:r w:rsidRPr="000E52E2">
              <w:t>weeks.</w:t>
            </w:r>
          </w:p>
        </w:tc>
        <w:tc>
          <w:tcPr>
            <w:tcW w:w="2552" w:type="dxa"/>
            <w:tcBorders>
              <w:top w:val="single" w:sz="4" w:space="0" w:color="A6A6A6" w:themeColor="background1" w:themeShade="A6"/>
            </w:tcBorders>
            <w:shd w:val="clear" w:color="auto" w:fill="auto"/>
          </w:tcPr>
          <w:p w:rsidR="006B3736" w:rsidRPr="000E52E2" w:rsidRDefault="006B3736" w:rsidP="009418CB">
            <w:pPr>
              <w:pStyle w:val="TableText"/>
            </w:pPr>
          </w:p>
        </w:tc>
      </w:tr>
    </w:tbl>
    <w:p w:rsidR="006B3736" w:rsidRPr="000E52E2" w:rsidRDefault="006B3736" w:rsidP="00460C0A">
      <w:pPr>
        <w:pStyle w:val="Note"/>
        <w:rPr>
          <w:rFonts w:eastAsia="Arial" w:cs="Arial"/>
          <w:szCs w:val="18"/>
        </w:rPr>
      </w:pPr>
      <w:r w:rsidRPr="000E52E2">
        <w:t>Note: DD = disc diameters</w:t>
      </w:r>
      <w:r w:rsidR="00464C89">
        <w:t xml:space="preserve"> </w:t>
      </w:r>
      <w:r w:rsidRPr="000E52E2">
        <w:t>Source: Looker et al 2013.</w:t>
      </w:r>
    </w:p>
    <w:p w:rsidR="006B3736" w:rsidRPr="000E52E2" w:rsidRDefault="006B3736" w:rsidP="00460C0A">
      <w:pPr>
        <w:rPr>
          <w:rFonts w:eastAsia="Arial"/>
        </w:rPr>
      </w:pPr>
    </w:p>
    <w:p w:rsidR="006B3736" w:rsidRPr="000E52E2" w:rsidRDefault="006B3736" w:rsidP="00460C0A">
      <w:r w:rsidRPr="000E52E2">
        <w:rPr>
          <w:b/>
        </w:rPr>
        <w:lastRenderedPageBreak/>
        <w:t xml:space="preserve">R3 Moderate: </w:t>
      </w:r>
      <w:r w:rsidRPr="000E52E2">
        <w:t>R3 is the threshold for patient referral to ophthalmologic care, but some programmes may elect to keep these patients within the retinal screening programme for the purposes of diabetic retinopathy (DR) monitoring. However, it is recommended that individuals receive ophthalmic clinical examination to exclude significant peripheral disease beyond the photographic fields before continuing with retinal monitoring. The first specialist assessment is suggested within four months, and subsequent reviews may be at longer intervals.</w:t>
      </w:r>
    </w:p>
    <w:p w:rsidR="006B3736" w:rsidRPr="000E52E2" w:rsidRDefault="006B3736" w:rsidP="00460C0A">
      <w:pPr>
        <w:rPr>
          <w:rFonts w:eastAsia="Century"/>
        </w:rPr>
      </w:pPr>
    </w:p>
    <w:p w:rsidR="006B3736" w:rsidRPr="000E52E2" w:rsidRDefault="006B3736" w:rsidP="00460C0A">
      <w:r w:rsidRPr="000E52E2">
        <w:rPr>
          <w:b/>
        </w:rPr>
        <w:t xml:space="preserve">RT: Previously treated proliferative retinopathy: </w:t>
      </w:r>
      <w:r w:rsidRPr="000E52E2">
        <w:t>Where a patient is known to have been discharged from ophthalmic care with previously treated but stable DR, they can be graded in terms of the guidance. Normally, before discharge, a period of at least two years should have passed since their last treatment. Clinicians should be aware that DR may be more difficult to visualise in the presence</w:t>
      </w:r>
      <w:r w:rsidR="00460C0A">
        <w:t xml:space="preserve"> </w:t>
      </w:r>
      <w:r w:rsidRPr="000E52E2">
        <w:t>of laser scars. If there is any uncertainty, the patient should be referred to the local DR monitoring services.</w:t>
      </w:r>
    </w:p>
    <w:p w:rsidR="00460C0A" w:rsidRPr="000E52E2" w:rsidRDefault="00460C0A" w:rsidP="00460C0A">
      <w:pPr>
        <w:rPr>
          <w:rFonts w:eastAsia="Century"/>
        </w:rPr>
      </w:pPr>
    </w:p>
    <w:p w:rsidR="006B3736" w:rsidRPr="000E52E2" w:rsidRDefault="006B3736" w:rsidP="00460C0A">
      <w:r w:rsidRPr="000E52E2">
        <w:rPr>
          <w:b/>
        </w:rPr>
        <w:t xml:space="preserve">Cotton-wool spots: </w:t>
      </w:r>
      <w:r w:rsidRPr="000E52E2">
        <w:t>These are no longer thought to correlate with DR severity or to be predictive of progression. They are therefore not part of the grading system but should prompt a search for the presence of other abnormalities, such as venous beading, intra-retinal microvascular abnormalities (IRMA) or hypertensive retinopathy.</w:t>
      </w:r>
    </w:p>
    <w:p w:rsidR="006B3736" w:rsidRPr="000E52E2" w:rsidRDefault="006B3736" w:rsidP="00460C0A"/>
    <w:p w:rsidR="006B3736" w:rsidRPr="000E52E2" w:rsidRDefault="006B3736" w:rsidP="00460C0A">
      <w:pPr>
        <w:pStyle w:val="Heading2"/>
        <w:ind w:left="0" w:firstLine="0"/>
        <w:rPr>
          <w:rFonts w:eastAsia="Georgia" w:cs="Georgia"/>
          <w:szCs w:val="40"/>
        </w:rPr>
      </w:pPr>
      <w:bookmarkStart w:id="74" w:name="_Toc446335180"/>
      <w:r w:rsidRPr="000E52E2">
        <w:t>Grading and recommended screening intervals for diabetic macular disease</w:t>
      </w:r>
      <w:bookmarkEnd w:id="74"/>
    </w:p>
    <w:p w:rsidR="006B3736" w:rsidRPr="000E52E2" w:rsidRDefault="006B3736" w:rsidP="00460C0A">
      <w:r w:rsidRPr="000E52E2">
        <w:t xml:space="preserve">Note: Grading is based on the grade in the worst eye. Any diabetic </w:t>
      </w:r>
      <w:proofErr w:type="spellStart"/>
      <w:r w:rsidRPr="000E52E2">
        <w:t>maculopathy</w:t>
      </w:r>
      <w:proofErr w:type="spellEnd"/>
      <w:r w:rsidRPr="000E52E2">
        <w:t>, even in the absence of any peripheral DR, means a retinopathy grade of at least R1.</w:t>
      </w:r>
    </w:p>
    <w:p w:rsidR="006B3736" w:rsidRPr="000E52E2" w:rsidRDefault="006B3736" w:rsidP="00460C0A">
      <w:pPr>
        <w:rPr>
          <w:rFonts w:eastAsia="Century"/>
        </w:rPr>
      </w:pPr>
    </w:p>
    <w:p w:rsidR="006B3736" w:rsidRPr="000E52E2" w:rsidRDefault="006B3736" w:rsidP="00460C0A">
      <w:pPr>
        <w:pStyle w:val="Table"/>
        <w:rPr>
          <w:rFonts w:eastAsia="Georgia" w:cs="Georgia"/>
          <w:szCs w:val="18"/>
        </w:rPr>
      </w:pPr>
      <w:bookmarkStart w:id="75" w:name="_Toc446335202"/>
      <w:r w:rsidRPr="000E52E2">
        <w:t>Table D: Diabetic macular disease classification and referral guidance</w:t>
      </w:r>
      <w:bookmarkEnd w:id="75"/>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813"/>
        <w:gridCol w:w="1314"/>
        <w:gridCol w:w="2551"/>
        <w:gridCol w:w="2387"/>
        <w:gridCol w:w="2291"/>
      </w:tblGrid>
      <w:tr w:rsidR="006B3736" w:rsidRPr="009418CB" w:rsidTr="004C6767">
        <w:trPr>
          <w:cantSplit/>
          <w:tblHeader/>
        </w:trPr>
        <w:tc>
          <w:tcPr>
            <w:tcW w:w="813" w:type="dxa"/>
            <w:tcBorders>
              <w:top w:val="single" w:sz="4" w:space="0" w:color="auto"/>
              <w:bottom w:val="single" w:sz="4" w:space="0" w:color="auto"/>
            </w:tcBorders>
          </w:tcPr>
          <w:p w:rsidR="006B3736" w:rsidRPr="009418CB" w:rsidRDefault="006B3736" w:rsidP="009418CB">
            <w:pPr>
              <w:pStyle w:val="TableText"/>
              <w:rPr>
                <w:rFonts w:eastAsia="Arial" w:cs="Arial"/>
                <w:b/>
                <w:szCs w:val="19"/>
              </w:rPr>
            </w:pPr>
            <w:r w:rsidRPr="009418CB">
              <w:rPr>
                <w:b/>
              </w:rPr>
              <w:t>Grade</w:t>
            </w:r>
          </w:p>
        </w:tc>
        <w:tc>
          <w:tcPr>
            <w:tcW w:w="1314" w:type="dxa"/>
            <w:tcBorders>
              <w:top w:val="single" w:sz="4" w:space="0" w:color="auto"/>
              <w:bottom w:val="single" w:sz="4" w:space="0" w:color="auto"/>
            </w:tcBorders>
          </w:tcPr>
          <w:p w:rsidR="006B3736" w:rsidRPr="009418CB" w:rsidRDefault="006B3736" w:rsidP="009418CB">
            <w:pPr>
              <w:pStyle w:val="TableText"/>
              <w:rPr>
                <w:rFonts w:eastAsia="Arial" w:cs="Arial"/>
                <w:b/>
                <w:szCs w:val="19"/>
              </w:rPr>
            </w:pPr>
            <w:r w:rsidRPr="009418CB">
              <w:rPr>
                <w:b/>
              </w:rPr>
              <w:t>Brief description</w:t>
            </w:r>
          </w:p>
        </w:tc>
        <w:tc>
          <w:tcPr>
            <w:tcW w:w="2551" w:type="dxa"/>
            <w:tcBorders>
              <w:top w:val="single" w:sz="4" w:space="0" w:color="auto"/>
              <w:bottom w:val="single" w:sz="4" w:space="0" w:color="auto"/>
            </w:tcBorders>
          </w:tcPr>
          <w:p w:rsidR="006B3736" w:rsidRPr="009418CB" w:rsidRDefault="006B3736" w:rsidP="004C6767">
            <w:pPr>
              <w:pStyle w:val="TableText"/>
              <w:ind w:right="113"/>
              <w:rPr>
                <w:rFonts w:eastAsia="Arial" w:cs="Arial"/>
                <w:b/>
                <w:szCs w:val="19"/>
              </w:rPr>
            </w:pPr>
            <w:r w:rsidRPr="009418CB">
              <w:rPr>
                <w:b/>
              </w:rPr>
              <w:t>Clinical signs</w:t>
            </w:r>
          </w:p>
        </w:tc>
        <w:tc>
          <w:tcPr>
            <w:tcW w:w="2387" w:type="dxa"/>
            <w:tcBorders>
              <w:top w:val="single" w:sz="4" w:space="0" w:color="auto"/>
              <w:bottom w:val="single" w:sz="4" w:space="0" w:color="auto"/>
            </w:tcBorders>
          </w:tcPr>
          <w:p w:rsidR="006B3736" w:rsidRPr="009418CB" w:rsidRDefault="006B3736" w:rsidP="004C6767">
            <w:pPr>
              <w:pStyle w:val="TableText"/>
              <w:ind w:right="113"/>
              <w:rPr>
                <w:rFonts w:eastAsia="Arial" w:cs="Arial"/>
                <w:b/>
                <w:szCs w:val="19"/>
              </w:rPr>
            </w:pPr>
            <w:r w:rsidRPr="009418CB">
              <w:rPr>
                <w:b/>
              </w:rPr>
              <w:t>Outcome</w:t>
            </w:r>
          </w:p>
        </w:tc>
        <w:tc>
          <w:tcPr>
            <w:tcW w:w="2291" w:type="dxa"/>
            <w:tcBorders>
              <w:top w:val="single" w:sz="4" w:space="0" w:color="auto"/>
              <w:bottom w:val="single" w:sz="4" w:space="0" w:color="auto"/>
            </w:tcBorders>
          </w:tcPr>
          <w:p w:rsidR="006B3736" w:rsidRPr="009418CB" w:rsidRDefault="006B3736" w:rsidP="009418CB">
            <w:pPr>
              <w:pStyle w:val="TableText"/>
              <w:rPr>
                <w:rFonts w:eastAsia="Arial" w:cs="Arial"/>
                <w:b/>
                <w:szCs w:val="19"/>
              </w:rPr>
            </w:pPr>
            <w:r w:rsidRPr="009418CB">
              <w:rPr>
                <w:b/>
              </w:rPr>
              <w:t>Notes</w:t>
            </w:r>
          </w:p>
        </w:tc>
      </w:tr>
      <w:tr w:rsidR="006B3736" w:rsidRPr="000E52E2" w:rsidTr="004C6767">
        <w:trPr>
          <w:cantSplit/>
        </w:trPr>
        <w:tc>
          <w:tcPr>
            <w:tcW w:w="813" w:type="dxa"/>
            <w:tcBorders>
              <w:top w:val="single" w:sz="4" w:space="0" w:color="auto"/>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M0</w:t>
            </w:r>
          </w:p>
        </w:tc>
        <w:tc>
          <w:tcPr>
            <w:tcW w:w="1314" w:type="dxa"/>
            <w:tcBorders>
              <w:top w:val="single" w:sz="4" w:space="0" w:color="auto"/>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No macular disease</w:t>
            </w:r>
          </w:p>
        </w:tc>
        <w:tc>
          <w:tcPr>
            <w:tcW w:w="2551" w:type="dxa"/>
            <w:tcBorders>
              <w:top w:val="single" w:sz="4" w:space="0" w:color="auto"/>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t xml:space="preserve">No </w:t>
            </w:r>
            <w:proofErr w:type="spellStart"/>
            <w:r w:rsidRPr="000E52E2">
              <w:t>microaneurysms</w:t>
            </w:r>
            <w:proofErr w:type="spellEnd"/>
            <w:r w:rsidRPr="000E52E2">
              <w:t xml:space="preserve"> (MAs),</w:t>
            </w:r>
            <w:r w:rsidR="00464C89">
              <w:t xml:space="preserve"> </w:t>
            </w:r>
            <w:r w:rsidRPr="000E52E2">
              <w:t>haemorrhages or exudate within 2 DD of the fovea.</w:t>
            </w:r>
          </w:p>
        </w:tc>
        <w:tc>
          <w:tcPr>
            <w:tcW w:w="2387" w:type="dxa"/>
            <w:tcBorders>
              <w:top w:val="single" w:sz="4" w:space="0" w:color="auto"/>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4C6767">
              <w:rPr>
                <w:b/>
              </w:rPr>
              <w:t>Type 1:</w:t>
            </w:r>
            <w:r w:rsidRPr="000E52E2">
              <w:t xml:space="preserve"> re-screen at 2</w:t>
            </w:r>
            <w:r w:rsidR="004C6767">
              <w:t> </w:t>
            </w:r>
            <w:r w:rsidRPr="000E52E2">
              <w:t>years.</w:t>
            </w:r>
          </w:p>
          <w:p w:rsidR="006B3736" w:rsidRPr="000E52E2" w:rsidRDefault="006B3736" w:rsidP="004C6767">
            <w:pPr>
              <w:pStyle w:val="TableText"/>
              <w:ind w:right="113"/>
              <w:rPr>
                <w:rFonts w:eastAsia="Arial" w:cs="Arial"/>
                <w:szCs w:val="19"/>
              </w:rPr>
            </w:pPr>
            <w:r w:rsidRPr="004C6767">
              <w:rPr>
                <w:b/>
              </w:rPr>
              <w:t>Type 2:</w:t>
            </w:r>
            <w:r w:rsidRPr="000E52E2">
              <w:t xml:space="preserve"> re-screen at 3</w:t>
            </w:r>
            <w:r w:rsidR="004C6767">
              <w:t> </w:t>
            </w:r>
            <w:r w:rsidRPr="000E52E2">
              <w:t>years if HbA1c &lt;</w:t>
            </w:r>
            <w:r w:rsidR="004C6767">
              <w:t> </w:t>
            </w:r>
            <w:r w:rsidRPr="000E52E2">
              <w:t>64</w:t>
            </w:r>
            <w:r w:rsidR="004C6767">
              <w:t> </w:t>
            </w:r>
            <w:proofErr w:type="spellStart"/>
            <w:r w:rsidRPr="000E52E2">
              <w:t>mmol</w:t>
            </w:r>
            <w:proofErr w:type="spellEnd"/>
            <w:r w:rsidRPr="000E52E2">
              <w:t>/</w:t>
            </w:r>
            <w:proofErr w:type="spellStart"/>
            <w:r w:rsidRPr="000E52E2">
              <w:t>mol</w:t>
            </w:r>
            <w:proofErr w:type="spellEnd"/>
            <w:r w:rsidRPr="000E52E2">
              <w:t xml:space="preserve"> and clinical modifiers may result in earlier re-screening.</w:t>
            </w:r>
          </w:p>
        </w:tc>
        <w:tc>
          <w:tcPr>
            <w:tcW w:w="2291" w:type="dxa"/>
            <w:tcBorders>
              <w:top w:val="single" w:sz="4" w:space="0" w:color="auto"/>
              <w:bottom w:val="single" w:sz="4" w:space="0" w:color="A6A6A6" w:themeColor="background1" w:themeShade="A6"/>
            </w:tcBorders>
          </w:tcPr>
          <w:p w:rsidR="006B3736" w:rsidRPr="000E52E2" w:rsidRDefault="006B3736" w:rsidP="004C6767">
            <w:pPr>
              <w:pStyle w:val="TableText"/>
              <w:rPr>
                <w:rFonts w:eastAsia="Arial" w:cs="Arial"/>
                <w:szCs w:val="19"/>
              </w:rPr>
            </w:pPr>
            <w:r w:rsidRPr="000E52E2">
              <w:t>The presence of clinical modifiers may result</w:t>
            </w:r>
            <w:r w:rsidR="004C6767">
              <w:t xml:space="preserve"> </w:t>
            </w:r>
            <w:r w:rsidRPr="000E52E2">
              <w:t>in earlier re-screening (see sections 1.4 and 4.1).</w:t>
            </w:r>
          </w:p>
        </w:tc>
      </w:tr>
      <w:tr w:rsidR="006B3736" w:rsidRPr="000E52E2" w:rsidTr="004C6767">
        <w:trPr>
          <w:cantSplit/>
        </w:trPr>
        <w:tc>
          <w:tcPr>
            <w:tcW w:w="813"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M1</w:t>
            </w:r>
          </w:p>
        </w:tc>
        <w:tc>
          <w:tcPr>
            <w:tcW w:w="1314"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Minimal</w:t>
            </w:r>
          </w:p>
        </w:tc>
        <w:tc>
          <w:tcPr>
            <w:tcW w:w="2551"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t>MAs and haemorrhages within 2 DD but outside 1</w:t>
            </w:r>
            <w:r w:rsidR="009418CB">
              <w:t> </w:t>
            </w:r>
            <w:r w:rsidRPr="000E52E2">
              <w:t>DD of the fovea (no exudate).</w:t>
            </w:r>
          </w:p>
        </w:tc>
        <w:tc>
          <w:tcPr>
            <w:tcW w:w="2387"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rPr>
                <w:rFonts w:eastAsia="Arial" w:cs="Arial"/>
                <w:szCs w:val="19"/>
              </w:rPr>
              <w:t>Re-screen at 1–2 years if current HbA1c &lt;</w:t>
            </w:r>
            <w:r w:rsidR="004C6767">
              <w:rPr>
                <w:rFonts w:eastAsia="Arial" w:cs="Arial"/>
                <w:szCs w:val="19"/>
              </w:rPr>
              <w:t> </w:t>
            </w:r>
            <w:r w:rsidRPr="000E52E2">
              <w:rPr>
                <w:rFonts w:eastAsia="Arial" w:cs="Arial"/>
                <w:szCs w:val="19"/>
              </w:rPr>
              <w:t>64</w:t>
            </w:r>
            <w:r w:rsidR="004C6767">
              <w:rPr>
                <w:rFonts w:eastAsia="Arial" w:cs="Arial"/>
                <w:szCs w:val="19"/>
              </w:rPr>
              <w:t> </w:t>
            </w:r>
            <w:proofErr w:type="spellStart"/>
            <w:r w:rsidRPr="000E52E2">
              <w:rPr>
                <w:rFonts w:eastAsia="Arial" w:cs="Arial"/>
                <w:szCs w:val="19"/>
              </w:rPr>
              <w:t>mmol</w:t>
            </w:r>
            <w:proofErr w:type="spellEnd"/>
            <w:r w:rsidRPr="000E52E2">
              <w:rPr>
                <w:rFonts w:eastAsia="Arial" w:cs="Arial"/>
                <w:szCs w:val="19"/>
              </w:rPr>
              <w:t>/mol.</w:t>
            </w:r>
          </w:p>
        </w:tc>
        <w:tc>
          <w:tcPr>
            <w:tcW w:w="2291"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rPr>
                <w:rFonts w:eastAsia="Arial" w:cs="Arial"/>
                <w:szCs w:val="19"/>
              </w:rPr>
            </w:pPr>
            <w:r w:rsidRPr="000E52E2">
              <w:t xml:space="preserve">HbA1c &gt; 64 </w:t>
            </w:r>
            <w:proofErr w:type="spellStart"/>
            <w:r w:rsidRPr="000E52E2">
              <w:t>mmol</w:t>
            </w:r>
            <w:proofErr w:type="spellEnd"/>
            <w:r w:rsidRPr="000E52E2">
              <w:t>/</w:t>
            </w:r>
            <w:proofErr w:type="spellStart"/>
            <w:r w:rsidRPr="000E52E2">
              <w:t>mol</w:t>
            </w:r>
            <w:proofErr w:type="spellEnd"/>
            <w:r w:rsidRPr="000E52E2">
              <w:t xml:space="preserve"> and/or the presence of other clinical modifiers should result in earlier re</w:t>
            </w:r>
            <w:r w:rsidR="004C6767">
              <w:noBreakHyphen/>
            </w:r>
            <w:r w:rsidRPr="000E52E2">
              <w:t>screening at</w:t>
            </w:r>
            <w:r w:rsidR="004C6767">
              <w:t xml:space="preserve"> </w:t>
            </w:r>
            <w:r w:rsidRPr="000E52E2">
              <w:t>12 or 18</w:t>
            </w:r>
            <w:r w:rsidR="004C6767">
              <w:t> </w:t>
            </w:r>
            <w:r w:rsidRPr="000E52E2">
              <w:t>months.</w:t>
            </w:r>
          </w:p>
        </w:tc>
      </w:tr>
      <w:tr w:rsidR="006B3736" w:rsidRPr="000E52E2" w:rsidTr="004C6767">
        <w:trPr>
          <w:cantSplit/>
        </w:trPr>
        <w:tc>
          <w:tcPr>
            <w:tcW w:w="813"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M2</w:t>
            </w:r>
          </w:p>
        </w:tc>
        <w:tc>
          <w:tcPr>
            <w:tcW w:w="1314"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Mild</w:t>
            </w:r>
          </w:p>
        </w:tc>
        <w:tc>
          <w:tcPr>
            <w:tcW w:w="2551"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t>MAs or haemorrhages within 1 DD but no exudates or retinal thickening and no reduction in vision.</w:t>
            </w:r>
          </w:p>
        </w:tc>
        <w:tc>
          <w:tcPr>
            <w:tcW w:w="2387"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t>Re-screen at 12 months.</w:t>
            </w:r>
          </w:p>
        </w:tc>
        <w:tc>
          <w:tcPr>
            <w:tcW w:w="2291"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rPr>
                <w:rFonts w:eastAsia="Arial" w:cs="Arial"/>
                <w:szCs w:val="19"/>
              </w:rPr>
            </w:pPr>
            <w:r w:rsidRPr="000E52E2">
              <w:t xml:space="preserve">HbA1c &gt; 64 </w:t>
            </w:r>
            <w:proofErr w:type="spellStart"/>
            <w:r w:rsidRPr="000E52E2">
              <w:t>mmol</w:t>
            </w:r>
            <w:proofErr w:type="spellEnd"/>
            <w:r w:rsidRPr="000E52E2">
              <w:t>/</w:t>
            </w:r>
            <w:proofErr w:type="spellStart"/>
            <w:r w:rsidRPr="000E52E2">
              <w:t>mol</w:t>
            </w:r>
            <w:proofErr w:type="spellEnd"/>
            <w:r w:rsidRPr="000E52E2">
              <w:t xml:space="preserve"> and/or the presence of multiple central MAs or other clinical modifiers should result in earlier re</w:t>
            </w:r>
            <w:r w:rsidR="004C6767">
              <w:noBreakHyphen/>
            </w:r>
            <w:r w:rsidRPr="000E52E2">
              <w:t>screening at</w:t>
            </w:r>
            <w:r w:rsidR="004C6767">
              <w:t xml:space="preserve"> </w:t>
            </w:r>
            <w:r w:rsidRPr="000E52E2">
              <w:t>6 months.</w:t>
            </w:r>
          </w:p>
        </w:tc>
      </w:tr>
      <w:tr w:rsidR="006B3736" w:rsidRPr="000E52E2" w:rsidTr="004C6767">
        <w:trPr>
          <w:cantSplit/>
        </w:trPr>
        <w:tc>
          <w:tcPr>
            <w:tcW w:w="813"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M3</w:t>
            </w:r>
          </w:p>
        </w:tc>
        <w:tc>
          <w:tcPr>
            <w:tcW w:w="1314"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Mild</w:t>
            </w:r>
          </w:p>
        </w:tc>
        <w:tc>
          <w:tcPr>
            <w:tcW w:w="2551"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t>Exudates (and/or retinal thickening) within 2 DD of the fovea but outside 1</w:t>
            </w:r>
            <w:r w:rsidR="009418CB">
              <w:t> </w:t>
            </w:r>
            <w:r w:rsidRPr="000E52E2">
              <w:t>DD.</w:t>
            </w:r>
          </w:p>
        </w:tc>
        <w:tc>
          <w:tcPr>
            <w:tcW w:w="2387"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t>Re-screen at 6 months, or review by ophthalmologist within 4 months.</w:t>
            </w:r>
          </w:p>
        </w:tc>
        <w:tc>
          <w:tcPr>
            <w:tcW w:w="2291"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pPr>
          </w:p>
        </w:tc>
      </w:tr>
      <w:tr w:rsidR="006B3736" w:rsidRPr="000E52E2" w:rsidTr="004C6767">
        <w:trPr>
          <w:cantSplit/>
        </w:trPr>
        <w:tc>
          <w:tcPr>
            <w:tcW w:w="813"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lastRenderedPageBreak/>
              <w:t>M4</w:t>
            </w:r>
          </w:p>
        </w:tc>
        <w:tc>
          <w:tcPr>
            <w:tcW w:w="1314"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Moderate</w:t>
            </w:r>
          </w:p>
        </w:tc>
        <w:tc>
          <w:tcPr>
            <w:tcW w:w="2551"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t xml:space="preserve">Exudates or retinal thickening within 1 DD of the fovea. </w:t>
            </w:r>
            <w:proofErr w:type="spellStart"/>
            <w:r w:rsidRPr="000E52E2">
              <w:t>Foveola</w:t>
            </w:r>
            <w:proofErr w:type="spellEnd"/>
            <w:r w:rsidRPr="000E52E2">
              <w:t xml:space="preserve"> not involved.</w:t>
            </w:r>
          </w:p>
        </w:tc>
        <w:tc>
          <w:tcPr>
            <w:tcW w:w="2387"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t>Small exudate around a solitary MA may be</w:t>
            </w:r>
            <w:r w:rsidR="004C6767">
              <w:t xml:space="preserve"> </w:t>
            </w:r>
            <w:r w:rsidRPr="000E52E2">
              <w:t>re</w:t>
            </w:r>
            <w:r w:rsidR="004C6767">
              <w:noBreakHyphen/>
            </w:r>
            <w:r w:rsidRPr="000E52E2">
              <w:t>screened within 6</w:t>
            </w:r>
            <w:r w:rsidR="004C6767">
              <w:t> </w:t>
            </w:r>
            <w:r w:rsidRPr="000E52E2">
              <w:t>months.</w:t>
            </w:r>
          </w:p>
          <w:p w:rsidR="006B3736" w:rsidRPr="000E52E2" w:rsidRDefault="006B3736" w:rsidP="004C6767">
            <w:pPr>
              <w:pStyle w:val="TableText"/>
              <w:ind w:right="113"/>
              <w:rPr>
                <w:rFonts w:eastAsia="Arial" w:cs="Arial"/>
                <w:szCs w:val="19"/>
              </w:rPr>
            </w:pPr>
            <w:r w:rsidRPr="000E52E2">
              <w:t>All other cases should be reviewed by an ophthalmologist within 6</w:t>
            </w:r>
            <w:r w:rsidR="004C6767">
              <w:t> </w:t>
            </w:r>
            <w:r w:rsidRPr="000E52E2">
              <w:t>weeks.</w:t>
            </w:r>
          </w:p>
        </w:tc>
        <w:tc>
          <w:tcPr>
            <w:tcW w:w="2291"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pPr>
          </w:p>
        </w:tc>
      </w:tr>
      <w:tr w:rsidR="006B3736" w:rsidRPr="000E52E2" w:rsidTr="004C6767">
        <w:trPr>
          <w:cantSplit/>
        </w:trPr>
        <w:tc>
          <w:tcPr>
            <w:tcW w:w="813"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M5</w:t>
            </w:r>
          </w:p>
        </w:tc>
        <w:tc>
          <w:tcPr>
            <w:tcW w:w="1314"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rPr>
                <w:rFonts w:eastAsia="Arial" w:cs="Arial"/>
                <w:szCs w:val="19"/>
              </w:rPr>
            </w:pPr>
            <w:r w:rsidRPr="000E52E2">
              <w:t>Severe</w:t>
            </w:r>
          </w:p>
        </w:tc>
        <w:tc>
          <w:tcPr>
            <w:tcW w:w="2551"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t xml:space="preserve">Exudates or retinal thickening involving the </w:t>
            </w:r>
            <w:proofErr w:type="spellStart"/>
            <w:r w:rsidRPr="000E52E2">
              <w:t>foveola</w:t>
            </w:r>
            <w:proofErr w:type="spellEnd"/>
            <w:r w:rsidRPr="000E52E2">
              <w:t>.</w:t>
            </w:r>
          </w:p>
        </w:tc>
        <w:tc>
          <w:tcPr>
            <w:tcW w:w="2387" w:type="dxa"/>
            <w:tcBorders>
              <w:top w:val="single" w:sz="4" w:space="0" w:color="A6A6A6" w:themeColor="background1" w:themeShade="A6"/>
              <w:bottom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t>Ophthalmologist review within 6 weeks.</w:t>
            </w:r>
          </w:p>
        </w:tc>
        <w:tc>
          <w:tcPr>
            <w:tcW w:w="2291" w:type="dxa"/>
            <w:tcBorders>
              <w:top w:val="single" w:sz="4" w:space="0" w:color="A6A6A6" w:themeColor="background1" w:themeShade="A6"/>
              <w:bottom w:val="single" w:sz="4" w:space="0" w:color="A6A6A6" w:themeColor="background1" w:themeShade="A6"/>
            </w:tcBorders>
          </w:tcPr>
          <w:p w:rsidR="006B3736" w:rsidRPr="000E52E2" w:rsidRDefault="006B3736" w:rsidP="009418CB">
            <w:pPr>
              <w:pStyle w:val="TableText"/>
            </w:pPr>
          </w:p>
        </w:tc>
      </w:tr>
      <w:tr w:rsidR="006B3736" w:rsidRPr="000E52E2" w:rsidTr="004C6767">
        <w:trPr>
          <w:cantSplit/>
        </w:trPr>
        <w:tc>
          <w:tcPr>
            <w:tcW w:w="813" w:type="dxa"/>
            <w:tcBorders>
              <w:top w:val="single" w:sz="4" w:space="0" w:color="A6A6A6" w:themeColor="background1" w:themeShade="A6"/>
            </w:tcBorders>
          </w:tcPr>
          <w:p w:rsidR="006B3736" w:rsidRPr="000E52E2" w:rsidRDefault="006B3736" w:rsidP="009418CB">
            <w:pPr>
              <w:pStyle w:val="TableText"/>
              <w:rPr>
                <w:rFonts w:eastAsia="Arial" w:cs="Arial"/>
                <w:szCs w:val="19"/>
              </w:rPr>
            </w:pPr>
            <w:r w:rsidRPr="000E52E2">
              <w:t>MT</w:t>
            </w:r>
          </w:p>
        </w:tc>
        <w:tc>
          <w:tcPr>
            <w:tcW w:w="1314" w:type="dxa"/>
            <w:tcBorders>
              <w:top w:val="single" w:sz="4" w:space="0" w:color="A6A6A6" w:themeColor="background1" w:themeShade="A6"/>
            </w:tcBorders>
          </w:tcPr>
          <w:p w:rsidR="006B3736" w:rsidRPr="000E52E2" w:rsidRDefault="006B3736" w:rsidP="009418CB">
            <w:pPr>
              <w:pStyle w:val="TableText"/>
              <w:rPr>
                <w:rFonts w:eastAsia="Arial" w:cs="Arial"/>
                <w:szCs w:val="19"/>
              </w:rPr>
            </w:pPr>
            <w:r w:rsidRPr="000E52E2">
              <w:t>Stable, treated macular disease</w:t>
            </w:r>
          </w:p>
        </w:tc>
        <w:tc>
          <w:tcPr>
            <w:tcW w:w="2551" w:type="dxa"/>
            <w:tcBorders>
              <w:top w:val="single" w:sz="4" w:space="0" w:color="A6A6A6" w:themeColor="background1" w:themeShade="A6"/>
            </w:tcBorders>
          </w:tcPr>
          <w:p w:rsidR="006B3736" w:rsidRPr="000E52E2" w:rsidRDefault="006B3736" w:rsidP="004C6767">
            <w:pPr>
              <w:pStyle w:val="TableText"/>
              <w:ind w:right="113"/>
            </w:pPr>
          </w:p>
        </w:tc>
        <w:tc>
          <w:tcPr>
            <w:tcW w:w="2387" w:type="dxa"/>
            <w:tcBorders>
              <w:top w:val="single" w:sz="4" w:space="0" w:color="A6A6A6" w:themeColor="background1" w:themeShade="A6"/>
            </w:tcBorders>
          </w:tcPr>
          <w:p w:rsidR="006B3736" w:rsidRPr="000E52E2" w:rsidRDefault="006B3736" w:rsidP="004C6767">
            <w:pPr>
              <w:pStyle w:val="TableText"/>
              <w:ind w:right="113"/>
              <w:rPr>
                <w:rFonts w:eastAsia="Arial" w:cs="Arial"/>
                <w:szCs w:val="19"/>
              </w:rPr>
            </w:pPr>
            <w:r w:rsidRPr="000E52E2">
              <w:t>Biennial retinal monitoring.</w:t>
            </w:r>
          </w:p>
        </w:tc>
        <w:tc>
          <w:tcPr>
            <w:tcW w:w="2291" w:type="dxa"/>
            <w:tcBorders>
              <w:top w:val="single" w:sz="4" w:space="0" w:color="A6A6A6" w:themeColor="background1" w:themeShade="A6"/>
            </w:tcBorders>
          </w:tcPr>
          <w:p w:rsidR="006B3736" w:rsidRPr="000E52E2" w:rsidRDefault="006B3736" w:rsidP="009418CB">
            <w:pPr>
              <w:pStyle w:val="TableText"/>
            </w:pPr>
          </w:p>
        </w:tc>
      </w:tr>
    </w:tbl>
    <w:p w:rsidR="006B3736" w:rsidRPr="000E52E2" w:rsidRDefault="006B3736" w:rsidP="00460C0A">
      <w:pPr>
        <w:pStyle w:val="Note"/>
        <w:rPr>
          <w:rFonts w:eastAsia="Arial" w:cs="Arial"/>
          <w:szCs w:val="18"/>
        </w:rPr>
      </w:pPr>
      <w:r w:rsidRPr="000E52E2">
        <w:t>Note: DD = disc diameters</w:t>
      </w:r>
    </w:p>
    <w:p w:rsidR="006B3736" w:rsidRPr="000E52E2" w:rsidRDefault="006B3736" w:rsidP="00460C0A">
      <w:pPr>
        <w:rPr>
          <w:rFonts w:eastAsia="Arial"/>
        </w:rPr>
      </w:pPr>
    </w:p>
    <w:p w:rsidR="006B3736" w:rsidRPr="000E52E2" w:rsidRDefault="006B3736" w:rsidP="00460C0A">
      <w:pPr>
        <w:pStyle w:val="Heading3"/>
        <w:rPr>
          <w:bCs/>
        </w:rPr>
      </w:pPr>
      <w:r w:rsidRPr="000E52E2">
        <w:t>Additional notes for M2, M3 and M4</w:t>
      </w:r>
    </w:p>
    <w:p w:rsidR="006B3736" w:rsidRPr="000E52E2" w:rsidRDefault="006B3736" w:rsidP="00460C0A">
      <w:r w:rsidRPr="000E52E2">
        <w:t>Some methods of screening (</w:t>
      </w:r>
      <w:proofErr w:type="spellStart"/>
      <w:r w:rsidRPr="000E52E2">
        <w:t>eg</w:t>
      </w:r>
      <w:proofErr w:type="spellEnd"/>
      <w:r w:rsidRPr="000E52E2">
        <w:t>, photographic screening) do not allow accurate assessment of retinal thickening. Referral of M3 and M4 grade patients may be deferred if techniques such as binocular ophthalmoscopy (</w:t>
      </w:r>
      <w:proofErr w:type="spellStart"/>
      <w:r w:rsidRPr="000E52E2">
        <w:t>eg</w:t>
      </w:r>
      <w:proofErr w:type="spellEnd"/>
      <w:r w:rsidRPr="000E52E2">
        <w:t xml:space="preserve">, slit-lamp </w:t>
      </w:r>
      <w:proofErr w:type="spellStart"/>
      <w:r w:rsidRPr="000E52E2">
        <w:t>biomicroscopy</w:t>
      </w:r>
      <w:proofErr w:type="spellEnd"/>
      <w:r w:rsidRPr="000E52E2">
        <w:t xml:space="preserve"> or optical coherence tomography, OCT) are part of the screening assessment. The visual acuity result should also be considered. The presence of clinical modifiers would also influence referral of patients with this grade.</w:t>
      </w:r>
    </w:p>
    <w:p w:rsidR="006B3736" w:rsidRPr="000E52E2" w:rsidRDefault="006B3736" w:rsidP="00460C0A"/>
    <w:p w:rsidR="006B3736" w:rsidRPr="000E52E2" w:rsidRDefault="006B3736" w:rsidP="00460C0A">
      <w:pPr>
        <w:pStyle w:val="Heading2"/>
        <w:ind w:left="0" w:firstLine="0"/>
        <w:rPr>
          <w:rFonts w:eastAsia="Georgia" w:cs="Georgia"/>
          <w:szCs w:val="40"/>
        </w:rPr>
      </w:pPr>
      <w:bookmarkStart w:id="76" w:name="_Toc446335181"/>
      <w:r w:rsidRPr="000E52E2">
        <w:t>Grading for non-diabetic pathology and aberrations</w:t>
      </w:r>
      <w:bookmarkEnd w:id="76"/>
    </w:p>
    <w:p w:rsidR="006B3736" w:rsidRPr="000E52E2" w:rsidRDefault="006B3736" w:rsidP="00460C0A">
      <w:r w:rsidRPr="000E52E2">
        <w:t>When non-diabetes related pathology is identified (Table E), this will be assessed according to referral guidance developed by the local ophthalmic service.</w:t>
      </w:r>
    </w:p>
    <w:p w:rsidR="006B3736" w:rsidRPr="000E52E2" w:rsidRDefault="006B3736" w:rsidP="00460C0A">
      <w:pPr>
        <w:rPr>
          <w:rFonts w:eastAsia="Century"/>
        </w:rPr>
      </w:pPr>
    </w:p>
    <w:p w:rsidR="006B3736" w:rsidRPr="000E52E2" w:rsidRDefault="006B3736" w:rsidP="00460C0A">
      <w:pPr>
        <w:pStyle w:val="Table"/>
        <w:rPr>
          <w:rFonts w:eastAsia="Georgia" w:cs="Georgia"/>
          <w:szCs w:val="18"/>
        </w:rPr>
      </w:pPr>
      <w:bookmarkStart w:id="77" w:name="_Toc446335203"/>
      <w:r w:rsidRPr="000E52E2">
        <w:t>Table E: Grading of non-diabetic pathology</w:t>
      </w:r>
      <w:bookmarkEnd w:id="77"/>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765"/>
        <w:gridCol w:w="3204"/>
        <w:gridCol w:w="5387"/>
      </w:tblGrid>
      <w:tr w:rsidR="006B3736" w:rsidRPr="00233C12" w:rsidTr="009F63D5">
        <w:trPr>
          <w:cantSplit/>
        </w:trPr>
        <w:tc>
          <w:tcPr>
            <w:tcW w:w="765" w:type="dxa"/>
            <w:tcBorders>
              <w:bottom w:val="single" w:sz="4" w:space="0" w:color="auto"/>
            </w:tcBorders>
            <w:shd w:val="clear" w:color="auto" w:fill="auto"/>
          </w:tcPr>
          <w:p w:rsidR="006B3736" w:rsidRPr="00233C12" w:rsidRDefault="006B3736" w:rsidP="00233C12">
            <w:pPr>
              <w:pStyle w:val="TableText"/>
              <w:rPr>
                <w:rFonts w:eastAsia="Arial" w:cs="Arial"/>
                <w:b/>
                <w:szCs w:val="19"/>
              </w:rPr>
            </w:pPr>
            <w:r w:rsidRPr="00233C12">
              <w:rPr>
                <w:b/>
              </w:rPr>
              <w:t>Grade</w:t>
            </w:r>
          </w:p>
        </w:tc>
        <w:tc>
          <w:tcPr>
            <w:tcW w:w="3204" w:type="dxa"/>
            <w:tcBorders>
              <w:bottom w:val="single" w:sz="4" w:space="0" w:color="auto"/>
            </w:tcBorders>
            <w:shd w:val="clear" w:color="auto" w:fill="auto"/>
          </w:tcPr>
          <w:p w:rsidR="006B3736" w:rsidRPr="00233C12" w:rsidRDefault="006B3736" w:rsidP="00233C12">
            <w:pPr>
              <w:pStyle w:val="TableText"/>
              <w:rPr>
                <w:rFonts w:eastAsia="Arial" w:cs="Arial"/>
                <w:b/>
                <w:szCs w:val="19"/>
              </w:rPr>
            </w:pPr>
            <w:r w:rsidRPr="00233C12">
              <w:rPr>
                <w:b/>
              </w:rPr>
              <w:t>Pathology</w:t>
            </w:r>
          </w:p>
        </w:tc>
        <w:tc>
          <w:tcPr>
            <w:tcW w:w="5387" w:type="dxa"/>
            <w:tcBorders>
              <w:bottom w:val="single" w:sz="4" w:space="0" w:color="auto"/>
            </w:tcBorders>
            <w:shd w:val="clear" w:color="auto" w:fill="auto"/>
          </w:tcPr>
          <w:p w:rsidR="006B3736" w:rsidRPr="00233C12" w:rsidRDefault="006B3736" w:rsidP="00233C12">
            <w:pPr>
              <w:pStyle w:val="TableText"/>
              <w:rPr>
                <w:rFonts w:eastAsia="Arial" w:cs="Arial"/>
                <w:b/>
              </w:rPr>
            </w:pPr>
            <w:r w:rsidRPr="00233C12">
              <w:rPr>
                <w:b/>
              </w:rPr>
              <w:t>Outcome</w:t>
            </w:r>
          </w:p>
        </w:tc>
      </w:tr>
      <w:tr w:rsidR="006B3736" w:rsidRPr="000E52E2" w:rsidTr="009F63D5">
        <w:trPr>
          <w:cantSplit/>
        </w:trPr>
        <w:tc>
          <w:tcPr>
            <w:tcW w:w="765" w:type="dxa"/>
            <w:tcBorders>
              <w:top w:val="single" w:sz="4" w:space="0" w:color="auto"/>
              <w:bottom w:val="single" w:sz="4" w:space="0" w:color="auto"/>
            </w:tcBorders>
            <w:shd w:val="clear" w:color="auto" w:fill="auto"/>
          </w:tcPr>
          <w:p w:rsidR="006B3736" w:rsidRPr="000E52E2" w:rsidRDefault="006B3736" w:rsidP="00233C12">
            <w:pPr>
              <w:pStyle w:val="TableText"/>
              <w:rPr>
                <w:rFonts w:eastAsia="Arial" w:cs="Arial"/>
              </w:rPr>
            </w:pPr>
            <w:r w:rsidRPr="000E52E2">
              <w:t>NDP</w:t>
            </w:r>
          </w:p>
        </w:tc>
        <w:tc>
          <w:tcPr>
            <w:tcW w:w="3204" w:type="dxa"/>
            <w:tcBorders>
              <w:top w:val="single" w:sz="4" w:space="0" w:color="auto"/>
              <w:bottom w:val="single" w:sz="4" w:space="0" w:color="auto"/>
            </w:tcBorders>
            <w:shd w:val="clear" w:color="auto" w:fill="auto"/>
          </w:tcPr>
          <w:p w:rsidR="009F63D5" w:rsidRDefault="006B3736" w:rsidP="00233C12">
            <w:pPr>
              <w:pStyle w:val="TableText"/>
            </w:pPr>
            <w:r w:rsidRPr="000E52E2">
              <w:t>Age-related macular degeneration</w:t>
            </w:r>
          </w:p>
          <w:p w:rsidR="009F63D5" w:rsidRDefault="006B3736" w:rsidP="00233C12">
            <w:pPr>
              <w:pStyle w:val="TableText"/>
            </w:pPr>
            <w:proofErr w:type="spellStart"/>
            <w:r w:rsidRPr="000E52E2">
              <w:t>Naevi</w:t>
            </w:r>
            <w:proofErr w:type="spellEnd"/>
          </w:p>
          <w:p w:rsidR="009F63D5" w:rsidRDefault="006B3736" w:rsidP="00233C12">
            <w:pPr>
              <w:pStyle w:val="TableText"/>
            </w:pPr>
            <w:r w:rsidRPr="000E52E2">
              <w:t>Venous occlusions</w:t>
            </w:r>
          </w:p>
          <w:p w:rsidR="009F63D5" w:rsidRDefault="006B3736" w:rsidP="00233C12">
            <w:pPr>
              <w:pStyle w:val="TableText"/>
            </w:pPr>
            <w:r w:rsidRPr="000E52E2">
              <w:t>Myelinated nerve fibres</w:t>
            </w:r>
          </w:p>
          <w:p w:rsidR="009F63D5" w:rsidRDefault="006B3736" w:rsidP="00233C12">
            <w:pPr>
              <w:pStyle w:val="TableText"/>
            </w:pPr>
            <w:r w:rsidRPr="000E52E2">
              <w:t>Cataract</w:t>
            </w:r>
          </w:p>
          <w:p w:rsidR="009F63D5" w:rsidRDefault="006B3736" w:rsidP="00233C12">
            <w:pPr>
              <w:pStyle w:val="TableText"/>
            </w:pPr>
            <w:r w:rsidRPr="000E52E2">
              <w:t>Glaucomatous cupping</w:t>
            </w:r>
          </w:p>
          <w:p w:rsidR="009F63D5" w:rsidRDefault="006B3736" w:rsidP="00233C12">
            <w:pPr>
              <w:pStyle w:val="TableText"/>
            </w:pPr>
            <w:proofErr w:type="spellStart"/>
            <w:r w:rsidRPr="000E52E2">
              <w:t>Epi</w:t>
            </w:r>
            <w:proofErr w:type="spellEnd"/>
            <w:r w:rsidRPr="000E52E2">
              <w:t>-retinal membrane</w:t>
            </w:r>
          </w:p>
          <w:p w:rsidR="009F63D5" w:rsidRDefault="006B3736" w:rsidP="00233C12">
            <w:pPr>
              <w:pStyle w:val="TableText"/>
            </w:pPr>
            <w:r w:rsidRPr="000E52E2">
              <w:t>Hypertensive changes</w:t>
            </w:r>
          </w:p>
          <w:p w:rsidR="006B3736" w:rsidRPr="000E52E2" w:rsidRDefault="006B3736" w:rsidP="00233C12">
            <w:pPr>
              <w:pStyle w:val="TableText"/>
              <w:rPr>
                <w:rFonts w:eastAsia="Arial" w:cs="Arial"/>
                <w:szCs w:val="19"/>
              </w:rPr>
            </w:pPr>
            <w:r w:rsidRPr="000E52E2">
              <w:t>Other</w:t>
            </w:r>
          </w:p>
        </w:tc>
        <w:tc>
          <w:tcPr>
            <w:tcW w:w="5387" w:type="dxa"/>
            <w:tcBorders>
              <w:top w:val="single" w:sz="4" w:space="0" w:color="auto"/>
              <w:bottom w:val="single" w:sz="4" w:space="0" w:color="auto"/>
            </w:tcBorders>
            <w:shd w:val="clear" w:color="auto" w:fill="auto"/>
          </w:tcPr>
          <w:p w:rsidR="006B3736" w:rsidRPr="000E52E2" w:rsidRDefault="006B3736" w:rsidP="00233C12">
            <w:pPr>
              <w:pStyle w:val="TableText"/>
              <w:rPr>
                <w:rFonts w:eastAsia="Arial" w:cs="Arial"/>
                <w:szCs w:val="19"/>
              </w:rPr>
            </w:pPr>
            <w:r w:rsidRPr="000E52E2">
              <w:t>Identify and document non-diabetic pathology. Report to GP, patient and DHB ophthalmology clinic according to local referral guidance.</w:t>
            </w:r>
          </w:p>
        </w:tc>
      </w:tr>
    </w:tbl>
    <w:p w:rsidR="006B3736" w:rsidRPr="000E52E2" w:rsidRDefault="006B3736" w:rsidP="00460C0A">
      <w:pPr>
        <w:pStyle w:val="Note"/>
        <w:rPr>
          <w:rFonts w:eastAsia="Arial" w:cs="Arial"/>
          <w:szCs w:val="18"/>
        </w:rPr>
      </w:pPr>
      <w:r w:rsidRPr="000E52E2">
        <w:t>NDP = non-diabetes pathology</w:t>
      </w:r>
    </w:p>
    <w:p w:rsidR="006B3736" w:rsidRDefault="006B3736" w:rsidP="00460C0A">
      <w:pPr>
        <w:rPr>
          <w:rFonts w:eastAsia="Arial"/>
        </w:rPr>
      </w:pPr>
    </w:p>
    <w:p w:rsidR="00460C0A" w:rsidRDefault="00460C0A">
      <w:pPr>
        <w:spacing w:line="240" w:lineRule="auto"/>
        <w:rPr>
          <w:rFonts w:eastAsia="Arial"/>
        </w:rPr>
      </w:pPr>
      <w:r>
        <w:rPr>
          <w:rFonts w:eastAsia="Arial"/>
        </w:rPr>
        <w:br w:type="page"/>
      </w:r>
    </w:p>
    <w:p w:rsidR="006B3736" w:rsidRPr="000E52E2" w:rsidRDefault="006B3736" w:rsidP="00460C0A">
      <w:pPr>
        <w:pStyle w:val="Heading1"/>
        <w:ind w:left="0" w:firstLine="0"/>
        <w:rPr>
          <w:rFonts w:eastAsia="Georgia" w:cs="Georgia"/>
          <w:szCs w:val="50"/>
        </w:rPr>
      </w:pPr>
      <w:bookmarkStart w:id="78" w:name="_Toc446335182"/>
      <w:r w:rsidRPr="000E52E2">
        <w:lastRenderedPageBreak/>
        <w:t>Appendix C: Diabetic retinopathy monitoring</w:t>
      </w:r>
      <w:bookmarkEnd w:id="78"/>
    </w:p>
    <w:p w:rsidR="006B3736" w:rsidRPr="000E52E2" w:rsidRDefault="006B3736" w:rsidP="00460C0A">
      <w:pPr>
        <w:pStyle w:val="Heading2"/>
        <w:ind w:left="0" w:firstLine="0"/>
        <w:rPr>
          <w:rFonts w:eastAsia="Georgia" w:cs="Georgia"/>
          <w:szCs w:val="40"/>
        </w:rPr>
      </w:pPr>
      <w:bookmarkStart w:id="79" w:name="_Toc446335183"/>
      <w:r w:rsidRPr="000E52E2">
        <w:t>Retinal monitoring pathway for R3, R4 or previously treated proliferative diabetic retinopathy disease</w:t>
      </w:r>
      <w:bookmarkEnd w:id="79"/>
    </w:p>
    <w:p w:rsidR="006B3736" w:rsidRPr="000E52E2" w:rsidRDefault="006B3736" w:rsidP="00460C0A">
      <w:r w:rsidRPr="000E52E2">
        <w:t>The aim of this process is to monitor more regularly patients who are stable or who are stable but with a DR above the threshold for community screening that does not require ophthalmologist review and treatment.</w:t>
      </w:r>
    </w:p>
    <w:p w:rsidR="006B3736" w:rsidRPr="000E52E2" w:rsidRDefault="006B3736" w:rsidP="00460C0A">
      <w:pPr>
        <w:rPr>
          <w:rFonts w:eastAsia="Century"/>
        </w:rPr>
      </w:pPr>
    </w:p>
    <w:p w:rsidR="006B3736" w:rsidRPr="000E52E2" w:rsidRDefault="006B3736" w:rsidP="00460C0A">
      <w:r w:rsidRPr="000E52E2">
        <w:t>Monitoring has been made possible by technological advances in ocular imaging, which have allowed more accurate mapping of the mid-peripheral retina. Such mapping can be provided by ultra-wide field cameras or by conventional cameras using a montage of seven standardised field photographs.</w:t>
      </w:r>
    </w:p>
    <w:p w:rsidR="006B3736" w:rsidRPr="000E52E2" w:rsidRDefault="006B3736" w:rsidP="00460C0A">
      <w:pPr>
        <w:rPr>
          <w:rFonts w:eastAsia="Century"/>
        </w:rPr>
      </w:pPr>
    </w:p>
    <w:p w:rsidR="006B3736" w:rsidRPr="000E52E2" w:rsidRDefault="006B3736" w:rsidP="00460C0A">
      <w:r w:rsidRPr="000E52E2">
        <w:t>Patients can be referred into the proposed retinal photographic monitoring programme from two sources: the screening programme (those patients with R3 disease) and/or existing medical retinal clinics (stable R3, R4 or previously treated proliferative diabetic retinopathy, PDR).</w:t>
      </w:r>
    </w:p>
    <w:p w:rsidR="006B3736" w:rsidRPr="000E52E2" w:rsidRDefault="006B3736" w:rsidP="00460C0A">
      <w:pPr>
        <w:rPr>
          <w:rFonts w:eastAsia="Century"/>
        </w:rPr>
      </w:pPr>
    </w:p>
    <w:p w:rsidR="006B3736" w:rsidRPr="000E52E2" w:rsidRDefault="006B3736" w:rsidP="00460C0A">
      <w:pPr>
        <w:pStyle w:val="Figure"/>
        <w:rPr>
          <w:rFonts w:eastAsia="Georgia" w:cs="Georgia"/>
          <w:szCs w:val="18"/>
        </w:rPr>
      </w:pPr>
      <w:bookmarkStart w:id="80" w:name="_Toc446335206"/>
      <w:r w:rsidRPr="000E52E2">
        <w:t>Figure A: Retinal monitoring pathway for R3, R4 or previously treated PDR disease</w:t>
      </w:r>
      <w:bookmarkEnd w:id="80"/>
    </w:p>
    <w:p w:rsidR="006B3736" w:rsidRDefault="00A731DE" w:rsidP="00B9690D">
      <w:pPr>
        <w:rPr>
          <w:rFonts w:eastAsia="Georgia"/>
        </w:rPr>
      </w:pPr>
      <w:r w:rsidRPr="00A731DE">
        <w:rPr>
          <w:noProof/>
          <w:lang w:eastAsia="en-NZ"/>
        </w:rPr>
        <w:drawing>
          <wp:inline distT="0" distB="0" distL="0" distR="0" wp14:anchorId="30C6CB3E" wp14:editId="556FCA09">
            <wp:extent cx="4400000" cy="3666667"/>
            <wp:effectExtent l="0" t="0" r="635" b="0"/>
            <wp:docPr id="1" name="Picture 1" title="Figure A: Retinal monitoring pathway for R3, R4 or previously treated PDR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00000" cy="3666667"/>
                    </a:xfrm>
                    <a:prstGeom prst="rect">
                      <a:avLst/>
                    </a:prstGeom>
                  </pic:spPr>
                </pic:pic>
              </a:graphicData>
            </a:graphic>
          </wp:inline>
        </w:drawing>
      </w:r>
    </w:p>
    <w:p w:rsidR="00B9690D" w:rsidRPr="000E52E2" w:rsidRDefault="00B9690D" w:rsidP="00B9690D">
      <w:pPr>
        <w:rPr>
          <w:rFonts w:eastAsia="Georgia"/>
        </w:rPr>
      </w:pPr>
    </w:p>
    <w:p w:rsidR="006B3736" w:rsidRPr="000E52E2" w:rsidRDefault="006B3736" w:rsidP="00460C0A">
      <w:pPr>
        <w:pStyle w:val="Heading2"/>
        <w:ind w:left="0" w:firstLine="0"/>
        <w:rPr>
          <w:rFonts w:eastAsia="Georgia" w:cs="Georgia"/>
          <w:szCs w:val="40"/>
        </w:rPr>
      </w:pPr>
      <w:bookmarkStart w:id="81" w:name="_Toc446335184"/>
      <w:r w:rsidRPr="000E52E2">
        <w:lastRenderedPageBreak/>
        <w:t xml:space="preserve">Pathway/protocol for </w:t>
      </w:r>
      <w:proofErr w:type="spellStart"/>
      <w:r w:rsidRPr="000E52E2">
        <w:t>maculopathy</w:t>
      </w:r>
      <w:proofErr w:type="spellEnd"/>
      <w:r w:rsidRPr="000E52E2">
        <w:t xml:space="preserve"> screen-positive patients within a proposed retinal monitoring service</w:t>
      </w:r>
      <w:bookmarkEnd w:id="81"/>
    </w:p>
    <w:p w:rsidR="006B3736" w:rsidRPr="000E52E2" w:rsidRDefault="006B3736" w:rsidP="00460C0A">
      <w:r w:rsidRPr="000E52E2">
        <w:t xml:space="preserve">The aim of this clinic is to effectively triage those patients with suspected diabetic </w:t>
      </w:r>
      <w:proofErr w:type="spellStart"/>
      <w:r w:rsidRPr="000E52E2">
        <w:t>maculopathy</w:t>
      </w:r>
      <w:proofErr w:type="spellEnd"/>
      <w:r w:rsidRPr="000E52E2">
        <w:t xml:space="preserve"> who have to be referred from the screening programme. Many such patients do not necessarily need to see an ophthalmologist because they have been referred with </w:t>
      </w:r>
      <w:r w:rsidR="00464C89">
        <w:t>‘</w:t>
      </w:r>
      <w:r w:rsidRPr="000E52E2">
        <w:t>suspected</w:t>
      </w:r>
      <w:r w:rsidR="00464C89">
        <w:t>’</w:t>
      </w:r>
      <w:r w:rsidRPr="000E52E2">
        <w:t xml:space="preserve"> </w:t>
      </w:r>
      <w:proofErr w:type="spellStart"/>
      <w:r w:rsidRPr="000E52E2">
        <w:t>maculopathy</w:t>
      </w:r>
      <w:proofErr w:type="spellEnd"/>
      <w:r w:rsidRPr="000E52E2">
        <w:t>, which initially needs to be assessed.</w:t>
      </w:r>
    </w:p>
    <w:p w:rsidR="006B3736" w:rsidRPr="000E52E2" w:rsidRDefault="006B3736" w:rsidP="00460C0A">
      <w:pPr>
        <w:rPr>
          <w:rFonts w:eastAsia="Century"/>
        </w:rPr>
      </w:pPr>
    </w:p>
    <w:p w:rsidR="006B3736" w:rsidRPr="000E52E2" w:rsidRDefault="006B3736" w:rsidP="00460C0A">
      <w:r w:rsidRPr="000E52E2">
        <w:t>Following assessment with optical coherence tomography (OCT), people with:</w:t>
      </w:r>
    </w:p>
    <w:p w:rsidR="006B3736" w:rsidRPr="000E52E2" w:rsidRDefault="006B3736" w:rsidP="00460C0A">
      <w:pPr>
        <w:pStyle w:val="Bullet"/>
      </w:pPr>
      <w:r w:rsidRPr="000E52E2">
        <w:t>significant macular oedema should be referred on to an ophthalmologist for them to review treatment options</w:t>
      </w:r>
    </w:p>
    <w:p w:rsidR="006B3736" w:rsidRPr="000E52E2" w:rsidRDefault="006B3736" w:rsidP="00460C0A">
      <w:pPr>
        <w:pStyle w:val="Bullet"/>
      </w:pPr>
      <w:r w:rsidRPr="000E52E2">
        <w:t>no oedema on OCT should be referred back to diabetic retinal screening</w:t>
      </w:r>
    </w:p>
    <w:p w:rsidR="006B3736" w:rsidRPr="000E52E2" w:rsidRDefault="006B3736" w:rsidP="00460C0A">
      <w:pPr>
        <w:pStyle w:val="Bullet"/>
      </w:pPr>
      <w:proofErr w:type="gramStart"/>
      <w:r w:rsidRPr="000E52E2">
        <w:t>minimal</w:t>
      </w:r>
      <w:proofErr w:type="gramEnd"/>
      <w:r w:rsidRPr="000E52E2">
        <w:t xml:space="preserve"> </w:t>
      </w:r>
      <w:proofErr w:type="spellStart"/>
      <w:r w:rsidRPr="000E52E2">
        <w:t>maculopathy</w:t>
      </w:r>
      <w:proofErr w:type="spellEnd"/>
      <w:r w:rsidRPr="000E52E2">
        <w:t xml:space="preserve"> (not requiring treatment) should be kept under monitoring review with OCT until such time as they need treatment or there is any change to their condition.</w:t>
      </w:r>
    </w:p>
    <w:p w:rsidR="006B3736" w:rsidRPr="000E52E2" w:rsidRDefault="006B3736" w:rsidP="00460C0A">
      <w:pPr>
        <w:rPr>
          <w:rFonts w:eastAsia="Century"/>
        </w:rPr>
      </w:pPr>
    </w:p>
    <w:p w:rsidR="006B3736" w:rsidRPr="000E52E2" w:rsidRDefault="006B3736" w:rsidP="00460C0A">
      <w:r w:rsidRPr="000E52E2">
        <w:t>These algorithms can be incorporated into a retinal monitoring programme that monitors R3 disease.</w:t>
      </w:r>
    </w:p>
    <w:p w:rsidR="006B3736" w:rsidRPr="000E52E2" w:rsidRDefault="006B3736" w:rsidP="00460C0A">
      <w:pPr>
        <w:rPr>
          <w:rFonts w:eastAsia="Century"/>
        </w:rPr>
      </w:pPr>
    </w:p>
    <w:p w:rsidR="006B3736" w:rsidRPr="000E52E2" w:rsidRDefault="006B3736" w:rsidP="00460C0A">
      <w:pPr>
        <w:pStyle w:val="Figure"/>
        <w:rPr>
          <w:rFonts w:eastAsia="Georgia" w:cs="Georgia"/>
          <w:szCs w:val="18"/>
        </w:rPr>
      </w:pPr>
      <w:bookmarkStart w:id="82" w:name="_Toc446335207"/>
      <w:r w:rsidRPr="000E52E2">
        <w:t>Figure B: Proposed retinal monitoring macular pathway</w:t>
      </w:r>
      <w:bookmarkEnd w:id="82"/>
    </w:p>
    <w:p w:rsidR="006B3736" w:rsidRPr="000E52E2" w:rsidRDefault="00A731DE" w:rsidP="00A731DE">
      <w:pPr>
        <w:rPr>
          <w:rFonts w:eastAsia="Georgia"/>
        </w:rPr>
      </w:pPr>
      <w:r w:rsidRPr="00A731DE">
        <w:rPr>
          <w:noProof/>
          <w:lang w:eastAsia="en-NZ"/>
        </w:rPr>
        <w:drawing>
          <wp:inline distT="0" distB="0" distL="0" distR="0" wp14:anchorId="11D5210A" wp14:editId="386124DF">
            <wp:extent cx="4419048" cy="3676191"/>
            <wp:effectExtent l="0" t="0" r="635" b="635"/>
            <wp:docPr id="1044" name="Picture 1044" title="Figure B: Proposed retinal monitoring macular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19048" cy="3676191"/>
                    </a:xfrm>
                    <a:prstGeom prst="rect">
                      <a:avLst/>
                    </a:prstGeom>
                  </pic:spPr>
                </pic:pic>
              </a:graphicData>
            </a:graphic>
          </wp:inline>
        </w:drawing>
      </w:r>
    </w:p>
    <w:p w:rsidR="006B3736" w:rsidRDefault="006B3736" w:rsidP="00460C0A">
      <w:pPr>
        <w:rPr>
          <w:rFonts w:eastAsia="Georgia"/>
        </w:rPr>
      </w:pPr>
    </w:p>
    <w:p w:rsidR="00460C0A" w:rsidRDefault="00460C0A">
      <w:pPr>
        <w:spacing w:line="240" w:lineRule="auto"/>
        <w:rPr>
          <w:rFonts w:eastAsia="Georgia"/>
        </w:rPr>
      </w:pPr>
      <w:r>
        <w:rPr>
          <w:rFonts w:eastAsia="Georgia"/>
        </w:rPr>
        <w:br w:type="page"/>
      </w:r>
    </w:p>
    <w:p w:rsidR="006B3736" w:rsidRPr="000E52E2" w:rsidRDefault="006B3736" w:rsidP="00460C0A">
      <w:pPr>
        <w:pStyle w:val="Heading1"/>
        <w:ind w:left="0" w:firstLine="0"/>
        <w:rPr>
          <w:rFonts w:eastAsia="Georgia"/>
        </w:rPr>
      </w:pPr>
      <w:bookmarkStart w:id="83" w:name="_Toc446335185"/>
      <w:r w:rsidRPr="000E52E2">
        <w:rPr>
          <w:rFonts w:eastAsia="Georgia"/>
        </w:rPr>
        <w:lastRenderedPageBreak/>
        <w:t>Appendix D: Case Study – Wellington Region Diabetic Retinal Screening and Monitoring</w:t>
      </w:r>
      <w:bookmarkEnd w:id="83"/>
    </w:p>
    <w:p w:rsidR="006B3736" w:rsidRPr="000E52E2" w:rsidRDefault="005D3FBC" w:rsidP="00A731DE">
      <w:pPr>
        <w:rPr>
          <w:rFonts w:eastAsia="Georgia"/>
        </w:rPr>
      </w:pPr>
      <w:r w:rsidRPr="005D3FBC">
        <w:rPr>
          <w:noProof/>
          <w:lang w:eastAsia="en-NZ"/>
        </w:rPr>
        <w:drawing>
          <wp:inline distT="0" distB="0" distL="0" distR="0" wp14:anchorId="25F088DC" wp14:editId="17BF2D1A">
            <wp:extent cx="5940425" cy="4853886"/>
            <wp:effectExtent l="0" t="0" r="3175" b="4445"/>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4853886"/>
                    </a:xfrm>
                    <a:prstGeom prst="rect">
                      <a:avLst/>
                    </a:prstGeom>
                  </pic:spPr>
                </pic:pic>
              </a:graphicData>
            </a:graphic>
          </wp:inline>
        </w:drawing>
      </w:r>
    </w:p>
    <w:p w:rsidR="006B3736" w:rsidRPr="000E52E2" w:rsidRDefault="006B3736" w:rsidP="00460C0A">
      <w:pPr>
        <w:pStyle w:val="Note"/>
        <w:ind w:left="284" w:hanging="284"/>
        <w:rPr>
          <w:rFonts w:eastAsia="Arial" w:cs="Arial"/>
          <w:szCs w:val="18"/>
        </w:rPr>
      </w:pPr>
      <w:r w:rsidRPr="000E52E2">
        <w:t>*</w:t>
      </w:r>
      <w:r w:rsidR="00460C0A">
        <w:tab/>
        <w:t>In</w:t>
      </w:r>
      <w:r w:rsidRPr="000E52E2">
        <w:t xml:space="preserve">cludes slit lamp </w:t>
      </w:r>
      <w:proofErr w:type="spellStart"/>
      <w:r w:rsidRPr="000E52E2">
        <w:t>biomicroscopy</w:t>
      </w:r>
      <w:proofErr w:type="spellEnd"/>
      <w:r w:rsidRPr="000E52E2">
        <w:t xml:space="preserve"> for assessment of macular oedema and peripheral retinal examination</w:t>
      </w:r>
      <w:r w:rsidR="00464C89">
        <w:t xml:space="preserve"> </w:t>
      </w:r>
      <w:r w:rsidRPr="000E52E2">
        <w:t xml:space="preserve">(Capital &amp; Coast, Hutt Valley and </w:t>
      </w:r>
      <w:proofErr w:type="spellStart"/>
      <w:r w:rsidRPr="000E52E2">
        <w:t>Wairarapa</w:t>
      </w:r>
      <w:proofErr w:type="spellEnd"/>
      <w:r w:rsidRPr="000E52E2">
        <w:t xml:space="preserve"> DHBs 1 July 2014 to 30 June 2015 percentages per 10,000 screens).</w:t>
      </w:r>
    </w:p>
    <w:p w:rsidR="006B3736" w:rsidRPr="000E52E2" w:rsidRDefault="006B3736" w:rsidP="00460C0A">
      <w:pPr>
        <w:rPr>
          <w:rFonts w:eastAsia="Arial"/>
        </w:rPr>
      </w:pPr>
    </w:p>
    <w:p w:rsidR="006B3736" w:rsidRPr="000E52E2" w:rsidRDefault="006B3736" w:rsidP="00460C0A">
      <w:pPr>
        <w:pStyle w:val="Heading2"/>
        <w:rPr>
          <w:rFonts w:eastAsia="Georgia" w:cs="Georgia"/>
          <w:szCs w:val="40"/>
        </w:rPr>
      </w:pPr>
      <w:bookmarkStart w:id="84" w:name="_Toc446335186"/>
      <w:r w:rsidRPr="000E52E2">
        <w:lastRenderedPageBreak/>
        <w:t>Patient journey</w:t>
      </w:r>
      <w:bookmarkEnd w:id="84"/>
    </w:p>
    <w:p w:rsidR="006B3736" w:rsidRPr="000E52E2" w:rsidRDefault="006B3736" w:rsidP="000A5E9C">
      <w:pPr>
        <w:keepNext/>
      </w:pPr>
      <w:r w:rsidRPr="000E52E2">
        <w:t>A patient is diagnosed with diabetes or is known to have diabetes. A GP or GP nurse enters the patient</w:t>
      </w:r>
      <w:r w:rsidR="00464C89">
        <w:t>’</w:t>
      </w:r>
      <w:r w:rsidRPr="000E52E2">
        <w:t>s information into the Wellington retinal screening database for Compass Health PHO and sends a referral form to the most conveniently located contracted community optometrist for the patient. The optometrist contacts the patient and arranges an appointment time that is suitable for the patient and explains the retinal screening process, including possible use of pupil dilation. Generally up to one hour is allocated for the appointment.</w:t>
      </w:r>
    </w:p>
    <w:p w:rsidR="006B3736" w:rsidRPr="000E52E2" w:rsidRDefault="006B3736" w:rsidP="00460C0A">
      <w:pPr>
        <w:rPr>
          <w:rFonts w:eastAsia="Century"/>
        </w:rPr>
      </w:pPr>
    </w:p>
    <w:p w:rsidR="006B3736" w:rsidRPr="000E52E2" w:rsidRDefault="006B3736" w:rsidP="00460C0A">
      <w:r w:rsidRPr="000E52E2">
        <w:t xml:space="preserve">The patient attends the appointment; the optometrist reviews the GP/nurse referral form, measures the visual acuities and takes and grades the retinal photos. If the photos are inadequate, the optometrist performs a slit lamp </w:t>
      </w:r>
      <w:proofErr w:type="spellStart"/>
      <w:r w:rsidRPr="000E52E2">
        <w:t>biomicroscopy</w:t>
      </w:r>
      <w:proofErr w:type="spellEnd"/>
      <w:r w:rsidRPr="000E52E2">
        <w:t>. The patient should have the opportunity to discuss the results</w:t>
      </w:r>
      <w:r w:rsidR="00464C89">
        <w:t xml:space="preserve"> </w:t>
      </w:r>
      <w:r w:rsidRPr="000E52E2">
        <w:t>with a health professional who can answer their questions. The patient</w:t>
      </w:r>
      <w:r w:rsidR="00464C89">
        <w:t>’</w:t>
      </w:r>
      <w:r w:rsidRPr="000E52E2">
        <w:t xml:space="preserve">s </w:t>
      </w:r>
      <w:proofErr w:type="spellStart"/>
      <w:r w:rsidRPr="000E52E2">
        <w:t>whānau</w:t>
      </w:r>
      <w:proofErr w:type="spellEnd"/>
      <w:r w:rsidRPr="000E52E2">
        <w:t>/support person</w:t>
      </w:r>
      <w:r w:rsidR="00460C0A">
        <w:t xml:space="preserve"> </w:t>
      </w:r>
      <w:r w:rsidRPr="000E52E2">
        <w:t>can accompany them for the discussion of their results. The next retinal screening is scheduled or if referral to a hospital is required, this is discussed with the patient. A report is then sent to the GP who referred the patient and Compass Health PHO. The patient is screened within 90 days of referral to the hospital.</w:t>
      </w:r>
    </w:p>
    <w:p w:rsidR="006B3736" w:rsidRPr="000E52E2" w:rsidRDefault="006B3736" w:rsidP="00460C0A">
      <w:pPr>
        <w:rPr>
          <w:rFonts w:eastAsia="Century"/>
        </w:rPr>
      </w:pPr>
    </w:p>
    <w:p w:rsidR="006B3736" w:rsidRPr="000E52E2" w:rsidRDefault="006B3736" w:rsidP="00460C0A">
      <w:pPr>
        <w:pStyle w:val="Heading2"/>
        <w:rPr>
          <w:rFonts w:eastAsia="Georgia" w:cs="Georgia"/>
          <w:szCs w:val="40"/>
        </w:rPr>
      </w:pPr>
      <w:bookmarkStart w:id="85" w:name="_Toc446335187"/>
      <w:r w:rsidRPr="000E52E2">
        <w:t>Screening programme overview</w:t>
      </w:r>
      <w:bookmarkEnd w:id="85"/>
    </w:p>
    <w:p w:rsidR="006B3736" w:rsidRPr="000E52E2" w:rsidRDefault="006B3736" w:rsidP="00460C0A">
      <w:pPr>
        <w:pStyle w:val="Bullet"/>
      </w:pPr>
      <w:r w:rsidRPr="000E52E2">
        <w:t>In 2015, there were 291,630 patients enrolled with GPs in the Wellington region.</w:t>
      </w:r>
    </w:p>
    <w:p w:rsidR="006B3736" w:rsidRPr="000E52E2" w:rsidRDefault="006B3736" w:rsidP="00460C0A">
      <w:pPr>
        <w:pStyle w:val="Bullet"/>
      </w:pPr>
      <w:r w:rsidRPr="000E52E2">
        <w:t>The Wellington region diabetic retinal screening programme was established in December 2001.</w:t>
      </w:r>
    </w:p>
    <w:p w:rsidR="006B3736" w:rsidRPr="000E52E2" w:rsidRDefault="006B3736" w:rsidP="00460C0A">
      <w:pPr>
        <w:pStyle w:val="Bullet"/>
      </w:pPr>
      <w:r w:rsidRPr="000E52E2">
        <w:t>This programme won the supreme award in the Health Innovation Awards 2003.</w:t>
      </w:r>
    </w:p>
    <w:p w:rsidR="006B3736" w:rsidRPr="000E52E2" w:rsidRDefault="006B3736" w:rsidP="00460C0A">
      <w:pPr>
        <w:pStyle w:val="Bullet"/>
      </w:pPr>
      <w:r w:rsidRPr="000E52E2">
        <w:t>In 2012, about 17,860 of the region</w:t>
      </w:r>
      <w:r w:rsidR="00464C89">
        <w:t>’</w:t>
      </w:r>
      <w:r w:rsidRPr="000E52E2">
        <w:t>s enrolled population were estimated to have diabetes and screening covered 92 percent of the population.</w:t>
      </w:r>
    </w:p>
    <w:p w:rsidR="006B3736" w:rsidRPr="000E52E2" w:rsidRDefault="006B3736" w:rsidP="00460C0A">
      <w:pPr>
        <w:pStyle w:val="Bullet"/>
      </w:pPr>
      <w:r w:rsidRPr="000E52E2">
        <w:t xml:space="preserve">There are nine community optometry sites located across the region in: </w:t>
      </w:r>
      <w:proofErr w:type="spellStart"/>
      <w:r w:rsidRPr="000E52E2">
        <w:t>Kapiti</w:t>
      </w:r>
      <w:proofErr w:type="spellEnd"/>
      <w:r w:rsidRPr="000E52E2">
        <w:t xml:space="preserve">, </w:t>
      </w:r>
      <w:proofErr w:type="spellStart"/>
      <w:r w:rsidRPr="000E52E2">
        <w:t>Porirua</w:t>
      </w:r>
      <w:proofErr w:type="spellEnd"/>
      <w:r w:rsidRPr="000E52E2">
        <w:t xml:space="preserve">, Wellington, Hutt Valley and the </w:t>
      </w:r>
      <w:proofErr w:type="spellStart"/>
      <w:r w:rsidRPr="000E52E2">
        <w:t>Wairarapa</w:t>
      </w:r>
      <w:proofErr w:type="spellEnd"/>
      <w:r w:rsidRPr="000E52E2">
        <w:t>.</w:t>
      </w:r>
    </w:p>
    <w:p w:rsidR="006B3736" w:rsidRPr="000E52E2" w:rsidRDefault="006B3736" w:rsidP="00460C0A">
      <w:pPr>
        <w:pStyle w:val="Bullet"/>
      </w:pPr>
      <w:r w:rsidRPr="000E52E2">
        <w:t xml:space="preserve">The programme includes 23 optometrists with therapeutic pharmaceutical agents (TPA) endorsement and accreditation, 11 retinal cameras and 5 optical coherence </w:t>
      </w:r>
      <w:proofErr w:type="spellStart"/>
      <w:r w:rsidRPr="000E52E2">
        <w:t>tomographers</w:t>
      </w:r>
      <w:proofErr w:type="spellEnd"/>
      <w:r w:rsidRPr="000E52E2">
        <w:t xml:space="preserve"> (OCTs).</w:t>
      </w:r>
    </w:p>
    <w:p w:rsidR="006B3736" w:rsidRPr="000E52E2" w:rsidRDefault="006B3736" w:rsidP="00460C0A">
      <w:pPr>
        <w:pStyle w:val="Bullet"/>
      </w:pPr>
      <w:r w:rsidRPr="000E52E2">
        <w:t>Peer review takes place six times each year and is attended by optometrists, Wellington hospital ophthalmology registrars and lead ophthalmologist.</w:t>
      </w:r>
    </w:p>
    <w:p w:rsidR="006B3736" w:rsidRDefault="006B3736" w:rsidP="00460C0A">
      <w:pPr>
        <w:pStyle w:val="Bullet"/>
      </w:pPr>
      <w:r w:rsidRPr="000E52E2">
        <w:t>The programme</w:t>
      </w:r>
      <w:r w:rsidR="00464C89">
        <w:t>’</w:t>
      </w:r>
      <w:r w:rsidRPr="000E52E2">
        <w:t>s role as referral point from primary health care community screening to secondary health care hospital diabetic eye clinics has evolved from R2 or M2 (38 percent) to R4 or M4/M5 (1–3 percent).</w:t>
      </w:r>
    </w:p>
    <w:p w:rsidR="00460C0A" w:rsidRPr="000E52E2" w:rsidRDefault="00460C0A" w:rsidP="00460C0A"/>
    <w:p w:rsidR="00460C0A" w:rsidRDefault="00460C0A" w:rsidP="00460C0A">
      <w:r>
        <w:br w:type="page"/>
      </w:r>
    </w:p>
    <w:p w:rsidR="006B3736" w:rsidRPr="000E52E2" w:rsidRDefault="006B3736" w:rsidP="00460C0A">
      <w:pPr>
        <w:pStyle w:val="Heading1"/>
        <w:ind w:left="0" w:firstLine="0"/>
        <w:rPr>
          <w:rFonts w:eastAsia="Georgia" w:cs="Georgia"/>
          <w:szCs w:val="50"/>
        </w:rPr>
      </w:pPr>
      <w:bookmarkStart w:id="86" w:name="_Toc446335188"/>
      <w:r w:rsidRPr="000E52E2">
        <w:lastRenderedPageBreak/>
        <w:t>Appendix E: Draft retinal screening indicators and measures</w:t>
      </w:r>
      <w:bookmarkEnd w:id="86"/>
    </w:p>
    <w:p w:rsidR="006B3736" w:rsidRPr="000E52E2" w:rsidRDefault="006B3736" w:rsidP="00460C0A">
      <w:r w:rsidRPr="000E52E2">
        <w:t>Reporting is expected for the following indicators by July 2017 for baseline indicators and by July 2018 for those indicators needing new data.</w:t>
      </w:r>
    </w:p>
    <w:p w:rsidR="006B3736" w:rsidRPr="000E52E2" w:rsidRDefault="006B3736" w:rsidP="00460C0A">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3"/>
        <w:gridCol w:w="1537"/>
        <w:gridCol w:w="7796"/>
      </w:tblGrid>
      <w:tr w:rsidR="006B3736" w:rsidRPr="000A5E9C" w:rsidTr="000A5E9C">
        <w:trPr>
          <w:gridBefore w:val="1"/>
          <w:wBefore w:w="23" w:type="dxa"/>
          <w:cantSplit/>
          <w:tblHeader/>
        </w:trPr>
        <w:tc>
          <w:tcPr>
            <w:tcW w:w="1537" w:type="dxa"/>
            <w:tcBorders>
              <w:top w:val="single" w:sz="4" w:space="0" w:color="auto"/>
              <w:bottom w:val="single" w:sz="4" w:space="0" w:color="auto"/>
            </w:tcBorders>
          </w:tcPr>
          <w:p w:rsidR="006B3736" w:rsidRPr="000A5E9C" w:rsidRDefault="006B3736" w:rsidP="000A5E9C">
            <w:pPr>
              <w:pStyle w:val="TableText"/>
              <w:rPr>
                <w:rFonts w:eastAsia="Arial" w:cs="Arial"/>
                <w:b/>
                <w:szCs w:val="19"/>
              </w:rPr>
            </w:pPr>
            <w:r w:rsidRPr="000A5E9C">
              <w:rPr>
                <w:b/>
              </w:rPr>
              <w:t>Indicator</w:t>
            </w:r>
          </w:p>
        </w:tc>
        <w:tc>
          <w:tcPr>
            <w:tcW w:w="7796" w:type="dxa"/>
            <w:tcBorders>
              <w:top w:val="single" w:sz="4" w:space="0" w:color="auto"/>
              <w:bottom w:val="single" w:sz="4" w:space="0" w:color="auto"/>
            </w:tcBorders>
          </w:tcPr>
          <w:p w:rsidR="006B3736" w:rsidRPr="000A5E9C" w:rsidRDefault="006B3736" w:rsidP="000A5E9C">
            <w:pPr>
              <w:pStyle w:val="TableText"/>
              <w:rPr>
                <w:rFonts w:eastAsia="Arial" w:cs="Arial"/>
                <w:b/>
                <w:szCs w:val="19"/>
              </w:rPr>
            </w:pPr>
            <w:r w:rsidRPr="000A5E9C">
              <w:rPr>
                <w:b/>
              </w:rPr>
              <w:t>Measure description</w:t>
            </w:r>
          </w:p>
        </w:tc>
      </w:tr>
      <w:tr w:rsidR="006B3736" w:rsidRPr="000E52E2" w:rsidTr="00A36665">
        <w:trPr>
          <w:gridBefore w:val="1"/>
          <w:wBefore w:w="23" w:type="dxa"/>
          <w:cantSplit/>
        </w:trPr>
        <w:tc>
          <w:tcPr>
            <w:tcW w:w="1537" w:type="dxa"/>
            <w:tcBorders>
              <w:top w:val="single" w:sz="4" w:space="0" w:color="auto"/>
              <w:bottom w:val="single" w:sz="4" w:space="0" w:color="A6A6A6" w:themeColor="background1" w:themeShade="A6"/>
            </w:tcBorders>
          </w:tcPr>
          <w:p w:rsidR="006B3736" w:rsidRPr="000E52E2" w:rsidRDefault="006B3736" w:rsidP="000A5E9C">
            <w:pPr>
              <w:pStyle w:val="TableText"/>
              <w:rPr>
                <w:rFonts w:eastAsia="Arial" w:cs="Arial"/>
                <w:szCs w:val="19"/>
              </w:rPr>
            </w:pPr>
            <w:r w:rsidRPr="000E52E2">
              <w:t>1. Screened population demographic data</w:t>
            </w:r>
          </w:p>
        </w:tc>
        <w:tc>
          <w:tcPr>
            <w:tcW w:w="7796" w:type="dxa"/>
            <w:tcBorders>
              <w:top w:val="single" w:sz="4" w:space="0" w:color="auto"/>
              <w:bottom w:val="single" w:sz="4" w:space="0" w:color="A6A6A6" w:themeColor="background1" w:themeShade="A6"/>
            </w:tcBorders>
          </w:tcPr>
          <w:p w:rsidR="006B3736" w:rsidRPr="000A5E9C" w:rsidRDefault="006B3736" w:rsidP="000A5E9C">
            <w:pPr>
              <w:pStyle w:val="TableText"/>
              <w:rPr>
                <w:rFonts w:eastAsia="Arial" w:cs="Arial"/>
                <w:b/>
                <w:szCs w:val="19"/>
              </w:rPr>
            </w:pPr>
            <w:r w:rsidRPr="000A5E9C">
              <w:rPr>
                <w:b/>
              </w:rPr>
              <w:t>Intent</w:t>
            </w:r>
          </w:p>
          <w:p w:rsidR="006B3736" w:rsidRPr="000E52E2" w:rsidRDefault="006B3736" w:rsidP="000A5E9C">
            <w:pPr>
              <w:pStyle w:val="TableText"/>
              <w:rPr>
                <w:rFonts w:eastAsia="Arial" w:cs="Arial"/>
                <w:szCs w:val="19"/>
              </w:rPr>
            </w:pPr>
            <w:r w:rsidRPr="000E52E2">
              <w:t>To determine the demographics of the population within the retinal screening programme.</w:t>
            </w:r>
          </w:p>
          <w:p w:rsidR="006B3736" w:rsidRPr="000A5E9C" w:rsidRDefault="006B3736" w:rsidP="000A5E9C">
            <w:pPr>
              <w:pStyle w:val="TableText"/>
              <w:rPr>
                <w:rFonts w:eastAsia="Arial" w:cs="Arial"/>
                <w:b/>
                <w:szCs w:val="19"/>
              </w:rPr>
            </w:pPr>
            <w:r w:rsidRPr="000A5E9C">
              <w:rPr>
                <w:b/>
              </w:rPr>
              <w:t>Note</w:t>
            </w:r>
          </w:p>
          <w:p w:rsidR="006B3736" w:rsidRPr="000E52E2" w:rsidRDefault="006B3736" w:rsidP="000A5E9C">
            <w:pPr>
              <w:pStyle w:val="TableText"/>
              <w:rPr>
                <w:rFonts w:eastAsia="Arial" w:cs="Arial"/>
                <w:szCs w:val="19"/>
              </w:rPr>
            </w:pPr>
            <w:r w:rsidRPr="000E52E2">
              <w:rPr>
                <w:rFonts w:eastAsia="Arial" w:cs="Arial"/>
                <w:szCs w:val="19"/>
              </w:rPr>
              <w:t xml:space="preserve">Standard Ministry of Health </w:t>
            </w:r>
            <w:proofErr w:type="gramStart"/>
            <w:r w:rsidRPr="000E52E2">
              <w:rPr>
                <w:rFonts w:eastAsia="Arial" w:cs="Arial"/>
                <w:szCs w:val="19"/>
              </w:rPr>
              <w:t>reporting,</w:t>
            </w:r>
            <w:proofErr w:type="gramEnd"/>
            <w:r w:rsidRPr="000E52E2">
              <w:rPr>
                <w:rFonts w:eastAsia="Arial" w:cs="Arial"/>
                <w:szCs w:val="19"/>
              </w:rPr>
              <w:t xml:space="preserve"> so can use existing definitions – age, gender, ethnicity, geo code and deprivation.</w:t>
            </w:r>
          </w:p>
        </w:tc>
      </w:tr>
      <w:tr w:rsidR="006B3736" w:rsidRPr="000E52E2" w:rsidTr="00A36665">
        <w:trPr>
          <w:gridBefore w:val="1"/>
          <w:wBefore w:w="23" w:type="dxa"/>
          <w:cantSplit/>
        </w:trPr>
        <w:tc>
          <w:tcPr>
            <w:tcW w:w="1537" w:type="dxa"/>
            <w:tcBorders>
              <w:top w:val="single" w:sz="4" w:space="0" w:color="A6A6A6" w:themeColor="background1" w:themeShade="A6"/>
              <w:bottom w:val="single" w:sz="4" w:space="0" w:color="A6A6A6" w:themeColor="background1" w:themeShade="A6"/>
            </w:tcBorders>
          </w:tcPr>
          <w:p w:rsidR="006B3736" w:rsidRPr="000E52E2" w:rsidRDefault="006B3736" w:rsidP="000A5E9C">
            <w:pPr>
              <w:pStyle w:val="TableText"/>
              <w:rPr>
                <w:rFonts w:eastAsia="Arial" w:cs="Arial"/>
                <w:szCs w:val="19"/>
              </w:rPr>
            </w:pPr>
            <w:r w:rsidRPr="000E52E2">
              <w:t>2. Proportion of people with</w:t>
            </w:r>
            <w:r w:rsidR="000A5E9C">
              <w:t xml:space="preserve"> </w:t>
            </w:r>
            <w:r w:rsidRPr="000E52E2">
              <w:t>diabetes screened</w:t>
            </w:r>
          </w:p>
        </w:tc>
        <w:tc>
          <w:tcPr>
            <w:tcW w:w="7796" w:type="dxa"/>
            <w:tcBorders>
              <w:top w:val="single" w:sz="4" w:space="0" w:color="A6A6A6" w:themeColor="background1" w:themeShade="A6"/>
              <w:bottom w:val="single" w:sz="4" w:space="0" w:color="A6A6A6" w:themeColor="background1" w:themeShade="A6"/>
            </w:tcBorders>
          </w:tcPr>
          <w:p w:rsidR="006B3736" w:rsidRPr="000A5E9C" w:rsidRDefault="006B3736" w:rsidP="000A5E9C">
            <w:pPr>
              <w:pStyle w:val="TableText"/>
              <w:rPr>
                <w:rFonts w:eastAsia="Arial" w:cs="Arial"/>
                <w:b/>
                <w:szCs w:val="19"/>
              </w:rPr>
            </w:pPr>
            <w:r w:rsidRPr="000A5E9C">
              <w:rPr>
                <w:b/>
              </w:rPr>
              <w:t>Intent</w:t>
            </w:r>
          </w:p>
          <w:p w:rsidR="006B3736" w:rsidRPr="000E52E2" w:rsidRDefault="006B3736" w:rsidP="000A5E9C">
            <w:pPr>
              <w:pStyle w:val="TableBullet"/>
              <w:rPr>
                <w:rFonts w:eastAsia="Arial" w:cs="Arial"/>
                <w:szCs w:val="19"/>
              </w:rPr>
            </w:pPr>
            <w:r w:rsidRPr="000E52E2">
              <w:t>To ensure coverage of the population of people with diabetes.</w:t>
            </w:r>
          </w:p>
          <w:p w:rsidR="006B3736" w:rsidRPr="000E52E2" w:rsidRDefault="006B3736" w:rsidP="000A5E9C">
            <w:pPr>
              <w:pStyle w:val="TableBullet"/>
              <w:rPr>
                <w:rFonts w:eastAsia="Arial" w:cs="Arial"/>
                <w:szCs w:val="19"/>
              </w:rPr>
            </w:pPr>
            <w:r w:rsidRPr="000E52E2">
              <w:t>To determine the proportion of patients known to have diabetes who are screened regularly.</w:t>
            </w:r>
          </w:p>
          <w:p w:rsidR="006B3736" w:rsidRPr="000E52E2" w:rsidRDefault="006B3736" w:rsidP="000A5E9C">
            <w:pPr>
              <w:pStyle w:val="TableBullet"/>
              <w:rPr>
                <w:rFonts w:eastAsia="Arial" w:cs="Arial"/>
                <w:szCs w:val="19"/>
              </w:rPr>
            </w:pPr>
            <w:r w:rsidRPr="000E52E2">
              <w:t>To ensure there are no differences between populations (equity).</w:t>
            </w:r>
          </w:p>
          <w:p w:rsidR="006B3736" w:rsidRPr="000E52E2" w:rsidRDefault="006B3736" w:rsidP="000A5E9C">
            <w:pPr>
              <w:pStyle w:val="TableBullet"/>
              <w:rPr>
                <w:rFonts w:eastAsia="Arial" w:cs="Arial"/>
                <w:szCs w:val="19"/>
              </w:rPr>
            </w:pPr>
            <w:r w:rsidRPr="000E52E2">
              <w:t>To confirm that we are screening adequately.</w:t>
            </w:r>
          </w:p>
          <w:p w:rsidR="006B3736" w:rsidRPr="000E52E2" w:rsidRDefault="006B3736" w:rsidP="000A5E9C">
            <w:pPr>
              <w:pStyle w:val="TableBullet"/>
              <w:rPr>
                <w:rFonts w:eastAsia="Arial" w:cs="Arial"/>
                <w:szCs w:val="19"/>
              </w:rPr>
            </w:pPr>
            <w:r w:rsidRPr="000E52E2">
              <w:t>To report annually on screening coverage.</w:t>
            </w:r>
          </w:p>
          <w:p w:rsidR="006B3736" w:rsidRPr="000A5E9C" w:rsidRDefault="006B3736" w:rsidP="000A5E9C">
            <w:pPr>
              <w:pStyle w:val="TableText"/>
              <w:rPr>
                <w:rFonts w:eastAsia="Arial" w:cs="Arial"/>
                <w:b/>
                <w:szCs w:val="19"/>
              </w:rPr>
            </w:pPr>
            <w:r w:rsidRPr="000A5E9C">
              <w:rPr>
                <w:b/>
              </w:rPr>
              <w:t>Rationale</w:t>
            </w:r>
          </w:p>
          <w:p w:rsidR="006B3736" w:rsidRPr="000E52E2" w:rsidRDefault="006B3736" w:rsidP="000A5E9C">
            <w:pPr>
              <w:pStyle w:val="TableText"/>
              <w:rPr>
                <w:rFonts w:eastAsia="Arial" w:cs="Arial"/>
                <w:szCs w:val="19"/>
              </w:rPr>
            </w:pPr>
            <w:r w:rsidRPr="000E52E2">
              <w:t>To identify how well the population is covered and any gaps within those populations experiencing disparity and ensure population coverage.</w:t>
            </w:r>
          </w:p>
          <w:p w:rsidR="006B3736" w:rsidRPr="000A5E9C" w:rsidRDefault="006B3736" w:rsidP="000A5E9C">
            <w:pPr>
              <w:pStyle w:val="TableText"/>
              <w:rPr>
                <w:rFonts w:eastAsia="Arial" w:cs="Arial"/>
                <w:b/>
                <w:szCs w:val="19"/>
              </w:rPr>
            </w:pPr>
            <w:r w:rsidRPr="000A5E9C">
              <w:rPr>
                <w:b/>
              </w:rPr>
              <w:t>Numerator</w:t>
            </w:r>
          </w:p>
          <w:p w:rsidR="006B3736" w:rsidRPr="000E52E2" w:rsidRDefault="006B3736" w:rsidP="000A5E9C">
            <w:pPr>
              <w:pStyle w:val="TableBullet"/>
              <w:rPr>
                <w:rFonts w:eastAsia="Arial" w:cs="Arial"/>
                <w:szCs w:val="19"/>
              </w:rPr>
            </w:pPr>
            <w:r w:rsidRPr="000E52E2">
              <w:t>The number of people with diabetes who have had a retinal screen within the last two years.</w:t>
            </w:r>
          </w:p>
          <w:p w:rsidR="006B3736" w:rsidRPr="000E52E2" w:rsidRDefault="006B3736" w:rsidP="000A5E9C">
            <w:pPr>
              <w:pStyle w:val="TableBullet"/>
              <w:rPr>
                <w:rFonts w:eastAsia="Arial" w:cs="Arial"/>
                <w:szCs w:val="19"/>
              </w:rPr>
            </w:pPr>
            <w:r w:rsidRPr="000E52E2">
              <w:t>The number of people with diabetes who have had a retinal screen within the last three years.</w:t>
            </w:r>
          </w:p>
          <w:p w:rsidR="006B3736" w:rsidRPr="000E52E2" w:rsidRDefault="000A5E9C" w:rsidP="000A5E9C">
            <w:pPr>
              <w:pStyle w:val="TableText"/>
              <w:rPr>
                <w:rFonts w:eastAsia="Arial" w:cs="Arial"/>
                <w:szCs w:val="18"/>
              </w:rPr>
            </w:pPr>
            <w:r>
              <w:t xml:space="preserve">* </w:t>
            </w:r>
            <w:r w:rsidR="006B3736" w:rsidRPr="000E52E2">
              <w:t>With the change to three-yearly screening, we will need to look at screening at both two and three years.</w:t>
            </w:r>
          </w:p>
          <w:p w:rsidR="006B3736" w:rsidRPr="000A5E9C" w:rsidRDefault="006B3736" w:rsidP="000A5E9C">
            <w:pPr>
              <w:pStyle w:val="TableText"/>
              <w:rPr>
                <w:rFonts w:eastAsia="Arial" w:cs="Arial"/>
                <w:b/>
                <w:szCs w:val="19"/>
              </w:rPr>
            </w:pPr>
            <w:r w:rsidRPr="000A5E9C">
              <w:rPr>
                <w:b/>
              </w:rPr>
              <w:t>Denominator</w:t>
            </w:r>
          </w:p>
          <w:p w:rsidR="006B3736" w:rsidRPr="000E52E2" w:rsidRDefault="006B3736" w:rsidP="000A5E9C">
            <w:pPr>
              <w:pStyle w:val="TableText"/>
              <w:rPr>
                <w:rFonts w:eastAsia="Arial" w:cs="Arial"/>
                <w:szCs w:val="19"/>
              </w:rPr>
            </w:pPr>
            <w:r w:rsidRPr="000E52E2">
              <w:t>The number of people with diabetes enrolled in a primary health organisation (PHO) who live in a district health board (DHB) region, by lead DHB on the last day of the reporting period (reported at a patient level).</w:t>
            </w:r>
          </w:p>
          <w:p w:rsidR="006B3736" w:rsidRPr="000E52E2" w:rsidRDefault="000A5E9C" w:rsidP="000A5E9C">
            <w:pPr>
              <w:pStyle w:val="TableText"/>
              <w:rPr>
                <w:rFonts w:eastAsia="Arial" w:cs="Arial"/>
                <w:szCs w:val="18"/>
              </w:rPr>
            </w:pPr>
            <w:r>
              <w:t xml:space="preserve">* </w:t>
            </w:r>
            <w:r w:rsidR="006B3736" w:rsidRPr="000E52E2">
              <w:t>For people enrolled in a cross-boundary PHO, DHB of domicile will determine the DHB area (reported at a patient level).</w:t>
            </w:r>
          </w:p>
          <w:p w:rsidR="006B3736" w:rsidRPr="000A5E9C" w:rsidRDefault="006B3736" w:rsidP="000A5E9C">
            <w:pPr>
              <w:pStyle w:val="TableText"/>
              <w:rPr>
                <w:rFonts w:eastAsia="Arial" w:cs="Arial"/>
                <w:b/>
                <w:szCs w:val="19"/>
              </w:rPr>
            </w:pPr>
            <w:r w:rsidRPr="000A5E9C">
              <w:rPr>
                <w:b/>
              </w:rPr>
              <w:t>Notes</w:t>
            </w:r>
          </w:p>
          <w:p w:rsidR="006B3736" w:rsidRPr="000E52E2" w:rsidRDefault="006B3736" w:rsidP="000A5E9C">
            <w:pPr>
              <w:pStyle w:val="TableText"/>
              <w:rPr>
                <w:rFonts w:eastAsia="Arial" w:cs="Arial"/>
                <w:szCs w:val="19"/>
              </w:rPr>
            </w:pPr>
            <w:r w:rsidRPr="000E52E2">
              <w:t>This needs to be at the DHB level and assumes DHBs will get the population with diabetes from the PHO register.</w:t>
            </w:r>
          </w:p>
          <w:p w:rsidR="006B3736" w:rsidRPr="000E52E2" w:rsidRDefault="006B3736" w:rsidP="000A5E9C">
            <w:pPr>
              <w:pStyle w:val="TableText"/>
              <w:rPr>
                <w:rFonts w:eastAsia="Arial" w:cs="Arial"/>
                <w:szCs w:val="19"/>
              </w:rPr>
            </w:pPr>
            <w:r w:rsidRPr="000E52E2">
              <w:t>This is really a percentage of patients due to be screened. This is an annual reporting measure, and it depends on the enrolled population at the time of reporting.</w:t>
            </w:r>
          </w:p>
          <w:p w:rsidR="006B3736" w:rsidRPr="000E52E2" w:rsidRDefault="006B3736" w:rsidP="000A5E9C">
            <w:pPr>
              <w:pStyle w:val="TableText"/>
              <w:rPr>
                <w:rFonts w:eastAsia="Arial" w:cs="Arial"/>
                <w:szCs w:val="19"/>
              </w:rPr>
            </w:pPr>
            <w:r w:rsidRPr="000E52E2">
              <w:t>All eligible people with diabetes should be screened, however, some may be under ophthalmology care or have co-morbidities preventing screening. It is expected that at least 90</w:t>
            </w:r>
            <w:r w:rsidR="000A5E9C">
              <w:t> </w:t>
            </w:r>
            <w:r w:rsidRPr="000E52E2">
              <w:t>percent of the population with diabetes PWD will be screened.</w:t>
            </w:r>
          </w:p>
        </w:tc>
      </w:tr>
      <w:tr w:rsidR="006B3736" w:rsidRPr="000E52E2" w:rsidTr="000A5E9C">
        <w:trPr>
          <w:cantSplit/>
        </w:trPr>
        <w:tc>
          <w:tcPr>
            <w:tcW w:w="1560" w:type="dxa"/>
            <w:gridSpan w:val="2"/>
            <w:tcBorders>
              <w:top w:val="single" w:sz="4" w:space="0" w:color="A6A6A6" w:themeColor="background1" w:themeShade="A6"/>
              <w:bottom w:val="single" w:sz="4" w:space="0" w:color="A6A6A6" w:themeColor="background1" w:themeShade="A6"/>
            </w:tcBorders>
          </w:tcPr>
          <w:p w:rsidR="006B3736" w:rsidRPr="000E52E2" w:rsidRDefault="006B3736" w:rsidP="000A5E9C">
            <w:pPr>
              <w:pStyle w:val="TableText"/>
              <w:rPr>
                <w:rFonts w:eastAsia="Arial" w:cs="Arial"/>
                <w:szCs w:val="19"/>
              </w:rPr>
            </w:pPr>
            <w:r w:rsidRPr="000E52E2">
              <w:lastRenderedPageBreak/>
              <w:t>3. Timely assessment of risk for people newly diagnosed with type</w:t>
            </w:r>
            <w:r w:rsidR="000A5E9C">
              <w:t> </w:t>
            </w:r>
            <w:r w:rsidRPr="000E52E2">
              <w:t>2 diabetes</w:t>
            </w:r>
          </w:p>
        </w:tc>
        <w:tc>
          <w:tcPr>
            <w:tcW w:w="7796" w:type="dxa"/>
            <w:tcBorders>
              <w:top w:val="single" w:sz="4" w:space="0" w:color="A6A6A6" w:themeColor="background1" w:themeShade="A6"/>
              <w:bottom w:val="single" w:sz="4" w:space="0" w:color="A6A6A6" w:themeColor="background1" w:themeShade="A6"/>
            </w:tcBorders>
          </w:tcPr>
          <w:p w:rsidR="006B3736" w:rsidRPr="000A5E9C" w:rsidRDefault="006B3736" w:rsidP="000A5E9C">
            <w:pPr>
              <w:pStyle w:val="TableText"/>
              <w:rPr>
                <w:rFonts w:eastAsia="Arial" w:cs="Arial"/>
                <w:b/>
                <w:szCs w:val="19"/>
              </w:rPr>
            </w:pPr>
            <w:r w:rsidRPr="000A5E9C">
              <w:rPr>
                <w:b/>
              </w:rPr>
              <w:t>Intent</w:t>
            </w:r>
          </w:p>
          <w:p w:rsidR="006B3736" w:rsidRPr="000E52E2" w:rsidRDefault="006B3736" w:rsidP="000A5E9C">
            <w:pPr>
              <w:pStyle w:val="TableText"/>
              <w:rPr>
                <w:rFonts w:eastAsia="Arial" w:cs="Arial"/>
                <w:szCs w:val="19"/>
              </w:rPr>
            </w:pPr>
            <w:r w:rsidRPr="000E52E2">
              <w:t>All people with the potential for DR should be screened within 90 days of referral.</w:t>
            </w:r>
          </w:p>
          <w:p w:rsidR="006B3736" w:rsidRPr="000A5E9C" w:rsidRDefault="006B3736" w:rsidP="000A5E9C">
            <w:pPr>
              <w:pStyle w:val="TableText"/>
              <w:rPr>
                <w:rFonts w:eastAsia="Arial" w:cs="Arial"/>
                <w:b/>
                <w:szCs w:val="19"/>
              </w:rPr>
            </w:pPr>
            <w:r w:rsidRPr="000A5E9C">
              <w:rPr>
                <w:b/>
              </w:rPr>
              <w:t>Rationale</w:t>
            </w:r>
          </w:p>
          <w:p w:rsidR="006B3736" w:rsidRPr="000E52E2" w:rsidRDefault="006B3736" w:rsidP="000A5E9C">
            <w:pPr>
              <w:pStyle w:val="TableText"/>
              <w:rPr>
                <w:rFonts w:eastAsia="Arial" w:cs="Arial"/>
                <w:szCs w:val="19"/>
              </w:rPr>
            </w:pPr>
            <w:r w:rsidRPr="000E52E2">
              <w:t>The wait time to the first screening reinforces the GP diagnosis and assessment process, and newly diagnosed people need to have a timely risk assessment.</w:t>
            </w:r>
          </w:p>
          <w:p w:rsidR="006B3736" w:rsidRPr="000A5E9C" w:rsidRDefault="006B3736" w:rsidP="000A5E9C">
            <w:pPr>
              <w:pStyle w:val="TableText"/>
              <w:rPr>
                <w:rFonts w:eastAsia="Arial" w:cs="Arial"/>
                <w:b/>
                <w:szCs w:val="19"/>
              </w:rPr>
            </w:pPr>
            <w:r w:rsidRPr="000A5E9C">
              <w:rPr>
                <w:b/>
              </w:rPr>
              <w:t>Numerator</w:t>
            </w:r>
          </w:p>
          <w:p w:rsidR="006B3736" w:rsidRPr="000E52E2" w:rsidRDefault="006B3736" w:rsidP="000A5E9C">
            <w:pPr>
              <w:pStyle w:val="TableText"/>
              <w:rPr>
                <w:rFonts w:eastAsia="Arial" w:cs="Arial"/>
                <w:szCs w:val="19"/>
              </w:rPr>
            </w:pPr>
            <w:r w:rsidRPr="000E52E2">
              <w:t>The number of people with type 2 diabetes 18 years of age and over screened within 90 days of referral.</w:t>
            </w:r>
          </w:p>
          <w:p w:rsidR="006B3736" w:rsidRPr="000A5E9C" w:rsidRDefault="006B3736" w:rsidP="000A5E9C">
            <w:pPr>
              <w:pStyle w:val="TableText"/>
              <w:rPr>
                <w:rFonts w:eastAsia="Arial" w:cs="Arial"/>
                <w:b/>
                <w:szCs w:val="19"/>
              </w:rPr>
            </w:pPr>
            <w:r w:rsidRPr="000A5E9C">
              <w:rPr>
                <w:b/>
              </w:rPr>
              <w:t>Denominator</w:t>
            </w:r>
          </w:p>
          <w:p w:rsidR="006B3736" w:rsidRPr="000E52E2" w:rsidRDefault="006B3736" w:rsidP="000A5E9C">
            <w:pPr>
              <w:pStyle w:val="TableText"/>
              <w:rPr>
                <w:rFonts w:eastAsia="Arial" w:cs="Arial"/>
                <w:szCs w:val="19"/>
              </w:rPr>
            </w:pPr>
            <w:r w:rsidRPr="000E52E2">
              <w:t>The number of people with type 2 diabetes 18 years of age and over receiving a new type 2 diabetes diagnosis within the past 12 months.</w:t>
            </w:r>
          </w:p>
          <w:p w:rsidR="006B3736" w:rsidRPr="000A5E9C" w:rsidRDefault="006B3736" w:rsidP="000A5E9C">
            <w:pPr>
              <w:pStyle w:val="TableText"/>
              <w:rPr>
                <w:rFonts w:eastAsia="Arial" w:cs="Arial"/>
                <w:b/>
                <w:szCs w:val="19"/>
              </w:rPr>
            </w:pPr>
            <w:r w:rsidRPr="000A5E9C">
              <w:rPr>
                <w:b/>
              </w:rPr>
              <w:t>Notes</w:t>
            </w:r>
          </w:p>
          <w:p w:rsidR="006B3736" w:rsidRPr="000E52E2" w:rsidRDefault="00464C89" w:rsidP="000A5E9C">
            <w:pPr>
              <w:pStyle w:val="TableText"/>
              <w:rPr>
                <w:rFonts w:eastAsia="Arial" w:cs="Arial"/>
                <w:szCs w:val="19"/>
              </w:rPr>
            </w:pPr>
            <w:r>
              <w:rPr>
                <w:rFonts w:eastAsia="Arial" w:cs="Arial"/>
                <w:szCs w:val="19"/>
              </w:rPr>
              <w:t>‘</w:t>
            </w:r>
            <w:r w:rsidR="006B3736" w:rsidRPr="000E52E2">
              <w:rPr>
                <w:rFonts w:eastAsia="Arial" w:cs="Arial"/>
                <w:szCs w:val="19"/>
              </w:rPr>
              <w:t>Newly diagnosed</w:t>
            </w:r>
            <w:r>
              <w:rPr>
                <w:rFonts w:eastAsia="Arial" w:cs="Arial"/>
                <w:szCs w:val="19"/>
              </w:rPr>
              <w:t>’</w:t>
            </w:r>
            <w:r w:rsidR="006B3736" w:rsidRPr="000E52E2">
              <w:rPr>
                <w:rFonts w:eastAsia="Arial" w:cs="Arial"/>
                <w:szCs w:val="19"/>
              </w:rPr>
              <w:t xml:space="preserve"> relates to anyone in the previous calendar year. Screening programmes should be collecting the date or year of diagnosis.</w:t>
            </w:r>
          </w:p>
          <w:p w:rsidR="006B3736" w:rsidRPr="000E52E2" w:rsidRDefault="006B3736" w:rsidP="000A5E9C">
            <w:pPr>
              <w:pStyle w:val="TableText"/>
              <w:rPr>
                <w:rFonts w:eastAsia="Arial" w:cs="Arial"/>
                <w:szCs w:val="19"/>
              </w:rPr>
            </w:pPr>
            <w:r w:rsidRPr="000E52E2">
              <w:t>People should be referred at diagnosis of type 2 diabetes or five years post-diagnosis of type 1 diabetes and screened within two months of receipt of referral.</w:t>
            </w:r>
          </w:p>
          <w:p w:rsidR="006B3736" w:rsidRPr="000E52E2" w:rsidRDefault="006B3736" w:rsidP="000A5E9C">
            <w:pPr>
              <w:pStyle w:val="TableText"/>
              <w:rPr>
                <w:rFonts w:eastAsia="Arial" w:cs="Arial"/>
                <w:szCs w:val="19"/>
              </w:rPr>
            </w:pPr>
            <w:r w:rsidRPr="000E52E2">
              <w:t>Time to first screen depends on two factors: the referrer and the capacity/efficiency of the screening programme. If efficiency only is considered, then the wait time of interest is between receipt of referral and the actual screening date.</w:t>
            </w:r>
          </w:p>
          <w:p w:rsidR="006B3736" w:rsidRPr="000E52E2" w:rsidRDefault="006B3736" w:rsidP="000A5E9C">
            <w:pPr>
              <w:pStyle w:val="TableText"/>
              <w:rPr>
                <w:rFonts w:eastAsia="Arial" w:cs="Arial"/>
                <w:szCs w:val="19"/>
              </w:rPr>
            </w:pPr>
            <w:r w:rsidRPr="000E52E2">
              <w:t>This indicator is aimed at people with type 2 diabetes as people with type 1 may be referred before their screening is due.</w:t>
            </w:r>
          </w:p>
        </w:tc>
      </w:tr>
      <w:tr w:rsidR="006B3736" w:rsidRPr="000E52E2" w:rsidTr="000A5E9C">
        <w:trPr>
          <w:cantSplit/>
        </w:trPr>
        <w:tc>
          <w:tcPr>
            <w:tcW w:w="1560" w:type="dxa"/>
            <w:gridSpan w:val="2"/>
            <w:tcBorders>
              <w:top w:val="single" w:sz="4" w:space="0" w:color="A6A6A6" w:themeColor="background1" w:themeShade="A6"/>
              <w:bottom w:val="nil"/>
            </w:tcBorders>
          </w:tcPr>
          <w:p w:rsidR="006B3736" w:rsidRPr="000E52E2" w:rsidRDefault="006B3736" w:rsidP="000A5E9C">
            <w:pPr>
              <w:pStyle w:val="TableText"/>
              <w:rPr>
                <w:rFonts w:eastAsia="Arial" w:cs="Arial"/>
                <w:szCs w:val="19"/>
              </w:rPr>
            </w:pPr>
            <w:r w:rsidRPr="000E52E2">
              <w:t>4. Proportion of sight-threatening DR at first presentation</w:t>
            </w:r>
          </w:p>
        </w:tc>
        <w:tc>
          <w:tcPr>
            <w:tcW w:w="7796" w:type="dxa"/>
            <w:tcBorders>
              <w:top w:val="single" w:sz="4" w:space="0" w:color="A6A6A6" w:themeColor="background1" w:themeShade="A6"/>
              <w:bottom w:val="nil"/>
            </w:tcBorders>
          </w:tcPr>
          <w:p w:rsidR="006B3736" w:rsidRPr="000A5E9C" w:rsidRDefault="006B3736" w:rsidP="000A5E9C">
            <w:pPr>
              <w:pStyle w:val="TableText"/>
              <w:rPr>
                <w:rFonts w:eastAsia="Arial" w:cs="Arial"/>
                <w:b/>
                <w:szCs w:val="19"/>
              </w:rPr>
            </w:pPr>
            <w:r w:rsidRPr="000A5E9C">
              <w:rPr>
                <w:b/>
              </w:rPr>
              <w:t>Rationale</w:t>
            </w:r>
          </w:p>
          <w:p w:rsidR="006B3736" w:rsidRPr="000E52E2" w:rsidRDefault="006B3736" w:rsidP="000A5E9C">
            <w:pPr>
              <w:pStyle w:val="TableText"/>
              <w:rPr>
                <w:rFonts w:eastAsia="Arial" w:cs="Arial"/>
                <w:szCs w:val="19"/>
              </w:rPr>
            </w:pPr>
            <w:r w:rsidRPr="000E52E2">
              <w:t xml:space="preserve">Understanding the condition of people at first screening and the proportion of people newly diagnosed with type </w:t>
            </w:r>
            <w:proofErr w:type="gramStart"/>
            <w:r w:rsidRPr="000E52E2">
              <w:t>2 diabetes</w:t>
            </w:r>
            <w:proofErr w:type="gramEnd"/>
            <w:r w:rsidRPr="000E52E2">
              <w:t xml:space="preserve"> by retinal screening outcome grade at their first visit.</w:t>
            </w:r>
          </w:p>
          <w:p w:rsidR="006B3736" w:rsidRPr="000A5E9C" w:rsidRDefault="006B3736" w:rsidP="000A5E9C">
            <w:pPr>
              <w:pStyle w:val="TableText"/>
              <w:rPr>
                <w:rFonts w:eastAsia="Arial" w:cs="Arial"/>
                <w:b/>
                <w:szCs w:val="19"/>
              </w:rPr>
            </w:pPr>
            <w:r w:rsidRPr="000A5E9C">
              <w:rPr>
                <w:b/>
              </w:rPr>
              <w:t>Intent</w:t>
            </w:r>
          </w:p>
          <w:p w:rsidR="006B3736" w:rsidRPr="000E52E2" w:rsidRDefault="006B3736" w:rsidP="000A5E9C">
            <w:pPr>
              <w:pStyle w:val="TableText"/>
              <w:rPr>
                <w:rFonts w:eastAsia="Arial" w:cs="Arial"/>
                <w:szCs w:val="19"/>
              </w:rPr>
            </w:pPr>
            <w:r w:rsidRPr="000E52E2">
              <w:t>To show if early community detection of diabetes and early retinal screening will reduce the complications associated with sight-threatening retinal changes.</w:t>
            </w:r>
          </w:p>
          <w:p w:rsidR="006B3736" w:rsidRPr="000A5E9C" w:rsidRDefault="006B3736" w:rsidP="000A5E9C">
            <w:pPr>
              <w:pStyle w:val="TableText"/>
              <w:rPr>
                <w:rFonts w:eastAsia="Arial" w:cs="Arial"/>
                <w:b/>
                <w:szCs w:val="19"/>
              </w:rPr>
            </w:pPr>
            <w:r w:rsidRPr="000A5E9C">
              <w:rPr>
                <w:b/>
              </w:rPr>
              <w:t>Numerator</w:t>
            </w:r>
          </w:p>
          <w:p w:rsidR="006B3736" w:rsidRPr="000E52E2" w:rsidRDefault="006B3736" w:rsidP="000A5E9C">
            <w:pPr>
              <w:pStyle w:val="TableText"/>
              <w:rPr>
                <w:rFonts w:eastAsia="Arial" w:cs="Arial"/>
                <w:szCs w:val="19"/>
              </w:rPr>
            </w:pPr>
            <w:r w:rsidRPr="000E52E2">
              <w:t xml:space="preserve">The number of people with type 2 diabetes in a DHB area with diabetes diagnosed within the previous year </w:t>
            </w:r>
            <w:proofErr w:type="gramStart"/>
            <w:r w:rsidRPr="000E52E2">
              <w:t>who</w:t>
            </w:r>
            <w:proofErr w:type="gramEnd"/>
            <w:r w:rsidRPr="000E52E2">
              <w:t xml:space="preserve"> have sight-threatening DR on first screening (R3, R4, R5 or M3, M4, M5 in either eye).</w:t>
            </w:r>
          </w:p>
          <w:p w:rsidR="006B3736" w:rsidRPr="000A5E9C" w:rsidRDefault="006B3736" w:rsidP="000A5E9C">
            <w:pPr>
              <w:pStyle w:val="TableText"/>
              <w:rPr>
                <w:rFonts w:eastAsia="Arial" w:cs="Arial"/>
                <w:b/>
                <w:szCs w:val="19"/>
              </w:rPr>
            </w:pPr>
            <w:r w:rsidRPr="000A5E9C">
              <w:rPr>
                <w:b/>
              </w:rPr>
              <w:t>Denominator</w:t>
            </w:r>
          </w:p>
          <w:p w:rsidR="006B3736" w:rsidRPr="000E52E2" w:rsidRDefault="006B3736" w:rsidP="000A5E9C">
            <w:pPr>
              <w:pStyle w:val="TableText"/>
              <w:rPr>
                <w:rFonts w:eastAsia="Arial" w:cs="Arial"/>
                <w:szCs w:val="19"/>
              </w:rPr>
            </w:pPr>
            <w:r w:rsidRPr="000E52E2">
              <w:t>The number of people with type 2 diabetes diagnosed within the previous year in a DHB area.</w:t>
            </w:r>
          </w:p>
          <w:p w:rsidR="006B3736" w:rsidRPr="000A5E9C" w:rsidRDefault="006B3736" w:rsidP="000A5E9C">
            <w:pPr>
              <w:pStyle w:val="TableText"/>
              <w:rPr>
                <w:rFonts w:eastAsia="Arial" w:cs="Arial"/>
                <w:b/>
                <w:szCs w:val="19"/>
              </w:rPr>
            </w:pPr>
            <w:r w:rsidRPr="000A5E9C">
              <w:rPr>
                <w:b/>
              </w:rPr>
              <w:t>Notes</w:t>
            </w:r>
          </w:p>
          <w:p w:rsidR="006B3736" w:rsidRPr="000E52E2" w:rsidRDefault="00464C89" w:rsidP="000A5E9C">
            <w:pPr>
              <w:pStyle w:val="TableText"/>
              <w:rPr>
                <w:rFonts w:eastAsia="Arial" w:cs="Arial"/>
                <w:szCs w:val="19"/>
              </w:rPr>
            </w:pPr>
            <w:r>
              <w:rPr>
                <w:rFonts w:eastAsia="Arial" w:cs="Arial"/>
                <w:szCs w:val="19"/>
              </w:rPr>
              <w:t>‘</w:t>
            </w:r>
            <w:r w:rsidR="006B3736" w:rsidRPr="000E52E2">
              <w:rPr>
                <w:rFonts w:eastAsia="Arial" w:cs="Arial"/>
                <w:szCs w:val="19"/>
              </w:rPr>
              <w:t>Newly diagnosed</w:t>
            </w:r>
            <w:r>
              <w:rPr>
                <w:rFonts w:eastAsia="Arial" w:cs="Arial"/>
                <w:szCs w:val="19"/>
              </w:rPr>
              <w:t>’</w:t>
            </w:r>
            <w:r w:rsidR="006B3736" w:rsidRPr="000E52E2">
              <w:rPr>
                <w:rFonts w:eastAsia="Arial" w:cs="Arial"/>
                <w:szCs w:val="19"/>
              </w:rPr>
              <w:t xml:space="preserve"> relates to anyone in the previous calendar year.</w:t>
            </w:r>
          </w:p>
          <w:p w:rsidR="006B3736" w:rsidRPr="000E52E2" w:rsidRDefault="006B3736" w:rsidP="000A5E9C">
            <w:pPr>
              <w:pStyle w:val="TableText"/>
              <w:rPr>
                <w:rFonts w:eastAsia="Arial" w:cs="Arial"/>
                <w:szCs w:val="19"/>
              </w:rPr>
            </w:pPr>
            <w:r w:rsidRPr="000E52E2">
              <w:t>Screening programmes should be collecting the date or year of diagnosis.</w:t>
            </w:r>
          </w:p>
        </w:tc>
      </w:tr>
      <w:tr w:rsidR="006B3736" w:rsidRPr="000E52E2" w:rsidTr="000A5E9C">
        <w:trPr>
          <w:gridBefore w:val="1"/>
          <w:wBefore w:w="23" w:type="dxa"/>
          <w:cantSplit/>
        </w:trPr>
        <w:tc>
          <w:tcPr>
            <w:tcW w:w="1537" w:type="dxa"/>
            <w:tcBorders>
              <w:top w:val="single" w:sz="4" w:space="0" w:color="A6A6A6" w:themeColor="background1" w:themeShade="A6"/>
              <w:bottom w:val="single" w:sz="4" w:space="0" w:color="A6A6A6" w:themeColor="background1" w:themeShade="A6"/>
            </w:tcBorders>
          </w:tcPr>
          <w:p w:rsidR="006B3736" w:rsidRPr="000E52E2" w:rsidRDefault="006B3736" w:rsidP="000A5E9C">
            <w:pPr>
              <w:pStyle w:val="TableText"/>
              <w:rPr>
                <w:rFonts w:eastAsia="Arial" w:cs="Arial"/>
                <w:szCs w:val="19"/>
              </w:rPr>
            </w:pPr>
            <w:r w:rsidRPr="000E52E2">
              <w:t>5. Assessment of screening process</w:t>
            </w:r>
          </w:p>
        </w:tc>
        <w:tc>
          <w:tcPr>
            <w:tcW w:w="7796" w:type="dxa"/>
            <w:tcBorders>
              <w:top w:val="single" w:sz="4" w:space="0" w:color="A6A6A6" w:themeColor="background1" w:themeShade="A6"/>
              <w:bottom w:val="single" w:sz="4" w:space="0" w:color="A6A6A6" w:themeColor="background1" w:themeShade="A6"/>
            </w:tcBorders>
          </w:tcPr>
          <w:p w:rsidR="006B3736" w:rsidRPr="000A5E9C" w:rsidRDefault="006B3736" w:rsidP="000A5E9C">
            <w:pPr>
              <w:pStyle w:val="TableText"/>
              <w:rPr>
                <w:rFonts w:eastAsia="Arial" w:cs="Arial"/>
                <w:b/>
                <w:szCs w:val="19"/>
              </w:rPr>
            </w:pPr>
            <w:r w:rsidRPr="000A5E9C">
              <w:rPr>
                <w:b/>
              </w:rPr>
              <w:t>Intent</w:t>
            </w:r>
          </w:p>
          <w:p w:rsidR="006B3736" w:rsidRPr="000E52E2" w:rsidRDefault="006B3736" w:rsidP="000A5E9C">
            <w:pPr>
              <w:pStyle w:val="TableText"/>
              <w:rPr>
                <w:rFonts w:eastAsia="Arial" w:cs="Arial"/>
                <w:szCs w:val="19"/>
              </w:rPr>
            </w:pPr>
            <w:r w:rsidRPr="000E52E2">
              <w:t>To determine the proportion of patients whose images (in either eye) could not be reported because the image was not of acceptable quality or there were other clinical issues, such as cataracts or glaucoma.</w:t>
            </w:r>
          </w:p>
          <w:p w:rsidR="006B3736" w:rsidRPr="000A5E9C" w:rsidRDefault="006B3736" w:rsidP="000A5E9C">
            <w:pPr>
              <w:pStyle w:val="TableText"/>
              <w:rPr>
                <w:rFonts w:eastAsia="Arial" w:cs="Arial"/>
                <w:b/>
                <w:szCs w:val="19"/>
              </w:rPr>
            </w:pPr>
            <w:r w:rsidRPr="000A5E9C">
              <w:rPr>
                <w:b/>
              </w:rPr>
              <w:t>Numerator</w:t>
            </w:r>
          </w:p>
          <w:p w:rsidR="006B3736" w:rsidRPr="000E52E2" w:rsidRDefault="006B3736" w:rsidP="000A5E9C">
            <w:pPr>
              <w:pStyle w:val="TableText"/>
              <w:rPr>
                <w:rFonts w:eastAsia="Arial" w:cs="Arial"/>
                <w:szCs w:val="19"/>
              </w:rPr>
            </w:pPr>
            <w:r w:rsidRPr="000E52E2">
              <w:t>The number of people where a clinical assessment is required.</w:t>
            </w:r>
          </w:p>
          <w:p w:rsidR="006B3736" w:rsidRPr="000A5E9C" w:rsidRDefault="006B3736" w:rsidP="000A5E9C">
            <w:pPr>
              <w:pStyle w:val="TableText"/>
              <w:rPr>
                <w:rFonts w:eastAsia="Arial" w:cs="Arial"/>
                <w:b/>
                <w:szCs w:val="19"/>
              </w:rPr>
            </w:pPr>
            <w:r w:rsidRPr="000A5E9C">
              <w:rPr>
                <w:b/>
              </w:rPr>
              <w:t>Denominator</w:t>
            </w:r>
          </w:p>
          <w:p w:rsidR="006B3736" w:rsidRPr="000E52E2" w:rsidRDefault="006B3736" w:rsidP="000A5E9C">
            <w:pPr>
              <w:pStyle w:val="TableText"/>
              <w:rPr>
                <w:rFonts w:eastAsia="Arial" w:cs="Arial"/>
                <w:szCs w:val="19"/>
              </w:rPr>
            </w:pPr>
            <w:r w:rsidRPr="000E52E2">
              <w:t>The number of people screened in the programme.</w:t>
            </w:r>
          </w:p>
          <w:p w:rsidR="006B3736" w:rsidRPr="000A5E9C" w:rsidRDefault="006B3736" w:rsidP="000A5E9C">
            <w:pPr>
              <w:pStyle w:val="TableText"/>
              <w:rPr>
                <w:rFonts w:eastAsia="Arial" w:cs="Arial"/>
                <w:b/>
                <w:szCs w:val="19"/>
              </w:rPr>
            </w:pPr>
            <w:r w:rsidRPr="000A5E9C">
              <w:rPr>
                <w:b/>
              </w:rPr>
              <w:t>Note</w:t>
            </w:r>
          </w:p>
          <w:p w:rsidR="006B3736" w:rsidRPr="000E52E2" w:rsidRDefault="006B3736" w:rsidP="000A5E9C">
            <w:pPr>
              <w:pStyle w:val="TableText"/>
              <w:rPr>
                <w:rFonts w:eastAsia="Arial" w:cs="Arial"/>
                <w:szCs w:val="19"/>
              </w:rPr>
            </w:pPr>
            <w:r w:rsidRPr="000E52E2">
              <w:t>A clinical assessment is seen as an important step in obtaining the best possible retinal assessment.</w:t>
            </w:r>
          </w:p>
        </w:tc>
      </w:tr>
      <w:tr w:rsidR="006B3736" w:rsidRPr="000E52E2" w:rsidTr="000A5E9C">
        <w:trPr>
          <w:gridBefore w:val="1"/>
          <w:wBefore w:w="23" w:type="dxa"/>
          <w:cantSplit/>
        </w:trPr>
        <w:tc>
          <w:tcPr>
            <w:tcW w:w="1537" w:type="dxa"/>
            <w:tcBorders>
              <w:bottom w:val="single" w:sz="4" w:space="0" w:color="A6A6A6" w:themeColor="background1" w:themeShade="A6"/>
            </w:tcBorders>
          </w:tcPr>
          <w:p w:rsidR="006B3736" w:rsidRPr="000E52E2" w:rsidRDefault="006B3736" w:rsidP="000A5E9C">
            <w:pPr>
              <w:pStyle w:val="TableText"/>
              <w:rPr>
                <w:rFonts w:eastAsia="Arial" w:cs="Arial"/>
                <w:szCs w:val="19"/>
              </w:rPr>
            </w:pPr>
            <w:r w:rsidRPr="000E52E2">
              <w:lastRenderedPageBreak/>
              <w:t>6. Outcome grades</w:t>
            </w:r>
          </w:p>
        </w:tc>
        <w:tc>
          <w:tcPr>
            <w:tcW w:w="7796" w:type="dxa"/>
            <w:tcBorders>
              <w:bottom w:val="single" w:sz="4" w:space="0" w:color="A6A6A6" w:themeColor="background1" w:themeShade="A6"/>
            </w:tcBorders>
          </w:tcPr>
          <w:p w:rsidR="006B3736" w:rsidRPr="000E52E2" w:rsidRDefault="000A5E9C" w:rsidP="000A5E9C">
            <w:pPr>
              <w:pStyle w:val="TableText"/>
              <w:ind w:left="425" w:hanging="425"/>
              <w:rPr>
                <w:rFonts w:eastAsia="Arial" w:cs="Arial"/>
                <w:szCs w:val="19"/>
              </w:rPr>
            </w:pPr>
            <w:r>
              <w:t>a.</w:t>
            </w:r>
            <w:r>
              <w:tab/>
            </w:r>
            <w:r w:rsidR="006B3736" w:rsidRPr="000E52E2">
              <w:t xml:space="preserve">No DR or </w:t>
            </w:r>
            <w:proofErr w:type="spellStart"/>
            <w:r w:rsidR="006B3736" w:rsidRPr="000E52E2">
              <w:t>maculopathy</w:t>
            </w:r>
            <w:proofErr w:type="spellEnd"/>
            <w:r w:rsidR="006B3736" w:rsidRPr="000E52E2">
              <w:t xml:space="preserve"> in either eye (only had grades R0, M0 as their outcome).</w:t>
            </w:r>
          </w:p>
          <w:p w:rsidR="006B3736" w:rsidRPr="000E52E2" w:rsidRDefault="000A5E9C" w:rsidP="000A5E9C">
            <w:pPr>
              <w:pStyle w:val="TableText"/>
              <w:ind w:left="425" w:hanging="425"/>
              <w:rPr>
                <w:rFonts w:eastAsia="Arial" w:cs="Arial"/>
                <w:szCs w:val="19"/>
              </w:rPr>
            </w:pPr>
            <w:r>
              <w:rPr>
                <w:rFonts w:eastAsia="Arial" w:cs="Arial"/>
                <w:szCs w:val="19"/>
              </w:rPr>
              <w:t>b.</w:t>
            </w:r>
            <w:r>
              <w:rPr>
                <w:rFonts w:eastAsia="Arial" w:cs="Arial"/>
                <w:szCs w:val="19"/>
              </w:rPr>
              <w:tab/>
            </w:r>
            <w:r w:rsidR="006B3736" w:rsidRPr="000E52E2">
              <w:rPr>
                <w:rFonts w:eastAsia="Arial" w:cs="Arial"/>
                <w:szCs w:val="19"/>
              </w:rPr>
              <w:t>Had any DR in either eye (had outcome grades other than R0, M0 in either eye) – should match up with 1.</w:t>
            </w:r>
          </w:p>
          <w:p w:rsidR="006B3736" w:rsidRPr="000E52E2" w:rsidRDefault="000A5E9C" w:rsidP="000A5E9C">
            <w:pPr>
              <w:pStyle w:val="TableText"/>
              <w:ind w:left="425" w:hanging="425"/>
              <w:rPr>
                <w:rFonts w:eastAsia="Arial" w:cs="Arial"/>
                <w:szCs w:val="19"/>
              </w:rPr>
            </w:pPr>
            <w:r>
              <w:t>c.</w:t>
            </w:r>
            <w:r>
              <w:tab/>
            </w:r>
            <w:r w:rsidR="006B3736" w:rsidRPr="000E52E2">
              <w:t>Had sight-threatening DR in either eye (had outcome grades of R3, R4, R5 or M3, M4, M5 in either eye)</w:t>
            </w:r>
            <w:proofErr w:type="gramStart"/>
            <w:r w:rsidR="006B3736" w:rsidRPr="000E52E2">
              <w:t>.</w:t>
            </w:r>
            <w:proofErr w:type="gramEnd"/>
          </w:p>
          <w:p w:rsidR="006B3736" w:rsidRPr="000E52E2" w:rsidRDefault="000A5E9C" w:rsidP="000A5E9C">
            <w:pPr>
              <w:pStyle w:val="TableText"/>
              <w:ind w:left="425" w:hanging="425"/>
              <w:rPr>
                <w:rFonts w:eastAsia="Arial" w:cs="Arial"/>
                <w:szCs w:val="19"/>
              </w:rPr>
            </w:pPr>
            <w:r>
              <w:t>d.</w:t>
            </w:r>
            <w:r>
              <w:tab/>
            </w:r>
            <w:r w:rsidR="006B3736" w:rsidRPr="000E52E2">
              <w:t>Number of people with other eye diseases.</w:t>
            </w:r>
          </w:p>
          <w:p w:rsidR="006B3736" w:rsidRPr="000A5E9C" w:rsidRDefault="006B3736" w:rsidP="000A5E9C">
            <w:pPr>
              <w:pStyle w:val="TableText"/>
              <w:rPr>
                <w:rFonts w:eastAsia="Arial" w:cs="Arial"/>
                <w:b/>
                <w:szCs w:val="19"/>
              </w:rPr>
            </w:pPr>
            <w:r w:rsidRPr="000A5E9C">
              <w:rPr>
                <w:b/>
              </w:rPr>
              <w:t>Numerator</w:t>
            </w:r>
          </w:p>
          <w:p w:rsidR="006B3736" w:rsidRPr="000E52E2" w:rsidRDefault="006B3736" w:rsidP="000A5E9C">
            <w:pPr>
              <w:pStyle w:val="TableText"/>
              <w:rPr>
                <w:rFonts w:eastAsia="Arial" w:cs="Arial"/>
                <w:szCs w:val="19"/>
              </w:rPr>
            </w:pPr>
            <w:r w:rsidRPr="000E52E2">
              <w:t>The number of people with R0, R1, R2, R3, R4, R5 or M0, M1, M2, M3, M4, M5 or without DR.</w:t>
            </w:r>
          </w:p>
          <w:p w:rsidR="006B3736" w:rsidRPr="000A5E9C" w:rsidRDefault="006B3736" w:rsidP="000A5E9C">
            <w:pPr>
              <w:pStyle w:val="TableText"/>
              <w:rPr>
                <w:rFonts w:eastAsia="Arial" w:cs="Arial"/>
                <w:b/>
                <w:szCs w:val="19"/>
              </w:rPr>
            </w:pPr>
            <w:r w:rsidRPr="000A5E9C">
              <w:rPr>
                <w:b/>
              </w:rPr>
              <w:t>Denominator</w:t>
            </w:r>
          </w:p>
          <w:p w:rsidR="006B3736" w:rsidRPr="000E52E2" w:rsidRDefault="006B3736" w:rsidP="000A5E9C">
            <w:pPr>
              <w:pStyle w:val="TableText"/>
              <w:rPr>
                <w:rFonts w:eastAsia="Arial" w:cs="Arial"/>
                <w:szCs w:val="19"/>
              </w:rPr>
            </w:pPr>
            <w:r w:rsidRPr="000E52E2">
              <w:t>The number of people screened in the programme.</w:t>
            </w:r>
          </w:p>
          <w:p w:rsidR="006B3736" w:rsidRPr="000A5E9C" w:rsidRDefault="006B3736" w:rsidP="000A5E9C">
            <w:pPr>
              <w:pStyle w:val="TableText"/>
              <w:rPr>
                <w:rFonts w:eastAsia="Arial" w:cs="Arial"/>
                <w:b/>
                <w:szCs w:val="19"/>
              </w:rPr>
            </w:pPr>
            <w:r w:rsidRPr="000A5E9C">
              <w:rPr>
                <w:b/>
              </w:rPr>
              <w:t>Notes</w:t>
            </w:r>
          </w:p>
          <w:p w:rsidR="006B3736" w:rsidRPr="000E52E2" w:rsidRDefault="006B3736" w:rsidP="000A5E9C">
            <w:pPr>
              <w:pStyle w:val="TableText"/>
              <w:rPr>
                <w:rFonts w:eastAsia="Arial" w:cs="Arial"/>
                <w:szCs w:val="19"/>
              </w:rPr>
            </w:pPr>
            <w:r w:rsidRPr="000E52E2">
              <w:t>This data can allow flexible analysis.</w:t>
            </w:r>
          </w:p>
          <w:p w:rsidR="006B3736" w:rsidRPr="000E52E2" w:rsidRDefault="006B3736" w:rsidP="000A5E9C">
            <w:pPr>
              <w:pStyle w:val="TableText"/>
              <w:rPr>
                <w:rFonts w:eastAsia="Arial" w:cs="Arial"/>
                <w:szCs w:val="19"/>
              </w:rPr>
            </w:pPr>
            <w:r w:rsidRPr="000E52E2">
              <w:t>All services should now be screening to the New Zealand 2006 guidelines for consistency.</w:t>
            </w:r>
          </w:p>
        </w:tc>
      </w:tr>
      <w:tr w:rsidR="006B3736" w:rsidRPr="000E52E2" w:rsidTr="000A5E9C">
        <w:trPr>
          <w:gridBefore w:val="1"/>
          <w:wBefore w:w="23" w:type="dxa"/>
          <w:cantSplit/>
        </w:trPr>
        <w:tc>
          <w:tcPr>
            <w:tcW w:w="1537" w:type="dxa"/>
            <w:tcBorders>
              <w:top w:val="single" w:sz="4" w:space="0" w:color="A6A6A6" w:themeColor="background1" w:themeShade="A6"/>
              <w:bottom w:val="single" w:sz="4" w:space="0" w:color="A6A6A6" w:themeColor="background1" w:themeShade="A6"/>
            </w:tcBorders>
          </w:tcPr>
          <w:p w:rsidR="006B3736" w:rsidRPr="000E52E2" w:rsidRDefault="006B3736" w:rsidP="000A5E9C">
            <w:pPr>
              <w:pStyle w:val="TableText"/>
              <w:rPr>
                <w:rFonts w:eastAsia="Arial" w:cs="Arial"/>
                <w:szCs w:val="19"/>
              </w:rPr>
            </w:pPr>
            <w:r w:rsidRPr="000E52E2">
              <w:t>7. Retinal screening programme quality (additional DHB reporting)</w:t>
            </w:r>
          </w:p>
        </w:tc>
        <w:tc>
          <w:tcPr>
            <w:tcW w:w="7796" w:type="dxa"/>
            <w:tcBorders>
              <w:top w:val="single" w:sz="4" w:space="0" w:color="A6A6A6" w:themeColor="background1" w:themeShade="A6"/>
              <w:bottom w:val="single" w:sz="4" w:space="0" w:color="A6A6A6" w:themeColor="background1" w:themeShade="A6"/>
            </w:tcBorders>
          </w:tcPr>
          <w:p w:rsidR="006B3736" w:rsidRPr="000A5E9C" w:rsidRDefault="006B3736" w:rsidP="000A5E9C">
            <w:pPr>
              <w:pStyle w:val="TableText"/>
              <w:rPr>
                <w:rFonts w:eastAsia="Arial" w:cs="Arial"/>
                <w:b/>
                <w:szCs w:val="19"/>
              </w:rPr>
            </w:pPr>
            <w:r w:rsidRPr="000A5E9C">
              <w:rPr>
                <w:b/>
              </w:rPr>
              <w:t>Rationale</w:t>
            </w:r>
          </w:p>
          <w:p w:rsidR="006B3736" w:rsidRPr="000E52E2" w:rsidRDefault="006B3736" w:rsidP="000A5E9C">
            <w:pPr>
              <w:pStyle w:val="TableText"/>
              <w:rPr>
                <w:rFonts w:eastAsia="Arial" w:cs="Arial"/>
                <w:szCs w:val="19"/>
              </w:rPr>
            </w:pPr>
            <w:r w:rsidRPr="000E52E2">
              <w:t>To understand if and how well people are being treated and ultimately prevent blindness.</w:t>
            </w:r>
          </w:p>
          <w:p w:rsidR="006B3736" w:rsidRPr="000A5E9C" w:rsidRDefault="006B3736" w:rsidP="000A5E9C">
            <w:pPr>
              <w:pStyle w:val="TableText"/>
              <w:rPr>
                <w:rFonts w:eastAsia="Arial" w:cs="Arial"/>
                <w:b/>
                <w:szCs w:val="19"/>
              </w:rPr>
            </w:pPr>
            <w:r w:rsidRPr="000A5E9C">
              <w:rPr>
                <w:b/>
              </w:rPr>
              <w:t>Numerator</w:t>
            </w:r>
          </w:p>
          <w:p w:rsidR="006B3736" w:rsidRPr="000E52E2" w:rsidRDefault="006B3736" w:rsidP="000A5E9C">
            <w:pPr>
              <w:pStyle w:val="TableText"/>
              <w:rPr>
                <w:rFonts w:eastAsia="Arial" w:cs="Arial"/>
                <w:szCs w:val="19"/>
              </w:rPr>
            </w:pPr>
            <w:r w:rsidRPr="000E52E2">
              <w:t>The number of people with diabetes seen in specialty ophthalmology.</w:t>
            </w:r>
          </w:p>
          <w:p w:rsidR="006B3736" w:rsidRPr="000A5E9C" w:rsidRDefault="006B3736" w:rsidP="000A5E9C">
            <w:pPr>
              <w:pStyle w:val="TableText"/>
              <w:rPr>
                <w:rFonts w:eastAsia="Arial" w:cs="Arial"/>
                <w:b/>
                <w:szCs w:val="19"/>
              </w:rPr>
            </w:pPr>
            <w:r w:rsidRPr="000A5E9C">
              <w:rPr>
                <w:b/>
              </w:rPr>
              <w:t>Denominator</w:t>
            </w:r>
          </w:p>
          <w:p w:rsidR="006B3736" w:rsidRPr="000E52E2" w:rsidRDefault="006B3736" w:rsidP="000A5E9C">
            <w:pPr>
              <w:pStyle w:val="TableText"/>
              <w:rPr>
                <w:rFonts w:eastAsia="Arial" w:cs="Arial"/>
                <w:szCs w:val="19"/>
              </w:rPr>
            </w:pPr>
            <w:r w:rsidRPr="000E52E2">
              <w:t>The number of people with diabetes, by DHB area, enrolled in a PHO.</w:t>
            </w:r>
          </w:p>
          <w:p w:rsidR="006B3736" w:rsidRPr="000A5E9C" w:rsidRDefault="006B3736" w:rsidP="000A5E9C">
            <w:pPr>
              <w:pStyle w:val="TableText"/>
              <w:rPr>
                <w:rFonts w:eastAsia="Arial" w:cs="Arial"/>
                <w:b/>
                <w:szCs w:val="19"/>
              </w:rPr>
            </w:pPr>
            <w:r w:rsidRPr="000A5E9C">
              <w:rPr>
                <w:b/>
              </w:rPr>
              <w:t>Note</w:t>
            </w:r>
          </w:p>
          <w:p w:rsidR="006B3736" w:rsidRPr="000E52E2" w:rsidRDefault="006B3736" w:rsidP="000A5E9C">
            <w:pPr>
              <w:pStyle w:val="TableText"/>
              <w:rPr>
                <w:rFonts w:eastAsia="Arial" w:cs="Arial"/>
                <w:szCs w:val="19"/>
              </w:rPr>
            </w:pPr>
            <w:r w:rsidRPr="000E52E2">
              <w:rPr>
                <w:rFonts w:eastAsia="Arial" w:cs="Arial"/>
                <w:szCs w:val="19"/>
              </w:rPr>
              <w:t>This is not the programme</w:t>
            </w:r>
            <w:r w:rsidR="00464C89">
              <w:rPr>
                <w:rFonts w:eastAsia="Arial" w:cs="Arial"/>
                <w:szCs w:val="19"/>
              </w:rPr>
              <w:t>’</w:t>
            </w:r>
            <w:r w:rsidRPr="000E52E2">
              <w:rPr>
                <w:rFonts w:eastAsia="Arial" w:cs="Arial"/>
                <w:szCs w:val="19"/>
              </w:rPr>
              <w:t>s responsibility but an additional DHB report.</w:t>
            </w:r>
          </w:p>
        </w:tc>
      </w:tr>
      <w:tr w:rsidR="006B3736" w:rsidRPr="000E52E2" w:rsidTr="000A5E9C">
        <w:trPr>
          <w:cantSplit/>
        </w:trPr>
        <w:tc>
          <w:tcPr>
            <w:tcW w:w="1560" w:type="dxa"/>
            <w:gridSpan w:val="2"/>
          </w:tcPr>
          <w:p w:rsidR="006B3736" w:rsidRPr="000E52E2" w:rsidRDefault="006B3736" w:rsidP="000A5E9C">
            <w:pPr>
              <w:pStyle w:val="TableText"/>
              <w:rPr>
                <w:rFonts w:eastAsia="Arial" w:cs="Arial"/>
                <w:szCs w:val="19"/>
              </w:rPr>
            </w:pPr>
            <w:r w:rsidRPr="000E52E2">
              <w:t>8. Validity measures (national or regional level, beyond the screening programme)</w:t>
            </w:r>
          </w:p>
        </w:tc>
        <w:tc>
          <w:tcPr>
            <w:tcW w:w="7796" w:type="dxa"/>
          </w:tcPr>
          <w:p w:rsidR="006B3736" w:rsidRPr="000A5E9C" w:rsidRDefault="006B3736" w:rsidP="000A5E9C">
            <w:pPr>
              <w:pStyle w:val="TableText"/>
              <w:rPr>
                <w:rFonts w:eastAsia="Arial" w:cs="Arial"/>
                <w:b/>
                <w:szCs w:val="19"/>
              </w:rPr>
            </w:pPr>
            <w:r w:rsidRPr="000A5E9C">
              <w:rPr>
                <w:b/>
              </w:rPr>
              <w:t>Intent</w:t>
            </w:r>
          </w:p>
          <w:p w:rsidR="006B3736" w:rsidRPr="000E52E2" w:rsidRDefault="006B3736" w:rsidP="000A5E9C">
            <w:pPr>
              <w:pStyle w:val="TableBullet"/>
              <w:rPr>
                <w:rFonts w:eastAsia="Arial" w:cs="Arial"/>
                <w:szCs w:val="19"/>
              </w:rPr>
            </w:pPr>
            <w:r w:rsidRPr="000E52E2">
              <w:t>Should be a national quality indicator (episodic) rather than being in screening programmes.</w:t>
            </w:r>
          </w:p>
          <w:p w:rsidR="006B3736" w:rsidRPr="000E52E2" w:rsidRDefault="006B3736" w:rsidP="000A5E9C">
            <w:pPr>
              <w:pStyle w:val="TableBullet"/>
              <w:rPr>
                <w:rFonts w:eastAsia="Arial" w:cs="Arial"/>
                <w:szCs w:val="19"/>
              </w:rPr>
            </w:pPr>
            <w:r w:rsidRPr="000E52E2">
              <w:t>Will include the entire pathway so that information should be supplied by ophthalmology departments for regional/national analysis.</w:t>
            </w:r>
          </w:p>
          <w:p w:rsidR="006B3736" w:rsidRPr="000A5E9C" w:rsidRDefault="006B3736" w:rsidP="000A5E9C">
            <w:pPr>
              <w:pStyle w:val="TableText"/>
              <w:rPr>
                <w:rFonts w:eastAsia="Arial" w:cs="Arial"/>
                <w:b/>
                <w:szCs w:val="19"/>
              </w:rPr>
            </w:pPr>
            <w:r w:rsidRPr="000A5E9C">
              <w:rPr>
                <w:b/>
              </w:rPr>
              <w:t>Rationale</w:t>
            </w:r>
          </w:p>
          <w:p w:rsidR="006B3736" w:rsidRPr="000E52E2" w:rsidRDefault="006B3736" w:rsidP="000A5E9C">
            <w:pPr>
              <w:pStyle w:val="TableText"/>
              <w:rPr>
                <w:rFonts w:eastAsia="Arial" w:cs="Arial"/>
                <w:szCs w:val="19"/>
              </w:rPr>
            </w:pPr>
            <w:r w:rsidRPr="000E52E2">
              <w:t>To determine if there is a drop in the rate of sight-threatening DR over time.</w:t>
            </w:r>
          </w:p>
          <w:p w:rsidR="006B3736" w:rsidRPr="000E52E2" w:rsidRDefault="006B3736" w:rsidP="000A5E9C">
            <w:pPr>
              <w:pStyle w:val="TableText"/>
              <w:rPr>
                <w:rFonts w:eastAsia="Arial" w:cs="Arial"/>
                <w:szCs w:val="18"/>
              </w:rPr>
            </w:pPr>
            <w:r w:rsidRPr="000E52E2">
              <w:t>* This data would be used to benchmark the relevant programme against others around the country and internationally.</w:t>
            </w:r>
          </w:p>
          <w:p w:rsidR="006B3736" w:rsidRPr="000A5E9C" w:rsidRDefault="006B3736" w:rsidP="000A5E9C">
            <w:pPr>
              <w:pStyle w:val="TableText"/>
              <w:rPr>
                <w:rFonts w:eastAsia="Arial" w:cs="Arial"/>
                <w:b/>
                <w:szCs w:val="19"/>
              </w:rPr>
            </w:pPr>
            <w:r w:rsidRPr="000A5E9C">
              <w:rPr>
                <w:b/>
              </w:rPr>
              <w:t>Indicator</w:t>
            </w:r>
          </w:p>
          <w:p w:rsidR="006B3736" w:rsidRPr="000E52E2" w:rsidRDefault="006B3736" w:rsidP="000A5E9C">
            <w:pPr>
              <w:pStyle w:val="TableBullet"/>
              <w:rPr>
                <w:rFonts w:eastAsia="Arial" w:cs="Arial"/>
                <w:szCs w:val="19"/>
              </w:rPr>
            </w:pPr>
            <w:r w:rsidRPr="000E52E2">
              <w:t xml:space="preserve">Sensitivity = (True positives)/(True </w:t>
            </w:r>
            <w:proofErr w:type="spellStart"/>
            <w:r w:rsidRPr="000E52E2">
              <w:t>Pos</w:t>
            </w:r>
            <w:proofErr w:type="spellEnd"/>
            <w:r w:rsidRPr="000E52E2">
              <w:t xml:space="preserve"> + False </w:t>
            </w:r>
            <w:proofErr w:type="spellStart"/>
            <w:r w:rsidRPr="000E52E2">
              <w:t>Neg</w:t>
            </w:r>
            <w:proofErr w:type="spellEnd"/>
            <w:r w:rsidRPr="000E52E2">
              <w:t>)</w:t>
            </w:r>
          </w:p>
          <w:p w:rsidR="006B3736" w:rsidRPr="000E52E2" w:rsidRDefault="006B3736" w:rsidP="000A5E9C">
            <w:pPr>
              <w:pStyle w:val="TableBullet"/>
              <w:rPr>
                <w:rFonts w:eastAsia="Arial" w:cs="Arial"/>
                <w:szCs w:val="19"/>
              </w:rPr>
            </w:pPr>
            <w:r w:rsidRPr="000E52E2">
              <w:t xml:space="preserve">Specificity = (True </w:t>
            </w:r>
            <w:proofErr w:type="spellStart"/>
            <w:r w:rsidRPr="000E52E2">
              <w:t>Neg</w:t>
            </w:r>
            <w:proofErr w:type="spellEnd"/>
            <w:r w:rsidRPr="000E52E2">
              <w:t xml:space="preserve">)/(True </w:t>
            </w:r>
            <w:proofErr w:type="spellStart"/>
            <w:r w:rsidRPr="000E52E2">
              <w:t>Neg</w:t>
            </w:r>
            <w:proofErr w:type="spellEnd"/>
            <w:r w:rsidRPr="000E52E2">
              <w:t xml:space="preserve"> + False </w:t>
            </w:r>
            <w:proofErr w:type="spellStart"/>
            <w:r w:rsidRPr="000E52E2">
              <w:t>Pos</w:t>
            </w:r>
            <w:proofErr w:type="spellEnd"/>
            <w:r w:rsidRPr="000E52E2">
              <w:t>)</w:t>
            </w:r>
          </w:p>
          <w:p w:rsidR="006B3736" w:rsidRPr="000E52E2" w:rsidRDefault="006B3736" w:rsidP="000A5E9C">
            <w:pPr>
              <w:pStyle w:val="TableBullet"/>
              <w:rPr>
                <w:rFonts w:eastAsia="Arial" w:cs="Arial"/>
                <w:szCs w:val="19"/>
              </w:rPr>
            </w:pPr>
            <w:r w:rsidRPr="000E52E2">
              <w:t xml:space="preserve">Positive predictive value (PPV) = (True </w:t>
            </w:r>
            <w:proofErr w:type="spellStart"/>
            <w:r w:rsidRPr="000E52E2">
              <w:t>Pos</w:t>
            </w:r>
            <w:proofErr w:type="spellEnd"/>
            <w:r w:rsidRPr="000E52E2">
              <w:t>)</w:t>
            </w:r>
            <w:proofErr w:type="gramStart"/>
            <w:r w:rsidRPr="000E52E2">
              <w:t>/(</w:t>
            </w:r>
            <w:proofErr w:type="gramEnd"/>
            <w:r w:rsidRPr="000E52E2">
              <w:t xml:space="preserve">True </w:t>
            </w:r>
            <w:proofErr w:type="spellStart"/>
            <w:r w:rsidRPr="000E52E2">
              <w:t>Pos</w:t>
            </w:r>
            <w:proofErr w:type="spellEnd"/>
            <w:r w:rsidRPr="000E52E2">
              <w:t xml:space="preserve"> + False </w:t>
            </w:r>
            <w:proofErr w:type="spellStart"/>
            <w:r w:rsidRPr="000E52E2">
              <w:t>Pos</w:t>
            </w:r>
            <w:proofErr w:type="spellEnd"/>
            <w:r w:rsidRPr="000E52E2">
              <w:t>).</w:t>
            </w:r>
          </w:p>
          <w:p w:rsidR="006B3736" w:rsidRPr="000A5E9C" w:rsidRDefault="006B3736" w:rsidP="000A5E9C">
            <w:pPr>
              <w:pStyle w:val="TableText"/>
              <w:rPr>
                <w:rFonts w:eastAsia="Arial" w:cs="Arial"/>
                <w:b/>
                <w:szCs w:val="19"/>
              </w:rPr>
            </w:pPr>
            <w:r w:rsidRPr="000A5E9C">
              <w:rPr>
                <w:b/>
              </w:rPr>
              <w:t>Notes</w:t>
            </w:r>
          </w:p>
          <w:p w:rsidR="006B3736" w:rsidRPr="000E52E2" w:rsidRDefault="006B3736" w:rsidP="000A5E9C">
            <w:pPr>
              <w:pStyle w:val="TableText"/>
              <w:rPr>
                <w:rFonts w:eastAsia="Arial" w:cs="Arial"/>
                <w:szCs w:val="19"/>
              </w:rPr>
            </w:pPr>
            <w:r w:rsidRPr="000E52E2">
              <w:rPr>
                <w:rFonts w:eastAsia="Arial" w:cs="Arial"/>
                <w:szCs w:val="19"/>
              </w:rPr>
              <w:t>There is a problem with getting the specificity measure since, if a patient has a negative result from screening, they don</w:t>
            </w:r>
            <w:r w:rsidR="00464C89">
              <w:rPr>
                <w:rFonts w:eastAsia="Arial" w:cs="Arial"/>
                <w:szCs w:val="19"/>
              </w:rPr>
              <w:t>’</w:t>
            </w:r>
            <w:r w:rsidRPr="000E52E2">
              <w:rPr>
                <w:rFonts w:eastAsia="Arial" w:cs="Arial"/>
                <w:szCs w:val="19"/>
              </w:rPr>
              <w:t>t get a referral that would verify their screening result. It may be possible to commission research where patients with negative screening results are sampled for follow-up result verification.</w:t>
            </w:r>
          </w:p>
          <w:p w:rsidR="006B3736" w:rsidRPr="000E52E2" w:rsidRDefault="006B3736" w:rsidP="000A5E9C">
            <w:pPr>
              <w:pStyle w:val="TableText"/>
              <w:rPr>
                <w:rFonts w:eastAsia="Arial" w:cs="Arial"/>
                <w:szCs w:val="19"/>
              </w:rPr>
            </w:pPr>
            <w:r w:rsidRPr="000E52E2">
              <w:t>Sensitivity and specificity are used internationally for benchmarking (International Council of Ophthalmology) but would likely be less frequently measured than PPV.</w:t>
            </w:r>
          </w:p>
          <w:p w:rsidR="006B3736" w:rsidRPr="000E52E2" w:rsidRDefault="006B3736" w:rsidP="000A5E9C">
            <w:pPr>
              <w:pStyle w:val="TableText"/>
              <w:rPr>
                <w:rFonts w:eastAsia="Arial" w:cs="Arial"/>
                <w:szCs w:val="19"/>
              </w:rPr>
            </w:pPr>
            <w:r w:rsidRPr="000E52E2">
              <w:t>The best option would be to calculate PPV nationally for the country as a whole and for feedback DHBs.</w:t>
            </w:r>
          </w:p>
          <w:p w:rsidR="006B3736" w:rsidRPr="000E52E2" w:rsidRDefault="006B3736" w:rsidP="000A5E9C">
            <w:pPr>
              <w:pStyle w:val="TableText"/>
              <w:rPr>
                <w:rFonts w:eastAsia="Arial" w:cs="Arial"/>
                <w:szCs w:val="19"/>
              </w:rPr>
            </w:pPr>
            <w:r w:rsidRPr="000E52E2">
              <w:t>False positive reporting would need to come via ophthalmology specialist services. This indicator should not be included in screening programme reporting but can be derived nationally.</w:t>
            </w:r>
          </w:p>
        </w:tc>
      </w:tr>
    </w:tbl>
    <w:p w:rsidR="006B3736" w:rsidRDefault="006B3736" w:rsidP="000A5E9C"/>
    <w:p w:rsidR="00460C0A" w:rsidRDefault="00460C0A">
      <w:pPr>
        <w:spacing w:line="240" w:lineRule="auto"/>
      </w:pPr>
      <w:r>
        <w:br w:type="page"/>
      </w:r>
    </w:p>
    <w:p w:rsidR="006B3736" w:rsidRPr="000E52E2" w:rsidRDefault="006B3736" w:rsidP="00460C0A">
      <w:pPr>
        <w:pStyle w:val="Heading1"/>
        <w:rPr>
          <w:rFonts w:eastAsia="Georgia" w:cs="Georgia"/>
          <w:szCs w:val="70"/>
        </w:rPr>
      </w:pPr>
      <w:bookmarkStart w:id="87" w:name="_Toc446335189"/>
      <w:r w:rsidRPr="000E52E2">
        <w:lastRenderedPageBreak/>
        <w:t>References</w:t>
      </w:r>
      <w:bookmarkEnd w:id="87"/>
    </w:p>
    <w:p w:rsidR="006B3736" w:rsidRPr="000E52E2" w:rsidRDefault="006B3736" w:rsidP="00460C0A">
      <w:pPr>
        <w:pStyle w:val="References"/>
        <w:rPr>
          <w:rFonts w:eastAsia="Century"/>
        </w:rPr>
      </w:pPr>
      <w:proofErr w:type="gramStart"/>
      <w:r w:rsidRPr="000E52E2">
        <w:rPr>
          <w:rFonts w:eastAsia="Century"/>
        </w:rPr>
        <w:t>Coppell K, Anderson K, Williams S, et al. 2011.</w:t>
      </w:r>
      <w:proofErr w:type="gramEnd"/>
      <w:r w:rsidRPr="000E52E2">
        <w:rPr>
          <w:rFonts w:eastAsia="Century"/>
        </w:rPr>
        <w:t xml:space="preserve"> The quality of diabetes care: a comparison between patients enrolled and not enrolled on a regional diabetes register. </w:t>
      </w:r>
      <w:proofErr w:type="gramStart"/>
      <w:r w:rsidRPr="000E52E2">
        <w:rPr>
          <w:rFonts w:eastAsia="Georgia" w:cs="Georgia"/>
          <w:i/>
        </w:rPr>
        <w:t>Primary Care Diabetes</w:t>
      </w:r>
      <w:r w:rsidRPr="000E52E2">
        <w:rPr>
          <w:rFonts w:eastAsia="Century"/>
        </w:rPr>
        <w:t xml:space="preserve"> 131–7.</w:t>
      </w:r>
      <w:proofErr w:type="gramEnd"/>
      <w:r w:rsidRPr="000E52E2">
        <w:rPr>
          <w:rFonts w:eastAsia="Century"/>
        </w:rPr>
        <w:t xml:space="preserve"> DOI: 10.1016/j. pcd.2010.10.005.</w:t>
      </w:r>
    </w:p>
    <w:p w:rsidR="006B3736" w:rsidRPr="00A36665" w:rsidRDefault="006B3736" w:rsidP="00460C0A">
      <w:pPr>
        <w:pStyle w:val="References"/>
        <w:rPr>
          <w:rFonts w:eastAsia="Century"/>
        </w:rPr>
      </w:pPr>
      <w:proofErr w:type="gramStart"/>
      <w:r w:rsidRPr="000E52E2">
        <w:rPr>
          <w:rFonts w:eastAsia="Century"/>
        </w:rPr>
        <w:t>DCCT.</w:t>
      </w:r>
      <w:proofErr w:type="gramEnd"/>
      <w:r w:rsidRPr="000E52E2">
        <w:rPr>
          <w:rFonts w:eastAsia="Century"/>
        </w:rPr>
        <w:t xml:space="preserve"> 1994. The effect of intensive treatment of diabetes on the development and progression of long-term complications in insulin-dependent diabetes mellitus. </w:t>
      </w:r>
      <w:r w:rsidRPr="000E52E2">
        <w:rPr>
          <w:rFonts w:eastAsia="Georgia" w:cs="Georgia"/>
          <w:i/>
        </w:rPr>
        <w:t>Retina</w:t>
      </w:r>
      <w:r w:rsidRPr="00994B82">
        <w:rPr>
          <w:rFonts w:eastAsia="Georgia" w:cs="Georgia"/>
        </w:rPr>
        <w:t xml:space="preserve"> 14</w:t>
      </w:r>
      <w:r w:rsidRPr="00A36665">
        <w:rPr>
          <w:rFonts w:eastAsia="Century"/>
        </w:rPr>
        <w:t>(3)</w:t>
      </w:r>
      <w:r w:rsidR="00A36665">
        <w:rPr>
          <w:rFonts w:eastAsia="Century"/>
        </w:rPr>
        <w:t>:</w:t>
      </w:r>
      <w:r w:rsidRPr="00A36665">
        <w:rPr>
          <w:rFonts w:eastAsia="Century"/>
        </w:rPr>
        <w:t xml:space="preserve"> 286–7.</w:t>
      </w:r>
    </w:p>
    <w:p w:rsidR="006B3736" w:rsidRPr="000E52E2" w:rsidRDefault="006B3736" w:rsidP="00460C0A">
      <w:pPr>
        <w:pStyle w:val="References"/>
        <w:rPr>
          <w:rFonts w:eastAsia="Century"/>
        </w:rPr>
      </w:pPr>
      <w:proofErr w:type="spellStart"/>
      <w:r w:rsidRPr="000E52E2">
        <w:rPr>
          <w:rFonts w:eastAsia="Century"/>
        </w:rPr>
        <w:t>Donaghue</w:t>
      </w:r>
      <w:proofErr w:type="spellEnd"/>
      <w:r w:rsidRPr="000E52E2">
        <w:rPr>
          <w:rFonts w:eastAsia="Century"/>
        </w:rPr>
        <w:t xml:space="preserve"> K, </w:t>
      </w:r>
      <w:proofErr w:type="spellStart"/>
      <w:r w:rsidRPr="000E52E2">
        <w:rPr>
          <w:rFonts w:eastAsia="Century"/>
        </w:rPr>
        <w:t>Wadwa</w:t>
      </w:r>
      <w:proofErr w:type="spellEnd"/>
      <w:r w:rsidRPr="000E52E2">
        <w:rPr>
          <w:rFonts w:eastAsia="Century"/>
        </w:rPr>
        <w:t xml:space="preserve"> R, </w:t>
      </w:r>
      <w:proofErr w:type="spellStart"/>
      <w:r w:rsidRPr="000E52E2">
        <w:rPr>
          <w:rFonts w:eastAsia="Century"/>
        </w:rPr>
        <w:t>Dimeglio</w:t>
      </w:r>
      <w:proofErr w:type="spellEnd"/>
      <w:r w:rsidRPr="000E52E2">
        <w:rPr>
          <w:rFonts w:eastAsia="Century"/>
        </w:rPr>
        <w:t xml:space="preserve"> L, et al. 2014. </w:t>
      </w:r>
      <w:proofErr w:type="gramStart"/>
      <w:r w:rsidRPr="000E52E2">
        <w:rPr>
          <w:rFonts w:eastAsia="Century"/>
        </w:rPr>
        <w:t xml:space="preserve">Microvascular and </w:t>
      </w:r>
      <w:proofErr w:type="spellStart"/>
      <w:r w:rsidRPr="000E52E2">
        <w:rPr>
          <w:rFonts w:eastAsia="Century"/>
        </w:rPr>
        <w:t>macrovascular</w:t>
      </w:r>
      <w:proofErr w:type="spellEnd"/>
      <w:r w:rsidRPr="000E52E2">
        <w:rPr>
          <w:rFonts w:eastAsia="Century"/>
        </w:rPr>
        <w:t xml:space="preserve"> complications in children and adolescents.</w:t>
      </w:r>
      <w:proofErr w:type="gramEnd"/>
      <w:r w:rsidRPr="000E52E2">
        <w:rPr>
          <w:rFonts w:eastAsia="Century"/>
        </w:rPr>
        <w:t xml:space="preserve"> </w:t>
      </w:r>
      <w:proofErr w:type="spellStart"/>
      <w:r w:rsidRPr="000E52E2">
        <w:rPr>
          <w:rFonts w:eastAsia="Georgia" w:cs="Georgia"/>
          <w:i/>
        </w:rPr>
        <w:t>Pediatric</w:t>
      </w:r>
      <w:proofErr w:type="spellEnd"/>
      <w:r w:rsidRPr="000E52E2">
        <w:rPr>
          <w:rFonts w:eastAsia="Georgia" w:cs="Georgia"/>
          <w:i/>
        </w:rPr>
        <w:t xml:space="preserve"> Diabetes </w:t>
      </w:r>
      <w:r w:rsidRPr="000E52E2">
        <w:rPr>
          <w:rFonts w:eastAsia="Century"/>
        </w:rPr>
        <w:t>(15)</w:t>
      </w:r>
      <w:r w:rsidR="00A36665">
        <w:rPr>
          <w:rFonts w:eastAsia="Century"/>
        </w:rPr>
        <w:t>:</w:t>
      </w:r>
      <w:r w:rsidRPr="000E52E2">
        <w:rPr>
          <w:rFonts w:eastAsia="Century"/>
        </w:rPr>
        <w:t xml:space="preserve"> 257–69. DOI: 10.1111.</w:t>
      </w:r>
    </w:p>
    <w:p w:rsidR="006B3736" w:rsidRPr="000E52E2" w:rsidRDefault="006B3736" w:rsidP="00460C0A">
      <w:pPr>
        <w:pStyle w:val="References"/>
        <w:rPr>
          <w:rFonts w:eastAsia="Century"/>
        </w:rPr>
      </w:pPr>
      <w:proofErr w:type="spellStart"/>
      <w:r w:rsidRPr="000E52E2">
        <w:rPr>
          <w:rFonts w:eastAsia="Century"/>
        </w:rPr>
        <w:t>Echouffo-Tcheugui</w:t>
      </w:r>
      <w:proofErr w:type="spellEnd"/>
      <w:r w:rsidRPr="000E52E2">
        <w:rPr>
          <w:rFonts w:eastAsia="Century"/>
        </w:rPr>
        <w:t xml:space="preserve"> J, Ali M, </w:t>
      </w:r>
      <w:proofErr w:type="spellStart"/>
      <w:r w:rsidRPr="000E52E2">
        <w:rPr>
          <w:rFonts w:eastAsia="Century"/>
        </w:rPr>
        <w:t>Roglic</w:t>
      </w:r>
      <w:proofErr w:type="spellEnd"/>
      <w:r w:rsidRPr="000E52E2">
        <w:rPr>
          <w:rFonts w:eastAsia="Century"/>
        </w:rPr>
        <w:t xml:space="preserve"> G, et al. 2013. Systematic review of meta-analysis screening intervals for diabetic retinopathy and incidence of visual loss: a systematic review. </w:t>
      </w:r>
      <w:r w:rsidRPr="000E52E2">
        <w:rPr>
          <w:rFonts w:eastAsia="Georgia" w:cs="Georgia"/>
          <w:i/>
        </w:rPr>
        <w:t>Diabetic Medicine</w:t>
      </w:r>
      <w:r w:rsidRPr="000E52E2">
        <w:rPr>
          <w:rFonts w:eastAsia="Century"/>
        </w:rPr>
        <w:t xml:space="preserve"> 1272–92. DOI</w:t>
      </w:r>
      <w:proofErr w:type="gramStart"/>
      <w:r w:rsidRPr="000E52E2">
        <w:rPr>
          <w:rFonts w:eastAsia="Century"/>
        </w:rPr>
        <w:t>:10.111</w:t>
      </w:r>
      <w:proofErr w:type="gramEnd"/>
      <w:r w:rsidRPr="000E52E2">
        <w:rPr>
          <w:rFonts w:eastAsia="Century"/>
        </w:rPr>
        <w:t>/ dme.12274.</w:t>
      </w:r>
    </w:p>
    <w:p w:rsidR="006B3736" w:rsidRPr="00A36665" w:rsidRDefault="006B3736" w:rsidP="00460C0A">
      <w:pPr>
        <w:pStyle w:val="References"/>
        <w:rPr>
          <w:rFonts w:eastAsia="Century"/>
        </w:rPr>
      </w:pPr>
      <w:proofErr w:type="spellStart"/>
      <w:r w:rsidRPr="000E52E2">
        <w:rPr>
          <w:rFonts w:eastAsia="Century"/>
        </w:rPr>
        <w:t>Frederikson</w:t>
      </w:r>
      <w:proofErr w:type="spellEnd"/>
      <w:r w:rsidRPr="000E52E2">
        <w:rPr>
          <w:rFonts w:eastAsia="Century"/>
        </w:rPr>
        <w:t xml:space="preserve"> L, Jacobs R. 2008. Diabetes eye screening in the Wellington region of New Zealand: characteristics of the enrolled population. </w:t>
      </w:r>
      <w:r w:rsidRPr="000E52E2">
        <w:rPr>
          <w:rFonts w:eastAsia="Georgia" w:cs="Georgia"/>
          <w:i/>
        </w:rPr>
        <w:t>The New Zealand Medical Journal</w:t>
      </w:r>
      <w:r w:rsidRPr="00994B82">
        <w:rPr>
          <w:rFonts w:eastAsia="Georgia" w:cs="Georgia"/>
        </w:rPr>
        <w:t xml:space="preserve"> 131</w:t>
      </w:r>
      <w:r w:rsidRPr="00A36665">
        <w:rPr>
          <w:rFonts w:eastAsia="Century"/>
        </w:rPr>
        <w:t>(1270)</w:t>
      </w:r>
      <w:r w:rsidR="00A36665">
        <w:rPr>
          <w:rFonts w:eastAsia="Century"/>
        </w:rPr>
        <w:t>:</w:t>
      </w:r>
      <w:r w:rsidRPr="00A36665">
        <w:rPr>
          <w:rFonts w:eastAsia="Century"/>
        </w:rPr>
        <w:t xml:space="preserve"> 21–34.</w:t>
      </w:r>
    </w:p>
    <w:p w:rsidR="006B3736" w:rsidRPr="000E52E2" w:rsidRDefault="006B3736" w:rsidP="00460C0A">
      <w:pPr>
        <w:pStyle w:val="References"/>
        <w:rPr>
          <w:rFonts w:eastAsia="Century"/>
        </w:rPr>
      </w:pPr>
      <w:proofErr w:type="spellStart"/>
      <w:r w:rsidRPr="000E52E2">
        <w:rPr>
          <w:rFonts w:eastAsia="Century"/>
        </w:rPr>
        <w:t>Javitt</w:t>
      </w:r>
      <w:proofErr w:type="spellEnd"/>
      <w:r w:rsidRPr="000E52E2">
        <w:rPr>
          <w:rFonts w:eastAsia="Century"/>
        </w:rPr>
        <w:t xml:space="preserve"> J, Aiello L. 1996. </w:t>
      </w:r>
      <w:proofErr w:type="gramStart"/>
      <w:r w:rsidRPr="000E52E2">
        <w:rPr>
          <w:rFonts w:eastAsia="Century"/>
        </w:rPr>
        <w:t>Cost-effectiveness of detecting and treating diabetic retinopathy.</w:t>
      </w:r>
      <w:proofErr w:type="gramEnd"/>
      <w:r w:rsidRPr="000E52E2">
        <w:rPr>
          <w:rFonts w:eastAsia="Century"/>
        </w:rPr>
        <w:t xml:space="preserve"> </w:t>
      </w:r>
      <w:r w:rsidRPr="000E52E2">
        <w:rPr>
          <w:rFonts w:eastAsia="Georgia" w:cs="Georgia"/>
          <w:i/>
        </w:rPr>
        <w:t>Annals of Internal Medicine</w:t>
      </w:r>
      <w:r w:rsidRPr="00994B82">
        <w:rPr>
          <w:rFonts w:eastAsia="Georgia" w:cs="Georgia"/>
        </w:rPr>
        <w:t xml:space="preserve"> 124</w:t>
      </w:r>
      <w:r w:rsidR="00A36665">
        <w:rPr>
          <w:rFonts w:eastAsia="Georgia" w:cs="Georgia"/>
        </w:rPr>
        <w:t>:</w:t>
      </w:r>
      <w:r w:rsidRPr="00A36665">
        <w:rPr>
          <w:rFonts w:eastAsia="Century"/>
        </w:rPr>
        <w:t xml:space="preserve"> 1</w:t>
      </w:r>
      <w:r w:rsidRPr="000E52E2">
        <w:rPr>
          <w:rFonts w:eastAsia="Century"/>
        </w:rPr>
        <w:t>64–9. DOI: 10.7326/0003-4819-124.</w:t>
      </w:r>
    </w:p>
    <w:p w:rsidR="006B3736" w:rsidRPr="000E52E2" w:rsidRDefault="006B3736" w:rsidP="00460C0A">
      <w:pPr>
        <w:pStyle w:val="References"/>
        <w:rPr>
          <w:rFonts w:eastAsia="Century"/>
        </w:rPr>
      </w:pPr>
      <w:proofErr w:type="spellStart"/>
      <w:r w:rsidRPr="000E52E2">
        <w:rPr>
          <w:rFonts w:eastAsia="Century"/>
        </w:rPr>
        <w:t>Kaziwe</w:t>
      </w:r>
      <w:proofErr w:type="spellEnd"/>
      <w:r w:rsidRPr="000E52E2">
        <w:rPr>
          <w:rFonts w:eastAsia="Century"/>
        </w:rPr>
        <w:t xml:space="preserve"> M, Sanders D, </w:t>
      </w:r>
      <w:proofErr w:type="spellStart"/>
      <w:r w:rsidRPr="000E52E2">
        <w:rPr>
          <w:rFonts w:eastAsia="Century"/>
        </w:rPr>
        <w:t>Kugelberg</w:t>
      </w:r>
      <w:proofErr w:type="spellEnd"/>
      <w:r w:rsidRPr="000E52E2">
        <w:rPr>
          <w:rFonts w:eastAsia="Century"/>
        </w:rPr>
        <w:t xml:space="preserve"> M, et al. 2013. </w:t>
      </w:r>
      <w:proofErr w:type="gramStart"/>
      <w:r w:rsidRPr="000E52E2">
        <w:rPr>
          <w:rFonts w:eastAsia="Century"/>
        </w:rPr>
        <w:t>A population-based study of the risk of diabetic retinopathy in patients with type 1 diabetes and celiac disease.</w:t>
      </w:r>
      <w:proofErr w:type="gramEnd"/>
      <w:r w:rsidRPr="000E52E2">
        <w:rPr>
          <w:rFonts w:eastAsia="Century"/>
        </w:rPr>
        <w:t xml:space="preserve"> </w:t>
      </w:r>
      <w:r w:rsidRPr="000E52E2">
        <w:rPr>
          <w:rFonts w:eastAsia="Georgia" w:cs="Georgia"/>
          <w:i/>
        </w:rPr>
        <w:t xml:space="preserve">Diabetes Care </w:t>
      </w:r>
      <w:r w:rsidRPr="000E52E2">
        <w:rPr>
          <w:rFonts w:eastAsia="Century"/>
        </w:rPr>
        <w:t>(36)</w:t>
      </w:r>
      <w:r w:rsidR="00A36665">
        <w:rPr>
          <w:rFonts w:eastAsia="Century"/>
        </w:rPr>
        <w:t>:</w:t>
      </w:r>
      <w:r w:rsidRPr="000E52E2">
        <w:rPr>
          <w:rFonts w:eastAsia="Century"/>
        </w:rPr>
        <w:t xml:space="preserve"> 316–21.</w:t>
      </w:r>
    </w:p>
    <w:p w:rsidR="006B3736" w:rsidRPr="000E52E2" w:rsidRDefault="006B3736" w:rsidP="00460C0A">
      <w:pPr>
        <w:pStyle w:val="References"/>
        <w:rPr>
          <w:rFonts w:eastAsia="Century"/>
        </w:rPr>
      </w:pPr>
      <w:r w:rsidRPr="000E52E2">
        <w:rPr>
          <w:rFonts w:eastAsia="Century"/>
        </w:rPr>
        <w:t xml:space="preserve">Klein R, Klein B, Moss S, et al. 1994. </w:t>
      </w:r>
      <w:proofErr w:type="gramStart"/>
      <w:r w:rsidRPr="000E52E2">
        <w:rPr>
          <w:rFonts w:eastAsia="Century"/>
        </w:rPr>
        <w:t xml:space="preserve">Relationship of </w:t>
      </w:r>
      <w:proofErr w:type="spellStart"/>
      <w:r w:rsidRPr="000E52E2">
        <w:rPr>
          <w:rFonts w:eastAsia="Century"/>
        </w:rPr>
        <w:t>hyperglycemia</w:t>
      </w:r>
      <w:proofErr w:type="spellEnd"/>
      <w:r w:rsidRPr="000E52E2">
        <w:rPr>
          <w:rFonts w:eastAsia="Century"/>
        </w:rPr>
        <w:t xml:space="preserve"> to the long-term incidence and progression of diabetic retinopathy.</w:t>
      </w:r>
      <w:proofErr w:type="gramEnd"/>
      <w:r w:rsidRPr="000E52E2">
        <w:rPr>
          <w:rFonts w:eastAsia="Century"/>
        </w:rPr>
        <w:t xml:space="preserve"> </w:t>
      </w:r>
      <w:r w:rsidRPr="000E52E2">
        <w:rPr>
          <w:rFonts w:eastAsia="Georgia" w:cs="Georgia"/>
          <w:i/>
        </w:rPr>
        <w:t>JAMA Internal Medicine</w:t>
      </w:r>
      <w:r w:rsidRPr="00994B82">
        <w:rPr>
          <w:rFonts w:eastAsia="Georgia" w:cs="Georgia"/>
        </w:rPr>
        <w:t xml:space="preserve"> 154</w:t>
      </w:r>
      <w:r w:rsidRPr="00A36665">
        <w:rPr>
          <w:rFonts w:eastAsia="Century"/>
        </w:rPr>
        <w:t>(1</w:t>
      </w:r>
      <w:r w:rsidRPr="000E52E2">
        <w:rPr>
          <w:rFonts w:eastAsia="Century"/>
        </w:rPr>
        <w:t>9)</w:t>
      </w:r>
      <w:r w:rsidR="00A36665">
        <w:rPr>
          <w:rFonts w:eastAsia="Century"/>
        </w:rPr>
        <w:t>:</w:t>
      </w:r>
      <w:r w:rsidRPr="000E52E2">
        <w:rPr>
          <w:rFonts w:eastAsia="Century"/>
        </w:rPr>
        <w:t xml:space="preserve"> 2169–78. DOI: 10.1001/archinte.1994.00420190068008 (accessed 25 February 2016).</w:t>
      </w:r>
    </w:p>
    <w:p w:rsidR="006B3736" w:rsidRPr="000E52E2" w:rsidRDefault="006B3736" w:rsidP="00460C0A">
      <w:pPr>
        <w:pStyle w:val="References"/>
        <w:rPr>
          <w:rFonts w:eastAsia="Century"/>
        </w:rPr>
      </w:pPr>
      <w:proofErr w:type="gramStart"/>
      <w:r w:rsidRPr="000E52E2">
        <w:rPr>
          <w:rFonts w:eastAsia="Century"/>
        </w:rPr>
        <w:t xml:space="preserve">Looker H, </w:t>
      </w:r>
      <w:proofErr w:type="spellStart"/>
      <w:r w:rsidRPr="000E52E2">
        <w:rPr>
          <w:rFonts w:eastAsia="Century"/>
        </w:rPr>
        <w:t>Nyangoma</w:t>
      </w:r>
      <w:proofErr w:type="spellEnd"/>
      <w:r w:rsidRPr="000E52E2">
        <w:rPr>
          <w:rFonts w:eastAsia="Century"/>
        </w:rPr>
        <w:t xml:space="preserve"> S, </w:t>
      </w:r>
      <w:proofErr w:type="spellStart"/>
      <w:r w:rsidRPr="000E52E2">
        <w:rPr>
          <w:rFonts w:eastAsia="Century"/>
        </w:rPr>
        <w:t>Cromie</w:t>
      </w:r>
      <w:proofErr w:type="spellEnd"/>
      <w:r w:rsidRPr="000E52E2">
        <w:rPr>
          <w:rFonts w:eastAsia="Century"/>
        </w:rPr>
        <w:t xml:space="preserve"> D, et al. 2013.</w:t>
      </w:r>
      <w:proofErr w:type="gramEnd"/>
      <w:r w:rsidRPr="000E52E2">
        <w:rPr>
          <w:rFonts w:eastAsia="Century"/>
        </w:rPr>
        <w:t xml:space="preserve"> </w:t>
      </w:r>
      <w:proofErr w:type="gramStart"/>
      <w:r w:rsidRPr="000E52E2">
        <w:rPr>
          <w:rFonts w:eastAsia="Century"/>
        </w:rPr>
        <w:t>Predicted impact of extending the screening interval for diabetic retinopathy: the Scottish Diabetic Retinopathy Screening programme.</w:t>
      </w:r>
      <w:proofErr w:type="gramEnd"/>
      <w:r w:rsidRPr="000E52E2">
        <w:rPr>
          <w:rFonts w:eastAsia="Century"/>
        </w:rPr>
        <w:t xml:space="preserve"> </w:t>
      </w:r>
      <w:proofErr w:type="spellStart"/>
      <w:r w:rsidRPr="000E52E2">
        <w:rPr>
          <w:rFonts w:eastAsia="Georgia" w:cs="Georgia"/>
          <w:i/>
        </w:rPr>
        <w:t>Diabetologia</w:t>
      </w:r>
      <w:proofErr w:type="spellEnd"/>
      <w:r w:rsidRPr="000E52E2">
        <w:rPr>
          <w:rFonts w:eastAsia="Georgia" w:cs="Georgia"/>
          <w:i/>
        </w:rPr>
        <w:t xml:space="preserve"> </w:t>
      </w:r>
      <w:r w:rsidRPr="000E52E2">
        <w:rPr>
          <w:rFonts w:eastAsia="Century"/>
        </w:rPr>
        <w:t>(56)</w:t>
      </w:r>
      <w:r w:rsidR="00A36665">
        <w:rPr>
          <w:rFonts w:eastAsia="Century"/>
        </w:rPr>
        <w:t>: </w:t>
      </w:r>
      <w:r w:rsidRPr="000E52E2">
        <w:rPr>
          <w:rFonts w:eastAsia="Century"/>
        </w:rPr>
        <w:t>1716–25. DOI: 10.1007/ s00125-013-2928-7 (accessed 25 February 2016).</w:t>
      </w:r>
    </w:p>
    <w:p w:rsidR="006B3736" w:rsidRPr="000E52E2" w:rsidRDefault="006B3736" w:rsidP="00460C0A">
      <w:pPr>
        <w:pStyle w:val="References"/>
        <w:rPr>
          <w:rFonts w:eastAsia="Century"/>
        </w:rPr>
      </w:pPr>
      <w:proofErr w:type="gramStart"/>
      <w:r w:rsidRPr="000E52E2">
        <w:t>Ministry of Health.</w:t>
      </w:r>
      <w:proofErr w:type="gramEnd"/>
      <w:r w:rsidRPr="000E52E2">
        <w:t xml:space="preserve"> 2007. </w:t>
      </w:r>
      <w:r w:rsidRPr="000E52E2">
        <w:rPr>
          <w:i/>
        </w:rPr>
        <w:t>National Diabetes Retinal Screening Grading System and Referral Guidelines (2006) and Resources (2008)</w:t>
      </w:r>
      <w:r w:rsidRPr="000E52E2">
        <w:t>. Wellington: Ministry of Health.</w:t>
      </w:r>
    </w:p>
    <w:p w:rsidR="006B3736" w:rsidRPr="000E52E2" w:rsidRDefault="006B3736" w:rsidP="00460C0A">
      <w:pPr>
        <w:pStyle w:val="References"/>
        <w:rPr>
          <w:rFonts w:eastAsia="Century"/>
        </w:rPr>
      </w:pPr>
      <w:proofErr w:type="gramStart"/>
      <w:r w:rsidRPr="000E52E2">
        <w:t>Ministry of Health.</w:t>
      </w:r>
      <w:proofErr w:type="gramEnd"/>
      <w:r w:rsidRPr="000E52E2">
        <w:t xml:space="preserve"> 2008. </w:t>
      </w:r>
      <w:r w:rsidRPr="000E52E2">
        <w:rPr>
          <w:i/>
        </w:rPr>
        <w:t>National Diabetes Retinal Screening Grading System and Referral Guidelines 2006</w:t>
      </w:r>
      <w:r w:rsidRPr="000E52E2">
        <w:t>. Wellington: Ministry of Health.</w:t>
      </w:r>
    </w:p>
    <w:p w:rsidR="006B3736" w:rsidRPr="000E52E2" w:rsidRDefault="006B3736" w:rsidP="00460C0A">
      <w:pPr>
        <w:pStyle w:val="References"/>
        <w:rPr>
          <w:rFonts w:eastAsia="Century"/>
        </w:rPr>
      </w:pPr>
      <w:proofErr w:type="gramStart"/>
      <w:r w:rsidRPr="000E52E2">
        <w:t>Ministry of Health.</w:t>
      </w:r>
      <w:proofErr w:type="gramEnd"/>
      <w:r w:rsidRPr="000E52E2">
        <w:t xml:space="preserve"> </w:t>
      </w:r>
      <w:proofErr w:type="gramStart"/>
      <w:r w:rsidRPr="000E52E2">
        <w:t xml:space="preserve">2014a. </w:t>
      </w:r>
      <w:r w:rsidRPr="000E52E2">
        <w:rPr>
          <w:i/>
        </w:rPr>
        <w:t>Quality Standards for Diabetes Care</w:t>
      </w:r>
      <w:r w:rsidRPr="000E52E2">
        <w:t>.</w:t>
      </w:r>
      <w:proofErr w:type="gramEnd"/>
      <w:r w:rsidRPr="000E52E2">
        <w:t xml:space="preserve"> Wellington: Ministry of Health.</w:t>
      </w:r>
    </w:p>
    <w:p w:rsidR="006B3736" w:rsidRPr="000E52E2" w:rsidRDefault="006B3736" w:rsidP="00460C0A">
      <w:pPr>
        <w:pStyle w:val="References"/>
        <w:rPr>
          <w:rFonts w:eastAsia="Century"/>
        </w:rPr>
      </w:pPr>
      <w:proofErr w:type="gramStart"/>
      <w:r w:rsidRPr="000E52E2">
        <w:t>Ministry of Health.</w:t>
      </w:r>
      <w:proofErr w:type="gramEnd"/>
      <w:r w:rsidRPr="000E52E2">
        <w:t xml:space="preserve"> 2014b. </w:t>
      </w:r>
      <w:r w:rsidRPr="000E52E2">
        <w:rPr>
          <w:i/>
        </w:rPr>
        <w:t>Screening, Diagnosis and Management of Gestational Diabetes in New Zealand: A clinical practice guideline</w:t>
      </w:r>
      <w:r w:rsidRPr="000E52E2">
        <w:t>. Wellington: Ministry of Health.</w:t>
      </w:r>
    </w:p>
    <w:p w:rsidR="006B3736" w:rsidRPr="000E52E2" w:rsidRDefault="006B3736" w:rsidP="00460C0A">
      <w:pPr>
        <w:pStyle w:val="References"/>
        <w:rPr>
          <w:rFonts w:eastAsia="Century"/>
        </w:rPr>
      </w:pPr>
      <w:proofErr w:type="gramStart"/>
      <w:r w:rsidRPr="000E52E2">
        <w:rPr>
          <w:rFonts w:eastAsia="Century"/>
        </w:rPr>
        <w:t>Ministry of Health.2015.</w:t>
      </w:r>
      <w:proofErr w:type="gramEnd"/>
      <w:r w:rsidRPr="000E52E2">
        <w:rPr>
          <w:rFonts w:eastAsia="Century"/>
        </w:rPr>
        <w:t xml:space="preserve"> </w:t>
      </w:r>
      <w:proofErr w:type="gramStart"/>
      <w:r w:rsidRPr="000E52E2">
        <w:rPr>
          <w:rFonts w:eastAsia="Georgia" w:cs="Georgia"/>
          <w:i/>
        </w:rPr>
        <w:t>Living Well with Diabetes: A plan for people at high risk of or living with diabetes 2015– 2020</w:t>
      </w:r>
      <w:r w:rsidRPr="000E52E2">
        <w:rPr>
          <w:rFonts w:eastAsia="Century"/>
        </w:rPr>
        <w:t>.</w:t>
      </w:r>
      <w:proofErr w:type="gramEnd"/>
      <w:r w:rsidRPr="000E52E2">
        <w:rPr>
          <w:rFonts w:eastAsia="Century"/>
        </w:rPr>
        <w:t xml:space="preserve"> Wellington: Ministry of Health.</w:t>
      </w:r>
    </w:p>
    <w:p w:rsidR="006B3736" w:rsidRPr="000E52E2" w:rsidRDefault="006B3736" w:rsidP="00460C0A">
      <w:pPr>
        <w:pStyle w:val="References"/>
        <w:rPr>
          <w:rFonts w:eastAsia="Century"/>
        </w:rPr>
      </w:pPr>
      <w:proofErr w:type="gramStart"/>
      <w:r w:rsidRPr="000E52E2">
        <w:t>National Health Committee.</w:t>
      </w:r>
      <w:proofErr w:type="gramEnd"/>
      <w:r w:rsidRPr="000E52E2">
        <w:t xml:space="preserve"> 2003. </w:t>
      </w:r>
      <w:r w:rsidRPr="000E52E2">
        <w:rPr>
          <w:i/>
        </w:rPr>
        <w:t xml:space="preserve">Screening to Improve Health in New Zealand: Criteria to assess screening programmes. </w:t>
      </w:r>
      <w:r w:rsidRPr="000E52E2">
        <w:t>Wellington: National Health Committee. URL: https://nhc.health.govt.nz/system/files/documents/ publications/ScreeningCriteria.pdf (accessed 19 January 2016).</w:t>
      </w:r>
    </w:p>
    <w:p w:rsidR="006B3736" w:rsidRPr="000E52E2" w:rsidRDefault="00460C0A" w:rsidP="00460C0A">
      <w:pPr>
        <w:pStyle w:val="References"/>
        <w:rPr>
          <w:rFonts w:eastAsia="Century"/>
        </w:rPr>
      </w:pPr>
      <w:r>
        <w:t>N</w:t>
      </w:r>
      <w:r w:rsidR="006B3736" w:rsidRPr="000E52E2">
        <w:t xml:space="preserve">ew Zealand Guidelines Group. 2012. </w:t>
      </w:r>
      <w:r w:rsidR="006B3736" w:rsidRPr="000E52E2">
        <w:rPr>
          <w:i/>
        </w:rPr>
        <w:t>New Zealand Primary Care Handbook 2012</w:t>
      </w:r>
      <w:r w:rsidR="006B3736" w:rsidRPr="000E52E2">
        <w:t xml:space="preserve">. 3rd ed. </w:t>
      </w:r>
      <w:r w:rsidR="006B3736" w:rsidRPr="000E52E2">
        <w:t>Wellington: New Zealand Guidelines Group.</w:t>
      </w:r>
    </w:p>
    <w:p w:rsidR="006B3736" w:rsidRPr="000E52E2" w:rsidRDefault="006B3736" w:rsidP="00E61D6E">
      <w:pPr>
        <w:pStyle w:val="References"/>
        <w:keepNext/>
        <w:rPr>
          <w:rFonts w:eastAsia="Century"/>
        </w:rPr>
      </w:pPr>
      <w:proofErr w:type="spellStart"/>
      <w:r w:rsidRPr="000E52E2">
        <w:lastRenderedPageBreak/>
        <w:t>Nwanyanwu</w:t>
      </w:r>
      <w:proofErr w:type="spellEnd"/>
      <w:r w:rsidRPr="000E52E2">
        <w:t xml:space="preserve"> K, </w:t>
      </w:r>
      <w:proofErr w:type="spellStart"/>
      <w:r w:rsidRPr="000E52E2">
        <w:t>Wrobel</w:t>
      </w:r>
      <w:proofErr w:type="spellEnd"/>
      <w:r w:rsidRPr="000E52E2">
        <w:t xml:space="preserve"> J, </w:t>
      </w:r>
      <w:proofErr w:type="spellStart"/>
      <w:r w:rsidRPr="000E52E2">
        <w:t>Talwar</w:t>
      </w:r>
      <w:proofErr w:type="spellEnd"/>
      <w:r w:rsidRPr="000E52E2">
        <w:t xml:space="preserve"> N, et al. 2013. </w:t>
      </w:r>
      <w:proofErr w:type="gramStart"/>
      <w:r w:rsidRPr="000E52E2">
        <w:t>Predicting development of proliferative diabetic retinopathy.</w:t>
      </w:r>
      <w:proofErr w:type="gramEnd"/>
      <w:r w:rsidR="00460C0A">
        <w:t xml:space="preserve"> </w:t>
      </w:r>
      <w:r w:rsidRPr="000E52E2">
        <w:rPr>
          <w:rFonts w:eastAsia="Georgia" w:cs="Georgia"/>
          <w:i/>
        </w:rPr>
        <w:t xml:space="preserve">Diabetes Care </w:t>
      </w:r>
      <w:r w:rsidRPr="000E52E2">
        <w:rPr>
          <w:rFonts w:eastAsia="Century"/>
        </w:rPr>
        <w:t>(36)</w:t>
      </w:r>
      <w:r w:rsidR="00A36665">
        <w:rPr>
          <w:rFonts w:eastAsia="Century"/>
        </w:rPr>
        <w:t>:</w:t>
      </w:r>
      <w:r w:rsidRPr="000E52E2">
        <w:rPr>
          <w:rFonts w:eastAsia="Century"/>
        </w:rPr>
        <w:t xml:space="preserve"> 1562–68. DOI: 10.2337/dc12-0790 (accessed 25 February 2016).</w:t>
      </w:r>
    </w:p>
    <w:p w:rsidR="006B3736" w:rsidRPr="000E52E2" w:rsidRDefault="006B3736" w:rsidP="00460C0A">
      <w:pPr>
        <w:pStyle w:val="References"/>
        <w:rPr>
          <w:rFonts w:eastAsia="Century"/>
        </w:rPr>
      </w:pPr>
      <w:r w:rsidRPr="000E52E2">
        <w:rPr>
          <w:rFonts w:eastAsia="Century"/>
        </w:rPr>
        <w:t xml:space="preserve">Ohkubo Y, </w:t>
      </w:r>
      <w:proofErr w:type="spellStart"/>
      <w:r w:rsidRPr="000E52E2">
        <w:rPr>
          <w:rFonts w:eastAsia="Century"/>
        </w:rPr>
        <w:t>Kishikawa</w:t>
      </w:r>
      <w:proofErr w:type="spellEnd"/>
      <w:r w:rsidRPr="000E52E2">
        <w:rPr>
          <w:rFonts w:eastAsia="Century"/>
        </w:rPr>
        <w:t xml:space="preserve"> H, Araki E, et al. 1995. Intensive insulin therapy prevents the progression of diabetic microvascular complications in Japanese patients with non-insulin-dependent diabetes mellitus: a randomized prospective 6-year study. </w:t>
      </w:r>
      <w:r w:rsidRPr="000E52E2">
        <w:rPr>
          <w:rFonts w:eastAsia="Georgia" w:cs="Georgia"/>
          <w:i/>
        </w:rPr>
        <w:t>Diabetes Research and Clinical Practice</w:t>
      </w:r>
      <w:r w:rsidRPr="00994B82">
        <w:rPr>
          <w:rFonts w:eastAsia="Georgia" w:cs="Georgia"/>
        </w:rPr>
        <w:t xml:space="preserve"> 28</w:t>
      </w:r>
      <w:r w:rsidRPr="00A36665">
        <w:rPr>
          <w:rFonts w:eastAsia="Century"/>
        </w:rPr>
        <w:t>(2)</w:t>
      </w:r>
      <w:r w:rsidR="00A36665">
        <w:rPr>
          <w:rFonts w:eastAsia="Century"/>
        </w:rPr>
        <w:t>:</w:t>
      </w:r>
      <w:r w:rsidRPr="00A36665">
        <w:rPr>
          <w:rFonts w:eastAsia="Century"/>
        </w:rPr>
        <w:t xml:space="preserve"> </w:t>
      </w:r>
      <w:r w:rsidRPr="000E52E2">
        <w:rPr>
          <w:rFonts w:eastAsia="Century"/>
        </w:rPr>
        <w:t>103–17. DOI: 10.1016/0168-8227(95)01064-K (accessed 25 February 2016).</w:t>
      </w:r>
    </w:p>
    <w:p w:rsidR="006B3736" w:rsidRPr="000E52E2" w:rsidRDefault="006B3736" w:rsidP="00460C0A">
      <w:pPr>
        <w:pStyle w:val="References"/>
        <w:rPr>
          <w:rFonts w:eastAsia="Century"/>
        </w:rPr>
      </w:pPr>
      <w:proofErr w:type="spellStart"/>
      <w:proofErr w:type="gramStart"/>
      <w:r w:rsidRPr="000E52E2">
        <w:rPr>
          <w:rFonts w:eastAsia="Century"/>
        </w:rPr>
        <w:t>Papali</w:t>
      </w:r>
      <w:r w:rsidR="00464C89">
        <w:rPr>
          <w:rFonts w:eastAsia="Century"/>
        </w:rPr>
        <w:t>’</w:t>
      </w:r>
      <w:r w:rsidRPr="000E52E2">
        <w:rPr>
          <w:rFonts w:eastAsia="Century"/>
        </w:rPr>
        <w:t>i</w:t>
      </w:r>
      <w:proofErr w:type="spellEnd"/>
      <w:r w:rsidRPr="000E52E2">
        <w:rPr>
          <w:rFonts w:eastAsia="Century"/>
        </w:rPr>
        <w:t xml:space="preserve">-Curtin A, </w:t>
      </w:r>
      <w:proofErr w:type="spellStart"/>
      <w:r w:rsidRPr="000E52E2">
        <w:rPr>
          <w:rFonts w:eastAsia="Century"/>
        </w:rPr>
        <w:t>Dalziel</w:t>
      </w:r>
      <w:proofErr w:type="spellEnd"/>
      <w:r w:rsidRPr="000E52E2">
        <w:rPr>
          <w:rFonts w:eastAsia="Century"/>
        </w:rPr>
        <w:t xml:space="preserve"> D. 2013.</w:t>
      </w:r>
      <w:proofErr w:type="gramEnd"/>
      <w:r w:rsidRPr="000E52E2">
        <w:rPr>
          <w:rFonts w:eastAsia="Century"/>
        </w:rPr>
        <w:t xml:space="preserve"> Prevalence of diabetic retinopathy and </w:t>
      </w:r>
      <w:proofErr w:type="spellStart"/>
      <w:r w:rsidRPr="000E52E2">
        <w:rPr>
          <w:rFonts w:eastAsia="Century"/>
        </w:rPr>
        <w:t>maculopathy</w:t>
      </w:r>
      <w:proofErr w:type="spellEnd"/>
      <w:r w:rsidRPr="000E52E2">
        <w:rPr>
          <w:rFonts w:eastAsia="Century"/>
        </w:rPr>
        <w:t xml:space="preserve"> in Northland, New Zealand: 2011</w:t>
      </w:r>
      <w:r w:rsidR="00A36665">
        <w:rPr>
          <w:rFonts w:eastAsia="Century"/>
        </w:rPr>
        <w:t>–</w:t>
      </w:r>
      <w:r w:rsidRPr="000E52E2">
        <w:rPr>
          <w:rFonts w:eastAsia="Century"/>
        </w:rPr>
        <w:t xml:space="preserve">2012. </w:t>
      </w:r>
      <w:r w:rsidRPr="000E52E2">
        <w:rPr>
          <w:rFonts w:eastAsia="Georgia" w:cs="Georgia"/>
          <w:i/>
        </w:rPr>
        <w:t>NZ Med J</w:t>
      </w:r>
      <w:r w:rsidRPr="00994B82">
        <w:rPr>
          <w:rFonts w:eastAsia="Georgia" w:cs="Georgia"/>
        </w:rPr>
        <w:t xml:space="preserve"> 126</w:t>
      </w:r>
      <w:r w:rsidRPr="000E52E2">
        <w:rPr>
          <w:rFonts w:eastAsia="Century"/>
        </w:rPr>
        <w:t>(1383)</w:t>
      </w:r>
      <w:r w:rsidR="00A36665">
        <w:rPr>
          <w:rFonts w:eastAsia="Century"/>
        </w:rPr>
        <w:t>:</w:t>
      </w:r>
      <w:r w:rsidRPr="000E52E2">
        <w:rPr>
          <w:rFonts w:eastAsia="Century"/>
        </w:rPr>
        <w:t xml:space="preserve"> 20–8.</w:t>
      </w:r>
    </w:p>
    <w:p w:rsidR="006B3736" w:rsidRPr="000E52E2" w:rsidRDefault="006B3736" w:rsidP="00460C0A">
      <w:pPr>
        <w:pStyle w:val="References"/>
        <w:rPr>
          <w:rFonts w:eastAsia="Century"/>
        </w:rPr>
      </w:pPr>
      <w:proofErr w:type="gramStart"/>
      <w:r w:rsidRPr="000E52E2">
        <w:rPr>
          <w:rFonts w:eastAsia="Century"/>
        </w:rPr>
        <w:t>UKPDS.</w:t>
      </w:r>
      <w:proofErr w:type="gramEnd"/>
      <w:r w:rsidRPr="000E52E2">
        <w:rPr>
          <w:rFonts w:eastAsia="Century"/>
        </w:rPr>
        <w:t xml:space="preserve"> 1998. Intensive blood-glucose control with </w:t>
      </w:r>
      <w:proofErr w:type="spellStart"/>
      <w:r w:rsidRPr="000E52E2">
        <w:rPr>
          <w:rFonts w:eastAsia="Century"/>
        </w:rPr>
        <w:t>sulphonylureas</w:t>
      </w:r>
      <w:proofErr w:type="spellEnd"/>
      <w:r w:rsidRPr="000E52E2">
        <w:rPr>
          <w:rFonts w:eastAsia="Century"/>
        </w:rPr>
        <w:t xml:space="preserve"> or insulin compared with conventional treatment and risk of complications in patients with type 2 diabetes (UKPDS 33). </w:t>
      </w:r>
      <w:r w:rsidRPr="000E52E2">
        <w:rPr>
          <w:rFonts w:eastAsia="Georgia" w:cs="Georgia"/>
          <w:i/>
        </w:rPr>
        <w:t>The Lancet</w:t>
      </w:r>
      <w:r w:rsidRPr="00994B82">
        <w:rPr>
          <w:rFonts w:eastAsia="Georgia" w:cs="Georgia"/>
        </w:rPr>
        <w:t xml:space="preserve"> 352</w:t>
      </w:r>
      <w:r w:rsidRPr="00A36665">
        <w:rPr>
          <w:rFonts w:eastAsia="Century"/>
        </w:rPr>
        <w:t>(</w:t>
      </w:r>
      <w:r w:rsidRPr="000E52E2">
        <w:rPr>
          <w:rFonts w:eastAsia="Century"/>
        </w:rPr>
        <w:t>9131)</w:t>
      </w:r>
      <w:r w:rsidR="00A36665">
        <w:rPr>
          <w:rFonts w:eastAsia="Century"/>
        </w:rPr>
        <w:t>:</w:t>
      </w:r>
      <w:r w:rsidRPr="000E52E2">
        <w:rPr>
          <w:rFonts w:eastAsia="Century"/>
        </w:rPr>
        <w:t xml:space="preserve"> 837–53. DOI: 10.1016/S0140-6736(98)07019-6 (accessed 25 February 2016).</w:t>
      </w:r>
    </w:p>
    <w:p w:rsidR="006B3736" w:rsidRPr="000E52E2" w:rsidRDefault="006B3736" w:rsidP="00460C0A">
      <w:pPr>
        <w:pStyle w:val="References"/>
        <w:rPr>
          <w:rFonts w:eastAsia="Century"/>
        </w:rPr>
      </w:pPr>
      <w:proofErr w:type="gramStart"/>
      <w:r w:rsidRPr="000E52E2">
        <w:rPr>
          <w:rFonts w:eastAsia="Century"/>
        </w:rPr>
        <w:t>UKPDS.</w:t>
      </w:r>
      <w:proofErr w:type="gramEnd"/>
      <w:r w:rsidRPr="000E52E2">
        <w:rPr>
          <w:rFonts w:eastAsia="Century"/>
        </w:rPr>
        <w:t xml:space="preserve"> 1998b. </w:t>
      </w:r>
      <w:proofErr w:type="gramStart"/>
      <w:r w:rsidRPr="000E52E2">
        <w:rPr>
          <w:rFonts w:eastAsia="Century"/>
        </w:rPr>
        <w:t>Tight</w:t>
      </w:r>
      <w:proofErr w:type="gramEnd"/>
      <w:r w:rsidRPr="000E52E2">
        <w:rPr>
          <w:rFonts w:eastAsia="Century"/>
        </w:rPr>
        <w:t xml:space="preserve"> blood pressure control and risk of </w:t>
      </w:r>
      <w:proofErr w:type="spellStart"/>
      <w:r w:rsidRPr="000E52E2">
        <w:rPr>
          <w:rFonts w:eastAsia="Century"/>
        </w:rPr>
        <w:t>macrovascular</w:t>
      </w:r>
      <w:proofErr w:type="spellEnd"/>
      <w:r w:rsidRPr="000E52E2">
        <w:rPr>
          <w:rFonts w:eastAsia="Century"/>
        </w:rPr>
        <w:t xml:space="preserve"> and microvascular complications in type 2 diabetes (UKPDS 38). </w:t>
      </w:r>
      <w:r w:rsidRPr="000E52E2">
        <w:rPr>
          <w:rFonts w:eastAsia="Georgia" w:cs="Georgia"/>
          <w:i/>
        </w:rPr>
        <w:t>BMJ</w:t>
      </w:r>
      <w:r w:rsidRPr="00994B82">
        <w:rPr>
          <w:rFonts w:eastAsia="Georgia" w:cs="Georgia"/>
        </w:rPr>
        <w:t xml:space="preserve"> 317</w:t>
      </w:r>
      <w:r w:rsidRPr="00A36665">
        <w:rPr>
          <w:rFonts w:eastAsia="Century"/>
        </w:rPr>
        <w:t>(</w:t>
      </w:r>
      <w:r w:rsidRPr="000E52E2">
        <w:rPr>
          <w:rFonts w:eastAsia="Century"/>
        </w:rPr>
        <w:t>7160)</w:t>
      </w:r>
      <w:r w:rsidR="00A36665">
        <w:rPr>
          <w:rFonts w:eastAsia="Century"/>
        </w:rPr>
        <w:t>:</w:t>
      </w:r>
      <w:r w:rsidRPr="000E52E2">
        <w:rPr>
          <w:rFonts w:eastAsia="Century"/>
        </w:rPr>
        <w:t xml:space="preserve"> 703–13.</w:t>
      </w:r>
    </w:p>
    <w:p w:rsidR="006B3736" w:rsidRPr="000E52E2" w:rsidRDefault="006B3736" w:rsidP="00460C0A">
      <w:pPr>
        <w:pStyle w:val="References"/>
        <w:rPr>
          <w:rFonts w:eastAsia="Century"/>
        </w:rPr>
      </w:pPr>
      <w:proofErr w:type="gramStart"/>
      <w:r w:rsidRPr="000E52E2">
        <w:rPr>
          <w:rFonts w:eastAsia="Century"/>
        </w:rPr>
        <w:t xml:space="preserve">Wong T, Hernandez-Medina M, </w:t>
      </w:r>
      <w:proofErr w:type="spellStart"/>
      <w:r w:rsidRPr="000E52E2">
        <w:rPr>
          <w:rFonts w:eastAsia="Century"/>
        </w:rPr>
        <w:t>Mwamburi</w:t>
      </w:r>
      <w:proofErr w:type="spellEnd"/>
      <w:r w:rsidRPr="000E52E2">
        <w:rPr>
          <w:rFonts w:eastAsia="Century"/>
        </w:rPr>
        <w:t xml:space="preserve"> M, et al. 2009.</w:t>
      </w:r>
      <w:proofErr w:type="gramEnd"/>
      <w:r w:rsidRPr="000E52E2">
        <w:rPr>
          <w:rFonts w:eastAsia="Century"/>
        </w:rPr>
        <w:t xml:space="preserve"> </w:t>
      </w:r>
      <w:proofErr w:type="gramStart"/>
      <w:r w:rsidRPr="000E52E2">
        <w:rPr>
          <w:rFonts w:eastAsia="Century"/>
        </w:rPr>
        <w:t>Rates of progression in diabetic retinopathy during different time periods.</w:t>
      </w:r>
      <w:proofErr w:type="gramEnd"/>
      <w:r w:rsidRPr="000E52E2">
        <w:rPr>
          <w:rFonts w:eastAsia="Century"/>
        </w:rPr>
        <w:t xml:space="preserve"> </w:t>
      </w:r>
      <w:r w:rsidRPr="000E52E2">
        <w:rPr>
          <w:rFonts w:eastAsia="Georgia" w:cs="Georgia"/>
          <w:i/>
        </w:rPr>
        <w:t>Diabetes Care</w:t>
      </w:r>
      <w:r w:rsidRPr="000E52E2">
        <w:rPr>
          <w:rFonts w:eastAsia="Century"/>
        </w:rPr>
        <w:t xml:space="preserve"> 2307–13. DOI: 10.2337/dc09-0615 (accessed 25 February 2016).</w:t>
      </w:r>
    </w:p>
    <w:p w:rsidR="00F25970" w:rsidRPr="000E52E2" w:rsidRDefault="00F25970" w:rsidP="00460C0A"/>
    <w:sectPr w:rsidR="00F25970" w:rsidRPr="000E52E2" w:rsidSect="009D5125">
      <w:headerReference w:type="default" r:id="rId26"/>
      <w:footerReference w:type="default" r:id="rId27"/>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4B" w:rsidRDefault="00564A4B">
      <w:pPr>
        <w:spacing w:line="240" w:lineRule="auto"/>
      </w:pPr>
      <w:r>
        <w:separator/>
      </w:r>
    </w:p>
    <w:p w:rsidR="00564A4B" w:rsidRDefault="00564A4B"/>
  </w:endnote>
  <w:endnote w:type="continuationSeparator" w:id="0">
    <w:p w:rsidR="00564A4B" w:rsidRDefault="00564A4B">
      <w:pPr>
        <w:spacing w:line="240" w:lineRule="auto"/>
      </w:pPr>
      <w:r>
        <w:continuationSeparator/>
      </w:r>
    </w:p>
    <w:p w:rsidR="00564A4B" w:rsidRDefault="00564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CB" w:rsidRPr="00581136" w:rsidRDefault="009418CB"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CB" w:rsidRDefault="009418CB"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CB" w:rsidRDefault="009418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CB" w:rsidRPr="00275D08" w:rsidRDefault="009418C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57282">
      <w:rPr>
        <w:rStyle w:val="PageNumber"/>
        <w:noProof/>
      </w:rPr>
      <w:t>iv</w:t>
    </w:r>
    <w:r w:rsidRPr="00FC46E7">
      <w:rPr>
        <w:rStyle w:val="PageNumber"/>
      </w:rPr>
      <w:fldChar w:fldCharType="end"/>
    </w:r>
    <w:r>
      <w:tab/>
      <w:t>Diabetic Retinal Screening, Grading, Monitoring and Referral Guidance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CB" w:rsidRDefault="009418CB" w:rsidP="00533B90">
    <w:pPr>
      <w:pStyle w:val="RectoFooter"/>
    </w:pPr>
    <w:r>
      <w:tab/>
      <w:t>Diabetic Retinal Screening, Grading, Monitoring and Referral Guidance</w:t>
    </w:r>
    <w:r>
      <w:tab/>
    </w:r>
    <w:r>
      <w:rPr>
        <w:rStyle w:val="PageNumber"/>
      </w:rPr>
      <w:fldChar w:fldCharType="begin"/>
    </w:r>
    <w:r>
      <w:rPr>
        <w:rStyle w:val="PageNumber"/>
      </w:rPr>
      <w:instrText xml:space="preserve"> PAGE </w:instrText>
    </w:r>
    <w:r>
      <w:rPr>
        <w:rStyle w:val="PageNumber"/>
      </w:rPr>
      <w:fldChar w:fldCharType="separate"/>
    </w:r>
    <w:r w:rsidR="00834FBE">
      <w:rPr>
        <w:rStyle w:val="PageNumber"/>
        <w:noProof/>
      </w:rPr>
      <w:t>vii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82" w:rsidRPr="00357282" w:rsidRDefault="00357282" w:rsidP="00357282">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82" w:rsidRPr="00275D08" w:rsidRDefault="0035728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34FBE">
      <w:rPr>
        <w:rStyle w:val="PageNumber"/>
        <w:noProof/>
      </w:rPr>
      <w:t>12</w:t>
    </w:r>
    <w:r w:rsidRPr="00FC46E7">
      <w:rPr>
        <w:rStyle w:val="PageNumber"/>
      </w:rPr>
      <w:fldChar w:fldCharType="end"/>
    </w:r>
    <w:r>
      <w:tab/>
      <w:t>Diabetic Retinal Screening, Grading, Monitoring and Referral Guidance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CB" w:rsidRDefault="009418CB" w:rsidP="009E3C8C">
    <w:pPr>
      <w:pStyle w:val="RectoFooter"/>
    </w:pPr>
    <w:r>
      <w:tab/>
      <w:t>Diabetic Retinal Screening, Grading, Monitoring and Referral Guidance</w:t>
    </w:r>
    <w:r>
      <w:tab/>
    </w:r>
    <w:r>
      <w:rPr>
        <w:rStyle w:val="PageNumber"/>
      </w:rPr>
      <w:fldChar w:fldCharType="begin"/>
    </w:r>
    <w:r>
      <w:rPr>
        <w:rStyle w:val="PageNumber"/>
      </w:rPr>
      <w:instrText xml:space="preserve"> PAGE </w:instrText>
    </w:r>
    <w:r>
      <w:rPr>
        <w:rStyle w:val="PageNumber"/>
      </w:rPr>
      <w:fldChar w:fldCharType="separate"/>
    </w:r>
    <w:r w:rsidR="00834FBE">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4B" w:rsidRPr="00A26E6B" w:rsidRDefault="00564A4B" w:rsidP="00A26E6B"/>
  </w:footnote>
  <w:footnote w:type="continuationSeparator" w:id="0">
    <w:p w:rsidR="00564A4B" w:rsidRDefault="00564A4B">
      <w:pPr>
        <w:spacing w:line="240" w:lineRule="auto"/>
      </w:pPr>
      <w:r>
        <w:continuationSeparator/>
      </w:r>
    </w:p>
    <w:p w:rsidR="00564A4B" w:rsidRDefault="00564A4B"/>
  </w:footnote>
  <w:footnote w:id="1">
    <w:p w:rsidR="009418CB" w:rsidRDefault="009418CB">
      <w:pPr>
        <w:pStyle w:val="FootnoteText"/>
      </w:pPr>
      <w:r>
        <w:rPr>
          <w:rStyle w:val="FootnoteReference"/>
        </w:rPr>
        <w:footnoteRef/>
      </w:r>
      <w:r>
        <w:tab/>
      </w:r>
      <w:r w:rsidRPr="000E52E2">
        <w:rPr>
          <w:rFonts w:eastAsia="Century"/>
        </w:rPr>
        <w:t xml:space="preserve">Screening is defined by the National Health Committee as </w:t>
      </w:r>
      <w:r>
        <w:rPr>
          <w:rFonts w:eastAsia="Century"/>
        </w:rPr>
        <w:t>‘</w:t>
      </w:r>
      <w:r w:rsidRPr="000E52E2">
        <w:rPr>
          <w:rFonts w:eastAsia="Century"/>
        </w:rPr>
        <w:t>a health service in which members of a defined population, who do not necessarily perceive they are at risk of, or are already affected by, a disease or its complications, are asked a question or offered a test to identify those individuals who are more likely to be helped than harmed by further tests or treatments to reduce the risk of disease or its complications</w:t>
      </w:r>
      <w:r>
        <w:rPr>
          <w:rFonts w:eastAsia="Century"/>
        </w:rPr>
        <w:t>’</w:t>
      </w:r>
      <w:r w:rsidRPr="000E52E2">
        <w:rPr>
          <w:rFonts w:eastAsia="Century"/>
        </w:rPr>
        <w:t xml:space="preserve"> (National Health Committee 2003, page 29).</w:t>
      </w:r>
    </w:p>
  </w:footnote>
  <w:footnote w:id="2">
    <w:p w:rsidR="009418CB" w:rsidRDefault="009418CB">
      <w:pPr>
        <w:pStyle w:val="FootnoteText"/>
      </w:pPr>
      <w:r>
        <w:rPr>
          <w:rStyle w:val="FootnoteReference"/>
        </w:rPr>
        <w:footnoteRef/>
      </w:r>
      <w:r>
        <w:tab/>
      </w:r>
      <w:r w:rsidRPr="000E52E2">
        <w:t>Retinal monitoring for the purposes of this guidance is defined as increased surveillance of the progress, or otherwise, of established DR.</w:t>
      </w:r>
    </w:p>
  </w:footnote>
  <w:footnote w:id="3">
    <w:p w:rsidR="009418CB" w:rsidRDefault="009418CB" w:rsidP="001E291E">
      <w:pPr>
        <w:pStyle w:val="FootnoteText"/>
      </w:pPr>
      <w:r>
        <w:rPr>
          <w:rStyle w:val="FootnoteReference"/>
        </w:rPr>
        <w:footnoteRef/>
      </w:r>
      <w:r>
        <w:tab/>
      </w:r>
      <w:r w:rsidRPr="000E52E2">
        <w:t>Optical coherence tomography (OCT) is a non-invasive imaging technology that has been compared to ultrasound. It uses light waves rather than sound waves to take cross-sectional images of the transparent layers of the retina to a resolution of up to 15 microns (a human hair is 40 to 120 microns thick). OCT imaging provides diagnostic and treatment guidance for disorders of the retina, such as DR, macular degeneration and glaucoma.</w:t>
      </w:r>
    </w:p>
  </w:footnote>
  <w:footnote w:id="4">
    <w:p w:rsidR="009418CB" w:rsidRDefault="009418CB" w:rsidP="001E291E">
      <w:pPr>
        <w:pStyle w:val="FootnoteText"/>
      </w:pPr>
      <w:r>
        <w:rPr>
          <w:rStyle w:val="FootnoteReference"/>
        </w:rPr>
        <w:footnoteRef/>
      </w:r>
      <w:r>
        <w:tab/>
      </w:r>
      <w:r w:rsidRPr="000E52E2">
        <w:t>A near miss is any incident that is prevented before it had the potential to cause harm.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CB" w:rsidRDefault="009418CB" w:rsidP="009216CC">
    <w:pPr>
      <w:pStyle w:val="Header"/>
      <w:ind w:left="-1559"/>
    </w:pPr>
    <w:r>
      <w:rPr>
        <w:noProof/>
        <w:lang w:eastAsia="en-NZ"/>
      </w:rPr>
      <w:drawing>
        <wp:inline distT="0" distB="0" distL="0" distR="0" wp14:anchorId="34AB58C7" wp14:editId="2C7997B2">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CB" w:rsidRDefault="009418CB"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CB" w:rsidRDefault="009418CB"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CB" w:rsidRDefault="009418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32F6357"/>
    <w:multiLevelType w:val="hybridMultilevel"/>
    <w:tmpl w:val="775CA4C2"/>
    <w:lvl w:ilvl="0" w:tplc="446441F6">
      <w:start w:val="1"/>
      <w:numFmt w:val="bullet"/>
      <w:lvlText w:val="·"/>
      <w:lvlJc w:val="left"/>
      <w:pPr>
        <w:ind w:left="278" w:hanging="171"/>
      </w:pPr>
      <w:rPr>
        <w:rFonts w:ascii="Arial" w:eastAsia="Arial" w:hAnsi="Arial" w:hint="default"/>
        <w:color w:val="231F20"/>
        <w:w w:val="83"/>
        <w:sz w:val="19"/>
        <w:szCs w:val="19"/>
      </w:rPr>
    </w:lvl>
    <w:lvl w:ilvl="1" w:tplc="08ECAAC6">
      <w:start w:val="1"/>
      <w:numFmt w:val="bullet"/>
      <w:lvlText w:val="•"/>
      <w:lvlJc w:val="left"/>
      <w:pPr>
        <w:ind w:left="1034" w:hanging="171"/>
      </w:pPr>
      <w:rPr>
        <w:rFonts w:hint="default"/>
      </w:rPr>
    </w:lvl>
    <w:lvl w:ilvl="2" w:tplc="0116F17A">
      <w:start w:val="1"/>
      <w:numFmt w:val="bullet"/>
      <w:lvlText w:val="•"/>
      <w:lvlJc w:val="left"/>
      <w:pPr>
        <w:ind w:left="1790" w:hanging="171"/>
      </w:pPr>
      <w:rPr>
        <w:rFonts w:hint="default"/>
      </w:rPr>
    </w:lvl>
    <w:lvl w:ilvl="3" w:tplc="57AE27DA">
      <w:start w:val="1"/>
      <w:numFmt w:val="bullet"/>
      <w:lvlText w:val="•"/>
      <w:lvlJc w:val="left"/>
      <w:pPr>
        <w:ind w:left="2546" w:hanging="171"/>
      </w:pPr>
      <w:rPr>
        <w:rFonts w:hint="default"/>
      </w:rPr>
    </w:lvl>
    <w:lvl w:ilvl="4" w:tplc="3846634A">
      <w:start w:val="1"/>
      <w:numFmt w:val="bullet"/>
      <w:lvlText w:val="•"/>
      <w:lvlJc w:val="left"/>
      <w:pPr>
        <w:ind w:left="3302" w:hanging="171"/>
      </w:pPr>
      <w:rPr>
        <w:rFonts w:hint="default"/>
      </w:rPr>
    </w:lvl>
    <w:lvl w:ilvl="5" w:tplc="AE4E9862">
      <w:start w:val="1"/>
      <w:numFmt w:val="bullet"/>
      <w:lvlText w:val="•"/>
      <w:lvlJc w:val="left"/>
      <w:pPr>
        <w:ind w:left="4058" w:hanging="171"/>
      </w:pPr>
      <w:rPr>
        <w:rFonts w:hint="default"/>
      </w:rPr>
    </w:lvl>
    <w:lvl w:ilvl="6" w:tplc="612ADF4E">
      <w:start w:val="1"/>
      <w:numFmt w:val="bullet"/>
      <w:lvlText w:val="•"/>
      <w:lvlJc w:val="left"/>
      <w:pPr>
        <w:ind w:left="4813" w:hanging="171"/>
      </w:pPr>
      <w:rPr>
        <w:rFonts w:hint="default"/>
      </w:rPr>
    </w:lvl>
    <w:lvl w:ilvl="7" w:tplc="71C4F0D6">
      <w:start w:val="1"/>
      <w:numFmt w:val="bullet"/>
      <w:lvlText w:val="•"/>
      <w:lvlJc w:val="left"/>
      <w:pPr>
        <w:ind w:left="5569" w:hanging="171"/>
      </w:pPr>
      <w:rPr>
        <w:rFonts w:hint="default"/>
      </w:rPr>
    </w:lvl>
    <w:lvl w:ilvl="8" w:tplc="060AF3C6">
      <w:start w:val="1"/>
      <w:numFmt w:val="bullet"/>
      <w:lvlText w:val="•"/>
      <w:lvlJc w:val="left"/>
      <w:pPr>
        <w:ind w:left="6325" w:hanging="171"/>
      </w:pPr>
      <w:rPr>
        <w:rFonts w:hint="default"/>
      </w:rPr>
    </w:lvl>
  </w:abstractNum>
  <w:abstractNum w:abstractNumId="2">
    <w:nsid w:val="03B0280C"/>
    <w:multiLevelType w:val="hybridMultilevel"/>
    <w:tmpl w:val="044AC6B0"/>
    <w:lvl w:ilvl="0" w:tplc="E2DA5B72">
      <w:start w:val="1"/>
      <w:numFmt w:val="bullet"/>
      <w:lvlText w:val="·"/>
      <w:lvlJc w:val="left"/>
      <w:pPr>
        <w:ind w:left="221" w:hanging="171"/>
      </w:pPr>
      <w:rPr>
        <w:rFonts w:ascii="Arial" w:eastAsia="Arial" w:hAnsi="Arial" w:hint="default"/>
        <w:color w:val="231F20"/>
        <w:w w:val="83"/>
        <w:sz w:val="19"/>
        <w:szCs w:val="19"/>
      </w:rPr>
    </w:lvl>
    <w:lvl w:ilvl="1" w:tplc="B94E5768">
      <w:start w:val="1"/>
      <w:numFmt w:val="bullet"/>
      <w:lvlText w:val="•"/>
      <w:lvlJc w:val="left"/>
      <w:pPr>
        <w:ind w:left="569" w:hanging="171"/>
      </w:pPr>
      <w:rPr>
        <w:rFonts w:hint="default"/>
      </w:rPr>
    </w:lvl>
    <w:lvl w:ilvl="2" w:tplc="A162BD5C">
      <w:start w:val="1"/>
      <w:numFmt w:val="bullet"/>
      <w:lvlText w:val="•"/>
      <w:lvlJc w:val="left"/>
      <w:pPr>
        <w:ind w:left="917" w:hanging="171"/>
      </w:pPr>
      <w:rPr>
        <w:rFonts w:hint="default"/>
      </w:rPr>
    </w:lvl>
    <w:lvl w:ilvl="3" w:tplc="FAA41D66">
      <w:start w:val="1"/>
      <w:numFmt w:val="bullet"/>
      <w:lvlText w:val="•"/>
      <w:lvlJc w:val="left"/>
      <w:pPr>
        <w:ind w:left="1264" w:hanging="171"/>
      </w:pPr>
      <w:rPr>
        <w:rFonts w:hint="default"/>
      </w:rPr>
    </w:lvl>
    <w:lvl w:ilvl="4" w:tplc="1BF28B86">
      <w:start w:val="1"/>
      <w:numFmt w:val="bullet"/>
      <w:lvlText w:val="•"/>
      <w:lvlJc w:val="left"/>
      <w:pPr>
        <w:ind w:left="1612" w:hanging="171"/>
      </w:pPr>
      <w:rPr>
        <w:rFonts w:hint="default"/>
      </w:rPr>
    </w:lvl>
    <w:lvl w:ilvl="5" w:tplc="239459C0">
      <w:start w:val="1"/>
      <w:numFmt w:val="bullet"/>
      <w:lvlText w:val="•"/>
      <w:lvlJc w:val="left"/>
      <w:pPr>
        <w:ind w:left="1960" w:hanging="171"/>
      </w:pPr>
      <w:rPr>
        <w:rFonts w:hint="default"/>
      </w:rPr>
    </w:lvl>
    <w:lvl w:ilvl="6" w:tplc="6C52FBD6">
      <w:start w:val="1"/>
      <w:numFmt w:val="bullet"/>
      <w:lvlText w:val="•"/>
      <w:lvlJc w:val="left"/>
      <w:pPr>
        <w:ind w:left="2308" w:hanging="171"/>
      </w:pPr>
      <w:rPr>
        <w:rFonts w:hint="default"/>
      </w:rPr>
    </w:lvl>
    <w:lvl w:ilvl="7" w:tplc="C94ACD9A">
      <w:start w:val="1"/>
      <w:numFmt w:val="bullet"/>
      <w:lvlText w:val="•"/>
      <w:lvlJc w:val="left"/>
      <w:pPr>
        <w:ind w:left="2655" w:hanging="171"/>
      </w:pPr>
      <w:rPr>
        <w:rFonts w:hint="default"/>
      </w:rPr>
    </w:lvl>
    <w:lvl w:ilvl="8" w:tplc="41E8EAA0">
      <w:start w:val="1"/>
      <w:numFmt w:val="bullet"/>
      <w:lvlText w:val="•"/>
      <w:lvlJc w:val="left"/>
      <w:pPr>
        <w:ind w:left="3003" w:hanging="171"/>
      </w:pPr>
      <w:rPr>
        <w:rFonts w:hint="default"/>
      </w:rPr>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3374F55"/>
    <w:multiLevelType w:val="multilevel"/>
    <w:tmpl w:val="CEE82E64"/>
    <w:lvl w:ilvl="0">
      <w:start w:val="1"/>
      <w:numFmt w:val="decimal"/>
      <w:lvlText w:val="%1."/>
      <w:lvlJc w:val="left"/>
      <w:pPr>
        <w:ind w:left="350" w:hanging="197"/>
      </w:pPr>
      <w:rPr>
        <w:rFonts w:ascii="Georgia" w:eastAsia="Georgia" w:hAnsi="Georgia" w:hint="default"/>
        <w:b/>
        <w:bCs/>
        <w:color w:val="231F20"/>
        <w:spacing w:val="2"/>
        <w:w w:val="96"/>
        <w:sz w:val="20"/>
        <w:szCs w:val="20"/>
      </w:rPr>
    </w:lvl>
    <w:lvl w:ilvl="1">
      <w:start w:val="1"/>
      <w:numFmt w:val="decimal"/>
      <w:lvlText w:val="%1.%2"/>
      <w:lvlJc w:val="left"/>
      <w:pPr>
        <w:ind w:left="706" w:hanging="270"/>
      </w:pPr>
      <w:rPr>
        <w:rFonts w:ascii="Century" w:eastAsia="Century" w:hAnsi="Century" w:hint="default"/>
        <w:color w:val="231F20"/>
        <w:spacing w:val="2"/>
        <w:w w:val="75"/>
        <w:sz w:val="20"/>
        <w:szCs w:val="20"/>
      </w:rPr>
    </w:lvl>
    <w:lvl w:ilvl="2">
      <w:start w:val="1"/>
      <w:numFmt w:val="bullet"/>
      <w:lvlText w:val="•"/>
      <w:lvlJc w:val="left"/>
      <w:pPr>
        <w:ind w:left="706" w:hanging="270"/>
      </w:pPr>
      <w:rPr>
        <w:rFonts w:hint="default"/>
      </w:rPr>
    </w:lvl>
    <w:lvl w:ilvl="3">
      <w:start w:val="1"/>
      <w:numFmt w:val="bullet"/>
      <w:lvlText w:val="•"/>
      <w:lvlJc w:val="left"/>
      <w:pPr>
        <w:ind w:left="720" w:hanging="270"/>
      </w:pPr>
      <w:rPr>
        <w:rFonts w:hint="default"/>
      </w:rPr>
    </w:lvl>
    <w:lvl w:ilvl="4">
      <w:start w:val="1"/>
      <w:numFmt w:val="bullet"/>
      <w:lvlText w:val="•"/>
      <w:lvlJc w:val="left"/>
      <w:pPr>
        <w:ind w:left="721" w:hanging="270"/>
      </w:pPr>
      <w:rPr>
        <w:rFonts w:hint="default"/>
      </w:rPr>
    </w:lvl>
    <w:lvl w:ilvl="5">
      <w:start w:val="1"/>
      <w:numFmt w:val="bullet"/>
      <w:lvlText w:val="•"/>
      <w:lvlJc w:val="left"/>
      <w:pPr>
        <w:ind w:left="723" w:hanging="270"/>
      </w:pPr>
      <w:rPr>
        <w:rFonts w:hint="default"/>
      </w:rPr>
    </w:lvl>
    <w:lvl w:ilvl="6">
      <w:start w:val="1"/>
      <w:numFmt w:val="bullet"/>
      <w:lvlText w:val="•"/>
      <w:lvlJc w:val="left"/>
      <w:pPr>
        <w:ind w:left="724" w:hanging="270"/>
      </w:pPr>
      <w:rPr>
        <w:rFonts w:hint="default"/>
      </w:rPr>
    </w:lvl>
    <w:lvl w:ilvl="7">
      <w:start w:val="1"/>
      <w:numFmt w:val="bullet"/>
      <w:lvlText w:val="•"/>
      <w:lvlJc w:val="left"/>
      <w:pPr>
        <w:ind w:left="731" w:hanging="270"/>
      </w:pPr>
      <w:rPr>
        <w:rFonts w:hint="default"/>
      </w:rPr>
    </w:lvl>
    <w:lvl w:ilvl="8">
      <w:start w:val="1"/>
      <w:numFmt w:val="bullet"/>
      <w:lvlText w:val="•"/>
      <w:lvlJc w:val="left"/>
      <w:pPr>
        <w:ind w:left="742" w:hanging="270"/>
      </w:pPr>
      <w:rPr>
        <w:rFonts w:hint="default"/>
      </w:rPr>
    </w:lvl>
  </w:abstractNum>
  <w:abstractNum w:abstractNumId="6">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E734629"/>
    <w:multiLevelType w:val="hybridMultilevel"/>
    <w:tmpl w:val="9A7024CC"/>
    <w:lvl w:ilvl="0" w:tplc="32787648">
      <w:start w:val="1"/>
      <w:numFmt w:val="decimal"/>
      <w:lvlText w:val="%1."/>
      <w:lvlJc w:val="left"/>
      <w:pPr>
        <w:ind w:left="437" w:hanging="284"/>
      </w:pPr>
      <w:rPr>
        <w:rFonts w:ascii="Century" w:eastAsia="Century" w:hAnsi="Century" w:hint="default"/>
        <w:color w:val="231F20"/>
        <w:spacing w:val="2"/>
        <w:w w:val="75"/>
        <w:sz w:val="20"/>
        <w:szCs w:val="20"/>
      </w:rPr>
    </w:lvl>
    <w:lvl w:ilvl="1" w:tplc="2ED87996">
      <w:start w:val="1"/>
      <w:numFmt w:val="bullet"/>
      <w:lvlText w:val="•"/>
      <w:lvlJc w:val="left"/>
      <w:pPr>
        <w:ind w:left="1384" w:hanging="284"/>
      </w:pPr>
      <w:rPr>
        <w:rFonts w:hint="default"/>
      </w:rPr>
    </w:lvl>
    <w:lvl w:ilvl="2" w:tplc="120806DA">
      <w:start w:val="1"/>
      <w:numFmt w:val="bullet"/>
      <w:lvlText w:val="•"/>
      <w:lvlJc w:val="left"/>
      <w:pPr>
        <w:ind w:left="2330" w:hanging="284"/>
      </w:pPr>
      <w:rPr>
        <w:rFonts w:hint="default"/>
      </w:rPr>
    </w:lvl>
    <w:lvl w:ilvl="3" w:tplc="3D704824">
      <w:start w:val="1"/>
      <w:numFmt w:val="bullet"/>
      <w:lvlText w:val="•"/>
      <w:lvlJc w:val="left"/>
      <w:pPr>
        <w:ind w:left="3277" w:hanging="284"/>
      </w:pPr>
      <w:rPr>
        <w:rFonts w:hint="default"/>
      </w:rPr>
    </w:lvl>
    <w:lvl w:ilvl="4" w:tplc="1BEA5AC6">
      <w:start w:val="1"/>
      <w:numFmt w:val="bullet"/>
      <w:lvlText w:val="•"/>
      <w:lvlJc w:val="left"/>
      <w:pPr>
        <w:ind w:left="4224" w:hanging="284"/>
      </w:pPr>
      <w:rPr>
        <w:rFonts w:hint="default"/>
      </w:rPr>
    </w:lvl>
    <w:lvl w:ilvl="5" w:tplc="DDEEA0AA">
      <w:start w:val="1"/>
      <w:numFmt w:val="bullet"/>
      <w:lvlText w:val="•"/>
      <w:lvlJc w:val="left"/>
      <w:pPr>
        <w:ind w:left="5171" w:hanging="284"/>
      </w:pPr>
      <w:rPr>
        <w:rFonts w:hint="default"/>
      </w:rPr>
    </w:lvl>
    <w:lvl w:ilvl="6" w:tplc="2F48501C">
      <w:start w:val="1"/>
      <w:numFmt w:val="bullet"/>
      <w:lvlText w:val="•"/>
      <w:lvlJc w:val="left"/>
      <w:pPr>
        <w:ind w:left="6118" w:hanging="284"/>
      </w:pPr>
      <w:rPr>
        <w:rFonts w:hint="default"/>
      </w:rPr>
    </w:lvl>
    <w:lvl w:ilvl="7" w:tplc="C02A8208">
      <w:start w:val="1"/>
      <w:numFmt w:val="bullet"/>
      <w:lvlText w:val="•"/>
      <w:lvlJc w:val="left"/>
      <w:pPr>
        <w:ind w:left="7065" w:hanging="284"/>
      </w:pPr>
      <w:rPr>
        <w:rFonts w:hint="default"/>
      </w:rPr>
    </w:lvl>
    <w:lvl w:ilvl="8" w:tplc="06AA2742">
      <w:start w:val="1"/>
      <w:numFmt w:val="bullet"/>
      <w:lvlText w:val="•"/>
      <w:lvlJc w:val="left"/>
      <w:pPr>
        <w:ind w:left="8011" w:hanging="284"/>
      </w:pPr>
      <w:rPr>
        <w:rFonts w:hint="default"/>
      </w:rPr>
    </w:lvl>
  </w:abstractNum>
  <w:abstractNum w:abstractNumId="8">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C106DFB"/>
    <w:multiLevelType w:val="hybridMultilevel"/>
    <w:tmpl w:val="26608FCE"/>
    <w:lvl w:ilvl="0" w:tplc="53DEBCD8">
      <w:start w:val="1"/>
      <w:numFmt w:val="bullet"/>
      <w:lvlText w:val="•"/>
      <w:lvlJc w:val="left"/>
      <w:pPr>
        <w:ind w:left="437" w:hanging="284"/>
      </w:pPr>
      <w:rPr>
        <w:rFonts w:ascii="Century" w:eastAsia="Century" w:hAnsi="Century" w:hint="default"/>
        <w:color w:val="231F20"/>
        <w:w w:val="58"/>
        <w:sz w:val="20"/>
        <w:szCs w:val="20"/>
      </w:rPr>
    </w:lvl>
    <w:lvl w:ilvl="1" w:tplc="3B14F6D6">
      <w:start w:val="1"/>
      <w:numFmt w:val="bullet"/>
      <w:lvlText w:val="•"/>
      <w:lvlJc w:val="left"/>
      <w:pPr>
        <w:ind w:left="1384" w:hanging="284"/>
      </w:pPr>
      <w:rPr>
        <w:rFonts w:hint="default"/>
      </w:rPr>
    </w:lvl>
    <w:lvl w:ilvl="2" w:tplc="F0C8C40E">
      <w:start w:val="1"/>
      <w:numFmt w:val="bullet"/>
      <w:lvlText w:val="•"/>
      <w:lvlJc w:val="left"/>
      <w:pPr>
        <w:ind w:left="2330" w:hanging="284"/>
      </w:pPr>
      <w:rPr>
        <w:rFonts w:hint="default"/>
      </w:rPr>
    </w:lvl>
    <w:lvl w:ilvl="3" w:tplc="E034E86A">
      <w:start w:val="1"/>
      <w:numFmt w:val="bullet"/>
      <w:lvlText w:val="•"/>
      <w:lvlJc w:val="left"/>
      <w:pPr>
        <w:ind w:left="3277" w:hanging="284"/>
      </w:pPr>
      <w:rPr>
        <w:rFonts w:hint="default"/>
      </w:rPr>
    </w:lvl>
    <w:lvl w:ilvl="4" w:tplc="EFC4E436">
      <w:start w:val="1"/>
      <w:numFmt w:val="bullet"/>
      <w:lvlText w:val="•"/>
      <w:lvlJc w:val="left"/>
      <w:pPr>
        <w:ind w:left="4224" w:hanging="284"/>
      </w:pPr>
      <w:rPr>
        <w:rFonts w:hint="default"/>
      </w:rPr>
    </w:lvl>
    <w:lvl w:ilvl="5" w:tplc="7CD21C6E">
      <w:start w:val="1"/>
      <w:numFmt w:val="bullet"/>
      <w:lvlText w:val="•"/>
      <w:lvlJc w:val="left"/>
      <w:pPr>
        <w:ind w:left="5171" w:hanging="284"/>
      </w:pPr>
      <w:rPr>
        <w:rFonts w:hint="default"/>
      </w:rPr>
    </w:lvl>
    <w:lvl w:ilvl="6" w:tplc="30A2FF5E">
      <w:start w:val="1"/>
      <w:numFmt w:val="bullet"/>
      <w:lvlText w:val="•"/>
      <w:lvlJc w:val="left"/>
      <w:pPr>
        <w:ind w:left="6118" w:hanging="284"/>
      </w:pPr>
      <w:rPr>
        <w:rFonts w:hint="default"/>
      </w:rPr>
    </w:lvl>
    <w:lvl w:ilvl="7" w:tplc="77BAA6B8">
      <w:start w:val="1"/>
      <w:numFmt w:val="bullet"/>
      <w:lvlText w:val="•"/>
      <w:lvlJc w:val="left"/>
      <w:pPr>
        <w:ind w:left="7065" w:hanging="284"/>
      </w:pPr>
      <w:rPr>
        <w:rFonts w:hint="default"/>
      </w:rPr>
    </w:lvl>
    <w:lvl w:ilvl="8" w:tplc="94C019A2">
      <w:start w:val="1"/>
      <w:numFmt w:val="bullet"/>
      <w:lvlText w:val="•"/>
      <w:lvlJc w:val="left"/>
      <w:pPr>
        <w:ind w:left="8011" w:hanging="284"/>
      </w:pPr>
      <w:rPr>
        <w:rFonts w:hint="default"/>
      </w:rPr>
    </w:lvl>
  </w:abstractNum>
  <w:abstractNum w:abstractNumId="1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DE14CE"/>
    <w:multiLevelType w:val="hybridMultilevel"/>
    <w:tmpl w:val="8B66400A"/>
    <w:lvl w:ilvl="0" w:tplc="26D87AB4">
      <w:start w:val="1"/>
      <w:numFmt w:val="lowerLetter"/>
      <w:lvlText w:val="%1."/>
      <w:lvlJc w:val="left"/>
      <w:pPr>
        <w:ind w:left="391" w:hanging="284"/>
      </w:pPr>
      <w:rPr>
        <w:rFonts w:ascii="Arial" w:eastAsia="Arial" w:hAnsi="Arial" w:hint="default"/>
        <w:color w:val="231F20"/>
        <w:w w:val="97"/>
        <w:sz w:val="19"/>
        <w:szCs w:val="19"/>
      </w:rPr>
    </w:lvl>
    <w:lvl w:ilvl="1" w:tplc="B836A4DC">
      <w:start w:val="1"/>
      <w:numFmt w:val="bullet"/>
      <w:lvlText w:val="•"/>
      <w:lvlJc w:val="left"/>
      <w:pPr>
        <w:ind w:left="1136" w:hanging="284"/>
      </w:pPr>
      <w:rPr>
        <w:rFonts w:hint="default"/>
      </w:rPr>
    </w:lvl>
    <w:lvl w:ilvl="2" w:tplc="05A62A0E">
      <w:start w:val="1"/>
      <w:numFmt w:val="bullet"/>
      <w:lvlText w:val="•"/>
      <w:lvlJc w:val="left"/>
      <w:pPr>
        <w:ind w:left="1881" w:hanging="284"/>
      </w:pPr>
      <w:rPr>
        <w:rFonts w:hint="default"/>
      </w:rPr>
    </w:lvl>
    <w:lvl w:ilvl="3" w:tplc="C2E69352">
      <w:start w:val="1"/>
      <w:numFmt w:val="bullet"/>
      <w:lvlText w:val="•"/>
      <w:lvlJc w:val="left"/>
      <w:pPr>
        <w:ind w:left="2625" w:hanging="284"/>
      </w:pPr>
      <w:rPr>
        <w:rFonts w:hint="default"/>
      </w:rPr>
    </w:lvl>
    <w:lvl w:ilvl="4" w:tplc="48823756">
      <w:start w:val="1"/>
      <w:numFmt w:val="bullet"/>
      <w:lvlText w:val="•"/>
      <w:lvlJc w:val="left"/>
      <w:pPr>
        <w:ind w:left="3370" w:hanging="284"/>
      </w:pPr>
      <w:rPr>
        <w:rFonts w:hint="default"/>
      </w:rPr>
    </w:lvl>
    <w:lvl w:ilvl="5" w:tplc="3F6CA79E">
      <w:start w:val="1"/>
      <w:numFmt w:val="bullet"/>
      <w:lvlText w:val="•"/>
      <w:lvlJc w:val="left"/>
      <w:pPr>
        <w:ind w:left="4114" w:hanging="284"/>
      </w:pPr>
      <w:rPr>
        <w:rFonts w:hint="default"/>
      </w:rPr>
    </w:lvl>
    <w:lvl w:ilvl="6" w:tplc="FE36E8F0">
      <w:start w:val="1"/>
      <w:numFmt w:val="bullet"/>
      <w:lvlText w:val="•"/>
      <w:lvlJc w:val="left"/>
      <w:pPr>
        <w:ind w:left="4859" w:hanging="284"/>
      </w:pPr>
      <w:rPr>
        <w:rFonts w:hint="default"/>
      </w:rPr>
    </w:lvl>
    <w:lvl w:ilvl="7" w:tplc="ED3E207A">
      <w:start w:val="1"/>
      <w:numFmt w:val="bullet"/>
      <w:lvlText w:val="•"/>
      <w:lvlJc w:val="left"/>
      <w:pPr>
        <w:ind w:left="5603" w:hanging="284"/>
      </w:pPr>
      <w:rPr>
        <w:rFonts w:hint="default"/>
      </w:rPr>
    </w:lvl>
    <w:lvl w:ilvl="8" w:tplc="29BC908A">
      <w:start w:val="1"/>
      <w:numFmt w:val="bullet"/>
      <w:lvlText w:val="•"/>
      <w:lvlJc w:val="left"/>
      <w:pPr>
        <w:ind w:left="6348" w:hanging="284"/>
      </w:pPr>
      <w:rPr>
        <w:rFont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449634F"/>
    <w:multiLevelType w:val="hybridMultilevel"/>
    <w:tmpl w:val="372881B4"/>
    <w:lvl w:ilvl="0" w:tplc="6212BAC8">
      <w:start w:val="1"/>
      <w:numFmt w:val="bullet"/>
      <w:lvlText w:val="•"/>
      <w:lvlJc w:val="left"/>
      <w:pPr>
        <w:ind w:left="437" w:hanging="284"/>
      </w:pPr>
      <w:rPr>
        <w:rFonts w:ascii="Georgia" w:eastAsia="Georgia" w:hAnsi="Georgia" w:hint="default"/>
        <w:i/>
        <w:color w:val="231F20"/>
        <w:w w:val="105"/>
        <w:sz w:val="20"/>
        <w:szCs w:val="20"/>
      </w:rPr>
    </w:lvl>
    <w:lvl w:ilvl="1" w:tplc="3774AB6E">
      <w:start w:val="1"/>
      <w:numFmt w:val="bullet"/>
      <w:lvlText w:val="•"/>
      <w:lvlJc w:val="left"/>
      <w:pPr>
        <w:ind w:left="1384" w:hanging="284"/>
      </w:pPr>
      <w:rPr>
        <w:rFonts w:hint="default"/>
      </w:rPr>
    </w:lvl>
    <w:lvl w:ilvl="2" w:tplc="45D093A6">
      <w:start w:val="1"/>
      <w:numFmt w:val="bullet"/>
      <w:lvlText w:val="•"/>
      <w:lvlJc w:val="left"/>
      <w:pPr>
        <w:ind w:left="2330" w:hanging="284"/>
      </w:pPr>
      <w:rPr>
        <w:rFonts w:hint="default"/>
      </w:rPr>
    </w:lvl>
    <w:lvl w:ilvl="3" w:tplc="BE5E9550">
      <w:start w:val="1"/>
      <w:numFmt w:val="bullet"/>
      <w:lvlText w:val="•"/>
      <w:lvlJc w:val="left"/>
      <w:pPr>
        <w:ind w:left="3277" w:hanging="284"/>
      </w:pPr>
      <w:rPr>
        <w:rFonts w:hint="default"/>
      </w:rPr>
    </w:lvl>
    <w:lvl w:ilvl="4" w:tplc="C3A4DCFE">
      <w:start w:val="1"/>
      <w:numFmt w:val="bullet"/>
      <w:lvlText w:val="•"/>
      <w:lvlJc w:val="left"/>
      <w:pPr>
        <w:ind w:left="4224" w:hanging="284"/>
      </w:pPr>
      <w:rPr>
        <w:rFonts w:hint="default"/>
      </w:rPr>
    </w:lvl>
    <w:lvl w:ilvl="5" w:tplc="BAD63886">
      <w:start w:val="1"/>
      <w:numFmt w:val="bullet"/>
      <w:lvlText w:val="•"/>
      <w:lvlJc w:val="left"/>
      <w:pPr>
        <w:ind w:left="5171" w:hanging="284"/>
      </w:pPr>
      <w:rPr>
        <w:rFonts w:hint="default"/>
      </w:rPr>
    </w:lvl>
    <w:lvl w:ilvl="6" w:tplc="F1421AEE">
      <w:start w:val="1"/>
      <w:numFmt w:val="bullet"/>
      <w:lvlText w:val="•"/>
      <w:lvlJc w:val="left"/>
      <w:pPr>
        <w:ind w:left="6118" w:hanging="284"/>
      </w:pPr>
      <w:rPr>
        <w:rFonts w:hint="default"/>
      </w:rPr>
    </w:lvl>
    <w:lvl w:ilvl="7" w:tplc="9FF27D48">
      <w:start w:val="1"/>
      <w:numFmt w:val="bullet"/>
      <w:lvlText w:val="•"/>
      <w:lvlJc w:val="left"/>
      <w:pPr>
        <w:ind w:left="7065" w:hanging="284"/>
      </w:pPr>
      <w:rPr>
        <w:rFonts w:hint="default"/>
      </w:rPr>
    </w:lvl>
    <w:lvl w:ilvl="8" w:tplc="D73A4D16">
      <w:start w:val="1"/>
      <w:numFmt w:val="bullet"/>
      <w:lvlText w:val="•"/>
      <w:lvlJc w:val="left"/>
      <w:pPr>
        <w:ind w:left="8011" w:hanging="284"/>
      </w:pPr>
      <w:rPr>
        <w:rFonts w:hint="default"/>
      </w:rPr>
    </w:lvl>
  </w:abstractNum>
  <w:abstractNum w:abstractNumId="15">
    <w:nsid w:val="44DD0202"/>
    <w:multiLevelType w:val="hybridMultilevel"/>
    <w:tmpl w:val="7D7A3B3E"/>
    <w:lvl w:ilvl="0" w:tplc="1B94805C">
      <w:start w:val="1"/>
      <w:numFmt w:val="bullet"/>
      <w:lvlText w:val="·"/>
      <w:lvlJc w:val="left"/>
      <w:pPr>
        <w:ind w:left="278" w:hanging="171"/>
      </w:pPr>
      <w:rPr>
        <w:rFonts w:ascii="Arial" w:eastAsia="Arial" w:hAnsi="Arial" w:hint="default"/>
        <w:color w:val="231F20"/>
        <w:w w:val="83"/>
        <w:sz w:val="19"/>
        <w:szCs w:val="19"/>
      </w:rPr>
    </w:lvl>
    <w:lvl w:ilvl="1" w:tplc="D944C788">
      <w:start w:val="1"/>
      <w:numFmt w:val="bullet"/>
      <w:lvlText w:val="•"/>
      <w:lvlJc w:val="left"/>
      <w:pPr>
        <w:ind w:left="1034" w:hanging="171"/>
      </w:pPr>
      <w:rPr>
        <w:rFonts w:hint="default"/>
      </w:rPr>
    </w:lvl>
    <w:lvl w:ilvl="2" w:tplc="529EEA1E">
      <w:start w:val="1"/>
      <w:numFmt w:val="bullet"/>
      <w:lvlText w:val="•"/>
      <w:lvlJc w:val="left"/>
      <w:pPr>
        <w:ind w:left="1790" w:hanging="171"/>
      </w:pPr>
      <w:rPr>
        <w:rFonts w:hint="default"/>
      </w:rPr>
    </w:lvl>
    <w:lvl w:ilvl="3" w:tplc="1452CEB2">
      <w:start w:val="1"/>
      <w:numFmt w:val="bullet"/>
      <w:lvlText w:val="•"/>
      <w:lvlJc w:val="left"/>
      <w:pPr>
        <w:ind w:left="2546" w:hanging="171"/>
      </w:pPr>
      <w:rPr>
        <w:rFonts w:hint="default"/>
      </w:rPr>
    </w:lvl>
    <w:lvl w:ilvl="4" w:tplc="0D9C9506">
      <w:start w:val="1"/>
      <w:numFmt w:val="bullet"/>
      <w:lvlText w:val="•"/>
      <w:lvlJc w:val="left"/>
      <w:pPr>
        <w:ind w:left="3302" w:hanging="171"/>
      </w:pPr>
      <w:rPr>
        <w:rFonts w:hint="default"/>
      </w:rPr>
    </w:lvl>
    <w:lvl w:ilvl="5" w:tplc="6CE89B90">
      <w:start w:val="1"/>
      <w:numFmt w:val="bullet"/>
      <w:lvlText w:val="•"/>
      <w:lvlJc w:val="left"/>
      <w:pPr>
        <w:ind w:left="4058" w:hanging="171"/>
      </w:pPr>
      <w:rPr>
        <w:rFonts w:hint="default"/>
      </w:rPr>
    </w:lvl>
    <w:lvl w:ilvl="6" w:tplc="7CB47618">
      <w:start w:val="1"/>
      <w:numFmt w:val="bullet"/>
      <w:lvlText w:val="•"/>
      <w:lvlJc w:val="left"/>
      <w:pPr>
        <w:ind w:left="4813" w:hanging="171"/>
      </w:pPr>
      <w:rPr>
        <w:rFonts w:hint="default"/>
      </w:rPr>
    </w:lvl>
    <w:lvl w:ilvl="7" w:tplc="F926DFB0">
      <w:start w:val="1"/>
      <w:numFmt w:val="bullet"/>
      <w:lvlText w:val="•"/>
      <w:lvlJc w:val="left"/>
      <w:pPr>
        <w:ind w:left="5569" w:hanging="171"/>
      </w:pPr>
      <w:rPr>
        <w:rFonts w:hint="default"/>
      </w:rPr>
    </w:lvl>
    <w:lvl w:ilvl="8" w:tplc="24C86D90">
      <w:start w:val="1"/>
      <w:numFmt w:val="bullet"/>
      <w:lvlText w:val="•"/>
      <w:lvlJc w:val="left"/>
      <w:pPr>
        <w:ind w:left="6325" w:hanging="171"/>
      </w:pPr>
      <w:rPr>
        <w:rFonts w:hint="default"/>
      </w:rPr>
    </w:lvl>
  </w:abstractNum>
  <w:abstractNum w:abstractNumId="16">
    <w:nsid w:val="45BA3AF2"/>
    <w:multiLevelType w:val="hybridMultilevel"/>
    <w:tmpl w:val="1278C26A"/>
    <w:lvl w:ilvl="0" w:tplc="03FAE6F2">
      <w:start w:val="1"/>
      <w:numFmt w:val="bullet"/>
      <w:lvlText w:val="·"/>
      <w:lvlJc w:val="left"/>
      <w:pPr>
        <w:ind w:left="278" w:hanging="171"/>
      </w:pPr>
      <w:rPr>
        <w:rFonts w:ascii="Arial" w:eastAsia="Arial" w:hAnsi="Arial" w:hint="default"/>
        <w:color w:val="231F20"/>
        <w:w w:val="83"/>
        <w:sz w:val="19"/>
        <w:szCs w:val="19"/>
      </w:rPr>
    </w:lvl>
    <w:lvl w:ilvl="1" w:tplc="6A5A95BC">
      <w:start w:val="1"/>
      <w:numFmt w:val="bullet"/>
      <w:lvlText w:val="•"/>
      <w:lvlJc w:val="left"/>
      <w:pPr>
        <w:ind w:left="1034" w:hanging="171"/>
      </w:pPr>
      <w:rPr>
        <w:rFonts w:hint="default"/>
      </w:rPr>
    </w:lvl>
    <w:lvl w:ilvl="2" w:tplc="F9DC19C8">
      <w:start w:val="1"/>
      <w:numFmt w:val="bullet"/>
      <w:lvlText w:val="•"/>
      <w:lvlJc w:val="left"/>
      <w:pPr>
        <w:ind w:left="1790" w:hanging="171"/>
      </w:pPr>
      <w:rPr>
        <w:rFonts w:hint="default"/>
      </w:rPr>
    </w:lvl>
    <w:lvl w:ilvl="3" w:tplc="94400068">
      <w:start w:val="1"/>
      <w:numFmt w:val="bullet"/>
      <w:lvlText w:val="•"/>
      <w:lvlJc w:val="left"/>
      <w:pPr>
        <w:ind w:left="2546" w:hanging="171"/>
      </w:pPr>
      <w:rPr>
        <w:rFonts w:hint="default"/>
      </w:rPr>
    </w:lvl>
    <w:lvl w:ilvl="4" w:tplc="DA10129C">
      <w:start w:val="1"/>
      <w:numFmt w:val="bullet"/>
      <w:lvlText w:val="•"/>
      <w:lvlJc w:val="left"/>
      <w:pPr>
        <w:ind w:left="3302" w:hanging="171"/>
      </w:pPr>
      <w:rPr>
        <w:rFonts w:hint="default"/>
      </w:rPr>
    </w:lvl>
    <w:lvl w:ilvl="5" w:tplc="2B34F6DE">
      <w:start w:val="1"/>
      <w:numFmt w:val="bullet"/>
      <w:lvlText w:val="•"/>
      <w:lvlJc w:val="left"/>
      <w:pPr>
        <w:ind w:left="4058" w:hanging="171"/>
      </w:pPr>
      <w:rPr>
        <w:rFonts w:hint="default"/>
      </w:rPr>
    </w:lvl>
    <w:lvl w:ilvl="6" w:tplc="6EB488F6">
      <w:start w:val="1"/>
      <w:numFmt w:val="bullet"/>
      <w:lvlText w:val="•"/>
      <w:lvlJc w:val="left"/>
      <w:pPr>
        <w:ind w:left="4813" w:hanging="171"/>
      </w:pPr>
      <w:rPr>
        <w:rFonts w:hint="default"/>
      </w:rPr>
    </w:lvl>
    <w:lvl w:ilvl="7" w:tplc="BE50AB38">
      <w:start w:val="1"/>
      <w:numFmt w:val="bullet"/>
      <w:lvlText w:val="•"/>
      <w:lvlJc w:val="left"/>
      <w:pPr>
        <w:ind w:left="5569" w:hanging="171"/>
      </w:pPr>
      <w:rPr>
        <w:rFonts w:hint="default"/>
      </w:rPr>
    </w:lvl>
    <w:lvl w:ilvl="8" w:tplc="F7484E40">
      <w:start w:val="1"/>
      <w:numFmt w:val="bullet"/>
      <w:lvlText w:val="•"/>
      <w:lvlJc w:val="left"/>
      <w:pPr>
        <w:ind w:left="6325" w:hanging="171"/>
      </w:pPr>
      <w:rPr>
        <w:rFonts w:hint="default"/>
      </w:rPr>
    </w:lvl>
  </w:abstractNum>
  <w:abstractNum w:abstractNumId="17">
    <w:nsid w:val="492718F5"/>
    <w:multiLevelType w:val="hybridMultilevel"/>
    <w:tmpl w:val="484CFB04"/>
    <w:lvl w:ilvl="0" w:tplc="7F0C7F58">
      <w:start w:val="1"/>
      <w:numFmt w:val="bullet"/>
      <w:lvlText w:val="*"/>
      <w:lvlJc w:val="left"/>
      <w:pPr>
        <w:ind w:left="108" w:hanging="114"/>
      </w:pPr>
      <w:rPr>
        <w:rFonts w:ascii="Arial" w:eastAsia="Arial" w:hAnsi="Arial" w:hint="default"/>
        <w:color w:val="231F20"/>
        <w:w w:val="90"/>
        <w:sz w:val="18"/>
        <w:szCs w:val="18"/>
      </w:rPr>
    </w:lvl>
    <w:lvl w:ilvl="1" w:tplc="CDD0602C">
      <w:start w:val="1"/>
      <w:numFmt w:val="bullet"/>
      <w:lvlText w:val="•"/>
      <w:lvlJc w:val="left"/>
      <w:pPr>
        <w:ind w:left="881" w:hanging="114"/>
      </w:pPr>
      <w:rPr>
        <w:rFonts w:hint="default"/>
      </w:rPr>
    </w:lvl>
    <w:lvl w:ilvl="2" w:tplc="D0BC5614">
      <w:start w:val="1"/>
      <w:numFmt w:val="bullet"/>
      <w:lvlText w:val="•"/>
      <w:lvlJc w:val="left"/>
      <w:pPr>
        <w:ind w:left="1654" w:hanging="114"/>
      </w:pPr>
      <w:rPr>
        <w:rFonts w:hint="default"/>
      </w:rPr>
    </w:lvl>
    <w:lvl w:ilvl="3" w:tplc="CFE644EC">
      <w:start w:val="1"/>
      <w:numFmt w:val="bullet"/>
      <w:lvlText w:val="•"/>
      <w:lvlJc w:val="left"/>
      <w:pPr>
        <w:ind w:left="2427" w:hanging="114"/>
      </w:pPr>
      <w:rPr>
        <w:rFonts w:hint="default"/>
      </w:rPr>
    </w:lvl>
    <w:lvl w:ilvl="4" w:tplc="97E8197C">
      <w:start w:val="1"/>
      <w:numFmt w:val="bullet"/>
      <w:lvlText w:val="•"/>
      <w:lvlJc w:val="left"/>
      <w:pPr>
        <w:ind w:left="3200" w:hanging="114"/>
      </w:pPr>
      <w:rPr>
        <w:rFonts w:hint="default"/>
      </w:rPr>
    </w:lvl>
    <w:lvl w:ilvl="5" w:tplc="04F6B064">
      <w:start w:val="1"/>
      <w:numFmt w:val="bullet"/>
      <w:lvlText w:val="•"/>
      <w:lvlJc w:val="left"/>
      <w:pPr>
        <w:ind w:left="3972" w:hanging="114"/>
      </w:pPr>
      <w:rPr>
        <w:rFonts w:hint="default"/>
      </w:rPr>
    </w:lvl>
    <w:lvl w:ilvl="6" w:tplc="A31A9BCA">
      <w:start w:val="1"/>
      <w:numFmt w:val="bullet"/>
      <w:lvlText w:val="•"/>
      <w:lvlJc w:val="left"/>
      <w:pPr>
        <w:ind w:left="4745" w:hanging="114"/>
      </w:pPr>
      <w:rPr>
        <w:rFonts w:hint="default"/>
      </w:rPr>
    </w:lvl>
    <w:lvl w:ilvl="7" w:tplc="4068627E">
      <w:start w:val="1"/>
      <w:numFmt w:val="bullet"/>
      <w:lvlText w:val="•"/>
      <w:lvlJc w:val="left"/>
      <w:pPr>
        <w:ind w:left="5518" w:hanging="114"/>
      </w:pPr>
      <w:rPr>
        <w:rFonts w:hint="default"/>
      </w:rPr>
    </w:lvl>
    <w:lvl w:ilvl="8" w:tplc="FDE86174">
      <w:start w:val="1"/>
      <w:numFmt w:val="bullet"/>
      <w:lvlText w:val="•"/>
      <w:lvlJc w:val="left"/>
      <w:pPr>
        <w:ind w:left="6291" w:hanging="114"/>
      </w:pPr>
      <w:rPr>
        <w:rFonts w:hint="default"/>
      </w:rPr>
    </w:lvl>
  </w:abstractNum>
  <w:abstractNum w:abstractNumId="18">
    <w:nsid w:val="4EF016B1"/>
    <w:multiLevelType w:val="hybridMultilevel"/>
    <w:tmpl w:val="979CC45A"/>
    <w:lvl w:ilvl="0" w:tplc="5DF86F1E">
      <w:start w:val="1"/>
      <w:numFmt w:val="bullet"/>
      <w:lvlText w:val="·"/>
      <w:lvlJc w:val="left"/>
      <w:pPr>
        <w:ind w:left="221" w:hanging="171"/>
      </w:pPr>
      <w:rPr>
        <w:rFonts w:ascii="Arial" w:eastAsia="Arial" w:hAnsi="Arial" w:hint="default"/>
        <w:color w:val="231F20"/>
        <w:w w:val="83"/>
        <w:sz w:val="19"/>
        <w:szCs w:val="19"/>
      </w:rPr>
    </w:lvl>
    <w:lvl w:ilvl="1" w:tplc="5B08A508">
      <w:start w:val="1"/>
      <w:numFmt w:val="bullet"/>
      <w:lvlText w:val="•"/>
      <w:lvlJc w:val="left"/>
      <w:pPr>
        <w:ind w:left="544" w:hanging="171"/>
      </w:pPr>
      <w:rPr>
        <w:rFonts w:hint="default"/>
      </w:rPr>
    </w:lvl>
    <w:lvl w:ilvl="2" w:tplc="9AF677D2">
      <w:start w:val="1"/>
      <w:numFmt w:val="bullet"/>
      <w:lvlText w:val="•"/>
      <w:lvlJc w:val="left"/>
      <w:pPr>
        <w:ind w:left="867" w:hanging="171"/>
      </w:pPr>
      <w:rPr>
        <w:rFonts w:hint="default"/>
      </w:rPr>
    </w:lvl>
    <w:lvl w:ilvl="3" w:tplc="355EB464">
      <w:start w:val="1"/>
      <w:numFmt w:val="bullet"/>
      <w:lvlText w:val="•"/>
      <w:lvlJc w:val="left"/>
      <w:pPr>
        <w:ind w:left="1189" w:hanging="171"/>
      </w:pPr>
      <w:rPr>
        <w:rFonts w:hint="default"/>
      </w:rPr>
    </w:lvl>
    <w:lvl w:ilvl="4" w:tplc="E73203B8">
      <w:start w:val="1"/>
      <w:numFmt w:val="bullet"/>
      <w:lvlText w:val="•"/>
      <w:lvlJc w:val="left"/>
      <w:pPr>
        <w:ind w:left="1512" w:hanging="171"/>
      </w:pPr>
      <w:rPr>
        <w:rFonts w:hint="default"/>
      </w:rPr>
    </w:lvl>
    <w:lvl w:ilvl="5" w:tplc="FDBE127C">
      <w:start w:val="1"/>
      <w:numFmt w:val="bullet"/>
      <w:lvlText w:val="•"/>
      <w:lvlJc w:val="left"/>
      <w:pPr>
        <w:ind w:left="1835" w:hanging="171"/>
      </w:pPr>
      <w:rPr>
        <w:rFonts w:hint="default"/>
      </w:rPr>
    </w:lvl>
    <w:lvl w:ilvl="6" w:tplc="9B465F7E">
      <w:start w:val="1"/>
      <w:numFmt w:val="bullet"/>
      <w:lvlText w:val="•"/>
      <w:lvlJc w:val="left"/>
      <w:pPr>
        <w:ind w:left="2157" w:hanging="171"/>
      </w:pPr>
      <w:rPr>
        <w:rFonts w:hint="default"/>
      </w:rPr>
    </w:lvl>
    <w:lvl w:ilvl="7" w:tplc="F9D05BAC">
      <w:start w:val="1"/>
      <w:numFmt w:val="bullet"/>
      <w:lvlText w:val="•"/>
      <w:lvlJc w:val="left"/>
      <w:pPr>
        <w:ind w:left="2480" w:hanging="171"/>
      </w:pPr>
      <w:rPr>
        <w:rFonts w:hint="default"/>
      </w:rPr>
    </w:lvl>
    <w:lvl w:ilvl="8" w:tplc="714850CC">
      <w:start w:val="1"/>
      <w:numFmt w:val="bullet"/>
      <w:lvlText w:val="•"/>
      <w:lvlJc w:val="left"/>
      <w:pPr>
        <w:ind w:left="2803" w:hanging="171"/>
      </w:pPr>
      <w:rPr>
        <w:rFonts w:hint="default"/>
      </w:rPr>
    </w:lvl>
  </w:abstractNum>
  <w:abstractNum w:abstractNumId="19">
    <w:nsid w:val="4F76362A"/>
    <w:multiLevelType w:val="hybridMultilevel"/>
    <w:tmpl w:val="2DAECDDC"/>
    <w:lvl w:ilvl="0" w:tplc="11623AC6">
      <w:start w:val="1"/>
      <w:numFmt w:val="bullet"/>
      <w:lvlText w:val="·"/>
      <w:lvlJc w:val="left"/>
      <w:pPr>
        <w:ind w:left="278" w:hanging="171"/>
      </w:pPr>
      <w:rPr>
        <w:rFonts w:ascii="Arial" w:eastAsia="Arial" w:hAnsi="Arial" w:hint="default"/>
        <w:color w:val="231F20"/>
        <w:w w:val="83"/>
        <w:sz w:val="19"/>
        <w:szCs w:val="19"/>
      </w:rPr>
    </w:lvl>
    <w:lvl w:ilvl="1" w:tplc="24D68C8E">
      <w:start w:val="1"/>
      <w:numFmt w:val="bullet"/>
      <w:lvlText w:val="•"/>
      <w:lvlJc w:val="left"/>
      <w:pPr>
        <w:ind w:left="604" w:hanging="171"/>
      </w:pPr>
      <w:rPr>
        <w:rFonts w:hint="default"/>
      </w:rPr>
    </w:lvl>
    <w:lvl w:ilvl="2" w:tplc="87A8E10A">
      <w:start w:val="1"/>
      <w:numFmt w:val="bullet"/>
      <w:lvlText w:val="•"/>
      <w:lvlJc w:val="left"/>
      <w:pPr>
        <w:ind w:left="931" w:hanging="171"/>
      </w:pPr>
      <w:rPr>
        <w:rFonts w:hint="default"/>
      </w:rPr>
    </w:lvl>
    <w:lvl w:ilvl="3" w:tplc="DDDCEB28">
      <w:start w:val="1"/>
      <w:numFmt w:val="bullet"/>
      <w:lvlText w:val="•"/>
      <w:lvlJc w:val="left"/>
      <w:pPr>
        <w:ind w:left="1257" w:hanging="171"/>
      </w:pPr>
      <w:rPr>
        <w:rFonts w:hint="default"/>
      </w:rPr>
    </w:lvl>
    <w:lvl w:ilvl="4" w:tplc="E2764580">
      <w:start w:val="1"/>
      <w:numFmt w:val="bullet"/>
      <w:lvlText w:val="•"/>
      <w:lvlJc w:val="left"/>
      <w:pPr>
        <w:ind w:left="1584" w:hanging="171"/>
      </w:pPr>
      <w:rPr>
        <w:rFonts w:hint="default"/>
      </w:rPr>
    </w:lvl>
    <w:lvl w:ilvl="5" w:tplc="D43EE08E">
      <w:start w:val="1"/>
      <w:numFmt w:val="bullet"/>
      <w:lvlText w:val="•"/>
      <w:lvlJc w:val="left"/>
      <w:pPr>
        <w:ind w:left="1910" w:hanging="171"/>
      </w:pPr>
      <w:rPr>
        <w:rFonts w:hint="default"/>
      </w:rPr>
    </w:lvl>
    <w:lvl w:ilvl="6" w:tplc="444C7F04">
      <w:start w:val="1"/>
      <w:numFmt w:val="bullet"/>
      <w:lvlText w:val="•"/>
      <w:lvlJc w:val="left"/>
      <w:pPr>
        <w:ind w:left="2237" w:hanging="171"/>
      </w:pPr>
      <w:rPr>
        <w:rFonts w:hint="default"/>
      </w:rPr>
    </w:lvl>
    <w:lvl w:ilvl="7" w:tplc="1B54D07C">
      <w:start w:val="1"/>
      <w:numFmt w:val="bullet"/>
      <w:lvlText w:val="•"/>
      <w:lvlJc w:val="left"/>
      <w:pPr>
        <w:ind w:left="2563" w:hanging="171"/>
      </w:pPr>
      <w:rPr>
        <w:rFonts w:hint="default"/>
      </w:rPr>
    </w:lvl>
    <w:lvl w:ilvl="8" w:tplc="9ABEE402">
      <w:start w:val="1"/>
      <w:numFmt w:val="bullet"/>
      <w:lvlText w:val="•"/>
      <w:lvlJc w:val="left"/>
      <w:pPr>
        <w:ind w:left="2889" w:hanging="171"/>
      </w:pPr>
      <w:rPr>
        <w:rFonts w:hint="default"/>
      </w:rPr>
    </w:lvl>
  </w:abstractNum>
  <w:abstractNum w:abstractNumId="2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CE7553E"/>
    <w:multiLevelType w:val="multilevel"/>
    <w:tmpl w:val="1B144D00"/>
    <w:lvl w:ilvl="0">
      <w:start w:val="1"/>
      <w:numFmt w:val="decimal"/>
      <w:lvlText w:val="%1."/>
      <w:lvlJc w:val="left"/>
      <w:pPr>
        <w:ind w:left="173" w:hanging="694"/>
      </w:pPr>
      <w:rPr>
        <w:rFonts w:ascii="Georgia" w:eastAsia="Georgia" w:hAnsi="Georgia" w:hint="default"/>
        <w:b/>
        <w:bCs/>
        <w:color w:val="508D83"/>
        <w:spacing w:val="7"/>
        <w:w w:val="99"/>
        <w:sz w:val="70"/>
        <w:szCs w:val="70"/>
      </w:rPr>
    </w:lvl>
    <w:lvl w:ilvl="1">
      <w:start w:val="1"/>
      <w:numFmt w:val="decimal"/>
      <w:lvlText w:val="%1.%2"/>
      <w:lvlJc w:val="left"/>
      <w:pPr>
        <w:ind w:left="153" w:hanging="583"/>
      </w:pPr>
      <w:rPr>
        <w:rFonts w:ascii="Georgia" w:eastAsia="Georgia" w:hAnsi="Georgia" w:hint="default"/>
        <w:b/>
        <w:bCs/>
        <w:color w:val="508D83"/>
        <w:spacing w:val="4"/>
        <w:w w:val="99"/>
        <w:sz w:val="40"/>
        <w:szCs w:val="40"/>
      </w:rPr>
    </w:lvl>
    <w:lvl w:ilvl="2">
      <w:start w:val="1"/>
      <w:numFmt w:val="bullet"/>
      <w:lvlText w:val="•"/>
      <w:lvlJc w:val="left"/>
      <w:pPr>
        <w:ind w:left="173" w:hanging="583"/>
      </w:pPr>
      <w:rPr>
        <w:rFonts w:hint="default"/>
      </w:rPr>
    </w:lvl>
    <w:lvl w:ilvl="3">
      <w:start w:val="1"/>
      <w:numFmt w:val="bullet"/>
      <w:lvlText w:val="•"/>
      <w:lvlJc w:val="left"/>
      <w:pPr>
        <w:ind w:left="774" w:hanging="583"/>
      </w:pPr>
      <w:rPr>
        <w:rFonts w:hint="default"/>
      </w:rPr>
    </w:lvl>
    <w:lvl w:ilvl="4">
      <w:start w:val="1"/>
      <w:numFmt w:val="bullet"/>
      <w:lvlText w:val="•"/>
      <w:lvlJc w:val="left"/>
      <w:pPr>
        <w:ind w:left="781" w:hanging="583"/>
      </w:pPr>
      <w:rPr>
        <w:rFonts w:hint="default"/>
      </w:rPr>
    </w:lvl>
    <w:lvl w:ilvl="5">
      <w:start w:val="1"/>
      <w:numFmt w:val="bullet"/>
      <w:lvlText w:val="•"/>
      <w:lvlJc w:val="left"/>
      <w:pPr>
        <w:ind w:left="783" w:hanging="583"/>
      </w:pPr>
      <w:rPr>
        <w:rFonts w:hint="default"/>
      </w:rPr>
    </w:lvl>
    <w:lvl w:ilvl="6">
      <w:start w:val="1"/>
      <w:numFmt w:val="bullet"/>
      <w:lvlText w:val="•"/>
      <w:lvlJc w:val="left"/>
      <w:pPr>
        <w:ind w:left="2607" w:hanging="583"/>
      </w:pPr>
      <w:rPr>
        <w:rFonts w:hint="default"/>
      </w:rPr>
    </w:lvl>
    <w:lvl w:ilvl="7">
      <w:start w:val="1"/>
      <w:numFmt w:val="bullet"/>
      <w:lvlText w:val="•"/>
      <w:lvlJc w:val="left"/>
      <w:pPr>
        <w:ind w:left="4432" w:hanging="583"/>
      </w:pPr>
      <w:rPr>
        <w:rFonts w:hint="default"/>
      </w:rPr>
    </w:lvl>
    <w:lvl w:ilvl="8">
      <w:start w:val="1"/>
      <w:numFmt w:val="bullet"/>
      <w:lvlText w:val="•"/>
      <w:lvlJc w:val="left"/>
      <w:pPr>
        <w:ind w:left="6256" w:hanging="583"/>
      </w:pPr>
      <w:rPr>
        <w:rFonts w:hint="default"/>
      </w:rPr>
    </w:lvl>
  </w:abstractNum>
  <w:abstractNum w:abstractNumId="22">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3">
    <w:nsid w:val="69FC48B5"/>
    <w:multiLevelType w:val="hybridMultilevel"/>
    <w:tmpl w:val="2FE606AC"/>
    <w:lvl w:ilvl="0" w:tplc="50AC63BC">
      <w:start w:val="1"/>
      <w:numFmt w:val="bullet"/>
      <w:lvlText w:val="·"/>
      <w:lvlJc w:val="left"/>
      <w:pPr>
        <w:ind w:left="278" w:hanging="171"/>
      </w:pPr>
      <w:rPr>
        <w:rFonts w:ascii="Arial" w:eastAsia="Arial" w:hAnsi="Arial" w:hint="default"/>
        <w:color w:val="231F20"/>
        <w:w w:val="83"/>
        <w:sz w:val="19"/>
        <w:szCs w:val="19"/>
      </w:rPr>
    </w:lvl>
    <w:lvl w:ilvl="1" w:tplc="96C80CFA">
      <w:start w:val="1"/>
      <w:numFmt w:val="bullet"/>
      <w:lvlText w:val="•"/>
      <w:lvlJc w:val="left"/>
      <w:pPr>
        <w:ind w:left="604" w:hanging="171"/>
      </w:pPr>
      <w:rPr>
        <w:rFonts w:hint="default"/>
      </w:rPr>
    </w:lvl>
    <w:lvl w:ilvl="2" w:tplc="29C4B50A">
      <w:start w:val="1"/>
      <w:numFmt w:val="bullet"/>
      <w:lvlText w:val="•"/>
      <w:lvlJc w:val="left"/>
      <w:pPr>
        <w:ind w:left="931" w:hanging="171"/>
      </w:pPr>
      <w:rPr>
        <w:rFonts w:hint="default"/>
      </w:rPr>
    </w:lvl>
    <w:lvl w:ilvl="3" w:tplc="C9C0843A">
      <w:start w:val="1"/>
      <w:numFmt w:val="bullet"/>
      <w:lvlText w:val="•"/>
      <w:lvlJc w:val="left"/>
      <w:pPr>
        <w:ind w:left="1257" w:hanging="171"/>
      </w:pPr>
      <w:rPr>
        <w:rFonts w:hint="default"/>
      </w:rPr>
    </w:lvl>
    <w:lvl w:ilvl="4" w:tplc="1CDC840E">
      <w:start w:val="1"/>
      <w:numFmt w:val="bullet"/>
      <w:lvlText w:val="•"/>
      <w:lvlJc w:val="left"/>
      <w:pPr>
        <w:ind w:left="1584" w:hanging="171"/>
      </w:pPr>
      <w:rPr>
        <w:rFonts w:hint="default"/>
      </w:rPr>
    </w:lvl>
    <w:lvl w:ilvl="5" w:tplc="86363546">
      <w:start w:val="1"/>
      <w:numFmt w:val="bullet"/>
      <w:lvlText w:val="•"/>
      <w:lvlJc w:val="left"/>
      <w:pPr>
        <w:ind w:left="1910" w:hanging="171"/>
      </w:pPr>
      <w:rPr>
        <w:rFonts w:hint="default"/>
      </w:rPr>
    </w:lvl>
    <w:lvl w:ilvl="6" w:tplc="4B2AE736">
      <w:start w:val="1"/>
      <w:numFmt w:val="bullet"/>
      <w:lvlText w:val="•"/>
      <w:lvlJc w:val="left"/>
      <w:pPr>
        <w:ind w:left="2237" w:hanging="171"/>
      </w:pPr>
      <w:rPr>
        <w:rFonts w:hint="default"/>
      </w:rPr>
    </w:lvl>
    <w:lvl w:ilvl="7" w:tplc="8966B154">
      <w:start w:val="1"/>
      <w:numFmt w:val="bullet"/>
      <w:lvlText w:val="•"/>
      <w:lvlJc w:val="left"/>
      <w:pPr>
        <w:ind w:left="2563" w:hanging="171"/>
      </w:pPr>
      <w:rPr>
        <w:rFonts w:hint="default"/>
      </w:rPr>
    </w:lvl>
    <w:lvl w:ilvl="8" w:tplc="873C6C08">
      <w:start w:val="1"/>
      <w:numFmt w:val="bullet"/>
      <w:lvlText w:val="•"/>
      <w:lvlJc w:val="left"/>
      <w:pPr>
        <w:ind w:left="2889" w:hanging="171"/>
      </w:pPr>
      <w:rPr>
        <w:rFonts w:hint="default"/>
      </w:rPr>
    </w:lvl>
  </w:abstractNum>
  <w:abstractNum w:abstractNumId="24">
    <w:nsid w:val="6FEE3DCC"/>
    <w:multiLevelType w:val="hybridMultilevel"/>
    <w:tmpl w:val="073ABA80"/>
    <w:lvl w:ilvl="0" w:tplc="344CD0F6">
      <w:start w:val="1"/>
      <w:numFmt w:val="decimal"/>
      <w:lvlText w:val="%1"/>
      <w:lvlJc w:val="left"/>
      <w:pPr>
        <w:ind w:left="437" w:hanging="284"/>
      </w:pPr>
      <w:rPr>
        <w:rFonts w:ascii="Century" w:eastAsia="Century" w:hAnsi="Century" w:hint="default"/>
        <w:color w:val="231F20"/>
        <w:w w:val="75"/>
        <w:sz w:val="16"/>
        <w:szCs w:val="16"/>
      </w:rPr>
    </w:lvl>
    <w:lvl w:ilvl="1" w:tplc="2DF0DFCC">
      <w:start w:val="1"/>
      <w:numFmt w:val="bullet"/>
      <w:lvlText w:val="•"/>
      <w:lvlJc w:val="left"/>
      <w:pPr>
        <w:ind w:left="1384" w:hanging="284"/>
      </w:pPr>
      <w:rPr>
        <w:rFonts w:hint="default"/>
      </w:rPr>
    </w:lvl>
    <w:lvl w:ilvl="2" w:tplc="1C66DF8E">
      <w:start w:val="1"/>
      <w:numFmt w:val="bullet"/>
      <w:lvlText w:val="•"/>
      <w:lvlJc w:val="left"/>
      <w:pPr>
        <w:ind w:left="2331" w:hanging="284"/>
      </w:pPr>
      <w:rPr>
        <w:rFonts w:hint="default"/>
      </w:rPr>
    </w:lvl>
    <w:lvl w:ilvl="3" w:tplc="FE92E5B8">
      <w:start w:val="1"/>
      <w:numFmt w:val="bullet"/>
      <w:lvlText w:val="•"/>
      <w:lvlJc w:val="left"/>
      <w:pPr>
        <w:ind w:left="3277" w:hanging="284"/>
      </w:pPr>
      <w:rPr>
        <w:rFonts w:hint="default"/>
      </w:rPr>
    </w:lvl>
    <w:lvl w:ilvl="4" w:tplc="6966047E">
      <w:start w:val="1"/>
      <w:numFmt w:val="bullet"/>
      <w:lvlText w:val="•"/>
      <w:lvlJc w:val="left"/>
      <w:pPr>
        <w:ind w:left="4224" w:hanging="284"/>
      </w:pPr>
      <w:rPr>
        <w:rFonts w:hint="default"/>
      </w:rPr>
    </w:lvl>
    <w:lvl w:ilvl="5" w:tplc="D0ACCB40">
      <w:start w:val="1"/>
      <w:numFmt w:val="bullet"/>
      <w:lvlText w:val="•"/>
      <w:lvlJc w:val="left"/>
      <w:pPr>
        <w:ind w:left="5171" w:hanging="284"/>
      </w:pPr>
      <w:rPr>
        <w:rFonts w:hint="default"/>
      </w:rPr>
    </w:lvl>
    <w:lvl w:ilvl="6" w:tplc="0FCC5140">
      <w:start w:val="1"/>
      <w:numFmt w:val="bullet"/>
      <w:lvlText w:val="•"/>
      <w:lvlJc w:val="left"/>
      <w:pPr>
        <w:ind w:left="6118" w:hanging="284"/>
      </w:pPr>
      <w:rPr>
        <w:rFonts w:hint="default"/>
      </w:rPr>
    </w:lvl>
    <w:lvl w:ilvl="7" w:tplc="99EC79C6">
      <w:start w:val="1"/>
      <w:numFmt w:val="bullet"/>
      <w:lvlText w:val="•"/>
      <w:lvlJc w:val="left"/>
      <w:pPr>
        <w:ind w:left="7065" w:hanging="284"/>
      </w:pPr>
      <w:rPr>
        <w:rFonts w:hint="default"/>
      </w:rPr>
    </w:lvl>
    <w:lvl w:ilvl="8" w:tplc="459AB642">
      <w:start w:val="1"/>
      <w:numFmt w:val="bullet"/>
      <w:lvlText w:val="•"/>
      <w:lvlJc w:val="left"/>
      <w:pPr>
        <w:ind w:left="8011" w:hanging="284"/>
      </w:pPr>
      <w:rPr>
        <w:rFonts w:hint="default"/>
      </w:rPr>
    </w:lvl>
  </w:abstractNum>
  <w:abstractNum w:abstractNumId="25">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7">
    <w:nsid w:val="7F7D412D"/>
    <w:multiLevelType w:val="hybridMultilevel"/>
    <w:tmpl w:val="5894BCF8"/>
    <w:lvl w:ilvl="0" w:tplc="005C21F2">
      <w:start w:val="1"/>
      <w:numFmt w:val="bullet"/>
      <w:lvlText w:val="•"/>
      <w:lvlJc w:val="left"/>
      <w:pPr>
        <w:ind w:left="431" w:hanging="284"/>
      </w:pPr>
      <w:rPr>
        <w:rFonts w:ascii="Century" w:eastAsia="Century" w:hAnsi="Century" w:hint="default"/>
        <w:color w:val="231F20"/>
        <w:w w:val="58"/>
        <w:sz w:val="20"/>
        <w:szCs w:val="20"/>
      </w:rPr>
    </w:lvl>
    <w:lvl w:ilvl="1" w:tplc="BF326DDA">
      <w:start w:val="1"/>
      <w:numFmt w:val="bullet"/>
      <w:lvlText w:val="•"/>
      <w:lvlJc w:val="left"/>
      <w:pPr>
        <w:ind w:left="1379" w:hanging="284"/>
      </w:pPr>
      <w:rPr>
        <w:rFonts w:hint="default"/>
      </w:rPr>
    </w:lvl>
    <w:lvl w:ilvl="2" w:tplc="DA382512">
      <w:start w:val="1"/>
      <w:numFmt w:val="bullet"/>
      <w:lvlText w:val="•"/>
      <w:lvlJc w:val="left"/>
      <w:pPr>
        <w:ind w:left="2326" w:hanging="284"/>
      </w:pPr>
      <w:rPr>
        <w:rFonts w:hint="default"/>
      </w:rPr>
    </w:lvl>
    <w:lvl w:ilvl="3" w:tplc="7DFA5780">
      <w:start w:val="1"/>
      <w:numFmt w:val="bullet"/>
      <w:lvlText w:val="•"/>
      <w:lvlJc w:val="left"/>
      <w:pPr>
        <w:ind w:left="3273" w:hanging="284"/>
      </w:pPr>
      <w:rPr>
        <w:rFonts w:hint="default"/>
      </w:rPr>
    </w:lvl>
    <w:lvl w:ilvl="4" w:tplc="3BB2A88C">
      <w:start w:val="1"/>
      <w:numFmt w:val="bullet"/>
      <w:lvlText w:val="•"/>
      <w:lvlJc w:val="left"/>
      <w:pPr>
        <w:ind w:left="4221" w:hanging="284"/>
      </w:pPr>
      <w:rPr>
        <w:rFonts w:hint="default"/>
      </w:rPr>
    </w:lvl>
    <w:lvl w:ilvl="5" w:tplc="9D0C3BD2">
      <w:start w:val="1"/>
      <w:numFmt w:val="bullet"/>
      <w:lvlText w:val="•"/>
      <w:lvlJc w:val="left"/>
      <w:pPr>
        <w:ind w:left="5168" w:hanging="284"/>
      </w:pPr>
      <w:rPr>
        <w:rFonts w:hint="default"/>
      </w:rPr>
    </w:lvl>
    <w:lvl w:ilvl="6" w:tplc="47808640">
      <w:start w:val="1"/>
      <w:numFmt w:val="bullet"/>
      <w:lvlText w:val="•"/>
      <w:lvlJc w:val="left"/>
      <w:pPr>
        <w:ind w:left="6115" w:hanging="284"/>
      </w:pPr>
      <w:rPr>
        <w:rFonts w:hint="default"/>
      </w:rPr>
    </w:lvl>
    <w:lvl w:ilvl="7" w:tplc="CBD066C2">
      <w:start w:val="1"/>
      <w:numFmt w:val="bullet"/>
      <w:lvlText w:val="•"/>
      <w:lvlJc w:val="left"/>
      <w:pPr>
        <w:ind w:left="7063" w:hanging="284"/>
      </w:pPr>
      <w:rPr>
        <w:rFonts w:hint="default"/>
      </w:rPr>
    </w:lvl>
    <w:lvl w:ilvl="8" w:tplc="B740C978">
      <w:start w:val="1"/>
      <w:numFmt w:val="bullet"/>
      <w:lvlText w:val="•"/>
      <w:lvlJc w:val="left"/>
      <w:pPr>
        <w:ind w:left="8010" w:hanging="284"/>
      </w:pPr>
      <w:rPr>
        <w:rFonts w:hint="default"/>
      </w:rPr>
    </w:lvl>
  </w:abstractNum>
  <w:num w:numId="1">
    <w:abstractNumId w:val="26"/>
  </w:num>
  <w:num w:numId="2">
    <w:abstractNumId w:val="22"/>
  </w:num>
  <w:num w:numId="3">
    <w:abstractNumId w:val="10"/>
  </w:num>
  <w:num w:numId="4">
    <w:abstractNumId w:val="12"/>
  </w:num>
  <w:num w:numId="5">
    <w:abstractNumId w:val="3"/>
  </w:num>
  <w:num w:numId="6">
    <w:abstractNumId w:val="20"/>
  </w:num>
  <w:num w:numId="7">
    <w:abstractNumId w:val="6"/>
  </w:num>
  <w:num w:numId="8">
    <w:abstractNumId w:val="25"/>
  </w:num>
  <w:num w:numId="9">
    <w:abstractNumId w:val="4"/>
  </w:num>
  <w:num w:numId="10">
    <w:abstractNumId w:val="8"/>
  </w:num>
  <w:num w:numId="11">
    <w:abstractNumId w:val="13"/>
  </w:num>
  <w:num w:numId="12">
    <w:abstractNumId w:val="0"/>
  </w:num>
  <w:num w:numId="13">
    <w:abstractNumId w:val="27"/>
  </w:num>
  <w:num w:numId="14">
    <w:abstractNumId w:val="15"/>
  </w:num>
  <w:num w:numId="15">
    <w:abstractNumId w:val="16"/>
  </w:num>
  <w:num w:numId="16">
    <w:abstractNumId w:val="11"/>
  </w:num>
  <w:num w:numId="17">
    <w:abstractNumId w:val="17"/>
  </w:num>
  <w:num w:numId="18">
    <w:abstractNumId w:val="1"/>
  </w:num>
  <w:num w:numId="19">
    <w:abstractNumId w:val="19"/>
  </w:num>
  <w:num w:numId="20">
    <w:abstractNumId w:val="23"/>
  </w:num>
  <w:num w:numId="21">
    <w:abstractNumId w:val="2"/>
  </w:num>
  <w:num w:numId="22">
    <w:abstractNumId w:val="18"/>
  </w:num>
  <w:num w:numId="23">
    <w:abstractNumId w:val="7"/>
  </w:num>
  <w:num w:numId="24">
    <w:abstractNumId w:val="9"/>
  </w:num>
  <w:num w:numId="25">
    <w:abstractNumId w:val="24"/>
  </w:num>
  <w:num w:numId="26">
    <w:abstractNumId w:val="14"/>
  </w:num>
  <w:num w:numId="27">
    <w:abstractNumId w:val="21"/>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72BD6"/>
    <w:rsid w:val="00075B78"/>
    <w:rsid w:val="00082CD6"/>
    <w:rsid w:val="00085AFE"/>
    <w:rsid w:val="000A5E9C"/>
    <w:rsid w:val="000B0730"/>
    <w:rsid w:val="000E52E2"/>
    <w:rsid w:val="000F13D1"/>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04CA"/>
    <w:rsid w:val="001B39D2"/>
    <w:rsid w:val="001B4BF8"/>
    <w:rsid w:val="001C4326"/>
    <w:rsid w:val="001D3541"/>
    <w:rsid w:val="001E291E"/>
    <w:rsid w:val="00201A01"/>
    <w:rsid w:val="00201CDE"/>
    <w:rsid w:val="002104D3"/>
    <w:rsid w:val="00213A33"/>
    <w:rsid w:val="0021763B"/>
    <w:rsid w:val="00233C12"/>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25AB"/>
    <w:rsid w:val="0033412B"/>
    <w:rsid w:val="00343365"/>
    <w:rsid w:val="00353501"/>
    <w:rsid w:val="00357282"/>
    <w:rsid w:val="003606F8"/>
    <w:rsid w:val="003648EF"/>
    <w:rsid w:val="003673E6"/>
    <w:rsid w:val="00377264"/>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53234"/>
    <w:rsid w:val="00460826"/>
    <w:rsid w:val="00460C0A"/>
    <w:rsid w:val="00460EA7"/>
    <w:rsid w:val="0046195B"/>
    <w:rsid w:val="00464C89"/>
    <w:rsid w:val="0046596D"/>
    <w:rsid w:val="00487C04"/>
    <w:rsid w:val="004907E1"/>
    <w:rsid w:val="004A035B"/>
    <w:rsid w:val="004A38D7"/>
    <w:rsid w:val="004A778C"/>
    <w:rsid w:val="004C2E6A"/>
    <w:rsid w:val="004C64B8"/>
    <w:rsid w:val="004C6767"/>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4A4B"/>
    <w:rsid w:val="00567B58"/>
    <w:rsid w:val="005763E0"/>
    <w:rsid w:val="00581136"/>
    <w:rsid w:val="005A27CA"/>
    <w:rsid w:val="005A43BD"/>
    <w:rsid w:val="005B2FDA"/>
    <w:rsid w:val="005D3FBC"/>
    <w:rsid w:val="005E226E"/>
    <w:rsid w:val="006015D7"/>
    <w:rsid w:val="00601B21"/>
    <w:rsid w:val="00610CFA"/>
    <w:rsid w:val="00626CF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0C0D"/>
    <w:rsid w:val="006A25A2"/>
    <w:rsid w:val="006B0E73"/>
    <w:rsid w:val="006B3736"/>
    <w:rsid w:val="006B4A4D"/>
    <w:rsid w:val="006B5695"/>
    <w:rsid w:val="006C78EB"/>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34FBE"/>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F29BE"/>
    <w:rsid w:val="008F2D61"/>
    <w:rsid w:val="008F4AE5"/>
    <w:rsid w:val="008F51EB"/>
    <w:rsid w:val="00900197"/>
    <w:rsid w:val="00902F55"/>
    <w:rsid w:val="0090582B"/>
    <w:rsid w:val="009060C0"/>
    <w:rsid w:val="009133F5"/>
    <w:rsid w:val="00920A27"/>
    <w:rsid w:val="00921216"/>
    <w:rsid w:val="009216CC"/>
    <w:rsid w:val="00932D69"/>
    <w:rsid w:val="009418CB"/>
    <w:rsid w:val="00944647"/>
    <w:rsid w:val="00977B8A"/>
    <w:rsid w:val="00982971"/>
    <w:rsid w:val="009845AD"/>
    <w:rsid w:val="00994B82"/>
    <w:rsid w:val="00995BA0"/>
    <w:rsid w:val="009A418B"/>
    <w:rsid w:val="009A4473"/>
    <w:rsid w:val="009C151C"/>
    <w:rsid w:val="009D5125"/>
    <w:rsid w:val="009D60B8"/>
    <w:rsid w:val="009D7D4B"/>
    <w:rsid w:val="009E36ED"/>
    <w:rsid w:val="009E3C8C"/>
    <w:rsid w:val="009E6B77"/>
    <w:rsid w:val="009F460A"/>
    <w:rsid w:val="009F63D5"/>
    <w:rsid w:val="00A043FB"/>
    <w:rsid w:val="00A0729C"/>
    <w:rsid w:val="00A07779"/>
    <w:rsid w:val="00A20B2E"/>
    <w:rsid w:val="00A25069"/>
    <w:rsid w:val="00A26E6B"/>
    <w:rsid w:val="00A3068F"/>
    <w:rsid w:val="00A3145B"/>
    <w:rsid w:val="00A339D0"/>
    <w:rsid w:val="00A36665"/>
    <w:rsid w:val="00A41002"/>
    <w:rsid w:val="00A4201A"/>
    <w:rsid w:val="00A553CE"/>
    <w:rsid w:val="00A5677A"/>
    <w:rsid w:val="00A6490D"/>
    <w:rsid w:val="00A731DE"/>
    <w:rsid w:val="00A80363"/>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9690D"/>
    <w:rsid w:val="00BC59F1"/>
    <w:rsid w:val="00BF31D9"/>
    <w:rsid w:val="00BF3DE1"/>
    <w:rsid w:val="00BF4843"/>
    <w:rsid w:val="00BF5205"/>
    <w:rsid w:val="00C12508"/>
    <w:rsid w:val="00C45AA2"/>
    <w:rsid w:val="00C66296"/>
    <w:rsid w:val="00C77282"/>
    <w:rsid w:val="00C84D6D"/>
    <w:rsid w:val="00C84DE5"/>
    <w:rsid w:val="00C86248"/>
    <w:rsid w:val="00CA4C33"/>
    <w:rsid w:val="00CA6F4A"/>
    <w:rsid w:val="00CD2119"/>
    <w:rsid w:val="00CD237A"/>
    <w:rsid w:val="00CD36AC"/>
    <w:rsid w:val="00CF1747"/>
    <w:rsid w:val="00D23323"/>
    <w:rsid w:val="00D2392A"/>
    <w:rsid w:val="00D2458B"/>
    <w:rsid w:val="00D25FFE"/>
    <w:rsid w:val="00D356E2"/>
    <w:rsid w:val="00D4476F"/>
    <w:rsid w:val="00D54D50"/>
    <w:rsid w:val="00D66797"/>
    <w:rsid w:val="00D7087C"/>
    <w:rsid w:val="00D70C3C"/>
    <w:rsid w:val="00D72BE5"/>
    <w:rsid w:val="00D82F26"/>
    <w:rsid w:val="00D863D0"/>
    <w:rsid w:val="00D87C87"/>
    <w:rsid w:val="00DB39CF"/>
    <w:rsid w:val="00DD447A"/>
    <w:rsid w:val="00DE3B20"/>
    <w:rsid w:val="00DE6C94"/>
    <w:rsid w:val="00DE6FD7"/>
    <w:rsid w:val="00E23271"/>
    <w:rsid w:val="00E24F80"/>
    <w:rsid w:val="00E259F3"/>
    <w:rsid w:val="00E33238"/>
    <w:rsid w:val="00E4486C"/>
    <w:rsid w:val="00E460B6"/>
    <w:rsid w:val="00E511D5"/>
    <w:rsid w:val="00E60249"/>
    <w:rsid w:val="00E61D6E"/>
    <w:rsid w:val="00E65269"/>
    <w:rsid w:val="00E76D66"/>
    <w:rsid w:val="00EA796A"/>
    <w:rsid w:val="00EB1856"/>
    <w:rsid w:val="00EC50CE"/>
    <w:rsid w:val="00EC5B34"/>
    <w:rsid w:val="00EE4ADE"/>
    <w:rsid w:val="00EE5CB7"/>
    <w:rsid w:val="00F024FE"/>
    <w:rsid w:val="00F05AD4"/>
    <w:rsid w:val="00F25970"/>
    <w:rsid w:val="00F5180D"/>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0E52E2"/>
    <w:pPr>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1"/>
    <w:qFormat/>
    <w:rsid w:val="000E52E2"/>
    <w:pPr>
      <w:keepNext/>
      <w:spacing w:before="120" w:after="120"/>
      <w:ind w:left="851" w:hanging="851"/>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F13D1"/>
    <w:pPr>
      <w:tabs>
        <w:tab w:val="right" w:pos="9356"/>
      </w:tabs>
      <w:spacing w:before="300"/>
      <w:ind w:left="567" w:right="567" w:hanging="567"/>
    </w:pPr>
    <w:rPr>
      <w:b/>
    </w:rPr>
  </w:style>
  <w:style w:type="paragraph" w:styleId="TOC2">
    <w:name w:val="toc 2"/>
    <w:basedOn w:val="Normal"/>
    <w:next w:val="Normal"/>
    <w:uiPriority w:val="1"/>
    <w:qFormat/>
    <w:rsid w:val="00610CFA"/>
    <w:pPr>
      <w:tabs>
        <w:tab w:val="right" w:pos="9356"/>
      </w:tabs>
      <w:spacing w:before="50"/>
      <w:ind w:left="567"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201CDE"/>
    <w:pPr>
      <w:pBdr>
        <w:bottom w:val="single" w:sz="48" w:space="6" w:color="auto"/>
      </w:pBdr>
      <w:ind w:right="1701"/>
    </w:pPr>
    <w:rPr>
      <w:b/>
      <w:sz w:val="64"/>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1E291E"/>
    <w:pPr>
      <w:spacing w:before="80"/>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1E291E"/>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1"/>
    <w:rsid w:val="000E52E2"/>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1"/>
    <w:rsid w:val="000E52E2"/>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EndnoteText">
    <w:name w:val="endnote text"/>
    <w:basedOn w:val="Normal"/>
    <w:link w:val="EndnoteTextChar"/>
    <w:uiPriority w:val="99"/>
    <w:semiHidden/>
    <w:unhideWhenUsed/>
    <w:rsid w:val="001B04CA"/>
    <w:pPr>
      <w:spacing w:line="240" w:lineRule="auto"/>
    </w:pPr>
    <w:rPr>
      <w:sz w:val="20"/>
    </w:rPr>
  </w:style>
  <w:style w:type="character" w:customStyle="1" w:styleId="EndnoteTextChar">
    <w:name w:val="Endnote Text Char"/>
    <w:basedOn w:val="DefaultParagraphFont"/>
    <w:link w:val="EndnoteText"/>
    <w:uiPriority w:val="99"/>
    <w:semiHidden/>
    <w:rsid w:val="001B04CA"/>
    <w:rPr>
      <w:rFonts w:ascii="Georgia" w:hAnsi="Georgia"/>
      <w:lang w:eastAsia="en-GB"/>
    </w:rPr>
  </w:style>
  <w:style w:type="character" w:styleId="EndnoteReference">
    <w:name w:val="endnote reference"/>
    <w:basedOn w:val="DefaultParagraphFont"/>
    <w:uiPriority w:val="99"/>
    <w:semiHidden/>
    <w:unhideWhenUsed/>
    <w:rsid w:val="001B04CA"/>
    <w:rPr>
      <w:vertAlign w:val="superscript"/>
    </w:rPr>
  </w:style>
  <w:style w:type="paragraph" w:styleId="BalloonText">
    <w:name w:val="Balloon Text"/>
    <w:basedOn w:val="Normal"/>
    <w:link w:val="BalloonTextChar"/>
    <w:uiPriority w:val="99"/>
    <w:semiHidden/>
    <w:unhideWhenUsed/>
    <w:rsid w:val="00994B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8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0E52E2"/>
    <w:pPr>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1"/>
    <w:qFormat/>
    <w:rsid w:val="000E52E2"/>
    <w:pPr>
      <w:keepNext/>
      <w:spacing w:before="120" w:after="120"/>
      <w:ind w:left="851" w:hanging="851"/>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F13D1"/>
    <w:pPr>
      <w:tabs>
        <w:tab w:val="right" w:pos="9356"/>
      </w:tabs>
      <w:spacing w:before="300"/>
      <w:ind w:left="567" w:right="567" w:hanging="567"/>
    </w:pPr>
    <w:rPr>
      <w:b/>
    </w:rPr>
  </w:style>
  <w:style w:type="paragraph" w:styleId="TOC2">
    <w:name w:val="toc 2"/>
    <w:basedOn w:val="Normal"/>
    <w:next w:val="Normal"/>
    <w:uiPriority w:val="1"/>
    <w:qFormat/>
    <w:rsid w:val="00610CFA"/>
    <w:pPr>
      <w:tabs>
        <w:tab w:val="right" w:pos="9356"/>
      </w:tabs>
      <w:spacing w:before="50"/>
      <w:ind w:left="567"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201CDE"/>
    <w:pPr>
      <w:pBdr>
        <w:bottom w:val="single" w:sz="48" w:space="6" w:color="auto"/>
      </w:pBdr>
      <w:ind w:right="1701"/>
    </w:pPr>
    <w:rPr>
      <w:b/>
      <w:sz w:val="64"/>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1E291E"/>
    <w:pPr>
      <w:spacing w:before="80"/>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1E291E"/>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1"/>
    <w:rsid w:val="000E52E2"/>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1"/>
    <w:rsid w:val="000E52E2"/>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EndnoteText">
    <w:name w:val="endnote text"/>
    <w:basedOn w:val="Normal"/>
    <w:link w:val="EndnoteTextChar"/>
    <w:uiPriority w:val="99"/>
    <w:semiHidden/>
    <w:unhideWhenUsed/>
    <w:rsid w:val="001B04CA"/>
    <w:pPr>
      <w:spacing w:line="240" w:lineRule="auto"/>
    </w:pPr>
    <w:rPr>
      <w:sz w:val="20"/>
    </w:rPr>
  </w:style>
  <w:style w:type="character" w:customStyle="1" w:styleId="EndnoteTextChar">
    <w:name w:val="Endnote Text Char"/>
    <w:basedOn w:val="DefaultParagraphFont"/>
    <w:link w:val="EndnoteText"/>
    <w:uiPriority w:val="99"/>
    <w:semiHidden/>
    <w:rsid w:val="001B04CA"/>
    <w:rPr>
      <w:rFonts w:ascii="Georgia" w:hAnsi="Georgia"/>
      <w:lang w:eastAsia="en-GB"/>
    </w:rPr>
  </w:style>
  <w:style w:type="character" w:styleId="EndnoteReference">
    <w:name w:val="endnote reference"/>
    <w:basedOn w:val="DefaultParagraphFont"/>
    <w:uiPriority w:val="99"/>
    <w:semiHidden/>
    <w:unhideWhenUsed/>
    <w:rsid w:val="001B04CA"/>
    <w:rPr>
      <w:vertAlign w:val="superscript"/>
    </w:rPr>
  </w:style>
  <w:style w:type="paragraph" w:styleId="BalloonText">
    <w:name w:val="Balloon Text"/>
    <w:basedOn w:val="Normal"/>
    <w:link w:val="BalloonTextChar"/>
    <w:uiPriority w:val="99"/>
    <w:semiHidden/>
    <w:unhideWhenUsed/>
    <w:rsid w:val="00994B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8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B0C6-240B-4A81-B423-362B75BF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36</Pages>
  <Words>8173</Words>
  <Characters>47806</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Diabetic Retinal Screening, Grading, Monitoring and Referral Guidance</dc:title>
  <dc:creator>Ministry of Health</dc:creator>
  <cp:lastModifiedBy>Jane Adam</cp:lastModifiedBy>
  <cp:revision>3</cp:revision>
  <cp:lastPrinted>2015-11-17T05:02:00Z</cp:lastPrinted>
  <dcterms:created xsi:type="dcterms:W3CDTF">2016-04-04T03:09:00Z</dcterms:created>
  <dcterms:modified xsi:type="dcterms:W3CDTF">2016-04-04T03:11:00Z</dcterms:modified>
</cp:coreProperties>
</file>