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val="en-NZ"/>
        </w:rPr>
        <w:id w:val="797177477"/>
        <w:docPartObj>
          <w:docPartGallery w:val="Cover Pages"/>
          <w:docPartUnique/>
        </w:docPartObj>
      </w:sdtPr>
      <w:sdtContent>
        <w:p w14:paraId="485AD620" w14:textId="175F4EC0" w:rsidR="00EB3422" w:rsidRPr="00BC4E2D" w:rsidRDefault="00315CFC" w:rsidP="00BC4E2D">
          <w:pPr>
            <w:ind w:left="360"/>
            <w:rPr>
              <w:lang w:val="en-NZ"/>
            </w:rPr>
          </w:pPr>
          <w:r w:rsidRPr="00AC5162">
            <w:rPr>
              <w:noProof/>
              <w:lang w:val="en-NZ"/>
            </w:rPr>
            <w:drawing>
              <wp:anchor distT="0" distB="0" distL="114300" distR="114300" simplePos="0" relativeHeight="251658242" behindDoc="1" locked="0" layoutInCell="1" allowOverlap="1" wp14:anchorId="3E5CE4BB" wp14:editId="2A9084AC">
                <wp:simplePos x="0" y="0"/>
                <wp:positionH relativeFrom="page">
                  <wp:align>left</wp:align>
                </wp:positionH>
                <wp:positionV relativeFrom="paragraph">
                  <wp:posOffset>-1228725</wp:posOffset>
                </wp:positionV>
                <wp:extent cx="7762455" cy="11000105"/>
                <wp:effectExtent l="0" t="0" r="0" b="0"/>
                <wp:wrapNone/>
                <wp:docPr id="6" name="Picture 6" descr="A close-up of a blue and purple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blue and purple gradie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62455" cy="11000105"/>
                        </a:xfrm>
                        <a:prstGeom prst="rect">
                          <a:avLst/>
                        </a:prstGeom>
                      </pic:spPr>
                    </pic:pic>
                  </a:graphicData>
                </a:graphic>
                <wp14:sizeRelH relativeFrom="margin">
                  <wp14:pctWidth>0</wp14:pctWidth>
                </wp14:sizeRelH>
                <wp14:sizeRelV relativeFrom="margin">
                  <wp14:pctHeight>0</wp14:pctHeight>
                </wp14:sizeRelV>
              </wp:anchor>
            </w:drawing>
          </w:r>
        </w:p>
        <w:p w14:paraId="3847CA0A" w14:textId="7A732B33" w:rsidR="00EB3422" w:rsidRPr="00AC5162" w:rsidRDefault="00B32D18" w:rsidP="00EB3422">
          <w:pPr>
            <w:rPr>
              <w:lang w:val="en-NZ"/>
            </w:rPr>
          </w:pPr>
          <w:r>
            <w:rPr>
              <w:noProof/>
            </w:rPr>
            <mc:AlternateContent>
              <mc:Choice Requires="wps">
                <w:drawing>
                  <wp:anchor distT="45720" distB="45720" distL="114300" distR="114300" simplePos="0" relativeHeight="251658241" behindDoc="0" locked="0" layoutInCell="1" allowOverlap="1" wp14:anchorId="0AC46501" wp14:editId="0B59432F">
                    <wp:simplePos x="0" y="0"/>
                    <wp:positionH relativeFrom="margin">
                      <wp:posOffset>-318135</wp:posOffset>
                    </wp:positionH>
                    <wp:positionV relativeFrom="paragraph">
                      <wp:posOffset>3935730</wp:posOffset>
                    </wp:positionV>
                    <wp:extent cx="5658485" cy="14839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1483995"/>
                            </a:xfrm>
                            <a:prstGeom prst="rect">
                              <a:avLst/>
                            </a:prstGeom>
                            <a:noFill/>
                            <a:ln w="9525">
                              <a:noFill/>
                              <a:miter lim="800000"/>
                              <a:headEnd/>
                              <a:tailEnd/>
                            </a:ln>
                          </wps:spPr>
                          <wps:txbx>
                            <w:txbxContent>
                              <w:p w14:paraId="2407F52A" w14:textId="29EFE0FC" w:rsidR="00EB3422" w:rsidRPr="00EB3422" w:rsidRDefault="00E34575" w:rsidP="00EB3422">
                                <w:pPr>
                                  <w:rPr>
                                    <w:rFonts w:ascii="Poppins" w:hAnsi="Poppins" w:cs="Poppins"/>
                                    <w:color w:val="F6F4EC" w:themeColor="background1"/>
                                    <w:sz w:val="56"/>
                                    <w:szCs w:val="56"/>
                                  </w:rPr>
                                </w:pPr>
                                <w:r>
                                  <w:rPr>
                                    <w:rFonts w:ascii="Poppins" w:hAnsi="Poppins" w:cs="Poppins"/>
                                    <w:color w:val="F6F4EC" w:themeColor="background1"/>
                                    <w:sz w:val="56"/>
                                    <w:szCs w:val="56"/>
                                  </w:rPr>
                                  <w:t xml:space="preserve">September </w:t>
                                </w:r>
                                <w:r w:rsidR="00347441">
                                  <w:rPr>
                                    <w:rFonts w:ascii="Poppins" w:hAnsi="Poppins" w:cs="Poppins"/>
                                    <w:color w:val="F6F4EC" w:themeColor="background1"/>
                                    <w:sz w:val="56"/>
                                    <w:szCs w:val="56"/>
                                  </w:rPr>
                                  <w:t>20</w:t>
                                </w:r>
                                <w:r w:rsidR="00DF43FE">
                                  <w:rPr>
                                    <w:rFonts w:ascii="Poppins" w:hAnsi="Poppins" w:cs="Poppins"/>
                                    <w:color w:val="F6F4EC" w:themeColor="background1"/>
                                    <w:sz w:val="56"/>
                                    <w:szCs w:val="56"/>
                                  </w:rPr>
                                  <w:t>2</w:t>
                                </w:r>
                                <w:r w:rsidR="00BB2187">
                                  <w:rPr>
                                    <w:rFonts w:ascii="Poppins" w:hAnsi="Poppins" w:cs="Poppins"/>
                                    <w:color w:val="F6F4EC" w:themeColor="background1"/>
                                    <w:sz w:val="56"/>
                                    <w:szCs w:val="56"/>
                                  </w:rPr>
                                  <w:t>4</w:t>
                                </w:r>
                                <w:r w:rsidR="00EB3422" w:rsidRPr="00EB3422">
                                  <w:rPr>
                                    <w:rFonts w:ascii="Poppins" w:hAnsi="Poppins" w:cs="Poppins"/>
                                    <w:color w:val="F6F4EC" w:themeColor="background1"/>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46501" id="_x0000_t202" coordsize="21600,21600" o:spt="202" path="m,l,21600r21600,l21600,xe">
                    <v:stroke joinstyle="miter"/>
                    <v:path gradientshapeok="t" o:connecttype="rect"/>
                  </v:shapetype>
                  <v:shape id="Text Box 2" o:spid="_x0000_s1026" type="#_x0000_t202" style="position:absolute;margin-left:-25.05pt;margin-top:309.9pt;width:445.55pt;height:116.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" filled="f" stroked="f">
                    <v:textbox>
                      <w:txbxContent>
                        <w:p w14:paraId="2407F52A" w14:textId="29EFE0FC" w:rsidR="00EB3422" w:rsidRPr="00EB3422" w:rsidRDefault="00E34575" w:rsidP="00EB3422">
                          <w:pPr>
                            <w:rPr>
                              <w:rFonts w:ascii="Poppins" w:hAnsi="Poppins" w:cs="Poppins"/>
                              <w:color w:val="F6F4EC" w:themeColor="background1"/>
                              <w:sz w:val="56"/>
                              <w:szCs w:val="56"/>
                            </w:rPr>
                          </w:pPr>
                          <w:r>
                            <w:rPr>
                              <w:rFonts w:ascii="Poppins" w:hAnsi="Poppins" w:cs="Poppins"/>
                              <w:color w:val="F6F4EC" w:themeColor="background1"/>
                              <w:sz w:val="56"/>
                              <w:szCs w:val="56"/>
                            </w:rPr>
                            <w:t xml:space="preserve">September </w:t>
                          </w:r>
                          <w:r w:rsidR="00347441">
                            <w:rPr>
                              <w:rFonts w:ascii="Poppins" w:hAnsi="Poppins" w:cs="Poppins"/>
                              <w:color w:val="F6F4EC" w:themeColor="background1"/>
                              <w:sz w:val="56"/>
                              <w:szCs w:val="56"/>
                            </w:rPr>
                            <w:t>20</w:t>
                          </w:r>
                          <w:r w:rsidR="00DF43FE">
                            <w:rPr>
                              <w:rFonts w:ascii="Poppins" w:hAnsi="Poppins" w:cs="Poppins"/>
                              <w:color w:val="F6F4EC" w:themeColor="background1"/>
                              <w:sz w:val="56"/>
                              <w:szCs w:val="56"/>
                            </w:rPr>
                            <w:t>2</w:t>
                          </w:r>
                          <w:r w:rsidR="00BB2187">
                            <w:rPr>
                              <w:rFonts w:ascii="Poppins" w:hAnsi="Poppins" w:cs="Poppins"/>
                              <w:color w:val="F6F4EC" w:themeColor="background1"/>
                              <w:sz w:val="56"/>
                              <w:szCs w:val="56"/>
                            </w:rPr>
                            <w:t>4</w:t>
                          </w:r>
                          <w:r w:rsidR="00EB3422" w:rsidRPr="00EB3422">
                            <w:rPr>
                              <w:rFonts w:ascii="Poppins" w:hAnsi="Poppins" w:cs="Poppins"/>
                              <w:color w:val="F6F4EC" w:themeColor="background1"/>
                              <w:sz w:val="56"/>
                              <w:szCs w:val="56"/>
                            </w:rPr>
                            <w:t xml:space="preserve"> </w:t>
                          </w:r>
                        </w:p>
                      </w:txbxContent>
                    </v:textbox>
                    <w10:wrap type="square" anchorx="margin"/>
                  </v:shape>
                </w:pict>
              </mc:Fallback>
            </mc:AlternateContent>
          </w:r>
          <w:r w:rsidR="00EB3422" w:rsidRPr="00AC5162">
            <w:rPr>
              <w:lang w:val="en-NZ"/>
            </w:rPr>
            <w:br w:type="page"/>
          </w:r>
          <w:r>
            <w:rPr>
              <w:noProof/>
            </w:rPr>
            <mc:AlternateContent>
              <mc:Choice Requires="wps">
                <w:drawing>
                  <wp:anchor distT="45720" distB="45720" distL="114300" distR="114300" simplePos="0" relativeHeight="251658240" behindDoc="0" locked="1" layoutInCell="1" allowOverlap="1" wp14:anchorId="64055C0C" wp14:editId="4DC64E18">
                    <wp:simplePos x="0" y="0"/>
                    <wp:positionH relativeFrom="margin">
                      <wp:posOffset>-381000</wp:posOffset>
                    </wp:positionH>
                    <wp:positionV relativeFrom="paragraph">
                      <wp:posOffset>1696720</wp:posOffset>
                    </wp:positionV>
                    <wp:extent cx="5659120" cy="20574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2057400"/>
                            </a:xfrm>
                            <a:prstGeom prst="rect">
                              <a:avLst/>
                            </a:prstGeom>
                            <a:noFill/>
                            <a:ln w="9525">
                              <a:noFill/>
                              <a:miter lim="800000"/>
                              <a:headEnd/>
                              <a:tailEnd/>
                            </a:ln>
                          </wps:spPr>
                          <wps:txbx>
                            <w:txbxContent>
                              <w:p w14:paraId="55E3ED00" w14:textId="2672DE78" w:rsidR="00EB3422" w:rsidRPr="00635240" w:rsidRDefault="00347441" w:rsidP="00EC2EAE">
                                <w:pPr>
                                  <w:pStyle w:val="NoSpacing"/>
                                  <w:spacing w:after="0" w:line="240" w:lineRule="auto"/>
                                  <w:rPr>
                                    <w:sz w:val="72"/>
                                    <w:szCs w:val="72"/>
                                  </w:rPr>
                                </w:pPr>
                                <w:r w:rsidRPr="00635240">
                                  <w:rPr>
                                    <w:sz w:val="72"/>
                                    <w:szCs w:val="72"/>
                                  </w:rPr>
                                  <w:t>Guidelines for Verifying Death</w:t>
                                </w:r>
                                <w:r w:rsidR="00EB3422" w:rsidRPr="00635240">
                                  <w:rPr>
                                    <w:sz w:val="72"/>
                                    <w:szCs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55C0C" id="Text Box 1" o:spid="_x0000_s1027" type="#_x0000_t202" style="position:absolute;margin-left:-30pt;margin-top:133.6pt;width:445.6pt;height:16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" filled="f" stroked="f">
                    <v:textbox>
                      <w:txbxContent>
                        <w:p w14:paraId="55E3ED00" w14:textId="2672DE78" w:rsidR="00EB3422" w:rsidRPr="00635240" w:rsidRDefault="00347441" w:rsidP="00EC2EAE">
                          <w:pPr>
                            <w:pStyle w:val="NoSpacing"/>
                            <w:spacing w:after="0" w:line="240" w:lineRule="auto"/>
                            <w:rPr>
                              <w:sz w:val="72"/>
                              <w:szCs w:val="72"/>
                            </w:rPr>
                          </w:pPr>
                          <w:r w:rsidRPr="00635240">
                            <w:rPr>
                              <w:sz w:val="72"/>
                              <w:szCs w:val="72"/>
                            </w:rPr>
                            <w:t>Guidelines for Verifying Death</w:t>
                          </w:r>
                          <w:r w:rsidR="00EB3422" w:rsidRPr="00635240">
                            <w:rPr>
                              <w:sz w:val="72"/>
                              <w:szCs w:val="72"/>
                            </w:rPr>
                            <w:t xml:space="preserve"> </w:t>
                          </w:r>
                        </w:p>
                      </w:txbxContent>
                    </v:textbox>
                    <w10:wrap type="square" anchorx="margin"/>
                    <w10:anchorlock/>
                  </v:shape>
                </w:pict>
              </mc:Fallback>
            </mc:AlternateContent>
          </w:r>
        </w:p>
      </w:sdtContent>
    </w:sdt>
    <w:p w14:paraId="4A6A386A" w14:textId="3E059B56" w:rsidR="0039760D" w:rsidRPr="00F73836" w:rsidRDefault="0039760D" w:rsidP="0039760D">
      <w:pPr>
        <w:rPr>
          <w:rFonts w:ascii="Times New Roman" w:hAnsi="Times New Roman" w:cs="Times New Roman"/>
          <w:sz w:val="24"/>
          <w:szCs w:val="24"/>
          <w:lang w:val="en-NZ"/>
        </w:rPr>
      </w:pPr>
      <w:r w:rsidRPr="00F73836">
        <w:rPr>
          <w:sz w:val="24"/>
          <w:szCs w:val="24"/>
          <w:lang w:val="en-NZ"/>
        </w:rPr>
        <w:lastRenderedPageBreak/>
        <w:t>Citation: Health New Zealand</w:t>
      </w:r>
      <w:r w:rsidR="00034399">
        <w:rPr>
          <w:sz w:val="24"/>
          <w:szCs w:val="24"/>
          <w:lang w:val="en-NZ"/>
        </w:rPr>
        <w:t xml:space="preserve"> </w:t>
      </w:r>
      <w:r w:rsidR="00034399" w:rsidRPr="00034399">
        <w:rPr>
          <w:sz w:val="24"/>
          <w:szCs w:val="24"/>
          <w:lang w:val="en-NZ"/>
        </w:rPr>
        <w:t>|</w:t>
      </w:r>
      <w:r w:rsidR="00034399">
        <w:rPr>
          <w:sz w:val="24"/>
          <w:szCs w:val="24"/>
          <w:lang w:val="en-NZ"/>
        </w:rPr>
        <w:t xml:space="preserve"> </w:t>
      </w:r>
      <w:r w:rsidRPr="00F73836">
        <w:rPr>
          <w:sz w:val="24"/>
          <w:szCs w:val="24"/>
          <w:lang w:val="en-NZ"/>
        </w:rPr>
        <w:t xml:space="preserve">Te Whatu Ora. </w:t>
      </w:r>
      <w:r>
        <w:rPr>
          <w:sz w:val="24"/>
          <w:szCs w:val="24"/>
          <w:lang w:val="en-NZ"/>
        </w:rPr>
        <w:t>2024</w:t>
      </w:r>
      <w:r w:rsidRPr="00F73836">
        <w:rPr>
          <w:sz w:val="24"/>
          <w:szCs w:val="24"/>
          <w:lang w:val="en-NZ"/>
        </w:rPr>
        <w:t xml:space="preserve">. </w:t>
      </w:r>
      <w:r w:rsidRPr="008B44BE">
        <w:rPr>
          <w:i/>
          <w:iCs/>
          <w:sz w:val="24"/>
          <w:szCs w:val="24"/>
          <w:lang w:val="en-NZ"/>
        </w:rPr>
        <w:t>Guidelines for verifying death</w:t>
      </w:r>
      <w:r w:rsidRPr="00F73836">
        <w:rPr>
          <w:sz w:val="24"/>
          <w:szCs w:val="24"/>
          <w:lang w:val="en-NZ"/>
        </w:rPr>
        <w:t>. Wellington: Health New Zealand</w:t>
      </w:r>
      <w:r w:rsidR="00F868DC">
        <w:rPr>
          <w:sz w:val="24"/>
          <w:szCs w:val="24"/>
          <w:lang w:val="en-NZ"/>
        </w:rPr>
        <w:t xml:space="preserve"> </w:t>
      </w:r>
      <w:r w:rsidR="00F868DC" w:rsidRPr="00034399">
        <w:rPr>
          <w:sz w:val="24"/>
          <w:szCs w:val="24"/>
          <w:lang w:val="en-NZ"/>
        </w:rPr>
        <w:t>|</w:t>
      </w:r>
      <w:r w:rsidR="00F868DC">
        <w:rPr>
          <w:sz w:val="24"/>
          <w:szCs w:val="24"/>
          <w:lang w:val="en-NZ"/>
        </w:rPr>
        <w:t xml:space="preserve"> </w:t>
      </w:r>
      <w:r w:rsidRPr="00F73836">
        <w:rPr>
          <w:sz w:val="24"/>
          <w:szCs w:val="24"/>
          <w:lang w:val="en-NZ"/>
        </w:rPr>
        <w:t>Te Whatu Ora.</w:t>
      </w:r>
    </w:p>
    <w:p w14:paraId="68031565" w14:textId="77777777" w:rsidR="0039760D" w:rsidRPr="00F73836" w:rsidRDefault="0039760D" w:rsidP="0039760D">
      <w:pPr>
        <w:rPr>
          <w:sz w:val="24"/>
          <w:szCs w:val="24"/>
          <w:lang w:val="en-NZ"/>
        </w:rPr>
      </w:pPr>
      <w:r w:rsidRPr="00F73836">
        <w:rPr>
          <w:sz w:val="24"/>
          <w:szCs w:val="24"/>
          <w:lang w:val="en-NZ"/>
        </w:rPr>
        <w:t xml:space="preserve">This document has been revised from the version published in </w:t>
      </w:r>
      <w:r>
        <w:rPr>
          <w:sz w:val="24"/>
          <w:szCs w:val="24"/>
          <w:lang w:val="en-NZ"/>
        </w:rPr>
        <w:t>2015</w:t>
      </w:r>
      <w:r w:rsidRPr="00F73836">
        <w:rPr>
          <w:sz w:val="24"/>
          <w:szCs w:val="24"/>
          <w:lang w:val="en-NZ"/>
        </w:rPr>
        <w:t xml:space="preserve"> by the Ministry of Health, PO Box 5013, Wellington, New Zealand.</w:t>
      </w:r>
    </w:p>
    <w:p w14:paraId="33DAB3FF" w14:textId="6926C3C2" w:rsidR="00423BE5" w:rsidRDefault="0039760D" w:rsidP="00B725BB">
      <w:pPr>
        <w:spacing w:after="0" w:line="240" w:lineRule="auto"/>
        <w:rPr>
          <w:sz w:val="24"/>
          <w:szCs w:val="24"/>
          <w:lang w:val="en-NZ"/>
        </w:rPr>
      </w:pPr>
      <w:r w:rsidRPr="00F73836">
        <w:rPr>
          <w:sz w:val="24"/>
          <w:szCs w:val="24"/>
          <w:lang w:val="en-NZ"/>
        </w:rPr>
        <w:t xml:space="preserve">Published in </w:t>
      </w:r>
      <w:r w:rsidR="00E34575">
        <w:rPr>
          <w:sz w:val="24"/>
          <w:szCs w:val="24"/>
          <w:lang w:val="en-NZ"/>
        </w:rPr>
        <w:t xml:space="preserve">September </w:t>
      </w:r>
      <w:r>
        <w:rPr>
          <w:sz w:val="24"/>
          <w:szCs w:val="24"/>
          <w:lang w:val="en-NZ"/>
        </w:rPr>
        <w:t>2024</w:t>
      </w:r>
      <w:r w:rsidRPr="00F73836">
        <w:rPr>
          <w:sz w:val="24"/>
          <w:szCs w:val="24"/>
          <w:lang w:val="en-NZ"/>
        </w:rPr>
        <w:t xml:space="preserve"> by Health New Zealand</w:t>
      </w:r>
      <w:r w:rsidR="00F868DC">
        <w:rPr>
          <w:sz w:val="24"/>
          <w:szCs w:val="24"/>
          <w:lang w:val="en-NZ"/>
        </w:rPr>
        <w:t xml:space="preserve"> </w:t>
      </w:r>
      <w:r w:rsidR="00F868DC" w:rsidRPr="00034399">
        <w:rPr>
          <w:sz w:val="24"/>
          <w:szCs w:val="24"/>
          <w:lang w:val="en-NZ"/>
        </w:rPr>
        <w:t>|</w:t>
      </w:r>
      <w:r w:rsidR="00F868DC">
        <w:rPr>
          <w:sz w:val="24"/>
          <w:szCs w:val="24"/>
          <w:lang w:val="en-NZ"/>
        </w:rPr>
        <w:t xml:space="preserve"> </w:t>
      </w:r>
      <w:r w:rsidRPr="00F73836">
        <w:rPr>
          <w:sz w:val="24"/>
          <w:szCs w:val="24"/>
          <w:lang w:val="en-NZ"/>
        </w:rPr>
        <w:t>Te Whatu Ora</w:t>
      </w:r>
    </w:p>
    <w:p w14:paraId="5958AA31" w14:textId="4A00AD1B" w:rsidR="0039760D" w:rsidRPr="00F73836" w:rsidRDefault="0039760D" w:rsidP="0039760D">
      <w:pPr>
        <w:rPr>
          <w:sz w:val="24"/>
          <w:szCs w:val="24"/>
          <w:lang w:val="en-NZ"/>
        </w:rPr>
      </w:pPr>
      <w:r w:rsidRPr="00F73836">
        <w:rPr>
          <w:sz w:val="24"/>
          <w:szCs w:val="24"/>
          <w:lang w:val="en-NZ"/>
        </w:rPr>
        <w:t>PO Box 793, Wellington 6140, New Zealand</w:t>
      </w:r>
    </w:p>
    <w:p w14:paraId="39860639" w14:textId="2CE303DD" w:rsidR="0039760D" w:rsidRPr="0020562F" w:rsidRDefault="0039760D" w:rsidP="0020562F">
      <w:pPr>
        <w:rPr>
          <w:sz w:val="24"/>
          <w:szCs w:val="24"/>
        </w:rPr>
      </w:pPr>
      <w:r w:rsidRPr="0020562F">
        <w:rPr>
          <w:sz w:val="24"/>
          <w:szCs w:val="24"/>
        </w:rPr>
        <w:t xml:space="preserve">ISBN </w:t>
      </w:r>
      <w:r w:rsidR="0020562F" w:rsidRPr="0020562F">
        <w:rPr>
          <w:sz w:val="24"/>
          <w:szCs w:val="24"/>
        </w:rPr>
        <w:t>978-1-991139-07-8 </w:t>
      </w:r>
      <w:r w:rsidRPr="0020562F">
        <w:rPr>
          <w:sz w:val="24"/>
          <w:szCs w:val="24"/>
        </w:rPr>
        <w:t>(online)</w:t>
      </w:r>
    </w:p>
    <w:p w14:paraId="08450822" w14:textId="6784AE2B" w:rsidR="00A815AF" w:rsidRDefault="00A815AF" w:rsidP="0039760D">
      <w:pPr>
        <w:rPr>
          <w:sz w:val="24"/>
          <w:szCs w:val="24"/>
          <w:lang w:val="en-NZ"/>
        </w:rPr>
      </w:pPr>
      <w:r>
        <w:rPr>
          <w:noProof/>
        </w:rPr>
        <w:drawing>
          <wp:inline distT="0" distB="0" distL="0" distR="0" wp14:anchorId="681A8894" wp14:editId="5CF67FA3">
            <wp:extent cx="1838325" cy="323850"/>
            <wp:effectExtent l="0" t="0" r="9525" b="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323850"/>
                    </a:xfrm>
                    <a:prstGeom prst="rect">
                      <a:avLst/>
                    </a:prstGeom>
                    <a:noFill/>
                    <a:ln>
                      <a:noFill/>
                    </a:ln>
                  </pic:spPr>
                </pic:pic>
              </a:graphicData>
            </a:graphic>
          </wp:inline>
        </w:drawing>
      </w:r>
    </w:p>
    <w:p w14:paraId="7CAAAAD0" w14:textId="77777777" w:rsidR="00A815AF" w:rsidRDefault="00A815AF" w:rsidP="00A815AF">
      <w:pPr>
        <w:rPr>
          <w:sz w:val="24"/>
          <w:szCs w:val="24"/>
          <w:lang w:val="en-NZ"/>
        </w:rPr>
      </w:pPr>
      <w:r w:rsidRPr="00F73836">
        <w:rPr>
          <w:sz w:val="24"/>
          <w:szCs w:val="24"/>
          <w:lang w:val="en-NZ"/>
        </w:rPr>
        <w:t xml:space="preserve">This document is available at </w:t>
      </w:r>
      <w:r w:rsidRPr="00B725BB">
        <w:rPr>
          <w:b/>
          <w:bCs/>
          <w:sz w:val="24"/>
          <w:szCs w:val="24"/>
          <w:u w:val="single"/>
          <w:lang w:val="en-NZ"/>
        </w:rPr>
        <w:t>tewhatuora.govt.nz</w:t>
      </w:r>
      <w:r>
        <w:rPr>
          <w:sz w:val="24"/>
          <w:szCs w:val="24"/>
          <w:lang w:val="en-NZ"/>
        </w:rPr>
        <w:t xml:space="preserve"> </w:t>
      </w:r>
    </w:p>
    <w:p w14:paraId="3154B7F4" w14:textId="6F3CEABB" w:rsidR="00347441" w:rsidRPr="00AC5162" w:rsidRDefault="00347441" w:rsidP="00347441">
      <w:pPr>
        <w:rPr>
          <w:lang w:val="en-NZ"/>
        </w:rPr>
      </w:pPr>
    </w:p>
    <w:p w14:paraId="08E5D893" w14:textId="77C84235" w:rsidR="00347441" w:rsidRPr="00F73836" w:rsidRDefault="00347441" w:rsidP="00347441">
      <w:pPr>
        <w:ind w:left="1440" w:hanging="1440"/>
        <w:rPr>
          <w:sz w:val="24"/>
          <w:szCs w:val="24"/>
          <w:lang w:val="en-NZ"/>
        </w:rPr>
      </w:pPr>
      <w:r w:rsidRPr="00AC5162">
        <w:rPr>
          <w:b/>
          <w:noProof/>
          <w:lang w:val="en-NZ" w:eastAsia="en-NZ"/>
        </w:rPr>
        <w:drawing>
          <wp:anchor distT="0" distB="0" distL="114300" distR="114300" simplePos="0" relativeHeight="251658243" behindDoc="0" locked="0" layoutInCell="1" allowOverlap="1" wp14:anchorId="66B12747" wp14:editId="044D5F3B">
            <wp:simplePos x="0" y="0"/>
            <wp:positionH relativeFrom="margin">
              <wp:align>left</wp:align>
            </wp:positionH>
            <wp:positionV relativeFrom="paragraph">
              <wp:posOffset>276860</wp:posOffset>
            </wp:positionV>
            <wp:extent cx="809625" cy="285750"/>
            <wp:effectExtent l="0" t="0" r="9525" b="0"/>
            <wp:wrapThrough wrapText="bothSides">
              <wp:wrapPolygon edited="0">
                <wp:start x="0" y="0"/>
                <wp:lineTo x="0" y="20160"/>
                <wp:lineTo x="21346" y="20160"/>
                <wp:lineTo x="21346" y="0"/>
                <wp:lineTo x="0" y="0"/>
              </wp:wrapPolygon>
            </wp:wrapThrough>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anchor>
        </w:drawing>
      </w:r>
      <w:r w:rsidRPr="00AC5162">
        <w:rPr>
          <w:lang w:val="en-NZ"/>
        </w:rPr>
        <w:tab/>
      </w:r>
      <w:r w:rsidRPr="00F73836">
        <w:rPr>
          <w:sz w:val="24"/>
          <w:szCs w:val="24"/>
          <w:lang w:val="en-NZ"/>
        </w:rPr>
        <w:t xml:space="preserve">This work is licensed under the Creative Commons Attribution 4.0 International licence. In essence, you are free to: share </w:t>
      </w:r>
      <w:r w:rsidR="00F17EA6" w:rsidRPr="00F73836">
        <w:rPr>
          <w:sz w:val="24"/>
          <w:szCs w:val="24"/>
          <w:lang w:val="en-NZ"/>
        </w:rPr>
        <w:t>i.e.</w:t>
      </w:r>
      <w:r w:rsidRPr="00F73836">
        <w:rPr>
          <w:sz w:val="24"/>
          <w:szCs w:val="24"/>
          <w:lang w:val="en-NZ"/>
        </w:rPr>
        <w:t xml:space="preserve">, copy and redistribute the material in any medium or format; adapt </w:t>
      </w:r>
      <w:r w:rsidR="00001222" w:rsidRPr="00F73836">
        <w:rPr>
          <w:sz w:val="24"/>
          <w:szCs w:val="24"/>
          <w:lang w:val="en-NZ"/>
        </w:rPr>
        <w:t>i.e.</w:t>
      </w:r>
      <w:r w:rsidRPr="00F73836">
        <w:rPr>
          <w:sz w:val="24"/>
          <w:szCs w:val="24"/>
          <w:lang w:val="en-NZ"/>
        </w:rPr>
        <w:t>, remix, transform and build upon the material. You must give appropriate credit, provide a link to the licence and indicate if changes were made.</w:t>
      </w:r>
    </w:p>
    <w:p w14:paraId="2F64C076" w14:textId="47382F75" w:rsidR="00EB3422" w:rsidRPr="00AC5162" w:rsidRDefault="00EB3422" w:rsidP="00EB3422">
      <w:pPr>
        <w:rPr>
          <w:lang w:val="en-NZ"/>
        </w:rPr>
      </w:pPr>
    </w:p>
    <w:p w14:paraId="51816502" w14:textId="6C0CDED5" w:rsidR="00EB3422" w:rsidRPr="00AC5162" w:rsidRDefault="00EB3422" w:rsidP="00EB3422">
      <w:pPr>
        <w:rPr>
          <w:lang w:val="en-NZ"/>
        </w:rPr>
      </w:pPr>
    </w:p>
    <w:p w14:paraId="44CD7ACE" w14:textId="35864703" w:rsidR="00347441" w:rsidRPr="00AC5162" w:rsidRDefault="00347441">
      <w:pPr>
        <w:rPr>
          <w:lang w:val="en-NZ"/>
        </w:rPr>
      </w:pPr>
      <w:r w:rsidRPr="00AC5162">
        <w:rPr>
          <w:lang w:val="en-NZ"/>
        </w:rPr>
        <w:br w:type="page"/>
      </w:r>
    </w:p>
    <w:p w14:paraId="1B27AC5F" w14:textId="19CF18E3" w:rsidR="00EB3422" w:rsidRPr="0093534B" w:rsidRDefault="00271F35" w:rsidP="0093534B">
      <w:pPr>
        <w:pStyle w:val="Heading1"/>
        <w:rPr>
          <w:color w:val="15284C" w:themeColor="text2"/>
          <w:lang w:val="en-NZ"/>
        </w:rPr>
      </w:pPr>
      <w:r w:rsidRPr="0093534B">
        <w:rPr>
          <w:color w:val="15284C" w:themeColor="text2"/>
          <w:lang w:val="en-NZ"/>
        </w:rPr>
        <w:lastRenderedPageBreak/>
        <w:t xml:space="preserve">Contents </w:t>
      </w:r>
    </w:p>
    <w:sdt>
      <w:sdtPr>
        <w:rPr>
          <w:rFonts w:eastAsiaTheme="minorHAnsi" w:cs="Arial"/>
          <w:color w:val="auto"/>
          <w:sz w:val="22"/>
          <w:szCs w:val="22"/>
        </w:rPr>
        <w:id w:val="853916906"/>
        <w:docPartObj>
          <w:docPartGallery w:val="Table of Contents"/>
          <w:docPartUnique/>
        </w:docPartObj>
      </w:sdtPr>
      <w:sdtEndPr>
        <w:rPr>
          <w:b/>
          <w:bCs/>
          <w:noProof/>
        </w:rPr>
      </w:sdtEndPr>
      <w:sdtContent>
        <w:p w14:paraId="23509D44" w14:textId="5F52972C" w:rsidR="005828E8" w:rsidRPr="005828E8" w:rsidRDefault="005828E8">
          <w:pPr>
            <w:pStyle w:val="TOCHeading"/>
            <w:rPr>
              <w:sz w:val="16"/>
              <w:szCs w:val="16"/>
            </w:rPr>
          </w:pPr>
        </w:p>
        <w:p w14:paraId="02777CC5" w14:textId="72CE10EE" w:rsidR="00DC1017" w:rsidRDefault="005828E8">
          <w:pPr>
            <w:pStyle w:val="TOC1"/>
            <w:rPr>
              <w:rFonts w:asciiTheme="minorHAnsi" w:eastAsiaTheme="minorEastAsia" w:hAnsiTheme="minorHAnsi" w:cstheme="minorBidi"/>
              <w:b w:val="0"/>
              <w:noProof/>
              <w:kern w:val="2"/>
              <w:szCs w:val="24"/>
              <w:lang w:val="en-NZ" w:eastAsia="en-NZ"/>
              <w14:ligatures w14:val="standardContextual"/>
            </w:rPr>
          </w:pPr>
          <w:r>
            <w:fldChar w:fldCharType="begin"/>
          </w:r>
          <w:r>
            <w:instrText xml:space="preserve"> TOC \o "1-3" \h \z \u </w:instrText>
          </w:r>
          <w:r>
            <w:fldChar w:fldCharType="separate"/>
          </w:r>
          <w:hyperlink w:anchor="_Toc177558728" w:history="1">
            <w:r w:rsidR="00DC1017" w:rsidRPr="00441B4D">
              <w:rPr>
                <w:rStyle w:val="Hyperlink"/>
                <w:noProof/>
                <w:lang w:val="en-NZ"/>
              </w:rPr>
              <w:t>Purpose</w:t>
            </w:r>
            <w:r w:rsidR="00DC1017">
              <w:rPr>
                <w:noProof/>
                <w:webHidden/>
              </w:rPr>
              <w:tab/>
            </w:r>
            <w:r w:rsidR="00DC1017">
              <w:rPr>
                <w:noProof/>
                <w:webHidden/>
              </w:rPr>
              <w:fldChar w:fldCharType="begin"/>
            </w:r>
            <w:r w:rsidR="00DC1017">
              <w:rPr>
                <w:noProof/>
                <w:webHidden/>
              </w:rPr>
              <w:instrText xml:space="preserve"> PAGEREF _Toc177558728 \h </w:instrText>
            </w:r>
            <w:r w:rsidR="00DC1017">
              <w:rPr>
                <w:noProof/>
                <w:webHidden/>
              </w:rPr>
            </w:r>
            <w:r w:rsidR="00DC1017">
              <w:rPr>
                <w:noProof/>
                <w:webHidden/>
              </w:rPr>
              <w:fldChar w:fldCharType="separate"/>
            </w:r>
            <w:r w:rsidR="00A7766D">
              <w:rPr>
                <w:noProof/>
                <w:webHidden/>
              </w:rPr>
              <w:t>3</w:t>
            </w:r>
            <w:r w:rsidR="00DC1017">
              <w:rPr>
                <w:noProof/>
                <w:webHidden/>
              </w:rPr>
              <w:fldChar w:fldCharType="end"/>
            </w:r>
          </w:hyperlink>
        </w:p>
        <w:p w14:paraId="3CFA4D6F" w14:textId="6DC4AE8F" w:rsidR="00DC1017" w:rsidRDefault="00000000">
          <w:pPr>
            <w:pStyle w:val="TOC1"/>
            <w:rPr>
              <w:rFonts w:asciiTheme="minorHAnsi" w:eastAsiaTheme="minorEastAsia" w:hAnsiTheme="minorHAnsi" w:cstheme="minorBidi"/>
              <w:b w:val="0"/>
              <w:noProof/>
              <w:kern w:val="2"/>
              <w:szCs w:val="24"/>
              <w:lang w:val="en-NZ" w:eastAsia="en-NZ"/>
              <w14:ligatures w14:val="standardContextual"/>
            </w:rPr>
          </w:pPr>
          <w:hyperlink w:anchor="_Toc177558729" w:history="1">
            <w:r w:rsidR="00DC1017" w:rsidRPr="00441B4D">
              <w:rPr>
                <w:rStyle w:val="Hyperlink"/>
                <w:noProof/>
                <w:lang w:val="en-NZ"/>
              </w:rPr>
              <w:t>Verification of death</w:t>
            </w:r>
            <w:r w:rsidR="00DC1017">
              <w:rPr>
                <w:noProof/>
                <w:webHidden/>
              </w:rPr>
              <w:tab/>
            </w:r>
            <w:r w:rsidR="00DC1017">
              <w:rPr>
                <w:noProof/>
                <w:webHidden/>
              </w:rPr>
              <w:fldChar w:fldCharType="begin"/>
            </w:r>
            <w:r w:rsidR="00DC1017">
              <w:rPr>
                <w:noProof/>
                <w:webHidden/>
              </w:rPr>
              <w:instrText xml:space="preserve"> PAGEREF _Toc177558729 \h </w:instrText>
            </w:r>
            <w:r w:rsidR="00DC1017">
              <w:rPr>
                <w:noProof/>
                <w:webHidden/>
              </w:rPr>
            </w:r>
            <w:r w:rsidR="00DC1017">
              <w:rPr>
                <w:noProof/>
                <w:webHidden/>
              </w:rPr>
              <w:fldChar w:fldCharType="separate"/>
            </w:r>
            <w:r w:rsidR="00A7766D">
              <w:rPr>
                <w:noProof/>
                <w:webHidden/>
              </w:rPr>
              <w:t>3</w:t>
            </w:r>
            <w:r w:rsidR="00DC1017">
              <w:rPr>
                <w:noProof/>
                <w:webHidden/>
              </w:rPr>
              <w:fldChar w:fldCharType="end"/>
            </w:r>
          </w:hyperlink>
        </w:p>
        <w:p w14:paraId="69797A2F" w14:textId="498335A3" w:rsidR="00DC1017" w:rsidRDefault="00000000">
          <w:pPr>
            <w:pStyle w:val="TOC1"/>
            <w:rPr>
              <w:rFonts w:asciiTheme="minorHAnsi" w:eastAsiaTheme="minorEastAsia" w:hAnsiTheme="minorHAnsi" w:cstheme="minorBidi"/>
              <w:b w:val="0"/>
              <w:noProof/>
              <w:kern w:val="2"/>
              <w:szCs w:val="24"/>
              <w:lang w:val="en-NZ" w:eastAsia="en-NZ"/>
              <w14:ligatures w14:val="standardContextual"/>
            </w:rPr>
          </w:pPr>
          <w:hyperlink w:anchor="_Toc177558730" w:history="1">
            <w:r w:rsidR="00DC1017" w:rsidRPr="00441B4D">
              <w:rPr>
                <w:rStyle w:val="Hyperlink"/>
                <w:noProof/>
                <w:lang w:val="en-NZ"/>
              </w:rPr>
              <w:t>Assessments to verify death</w:t>
            </w:r>
            <w:r w:rsidR="00DC1017">
              <w:rPr>
                <w:noProof/>
                <w:webHidden/>
              </w:rPr>
              <w:tab/>
            </w:r>
            <w:r w:rsidR="00DC1017">
              <w:rPr>
                <w:noProof/>
                <w:webHidden/>
              </w:rPr>
              <w:fldChar w:fldCharType="begin"/>
            </w:r>
            <w:r w:rsidR="00DC1017">
              <w:rPr>
                <w:noProof/>
                <w:webHidden/>
              </w:rPr>
              <w:instrText xml:space="preserve"> PAGEREF _Toc177558730 \h </w:instrText>
            </w:r>
            <w:r w:rsidR="00DC1017">
              <w:rPr>
                <w:noProof/>
                <w:webHidden/>
              </w:rPr>
            </w:r>
            <w:r w:rsidR="00DC1017">
              <w:rPr>
                <w:noProof/>
                <w:webHidden/>
              </w:rPr>
              <w:fldChar w:fldCharType="separate"/>
            </w:r>
            <w:r w:rsidR="00A7766D">
              <w:rPr>
                <w:noProof/>
                <w:webHidden/>
              </w:rPr>
              <w:t>4</w:t>
            </w:r>
            <w:r w:rsidR="00DC1017">
              <w:rPr>
                <w:noProof/>
                <w:webHidden/>
              </w:rPr>
              <w:fldChar w:fldCharType="end"/>
            </w:r>
          </w:hyperlink>
        </w:p>
        <w:p w14:paraId="74514C44" w14:textId="22FB5F3B" w:rsidR="00DC1017" w:rsidRDefault="00000000">
          <w:pPr>
            <w:pStyle w:val="TOC1"/>
            <w:rPr>
              <w:rFonts w:asciiTheme="minorHAnsi" w:eastAsiaTheme="minorEastAsia" w:hAnsiTheme="minorHAnsi" w:cstheme="minorBidi"/>
              <w:b w:val="0"/>
              <w:noProof/>
              <w:kern w:val="2"/>
              <w:szCs w:val="24"/>
              <w:lang w:val="en-NZ" w:eastAsia="en-NZ"/>
              <w14:ligatures w14:val="standardContextual"/>
            </w:rPr>
          </w:pPr>
          <w:hyperlink w:anchor="_Toc177558731" w:history="1">
            <w:r w:rsidR="00DC1017" w:rsidRPr="00441B4D">
              <w:rPr>
                <w:rStyle w:val="Hyperlink"/>
                <w:noProof/>
                <w:lang w:val="en-NZ"/>
              </w:rPr>
              <w:t>Guidance for those verifying deaths</w:t>
            </w:r>
            <w:r w:rsidR="00DC1017">
              <w:rPr>
                <w:noProof/>
                <w:webHidden/>
              </w:rPr>
              <w:tab/>
            </w:r>
            <w:r w:rsidR="00DC1017">
              <w:rPr>
                <w:noProof/>
                <w:webHidden/>
              </w:rPr>
              <w:fldChar w:fldCharType="begin"/>
            </w:r>
            <w:r w:rsidR="00DC1017">
              <w:rPr>
                <w:noProof/>
                <w:webHidden/>
              </w:rPr>
              <w:instrText xml:space="preserve"> PAGEREF _Toc177558731 \h </w:instrText>
            </w:r>
            <w:r w:rsidR="00DC1017">
              <w:rPr>
                <w:noProof/>
                <w:webHidden/>
              </w:rPr>
            </w:r>
            <w:r w:rsidR="00DC1017">
              <w:rPr>
                <w:noProof/>
                <w:webHidden/>
              </w:rPr>
              <w:fldChar w:fldCharType="separate"/>
            </w:r>
            <w:r w:rsidR="00A7766D">
              <w:rPr>
                <w:noProof/>
                <w:webHidden/>
              </w:rPr>
              <w:t>5</w:t>
            </w:r>
            <w:r w:rsidR="00DC1017">
              <w:rPr>
                <w:noProof/>
                <w:webHidden/>
              </w:rPr>
              <w:fldChar w:fldCharType="end"/>
            </w:r>
          </w:hyperlink>
        </w:p>
        <w:p w14:paraId="6DE7BBD2" w14:textId="1669227F" w:rsidR="00DC1017" w:rsidRDefault="00000000">
          <w:pPr>
            <w:pStyle w:val="TOC1"/>
            <w:rPr>
              <w:rFonts w:asciiTheme="minorHAnsi" w:eastAsiaTheme="minorEastAsia" w:hAnsiTheme="minorHAnsi" w:cstheme="minorBidi"/>
              <w:b w:val="0"/>
              <w:noProof/>
              <w:kern w:val="2"/>
              <w:szCs w:val="24"/>
              <w:lang w:val="en-NZ" w:eastAsia="en-NZ"/>
              <w14:ligatures w14:val="standardContextual"/>
            </w:rPr>
          </w:pPr>
          <w:hyperlink w:anchor="_Toc177558732" w:history="1">
            <w:r w:rsidR="00DC1017" w:rsidRPr="00441B4D">
              <w:rPr>
                <w:rStyle w:val="Hyperlink"/>
                <w:noProof/>
                <w:lang w:val="en-NZ"/>
              </w:rPr>
              <w:t>Verifying death in the intensive care unit in the context of organ donation</w:t>
            </w:r>
            <w:r w:rsidR="00DC1017">
              <w:rPr>
                <w:noProof/>
                <w:webHidden/>
              </w:rPr>
              <w:tab/>
            </w:r>
            <w:r w:rsidR="00DC1017">
              <w:rPr>
                <w:noProof/>
                <w:webHidden/>
              </w:rPr>
              <w:fldChar w:fldCharType="begin"/>
            </w:r>
            <w:r w:rsidR="00DC1017">
              <w:rPr>
                <w:noProof/>
                <w:webHidden/>
              </w:rPr>
              <w:instrText xml:space="preserve"> PAGEREF _Toc177558732 \h </w:instrText>
            </w:r>
            <w:r w:rsidR="00DC1017">
              <w:rPr>
                <w:noProof/>
                <w:webHidden/>
              </w:rPr>
            </w:r>
            <w:r w:rsidR="00DC1017">
              <w:rPr>
                <w:noProof/>
                <w:webHidden/>
              </w:rPr>
              <w:fldChar w:fldCharType="separate"/>
            </w:r>
            <w:r w:rsidR="00A7766D">
              <w:rPr>
                <w:noProof/>
                <w:webHidden/>
              </w:rPr>
              <w:t>6</w:t>
            </w:r>
            <w:r w:rsidR="00DC1017">
              <w:rPr>
                <w:noProof/>
                <w:webHidden/>
              </w:rPr>
              <w:fldChar w:fldCharType="end"/>
            </w:r>
          </w:hyperlink>
        </w:p>
        <w:p w14:paraId="6E1D4F83" w14:textId="3EC2A8D7" w:rsidR="00DC1017" w:rsidRDefault="00000000">
          <w:pPr>
            <w:pStyle w:val="TOC1"/>
            <w:rPr>
              <w:rFonts w:asciiTheme="minorHAnsi" w:eastAsiaTheme="minorEastAsia" w:hAnsiTheme="minorHAnsi" w:cstheme="minorBidi"/>
              <w:b w:val="0"/>
              <w:noProof/>
              <w:kern w:val="2"/>
              <w:szCs w:val="24"/>
              <w:lang w:val="en-NZ" w:eastAsia="en-NZ"/>
              <w14:ligatures w14:val="standardContextual"/>
            </w:rPr>
          </w:pPr>
          <w:hyperlink w:anchor="_Toc177558733" w:history="1">
            <w:r w:rsidR="00DC1017" w:rsidRPr="00441B4D">
              <w:rPr>
                <w:rStyle w:val="Hyperlink"/>
                <w:noProof/>
                <w:lang w:val="en-NZ"/>
              </w:rPr>
              <w:t>Medical Certificate of Cause of Death</w:t>
            </w:r>
            <w:r w:rsidR="00DC1017">
              <w:rPr>
                <w:noProof/>
                <w:webHidden/>
              </w:rPr>
              <w:tab/>
            </w:r>
            <w:r w:rsidR="00DC1017">
              <w:rPr>
                <w:noProof/>
                <w:webHidden/>
              </w:rPr>
              <w:fldChar w:fldCharType="begin"/>
            </w:r>
            <w:r w:rsidR="00DC1017">
              <w:rPr>
                <w:noProof/>
                <w:webHidden/>
              </w:rPr>
              <w:instrText xml:space="preserve"> PAGEREF _Toc177558733 \h </w:instrText>
            </w:r>
            <w:r w:rsidR="00DC1017">
              <w:rPr>
                <w:noProof/>
                <w:webHidden/>
              </w:rPr>
            </w:r>
            <w:r w:rsidR="00DC1017">
              <w:rPr>
                <w:noProof/>
                <w:webHidden/>
              </w:rPr>
              <w:fldChar w:fldCharType="separate"/>
            </w:r>
            <w:r w:rsidR="00A7766D">
              <w:rPr>
                <w:noProof/>
                <w:webHidden/>
              </w:rPr>
              <w:t>6</w:t>
            </w:r>
            <w:r w:rsidR="00DC1017">
              <w:rPr>
                <w:noProof/>
                <w:webHidden/>
              </w:rPr>
              <w:fldChar w:fldCharType="end"/>
            </w:r>
          </w:hyperlink>
        </w:p>
        <w:p w14:paraId="758047E7" w14:textId="7D67A7F0" w:rsidR="00DC1017" w:rsidRDefault="00000000">
          <w:pPr>
            <w:pStyle w:val="TOC1"/>
            <w:rPr>
              <w:rFonts w:asciiTheme="minorHAnsi" w:eastAsiaTheme="minorEastAsia" w:hAnsiTheme="minorHAnsi" w:cstheme="minorBidi"/>
              <w:b w:val="0"/>
              <w:noProof/>
              <w:kern w:val="2"/>
              <w:szCs w:val="24"/>
              <w:lang w:val="en-NZ" w:eastAsia="en-NZ"/>
              <w14:ligatures w14:val="standardContextual"/>
            </w:rPr>
          </w:pPr>
          <w:hyperlink w:anchor="_Toc177558734" w:history="1">
            <w:r w:rsidR="00DC1017" w:rsidRPr="00441B4D">
              <w:rPr>
                <w:rStyle w:val="Hyperlink"/>
                <w:noProof/>
                <w:lang w:val="en-NZ"/>
              </w:rPr>
              <w:t>The role of the coroner</w:t>
            </w:r>
            <w:r w:rsidR="00DC1017">
              <w:rPr>
                <w:noProof/>
                <w:webHidden/>
              </w:rPr>
              <w:tab/>
            </w:r>
            <w:r w:rsidR="00DC1017">
              <w:rPr>
                <w:noProof/>
                <w:webHidden/>
              </w:rPr>
              <w:fldChar w:fldCharType="begin"/>
            </w:r>
            <w:r w:rsidR="00DC1017">
              <w:rPr>
                <w:noProof/>
                <w:webHidden/>
              </w:rPr>
              <w:instrText xml:space="preserve"> PAGEREF _Toc177558734 \h </w:instrText>
            </w:r>
            <w:r w:rsidR="00DC1017">
              <w:rPr>
                <w:noProof/>
                <w:webHidden/>
              </w:rPr>
            </w:r>
            <w:r w:rsidR="00DC1017">
              <w:rPr>
                <w:noProof/>
                <w:webHidden/>
              </w:rPr>
              <w:fldChar w:fldCharType="separate"/>
            </w:r>
            <w:r w:rsidR="00A7766D">
              <w:rPr>
                <w:noProof/>
                <w:webHidden/>
              </w:rPr>
              <w:t>8</w:t>
            </w:r>
            <w:r w:rsidR="00DC1017">
              <w:rPr>
                <w:noProof/>
                <w:webHidden/>
              </w:rPr>
              <w:fldChar w:fldCharType="end"/>
            </w:r>
          </w:hyperlink>
        </w:p>
        <w:p w14:paraId="555357BC" w14:textId="5861AF73" w:rsidR="00DC1017" w:rsidRDefault="00000000">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7558735" w:history="1">
            <w:r w:rsidR="00DC1017" w:rsidRPr="00441B4D">
              <w:rPr>
                <w:rStyle w:val="Hyperlink"/>
                <w:noProof/>
                <w:lang w:val="en-NZ"/>
              </w:rPr>
              <w:t>Reportable deaths</w:t>
            </w:r>
            <w:r w:rsidR="00DC1017">
              <w:rPr>
                <w:noProof/>
                <w:webHidden/>
              </w:rPr>
              <w:tab/>
            </w:r>
            <w:r w:rsidR="00DC1017">
              <w:rPr>
                <w:noProof/>
                <w:webHidden/>
              </w:rPr>
              <w:fldChar w:fldCharType="begin"/>
            </w:r>
            <w:r w:rsidR="00DC1017">
              <w:rPr>
                <w:noProof/>
                <w:webHidden/>
              </w:rPr>
              <w:instrText xml:space="preserve"> PAGEREF _Toc177558735 \h </w:instrText>
            </w:r>
            <w:r w:rsidR="00DC1017">
              <w:rPr>
                <w:noProof/>
                <w:webHidden/>
              </w:rPr>
            </w:r>
            <w:r w:rsidR="00DC1017">
              <w:rPr>
                <w:noProof/>
                <w:webHidden/>
              </w:rPr>
              <w:fldChar w:fldCharType="separate"/>
            </w:r>
            <w:r w:rsidR="00A7766D">
              <w:rPr>
                <w:noProof/>
                <w:webHidden/>
              </w:rPr>
              <w:t>8</w:t>
            </w:r>
            <w:r w:rsidR="00DC1017">
              <w:rPr>
                <w:noProof/>
                <w:webHidden/>
              </w:rPr>
              <w:fldChar w:fldCharType="end"/>
            </w:r>
          </w:hyperlink>
        </w:p>
        <w:p w14:paraId="7959BA02" w14:textId="7F21320F" w:rsidR="00DC1017" w:rsidRDefault="00000000">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7558736" w:history="1">
            <w:r w:rsidR="00DC1017" w:rsidRPr="00441B4D">
              <w:rPr>
                <w:rStyle w:val="Hyperlink"/>
                <w:noProof/>
                <w:lang w:val="en-NZ"/>
              </w:rPr>
              <w:t>Reporting deaths to the coroner</w:t>
            </w:r>
            <w:r w:rsidR="00DC1017">
              <w:rPr>
                <w:noProof/>
                <w:webHidden/>
              </w:rPr>
              <w:tab/>
            </w:r>
            <w:r w:rsidR="00DC1017">
              <w:rPr>
                <w:noProof/>
                <w:webHidden/>
              </w:rPr>
              <w:fldChar w:fldCharType="begin"/>
            </w:r>
            <w:r w:rsidR="00DC1017">
              <w:rPr>
                <w:noProof/>
                <w:webHidden/>
              </w:rPr>
              <w:instrText xml:space="preserve"> PAGEREF _Toc177558736 \h </w:instrText>
            </w:r>
            <w:r w:rsidR="00DC1017">
              <w:rPr>
                <w:noProof/>
                <w:webHidden/>
              </w:rPr>
            </w:r>
            <w:r w:rsidR="00DC1017">
              <w:rPr>
                <w:noProof/>
                <w:webHidden/>
              </w:rPr>
              <w:fldChar w:fldCharType="separate"/>
            </w:r>
            <w:r w:rsidR="00A7766D">
              <w:rPr>
                <w:noProof/>
                <w:webHidden/>
              </w:rPr>
              <w:t>9</w:t>
            </w:r>
            <w:r w:rsidR="00DC1017">
              <w:rPr>
                <w:noProof/>
                <w:webHidden/>
              </w:rPr>
              <w:fldChar w:fldCharType="end"/>
            </w:r>
          </w:hyperlink>
        </w:p>
        <w:p w14:paraId="0241E274" w14:textId="54B35573" w:rsidR="00DC1017" w:rsidRDefault="00000000">
          <w:pPr>
            <w:pStyle w:val="TOC1"/>
            <w:rPr>
              <w:rFonts w:asciiTheme="minorHAnsi" w:eastAsiaTheme="minorEastAsia" w:hAnsiTheme="minorHAnsi" w:cstheme="minorBidi"/>
              <w:b w:val="0"/>
              <w:noProof/>
              <w:kern w:val="2"/>
              <w:szCs w:val="24"/>
              <w:lang w:val="en-NZ" w:eastAsia="en-NZ"/>
              <w14:ligatures w14:val="standardContextual"/>
            </w:rPr>
          </w:pPr>
          <w:hyperlink w:anchor="_Toc177558737" w:history="1">
            <w:r w:rsidR="00DC1017" w:rsidRPr="00441B4D">
              <w:rPr>
                <w:rStyle w:val="Hyperlink"/>
                <w:noProof/>
                <w:lang w:val="en-NZ"/>
              </w:rPr>
              <w:t>Education and practice support systems</w:t>
            </w:r>
            <w:r w:rsidR="00DC1017">
              <w:rPr>
                <w:noProof/>
                <w:webHidden/>
              </w:rPr>
              <w:tab/>
            </w:r>
            <w:r w:rsidR="00DC1017">
              <w:rPr>
                <w:noProof/>
                <w:webHidden/>
              </w:rPr>
              <w:fldChar w:fldCharType="begin"/>
            </w:r>
            <w:r w:rsidR="00DC1017">
              <w:rPr>
                <w:noProof/>
                <w:webHidden/>
              </w:rPr>
              <w:instrText xml:space="preserve"> PAGEREF _Toc177558737 \h </w:instrText>
            </w:r>
            <w:r w:rsidR="00DC1017">
              <w:rPr>
                <w:noProof/>
                <w:webHidden/>
              </w:rPr>
            </w:r>
            <w:r w:rsidR="00DC1017">
              <w:rPr>
                <w:noProof/>
                <w:webHidden/>
              </w:rPr>
              <w:fldChar w:fldCharType="separate"/>
            </w:r>
            <w:r w:rsidR="00A7766D">
              <w:rPr>
                <w:noProof/>
                <w:webHidden/>
              </w:rPr>
              <w:t>10</w:t>
            </w:r>
            <w:r w:rsidR="00DC1017">
              <w:rPr>
                <w:noProof/>
                <w:webHidden/>
              </w:rPr>
              <w:fldChar w:fldCharType="end"/>
            </w:r>
          </w:hyperlink>
        </w:p>
        <w:p w14:paraId="34993C35" w14:textId="403FE03B" w:rsidR="00DC1017" w:rsidRDefault="00000000">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7558738" w:history="1">
            <w:r w:rsidR="00DC1017" w:rsidRPr="00441B4D">
              <w:rPr>
                <w:rStyle w:val="Hyperlink"/>
                <w:noProof/>
                <w:lang w:val="en-NZ"/>
              </w:rPr>
              <w:t>Opt out decision</w:t>
            </w:r>
            <w:r w:rsidR="00DC1017">
              <w:rPr>
                <w:noProof/>
                <w:webHidden/>
              </w:rPr>
              <w:tab/>
            </w:r>
            <w:r w:rsidR="00DC1017">
              <w:rPr>
                <w:noProof/>
                <w:webHidden/>
              </w:rPr>
              <w:fldChar w:fldCharType="begin"/>
            </w:r>
            <w:r w:rsidR="00DC1017">
              <w:rPr>
                <w:noProof/>
                <w:webHidden/>
              </w:rPr>
              <w:instrText xml:space="preserve"> PAGEREF _Toc177558738 \h </w:instrText>
            </w:r>
            <w:r w:rsidR="00DC1017">
              <w:rPr>
                <w:noProof/>
                <w:webHidden/>
              </w:rPr>
            </w:r>
            <w:r w:rsidR="00DC1017">
              <w:rPr>
                <w:noProof/>
                <w:webHidden/>
              </w:rPr>
              <w:fldChar w:fldCharType="separate"/>
            </w:r>
            <w:r w:rsidR="00A7766D">
              <w:rPr>
                <w:noProof/>
                <w:webHidden/>
              </w:rPr>
              <w:t>11</w:t>
            </w:r>
            <w:r w:rsidR="00DC1017">
              <w:rPr>
                <w:noProof/>
                <w:webHidden/>
              </w:rPr>
              <w:fldChar w:fldCharType="end"/>
            </w:r>
          </w:hyperlink>
        </w:p>
        <w:p w14:paraId="75A77C58" w14:textId="64F939C6" w:rsidR="00DC1017" w:rsidRDefault="00000000">
          <w:pPr>
            <w:pStyle w:val="TOC1"/>
            <w:rPr>
              <w:rFonts w:asciiTheme="minorHAnsi" w:eastAsiaTheme="minorEastAsia" w:hAnsiTheme="minorHAnsi" w:cstheme="minorBidi"/>
              <w:b w:val="0"/>
              <w:noProof/>
              <w:kern w:val="2"/>
              <w:szCs w:val="24"/>
              <w:lang w:val="en-NZ" w:eastAsia="en-NZ"/>
              <w14:ligatures w14:val="standardContextual"/>
            </w:rPr>
          </w:pPr>
          <w:hyperlink w:anchor="_Toc177558739" w:history="1">
            <w:r w:rsidR="00DC1017" w:rsidRPr="00441B4D">
              <w:rPr>
                <w:rStyle w:val="Hyperlink"/>
                <w:noProof/>
                <w:lang w:val="en-NZ"/>
              </w:rPr>
              <w:t>Role of the funeral director</w:t>
            </w:r>
            <w:r w:rsidR="00DC1017">
              <w:rPr>
                <w:noProof/>
                <w:webHidden/>
              </w:rPr>
              <w:tab/>
            </w:r>
            <w:r w:rsidR="00DC1017">
              <w:rPr>
                <w:noProof/>
                <w:webHidden/>
              </w:rPr>
              <w:fldChar w:fldCharType="begin"/>
            </w:r>
            <w:r w:rsidR="00DC1017">
              <w:rPr>
                <w:noProof/>
                <w:webHidden/>
              </w:rPr>
              <w:instrText xml:space="preserve"> PAGEREF _Toc177558739 \h </w:instrText>
            </w:r>
            <w:r w:rsidR="00DC1017">
              <w:rPr>
                <w:noProof/>
                <w:webHidden/>
              </w:rPr>
            </w:r>
            <w:r w:rsidR="00DC1017">
              <w:rPr>
                <w:noProof/>
                <w:webHidden/>
              </w:rPr>
              <w:fldChar w:fldCharType="separate"/>
            </w:r>
            <w:r w:rsidR="00A7766D">
              <w:rPr>
                <w:noProof/>
                <w:webHidden/>
              </w:rPr>
              <w:t>11</w:t>
            </w:r>
            <w:r w:rsidR="00DC1017">
              <w:rPr>
                <w:noProof/>
                <w:webHidden/>
              </w:rPr>
              <w:fldChar w:fldCharType="end"/>
            </w:r>
          </w:hyperlink>
        </w:p>
        <w:p w14:paraId="355A2A90" w14:textId="176DE59F" w:rsidR="00DC1017" w:rsidRDefault="00000000">
          <w:pPr>
            <w:pStyle w:val="TOC1"/>
            <w:rPr>
              <w:rFonts w:asciiTheme="minorHAnsi" w:eastAsiaTheme="minorEastAsia" w:hAnsiTheme="minorHAnsi" w:cstheme="minorBidi"/>
              <w:b w:val="0"/>
              <w:noProof/>
              <w:kern w:val="2"/>
              <w:szCs w:val="24"/>
              <w:lang w:val="en-NZ" w:eastAsia="en-NZ"/>
              <w14:ligatures w14:val="standardContextual"/>
            </w:rPr>
          </w:pPr>
          <w:hyperlink w:anchor="_Toc177558740" w:history="1">
            <w:r w:rsidR="00DC1017" w:rsidRPr="00441B4D">
              <w:rPr>
                <w:rStyle w:val="Hyperlink"/>
                <w:noProof/>
                <w:lang w:val="en-NZ"/>
              </w:rPr>
              <w:t>Reference documents</w:t>
            </w:r>
            <w:r w:rsidR="00DC1017">
              <w:rPr>
                <w:noProof/>
                <w:webHidden/>
              </w:rPr>
              <w:tab/>
            </w:r>
            <w:r w:rsidR="00DC1017">
              <w:rPr>
                <w:noProof/>
                <w:webHidden/>
              </w:rPr>
              <w:fldChar w:fldCharType="begin"/>
            </w:r>
            <w:r w:rsidR="00DC1017">
              <w:rPr>
                <w:noProof/>
                <w:webHidden/>
              </w:rPr>
              <w:instrText xml:space="preserve"> PAGEREF _Toc177558740 \h </w:instrText>
            </w:r>
            <w:r w:rsidR="00DC1017">
              <w:rPr>
                <w:noProof/>
                <w:webHidden/>
              </w:rPr>
            </w:r>
            <w:r w:rsidR="00DC1017">
              <w:rPr>
                <w:noProof/>
                <w:webHidden/>
              </w:rPr>
              <w:fldChar w:fldCharType="separate"/>
            </w:r>
            <w:r w:rsidR="00A7766D">
              <w:rPr>
                <w:noProof/>
                <w:webHidden/>
              </w:rPr>
              <w:t>12</w:t>
            </w:r>
            <w:r w:rsidR="00DC1017">
              <w:rPr>
                <w:noProof/>
                <w:webHidden/>
              </w:rPr>
              <w:fldChar w:fldCharType="end"/>
            </w:r>
          </w:hyperlink>
        </w:p>
        <w:p w14:paraId="5F1FB40C" w14:textId="45A20F20" w:rsidR="00DC1017" w:rsidRDefault="00000000">
          <w:pPr>
            <w:pStyle w:val="TOC1"/>
            <w:rPr>
              <w:rFonts w:asciiTheme="minorHAnsi" w:eastAsiaTheme="minorEastAsia" w:hAnsiTheme="minorHAnsi" w:cstheme="minorBidi"/>
              <w:b w:val="0"/>
              <w:noProof/>
              <w:kern w:val="2"/>
              <w:szCs w:val="24"/>
              <w:lang w:val="en-NZ" w:eastAsia="en-NZ"/>
              <w14:ligatures w14:val="standardContextual"/>
            </w:rPr>
          </w:pPr>
          <w:hyperlink w:anchor="_Toc177558741" w:history="1">
            <w:r w:rsidR="00DC1017" w:rsidRPr="00441B4D">
              <w:rPr>
                <w:rStyle w:val="Hyperlink"/>
                <w:noProof/>
                <w:lang w:val="en-NZ"/>
              </w:rPr>
              <w:t>Related websites</w:t>
            </w:r>
            <w:r w:rsidR="00DC1017">
              <w:rPr>
                <w:noProof/>
                <w:webHidden/>
              </w:rPr>
              <w:tab/>
            </w:r>
            <w:r w:rsidR="00DC1017">
              <w:rPr>
                <w:noProof/>
                <w:webHidden/>
              </w:rPr>
              <w:fldChar w:fldCharType="begin"/>
            </w:r>
            <w:r w:rsidR="00DC1017">
              <w:rPr>
                <w:noProof/>
                <w:webHidden/>
              </w:rPr>
              <w:instrText xml:space="preserve"> PAGEREF _Toc177558741 \h </w:instrText>
            </w:r>
            <w:r w:rsidR="00DC1017">
              <w:rPr>
                <w:noProof/>
                <w:webHidden/>
              </w:rPr>
            </w:r>
            <w:r w:rsidR="00DC1017">
              <w:rPr>
                <w:noProof/>
                <w:webHidden/>
              </w:rPr>
              <w:fldChar w:fldCharType="separate"/>
            </w:r>
            <w:r w:rsidR="00A7766D">
              <w:rPr>
                <w:noProof/>
                <w:webHidden/>
              </w:rPr>
              <w:t>13</w:t>
            </w:r>
            <w:r w:rsidR="00DC1017">
              <w:rPr>
                <w:noProof/>
                <w:webHidden/>
              </w:rPr>
              <w:fldChar w:fldCharType="end"/>
            </w:r>
          </w:hyperlink>
        </w:p>
        <w:p w14:paraId="66AE0561" w14:textId="5E4B131D" w:rsidR="005828E8" w:rsidRDefault="005828E8">
          <w:r>
            <w:rPr>
              <w:b/>
              <w:bCs/>
              <w:noProof/>
            </w:rPr>
            <w:fldChar w:fldCharType="end"/>
          </w:r>
        </w:p>
      </w:sdtContent>
    </w:sdt>
    <w:p w14:paraId="290EB46C" w14:textId="77777777" w:rsidR="00271F35" w:rsidRDefault="00271F35" w:rsidP="00EB3422">
      <w:pPr>
        <w:rPr>
          <w:lang w:val="en-NZ"/>
        </w:rPr>
      </w:pPr>
    </w:p>
    <w:p w14:paraId="618F9130" w14:textId="5BC1D5F2" w:rsidR="00EB3422" w:rsidRPr="00AC5162" w:rsidRDefault="00EB3422" w:rsidP="00EB3422">
      <w:pPr>
        <w:rPr>
          <w:lang w:val="en-NZ"/>
        </w:rPr>
      </w:pPr>
    </w:p>
    <w:p w14:paraId="36399A41" w14:textId="5ADF7452" w:rsidR="00EB3422" w:rsidRPr="00AC5162" w:rsidRDefault="00EB3422" w:rsidP="00EB3422">
      <w:pPr>
        <w:rPr>
          <w:lang w:val="en-NZ"/>
        </w:rPr>
      </w:pPr>
    </w:p>
    <w:p w14:paraId="497E5D48" w14:textId="0FCD77CA" w:rsidR="00EB3422" w:rsidRPr="00AC5162" w:rsidRDefault="00EB3422" w:rsidP="00EB3422">
      <w:pPr>
        <w:rPr>
          <w:lang w:val="en-NZ"/>
        </w:rPr>
      </w:pPr>
    </w:p>
    <w:p w14:paraId="587931AF" w14:textId="3C73F458" w:rsidR="00EB3422" w:rsidRPr="00AC5162" w:rsidRDefault="00EB3422" w:rsidP="00EB3422">
      <w:pPr>
        <w:rPr>
          <w:lang w:val="en-NZ"/>
        </w:rPr>
      </w:pPr>
    </w:p>
    <w:p w14:paraId="4771B1C7" w14:textId="6FBE0904" w:rsidR="00EB3422" w:rsidRPr="00AC5162" w:rsidRDefault="00EB3422" w:rsidP="00EB3422">
      <w:pPr>
        <w:rPr>
          <w:lang w:val="en-NZ"/>
        </w:rPr>
      </w:pPr>
    </w:p>
    <w:p w14:paraId="686CC39B" w14:textId="2F98F38A" w:rsidR="00EB3422" w:rsidRPr="00AC5162" w:rsidRDefault="00EB3422" w:rsidP="00EB3422">
      <w:pPr>
        <w:rPr>
          <w:lang w:val="en-NZ"/>
        </w:rPr>
      </w:pPr>
    </w:p>
    <w:p w14:paraId="19C3D3FF" w14:textId="08A88F78" w:rsidR="00EB3422" w:rsidRPr="00AC5162" w:rsidRDefault="00EB3422" w:rsidP="00EB3422">
      <w:pPr>
        <w:rPr>
          <w:lang w:val="en-NZ"/>
        </w:rPr>
      </w:pPr>
    </w:p>
    <w:p w14:paraId="45949A0D" w14:textId="70E6CC0C" w:rsidR="00EB3422" w:rsidRPr="00AC5162" w:rsidRDefault="00EB3422" w:rsidP="00EB3422">
      <w:pPr>
        <w:rPr>
          <w:lang w:val="en-NZ"/>
        </w:rPr>
      </w:pPr>
    </w:p>
    <w:p w14:paraId="1307BB7E" w14:textId="77777777" w:rsidR="00271F35" w:rsidRDefault="00271F35" w:rsidP="009E74EB">
      <w:pPr>
        <w:pStyle w:val="Heading1"/>
        <w:spacing w:before="480" w:line="288" w:lineRule="auto"/>
        <w:rPr>
          <w:rFonts w:cs="Arial"/>
          <w:bCs w:val="0"/>
          <w:color w:val="15284C"/>
          <w:szCs w:val="32"/>
          <w:lang w:val="en-NZ"/>
        </w:rPr>
      </w:pPr>
      <w:bookmarkStart w:id="0" w:name="_Toc425235432"/>
      <w:bookmarkStart w:id="1" w:name="_Toc177558522"/>
    </w:p>
    <w:p w14:paraId="4F69ECF5" w14:textId="77777777" w:rsidR="00271F35" w:rsidRDefault="00271F35">
      <w:pPr>
        <w:rPr>
          <w:rFonts w:eastAsiaTheme="majorEastAsia"/>
          <w:b/>
          <w:color w:val="15284C"/>
          <w:sz w:val="68"/>
          <w:szCs w:val="32"/>
          <w:lang w:val="en-NZ"/>
        </w:rPr>
      </w:pPr>
      <w:r>
        <w:rPr>
          <w:bCs/>
          <w:color w:val="15284C"/>
          <w:szCs w:val="32"/>
          <w:lang w:val="en-NZ"/>
        </w:rPr>
        <w:br w:type="page"/>
      </w:r>
    </w:p>
    <w:p w14:paraId="0376505E" w14:textId="71BDB531" w:rsidR="00347441" w:rsidRPr="009E74EB" w:rsidRDefault="00347441" w:rsidP="009E74EB">
      <w:pPr>
        <w:pStyle w:val="Heading1"/>
        <w:spacing w:before="480" w:line="288" w:lineRule="auto"/>
        <w:rPr>
          <w:rFonts w:cs="Arial"/>
          <w:bCs w:val="0"/>
          <w:color w:val="15284C"/>
          <w:szCs w:val="32"/>
          <w:lang w:val="en-NZ"/>
        </w:rPr>
      </w:pPr>
      <w:bookmarkStart w:id="2" w:name="_Toc177558728"/>
      <w:r w:rsidRPr="009E74EB">
        <w:rPr>
          <w:rFonts w:cs="Arial"/>
          <w:bCs w:val="0"/>
          <w:color w:val="15284C"/>
          <w:szCs w:val="32"/>
          <w:lang w:val="en-NZ"/>
        </w:rPr>
        <w:lastRenderedPageBreak/>
        <w:t>Purpose</w:t>
      </w:r>
      <w:bookmarkEnd w:id="0"/>
      <w:bookmarkEnd w:id="1"/>
      <w:bookmarkEnd w:id="2"/>
    </w:p>
    <w:p w14:paraId="131B4DF6" w14:textId="4A0A5B6D" w:rsidR="00F435B7" w:rsidRDefault="006E7A77" w:rsidP="006E7A77">
      <w:pPr>
        <w:rPr>
          <w:sz w:val="24"/>
          <w:szCs w:val="24"/>
          <w:lang w:val="en-NZ"/>
        </w:rPr>
      </w:pPr>
      <w:r w:rsidRPr="00B86F26">
        <w:rPr>
          <w:sz w:val="24"/>
          <w:szCs w:val="24"/>
          <w:lang w:val="en-NZ"/>
        </w:rPr>
        <w:t xml:space="preserve">This document provides guidance </w:t>
      </w:r>
      <w:r w:rsidR="00F435B7" w:rsidRPr="00B86F26">
        <w:rPr>
          <w:sz w:val="24"/>
          <w:szCs w:val="24"/>
          <w:lang w:val="en-NZ"/>
        </w:rPr>
        <w:t>on the process for verifying death</w:t>
      </w:r>
      <w:r w:rsidR="00F435B7">
        <w:rPr>
          <w:sz w:val="24"/>
          <w:szCs w:val="24"/>
          <w:lang w:val="en-NZ"/>
        </w:rPr>
        <w:t xml:space="preserve">. It is primarily intended for </w:t>
      </w:r>
      <w:r w:rsidRPr="00B86F26">
        <w:rPr>
          <w:sz w:val="24"/>
          <w:szCs w:val="24"/>
          <w:lang w:val="en-NZ"/>
        </w:rPr>
        <w:t>health practitioners, employers, professional bodies, the police</w:t>
      </w:r>
      <w:r>
        <w:rPr>
          <w:sz w:val="24"/>
          <w:szCs w:val="24"/>
          <w:lang w:val="en-NZ"/>
        </w:rPr>
        <w:t xml:space="preserve">, </w:t>
      </w:r>
      <w:r w:rsidRPr="00B86F26">
        <w:rPr>
          <w:sz w:val="24"/>
          <w:szCs w:val="24"/>
          <w:lang w:val="en-NZ"/>
        </w:rPr>
        <w:t xml:space="preserve">and the funeral industry. </w:t>
      </w:r>
    </w:p>
    <w:p w14:paraId="6DF34FC6" w14:textId="6EB33C2E" w:rsidR="009A2289" w:rsidRDefault="00F435B7" w:rsidP="006E7A77">
      <w:pPr>
        <w:rPr>
          <w:sz w:val="24"/>
          <w:szCs w:val="24"/>
          <w:lang w:val="en-NZ"/>
        </w:rPr>
      </w:pPr>
      <w:r>
        <w:rPr>
          <w:sz w:val="24"/>
          <w:szCs w:val="24"/>
          <w:lang w:val="en-NZ"/>
        </w:rPr>
        <w:t xml:space="preserve">The document </w:t>
      </w:r>
      <w:r w:rsidR="007B7CE0">
        <w:rPr>
          <w:sz w:val="24"/>
          <w:szCs w:val="24"/>
          <w:lang w:val="en-NZ"/>
        </w:rPr>
        <w:t xml:space="preserve">also distinguishes the </w:t>
      </w:r>
      <w:r>
        <w:rPr>
          <w:sz w:val="24"/>
          <w:szCs w:val="24"/>
          <w:lang w:val="en-NZ"/>
        </w:rPr>
        <w:t xml:space="preserve">task </w:t>
      </w:r>
      <w:r w:rsidR="007B7CE0">
        <w:rPr>
          <w:sz w:val="24"/>
          <w:szCs w:val="24"/>
          <w:lang w:val="en-NZ"/>
        </w:rPr>
        <w:t xml:space="preserve">of verifying death from </w:t>
      </w:r>
      <w:r w:rsidR="007D35AE">
        <w:rPr>
          <w:sz w:val="24"/>
          <w:szCs w:val="24"/>
          <w:lang w:val="en-NZ"/>
        </w:rPr>
        <w:t>related processes</w:t>
      </w:r>
      <w:r w:rsidR="00F074B1">
        <w:rPr>
          <w:sz w:val="24"/>
          <w:szCs w:val="24"/>
          <w:lang w:val="en-NZ"/>
        </w:rPr>
        <w:t xml:space="preserve"> which ascertain and document the </w:t>
      </w:r>
      <w:r w:rsidR="00F074B1" w:rsidRPr="008F1362">
        <w:rPr>
          <w:i/>
          <w:iCs/>
          <w:sz w:val="24"/>
          <w:szCs w:val="24"/>
          <w:lang w:val="en-NZ"/>
        </w:rPr>
        <w:t>circumstances</w:t>
      </w:r>
      <w:r w:rsidR="00F074B1">
        <w:rPr>
          <w:sz w:val="24"/>
          <w:szCs w:val="24"/>
          <w:lang w:val="en-NZ"/>
        </w:rPr>
        <w:t xml:space="preserve"> and </w:t>
      </w:r>
      <w:r w:rsidR="00F074B1" w:rsidRPr="008F1362">
        <w:rPr>
          <w:i/>
          <w:iCs/>
          <w:sz w:val="24"/>
          <w:szCs w:val="24"/>
          <w:lang w:val="en-NZ"/>
        </w:rPr>
        <w:t>cause</w:t>
      </w:r>
      <w:r w:rsidR="00F074B1">
        <w:rPr>
          <w:sz w:val="24"/>
          <w:szCs w:val="24"/>
          <w:lang w:val="en-NZ"/>
        </w:rPr>
        <w:t xml:space="preserve"> of death</w:t>
      </w:r>
      <w:r w:rsidR="009A2289">
        <w:rPr>
          <w:sz w:val="24"/>
          <w:szCs w:val="24"/>
          <w:lang w:val="en-NZ"/>
        </w:rPr>
        <w:t>:</w:t>
      </w:r>
    </w:p>
    <w:p w14:paraId="55A2603C" w14:textId="3376510D" w:rsidR="009A2289" w:rsidRDefault="007D35AE" w:rsidP="004D2207">
      <w:pPr>
        <w:pStyle w:val="ListParagraph"/>
        <w:numPr>
          <w:ilvl w:val="0"/>
          <w:numId w:val="12"/>
        </w:numPr>
        <w:ind w:left="426" w:hanging="426"/>
        <w:rPr>
          <w:sz w:val="24"/>
          <w:szCs w:val="24"/>
          <w:lang w:val="en-NZ"/>
        </w:rPr>
      </w:pPr>
      <w:r w:rsidRPr="009A2289">
        <w:rPr>
          <w:sz w:val="24"/>
          <w:szCs w:val="24"/>
          <w:lang w:val="en-NZ"/>
        </w:rPr>
        <w:t>the completion of a Medical Certificate of Cause of Death</w:t>
      </w:r>
      <w:r w:rsidR="00EA4C2E" w:rsidRPr="009A2289">
        <w:rPr>
          <w:sz w:val="24"/>
          <w:szCs w:val="24"/>
          <w:lang w:val="en-NZ"/>
        </w:rPr>
        <w:t xml:space="preserve"> </w:t>
      </w:r>
      <w:r w:rsidR="00EA65B4" w:rsidRPr="009A2289">
        <w:rPr>
          <w:sz w:val="24"/>
          <w:szCs w:val="24"/>
          <w:lang w:val="en-NZ"/>
        </w:rPr>
        <w:t>(MCCD)</w:t>
      </w:r>
      <w:r w:rsidR="0084467E">
        <w:rPr>
          <w:sz w:val="24"/>
          <w:szCs w:val="24"/>
          <w:lang w:val="en-NZ"/>
        </w:rPr>
        <w:t xml:space="preserve"> </w:t>
      </w:r>
      <w:r w:rsidR="00EA4C2E" w:rsidRPr="009A2289">
        <w:rPr>
          <w:sz w:val="24"/>
          <w:szCs w:val="24"/>
          <w:lang w:val="en-NZ"/>
        </w:rPr>
        <w:t>by a medi</w:t>
      </w:r>
      <w:r w:rsidR="003D4BD3">
        <w:rPr>
          <w:sz w:val="24"/>
          <w:szCs w:val="24"/>
          <w:lang w:val="en-NZ"/>
        </w:rPr>
        <w:t>c</w:t>
      </w:r>
      <w:r w:rsidR="00EA4C2E" w:rsidRPr="009A2289">
        <w:rPr>
          <w:sz w:val="24"/>
          <w:szCs w:val="24"/>
          <w:lang w:val="en-NZ"/>
        </w:rPr>
        <w:t>al practitioner or nurse practitioner</w:t>
      </w:r>
      <w:r w:rsidR="009A2289">
        <w:rPr>
          <w:sz w:val="24"/>
          <w:szCs w:val="24"/>
          <w:lang w:val="en-NZ"/>
        </w:rPr>
        <w:t>,</w:t>
      </w:r>
      <w:r w:rsidR="00EA4C2E" w:rsidRPr="009A2289">
        <w:rPr>
          <w:sz w:val="24"/>
          <w:szCs w:val="24"/>
          <w:lang w:val="en-NZ"/>
        </w:rPr>
        <w:t xml:space="preserve"> and</w:t>
      </w:r>
    </w:p>
    <w:p w14:paraId="387C85CF" w14:textId="1CFEE5EA" w:rsidR="006E7A77" w:rsidRPr="009A2289" w:rsidRDefault="003C1949" w:rsidP="004D2207">
      <w:pPr>
        <w:pStyle w:val="ListParagraph"/>
        <w:numPr>
          <w:ilvl w:val="0"/>
          <w:numId w:val="12"/>
        </w:numPr>
        <w:ind w:left="426" w:hanging="426"/>
        <w:rPr>
          <w:sz w:val="24"/>
          <w:szCs w:val="24"/>
          <w:lang w:val="en-NZ"/>
        </w:rPr>
      </w:pPr>
      <w:r>
        <w:rPr>
          <w:sz w:val="24"/>
          <w:szCs w:val="24"/>
          <w:lang w:val="en-NZ"/>
        </w:rPr>
        <w:t xml:space="preserve">when </w:t>
      </w:r>
      <w:r w:rsidR="00EA4C2E" w:rsidRPr="009A2289">
        <w:rPr>
          <w:sz w:val="24"/>
          <w:szCs w:val="24"/>
          <w:lang w:val="en-NZ"/>
        </w:rPr>
        <w:t xml:space="preserve">deaths are reportable to the coroner.  </w:t>
      </w:r>
    </w:p>
    <w:p w14:paraId="3744F2EC" w14:textId="77777777" w:rsidR="00347441" w:rsidRPr="009E74EB" w:rsidRDefault="00347441" w:rsidP="009E74EB">
      <w:pPr>
        <w:pStyle w:val="Heading1"/>
        <w:spacing w:before="480" w:line="288" w:lineRule="auto"/>
        <w:rPr>
          <w:rFonts w:cs="Arial"/>
          <w:bCs w:val="0"/>
          <w:color w:val="15284C"/>
          <w:szCs w:val="32"/>
          <w:lang w:val="en-NZ"/>
        </w:rPr>
      </w:pPr>
      <w:bookmarkStart w:id="3" w:name="_Toc425235433"/>
      <w:bookmarkStart w:id="4" w:name="_Toc177558523"/>
      <w:bookmarkStart w:id="5" w:name="_Toc177558729"/>
      <w:r w:rsidRPr="009E74EB">
        <w:rPr>
          <w:rFonts w:cs="Arial"/>
          <w:bCs w:val="0"/>
          <w:color w:val="15284C"/>
          <w:szCs w:val="32"/>
          <w:lang w:val="en-NZ"/>
        </w:rPr>
        <w:t>Verification of death</w:t>
      </w:r>
      <w:bookmarkEnd w:id="3"/>
      <w:bookmarkEnd w:id="4"/>
      <w:bookmarkEnd w:id="5"/>
    </w:p>
    <w:p w14:paraId="7AA417F7" w14:textId="18375491" w:rsidR="009A51FB" w:rsidRDefault="00347441" w:rsidP="00347441">
      <w:pPr>
        <w:rPr>
          <w:sz w:val="24"/>
          <w:szCs w:val="24"/>
          <w:lang w:val="en-NZ"/>
        </w:rPr>
      </w:pPr>
      <w:r w:rsidRPr="00B86F26">
        <w:rPr>
          <w:sz w:val="24"/>
          <w:szCs w:val="24"/>
          <w:lang w:val="en-NZ"/>
        </w:rPr>
        <w:t xml:space="preserve">Verification of death </w:t>
      </w:r>
      <w:r w:rsidR="00353E5A">
        <w:rPr>
          <w:sz w:val="24"/>
          <w:szCs w:val="24"/>
          <w:lang w:val="en-NZ"/>
        </w:rPr>
        <w:t xml:space="preserve">is </w:t>
      </w:r>
      <w:r w:rsidRPr="00B86F26">
        <w:rPr>
          <w:sz w:val="24"/>
          <w:szCs w:val="24"/>
          <w:lang w:val="en-NZ"/>
        </w:rPr>
        <w:t>the act of establishing that a person is dead and recording the time, place</w:t>
      </w:r>
      <w:r w:rsidR="00264964" w:rsidRPr="00B86F26">
        <w:rPr>
          <w:sz w:val="24"/>
          <w:szCs w:val="24"/>
          <w:lang w:val="en-NZ"/>
        </w:rPr>
        <w:t>,</w:t>
      </w:r>
      <w:r w:rsidRPr="00B86F26">
        <w:rPr>
          <w:sz w:val="24"/>
          <w:szCs w:val="24"/>
          <w:lang w:val="en-NZ"/>
        </w:rPr>
        <w:t xml:space="preserve"> and date of that assessment. Verification of death is established through clinical assessment for the absence of signs of life. </w:t>
      </w:r>
    </w:p>
    <w:p w14:paraId="75D47EEF" w14:textId="1DB3ECFC" w:rsidR="00EA7E33" w:rsidRDefault="00EA7E33" w:rsidP="00EA7E33">
      <w:pPr>
        <w:rPr>
          <w:sz w:val="24"/>
          <w:szCs w:val="24"/>
          <w:lang w:val="en-NZ"/>
        </w:rPr>
      </w:pPr>
      <w:r>
        <w:rPr>
          <w:sz w:val="24"/>
          <w:szCs w:val="24"/>
          <w:lang w:val="en-NZ"/>
        </w:rPr>
        <w:t xml:space="preserve">The following people </w:t>
      </w:r>
      <w:r w:rsidRPr="00B86F26">
        <w:rPr>
          <w:sz w:val="24"/>
          <w:szCs w:val="24"/>
          <w:lang w:val="en-NZ"/>
        </w:rPr>
        <w:t>are authorised by the Chief Coroner to verify death, including deaths which meet the criteria for reporting to the coroner</w:t>
      </w:r>
      <w:r w:rsidR="0084467E">
        <w:rPr>
          <w:sz w:val="24"/>
          <w:szCs w:val="24"/>
          <w:lang w:val="en-NZ"/>
        </w:rPr>
        <w:t>:</w:t>
      </w:r>
    </w:p>
    <w:p w14:paraId="71DC6BCC" w14:textId="34430538" w:rsidR="00B723E1" w:rsidRPr="00256962" w:rsidRDefault="00510043" w:rsidP="004D2207">
      <w:pPr>
        <w:pStyle w:val="ListParagraph"/>
        <w:numPr>
          <w:ilvl w:val="0"/>
          <w:numId w:val="12"/>
        </w:numPr>
        <w:ind w:left="426" w:hanging="426"/>
        <w:rPr>
          <w:sz w:val="24"/>
          <w:szCs w:val="24"/>
          <w:lang w:val="en-NZ"/>
        </w:rPr>
      </w:pPr>
      <w:r>
        <w:rPr>
          <w:sz w:val="24"/>
          <w:szCs w:val="24"/>
          <w:lang w:val="en-NZ"/>
        </w:rPr>
        <w:t>r</w:t>
      </w:r>
      <w:r w:rsidR="00B723E1" w:rsidRPr="00256962">
        <w:rPr>
          <w:sz w:val="24"/>
          <w:szCs w:val="24"/>
          <w:lang w:val="en-NZ"/>
        </w:rPr>
        <w:t xml:space="preserve">egistered </w:t>
      </w:r>
      <w:r w:rsidR="00B723E1">
        <w:rPr>
          <w:sz w:val="24"/>
          <w:szCs w:val="24"/>
          <w:lang w:val="en-NZ"/>
        </w:rPr>
        <w:t>m</w:t>
      </w:r>
      <w:r w:rsidR="00B723E1" w:rsidRPr="00B86F26">
        <w:rPr>
          <w:sz w:val="24"/>
          <w:szCs w:val="24"/>
          <w:lang w:val="en-NZ"/>
        </w:rPr>
        <w:t xml:space="preserve">edical </w:t>
      </w:r>
      <w:r w:rsidR="00B723E1">
        <w:rPr>
          <w:sz w:val="24"/>
          <w:szCs w:val="24"/>
          <w:lang w:val="en-NZ"/>
        </w:rPr>
        <w:t>p</w:t>
      </w:r>
      <w:r w:rsidR="00B723E1" w:rsidRPr="00256962">
        <w:rPr>
          <w:sz w:val="24"/>
          <w:szCs w:val="24"/>
          <w:lang w:val="en-NZ"/>
        </w:rPr>
        <w:t>ractitioner</w:t>
      </w:r>
      <w:r w:rsidR="00B723E1">
        <w:rPr>
          <w:sz w:val="24"/>
          <w:szCs w:val="24"/>
          <w:lang w:val="en-NZ"/>
        </w:rPr>
        <w:t>s</w:t>
      </w:r>
      <w:r w:rsidR="00B723E1" w:rsidRPr="00256962">
        <w:rPr>
          <w:sz w:val="24"/>
          <w:szCs w:val="24"/>
          <w:lang w:val="en-NZ"/>
        </w:rPr>
        <w:t xml:space="preserve"> </w:t>
      </w:r>
    </w:p>
    <w:p w14:paraId="30206660" w14:textId="0C81DD19" w:rsidR="00B723E1" w:rsidRPr="00256962" w:rsidRDefault="00510043" w:rsidP="004D2207">
      <w:pPr>
        <w:pStyle w:val="ListParagraph"/>
        <w:numPr>
          <w:ilvl w:val="0"/>
          <w:numId w:val="12"/>
        </w:numPr>
        <w:ind w:left="426" w:hanging="426"/>
        <w:rPr>
          <w:sz w:val="24"/>
          <w:szCs w:val="24"/>
          <w:lang w:val="en-NZ"/>
        </w:rPr>
      </w:pPr>
      <w:r>
        <w:rPr>
          <w:sz w:val="24"/>
          <w:szCs w:val="24"/>
          <w:lang w:val="en-NZ"/>
        </w:rPr>
        <w:t>n</w:t>
      </w:r>
      <w:r w:rsidR="00B723E1" w:rsidRPr="00256962">
        <w:rPr>
          <w:sz w:val="24"/>
          <w:szCs w:val="24"/>
          <w:lang w:val="en-NZ"/>
        </w:rPr>
        <w:t xml:space="preserve">urse </w:t>
      </w:r>
      <w:r w:rsidR="00B723E1">
        <w:rPr>
          <w:sz w:val="24"/>
          <w:szCs w:val="24"/>
          <w:lang w:val="en-NZ"/>
        </w:rPr>
        <w:t>p</w:t>
      </w:r>
      <w:r w:rsidR="00B723E1" w:rsidRPr="00256962">
        <w:rPr>
          <w:sz w:val="24"/>
          <w:szCs w:val="24"/>
          <w:lang w:val="en-NZ"/>
        </w:rPr>
        <w:t>ractitioner</w:t>
      </w:r>
      <w:r w:rsidR="00B723E1">
        <w:rPr>
          <w:sz w:val="24"/>
          <w:szCs w:val="24"/>
          <w:lang w:val="en-NZ"/>
        </w:rPr>
        <w:t>s, r</w:t>
      </w:r>
      <w:r w:rsidR="00B723E1" w:rsidRPr="00256962">
        <w:rPr>
          <w:sz w:val="24"/>
          <w:szCs w:val="24"/>
          <w:lang w:val="en-NZ"/>
        </w:rPr>
        <w:t>egistered</w:t>
      </w:r>
      <w:r w:rsidR="00B723E1">
        <w:rPr>
          <w:sz w:val="24"/>
          <w:szCs w:val="24"/>
          <w:lang w:val="en-NZ"/>
        </w:rPr>
        <w:t xml:space="preserve"> nurses, or e</w:t>
      </w:r>
      <w:r w:rsidR="00B723E1" w:rsidRPr="00256962">
        <w:rPr>
          <w:sz w:val="24"/>
          <w:szCs w:val="24"/>
          <w:lang w:val="en-NZ"/>
        </w:rPr>
        <w:t>nrolled</w:t>
      </w:r>
      <w:r w:rsidR="00B723E1">
        <w:rPr>
          <w:sz w:val="24"/>
          <w:szCs w:val="24"/>
          <w:lang w:val="en-NZ"/>
        </w:rPr>
        <w:t xml:space="preserve"> nurses</w:t>
      </w:r>
      <w:r w:rsidR="00B723E1" w:rsidRPr="00256962">
        <w:rPr>
          <w:sz w:val="24"/>
          <w:szCs w:val="24"/>
          <w:lang w:val="en-NZ"/>
        </w:rPr>
        <w:t xml:space="preserve"> </w:t>
      </w:r>
    </w:p>
    <w:p w14:paraId="66042EB0" w14:textId="175F9BAC" w:rsidR="00B723E1" w:rsidRPr="00256962" w:rsidRDefault="00510043" w:rsidP="004D2207">
      <w:pPr>
        <w:pStyle w:val="ListParagraph"/>
        <w:numPr>
          <w:ilvl w:val="0"/>
          <w:numId w:val="12"/>
        </w:numPr>
        <w:ind w:left="426" w:hanging="426"/>
        <w:rPr>
          <w:sz w:val="24"/>
          <w:szCs w:val="24"/>
          <w:lang w:val="en-NZ"/>
        </w:rPr>
      </w:pPr>
      <w:r>
        <w:rPr>
          <w:sz w:val="24"/>
          <w:szCs w:val="24"/>
          <w:lang w:val="en-NZ"/>
        </w:rPr>
        <w:t>r</w:t>
      </w:r>
      <w:r w:rsidR="00B723E1" w:rsidRPr="00256962">
        <w:rPr>
          <w:sz w:val="24"/>
          <w:szCs w:val="24"/>
          <w:lang w:val="en-NZ"/>
        </w:rPr>
        <w:t xml:space="preserve">egistered </w:t>
      </w:r>
      <w:r w:rsidR="00B723E1">
        <w:rPr>
          <w:sz w:val="24"/>
          <w:szCs w:val="24"/>
          <w:lang w:val="en-NZ"/>
        </w:rPr>
        <w:t>m</w:t>
      </w:r>
      <w:r w:rsidR="00B723E1" w:rsidRPr="00256962">
        <w:rPr>
          <w:sz w:val="24"/>
          <w:szCs w:val="24"/>
          <w:lang w:val="en-NZ"/>
        </w:rPr>
        <w:t>idwi</w:t>
      </w:r>
      <w:r w:rsidR="00B723E1">
        <w:rPr>
          <w:sz w:val="24"/>
          <w:szCs w:val="24"/>
          <w:lang w:val="en-NZ"/>
        </w:rPr>
        <w:t>ves</w:t>
      </w:r>
      <w:r w:rsidR="00B723E1" w:rsidRPr="00256962">
        <w:rPr>
          <w:sz w:val="24"/>
          <w:szCs w:val="24"/>
          <w:lang w:val="en-NZ"/>
        </w:rPr>
        <w:t xml:space="preserve"> </w:t>
      </w:r>
    </w:p>
    <w:p w14:paraId="49801085" w14:textId="593D4C61" w:rsidR="00B723E1" w:rsidRPr="00256962" w:rsidRDefault="00510043" w:rsidP="004D2207">
      <w:pPr>
        <w:pStyle w:val="ListParagraph"/>
        <w:numPr>
          <w:ilvl w:val="0"/>
          <w:numId w:val="12"/>
        </w:numPr>
        <w:ind w:left="426" w:hanging="426"/>
        <w:rPr>
          <w:sz w:val="24"/>
          <w:szCs w:val="24"/>
          <w:lang w:val="en-NZ"/>
        </w:rPr>
      </w:pPr>
      <w:r>
        <w:rPr>
          <w:sz w:val="24"/>
          <w:szCs w:val="24"/>
          <w:lang w:val="en-NZ"/>
        </w:rPr>
        <w:t>r</w:t>
      </w:r>
      <w:r w:rsidR="00B723E1" w:rsidRPr="00256962">
        <w:rPr>
          <w:sz w:val="24"/>
          <w:szCs w:val="24"/>
          <w:lang w:val="en-NZ"/>
        </w:rPr>
        <w:t xml:space="preserve">egistered </w:t>
      </w:r>
      <w:r w:rsidR="00B723E1">
        <w:rPr>
          <w:sz w:val="24"/>
          <w:szCs w:val="24"/>
          <w:lang w:val="en-NZ"/>
        </w:rPr>
        <w:t>p</w:t>
      </w:r>
      <w:r w:rsidR="00B723E1" w:rsidRPr="00256962">
        <w:rPr>
          <w:sz w:val="24"/>
          <w:szCs w:val="24"/>
          <w:lang w:val="en-NZ"/>
        </w:rPr>
        <w:t>aramedic</w:t>
      </w:r>
      <w:r w:rsidR="00B723E1">
        <w:rPr>
          <w:sz w:val="24"/>
          <w:szCs w:val="24"/>
          <w:lang w:val="en-NZ"/>
        </w:rPr>
        <w:t>s</w:t>
      </w:r>
      <w:r w:rsidR="00B723E1" w:rsidRPr="00256962">
        <w:rPr>
          <w:sz w:val="24"/>
          <w:szCs w:val="24"/>
          <w:lang w:val="en-NZ"/>
        </w:rPr>
        <w:t xml:space="preserve"> </w:t>
      </w:r>
    </w:p>
    <w:p w14:paraId="51069E73" w14:textId="50AE91EB" w:rsidR="00B723E1" w:rsidRPr="00256962" w:rsidRDefault="00510043" w:rsidP="004D2207">
      <w:pPr>
        <w:pStyle w:val="ListParagraph"/>
        <w:numPr>
          <w:ilvl w:val="0"/>
          <w:numId w:val="12"/>
        </w:numPr>
        <w:ind w:left="426" w:hanging="426"/>
        <w:rPr>
          <w:sz w:val="24"/>
          <w:szCs w:val="24"/>
          <w:lang w:val="en-NZ"/>
        </w:rPr>
      </w:pPr>
      <w:r>
        <w:rPr>
          <w:sz w:val="24"/>
          <w:szCs w:val="24"/>
          <w:lang w:val="en-NZ"/>
        </w:rPr>
        <w:t>e</w:t>
      </w:r>
      <w:r w:rsidR="00B723E1" w:rsidRPr="00256962">
        <w:rPr>
          <w:sz w:val="24"/>
          <w:szCs w:val="24"/>
          <w:lang w:val="en-NZ"/>
        </w:rPr>
        <w:t xml:space="preserve">mergency </w:t>
      </w:r>
      <w:r w:rsidR="00B723E1">
        <w:rPr>
          <w:sz w:val="24"/>
          <w:szCs w:val="24"/>
          <w:lang w:val="en-NZ"/>
        </w:rPr>
        <w:t>m</w:t>
      </w:r>
      <w:r w:rsidR="00B723E1" w:rsidRPr="00256962">
        <w:rPr>
          <w:sz w:val="24"/>
          <w:szCs w:val="24"/>
          <w:lang w:val="en-NZ"/>
        </w:rPr>
        <w:t xml:space="preserve">edical </w:t>
      </w:r>
      <w:r w:rsidR="00B723E1">
        <w:rPr>
          <w:sz w:val="24"/>
          <w:szCs w:val="24"/>
          <w:lang w:val="en-NZ"/>
        </w:rPr>
        <w:t>t</w:t>
      </w:r>
      <w:r w:rsidR="00B723E1" w:rsidRPr="00256962">
        <w:rPr>
          <w:sz w:val="24"/>
          <w:szCs w:val="24"/>
          <w:lang w:val="en-NZ"/>
        </w:rPr>
        <w:t>echnician</w:t>
      </w:r>
      <w:r w:rsidR="00B723E1">
        <w:rPr>
          <w:sz w:val="24"/>
          <w:szCs w:val="24"/>
          <w:lang w:val="en-NZ"/>
        </w:rPr>
        <w:t>s</w:t>
      </w:r>
      <w:r w:rsidR="00B723E1" w:rsidRPr="00256962">
        <w:rPr>
          <w:sz w:val="24"/>
          <w:szCs w:val="24"/>
          <w:lang w:val="en-NZ"/>
        </w:rPr>
        <w:t xml:space="preserve"> </w:t>
      </w:r>
    </w:p>
    <w:p w14:paraId="05F97D58" w14:textId="66DE0E94" w:rsidR="00B723E1" w:rsidRPr="00256962" w:rsidRDefault="00510043" w:rsidP="004D2207">
      <w:pPr>
        <w:pStyle w:val="ListParagraph"/>
        <w:numPr>
          <w:ilvl w:val="0"/>
          <w:numId w:val="12"/>
        </w:numPr>
        <w:ind w:left="426" w:hanging="426"/>
        <w:rPr>
          <w:sz w:val="24"/>
          <w:szCs w:val="24"/>
          <w:lang w:val="en-NZ"/>
        </w:rPr>
      </w:pPr>
      <w:r>
        <w:rPr>
          <w:sz w:val="24"/>
          <w:szCs w:val="24"/>
          <w:lang w:val="en-NZ"/>
        </w:rPr>
        <w:t>p</w:t>
      </w:r>
      <w:r w:rsidR="00B723E1" w:rsidRPr="00256962">
        <w:rPr>
          <w:sz w:val="24"/>
          <w:szCs w:val="24"/>
          <w:lang w:val="en-NZ"/>
        </w:rPr>
        <w:t xml:space="preserve">olice </w:t>
      </w:r>
      <w:r w:rsidR="00B723E1">
        <w:rPr>
          <w:sz w:val="24"/>
          <w:szCs w:val="24"/>
          <w:lang w:val="en-NZ"/>
        </w:rPr>
        <w:t>s</w:t>
      </w:r>
      <w:r w:rsidR="00B723E1" w:rsidRPr="00256962">
        <w:rPr>
          <w:sz w:val="24"/>
          <w:szCs w:val="24"/>
          <w:lang w:val="en-NZ"/>
        </w:rPr>
        <w:t>pecialist</w:t>
      </w:r>
      <w:r w:rsidR="00B723E1">
        <w:rPr>
          <w:sz w:val="24"/>
          <w:szCs w:val="24"/>
          <w:lang w:val="en-NZ"/>
        </w:rPr>
        <w:t>s</w:t>
      </w:r>
      <w:r w:rsidR="00B723E1" w:rsidRPr="00256962">
        <w:rPr>
          <w:sz w:val="24"/>
          <w:szCs w:val="24"/>
          <w:lang w:val="en-NZ"/>
        </w:rPr>
        <w:t xml:space="preserve"> (</w:t>
      </w:r>
      <w:r>
        <w:rPr>
          <w:sz w:val="24"/>
          <w:szCs w:val="24"/>
          <w:lang w:val="en-NZ"/>
        </w:rPr>
        <w:t>d</w:t>
      </w:r>
      <w:r w:rsidR="00B723E1">
        <w:rPr>
          <w:sz w:val="24"/>
          <w:szCs w:val="24"/>
          <w:lang w:val="en-NZ"/>
        </w:rPr>
        <w:t xml:space="preserve">isaster </w:t>
      </w:r>
      <w:r>
        <w:rPr>
          <w:sz w:val="24"/>
          <w:szCs w:val="24"/>
          <w:lang w:val="en-NZ"/>
        </w:rPr>
        <w:t>v</w:t>
      </w:r>
      <w:r w:rsidR="00B723E1">
        <w:rPr>
          <w:sz w:val="24"/>
          <w:szCs w:val="24"/>
          <w:lang w:val="en-NZ"/>
        </w:rPr>
        <w:t xml:space="preserve">ictim </w:t>
      </w:r>
      <w:r>
        <w:rPr>
          <w:sz w:val="24"/>
          <w:szCs w:val="24"/>
          <w:lang w:val="en-NZ"/>
        </w:rPr>
        <w:t>i</w:t>
      </w:r>
      <w:r w:rsidR="00B723E1">
        <w:rPr>
          <w:sz w:val="24"/>
          <w:szCs w:val="24"/>
          <w:lang w:val="en-NZ"/>
        </w:rPr>
        <w:t xml:space="preserve">dentification </w:t>
      </w:r>
      <w:r w:rsidR="00B723E1" w:rsidRPr="00256962">
        <w:rPr>
          <w:sz w:val="24"/>
          <w:szCs w:val="24"/>
          <w:lang w:val="en-NZ"/>
        </w:rPr>
        <w:t>/</w:t>
      </w:r>
      <w:r w:rsidR="00B723E1">
        <w:rPr>
          <w:sz w:val="24"/>
          <w:szCs w:val="24"/>
          <w:lang w:val="en-NZ"/>
        </w:rPr>
        <w:t xml:space="preserve"> </w:t>
      </w:r>
      <w:r>
        <w:rPr>
          <w:sz w:val="24"/>
          <w:szCs w:val="24"/>
          <w:lang w:val="en-NZ"/>
        </w:rPr>
        <w:t>s</w:t>
      </w:r>
      <w:r w:rsidR="00B723E1">
        <w:rPr>
          <w:sz w:val="24"/>
          <w:szCs w:val="24"/>
          <w:lang w:val="en-NZ"/>
        </w:rPr>
        <w:t xml:space="preserve">earch and </w:t>
      </w:r>
      <w:r>
        <w:rPr>
          <w:sz w:val="24"/>
          <w:szCs w:val="24"/>
          <w:lang w:val="en-NZ"/>
        </w:rPr>
        <w:t>r</w:t>
      </w:r>
      <w:r w:rsidR="00B723E1">
        <w:rPr>
          <w:sz w:val="24"/>
          <w:szCs w:val="24"/>
          <w:lang w:val="en-NZ"/>
        </w:rPr>
        <w:t xml:space="preserve">escue </w:t>
      </w:r>
      <w:r w:rsidR="00B723E1" w:rsidRPr="00256962">
        <w:rPr>
          <w:sz w:val="24"/>
          <w:szCs w:val="24"/>
          <w:lang w:val="en-NZ"/>
        </w:rPr>
        <w:t>/</w:t>
      </w:r>
      <w:r w:rsidR="00B723E1">
        <w:rPr>
          <w:sz w:val="24"/>
          <w:szCs w:val="24"/>
          <w:lang w:val="en-NZ"/>
        </w:rPr>
        <w:t xml:space="preserve"> </w:t>
      </w:r>
      <w:r>
        <w:rPr>
          <w:sz w:val="24"/>
          <w:szCs w:val="24"/>
          <w:lang w:val="en-NZ"/>
        </w:rPr>
        <w:t>d</w:t>
      </w:r>
      <w:r w:rsidR="00B723E1" w:rsidRPr="00256962">
        <w:rPr>
          <w:sz w:val="24"/>
          <w:szCs w:val="24"/>
          <w:lang w:val="en-NZ"/>
        </w:rPr>
        <w:t xml:space="preserve">ive </w:t>
      </w:r>
      <w:r>
        <w:rPr>
          <w:sz w:val="24"/>
          <w:szCs w:val="24"/>
          <w:lang w:val="en-NZ"/>
        </w:rPr>
        <w:t>s</w:t>
      </w:r>
      <w:r w:rsidR="00B723E1" w:rsidRPr="00256962">
        <w:rPr>
          <w:sz w:val="24"/>
          <w:szCs w:val="24"/>
          <w:lang w:val="en-NZ"/>
        </w:rPr>
        <w:t>quad</w:t>
      </w:r>
      <w:r w:rsidR="00B723E1">
        <w:rPr>
          <w:sz w:val="24"/>
          <w:szCs w:val="24"/>
          <w:lang w:val="en-NZ"/>
        </w:rPr>
        <w:t xml:space="preserve"> </w:t>
      </w:r>
      <w:r w:rsidR="00B723E1" w:rsidRPr="00256962">
        <w:rPr>
          <w:sz w:val="24"/>
          <w:szCs w:val="24"/>
          <w:lang w:val="en-NZ"/>
        </w:rPr>
        <w:t>/</w:t>
      </w:r>
      <w:r w:rsidR="00B723E1">
        <w:rPr>
          <w:sz w:val="24"/>
          <w:szCs w:val="24"/>
          <w:lang w:val="en-NZ"/>
        </w:rPr>
        <w:t xml:space="preserve"> </w:t>
      </w:r>
      <w:r>
        <w:rPr>
          <w:sz w:val="24"/>
          <w:szCs w:val="24"/>
          <w:lang w:val="en-NZ"/>
        </w:rPr>
        <w:t>m</w:t>
      </w:r>
      <w:r w:rsidR="00B723E1">
        <w:rPr>
          <w:sz w:val="24"/>
          <w:szCs w:val="24"/>
          <w:lang w:val="en-NZ"/>
        </w:rPr>
        <w:t>a</w:t>
      </w:r>
      <w:r w:rsidR="00B723E1" w:rsidRPr="00256962">
        <w:rPr>
          <w:sz w:val="24"/>
          <w:szCs w:val="24"/>
          <w:lang w:val="en-NZ"/>
        </w:rPr>
        <w:t xml:space="preserve">ritime </w:t>
      </w:r>
      <w:r>
        <w:rPr>
          <w:sz w:val="24"/>
          <w:szCs w:val="24"/>
          <w:lang w:val="en-NZ"/>
        </w:rPr>
        <w:t>p</w:t>
      </w:r>
      <w:r w:rsidR="00B723E1" w:rsidRPr="00256962">
        <w:rPr>
          <w:sz w:val="24"/>
          <w:szCs w:val="24"/>
          <w:lang w:val="en-NZ"/>
        </w:rPr>
        <w:t xml:space="preserve">olice </w:t>
      </w:r>
      <w:r>
        <w:rPr>
          <w:sz w:val="24"/>
          <w:szCs w:val="24"/>
          <w:lang w:val="en-NZ"/>
        </w:rPr>
        <w:t>s</w:t>
      </w:r>
      <w:r w:rsidR="00B723E1" w:rsidRPr="00256962">
        <w:rPr>
          <w:sz w:val="24"/>
          <w:szCs w:val="24"/>
          <w:lang w:val="en-NZ"/>
        </w:rPr>
        <w:t xml:space="preserve">pecialist). </w:t>
      </w:r>
    </w:p>
    <w:p w14:paraId="6B2829E4" w14:textId="1DFCFB50" w:rsidR="00347441" w:rsidRPr="00B86F26" w:rsidRDefault="00347441" w:rsidP="00347441">
      <w:pPr>
        <w:rPr>
          <w:sz w:val="24"/>
          <w:szCs w:val="24"/>
          <w:lang w:val="en-NZ"/>
        </w:rPr>
      </w:pPr>
      <w:r w:rsidRPr="00B86F26">
        <w:rPr>
          <w:sz w:val="24"/>
          <w:szCs w:val="24"/>
          <w:lang w:val="en-NZ"/>
        </w:rPr>
        <w:t xml:space="preserve">Unlike </w:t>
      </w:r>
      <w:r w:rsidR="00AB5401">
        <w:rPr>
          <w:sz w:val="24"/>
          <w:szCs w:val="24"/>
          <w:lang w:val="en-NZ"/>
        </w:rPr>
        <w:t xml:space="preserve">when a medical or nurse practitioner completes a </w:t>
      </w:r>
      <w:r w:rsidR="0084467E">
        <w:rPr>
          <w:sz w:val="24"/>
          <w:szCs w:val="24"/>
          <w:lang w:val="en-NZ"/>
        </w:rPr>
        <w:t xml:space="preserve">MCCD </w:t>
      </w:r>
      <w:r w:rsidR="00F02BD1">
        <w:rPr>
          <w:sz w:val="24"/>
          <w:szCs w:val="24"/>
          <w:lang w:val="en-NZ"/>
        </w:rPr>
        <w:t>(discussed below)</w:t>
      </w:r>
      <w:r w:rsidR="009A51FB">
        <w:rPr>
          <w:sz w:val="24"/>
          <w:szCs w:val="24"/>
          <w:lang w:val="en-NZ"/>
        </w:rPr>
        <w:t>,</w:t>
      </w:r>
      <w:r w:rsidRPr="00B86F26">
        <w:rPr>
          <w:sz w:val="24"/>
          <w:szCs w:val="24"/>
          <w:lang w:val="en-NZ"/>
        </w:rPr>
        <w:t xml:space="preserve"> verification of death does not have any legal status, does not require any opinion as to the cause of death</w:t>
      </w:r>
      <w:r w:rsidR="00264964" w:rsidRPr="00B86F26">
        <w:rPr>
          <w:sz w:val="24"/>
          <w:szCs w:val="24"/>
          <w:lang w:val="en-NZ"/>
        </w:rPr>
        <w:t>,</w:t>
      </w:r>
      <w:r w:rsidRPr="00B86F26">
        <w:rPr>
          <w:sz w:val="24"/>
          <w:szCs w:val="24"/>
          <w:lang w:val="en-NZ"/>
        </w:rPr>
        <w:t xml:space="preserve"> and does not constitute authority for a body to be buried or cremated.</w:t>
      </w:r>
    </w:p>
    <w:p w14:paraId="58C7D274" w14:textId="3B3BCE9F" w:rsidR="00347441" w:rsidRPr="00B86F26" w:rsidRDefault="00347441" w:rsidP="00347441">
      <w:pPr>
        <w:rPr>
          <w:sz w:val="24"/>
          <w:szCs w:val="24"/>
          <w:lang w:val="en-NZ"/>
        </w:rPr>
      </w:pPr>
      <w:r w:rsidRPr="00B86F26">
        <w:rPr>
          <w:sz w:val="24"/>
          <w:szCs w:val="24"/>
          <w:lang w:val="en-NZ"/>
        </w:rPr>
        <w:t>In many settings, especially in hospitals, a medical practitioner</w:t>
      </w:r>
      <w:r w:rsidR="003F313A">
        <w:rPr>
          <w:sz w:val="24"/>
          <w:szCs w:val="24"/>
          <w:lang w:val="en-NZ"/>
        </w:rPr>
        <w:t xml:space="preserve"> or nurse practitioner</w:t>
      </w:r>
      <w:r w:rsidRPr="00B86F26">
        <w:rPr>
          <w:sz w:val="24"/>
          <w:szCs w:val="24"/>
          <w:lang w:val="en-NZ"/>
        </w:rPr>
        <w:t xml:space="preserve"> is immediately available and able to issue a </w:t>
      </w:r>
      <w:r w:rsidR="0084467E">
        <w:rPr>
          <w:sz w:val="24"/>
          <w:szCs w:val="24"/>
          <w:lang w:val="en-NZ"/>
        </w:rPr>
        <w:t>MCCD</w:t>
      </w:r>
      <w:r w:rsidRPr="00B86F26">
        <w:rPr>
          <w:sz w:val="24"/>
          <w:szCs w:val="24"/>
          <w:lang w:val="en-NZ"/>
        </w:rPr>
        <w:t xml:space="preserve"> after a person dies as the explainable result of an illness. </w:t>
      </w:r>
    </w:p>
    <w:p w14:paraId="07529D3B" w14:textId="338DEB96" w:rsidR="00347441" w:rsidRPr="00B86F26" w:rsidRDefault="00347441" w:rsidP="00347441">
      <w:pPr>
        <w:rPr>
          <w:sz w:val="24"/>
          <w:szCs w:val="24"/>
          <w:lang w:val="en-NZ"/>
        </w:rPr>
      </w:pPr>
      <w:r w:rsidRPr="00B86F26">
        <w:rPr>
          <w:sz w:val="24"/>
          <w:szCs w:val="24"/>
          <w:lang w:val="en-NZ"/>
        </w:rPr>
        <w:t>In other situations where a medical practitioner</w:t>
      </w:r>
      <w:r w:rsidR="002538C2">
        <w:rPr>
          <w:sz w:val="24"/>
          <w:szCs w:val="24"/>
          <w:lang w:val="en-NZ"/>
        </w:rPr>
        <w:t xml:space="preserve"> or nurse practitioner</w:t>
      </w:r>
      <w:r w:rsidRPr="00B86F26">
        <w:rPr>
          <w:sz w:val="24"/>
          <w:szCs w:val="24"/>
          <w:lang w:val="en-NZ"/>
        </w:rPr>
        <w:t xml:space="preserve"> is not immediately available to issue a </w:t>
      </w:r>
      <w:r w:rsidR="0084467E">
        <w:rPr>
          <w:sz w:val="24"/>
          <w:szCs w:val="24"/>
          <w:lang w:val="en-NZ"/>
        </w:rPr>
        <w:t>MCCD</w:t>
      </w:r>
      <w:r w:rsidRPr="00B86F26">
        <w:rPr>
          <w:sz w:val="24"/>
          <w:szCs w:val="24"/>
          <w:lang w:val="en-NZ"/>
        </w:rPr>
        <w:t>, there can be</w:t>
      </w:r>
      <w:r w:rsidR="00D3712F">
        <w:rPr>
          <w:sz w:val="24"/>
          <w:szCs w:val="24"/>
          <w:lang w:val="en-NZ"/>
        </w:rPr>
        <w:t xml:space="preserve"> potential </w:t>
      </w:r>
      <w:r w:rsidRPr="00B86F26">
        <w:rPr>
          <w:sz w:val="24"/>
          <w:szCs w:val="24"/>
          <w:lang w:val="en-NZ"/>
        </w:rPr>
        <w:t>delays for family members of the deceased. In cases where the death was expected and is explainable as the result of an illness</w:t>
      </w:r>
      <w:r w:rsidR="0084467E">
        <w:rPr>
          <w:sz w:val="24"/>
          <w:szCs w:val="24"/>
          <w:lang w:val="en-NZ"/>
        </w:rPr>
        <w:t xml:space="preserve"> (</w:t>
      </w:r>
      <w:r w:rsidRPr="00B86F26">
        <w:rPr>
          <w:sz w:val="24"/>
          <w:szCs w:val="24"/>
          <w:lang w:val="en-NZ"/>
        </w:rPr>
        <w:t>for example, in aged care or palliative care settings</w:t>
      </w:r>
      <w:r w:rsidR="0084467E">
        <w:rPr>
          <w:sz w:val="24"/>
          <w:szCs w:val="24"/>
          <w:lang w:val="en-NZ"/>
        </w:rPr>
        <w:t>)</w:t>
      </w:r>
      <w:r w:rsidRPr="00B86F26">
        <w:rPr>
          <w:sz w:val="24"/>
          <w:szCs w:val="24"/>
          <w:lang w:val="en-NZ"/>
        </w:rPr>
        <w:t xml:space="preserve"> a funeral director may remove the body providing the medical practitioner </w:t>
      </w:r>
      <w:r w:rsidR="00D9608D">
        <w:rPr>
          <w:sz w:val="24"/>
          <w:szCs w:val="24"/>
          <w:lang w:val="en-NZ"/>
        </w:rPr>
        <w:t xml:space="preserve">or nurse practitioner </w:t>
      </w:r>
      <w:r w:rsidRPr="00B86F26">
        <w:rPr>
          <w:sz w:val="24"/>
          <w:szCs w:val="24"/>
          <w:lang w:val="en-NZ"/>
        </w:rPr>
        <w:t xml:space="preserve">who has agreed to issue a </w:t>
      </w:r>
      <w:r w:rsidR="0084467E">
        <w:rPr>
          <w:sz w:val="24"/>
          <w:szCs w:val="24"/>
          <w:lang w:val="en-NZ"/>
        </w:rPr>
        <w:t>MCCD</w:t>
      </w:r>
      <w:r w:rsidRPr="00B86F26">
        <w:rPr>
          <w:sz w:val="24"/>
          <w:szCs w:val="24"/>
          <w:lang w:val="en-NZ"/>
        </w:rPr>
        <w:t xml:space="preserve"> commits to do so within the legally specified time. There is no legal requirement for death to be verified before a </w:t>
      </w:r>
      <w:r w:rsidRPr="00B86F26">
        <w:rPr>
          <w:sz w:val="24"/>
          <w:szCs w:val="24"/>
          <w:lang w:val="en-NZ"/>
        </w:rPr>
        <w:lastRenderedPageBreak/>
        <w:t>body is removed</w:t>
      </w:r>
      <w:r w:rsidR="001D21CE" w:rsidRPr="00B86F26">
        <w:rPr>
          <w:sz w:val="24"/>
          <w:szCs w:val="24"/>
          <w:lang w:val="en-NZ"/>
        </w:rPr>
        <w:t>. H</w:t>
      </w:r>
      <w:r w:rsidRPr="00B86F26">
        <w:rPr>
          <w:sz w:val="24"/>
          <w:szCs w:val="24"/>
          <w:lang w:val="en-NZ"/>
        </w:rPr>
        <w:t>owever, in many cases the funeral industry expects that a health practitioner will verify death prior to the funeral director taking over the care of the body.</w:t>
      </w:r>
    </w:p>
    <w:p w14:paraId="4CC758B8" w14:textId="2F222589" w:rsidR="00CD311A" w:rsidRDefault="00347441">
      <w:pPr>
        <w:rPr>
          <w:sz w:val="24"/>
          <w:szCs w:val="24"/>
          <w:lang w:val="en-NZ"/>
        </w:rPr>
      </w:pPr>
      <w:r w:rsidRPr="00B86F26">
        <w:rPr>
          <w:sz w:val="24"/>
          <w:szCs w:val="24"/>
          <w:lang w:val="en-NZ" w:eastAsia="en-NZ"/>
        </w:rPr>
        <w:t xml:space="preserve">In most cases, the health practitioner who verifies death and documents the assessment will be doing so at the behest of the police who are acting as the </w:t>
      </w:r>
      <w:r w:rsidR="00001222" w:rsidRPr="00B86F26">
        <w:rPr>
          <w:sz w:val="24"/>
          <w:szCs w:val="24"/>
          <w:lang w:val="en-NZ" w:eastAsia="en-NZ"/>
        </w:rPr>
        <w:t>coroner’s</w:t>
      </w:r>
      <w:r w:rsidRPr="00B86F26">
        <w:rPr>
          <w:sz w:val="24"/>
          <w:szCs w:val="24"/>
          <w:lang w:val="en-NZ" w:eastAsia="en-NZ"/>
        </w:rPr>
        <w:t xml:space="preserve"> agent – because a medical practitioner is not willing </w:t>
      </w:r>
      <w:r w:rsidR="009A51FB">
        <w:rPr>
          <w:sz w:val="24"/>
          <w:szCs w:val="24"/>
          <w:lang w:val="en-NZ" w:eastAsia="en-NZ"/>
        </w:rPr>
        <w:t xml:space="preserve">to </w:t>
      </w:r>
      <w:r w:rsidRPr="00B86F26">
        <w:rPr>
          <w:sz w:val="24"/>
          <w:szCs w:val="24"/>
          <w:lang w:val="en-NZ" w:eastAsia="en-NZ"/>
        </w:rPr>
        <w:t>(or it is not appropriate</w:t>
      </w:r>
      <w:r w:rsidR="009A51FB">
        <w:rPr>
          <w:sz w:val="24"/>
          <w:szCs w:val="24"/>
          <w:lang w:val="en-NZ" w:eastAsia="en-NZ"/>
        </w:rPr>
        <w:t xml:space="preserve"> to</w:t>
      </w:r>
      <w:r w:rsidRPr="00B86F26">
        <w:rPr>
          <w:sz w:val="24"/>
          <w:szCs w:val="24"/>
          <w:lang w:val="en-NZ" w:eastAsia="en-NZ"/>
        </w:rPr>
        <w:t xml:space="preserve">) issue a </w:t>
      </w:r>
      <w:r w:rsidR="00B3511C">
        <w:rPr>
          <w:sz w:val="24"/>
          <w:szCs w:val="24"/>
          <w:lang w:val="en-NZ"/>
        </w:rPr>
        <w:t>MCCD</w:t>
      </w:r>
      <w:r w:rsidRPr="00B86F26">
        <w:rPr>
          <w:sz w:val="24"/>
          <w:szCs w:val="24"/>
          <w:lang w:val="en-NZ" w:eastAsia="en-NZ"/>
        </w:rPr>
        <w:t>, and therefore the death is a coronial case</w:t>
      </w:r>
      <w:r w:rsidR="0038559A">
        <w:rPr>
          <w:sz w:val="24"/>
          <w:szCs w:val="24"/>
          <w:lang w:val="en-NZ" w:eastAsia="en-NZ"/>
        </w:rPr>
        <w:t xml:space="preserve"> (discussed below)</w:t>
      </w:r>
      <w:r w:rsidRPr="00B86F26">
        <w:rPr>
          <w:sz w:val="24"/>
          <w:szCs w:val="24"/>
          <w:lang w:val="en-NZ" w:eastAsia="en-NZ"/>
        </w:rPr>
        <w:t xml:space="preserve">. </w:t>
      </w:r>
      <w:r w:rsidRPr="00B86F26">
        <w:rPr>
          <w:sz w:val="24"/>
          <w:szCs w:val="24"/>
          <w:lang w:val="en-NZ"/>
        </w:rPr>
        <w:t xml:space="preserve">In any case where the death is reported to the </w:t>
      </w:r>
      <w:r w:rsidR="00001222" w:rsidRPr="00B86F26">
        <w:rPr>
          <w:sz w:val="24"/>
          <w:szCs w:val="24"/>
          <w:lang w:val="en-NZ"/>
        </w:rPr>
        <w:t>coroner</w:t>
      </w:r>
      <w:r w:rsidRPr="00B86F26">
        <w:rPr>
          <w:sz w:val="24"/>
          <w:szCs w:val="24"/>
          <w:lang w:val="en-NZ"/>
        </w:rPr>
        <w:t>, the police may prevent the body being removed, even when death is verified, in order to preserve the scene of death for further investigation.</w:t>
      </w:r>
      <w:bookmarkStart w:id="6" w:name="_Toc425235434"/>
    </w:p>
    <w:p w14:paraId="672E2468" w14:textId="13F75B19" w:rsidR="009929CB" w:rsidRPr="009E74EB" w:rsidRDefault="00002850" w:rsidP="004A4520">
      <w:pPr>
        <w:pStyle w:val="Heading1"/>
        <w:spacing w:before="480" w:after="0" w:line="240" w:lineRule="auto"/>
        <w:ind w:right="95"/>
        <w:rPr>
          <w:rFonts w:cs="Arial"/>
          <w:bCs w:val="0"/>
          <w:color w:val="15284C"/>
          <w:szCs w:val="32"/>
          <w:lang w:val="en-NZ"/>
        </w:rPr>
      </w:pPr>
      <w:bookmarkStart w:id="7" w:name="_Toc425235438"/>
      <w:bookmarkStart w:id="8" w:name="_Toc177558524"/>
      <w:bookmarkStart w:id="9" w:name="_Toc177558730"/>
      <w:bookmarkStart w:id="10" w:name="_Toc425235439"/>
      <w:r w:rsidRPr="009E74EB">
        <w:rPr>
          <w:rFonts w:cs="Arial"/>
          <w:bCs w:val="0"/>
          <w:color w:val="15284C"/>
          <w:szCs w:val="32"/>
          <w:lang w:val="en-NZ"/>
        </w:rPr>
        <w:t>A</w:t>
      </w:r>
      <w:r w:rsidR="009929CB" w:rsidRPr="009E74EB">
        <w:rPr>
          <w:rFonts w:cs="Arial"/>
          <w:bCs w:val="0"/>
          <w:color w:val="15284C"/>
          <w:szCs w:val="32"/>
          <w:lang w:val="en-NZ"/>
        </w:rPr>
        <w:t>ssessment</w:t>
      </w:r>
      <w:r w:rsidRPr="009E74EB">
        <w:rPr>
          <w:rFonts w:cs="Arial"/>
          <w:bCs w:val="0"/>
          <w:color w:val="15284C"/>
          <w:szCs w:val="32"/>
          <w:lang w:val="en-NZ"/>
        </w:rPr>
        <w:t>s</w:t>
      </w:r>
      <w:r w:rsidR="009929CB" w:rsidRPr="009E74EB">
        <w:rPr>
          <w:rFonts w:cs="Arial"/>
          <w:bCs w:val="0"/>
          <w:color w:val="15284C"/>
          <w:szCs w:val="32"/>
          <w:lang w:val="en-NZ"/>
        </w:rPr>
        <w:t xml:space="preserve"> to verify death</w:t>
      </w:r>
      <w:bookmarkEnd w:id="7"/>
      <w:bookmarkEnd w:id="8"/>
      <w:bookmarkEnd w:id="9"/>
    </w:p>
    <w:p w14:paraId="5FA73D77" w14:textId="77777777" w:rsidR="00EC2EAE" w:rsidRDefault="00EC2EAE" w:rsidP="009929CB">
      <w:pPr>
        <w:rPr>
          <w:sz w:val="24"/>
          <w:szCs w:val="24"/>
          <w:lang w:val="en-NZ"/>
        </w:rPr>
      </w:pPr>
    </w:p>
    <w:p w14:paraId="70378617" w14:textId="215F4A04" w:rsidR="009929CB" w:rsidRPr="00635240" w:rsidRDefault="009929CB" w:rsidP="009929CB">
      <w:pPr>
        <w:rPr>
          <w:sz w:val="24"/>
          <w:szCs w:val="24"/>
          <w:lang w:val="en-NZ"/>
        </w:rPr>
      </w:pPr>
      <w:r w:rsidRPr="00635240">
        <w:rPr>
          <w:sz w:val="24"/>
          <w:szCs w:val="24"/>
          <w:lang w:val="en-NZ"/>
        </w:rPr>
        <w:t>A health practitioner can verify death</w:t>
      </w:r>
      <w:r w:rsidR="00180F81" w:rsidRPr="00635240">
        <w:rPr>
          <w:sz w:val="24"/>
          <w:szCs w:val="24"/>
          <w:lang w:val="en-NZ"/>
        </w:rPr>
        <w:t xml:space="preserve">, based on an assessment of the condition of the body </w:t>
      </w:r>
      <w:r w:rsidRPr="00635240">
        <w:rPr>
          <w:sz w:val="24"/>
          <w:szCs w:val="24"/>
          <w:lang w:val="en-NZ"/>
        </w:rPr>
        <w:t xml:space="preserve"> when:</w:t>
      </w:r>
    </w:p>
    <w:p w14:paraId="1D20182B" w14:textId="77777777" w:rsidR="009929CB" w:rsidRPr="00635240" w:rsidRDefault="009929CB" w:rsidP="004D2207">
      <w:pPr>
        <w:pStyle w:val="ListParagraph"/>
        <w:numPr>
          <w:ilvl w:val="0"/>
          <w:numId w:val="12"/>
        </w:numPr>
        <w:ind w:left="426" w:hanging="426"/>
        <w:rPr>
          <w:sz w:val="24"/>
          <w:szCs w:val="24"/>
          <w:lang w:val="en-NZ"/>
        </w:rPr>
      </w:pPr>
      <w:r w:rsidRPr="00635240">
        <w:rPr>
          <w:sz w:val="24"/>
          <w:szCs w:val="24"/>
          <w:lang w:val="en-NZ"/>
        </w:rPr>
        <w:t>the body shows signs of rigor mortis incompatible with life, or</w:t>
      </w:r>
    </w:p>
    <w:p w14:paraId="734BEE2D" w14:textId="77777777" w:rsidR="009929CB" w:rsidRPr="00635240" w:rsidRDefault="009929CB" w:rsidP="004D2207">
      <w:pPr>
        <w:pStyle w:val="ListParagraph"/>
        <w:numPr>
          <w:ilvl w:val="0"/>
          <w:numId w:val="12"/>
        </w:numPr>
        <w:ind w:left="426" w:hanging="426"/>
        <w:rPr>
          <w:sz w:val="24"/>
          <w:szCs w:val="24"/>
          <w:lang w:val="en-NZ"/>
        </w:rPr>
      </w:pPr>
      <w:r w:rsidRPr="00635240">
        <w:rPr>
          <w:sz w:val="24"/>
          <w:szCs w:val="24"/>
          <w:lang w:val="en-NZ"/>
        </w:rPr>
        <w:t>the body has visible injuries incompatible with life, or</w:t>
      </w:r>
    </w:p>
    <w:p w14:paraId="42FD3C45" w14:textId="77777777" w:rsidR="009929CB" w:rsidRPr="00635240" w:rsidRDefault="009929CB" w:rsidP="004D2207">
      <w:pPr>
        <w:pStyle w:val="ListParagraph"/>
        <w:numPr>
          <w:ilvl w:val="0"/>
          <w:numId w:val="12"/>
        </w:numPr>
        <w:ind w:left="426" w:hanging="426"/>
        <w:rPr>
          <w:sz w:val="24"/>
          <w:szCs w:val="24"/>
          <w:lang w:val="en-NZ"/>
        </w:rPr>
      </w:pPr>
      <w:r w:rsidRPr="00635240">
        <w:rPr>
          <w:sz w:val="24"/>
          <w:szCs w:val="24"/>
          <w:lang w:val="en-NZ"/>
        </w:rPr>
        <w:t>the body shows signs of decomposition incompatible with life.</w:t>
      </w:r>
    </w:p>
    <w:p w14:paraId="07FDE9BA" w14:textId="0FB0DEA7" w:rsidR="009929CB" w:rsidRPr="00635240" w:rsidRDefault="009929CB" w:rsidP="009929CB">
      <w:pPr>
        <w:rPr>
          <w:sz w:val="24"/>
          <w:szCs w:val="24"/>
          <w:lang w:val="en-NZ"/>
        </w:rPr>
      </w:pPr>
      <w:r w:rsidRPr="00635240">
        <w:rPr>
          <w:sz w:val="24"/>
          <w:szCs w:val="24"/>
          <w:lang w:val="en-NZ"/>
        </w:rPr>
        <w:t xml:space="preserve">Alternatively, health practitioners can verify death once they have undertaken two </w:t>
      </w:r>
      <w:r w:rsidR="00002850" w:rsidRPr="00635240">
        <w:rPr>
          <w:sz w:val="24"/>
          <w:szCs w:val="24"/>
          <w:lang w:val="en-NZ"/>
        </w:rPr>
        <w:t xml:space="preserve">clinical </w:t>
      </w:r>
      <w:r w:rsidRPr="00635240">
        <w:rPr>
          <w:sz w:val="24"/>
          <w:szCs w:val="24"/>
          <w:lang w:val="en-NZ"/>
        </w:rPr>
        <w:t>assessments (a minimum of 10 minutes apart) to establish death. The health practitioner must confirm the following:</w:t>
      </w:r>
    </w:p>
    <w:p w14:paraId="32FC4310" w14:textId="77777777" w:rsidR="009929CB" w:rsidRPr="00635240" w:rsidRDefault="009929CB" w:rsidP="004D2207">
      <w:pPr>
        <w:pStyle w:val="ListParagraph"/>
        <w:numPr>
          <w:ilvl w:val="0"/>
          <w:numId w:val="12"/>
        </w:numPr>
        <w:ind w:left="426" w:hanging="426"/>
        <w:rPr>
          <w:sz w:val="24"/>
          <w:szCs w:val="24"/>
          <w:lang w:val="en-NZ"/>
        </w:rPr>
      </w:pPr>
      <w:r w:rsidRPr="00635240">
        <w:rPr>
          <w:sz w:val="24"/>
          <w:szCs w:val="24"/>
          <w:lang w:val="en-NZ"/>
        </w:rPr>
        <w:t>no signs of breathing for one minute</w:t>
      </w:r>
    </w:p>
    <w:p w14:paraId="12A58306" w14:textId="77777777" w:rsidR="009929CB" w:rsidRPr="00635240" w:rsidRDefault="009929CB" w:rsidP="004D2207">
      <w:pPr>
        <w:pStyle w:val="ListParagraph"/>
        <w:numPr>
          <w:ilvl w:val="0"/>
          <w:numId w:val="12"/>
        </w:numPr>
        <w:ind w:left="426" w:hanging="426"/>
        <w:rPr>
          <w:sz w:val="24"/>
          <w:szCs w:val="24"/>
          <w:lang w:val="en-NZ"/>
        </w:rPr>
      </w:pPr>
      <w:r w:rsidRPr="00635240">
        <w:rPr>
          <w:sz w:val="24"/>
          <w:szCs w:val="24"/>
          <w:lang w:val="en-NZ"/>
        </w:rPr>
        <w:t>no palpable central pulse (femoral, carotid, or brachial). In most circumstances this will require palpation for 5–10 seconds</w:t>
      </w:r>
    </w:p>
    <w:p w14:paraId="72A03838" w14:textId="77777777" w:rsidR="009929CB" w:rsidRPr="00635240" w:rsidRDefault="009929CB" w:rsidP="004D2207">
      <w:pPr>
        <w:pStyle w:val="ListParagraph"/>
        <w:numPr>
          <w:ilvl w:val="0"/>
          <w:numId w:val="12"/>
        </w:numPr>
        <w:ind w:left="426" w:hanging="426"/>
        <w:rPr>
          <w:sz w:val="24"/>
          <w:szCs w:val="24"/>
          <w:lang w:val="en-NZ"/>
        </w:rPr>
      </w:pPr>
      <w:r w:rsidRPr="00635240">
        <w:rPr>
          <w:sz w:val="24"/>
          <w:szCs w:val="24"/>
          <w:lang w:val="en-NZ"/>
        </w:rPr>
        <w:t>no audible heart sounds</w:t>
      </w:r>
    </w:p>
    <w:p w14:paraId="0799C1A5" w14:textId="77777777" w:rsidR="009929CB" w:rsidRPr="00635240" w:rsidRDefault="009929CB" w:rsidP="004D2207">
      <w:pPr>
        <w:pStyle w:val="ListParagraph"/>
        <w:numPr>
          <w:ilvl w:val="0"/>
          <w:numId w:val="12"/>
        </w:numPr>
        <w:ind w:left="426" w:hanging="426"/>
        <w:rPr>
          <w:sz w:val="24"/>
          <w:szCs w:val="24"/>
          <w:lang w:val="en-NZ"/>
        </w:rPr>
      </w:pPr>
      <w:r w:rsidRPr="00635240">
        <w:rPr>
          <w:sz w:val="24"/>
          <w:szCs w:val="24"/>
          <w:lang w:val="en-NZ"/>
        </w:rPr>
        <w:t>pupils dilated and unreactive to light</w:t>
      </w:r>
    </w:p>
    <w:p w14:paraId="30A68FD0" w14:textId="77777777" w:rsidR="009929CB" w:rsidRPr="00635240" w:rsidRDefault="009929CB" w:rsidP="004D2207">
      <w:pPr>
        <w:pStyle w:val="ListParagraph"/>
        <w:numPr>
          <w:ilvl w:val="0"/>
          <w:numId w:val="12"/>
        </w:numPr>
        <w:ind w:left="426" w:hanging="426"/>
        <w:rPr>
          <w:sz w:val="24"/>
          <w:szCs w:val="24"/>
          <w:lang w:val="en-NZ"/>
        </w:rPr>
      </w:pPr>
      <w:r w:rsidRPr="00635240">
        <w:rPr>
          <w:sz w:val="24"/>
          <w:szCs w:val="24"/>
          <w:lang w:val="en-NZ"/>
        </w:rPr>
        <w:t>where available, a cardiac monitor or defibrillator is used and shows asystole.</w:t>
      </w:r>
    </w:p>
    <w:p w14:paraId="7A65C019" w14:textId="761115A1" w:rsidR="00DF49BD" w:rsidRPr="00635240" w:rsidRDefault="00E12E43" w:rsidP="009929CB">
      <w:pPr>
        <w:rPr>
          <w:sz w:val="24"/>
          <w:szCs w:val="24"/>
          <w:lang w:val="en-NZ"/>
        </w:rPr>
      </w:pPr>
      <w:r w:rsidRPr="00635240">
        <w:rPr>
          <w:sz w:val="24"/>
          <w:szCs w:val="24"/>
          <w:lang w:val="en-NZ"/>
        </w:rPr>
        <w:t>P</w:t>
      </w:r>
      <w:r w:rsidR="00AE2FBF" w:rsidRPr="00635240">
        <w:rPr>
          <w:sz w:val="24"/>
          <w:szCs w:val="24"/>
          <w:lang w:val="en-NZ"/>
        </w:rPr>
        <w:t xml:space="preserve">athways </w:t>
      </w:r>
      <w:r w:rsidR="0008027B" w:rsidRPr="00635240">
        <w:rPr>
          <w:sz w:val="24"/>
          <w:szCs w:val="24"/>
          <w:lang w:val="en-NZ"/>
        </w:rPr>
        <w:t xml:space="preserve">that </w:t>
      </w:r>
      <w:r w:rsidR="004E0089" w:rsidRPr="00635240">
        <w:rPr>
          <w:sz w:val="24"/>
          <w:szCs w:val="24"/>
          <w:lang w:val="en-NZ"/>
        </w:rPr>
        <w:t>intensive care specialists (inten</w:t>
      </w:r>
      <w:r w:rsidR="00F347FA" w:rsidRPr="00635240">
        <w:rPr>
          <w:sz w:val="24"/>
          <w:szCs w:val="24"/>
          <w:lang w:val="en-NZ"/>
        </w:rPr>
        <w:t>sivists)</w:t>
      </w:r>
      <w:r w:rsidR="0008027B" w:rsidRPr="00635240">
        <w:rPr>
          <w:sz w:val="24"/>
          <w:szCs w:val="24"/>
          <w:lang w:val="en-NZ"/>
        </w:rPr>
        <w:t xml:space="preserve"> </w:t>
      </w:r>
      <w:r w:rsidR="001678B5" w:rsidRPr="00635240">
        <w:rPr>
          <w:sz w:val="24"/>
          <w:szCs w:val="24"/>
          <w:lang w:val="en-NZ"/>
        </w:rPr>
        <w:t>and other health professional</w:t>
      </w:r>
      <w:r w:rsidR="00207F92" w:rsidRPr="00635240">
        <w:rPr>
          <w:sz w:val="24"/>
          <w:szCs w:val="24"/>
          <w:lang w:val="en-NZ"/>
        </w:rPr>
        <w:t>s</w:t>
      </w:r>
      <w:r w:rsidR="001678B5" w:rsidRPr="00635240">
        <w:rPr>
          <w:sz w:val="24"/>
          <w:szCs w:val="24"/>
          <w:lang w:val="en-NZ"/>
        </w:rPr>
        <w:t xml:space="preserve"> </w:t>
      </w:r>
      <w:r w:rsidR="0008027B" w:rsidRPr="00635240">
        <w:rPr>
          <w:sz w:val="24"/>
          <w:szCs w:val="24"/>
          <w:lang w:val="en-NZ"/>
        </w:rPr>
        <w:t xml:space="preserve">use </w:t>
      </w:r>
      <w:r w:rsidR="00C101BB" w:rsidRPr="00635240">
        <w:rPr>
          <w:sz w:val="24"/>
          <w:szCs w:val="24"/>
          <w:lang w:val="en-NZ"/>
        </w:rPr>
        <w:t xml:space="preserve">to verify death </w:t>
      </w:r>
      <w:r w:rsidR="003D709A" w:rsidRPr="00635240">
        <w:rPr>
          <w:sz w:val="24"/>
          <w:szCs w:val="24"/>
          <w:lang w:val="en-NZ"/>
        </w:rPr>
        <w:t>in the context of organ donation</w:t>
      </w:r>
      <w:r w:rsidR="00B807EB" w:rsidRPr="00635240">
        <w:rPr>
          <w:sz w:val="24"/>
          <w:szCs w:val="24"/>
        </w:rPr>
        <w:t xml:space="preserve"> </w:t>
      </w:r>
      <w:r w:rsidR="0001693F" w:rsidRPr="00635240">
        <w:rPr>
          <w:sz w:val="24"/>
          <w:szCs w:val="24"/>
        </w:rPr>
        <w:t xml:space="preserve">in New Zealand and Australia </w:t>
      </w:r>
      <w:r w:rsidR="00B807EB" w:rsidRPr="00635240">
        <w:rPr>
          <w:sz w:val="24"/>
          <w:szCs w:val="24"/>
        </w:rPr>
        <w:t>are noted on pages 5-6, below</w:t>
      </w:r>
      <w:r w:rsidR="00207F92" w:rsidRPr="00635240">
        <w:rPr>
          <w:sz w:val="24"/>
          <w:szCs w:val="24"/>
        </w:rPr>
        <w:t xml:space="preserve">. </w:t>
      </w:r>
    </w:p>
    <w:p w14:paraId="00E7F33C" w14:textId="11DB09DB" w:rsidR="009929CB" w:rsidRPr="00635240" w:rsidRDefault="009929CB" w:rsidP="009929CB">
      <w:pPr>
        <w:rPr>
          <w:sz w:val="24"/>
          <w:szCs w:val="24"/>
          <w:lang w:val="en-NZ"/>
        </w:rPr>
      </w:pPr>
      <w:r w:rsidRPr="00635240">
        <w:rPr>
          <w:sz w:val="24"/>
          <w:szCs w:val="24"/>
          <w:lang w:val="en-NZ"/>
        </w:rPr>
        <w:t xml:space="preserve">Health practitioners </w:t>
      </w:r>
      <w:r w:rsidR="0076423A" w:rsidRPr="00635240">
        <w:rPr>
          <w:sz w:val="24"/>
          <w:szCs w:val="24"/>
          <w:lang w:val="en-NZ"/>
        </w:rPr>
        <w:t xml:space="preserve">can </w:t>
      </w:r>
      <w:r w:rsidRPr="00635240">
        <w:rPr>
          <w:sz w:val="24"/>
          <w:szCs w:val="24"/>
          <w:lang w:val="en-NZ"/>
        </w:rPr>
        <w:t>use the coroner</w:t>
      </w:r>
      <w:r w:rsidR="00F7703D" w:rsidRPr="00635240">
        <w:rPr>
          <w:sz w:val="24"/>
          <w:szCs w:val="24"/>
          <w:lang w:val="en-NZ"/>
        </w:rPr>
        <w:t>’</w:t>
      </w:r>
      <w:r w:rsidRPr="00635240">
        <w:rPr>
          <w:sz w:val="24"/>
          <w:szCs w:val="24"/>
          <w:lang w:val="en-NZ"/>
        </w:rPr>
        <w:t>s form (COR31) to document the assessment and record the details of the deceased including the date, time, and place of the assessment</w:t>
      </w:r>
      <w:r w:rsidR="005C27A1" w:rsidRPr="00635240">
        <w:rPr>
          <w:sz w:val="24"/>
          <w:szCs w:val="24"/>
          <w:lang w:val="en-NZ"/>
        </w:rPr>
        <w:t xml:space="preserve"> </w:t>
      </w:r>
      <w:r w:rsidR="002446ED" w:rsidRPr="00635240">
        <w:rPr>
          <w:sz w:val="24"/>
          <w:szCs w:val="24"/>
          <w:lang w:val="en-NZ"/>
        </w:rPr>
        <w:t>if the death is to be reported to the coroner</w:t>
      </w:r>
      <w:r w:rsidRPr="00635240">
        <w:rPr>
          <w:sz w:val="24"/>
          <w:szCs w:val="24"/>
          <w:lang w:val="en-NZ"/>
        </w:rPr>
        <w:t xml:space="preserve">. The COR31 is available from the police or the Duty Coroner’s office (National Initial Investigation Office) on 0800 266 800, or by emailing </w:t>
      </w:r>
      <w:hyperlink r:id="rId11" w:history="1">
        <w:r w:rsidRPr="00635240">
          <w:rPr>
            <w:rStyle w:val="Hyperlink"/>
            <w:sz w:val="24"/>
            <w:szCs w:val="24"/>
            <w:lang w:val="en-NZ"/>
          </w:rPr>
          <w:t>niio@justice.govt.nz</w:t>
        </w:r>
      </w:hyperlink>
      <w:r w:rsidRPr="00635240">
        <w:rPr>
          <w:sz w:val="24"/>
          <w:szCs w:val="24"/>
          <w:lang w:val="en-NZ"/>
        </w:rPr>
        <w:t xml:space="preserve"> </w:t>
      </w:r>
    </w:p>
    <w:p w14:paraId="430CB9B8" w14:textId="7FC1EA77" w:rsidR="00CD311A" w:rsidRPr="00635240" w:rsidRDefault="00CD311A" w:rsidP="00EC2EAE">
      <w:pPr>
        <w:pStyle w:val="Heading1"/>
        <w:spacing w:before="480" w:after="0" w:line="240" w:lineRule="auto"/>
        <w:rPr>
          <w:rFonts w:cs="Arial"/>
          <w:bCs w:val="0"/>
          <w:color w:val="15284C"/>
          <w:szCs w:val="32"/>
          <w:lang w:val="en-NZ"/>
        </w:rPr>
      </w:pPr>
      <w:bookmarkStart w:id="11" w:name="_Toc177558525"/>
      <w:bookmarkStart w:id="12" w:name="_Toc177558731"/>
      <w:r w:rsidRPr="00635240">
        <w:rPr>
          <w:rFonts w:cs="Arial"/>
          <w:bCs w:val="0"/>
          <w:color w:val="15284C"/>
          <w:szCs w:val="32"/>
          <w:lang w:val="en-NZ"/>
        </w:rPr>
        <w:lastRenderedPageBreak/>
        <w:t xml:space="preserve">Guidance for </w:t>
      </w:r>
      <w:r w:rsidR="00300F4F" w:rsidRPr="00635240">
        <w:rPr>
          <w:rFonts w:cs="Arial"/>
          <w:bCs w:val="0"/>
          <w:color w:val="15284C"/>
          <w:szCs w:val="32"/>
          <w:lang w:val="en-NZ"/>
        </w:rPr>
        <w:t>those verifying deaths</w:t>
      </w:r>
      <w:bookmarkEnd w:id="11"/>
      <w:bookmarkEnd w:id="12"/>
      <w:r w:rsidR="00300F4F" w:rsidRPr="00635240">
        <w:rPr>
          <w:rFonts w:cs="Arial"/>
          <w:bCs w:val="0"/>
          <w:color w:val="15284C"/>
          <w:szCs w:val="32"/>
          <w:lang w:val="en-NZ"/>
        </w:rPr>
        <w:t xml:space="preserve"> </w:t>
      </w:r>
      <w:bookmarkEnd w:id="10"/>
    </w:p>
    <w:p w14:paraId="7F3F4725" w14:textId="77777777" w:rsidR="00EC2EAE" w:rsidRPr="00635240" w:rsidRDefault="00EC2EAE" w:rsidP="00CD311A">
      <w:pPr>
        <w:rPr>
          <w:sz w:val="24"/>
          <w:szCs w:val="24"/>
          <w:lang w:val="en-NZ"/>
        </w:rPr>
      </w:pPr>
    </w:p>
    <w:p w14:paraId="5A3DA85A" w14:textId="15307683" w:rsidR="00CD311A" w:rsidRPr="00635240" w:rsidRDefault="00CD311A" w:rsidP="00CD311A">
      <w:pPr>
        <w:rPr>
          <w:sz w:val="24"/>
          <w:szCs w:val="24"/>
          <w:lang w:val="en-NZ"/>
        </w:rPr>
      </w:pPr>
      <w:r w:rsidRPr="00635240">
        <w:rPr>
          <w:sz w:val="24"/>
          <w:szCs w:val="24"/>
          <w:lang w:val="en-NZ"/>
        </w:rPr>
        <w:t>The clinical assessment described is for verifying death</w:t>
      </w:r>
      <w:r w:rsidR="00DC00E7" w:rsidRPr="00635240">
        <w:rPr>
          <w:sz w:val="24"/>
          <w:szCs w:val="24"/>
          <w:lang w:val="en-NZ"/>
        </w:rPr>
        <w:t xml:space="preserve"> only</w:t>
      </w:r>
      <w:r w:rsidRPr="00635240">
        <w:rPr>
          <w:sz w:val="24"/>
          <w:szCs w:val="24"/>
          <w:lang w:val="en-NZ"/>
        </w:rPr>
        <w:t>. It is not to be used to determine whether or not resuscitation attempts are futile</w:t>
      </w:r>
      <w:r w:rsidR="00DC00E7" w:rsidRPr="00635240">
        <w:rPr>
          <w:sz w:val="24"/>
          <w:szCs w:val="24"/>
          <w:lang w:val="en-NZ"/>
        </w:rPr>
        <w:t>,</w:t>
      </w:r>
      <w:r w:rsidRPr="00635240">
        <w:rPr>
          <w:sz w:val="24"/>
          <w:szCs w:val="24"/>
          <w:lang w:val="en-NZ"/>
        </w:rPr>
        <w:t xml:space="preserve"> because these two decisions are very different.</w:t>
      </w:r>
    </w:p>
    <w:p w14:paraId="0A705CBD" w14:textId="77777777" w:rsidR="00CD311A" w:rsidRPr="00635240" w:rsidRDefault="00CD311A" w:rsidP="004D2207">
      <w:pPr>
        <w:pStyle w:val="ListParagraph"/>
        <w:numPr>
          <w:ilvl w:val="0"/>
          <w:numId w:val="12"/>
        </w:numPr>
        <w:ind w:left="426" w:hanging="426"/>
        <w:rPr>
          <w:sz w:val="24"/>
          <w:szCs w:val="24"/>
          <w:lang w:val="en-NZ"/>
        </w:rPr>
      </w:pPr>
      <w:r w:rsidRPr="00635240">
        <w:rPr>
          <w:sz w:val="24"/>
          <w:szCs w:val="24"/>
          <w:lang w:val="en-NZ"/>
        </w:rPr>
        <w:t>Death must be clear and unequivocal if the condition of the body is used to verify death.</w:t>
      </w:r>
    </w:p>
    <w:p w14:paraId="13A2828C" w14:textId="77777777" w:rsidR="00CD311A" w:rsidRPr="00635240" w:rsidRDefault="00CD311A" w:rsidP="004D2207">
      <w:pPr>
        <w:pStyle w:val="ListParagraph"/>
        <w:numPr>
          <w:ilvl w:val="0"/>
          <w:numId w:val="12"/>
        </w:numPr>
        <w:ind w:left="426" w:hanging="426"/>
        <w:rPr>
          <w:sz w:val="24"/>
          <w:szCs w:val="24"/>
          <w:lang w:val="en-NZ"/>
        </w:rPr>
      </w:pPr>
      <w:r w:rsidRPr="00635240">
        <w:rPr>
          <w:sz w:val="24"/>
          <w:szCs w:val="24"/>
          <w:lang w:val="en-NZ"/>
        </w:rPr>
        <w:t>A clinical assessment must occur if death is not clear and unequivocal.</w:t>
      </w:r>
    </w:p>
    <w:p w14:paraId="5C76FE10" w14:textId="77777777" w:rsidR="00CD311A" w:rsidRPr="00635240" w:rsidRDefault="00CD311A" w:rsidP="004D2207">
      <w:pPr>
        <w:pStyle w:val="ListParagraph"/>
        <w:numPr>
          <w:ilvl w:val="0"/>
          <w:numId w:val="12"/>
        </w:numPr>
        <w:ind w:left="426" w:hanging="426"/>
        <w:rPr>
          <w:sz w:val="24"/>
          <w:szCs w:val="24"/>
          <w:lang w:val="en-NZ"/>
        </w:rPr>
      </w:pPr>
      <w:r w:rsidRPr="00635240">
        <w:rPr>
          <w:sz w:val="24"/>
          <w:szCs w:val="24"/>
          <w:lang w:val="en-NZ"/>
        </w:rPr>
        <w:t>The entire chest and abdomen should be exposed when examining the patient for signs of breathing and this examination must occur over an uninterrupted period of one minute.</w:t>
      </w:r>
    </w:p>
    <w:p w14:paraId="5BFD9768" w14:textId="2121C21F" w:rsidR="00CD311A" w:rsidRPr="00635240" w:rsidRDefault="00CD311A" w:rsidP="004D2207">
      <w:pPr>
        <w:pStyle w:val="ListParagraph"/>
        <w:numPr>
          <w:ilvl w:val="0"/>
          <w:numId w:val="12"/>
        </w:numPr>
        <w:ind w:left="426" w:hanging="426"/>
        <w:rPr>
          <w:sz w:val="24"/>
          <w:szCs w:val="24"/>
          <w:lang w:val="en-NZ"/>
        </w:rPr>
      </w:pPr>
      <w:r w:rsidRPr="00635240">
        <w:rPr>
          <w:sz w:val="24"/>
          <w:szCs w:val="24"/>
          <w:lang w:val="en-NZ"/>
        </w:rPr>
        <w:t>Either the carotid or femoral site may be used when examining for a palpable central pulse. In infants aged up to one year</w:t>
      </w:r>
      <w:r w:rsidR="00DC00E7" w:rsidRPr="00635240">
        <w:rPr>
          <w:sz w:val="24"/>
          <w:szCs w:val="24"/>
          <w:lang w:val="en-NZ"/>
        </w:rPr>
        <w:t>,</w:t>
      </w:r>
      <w:r w:rsidRPr="00635240">
        <w:rPr>
          <w:sz w:val="24"/>
          <w:szCs w:val="24"/>
          <w:lang w:val="en-NZ"/>
        </w:rPr>
        <w:t xml:space="preserve"> palpation of the brachial pulse is recommended. No duration is specified for the palpation of a pulse, but there must be certainty that the pulse is not palpable. In most circumstances this will require palpation for 5–10 seconds.</w:t>
      </w:r>
    </w:p>
    <w:p w14:paraId="2AA66AB1" w14:textId="77777777" w:rsidR="00CD311A" w:rsidRPr="00635240" w:rsidRDefault="00CD311A" w:rsidP="004D2207">
      <w:pPr>
        <w:pStyle w:val="ListParagraph"/>
        <w:numPr>
          <w:ilvl w:val="0"/>
          <w:numId w:val="12"/>
        </w:numPr>
        <w:ind w:left="426" w:hanging="426"/>
        <w:rPr>
          <w:sz w:val="24"/>
          <w:szCs w:val="24"/>
          <w:lang w:val="en-NZ"/>
        </w:rPr>
      </w:pPr>
      <w:r w:rsidRPr="00635240">
        <w:rPr>
          <w:sz w:val="24"/>
          <w:szCs w:val="24"/>
          <w:lang w:val="en-NZ"/>
        </w:rPr>
        <w:t>Auscultation for heart sounds should occur over the expected site of the apex beat of the heart. In many people this will be over the fourth intercostal space in the mid-clavicular line.</w:t>
      </w:r>
    </w:p>
    <w:p w14:paraId="4D57D015" w14:textId="1847CB32" w:rsidR="00CD311A" w:rsidRPr="00635240" w:rsidRDefault="00CD311A" w:rsidP="004D2207">
      <w:pPr>
        <w:pStyle w:val="ListParagraph"/>
        <w:numPr>
          <w:ilvl w:val="0"/>
          <w:numId w:val="12"/>
        </w:numPr>
        <w:ind w:left="426" w:hanging="426"/>
        <w:rPr>
          <w:sz w:val="24"/>
          <w:szCs w:val="24"/>
          <w:lang w:val="en-NZ"/>
        </w:rPr>
      </w:pPr>
      <w:r w:rsidRPr="00635240">
        <w:rPr>
          <w:sz w:val="24"/>
          <w:szCs w:val="24"/>
          <w:lang w:val="en-NZ"/>
        </w:rPr>
        <w:t>The pupils must be dilated, but no pupil size is specified. The pupils must be unreactive to light, and this requires a focal light source (e.g., a torch) to be used.</w:t>
      </w:r>
    </w:p>
    <w:p w14:paraId="3CD68FEB" w14:textId="77777777" w:rsidR="00CD311A" w:rsidRPr="00635240" w:rsidRDefault="00CD311A" w:rsidP="004D2207">
      <w:pPr>
        <w:pStyle w:val="ListParagraph"/>
        <w:numPr>
          <w:ilvl w:val="0"/>
          <w:numId w:val="12"/>
        </w:numPr>
        <w:ind w:left="426" w:hanging="426"/>
        <w:rPr>
          <w:sz w:val="24"/>
          <w:szCs w:val="24"/>
          <w:lang w:val="en-NZ"/>
        </w:rPr>
      </w:pPr>
      <w:r w:rsidRPr="00635240">
        <w:rPr>
          <w:sz w:val="24"/>
          <w:szCs w:val="24"/>
          <w:lang w:val="en-NZ"/>
        </w:rPr>
        <w:t xml:space="preserve">The clinical assessment must be performed twice, with a minimum of 10 minutes between the two assessments. The reason for this is that the person may be in </w:t>
      </w:r>
      <w:bookmarkStart w:id="13" w:name="_Hlk166502680"/>
      <w:r w:rsidRPr="00635240">
        <w:rPr>
          <w:sz w:val="24"/>
          <w:szCs w:val="24"/>
          <w:lang w:val="en-NZ"/>
        </w:rPr>
        <w:t>asystole</w:t>
      </w:r>
      <w:bookmarkEnd w:id="13"/>
      <w:r w:rsidRPr="00635240">
        <w:rPr>
          <w:sz w:val="24"/>
          <w:szCs w:val="24"/>
          <w:lang w:val="en-NZ"/>
        </w:rPr>
        <w:t xml:space="preserve"> for 5–10 minutes and then spontaneously develop return of a beating heart. This is sometimes called auto-resuscitation or the Lazarus reflex.</w:t>
      </w:r>
    </w:p>
    <w:p w14:paraId="0E5BFF7E" w14:textId="77777777" w:rsidR="00CD311A" w:rsidRPr="00635240" w:rsidRDefault="00CD311A" w:rsidP="004D2207">
      <w:pPr>
        <w:pStyle w:val="ListParagraph"/>
        <w:numPr>
          <w:ilvl w:val="0"/>
          <w:numId w:val="12"/>
        </w:numPr>
        <w:ind w:left="426" w:hanging="426"/>
        <w:rPr>
          <w:sz w:val="24"/>
          <w:szCs w:val="24"/>
          <w:lang w:val="en-NZ"/>
        </w:rPr>
      </w:pPr>
      <w:r w:rsidRPr="00635240">
        <w:rPr>
          <w:sz w:val="24"/>
          <w:szCs w:val="24"/>
          <w:lang w:val="en-NZ"/>
        </w:rPr>
        <w:t>It is not compulsory to determine the cardiac rhythm, but this should be done following the second clinical assessment if a suitable monitor is present.</w:t>
      </w:r>
    </w:p>
    <w:p w14:paraId="7A65456F" w14:textId="154AEE9F" w:rsidR="00CD311A" w:rsidRPr="00635240" w:rsidRDefault="00CD311A" w:rsidP="004D2207">
      <w:pPr>
        <w:pStyle w:val="ListParagraph"/>
        <w:numPr>
          <w:ilvl w:val="0"/>
          <w:numId w:val="12"/>
        </w:numPr>
        <w:ind w:left="426" w:hanging="426"/>
        <w:rPr>
          <w:sz w:val="24"/>
          <w:szCs w:val="24"/>
          <w:lang w:val="en-NZ"/>
        </w:rPr>
      </w:pPr>
      <w:r w:rsidRPr="00635240">
        <w:rPr>
          <w:sz w:val="24"/>
          <w:szCs w:val="24"/>
          <w:lang w:val="en-NZ"/>
        </w:rPr>
        <w:t>The person may be dead but may not be in asystole at the time of the second clinical assessment. For example:</w:t>
      </w:r>
    </w:p>
    <w:p w14:paraId="1A25AA2A" w14:textId="77777777" w:rsidR="00CD311A" w:rsidRPr="00635240" w:rsidRDefault="00CD311A" w:rsidP="00E759B3">
      <w:pPr>
        <w:pStyle w:val="ListParagraph"/>
        <w:numPr>
          <w:ilvl w:val="1"/>
          <w:numId w:val="12"/>
        </w:numPr>
        <w:ind w:left="851" w:hanging="425"/>
        <w:rPr>
          <w:sz w:val="24"/>
          <w:szCs w:val="24"/>
          <w:lang w:val="en-NZ"/>
        </w:rPr>
      </w:pPr>
      <w:r w:rsidRPr="00635240">
        <w:rPr>
          <w:sz w:val="24"/>
          <w:szCs w:val="24"/>
          <w:lang w:val="en-NZ"/>
        </w:rPr>
        <w:t xml:space="preserve">there may be slow broad complexes. In this case verification of death should be delayed until asystole is present </w:t>
      </w:r>
    </w:p>
    <w:p w14:paraId="31FDC408" w14:textId="77777777" w:rsidR="00CD311A" w:rsidRPr="00635240" w:rsidRDefault="00CD311A" w:rsidP="00E759B3">
      <w:pPr>
        <w:pStyle w:val="ListParagraph"/>
        <w:numPr>
          <w:ilvl w:val="1"/>
          <w:numId w:val="12"/>
        </w:numPr>
        <w:ind w:left="851" w:hanging="425"/>
        <w:rPr>
          <w:sz w:val="24"/>
          <w:szCs w:val="24"/>
          <w:lang w:val="en-NZ"/>
        </w:rPr>
      </w:pPr>
      <w:r w:rsidRPr="00635240">
        <w:rPr>
          <w:sz w:val="24"/>
          <w:szCs w:val="24"/>
          <w:lang w:val="en-NZ"/>
        </w:rPr>
        <w:t>a person with a pacemaker may have electrical activity generated by the pacemaker for many hours after death. In this case it is appropriate to determine the person is dead, provided all of the other clinical criteria are met.</w:t>
      </w:r>
    </w:p>
    <w:p w14:paraId="325EF2AA" w14:textId="77777777" w:rsidR="00D02719" w:rsidRPr="00635240" w:rsidRDefault="00D02719" w:rsidP="00D02719">
      <w:pPr>
        <w:ind w:left="284"/>
        <w:rPr>
          <w:sz w:val="24"/>
          <w:szCs w:val="24"/>
          <w:lang w:val="en-NZ"/>
        </w:rPr>
      </w:pPr>
    </w:p>
    <w:p w14:paraId="438D246D" w14:textId="6A5CE14C" w:rsidR="00B02FC7" w:rsidRPr="00635240" w:rsidRDefault="00B02FC7" w:rsidP="00EC2EAE">
      <w:pPr>
        <w:pStyle w:val="Heading1"/>
        <w:spacing w:before="480" w:after="0" w:line="240" w:lineRule="auto"/>
        <w:rPr>
          <w:rFonts w:cs="Arial"/>
          <w:bCs w:val="0"/>
          <w:color w:val="15284C"/>
          <w:szCs w:val="32"/>
          <w:lang w:val="en-NZ"/>
        </w:rPr>
      </w:pPr>
      <w:bookmarkStart w:id="14" w:name="_Toc177558526"/>
      <w:bookmarkStart w:id="15" w:name="_Toc177558732"/>
      <w:r w:rsidRPr="00635240">
        <w:rPr>
          <w:rFonts w:cs="Arial"/>
          <w:bCs w:val="0"/>
          <w:color w:val="15284C"/>
          <w:szCs w:val="32"/>
          <w:lang w:val="en-NZ"/>
        </w:rPr>
        <w:lastRenderedPageBreak/>
        <w:t xml:space="preserve">Verifying death in </w:t>
      </w:r>
      <w:r w:rsidR="00355341" w:rsidRPr="00635240">
        <w:rPr>
          <w:rFonts w:cs="Arial"/>
          <w:bCs w:val="0"/>
          <w:color w:val="15284C"/>
          <w:szCs w:val="32"/>
          <w:lang w:val="en-NZ"/>
        </w:rPr>
        <w:t xml:space="preserve">the </w:t>
      </w:r>
      <w:r w:rsidRPr="00635240">
        <w:rPr>
          <w:rFonts w:cs="Arial"/>
          <w:bCs w:val="0"/>
          <w:color w:val="15284C"/>
          <w:szCs w:val="32"/>
          <w:lang w:val="en-NZ"/>
        </w:rPr>
        <w:t>intensive care unit in the context of organ donation</w:t>
      </w:r>
      <w:bookmarkEnd w:id="14"/>
      <w:bookmarkEnd w:id="15"/>
    </w:p>
    <w:p w14:paraId="3CDEA0DC" w14:textId="77777777" w:rsidR="00713B34" w:rsidRPr="00635240" w:rsidRDefault="00713B34" w:rsidP="00B02FC7">
      <w:pPr>
        <w:rPr>
          <w:sz w:val="24"/>
          <w:szCs w:val="24"/>
        </w:rPr>
      </w:pPr>
    </w:p>
    <w:p w14:paraId="69E13118" w14:textId="7975230D" w:rsidR="00103CD6" w:rsidRPr="00635240" w:rsidRDefault="009616B2" w:rsidP="00B02FC7">
      <w:pPr>
        <w:rPr>
          <w:sz w:val="24"/>
          <w:szCs w:val="24"/>
        </w:rPr>
      </w:pPr>
      <w:r w:rsidRPr="00635240">
        <w:rPr>
          <w:sz w:val="24"/>
          <w:szCs w:val="24"/>
        </w:rPr>
        <w:t xml:space="preserve">The </w:t>
      </w:r>
      <w:r w:rsidR="00EA1B80" w:rsidRPr="00635240">
        <w:rPr>
          <w:sz w:val="24"/>
          <w:szCs w:val="24"/>
        </w:rPr>
        <w:t>Australian and New Zealand Intensive Care Society’s (ANZICS)</w:t>
      </w:r>
      <w:r w:rsidR="00FD3196" w:rsidRPr="00635240">
        <w:rPr>
          <w:sz w:val="24"/>
          <w:szCs w:val="24"/>
        </w:rPr>
        <w:t xml:space="preserve"> </w:t>
      </w:r>
      <w:r w:rsidR="005E0ED4" w:rsidRPr="00635240">
        <w:rPr>
          <w:i/>
          <w:iCs/>
          <w:sz w:val="24"/>
          <w:szCs w:val="24"/>
        </w:rPr>
        <w:t xml:space="preserve">Statement on </w:t>
      </w:r>
      <w:r w:rsidR="00BE7146" w:rsidRPr="00635240">
        <w:rPr>
          <w:i/>
          <w:iCs/>
          <w:sz w:val="24"/>
          <w:szCs w:val="24"/>
        </w:rPr>
        <w:t>D</w:t>
      </w:r>
      <w:r w:rsidR="005E0ED4" w:rsidRPr="00635240">
        <w:rPr>
          <w:i/>
          <w:iCs/>
          <w:sz w:val="24"/>
          <w:szCs w:val="24"/>
        </w:rPr>
        <w:t xml:space="preserve">eath and </w:t>
      </w:r>
      <w:r w:rsidR="00BE7146" w:rsidRPr="00635240">
        <w:rPr>
          <w:i/>
          <w:iCs/>
          <w:sz w:val="24"/>
          <w:szCs w:val="24"/>
        </w:rPr>
        <w:t>O</w:t>
      </w:r>
      <w:r w:rsidR="005E0ED4" w:rsidRPr="00635240">
        <w:rPr>
          <w:i/>
          <w:iCs/>
          <w:sz w:val="24"/>
          <w:szCs w:val="24"/>
        </w:rPr>
        <w:t xml:space="preserve">rgan </w:t>
      </w:r>
      <w:r w:rsidR="00BE7146" w:rsidRPr="00635240">
        <w:rPr>
          <w:i/>
          <w:iCs/>
          <w:sz w:val="24"/>
          <w:szCs w:val="24"/>
        </w:rPr>
        <w:t>D</w:t>
      </w:r>
      <w:r w:rsidR="005E0ED4" w:rsidRPr="00635240">
        <w:rPr>
          <w:i/>
          <w:iCs/>
          <w:sz w:val="24"/>
          <w:szCs w:val="24"/>
        </w:rPr>
        <w:t>onation</w:t>
      </w:r>
      <w:r w:rsidR="00847CED" w:rsidRPr="00635240">
        <w:rPr>
          <w:i/>
          <w:iCs/>
          <w:sz w:val="24"/>
          <w:szCs w:val="24"/>
        </w:rPr>
        <w:t xml:space="preserve"> </w:t>
      </w:r>
      <w:r w:rsidR="003B7C0C" w:rsidRPr="00635240">
        <w:rPr>
          <w:sz w:val="24"/>
          <w:szCs w:val="24"/>
        </w:rPr>
        <w:t>(</w:t>
      </w:r>
      <w:r w:rsidR="00315E94" w:rsidRPr="00635240">
        <w:rPr>
          <w:sz w:val="24"/>
          <w:szCs w:val="24"/>
        </w:rPr>
        <w:t xml:space="preserve">ANZICS </w:t>
      </w:r>
      <w:r w:rsidR="003B7C0C" w:rsidRPr="00635240">
        <w:rPr>
          <w:sz w:val="24"/>
          <w:szCs w:val="24"/>
        </w:rPr>
        <w:t>2021)</w:t>
      </w:r>
      <w:r w:rsidR="003B7C0C" w:rsidRPr="00635240">
        <w:rPr>
          <w:i/>
          <w:iCs/>
          <w:sz w:val="24"/>
          <w:szCs w:val="24"/>
        </w:rPr>
        <w:t xml:space="preserve"> </w:t>
      </w:r>
      <w:r w:rsidR="00847CED" w:rsidRPr="00635240">
        <w:rPr>
          <w:sz w:val="24"/>
          <w:szCs w:val="24"/>
        </w:rPr>
        <w:t xml:space="preserve">provides </w:t>
      </w:r>
      <w:r w:rsidR="000B0443" w:rsidRPr="00635240">
        <w:rPr>
          <w:sz w:val="24"/>
          <w:szCs w:val="24"/>
        </w:rPr>
        <w:t xml:space="preserve">detailed </w:t>
      </w:r>
      <w:r w:rsidR="00847CED" w:rsidRPr="00635240">
        <w:rPr>
          <w:sz w:val="24"/>
          <w:szCs w:val="24"/>
        </w:rPr>
        <w:t xml:space="preserve">guidance </w:t>
      </w:r>
      <w:r w:rsidR="005E0ED4" w:rsidRPr="00635240">
        <w:rPr>
          <w:sz w:val="24"/>
          <w:szCs w:val="24"/>
        </w:rPr>
        <w:t xml:space="preserve">for intensivists and other health professionals involved in the determination of death and in the care of potential organ and tissue donors and their families. </w:t>
      </w:r>
    </w:p>
    <w:p w14:paraId="65A933BE" w14:textId="1A76D093" w:rsidR="00B02FC7" w:rsidRPr="00635240" w:rsidRDefault="0045578B" w:rsidP="00CA4EA4">
      <w:pPr>
        <w:rPr>
          <w:sz w:val="24"/>
          <w:szCs w:val="24"/>
        </w:rPr>
      </w:pPr>
      <w:r w:rsidRPr="00635240">
        <w:rPr>
          <w:sz w:val="24"/>
          <w:szCs w:val="24"/>
        </w:rPr>
        <w:t>In summary, t</w:t>
      </w:r>
      <w:r w:rsidR="00B02FC7" w:rsidRPr="00635240">
        <w:rPr>
          <w:sz w:val="24"/>
          <w:szCs w:val="24"/>
        </w:rPr>
        <w:t>he</w:t>
      </w:r>
      <w:r w:rsidR="00E056CF" w:rsidRPr="00635240">
        <w:rPr>
          <w:sz w:val="24"/>
          <w:szCs w:val="24"/>
        </w:rPr>
        <w:t xml:space="preserve"> Statement describe</w:t>
      </w:r>
      <w:r w:rsidR="00315E94" w:rsidRPr="00635240">
        <w:rPr>
          <w:sz w:val="24"/>
          <w:szCs w:val="24"/>
        </w:rPr>
        <w:t>s</w:t>
      </w:r>
      <w:r w:rsidR="00E056CF" w:rsidRPr="00635240">
        <w:rPr>
          <w:sz w:val="24"/>
          <w:szCs w:val="24"/>
        </w:rPr>
        <w:t xml:space="preserve"> </w:t>
      </w:r>
      <w:r w:rsidRPr="00635240">
        <w:rPr>
          <w:sz w:val="24"/>
          <w:szCs w:val="24"/>
        </w:rPr>
        <w:t xml:space="preserve">two </w:t>
      </w:r>
      <w:r w:rsidR="00B02FC7" w:rsidRPr="00635240">
        <w:rPr>
          <w:sz w:val="24"/>
          <w:szCs w:val="24"/>
        </w:rPr>
        <w:t>pathways to verifying death prior to deceased organ donation</w:t>
      </w:r>
      <w:r w:rsidR="00A833B3" w:rsidRPr="00635240">
        <w:rPr>
          <w:sz w:val="24"/>
          <w:szCs w:val="24"/>
        </w:rPr>
        <w:t>.</w:t>
      </w:r>
      <w:r w:rsidR="00B02FC7" w:rsidRPr="00635240">
        <w:rPr>
          <w:sz w:val="24"/>
          <w:szCs w:val="24"/>
        </w:rPr>
        <w:t xml:space="preserve"> </w:t>
      </w:r>
    </w:p>
    <w:p w14:paraId="2732E8C6" w14:textId="23BD0DE4" w:rsidR="00B02FC7" w:rsidRPr="00635240" w:rsidRDefault="00B02FC7" w:rsidP="00E759B3">
      <w:pPr>
        <w:pStyle w:val="ListParagraph"/>
        <w:numPr>
          <w:ilvl w:val="0"/>
          <w:numId w:val="12"/>
        </w:numPr>
        <w:ind w:left="426" w:hanging="426"/>
        <w:rPr>
          <w:sz w:val="24"/>
          <w:szCs w:val="24"/>
        </w:rPr>
      </w:pPr>
      <w:r w:rsidRPr="00635240">
        <w:rPr>
          <w:b/>
          <w:bCs/>
          <w:sz w:val="24"/>
          <w:szCs w:val="24"/>
        </w:rPr>
        <w:t>Neurological determination of death (NDD)</w:t>
      </w:r>
      <w:r w:rsidRPr="00635240">
        <w:rPr>
          <w:sz w:val="24"/>
          <w:szCs w:val="24"/>
        </w:rPr>
        <w:t xml:space="preserve"> can be determined clinically or by brain perfusion imaging, demonstrating absence of cerebral circulation. Two doctors, one of whom should be a specialist, carry out NDD and there must be definite evidence of acute brain pathology consistent with deterioration to permanent loss of all neurological function. For clinical determination, there is a minimum observation period prior to clinical examination. During this period a set of preconditions must be met</w:t>
      </w:r>
      <w:r w:rsidR="00887E13" w:rsidRPr="00635240">
        <w:rPr>
          <w:sz w:val="24"/>
          <w:szCs w:val="24"/>
        </w:rPr>
        <w:t>. F</w:t>
      </w:r>
      <w:r w:rsidRPr="00635240">
        <w:rPr>
          <w:sz w:val="24"/>
          <w:szCs w:val="24"/>
        </w:rPr>
        <w:t>ollowing this period</w:t>
      </w:r>
      <w:r w:rsidR="00887E13" w:rsidRPr="00635240">
        <w:rPr>
          <w:sz w:val="24"/>
          <w:szCs w:val="24"/>
        </w:rPr>
        <w:t>,</w:t>
      </w:r>
      <w:r w:rsidRPr="00635240">
        <w:rPr>
          <w:sz w:val="24"/>
          <w:szCs w:val="24"/>
        </w:rPr>
        <w:t xml:space="preserve"> a full clinical examination according to the ANZICS </w:t>
      </w:r>
      <w:r w:rsidR="00887E13" w:rsidRPr="00635240">
        <w:rPr>
          <w:sz w:val="24"/>
          <w:szCs w:val="24"/>
        </w:rPr>
        <w:t>S</w:t>
      </w:r>
      <w:r w:rsidRPr="00635240">
        <w:rPr>
          <w:sz w:val="24"/>
          <w:szCs w:val="24"/>
        </w:rPr>
        <w:t xml:space="preserve">tatement is performed by each doctor to confirm the absence of all brainstem reflexes and breathing effort. </w:t>
      </w:r>
    </w:p>
    <w:p w14:paraId="0A5CC2F4" w14:textId="77777777" w:rsidR="00887E13" w:rsidRPr="00635240" w:rsidRDefault="00887E13" w:rsidP="00CA5365">
      <w:pPr>
        <w:spacing w:after="0" w:line="240" w:lineRule="auto"/>
        <w:rPr>
          <w:sz w:val="24"/>
          <w:szCs w:val="24"/>
        </w:rPr>
      </w:pPr>
    </w:p>
    <w:p w14:paraId="3D3914A3" w14:textId="64B23053" w:rsidR="00B02FC7" w:rsidRPr="00635240" w:rsidRDefault="00B02FC7" w:rsidP="00E759B3">
      <w:pPr>
        <w:pStyle w:val="ListParagraph"/>
        <w:numPr>
          <w:ilvl w:val="0"/>
          <w:numId w:val="12"/>
        </w:numPr>
        <w:ind w:left="426" w:hanging="426"/>
        <w:rPr>
          <w:sz w:val="24"/>
          <w:szCs w:val="24"/>
        </w:rPr>
      </w:pPr>
      <w:r w:rsidRPr="00635240">
        <w:rPr>
          <w:b/>
          <w:bCs/>
          <w:sz w:val="24"/>
          <w:szCs w:val="24"/>
        </w:rPr>
        <w:t>Circulatory determination of death</w:t>
      </w:r>
      <w:r w:rsidRPr="00635240">
        <w:rPr>
          <w:sz w:val="24"/>
          <w:szCs w:val="24"/>
        </w:rPr>
        <w:t xml:space="preserve"> requires the absence of spontaneous movement, breathing</w:t>
      </w:r>
      <w:r w:rsidR="009B6207" w:rsidRPr="00635240">
        <w:rPr>
          <w:sz w:val="24"/>
          <w:szCs w:val="24"/>
        </w:rPr>
        <w:t>,</w:t>
      </w:r>
      <w:r w:rsidRPr="00635240">
        <w:rPr>
          <w:sz w:val="24"/>
          <w:szCs w:val="24"/>
        </w:rPr>
        <w:t xml:space="preserve"> and circulation. Absence of circulation is evidenced by absent arterial pulsatility for 5 minutes using intra-arterial pressure monitoring and confirmed by clinical examination. Rarely, in cases without an arterial line, electrical asystole should be observed for 5 minutes on the electrocardiogram and confirmed by clinical examination. </w:t>
      </w:r>
    </w:p>
    <w:p w14:paraId="5C837798" w14:textId="77777777" w:rsidR="00EC2EAE" w:rsidRPr="00635240" w:rsidRDefault="00EC2EAE" w:rsidP="00EC2EAE">
      <w:pPr>
        <w:pStyle w:val="ListParagraph"/>
        <w:rPr>
          <w:sz w:val="24"/>
          <w:szCs w:val="24"/>
        </w:rPr>
      </w:pPr>
    </w:p>
    <w:p w14:paraId="51D97D44" w14:textId="449B1CED" w:rsidR="00B02FC7" w:rsidRPr="00635240" w:rsidRDefault="00B02FC7" w:rsidP="00B02FC7">
      <w:pPr>
        <w:rPr>
          <w:sz w:val="24"/>
          <w:szCs w:val="24"/>
        </w:rPr>
      </w:pPr>
      <w:r w:rsidRPr="00635240">
        <w:rPr>
          <w:sz w:val="24"/>
          <w:szCs w:val="24"/>
        </w:rPr>
        <w:t xml:space="preserve">For either of these pathways, </w:t>
      </w:r>
      <w:r w:rsidRPr="00635240">
        <w:rPr>
          <w:sz w:val="24"/>
          <w:szCs w:val="24"/>
          <w:lang w:val="en-NZ"/>
        </w:rPr>
        <w:t xml:space="preserve">standardised </w:t>
      </w:r>
      <w:r w:rsidRPr="00635240">
        <w:rPr>
          <w:sz w:val="24"/>
          <w:szCs w:val="24"/>
        </w:rPr>
        <w:t>ANZICS forms are completed for death declaration</w:t>
      </w:r>
      <w:r w:rsidR="00BF6F16" w:rsidRPr="00635240">
        <w:rPr>
          <w:sz w:val="24"/>
          <w:szCs w:val="24"/>
        </w:rPr>
        <w:t xml:space="preserve"> (</w:t>
      </w:r>
      <w:r w:rsidR="00882AA5" w:rsidRPr="00635240">
        <w:rPr>
          <w:sz w:val="24"/>
          <w:szCs w:val="24"/>
        </w:rPr>
        <w:t>ANZICS</w:t>
      </w:r>
      <w:r w:rsidR="00BF6F16" w:rsidRPr="00635240">
        <w:rPr>
          <w:sz w:val="24"/>
          <w:szCs w:val="24"/>
        </w:rPr>
        <w:t xml:space="preserve"> 2021)</w:t>
      </w:r>
      <w:r w:rsidR="006068BC" w:rsidRPr="00635240">
        <w:rPr>
          <w:sz w:val="24"/>
          <w:szCs w:val="24"/>
        </w:rPr>
        <w:t>.</w:t>
      </w:r>
      <w:r w:rsidR="00882AA5" w:rsidRPr="00635240">
        <w:rPr>
          <w:sz w:val="24"/>
          <w:szCs w:val="24"/>
        </w:rPr>
        <w:t xml:space="preserve"> </w:t>
      </w:r>
    </w:p>
    <w:p w14:paraId="6AD79572" w14:textId="690166F3" w:rsidR="00D0096A" w:rsidRPr="00635240" w:rsidRDefault="00D0096A" w:rsidP="00EC2EAE">
      <w:pPr>
        <w:pStyle w:val="Heading1"/>
        <w:spacing w:before="480" w:after="0" w:line="240" w:lineRule="auto"/>
        <w:rPr>
          <w:rFonts w:cs="Arial"/>
          <w:bCs w:val="0"/>
          <w:color w:val="15284C"/>
          <w:szCs w:val="32"/>
          <w:lang w:val="en-NZ"/>
        </w:rPr>
      </w:pPr>
      <w:bookmarkStart w:id="16" w:name="_Toc177558527"/>
      <w:bookmarkStart w:id="17" w:name="_Toc177558733"/>
      <w:r w:rsidRPr="00635240">
        <w:rPr>
          <w:rFonts w:cs="Arial"/>
          <w:bCs w:val="0"/>
          <w:color w:val="15284C"/>
          <w:szCs w:val="32"/>
          <w:lang w:val="en-NZ"/>
        </w:rPr>
        <w:t>Medical Certificate of Cause of Death</w:t>
      </w:r>
      <w:bookmarkEnd w:id="16"/>
      <w:bookmarkEnd w:id="17"/>
      <w:r w:rsidRPr="00635240">
        <w:rPr>
          <w:rFonts w:cs="Arial"/>
          <w:bCs w:val="0"/>
          <w:color w:val="15284C"/>
          <w:szCs w:val="32"/>
          <w:lang w:val="en-NZ"/>
        </w:rPr>
        <w:t xml:space="preserve"> </w:t>
      </w:r>
    </w:p>
    <w:p w14:paraId="38241D43" w14:textId="77777777" w:rsidR="00EC2EAE" w:rsidRPr="00635240" w:rsidRDefault="00EC2EAE" w:rsidP="00D0096A">
      <w:pPr>
        <w:rPr>
          <w:sz w:val="24"/>
          <w:szCs w:val="24"/>
          <w:lang w:val="en-NZ"/>
        </w:rPr>
      </w:pPr>
    </w:p>
    <w:p w14:paraId="6B8D27A1" w14:textId="430529DF" w:rsidR="00D0096A" w:rsidRPr="00635240" w:rsidRDefault="00D0096A" w:rsidP="00D0096A">
      <w:pPr>
        <w:rPr>
          <w:sz w:val="24"/>
          <w:szCs w:val="24"/>
          <w:lang w:val="en-NZ"/>
        </w:rPr>
      </w:pPr>
      <w:r w:rsidRPr="00635240">
        <w:rPr>
          <w:sz w:val="24"/>
          <w:szCs w:val="24"/>
          <w:lang w:val="en-NZ"/>
        </w:rPr>
        <w:t xml:space="preserve">Completion of the MCCD on an HP4720 form </w:t>
      </w:r>
      <w:r w:rsidR="00351204" w:rsidRPr="00635240">
        <w:rPr>
          <w:sz w:val="24"/>
          <w:szCs w:val="24"/>
          <w:lang w:val="en-NZ"/>
        </w:rPr>
        <w:t xml:space="preserve">(or HP4721 for deaths of babies within 28 days of birth), </w:t>
      </w:r>
      <w:r w:rsidRPr="00635240">
        <w:rPr>
          <w:sz w:val="24"/>
          <w:szCs w:val="24"/>
          <w:lang w:val="en-NZ"/>
        </w:rPr>
        <w:t xml:space="preserve">is separate to and completely different to the process for verifying </w:t>
      </w:r>
      <w:r w:rsidRPr="00635240">
        <w:rPr>
          <w:sz w:val="24"/>
          <w:szCs w:val="24"/>
          <w:lang w:val="en-NZ"/>
        </w:rPr>
        <w:lastRenderedPageBreak/>
        <w:t>death. The MCCD is a legal document which records the full details of the deceased, the circumstances of and cause of death. It can only be completed by a medical practitioner or nurse practitioner.</w:t>
      </w:r>
    </w:p>
    <w:p w14:paraId="21363703" w14:textId="38F4A7B1" w:rsidR="00D0096A" w:rsidRPr="00635240" w:rsidRDefault="001B2781" w:rsidP="00D0096A">
      <w:pPr>
        <w:rPr>
          <w:sz w:val="24"/>
          <w:szCs w:val="24"/>
          <w:lang w:val="en-NZ"/>
        </w:rPr>
      </w:pPr>
      <w:r w:rsidRPr="00635240">
        <w:rPr>
          <w:sz w:val="24"/>
          <w:szCs w:val="24"/>
          <w:lang w:val="en-NZ"/>
        </w:rPr>
        <w:t xml:space="preserve">If a person has died after an illness, </w:t>
      </w:r>
      <w:r w:rsidR="0066109A" w:rsidRPr="00635240">
        <w:rPr>
          <w:sz w:val="24"/>
          <w:szCs w:val="24"/>
          <w:lang w:val="en-NZ"/>
        </w:rPr>
        <w:t>s</w:t>
      </w:r>
      <w:r w:rsidR="00D0096A" w:rsidRPr="00635240">
        <w:rPr>
          <w:sz w:val="24"/>
          <w:szCs w:val="24"/>
          <w:lang w:val="en-NZ"/>
        </w:rPr>
        <w:t>ection 46B of the Burial and Cremation Act 1964 requires that a MCCD is issued by a medical practitioner or nurse practitioner within 24 hours of the health practitioner learning of the death, provided they are satisfied that the cause of death was the result of an illness and is not otherwise reportable</w:t>
      </w:r>
      <w:r w:rsidR="00122AE2" w:rsidRPr="00635240">
        <w:rPr>
          <w:sz w:val="24"/>
          <w:szCs w:val="24"/>
          <w:lang w:val="en-NZ"/>
        </w:rPr>
        <w:t xml:space="preserve"> to the coroner</w:t>
      </w:r>
      <w:r w:rsidR="00D0096A" w:rsidRPr="00635240">
        <w:rPr>
          <w:sz w:val="24"/>
          <w:szCs w:val="24"/>
          <w:lang w:val="en-NZ"/>
        </w:rPr>
        <w:t xml:space="preserve">.  </w:t>
      </w:r>
    </w:p>
    <w:p w14:paraId="37E93ABE" w14:textId="7C8A0508" w:rsidR="00D0096A" w:rsidRPr="00635240" w:rsidRDefault="00D0096A" w:rsidP="00D0096A">
      <w:pPr>
        <w:rPr>
          <w:sz w:val="24"/>
          <w:szCs w:val="24"/>
          <w:lang w:val="en-NZ"/>
        </w:rPr>
      </w:pPr>
      <w:r w:rsidRPr="00635240">
        <w:rPr>
          <w:sz w:val="24"/>
          <w:szCs w:val="24"/>
          <w:lang w:val="en-NZ"/>
        </w:rPr>
        <w:t xml:space="preserve">Section 46C allows a medical practitioner or nurse practitioner to complete an MCCD for a person aged 70 years or more who has died as a result of accidental injuries, where the accident arose due to infirmities attributable to the deceased’s age.  </w:t>
      </w:r>
    </w:p>
    <w:p w14:paraId="097F5DE6" w14:textId="7284673B" w:rsidR="00D0096A" w:rsidRPr="00635240" w:rsidRDefault="00D0096A" w:rsidP="00D0096A">
      <w:pPr>
        <w:rPr>
          <w:sz w:val="24"/>
          <w:szCs w:val="24"/>
          <w:lang w:val="en-NZ"/>
        </w:rPr>
      </w:pPr>
      <w:r w:rsidRPr="00635240">
        <w:rPr>
          <w:sz w:val="24"/>
          <w:szCs w:val="24"/>
          <w:lang w:val="en-NZ"/>
        </w:rPr>
        <w:t>The MCCD is required before a body can be embalmed, buried, or cremated. It must not be issued for a death reportable to the coroner (discussed below).</w:t>
      </w:r>
    </w:p>
    <w:p w14:paraId="7641EFFB" w14:textId="48373F8E" w:rsidR="00D0096A" w:rsidRPr="00635240" w:rsidRDefault="00D0096A" w:rsidP="00D0096A">
      <w:pPr>
        <w:rPr>
          <w:b/>
          <w:bCs/>
          <w:sz w:val="24"/>
          <w:szCs w:val="24"/>
          <w:lang w:val="en-NZ"/>
        </w:rPr>
      </w:pPr>
      <w:bookmarkStart w:id="18" w:name="_Toc425235442"/>
      <w:r w:rsidRPr="00635240">
        <w:rPr>
          <w:b/>
          <w:bCs/>
          <w:sz w:val="24"/>
          <w:szCs w:val="24"/>
          <w:lang w:val="en-NZ"/>
        </w:rPr>
        <w:t>Stillbirth</w:t>
      </w:r>
      <w:bookmarkEnd w:id="18"/>
    </w:p>
    <w:p w14:paraId="5AA06F8F" w14:textId="7B6D5584" w:rsidR="00D0096A" w:rsidRPr="00635240" w:rsidRDefault="00D0096A" w:rsidP="00D0096A">
      <w:pPr>
        <w:rPr>
          <w:sz w:val="24"/>
          <w:szCs w:val="24"/>
          <w:lang w:val="en-NZ"/>
        </w:rPr>
      </w:pPr>
      <w:r w:rsidRPr="00635240">
        <w:rPr>
          <w:sz w:val="24"/>
          <w:szCs w:val="24"/>
          <w:lang w:val="en-NZ"/>
        </w:rPr>
        <w:t xml:space="preserve">Section 46A of the Burial and Cremation Act 1964 outlines who can sign the Medical Certificate of Causes of Fetal and Neonatal Death (HP4721) with regard to a stillbirth. </w:t>
      </w:r>
    </w:p>
    <w:p w14:paraId="57E4B90F" w14:textId="64E78E77" w:rsidR="00D0096A" w:rsidRPr="00635240" w:rsidRDefault="00D0096A" w:rsidP="00D0096A">
      <w:pPr>
        <w:rPr>
          <w:sz w:val="24"/>
          <w:szCs w:val="24"/>
          <w:lang w:val="en-NZ"/>
        </w:rPr>
      </w:pPr>
      <w:r w:rsidRPr="00635240">
        <w:rPr>
          <w:sz w:val="24"/>
          <w:szCs w:val="24"/>
          <w:lang w:val="en-NZ"/>
        </w:rPr>
        <w:t xml:space="preserve">Stillbirth is defined in the Births, Deaths Marriages and Relationships Registration Act 2021 as meaning “the issue of a stillborn child from its birth mother”.  The term </w:t>
      </w:r>
      <w:r w:rsidRPr="00635240">
        <w:rPr>
          <w:b/>
          <w:bCs/>
          <w:sz w:val="24"/>
          <w:szCs w:val="24"/>
          <w:lang w:val="en-NZ"/>
        </w:rPr>
        <w:t>stillborn child</w:t>
      </w:r>
      <w:r w:rsidRPr="00635240">
        <w:rPr>
          <w:sz w:val="24"/>
          <w:szCs w:val="24"/>
          <w:lang w:val="en-NZ"/>
        </w:rPr>
        <w:t> means: “a dead foetus that—</w:t>
      </w:r>
    </w:p>
    <w:p w14:paraId="7C9C54CE" w14:textId="77777777" w:rsidR="00D0096A" w:rsidRPr="00635240" w:rsidRDefault="00D0096A" w:rsidP="00D0096A">
      <w:pPr>
        <w:numPr>
          <w:ilvl w:val="0"/>
          <w:numId w:val="13"/>
        </w:numPr>
        <w:rPr>
          <w:sz w:val="24"/>
          <w:szCs w:val="24"/>
          <w:lang w:val="en-NZ"/>
        </w:rPr>
      </w:pPr>
      <w:r w:rsidRPr="00635240">
        <w:rPr>
          <w:sz w:val="24"/>
          <w:szCs w:val="24"/>
          <w:lang w:val="en-NZ"/>
        </w:rPr>
        <w:t xml:space="preserve"> weighed 400 g or more when it issued from its birth mother; or</w:t>
      </w:r>
    </w:p>
    <w:p w14:paraId="146E534E" w14:textId="77777777" w:rsidR="00D0096A" w:rsidRPr="00635240" w:rsidRDefault="00D0096A" w:rsidP="00D0096A">
      <w:pPr>
        <w:numPr>
          <w:ilvl w:val="0"/>
          <w:numId w:val="13"/>
        </w:numPr>
        <w:rPr>
          <w:sz w:val="24"/>
          <w:szCs w:val="24"/>
          <w:lang w:val="en-NZ"/>
        </w:rPr>
      </w:pPr>
      <w:r w:rsidRPr="00635240">
        <w:rPr>
          <w:sz w:val="24"/>
          <w:szCs w:val="24"/>
          <w:lang w:val="en-NZ"/>
        </w:rPr>
        <w:t xml:space="preserve"> issued from its birth mother after the 20th week of pregnancy”.</w:t>
      </w:r>
    </w:p>
    <w:p w14:paraId="4C9F9A1B" w14:textId="225168F6" w:rsidR="00D0096A" w:rsidRPr="00635240" w:rsidRDefault="00D0096A" w:rsidP="00D0096A">
      <w:pPr>
        <w:rPr>
          <w:sz w:val="24"/>
          <w:szCs w:val="24"/>
          <w:lang w:val="en-NZ"/>
        </w:rPr>
      </w:pPr>
      <w:r w:rsidRPr="00635240">
        <w:rPr>
          <w:sz w:val="24"/>
          <w:szCs w:val="24"/>
          <w:lang w:val="en-NZ"/>
        </w:rPr>
        <w:t>In most cases of stillbirth a medical practitioner will sign the Medical Certificate of Causes of Fetal and Neonatal Death. However, where a medical practitioner was not present at the birth or did not examine the baby, a midwife can sign to expedite burial or cremation.</w:t>
      </w:r>
    </w:p>
    <w:p w14:paraId="05B7DFB4" w14:textId="0C4EC100" w:rsidR="001B2781" w:rsidRPr="00635240" w:rsidRDefault="001B2781" w:rsidP="00D0096A">
      <w:pPr>
        <w:rPr>
          <w:b/>
          <w:bCs/>
          <w:sz w:val="24"/>
          <w:szCs w:val="24"/>
          <w:lang w:val="en-NZ"/>
        </w:rPr>
      </w:pPr>
      <w:r w:rsidRPr="00635240">
        <w:rPr>
          <w:b/>
          <w:bCs/>
          <w:sz w:val="24"/>
          <w:szCs w:val="24"/>
          <w:lang w:val="en-NZ"/>
        </w:rPr>
        <w:t xml:space="preserve">Further information </w:t>
      </w:r>
    </w:p>
    <w:p w14:paraId="3B23DD3D" w14:textId="45160863" w:rsidR="00E52B41" w:rsidRPr="00635240" w:rsidRDefault="000F2DCB" w:rsidP="00E52B41">
      <w:pPr>
        <w:rPr>
          <w:sz w:val="24"/>
          <w:szCs w:val="24"/>
          <w:lang w:val="en-NZ"/>
        </w:rPr>
      </w:pPr>
      <w:r w:rsidRPr="00635240">
        <w:rPr>
          <w:sz w:val="24"/>
          <w:szCs w:val="24"/>
          <w:lang w:val="en-NZ"/>
        </w:rPr>
        <w:t>Medical practitioners and nurse practitioners can complete the MCCD (HP4720) online on the </w:t>
      </w:r>
      <w:hyperlink r:id="rId12" w:history="1">
        <w:r w:rsidRPr="00635240">
          <w:rPr>
            <w:rStyle w:val="Hyperlink"/>
            <w:sz w:val="24"/>
            <w:szCs w:val="24"/>
            <w:lang w:val="en-NZ"/>
          </w:rPr>
          <w:t>Death Documents</w:t>
        </w:r>
      </w:hyperlink>
      <w:r w:rsidRPr="00635240">
        <w:rPr>
          <w:sz w:val="24"/>
          <w:szCs w:val="24"/>
          <w:lang w:val="en-NZ"/>
        </w:rPr>
        <w:t> website</w:t>
      </w:r>
      <w:r w:rsidR="00E52B41" w:rsidRPr="00635240">
        <w:rPr>
          <w:sz w:val="24"/>
          <w:szCs w:val="24"/>
          <w:lang w:val="en-NZ"/>
        </w:rPr>
        <w:t xml:space="preserve"> (</w:t>
      </w:r>
      <w:hyperlink r:id="rId13" w:history="1">
        <w:r w:rsidR="00E52B41" w:rsidRPr="00635240">
          <w:rPr>
            <w:rStyle w:val="Hyperlink"/>
            <w:sz w:val="24"/>
            <w:szCs w:val="24"/>
            <w:lang w:val="en-NZ"/>
          </w:rPr>
          <w:t>https://deathdocs.services.govt.nz</w:t>
        </w:r>
      </w:hyperlink>
      <w:r w:rsidR="00E52B41" w:rsidRPr="00635240">
        <w:rPr>
          <w:sz w:val="24"/>
          <w:szCs w:val="24"/>
          <w:lang w:val="en-NZ"/>
        </w:rPr>
        <w:t>).</w:t>
      </w:r>
    </w:p>
    <w:p w14:paraId="68707F7B" w14:textId="58AA9942" w:rsidR="00E174B8" w:rsidRPr="00635240" w:rsidRDefault="00E174B8" w:rsidP="00D0096A">
      <w:pPr>
        <w:rPr>
          <w:sz w:val="24"/>
          <w:szCs w:val="24"/>
          <w:lang w:val="en-NZ"/>
        </w:rPr>
      </w:pPr>
      <w:r w:rsidRPr="00635240">
        <w:rPr>
          <w:sz w:val="24"/>
          <w:szCs w:val="24"/>
          <w:lang w:val="en-NZ"/>
        </w:rPr>
        <w:t>More information on completing a M</w:t>
      </w:r>
      <w:r w:rsidR="001B2781" w:rsidRPr="00635240">
        <w:rPr>
          <w:sz w:val="24"/>
          <w:szCs w:val="24"/>
          <w:lang w:val="en-NZ"/>
        </w:rPr>
        <w:t>CC</w:t>
      </w:r>
      <w:r w:rsidRPr="00635240">
        <w:rPr>
          <w:sz w:val="24"/>
          <w:szCs w:val="24"/>
          <w:lang w:val="en-NZ"/>
        </w:rPr>
        <w:t xml:space="preserve">D, and other death documentation, is </w:t>
      </w:r>
      <w:r w:rsidR="0066109A" w:rsidRPr="00635240">
        <w:rPr>
          <w:sz w:val="24"/>
          <w:szCs w:val="24"/>
          <w:lang w:val="en-NZ"/>
        </w:rPr>
        <w:t xml:space="preserve">also </w:t>
      </w:r>
      <w:r w:rsidRPr="00635240">
        <w:rPr>
          <w:sz w:val="24"/>
          <w:szCs w:val="24"/>
          <w:lang w:val="en-NZ"/>
        </w:rPr>
        <w:t xml:space="preserve">available at: </w:t>
      </w:r>
      <w:hyperlink r:id="rId14" w:history="1">
        <w:r w:rsidR="0066109A" w:rsidRPr="00635240">
          <w:rPr>
            <w:rStyle w:val="Hyperlink"/>
            <w:sz w:val="24"/>
            <w:szCs w:val="24"/>
            <w:lang w:val="en-NZ"/>
          </w:rPr>
          <w:t>https://www.tewhatuora.govt.nz/health-services-and-programmes/burial-and-cremation-act-1964/completing-death-documents/</w:t>
        </w:r>
      </w:hyperlink>
      <w:r w:rsidR="0066109A" w:rsidRPr="00635240">
        <w:rPr>
          <w:sz w:val="24"/>
          <w:szCs w:val="24"/>
          <w:lang w:val="en-NZ"/>
        </w:rPr>
        <w:t xml:space="preserve"> </w:t>
      </w:r>
    </w:p>
    <w:p w14:paraId="3E1C3E55" w14:textId="67FB10E3" w:rsidR="005E503E" w:rsidRPr="00635240" w:rsidRDefault="005E503E">
      <w:pPr>
        <w:rPr>
          <w:sz w:val="24"/>
          <w:szCs w:val="24"/>
          <w:lang w:val="en-NZ"/>
        </w:rPr>
      </w:pPr>
      <w:r w:rsidRPr="00635240">
        <w:rPr>
          <w:sz w:val="24"/>
          <w:szCs w:val="24"/>
          <w:lang w:val="en-NZ"/>
        </w:rPr>
        <w:br w:type="page"/>
      </w:r>
    </w:p>
    <w:p w14:paraId="5E19357E" w14:textId="0FD56145" w:rsidR="00347441" w:rsidRPr="00635240" w:rsidRDefault="00347441" w:rsidP="009E74EB">
      <w:pPr>
        <w:pStyle w:val="Heading1"/>
        <w:spacing w:before="480" w:line="288" w:lineRule="auto"/>
        <w:rPr>
          <w:rFonts w:cs="Arial"/>
          <w:bCs w:val="0"/>
          <w:color w:val="15284C"/>
          <w:szCs w:val="32"/>
          <w:lang w:val="en-NZ"/>
        </w:rPr>
      </w:pPr>
      <w:bookmarkStart w:id="19" w:name="_Toc177558528"/>
      <w:bookmarkStart w:id="20" w:name="_Toc177558734"/>
      <w:r w:rsidRPr="00635240">
        <w:rPr>
          <w:rFonts w:cs="Arial"/>
          <w:bCs w:val="0"/>
          <w:color w:val="15284C"/>
          <w:szCs w:val="32"/>
          <w:lang w:val="en-NZ"/>
        </w:rPr>
        <w:lastRenderedPageBreak/>
        <w:t xml:space="preserve">The role of the </w:t>
      </w:r>
      <w:bookmarkEnd w:id="6"/>
      <w:r w:rsidR="00C02663" w:rsidRPr="00635240">
        <w:rPr>
          <w:rFonts w:cs="Arial"/>
          <w:bCs w:val="0"/>
          <w:color w:val="15284C"/>
          <w:szCs w:val="32"/>
          <w:lang w:val="en-NZ"/>
        </w:rPr>
        <w:t>coroner</w:t>
      </w:r>
      <w:bookmarkEnd w:id="19"/>
      <w:bookmarkEnd w:id="20"/>
    </w:p>
    <w:p w14:paraId="082602D6" w14:textId="3EEDB8D3" w:rsidR="00347441" w:rsidRPr="00635240" w:rsidRDefault="00347441" w:rsidP="00347441">
      <w:pPr>
        <w:rPr>
          <w:sz w:val="24"/>
          <w:szCs w:val="24"/>
          <w:lang w:val="en-NZ"/>
        </w:rPr>
      </w:pPr>
      <w:r w:rsidRPr="00635240">
        <w:rPr>
          <w:sz w:val="24"/>
          <w:szCs w:val="24"/>
          <w:lang w:val="en-NZ"/>
        </w:rPr>
        <w:t xml:space="preserve">The role of the </w:t>
      </w:r>
      <w:r w:rsidR="00C02663" w:rsidRPr="00635240">
        <w:rPr>
          <w:sz w:val="24"/>
          <w:szCs w:val="24"/>
          <w:lang w:val="en-NZ"/>
        </w:rPr>
        <w:t>coroner</w:t>
      </w:r>
      <w:r w:rsidRPr="00635240">
        <w:rPr>
          <w:sz w:val="24"/>
          <w:szCs w:val="24"/>
          <w:lang w:val="en-NZ"/>
        </w:rPr>
        <w:t xml:space="preserve"> is to investigate reportable deaths to establish why, where, when</w:t>
      </w:r>
      <w:r w:rsidR="00F435B7" w:rsidRPr="00635240">
        <w:rPr>
          <w:sz w:val="24"/>
          <w:szCs w:val="24"/>
          <w:lang w:val="en-NZ"/>
        </w:rPr>
        <w:t>,</w:t>
      </w:r>
      <w:r w:rsidRPr="00635240">
        <w:rPr>
          <w:sz w:val="24"/>
          <w:szCs w:val="24"/>
          <w:lang w:val="en-NZ"/>
        </w:rPr>
        <w:t xml:space="preserve"> and how the death occurred. The aim of the investigation is to establish the facts and to work out whether anything can be done differently to prevent future deaths in similar circumstances.</w:t>
      </w:r>
      <w:r w:rsidR="00486A3E" w:rsidRPr="00635240">
        <w:rPr>
          <w:sz w:val="24"/>
          <w:szCs w:val="24"/>
          <w:lang w:val="en-NZ"/>
        </w:rPr>
        <w:t xml:space="preserve"> </w:t>
      </w:r>
      <w:r w:rsidR="00B15AF4" w:rsidRPr="00635240">
        <w:rPr>
          <w:sz w:val="24"/>
          <w:szCs w:val="24"/>
          <w:lang w:val="en-NZ"/>
        </w:rPr>
        <w:t xml:space="preserve">Around 14% of deaths in New Zealand each year are reported to the coroner, and around 10% (of total deaths) are accepted into the </w:t>
      </w:r>
      <w:r w:rsidR="00A50648" w:rsidRPr="00635240">
        <w:rPr>
          <w:sz w:val="24"/>
          <w:szCs w:val="24"/>
          <w:lang w:val="en-NZ"/>
        </w:rPr>
        <w:t xml:space="preserve">coroner’s </w:t>
      </w:r>
      <w:r w:rsidR="00B15AF4" w:rsidRPr="00635240">
        <w:rPr>
          <w:sz w:val="24"/>
          <w:szCs w:val="24"/>
          <w:lang w:val="en-NZ"/>
        </w:rPr>
        <w:t>jurisdiction each year.</w:t>
      </w:r>
    </w:p>
    <w:p w14:paraId="121F2212" w14:textId="77777777" w:rsidR="00347441" w:rsidRPr="00635240" w:rsidRDefault="00347441" w:rsidP="00347441">
      <w:pPr>
        <w:pStyle w:val="Heading2"/>
        <w:rPr>
          <w:rFonts w:ascii="Arial" w:hAnsi="Arial" w:cs="Arial"/>
          <w:sz w:val="48"/>
          <w:szCs w:val="48"/>
          <w:lang w:val="en-NZ"/>
        </w:rPr>
      </w:pPr>
      <w:bookmarkStart w:id="21" w:name="_Toc425235435"/>
      <w:bookmarkStart w:id="22" w:name="_Toc177558529"/>
      <w:bookmarkStart w:id="23" w:name="_Toc177558735"/>
      <w:r w:rsidRPr="00635240">
        <w:rPr>
          <w:rFonts w:ascii="Arial" w:hAnsi="Arial" w:cs="Arial"/>
          <w:sz w:val="48"/>
          <w:szCs w:val="48"/>
          <w:lang w:val="en-NZ"/>
        </w:rPr>
        <w:t>Reportable deaths</w:t>
      </w:r>
      <w:bookmarkEnd w:id="21"/>
      <w:bookmarkEnd w:id="22"/>
      <w:bookmarkEnd w:id="23"/>
    </w:p>
    <w:p w14:paraId="4F6AD37F" w14:textId="00FDC724" w:rsidR="00347441" w:rsidRPr="00635240" w:rsidRDefault="00347441" w:rsidP="00347441">
      <w:pPr>
        <w:rPr>
          <w:spacing w:val="-2"/>
          <w:sz w:val="24"/>
          <w:szCs w:val="24"/>
          <w:lang w:val="en-NZ"/>
        </w:rPr>
      </w:pPr>
      <w:r w:rsidRPr="00635240">
        <w:rPr>
          <w:spacing w:val="-2"/>
          <w:sz w:val="24"/>
          <w:szCs w:val="24"/>
          <w:lang w:val="en-NZ"/>
        </w:rPr>
        <w:t xml:space="preserve">Deaths reported to the </w:t>
      </w:r>
      <w:r w:rsidR="00C02663" w:rsidRPr="00635240">
        <w:rPr>
          <w:spacing w:val="-2"/>
          <w:sz w:val="24"/>
          <w:szCs w:val="24"/>
          <w:lang w:val="en-NZ"/>
        </w:rPr>
        <w:t>coroner</w:t>
      </w:r>
      <w:r w:rsidRPr="00635240">
        <w:rPr>
          <w:spacing w:val="-2"/>
          <w:sz w:val="24"/>
          <w:szCs w:val="24"/>
          <w:lang w:val="en-NZ"/>
        </w:rPr>
        <w:t xml:space="preserve"> are defined in </w:t>
      </w:r>
      <w:r w:rsidR="0031081C" w:rsidRPr="00635240">
        <w:rPr>
          <w:spacing w:val="-2"/>
          <w:sz w:val="24"/>
          <w:szCs w:val="24"/>
          <w:lang w:val="en-NZ"/>
        </w:rPr>
        <w:t>s</w:t>
      </w:r>
      <w:r w:rsidRPr="00635240">
        <w:rPr>
          <w:spacing w:val="-2"/>
          <w:sz w:val="24"/>
          <w:szCs w:val="24"/>
          <w:lang w:val="en-NZ"/>
        </w:rPr>
        <w:t>ection 1</w:t>
      </w:r>
      <w:r w:rsidR="0031081C" w:rsidRPr="00635240">
        <w:rPr>
          <w:spacing w:val="-2"/>
          <w:sz w:val="24"/>
          <w:szCs w:val="24"/>
          <w:lang w:val="en-NZ"/>
        </w:rPr>
        <w:t>4</w:t>
      </w:r>
      <w:r w:rsidRPr="00635240">
        <w:rPr>
          <w:spacing w:val="-2"/>
          <w:sz w:val="24"/>
          <w:szCs w:val="24"/>
          <w:lang w:val="en-NZ"/>
        </w:rPr>
        <w:t xml:space="preserve"> of the Coroners Act 2006 and are:</w:t>
      </w:r>
    </w:p>
    <w:p w14:paraId="50408980" w14:textId="22CD5EC3" w:rsidR="00347441" w:rsidRPr="00635240" w:rsidRDefault="00347441" w:rsidP="004D2207">
      <w:pPr>
        <w:pStyle w:val="ListParagraph"/>
        <w:numPr>
          <w:ilvl w:val="0"/>
          <w:numId w:val="12"/>
        </w:numPr>
        <w:ind w:left="426" w:hanging="426"/>
        <w:rPr>
          <w:sz w:val="24"/>
          <w:szCs w:val="24"/>
          <w:lang w:val="en-NZ"/>
        </w:rPr>
      </w:pPr>
      <w:r w:rsidRPr="00635240">
        <w:rPr>
          <w:sz w:val="24"/>
          <w:szCs w:val="24"/>
          <w:lang w:val="en-NZ"/>
        </w:rPr>
        <w:t xml:space="preserve">deaths which are without known cause, </w:t>
      </w:r>
      <w:r w:rsidR="00A7170C" w:rsidRPr="00635240">
        <w:rPr>
          <w:sz w:val="24"/>
          <w:szCs w:val="24"/>
          <w:lang w:val="en-NZ"/>
        </w:rPr>
        <w:t xml:space="preserve">self-inflicted, </w:t>
      </w:r>
      <w:r w:rsidRPr="00635240">
        <w:rPr>
          <w:sz w:val="24"/>
          <w:szCs w:val="24"/>
          <w:lang w:val="en-NZ"/>
        </w:rPr>
        <w:t>unnatural</w:t>
      </w:r>
      <w:r w:rsidR="00A7170C" w:rsidRPr="00635240">
        <w:rPr>
          <w:sz w:val="24"/>
          <w:szCs w:val="24"/>
          <w:lang w:val="en-NZ"/>
        </w:rPr>
        <w:t>,</w:t>
      </w:r>
      <w:r w:rsidRPr="00635240">
        <w:rPr>
          <w:sz w:val="24"/>
          <w:szCs w:val="24"/>
          <w:lang w:val="en-NZ"/>
        </w:rPr>
        <w:t xml:space="preserve"> or violent</w:t>
      </w:r>
      <w:r w:rsidR="000447D6" w:rsidRPr="00635240">
        <w:rPr>
          <w:sz w:val="24"/>
          <w:szCs w:val="24"/>
          <w:lang w:val="en-NZ"/>
        </w:rPr>
        <w:t xml:space="preserve">. </w:t>
      </w:r>
      <w:r w:rsidR="00394FC7" w:rsidRPr="00635240">
        <w:rPr>
          <w:sz w:val="24"/>
          <w:szCs w:val="24"/>
          <w:lang w:val="en-NZ"/>
        </w:rPr>
        <w:t xml:space="preserve">In summary, </w:t>
      </w:r>
      <w:r w:rsidR="00EB3847" w:rsidRPr="00635240">
        <w:rPr>
          <w:sz w:val="24"/>
          <w:szCs w:val="24"/>
        </w:rPr>
        <w:t>unnatural</w:t>
      </w:r>
      <w:r w:rsidR="000447D6" w:rsidRPr="00635240">
        <w:rPr>
          <w:sz w:val="24"/>
          <w:szCs w:val="24"/>
        </w:rPr>
        <w:t xml:space="preserve"> deaths</w:t>
      </w:r>
      <w:r w:rsidR="00EB3847" w:rsidRPr="00635240">
        <w:rPr>
          <w:sz w:val="24"/>
          <w:szCs w:val="24"/>
        </w:rPr>
        <w:t xml:space="preserve"> can </w:t>
      </w:r>
      <w:r w:rsidR="000447D6" w:rsidRPr="00635240">
        <w:rPr>
          <w:sz w:val="24"/>
          <w:szCs w:val="24"/>
        </w:rPr>
        <w:t>include accidents, homicide, suicide, violent death, falls, poisoning or overdoses (intentional and unintentional) and drowning</w:t>
      </w:r>
    </w:p>
    <w:p w14:paraId="56E7CF96" w14:textId="3BB91889" w:rsidR="00347441" w:rsidRPr="00635240" w:rsidRDefault="00347441" w:rsidP="004D2207">
      <w:pPr>
        <w:pStyle w:val="ListParagraph"/>
        <w:numPr>
          <w:ilvl w:val="0"/>
          <w:numId w:val="12"/>
        </w:numPr>
        <w:ind w:left="426" w:hanging="426"/>
        <w:rPr>
          <w:sz w:val="24"/>
          <w:szCs w:val="24"/>
          <w:lang w:val="en-NZ"/>
        </w:rPr>
      </w:pPr>
      <w:r w:rsidRPr="00635240">
        <w:rPr>
          <w:sz w:val="24"/>
          <w:szCs w:val="24"/>
          <w:lang w:val="en-NZ"/>
        </w:rPr>
        <w:t xml:space="preserve">deaths for which no Medical Certificate of Cause of Death </w:t>
      </w:r>
      <w:r w:rsidR="002C1B13" w:rsidRPr="00635240">
        <w:rPr>
          <w:sz w:val="24"/>
          <w:szCs w:val="24"/>
          <w:lang w:val="en-NZ"/>
        </w:rPr>
        <w:t>under section 46B or 46C of the Burial and Cremation Act 1964 has been</w:t>
      </w:r>
      <w:r w:rsidRPr="00635240">
        <w:rPr>
          <w:sz w:val="24"/>
          <w:szCs w:val="24"/>
          <w:lang w:val="en-NZ"/>
        </w:rPr>
        <w:t xml:space="preserve"> given</w:t>
      </w:r>
    </w:p>
    <w:p w14:paraId="6497A3EA" w14:textId="46EF1FDD" w:rsidR="008668CF" w:rsidRPr="00635240" w:rsidRDefault="004B2089" w:rsidP="004D2207">
      <w:pPr>
        <w:pStyle w:val="ListParagraph"/>
        <w:numPr>
          <w:ilvl w:val="0"/>
          <w:numId w:val="12"/>
        </w:numPr>
        <w:ind w:left="426" w:hanging="426"/>
        <w:rPr>
          <w:sz w:val="24"/>
          <w:szCs w:val="24"/>
          <w:lang w:val="en-NZ"/>
        </w:rPr>
      </w:pPr>
      <w:r w:rsidRPr="00635240">
        <w:rPr>
          <w:sz w:val="24"/>
          <w:szCs w:val="24"/>
          <w:lang w:val="en-NZ"/>
        </w:rPr>
        <w:t xml:space="preserve">a </w:t>
      </w:r>
      <w:r w:rsidR="00347441" w:rsidRPr="00635240">
        <w:rPr>
          <w:sz w:val="24"/>
          <w:szCs w:val="24"/>
          <w:lang w:val="en-NZ"/>
        </w:rPr>
        <w:t>death</w:t>
      </w:r>
      <w:r w:rsidR="00DD5D6A" w:rsidRPr="00635240">
        <w:rPr>
          <w:sz w:val="24"/>
          <w:szCs w:val="24"/>
          <w:lang w:val="en-NZ"/>
        </w:rPr>
        <w:t xml:space="preserve"> that occurred </w:t>
      </w:r>
      <w:r w:rsidR="00347441" w:rsidRPr="00635240">
        <w:rPr>
          <w:sz w:val="24"/>
          <w:szCs w:val="24"/>
          <w:lang w:val="en-NZ"/>
        </w:rPr>
        <w:t>during, or that appear</w:t>
      </w:r>
      <w:r w:rsidR="00E338C1" w:rsidRPr="00635240">
        <w:rPr>
          <w:sz w:val="24"/>
          <w:szCs w:val="24"/>
          <w:lang w:val="en-NZ"/>
        </w:rPr>
        <w:t>s</w:t>
      </w:r>
      <w:r w:rsidR="00347441" w:rsidRPr="00635240">
        <w:rPr>
          <w:sz w:val="24"/>
          <w:szCs w:val="24"/>
          <w:lang w:val="en-NZ"/>
        </w:rPr>
        <w:t xml:space="preserve"> to have been as a result of, a medical</w:t>
      </w:r>
      <w:r w:rsidR="00862D60" w:rsidRPr="00635240">
        <w:rPr>
          <w:sz w:val="24"/>
          <w:szCs w:val="24"/>
          <w:lang w:val="en-NZ"/>
        </w:rPr>
        <w:t xml:space="preserve"> procedure</w:t>
      </w:r>
      <w:r w:rsidR="002D1C55" w:rsidRPr="00635240">
        <w:rPr>
          <w:sz w:val="24"/>
          <w:szCs w:val="24"/>
          <w:lang w:val="en-NZ"/>
        </w:rPr>
        <w:t xml:space="preserve"> and that was medically unexpected. </w:t>
      </w:r>
      <w:r w:rsidR="008668CF" w:rsidRPr="00635240">
        <w:rPr>
          <w:sz w:val="24"/>
          <w:szCs w:val="24"/>
          <w:lang w:val="en-NZ"/>
        </w:rPr>
        <w:t>The term medical procedure (defined in section 9) means a medical, surgical, or dental treatment or operation, or any procedure of a similar kind and includes the administration of a medicine (as defined in </w:t>
      </w:r>
      <w:bookmarkStart w:id="24" w:name="DLM54687"/>
      <w:r w:rsidR="008668CF" w:rsidRPr="00635240">
        <w:rPr>
          <w:sz w:val="24"/>
          <w:szCs w:val="24"/>
          <w:lang w:val="en-NZ"/>
        </w:rPr>
        <w:fldChar w:fldCharType="begin"/>
      </w:r>
      <w:r w:rsidR="008668CF" w:rsidRPr="00635240">
        <w:rPr>
          <w:sz w:val="24"/>
          <w:szCs w:val="24"/>
          <w:lang w:val="en-NZ"/>
        </w:rPr>
        <w:instrText>HYPERLINK "https://www.legislation.govt.nz/act/public/2006/0038/latest/link.aspx?id=DLM54687" \l "DLM54687"</w:instrText>
      </w:r>
      <w:r w:rsidR="008668CF" w:rsidRPr="00635240">
        <w:rPr>
          <w:sz w:val="24"/>
          <w:szCs w:val="24"/>
          <w:lang w:val="en-NZ"/>
        </w:rPr>
      </w:r>
      <w:r w:rsidR="008668CF" w:rsidRPr="00635240">
        <w:rPr>
          <w:sz w:val="24"/>
          <w:szCs w:val="24"/>
          <w:lang w:val="en-NZ"/>
        </w:rPr>
        <w:fldChar w:fldCharType="separate"/>
      </w:r>
      <w:r w:rsidR="008668CF" w:rsidRPr="00635240">
        <w:rPr>
          <w:rStyle w:val="Hyperlink"/>
          <w:sz w:val="24"/>
          <w:szCs w:val="24"/>
          <w:lang w:val="en-NZ"/>
        </w:rPr>
        <w:t>section 3</w:t>
      </w:r>
      <w:r w:rsidR="008668CF" w:rsidRPr="00635240">
        <w:rPr>
          <w:sz w:val="24"/>
          <w:szCs w:val="24"/>
          <w:lang w:val="en-NZ"/>
        </w:rPr>
        <w:fldChar w:fldCharType="end"/>
      </w:r>
      <w:bookmarkEnd w:id="24"/>
      <w:r w:rsidR="008668CF" w:rsidRPr="00635240">
        <w:rPr>
          <w:sz w:val="24"/>
          <w:szCs w:val="24"/>
          <w:lang w:val="en-NZ"/>
        </w:rPr>
        <w:t> of the Medicines Act 1981) or an anaesthetic</w:t>
      </w:r>
    </w:p>
    <w:p w14:paraId="079769E8" w14:textId="1CC48D6C" w:rsidR="00347441" w:rsidRPr="00635240" w:rsidRDefault="008668CF" w:rsidP="004D2207">
      <w:pPr>
        <w:pStyle w:val="ListParagraph"/>
        <w:numPr>
          <w:ilvl w:val="0"/>
          <w:numId w:val="12"/>
        </w:numPr>
        <w:ind w:left="426" w:hanging="426"/>
        <w:rPr>
          <w:sz w:val="24"/>
          <w:szCs w:val="24"/>
          <w:lang w:val="en-NZ"/>
        </w:rPr>
      </w:pPr>
      <w:r w:rsidRPr="00635240">
        <w:rPr>
          <w:sz w:val="24"/>
          <w:szCs w:val="24"/>
          <w:lang w:val="en-NZ"/>
        </w:rPr>
        <w:t xml:space="preserve">a </w:t>
      </w:r>
      <w:r w:rsidR="00347441" w:rsidRPr="00635240">
        <w:rPr>
          <w:sz w:val="24"/>
          <w:szCs w:val="24"/>
          <w:lang w:val="en-NZ"/>
        </w:rPr>
        <w:t xml:space="preserve">death that occurred while </w:t>
      </w:r>
      <w:r w:rsidR="00F40A42" w:rsidRPr="00635240">
        <w:rPr>
          <w:sz w:val="24"/>
          <w:szCs w:val="24"/>
          <w:lang w:val="en-NZ"/>
        </w:rPr>
        <w:t xml:space="preserve">the </w:t>
      </w:r>
      <w:r w:rsidR="00347441" w:rsidRPr="00635240">
        <w:rPr>
          <w:sz w:val="24"/>
          <w:szCs w:val="24"/>
          <w:lang w:val="en-NZ"/>
        </w:rPr>
        <w:t xml:space="preserve">person </w:t>
      </w:r>
      <w:r w:rsidR="00F40A42" w:rsidRPr="00635240">
        <w:rPr>
          <w:sz w:val="24"/>
          <w:szCs w:val="24"/>
          <w:lang w:val="en-NZ"/>
        </w:rPr>
        <w:t xml:space="preserve">concerned </w:t>
      </w:r>
      <w:r w:rsidR="00347441" w:rsidRPr="00635240">
        <w:rPr>
          <w:sz w:val="24"/>
          <w:szCs w:val="24"/>
          <w:lang w:val="en-NZ"/>
        </w:rPr>
        <w:t>was affected by an anaesthetic</w:t>
      </w:r>
      <w:r w:rsidR="009E3DF4" w:rsidRPr="00635240">
        <w:rPr>
          <w:sz w:val="24"/>
          <w:szCs w:val="24"/>
          <w:lang w:val="en-NZ"/>
        </w:rPr>
        <w:t xml:space="preserve"> and that was medically unexpected</w:t>
      </w:r>
      <w:r w:rsidR="00347441" w:rsidRPr="00635240">
        <w:rPr>
          <w:sz w:val="24"/>
          <w:szCs w:val="24"/>
          <w:lang w:val="en-NZ"/>
        </w:rPr>
        <w:t xml:space="preserve"> </w:t>
      </w:r>
    </w:p>
    <w:p w14:paraId="56C69C62" w14:textId="232AEBF7" w:rsidR="00347441" w:rsidRPr="00635240" w:rsidRDefault="009E3DF4" w:rsidP="004D2207">
      <w:pPr>
        <w:pStyle w:val="ListParagraph"/>
        <w:numPr>
          <w:ilvl w:val="0"/>
          <w:numId w:val="12"/>
        </w:numPr>
        <w:ind w:left="426" w:hanging="426"/>
        <w:rPr>
          <w:sz w:val="24"/>
          <w:szCs w:val="24"/>
          <w:lang w:val="en-NZ"/>
        </w:rPr>
      </w:pPr>
      <w:r w:rsidRPr="00635240">
        <w:rPr>
          <w:color w:val="000000"/>
          <w:sz w:val="24"/>
          <w:szCs w:val="24"/>
          <w:shd w:val="clear" w:color="auto" w:fill="FFFFFF"/>
          <w:lang w:val="en-NZ"/>
        </w:rPr>
        <w:t xml:space="preserve">a </w:t>
      </w:r>
      <w:r w:rsidR="00347441" w:rsidRPr="00635240">
        <w:rPr>
          <w:sz w:val="24"/>
          <w:szCs w:val="24"/>
          <w:lang w:val="en-NZ"/>
        </w:rPr>
        <w:t>death</w:t>
      </w:r>
      <w:r w:rsidR="00347441" w:rsidRPr="00635240">
        <w:rPr>
          <w:color w:val="000000"/>
          <w:sz w:val="24"/>
          <w:szCs w:val="24"/>
          <w:shd w:val="clear" w:color="auto" w:fill="FFFFFF"/>
          <w:lang w:val="en-NZ"/>
        </w:rPr>
        <w:t xml:space="preserve"> that occurred while the </w:t>
      </w:r>
      <w:r w:rsidR="006C605F" w:rsidRPr="00635240">
        <w:rPr>
          <w:color w:val="000000"/>
          <w:sz w:val="24"/>
          <w:szCs w:val="24"/>
          <w:shd w:val="clear" w:color="auto" w:fill="FFFFFF"/>
          <w:lang w:val="en-NZ"/>
        </w:rPr>
        <w:t>person</w:t>
      </w:r>
      <w:r w:rsidR="00347441" w:rsidRPr="00635240">
        <w:rPr>
          <w:color w:val="000000"/>
          <w:sz w:val="24"/>
          <w:szCs w:val="24"/>
          <w:shd w:val="clear" w:color="auto" w:fill="FFFFFF"/>
          <w:lang w:val="en-NZ"/>
        </w:rPr>
        <w:t xml:space="preserve"> concerned was giving birth, or that appear</w:t>
      </w:r>
      <w:r w:rsidR="008F41CD" w:rsidRPr="00635240">
        <w:rPr>
          <w:color w:val="000000"/>
          <w:sz w:val="24"/>
          <w:szCs w:val="24"/>
          <w:shd w:val="clear" w:color="auto" w:fill="FFFFFF"/>
          <w:lang w:val="en-NZ"/>
        </w:rPr>
        <w:t>s</w:t>
      </w:r>
      <w:r w:rsidR="00347441" w:rsidRPr="00635240">
        <w:rPr>
          <w:color w:val="000000"/>
          <w:sz w:val="24"/>
          <w:szCs w:val="24"/>
          <w:shd w:val="clear" w:color="auto" w:fill="FFFFFF"/>
          <w:lang w:val="en-NZ"/>
        </w:rPr>
        <w:t xml:space="preserve"> to have been </w:t>
      </w:r>
      <w:r w:rsidR="008F41CD" w:rsidRPr="00635240">
        <w:rPr>
          <w:color w:val="000000"/>
          <w:sz w:val="24"/>
          <w:szCs w:val="24"/>
          <w:shd w:val="clear" w:color="auto" w:fill="FFFFFF"/>
          <w:lang w:val="en-NZ"/>
        </w:rPr>
        <w:t>the</w:t>
      </w:r>
      <w:r w:rsidR="00347441" w:rsidRPr="00635240">
        <w:rPr>
          <w:color w:val="000000"/>
          <w:sz w:val="24"/>
          <w:szCs w:val="24"/>
          <w:shd w:val="clear" w:color="auto" w:fill="FFFFFF"/>
          <w:lang w:val="en-NZ"/>
        </w:rPr>
        <w:t xml:space="preserve"> result of that </w:t>
      </w:r>
      <w:r w:rsidR="006B5B84" w:rsidRPr="00635240">
        <w:rPr>
          <w:color w:val="000000"/>
          <w:sz w:val="24"/>
          <w:szCs w:val="24"/>
          <w:shd w:val="clear" w:color="auto" w:fill="FFFFFF"/>
          <w:lang w:val="en-NZ"/>
        </w:rPr>
        <w:t xml:space="preserve">person </w:t>
      </w:r>
      <w:r w:rsidR="00347441" w:rsidRPr="00635240">
        <w:rPr>
          <w:color w:val="000000"/>
          <w:sz w:val="24"/>
          <w:szCs w:val="24"/>
          <w:shd w:val="clear" w:color="auto" w:fill="FFFFFF"/>
          <w:lang w:val="en-NZ"/>
        </w:rPr>
        <w:t>being pregnant or giving birth</w:t>
      </w:r>
    </w:p>
    <w:p w14:paraId="1C6A30CC" w14:textId="77777777" w:rsidR="00347441" w:rsidRPr="00635240" w:rsidRDefault="00347441" w:rsidP="004D2207">
      <w:pPr>
        <w:pStyle w:val="ListParagraph"/>
        <w:numPr>
          <w:ilvl w:val="0"/>
          <w:numId w:val="12"/>
        </w:numPr>
        <w:ind w:left="426" w:hanging="426"/>
        <w:rPr>
          <w:sz w:val="24"/>
          <w:szCs w:val="24"/>
          <w:lang w:val="en-NZ"/>
        </w:rPr>
      </w:pPr>
      <w:r w:rsidRPr="00635240">
        <w:rPr>
          <w:color w:val="000000"/>
          <w:sz w:val="24"/>
          <w:szCs w:val="24"/>
          <w:shd w:val="clear" w:color="auto" w:fill="FFFFFF"/>
          <w:lang w:val="en-NZ"/>
        </w:rPr>
        <w:t xml:space="preserve">deaths </w:t>
      </w:r>
      <w:r w:rsidRPr="00635240">
        <w:rPr>
          <w:sz w:val="24"/>
          <w:szCs w:val="24"/>
          <w:lang w:val="en-NZ"/>
        </w:rPr>
        <w:t>in official custody or care, including any person who died while subject to the following Acts:</w:t>
      </w:r>
    </w:p>
    <w:p w14:paraId="468D48E8" w14:textId="5DD51702" w:rsidR="00B86F26" w:rsidRPr="00635240" w:rsidRDefault="00B86F26" w:rsidP="00E26F6B">
      <w:pPr>
        <w:spacing w:before="60" w:after="0" w:line="264" w:lineRule="auto"/>
        <w:ind w:left="716" w:hanging="432"/>
        <w:rPr>
          <w:rFonts w:eastAsia="Times New Roman"/>
          <w:sz w:val="24"/>
          <w:szCs w:val="24"/>
          <w:lang w:val="en-NZ" w:eastAsia="en-GB"/>
        </w:rPr>
      </w:pPr>
      <w:r w:rsidRPr="00635240">
        <w:rPr>
          <w:rFonts w:eastAsia="Times New Roman"/>
          <w:sz w:val="24"/>
          <w:szCs w:val="24"/>
          <w:lang w:val="en-NZ" w:eastAsia="en-GB"/>
        </w:rPr>
        <w:t>(a)</w:t>
      </w:r>
      <w:r w:rsidR="00512852" w:rsidRPr="00635240">
        <w:rPr>
          <w:rFonts w:eastAsia="Times New Roman"/>
          <w:sz w:val="24"/>
          <w:szCs w:val="24"/>
          <w:lang w:val="en-NZ" w:eastAsia="en-GB"/>
        </w:rPr>
        <w:tab/>
      </w:r>
      <w:r w:rsidRPr="00635240">
        <w:rPr>
          <w:rFonts w:eastAsia="Times New Roman"/>
          <w:sz w:val="24"/>
          <w:szCs w:val="24"/>
          <w:lang w:val="en-NZ" w:eastAsia="en-GB"/>
        </w:rPr>
        <w:t>a patient within the meaning of the </w:t>
      </w:r>
      <w:bookmarkStart w:id="25" w:name="DLM6609041"/>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"https://www.legislation.govt.nz/act/public/2006/0038/latest/link.aspx?id=DLM6609041"</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Substance Addiction (Compulsory Assessment and Treatment) Act 2017</w:t>
      </w:r>
      <w:r w:rsidRPr="00635240">
        <w:rPr>
          <w:rFonts w:eastAsia="Times New Roman"/>
          <w:sz w:val="24"/>
          <w:szCs w:val="24"/>
          <w:lang w:val="en-NZ" w:eastAsia="en-GB"/>
        </w:rPr>
        <w:fldChar w:fldCharType="end"/>
      </w:r>
      <w:bookmarkEnd w:id="25"/>
      <w:r w:rsidRPr="00635240">
        <w:rPr>
          <w:rFonts w:eastAsia="Times New Roman"/>
          <w:sz w:val="24"/>
          <w:szCs w:val="24"/>
          <w:lang w:val="en-NZ" w:eastAsia="en-GB"/>
        </w:rPr>
        <w:t> (whether or not the death occurred in a treatment centre):</w:t>
      </w:r>
    </w:p>
    <w:p w14:paraId="3532D6C1" w14:textId="1E13F2BA" w:rsidR="00B86F26" w:rsidRPr="00635240" w:rsidRDefault="00B86F26" w:rsidP="00E26F6B">
      <w:pPr>
        <w:spacing w:before="60" w:after="0" w:line="264" w:lineRule="auto"/>
        <w:ind w:left="716" w:hanging="432"/>
        <w:rPr>
          <w:rFonts w:eastAsia="Times New Roman"/>
          <w:sz w:val="24"/>
          <w:szCs w:val="24"/>
          <w:lang w:val="en-NZ" w:eastAsia="en-GB"/>
        </w:rPr>
      </w:pPr>
      <w:r w:rsidRPr="00635240">
        <w:rPr>
          <w:rFonts w:eastAsia="Times New Roman"/>
          <w:sz w:val="24"/>
          <w:szCs w:val="24"/>
          <w:lang w:val="en-NZ" w:eastAsia="en-GB"/>
        </w:rPr>
        <w:t>(b)</w:t>
      </w:r>
      <w:r w:rsidR="00512852" w:rsidRPr="00635240">
        <w:rPr>
          <w:rFonts w:eastAsia="Times New Roman"/>
          <w:sz w:val="24"/>
          <w:szCs w:val="24"/>
          <w:lang w:val="en-NZ" w:eastAsia="en-GB"/>
        </w:rPr>
        <w:tab/>
      </w:r>
      <w:r w:rsidRPr="00635240">
        <w:rPr>
          <w:rFonts w:eastAsia="Times New Roman"/>
          <w:sz w:val="24"/>
          <w:szCs w:val="24"/>
          <w:lang w:val="en-NZ" w:eastAsia="en-GB"/>
        </w:rPr>
        <w:t>a child or young person who has been placed in a residence within the meaning of </w:t>
      </w:r>
      <w:bookmarkStart w:id="26" w:name="DLM147094"/>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"https://www.legislation.govt.nz/act/public/2006/0038/latest/link.aspx?id=DLM147094" \l "DLM147094"</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section 2(1)</w:t>
      </w:r>
      <w:r w:rsidRPr="00635240">
        <w:rPr>
          <w:rFonts w:eastAsia="Times New Roman"/>
          <w:sz w:val="24"/>
          <w:szCs w:val="24"/>
          <w:lang w:val="en-NZ" w:eastAsia="en-GB"/>
        </w:rPr>
        <w:fldChar w:fldCharType="end"/>
      </w:r>
      <w:bookmarkEnd w:id="26"/>
      <w:r w:rsidRPr="00635240">
        <w:rPr>
          <w:rFonts w:eastAsia="Times New Roman"/>
          <w:sz w:val="24"/>
          <w:szCs w:val="24"/>
          <w:lang w:val="en-NZ" w:eastAsia="en-GB"/>
        </w:rPr>
        <w:t> or </w:t>
      </w:r>
      <w:bookmarkStart w:id="27" w:name="DLM154320"/>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"https://www.legislation.govt.nz/act/public/2006/0038/latest/link.aspx?id=DLM154320" \l "DLM154320"</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364</w:t>
      </w:r>
      <w:r w:rsidRPr="00635240">
        <w:rPr>
          <w:rFonts w:eastAsia="Times New Roman"/>
          <w:sz w:val="24"/>
          <w:szCs w:val="24"/>
          <w:lang w:val="en-NZ" w:eastAsia="en-GB"/>
        </w:rPr>
        <w:fldChar w:fldCharType="end"/>
      </w:r>
      <w:bookmarkEnd w:id="27"/>
      <w:r w:rsidRPr="00635240">
        <w:rPr>
          <w:rFonts w:eastAsia="Times New Roman"/>
          <w:sz w:val="24"/>
          <w:szCs w:val="24"/>
          <w:lang w:val="en-NZ" w:eastAsia="en-GB"/>
        </w:rPr>
        <w:t> of the Oranga Tamariki Act 1989 (whether or not the death occurred in the residence):</w:t>
      </w:r>
    </w:p>
    <w:p w14:paraId="7A658838" w14:textId="47311B80" w:rsidR="00B86F26" w:rsidRPr="00635240" w:rsidRDefault="00B86F26" w:rsidP="00E26F6B">
      <w:pPr>
        <w:spacing w:before="60" w:after="0" w:line="264" w:lineRule="auto"/>
        <w:ind w:left="716" w:hanging="432"/>
        <w:rPr>
          <w:rFonts w:eastAsia="Times New Roman"/>
          <w:sz w:val="24"/>
          <w:szCs w:val="24"/>
          <w:lang w:val="en-NZ" w:eastAsia="en-GB"/>
        </w:rPr>
      </w:pPr>
      <w:r w:rsidRPr="00635240">
        <w:rPr>
          <w:rFonts w:eastAsia="Times New Roman"/>
          <w:sz w:val="24"/>
          <w:szCs w:val="24"/>
          <w:lang w:val="en-NZ" w:eastAsia="en-GB"/>
        </w:rPr>
        <w:t>(c)</w:t>
      </w:r>
      <w:r w:rsidR="00512852" w:rsidRPr="00635240">
        <w:rPr>
          <w:rFonts w:eastAsia="Times New Roman"/>
          <w:sz w:val="24"/>
          <w:szCs w:val="24"/>
          <w:lang w:val="en-NZ" w:eastAsia="en-GB"/>
        </w:rPr>
        <w:tab/>
      </w:r>
      <w:r w:rsidRPr="00635240">
        <w:rPr>
          <w:rFonts w:eastAsia="Times New Roman"/>
          <w:sz w:val="24"/>
          <w:szCs w:val="24"/>
          <w:lang w:val="en-NZ" w:eastAsia="en-GB"/>
        </w:rPr>
        <w:t>a child or young person who—</w:t>
      </w:r>
    </w:p>
    <w:p w14:paraId="2427D1F1" w14:textId="77777777" w:rsidR="00B86F26" w:rsidRPr="00635240" w:rsidRDefault="00B86F26" w:rsidP="00C16414">
      <w:pPr>
        <w:spacing w:before="60" w:after="0" w:line="264" w:lineRule="auto"/>
        <w:ind w:left="1134" w:hanging="418"/>
        <w:rPr>
          <w:rFonts w:eastAsia="Times New Roman"/>
          <w:sz w:val="24"/>
          <w:szCs w:val="24"/>
          <w:lang w:val="en-NZ" w:eastAsia="en-GB"/>
        </w:rPr>
      </w:pPr>
      <w:r w:rsidRPr="00635240">
        <w:rPr>
          <w:rFonts w:eastAsia="Times New Roman"/>
          <w:sz w:val="24"/>
          <w:szCs w:val="24"/>
          <w:lang w:val="en-NZ" w:eastAsia="en-GB"/>
        </w:rPr>
        <w:t>(i)</w:t>
      </w:r>
      <w:r w:rsidRPr="00635240">
        <w:rPr>
          <w:rFonts w:eastAsia="Times New Roman"/>
          <w:sz w:val="24"/>
          <w:szCs w:val="24"/>
          <w:lang w:val="en-NZ" w:eastAsia="en-GB"/>
        </w:rPr>
        <w:tab/>
        <w:t>is in the custody or care of an iwi social service, a cultural social service, a residential disability care operator, or the director of a child and family support service pursuant to </w:t>
      </w:r>
      <w:bookmarkStart w:id="28" w:name="DLM150012"/>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"https://www.legislation.govt.nz/act/public/2006/0038/latest/link.aspx?id=DLM150012" \l "DLM150012"</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section 43</w:t>
      </w:r>
      <w:r w:rsidRPr="00635240">
        <w:rPr>
          <w:rFonts w:eastAsia="Times New Roman"/>
          <w:sz w:val="24"/>
          <w:szCs w:val="24"/>
          <w:lang w:val="en-NZ" w:eastAsia="en-GB"/>
        </w:rPr>
        <w:fldChar w:fldCharType="end"/>
      </w:r>
      <w:bookmarkEnd w:id="28"/>
      <w:r w:rsidRPr="00635240">
        <w:rPr>
          <w:rFonts w:eastAsia="Times New Roman"/>
          <w:sz w:val="24"/>
          <w:szCs w:val="24"/>
          <w:lang w:val="en-NZ" w:eastAsia="en-GB"/>
        </w:rPr>
        <w:t>, </w:t>
      </w:r>
      <w:bookmarkStart w:id="29" w:name="DLM150069"/>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"https://www.legislation.govt.nz/act/public/2006/0038/latest/link.aspx?id=DLM150069" \l "DLM150069"</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78</w:t>
      </w:r>
      <w:r w:rsidRPr="00635240">
        <w:rPr>
          <w:rFonts w:eastAsia="Times New Roman"/>
          <w:sz w:val="24"/>
          <w:szCs w:val="24"/>
          <w:lang w:val="en-NZ" w:eastAsia="en-GB"/>
        </w:rPr>
        <w:fldChar w:fldCharType="end"/>
      </w:r>
      <w:bookmarkEnd w:id="29"/>
      <w:r w:rsidRPr="00635240">
        <w:rPr>
          <w:rFonts w:eastAsia="Times New Roman"/>
          <w:sz w:val="24"/>
          <w:szCs w:val="24"/>
          <w:lang w:val="en-NZ" w:eastAsia="en-GB"/>
        </w:rPr>
        <w:t>, </w:t>
      </w:r>
      <w:bookmarkStart w:id="30" w:name="DLM150420"/>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"https://www.legislation.govt.nz/act/public/2006/0038/latest/link.aspx?id=DLM150420" \l "DLM150420"</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101</w:t>
      </w:r>
      <w:r w:rsidRPr="00635240">
        <w:rPr>
          <w:rFonts w:eastAsia="Times New Roman"/>
          <w:sz w:val="24"/>
          <w:szCs w:val="24"/>
          <w:lang w:val="en-NZ" w:eastAsia="en-GB"/>
        </w:rPr>
        <w:fldChar w:fldCharType="end"/>
      </w:r>
      <w:bookmarkEnd w:id="30"/>
      <w:r w:rsidRPr="00635240">
        <w:rPr>
          <w:rFonts w:eastAsia="Times New Roman"/>
          <w:sz w:val="24"/>
          <w:szCs w:val="24"/>
          <w:lang w:val="en-NZ" w:eastAsia="en-GB"/>
        </w:rPr>
        <w:t>, </w:t>
      </w:r>
      <w:bookmarkStart w:id="31" w:name="DLM150423"/>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"https://www.legislation.govt.nz/act/public/2006/0038/latest/link.aspx?id=DLM150423" \l "DLM150423"</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102</w:t>
      </w:r>
      <w:r w:rsidRPr="00635240">
        <w:rPr>
          <w:rFonts w:eastAsia="Times New Roman"/>
          <w:sz w:val="24"/>
          <w:szCs w:val="24"/>
          <w:lang w:val="en-NZ" w:eastAsia="en-GB"/>
        </w:rPr>
        <w:fldChar w:fldCharType="end"/>
      </w:r>
      <w:bookmarkEnd w:id="31"/>
      <w:r w:rsidRPr="00635240">
        <w:rPr>
          <w:rFonts w:eastAsia="Times New Roman"/>
          <w:sz w:val="24"/>
          <w:szCs w:val="24"/>
          <w:lang w:val="en-NZ" w:eastAsia="en-GB"/>
        </w:rPr>
        <w:t>, </w:t>
      </w:r>
      <w:bookmarkStart w:id="32" w:name="DLM150441"/>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"https://www.legislation.govt.nz/act/public/2006/0038/latest/link.aspx?id=DLM150441" \l "DLM150441"</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110</w:t>
      </w:r>
      <w:r w:rsidRPr="00635240">
        <w:rPr>
          <w:rFonts w:eastAsia="Times New Roman"/>
          <w:sz w:val="24"/>
          <w:szCs w:val="24"/>
          <w:lang w:val="en-NZ" w:eastAsia="en-GB"/>
        </w:rPr>
        <w:fldChar w:fldCharType="end"/>
      </w:r>
      <w:bookmarkEnd w:id="32"/>
      <w:r w:rsidRPr="00635240">
        <w:rPr>
          <w:rFonts w:eastAsia="Times New Roman"/>
          <w:sz w:val="24"/>
          <w:szCs w:val="24"/>
          <w:lang w:val="en-NZ" w:eastAsia="en-GB"/>
        </w:rPr>
        <w:t>, </w:t>
      </w:r>
      <w:bookmarkStart w:id="33" w:name="DLM151023"/>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"https://www.legislation.govt.nz/act/public/2006/0038/latest/link.aspx?id=DLM151023" \l "DLM151023"</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139</w:t>
      </w:r>
      <w:r w:rsidRPr="00635240">
        <w:rPr>
          <w:rFonts w:eastAsia="Times New Roman"/>
          <w:sz w:val="24"/>
          <w:szCs w:val="24"/>
          <w:lang w:val="en-NZ" w:eastAsia="en-GB"/>
        </w:rPr>
        <w:fldChar w:fldCharType="end"/>
      </w:r>
      <w:bookmarkEnd w:id="33"/>
      <w:r w:rsidRPr="00635240">
        <w:rPr>
          <w:rFonts w:eastAsia="Times New Roman"/>
          <w:sz w:val="24"/>
          <w:szCs w:val="24"/>
          <w:lang w:val="en-NZ" w:eastAsia="en-GB"/>
        </w:rPr>
        <w:t>, </w:t>
      </w:r>
      <w:bookmarkStart w:id="34" w:name="DLM151026"/>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"https://www.legislation.govt.nz/act/public/2006/0038/latest/link.aspx?id=DLM151026" \l "DLM151026"</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140</w:t>
      </w:r>
      <w:r w:rsidRPr="00635240">
        <w:rPr>
          <w:rFonts w:eastAsia="Times New Roman"/>
          <w:sz w:val="24"/>
          <w:szCs w:val="24"/>
          <w:lang w:val="en-NZ" w:eastAsia="en-GB"/>
        </w:rPr>
        <w:fldChar w:fldCharType="end"/>
      </w:r>
      <w:bookmarkEnd w:id="34"/>
      <w:r w:rsidRPr="00635240">
        <w:rPr>
          <w:rFonts w:eastAsia="Times New Roman"/>
          <w:sz w:val="24"/>
          <w:szCs w:val="24"/>
          <w:lang w:val="en-NZ" w:eastAsia="en-GB"/>
        </w:rPr>
        <w:t>, </w:t>
      </w:r>
      <w:bookmarkStart w:id="35" w:name="DLM151029"/>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"https://www.legislation.govt.nz/act/public/2006/0038/latest/link.aspx?id=DLM151029" \l "DLM151029"</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141</w:t>
      </w:r>
      <w:r w:rsidRPr="00635240">
        <w:rPr>
          <w:rFonts w:eastAsia="Times New Roman"/>
          <w:sz w:val="24"/>
          <w:szCs w:val="24"/>
          <w:lang w:val="en-NZ" w:eastAsia="en-GB"/>
        </w:rPr>
        <w:fldChar w:fldCharType="end"/>
      </w:r>
      <w:bookmarkEnd w:id="35"/>
      <w:r w:rsidRPr="00635240">
        <w:rPr>
          <w:rFonts w:eastAsia="Times New Roman"/>
          <w:sz w:val="24"/>
          <w:szCs w:val="24"/>
          <w:lang w:val="en-NZ" w:eastAsia="en-GB"/>
        </w:rPr>
        <w:t>, </w:t>
      </w:r>
      <w:bookmarkStart w:id="36" w:name="DLM151035"/>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"https://www.legislation.govt.nz/act/public/2006/0038/latest/link.aspx?id=DLM151035" \l "DLM151035"</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142</w:t>
      </w:r>
      <w:r w:rsidRPr="00635240">
        <w:rPr>
          <w:rFonts w:eastAsia="Times New Roman"/>
          <w:sz w:val="24"/>
          <w:szCs w:val="24"/>
          <w:lang w:val="en-NZ" w:eastAsia="en-GB"/>
        </w:rPr>
        <w:fldChar w:fldCharType="end"/>
      </w:r>
      <w:bookmarkEnd w:id="36"/>
      <w:r w:rsidRPr="00635240">
        <w:rPr>
          <w:rFonts w:eastAsia="Times New Roman"/>
          <w:sz w:val="24"/>
          <w:szCs w:val="24"/>
          <w:lang w:val="en-NZ" w:eastAsia="en-GB"/>
        </w:rPr>
        <w:t>, </w:t>
      </w:r>
      <w:bookmarkStart w:id="37" w:name="DLM152939"/>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"https://www.legislation.govt.nz/act/public/2006/0038/latest/link.aspx?id=DLM152939" \l "DLM152939"</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234</w:t>
      </w:r>
      <w:r w:rsidRPr="00635240">
        <w:rPr>
          <w:rFonts w:eastAsia="Times New Roman"/>
          <w:sz w:val="24"/>
          <w:szCs w:val="24"/>
          <w:lang w:val="en-NZ" w:eastAsia="en-GB"/>
        </w:rPr>
        <w:fldChar w:fldCharType="end"/>
      </w:r>
      <w:bookmarkEnd w:id="37"/>
      <w:r w:rsidRPr="00635240">
        <w:rPr>
          <w:rFonts w:eastAsia="Times New Roman"/>
          <w:sz w:val="24"/>
          <w:szCs w:val="24"/>
          <w:lang w:val="en-NZ" w:eastAsia="en-GB"/>
        </w:rPr>
        <w:t>, </w:t>
      </w:r>
      <w:bookmarkStart w:id="38" w:name="DLM152948"/>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"https://www.legislation.govt.nz/act/public/2006/0038/latest/link.aspx?id=DLM152948" \l "DLM152948"</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238</w:t>
      </w:r>
      <w:r w:rsidRPr="00635240">
        <w:rPr>
          <w:rFonts w:eastAsia="Times New Roman"/>
          <w:sz w:val="24"/>
          <w:szCs w:val="24"/>
          <w:lang w:val="en-NZ" w:eastAsia="en-GB"/>
        </w:rPr>
        <w:fldChar w:fldCharType="end"/>
      </w:r>
      <w:bookmarkEnd w:id="38"/>
      <w:r w:rsidRPr="00635240">
        <w:rPr>
          <w:rFonts w:eastAsia="Times New Roman"/>
          <w:sz w:val="24"/>
          <w:szCs w:val="24"/>
          <w:lang w:val="en-NZ" w:eastAsia="en-GB"/>
        </w:rPr>
        <w:t>, or </w:t>
      </w:r>
      <w:bookmarkStart w:id="39" w:name="DLM154077"/>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"https://www.legislation.govt.nz/act/public/2006/0038/latest/link.aspx?id=DLM154077" \l "DLM154077"</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345</w:t>
      </w:r>
      <w:r w:rsidRPr="00635240">
        <w:rPr>
          <w:rFonts w:eastAsia="Times New Roman"/>
          <w:sz w:val="24"/>
          <w:szCs w:val="24"/>
          <w:lang w:val="en-NZ" w:eastAsia="en-GB"/>
        </w:rPr>
        <w:fldChar w:fldCharType="end"/>
      </w:r>
      <w:bookmarkEnd w:id="39"/>
      <w:r w:rsidRPr="00635240">
        <w:rPr>
          <w:rFonts w:eastAsia="Times New Roman"/>
          <w:sz w:val="24"/>
          <w:szCs w:val="24"/>
          <w:lang w:val="en-NZ" w:eastAsia="en-GB"/>
        </w:rPr>
        <w:t> of the </w:t>
      </w:r>
      <w:proofErr w:type="spellStart"/>
      <w:r w:rsidRPr="00635240">
        <w:rPr>
          <w:rFonts w:eastAsia="Times New Roman"/>
          <w:sz w:val="24"/>
          <w:szCs w:val="24"/>
          <w:lang w:val="en-NZ" w:eastAsia="en-GB"/>
        </w:rPr>
        <w:t>Oranga</w:t>
      </w:r>
      <w:proofErr w:type="spellEnd"/>
      <w:r w:rsidRPr="00635240">
        <w:rPr>
          <w:rFonts w:eastAsia="Times New Roman"/>
          <w:sz w:val="24"/>
          <w:szCs w:val="24"/>
          <w:lang w:val="en-NZ" w:eastAsia="en-GB"/>
        </w:rPr>
        <w:t xml:space="preserve"> Tamariki Act 1989; or</w:t>
      </w:r>
    </w:p>
    <w:p w14:paraId="26ADDF4C" w14:textId="77777777" w:rsidR="00B86F26" w:rsidRPr="00635240" w:rsidRDefault="00B86F26" w:rsidP="00C16414">
      <w:pPr>
        <w:spacing w:before="60" w:after="0" w:line="264" w:lineRule="auto"/>
        <w:ind w:left="1134" w:hanging="418"/>
        <w:rPr>
          <w:rFonts w:eastAsia="Times New Roman"/>
          <w:sz w:val="24"/>
          <w:szCs w:val="24"/>
          <w:lang w:val="en-NZ" w:eastAsia="en-GB"/>
        </w:rPr>
      </w:pPr>
      <w:r w:rsidRPr="00635240">
        <w:rPr>
          <w:rFonts w:eastAsia="Times New Roman"/>
          <w:sz w:val="24"/>
          <w:szCs w:val="24"/>
          <w:lang w:val="en-NZ" w:eastAsia="en-GB"/>
        </w:rPr>
        <w:lastRenderedPageBreak/>
        <w:t>(ii)</w:t>
      </w:r>
      <w:r w:rsidRPr="00635240">
        <w:rPr>
          <w:rFonts w:eastAsia="Times New Roman"/>
          <w:sz w:val="24"/>
          <w:szCs w:val="24"/>
          <w:lang w:val="en-NZ" w:eastAsia="en-GB"/>
        </w:rPr>
        <w:tab/>
        <w:t>is in the charge of any person or organisation pursuant to </w:t>
      </w:r>
      <w:bookmarkStart w:id="40" w:name="DLM154313"/>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"https://www.legislation.govt.nz/act/public/2006/0038/latest/link.aspx?id=DLM154313" \l "DLM154313"</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section 362</w:t>
      </w:r>
      <w:r w:rsidRPr="00635240">
        <w:rPr>
          <w:rFonts w:eastAsia="Times New Roman"/>
          <w:sz w:val="24"/>
          <w:szCs w:val="24"/>
          <w:lang w:val="en-NZ" w:eastAsia="en-GB"/>
        </w:rPr>
        <w:fldChar w:fldCharType="end"/>
      </w:r>
      <w:bookmarkEnd w:id="40"/>
      <w:r w:rsidRPr="00635240">
        <w:rPr>
          <w:rFonts w:eastAsia="Times New Roman"/>
          <w:sz w:val="24"/>
          <w:szCs w:val="24"/>
          <w:lang w:val="en-NZ" w:eastAsia="en-GB"/>
        </w:rPr>
        <w:t> of that Act:</w:t>
      </w:r>
    </w:p>
    <w:p w14:paraId="775C2ACB" w14:textId="77777777" w:rsidR="00B86F26" w:rsidRPr="00635240" w:rsidRDefault="00B86F26" w:rsidP="00C16414">
      <w:pPr>
        <w:spacing w:before="60" w:after="0" w:line="264" w:lineRule="auto"/>
        <w:ind w:left="716" w:hanging="432"/>
        <w:rPr>
          <w:rFonts w:eastAsia="Times New Roman"/>
          <w:sz w:val="24"/>
          <w:szCs w:val="24"/>
          <w:lang w:val="en-NZ" w:eastAsia="en-GB"/>
        </w:rPr>
      </w:pPr>
      <w:r w:rsidRPr="00635240">
        <w:rPr>
          <w:rFonts w:eastAsia="Times New Roman"/>
          <w:sz w:val="24"/>
          <w:szCs w:val="24"/>
          <w:lang w:val="en-NZ" w:eastAsia="en-GB"/>
        </w:rPr>
        <w:t>(d)</w:t>
      </w:r>
      <w:r w:rsidRPr="00635240">
        <w:rPr>
          <w:rFonts w:eastAsia="Times New Roman"/>
          <w:sz w:val="24"/>
          <w:szCs w:val="24"/>
          <w:lang w:val="en-NZ" w:eastAsia="en-GB"/>
        </w:rPr>
        <w:tab/>
        <w:t>a patient within the meaning of </w:t>
      </w:r>
      <w:bookmarkStart w:id="41" w:name="DLM262181"/>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"https://www.legislation.govt.nz/act/public/2006/0038/latest/link.aspx?id=DLM262181" \l "DLM262181"</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section 2(1)</w:t>
      </w:r>
      <w:r w:rsidRPr="00635240">
        <w:rPr>
          <w:rFonts w:eastAsia="Times New Roman"/>
          <w:sz w:val="24"/>
          <w:szCs w:val="24"/>
          <w:lang w:val="en-NZ" w:eastAsia="en-GB"/>
        </w:rPr>
        <w:fldChar w:fldCharType="end"/>
      </w:r>
      <w:bookmarkEnd w:id="41"/>
      <w:r w:rsidRPr="00635240">
        <w:rPr>
          <w:rFonts w:eastAsia="Times New Roman"/>
          <w:sz w:val="24"/>
          <w:szCs w:val="24"/>
          <w:lang w:val="en-NZ" w:eastAsia="en-GB"/>
        </w:rPr>
        <w:t> of the Mental Health (Compulsory Assessment and Treatment) Act 1992 (whether or not the death occurred in the hospital concerned):</w:t>
      </w:r>
    </w:p>
    <w:p w14:paraId="25E292D4" w14:textId="77777777" w:rsidR="00B86F26" w:rsidRPr="00635240" w:rsidRDefault="00B86F26" w:rsidP="00C16414">
      <w:pPr>
        <w:spacing w:before="60" w:after="0" w:line="264" w:lineRule="auto"/>
        <w:ind w:left="716" w:hanging="432"/>
        <w:rPr>
          <w:rFonts w:eastAsia="Times New Roman"/>
          <w:sz w:val="24"/>
          <w:szCs w:val="24"/>
          <w:lang w:val="en-NZ" w:eastAsia="en-GB"/>
        </w:rPr>
      </w:pPr>
      <w:r w:rsidRPr="00635240">
        <w:rPr>
          <w:rFonts w:eastAsia="Times New Roman"/>
          <w:sz w:val="24"/>
          <w:szCs w:val="24"/>
          <w:lang w:val="en-NZ" w:eastAsia="en-GB"/>
        </w:rPr>
        <w:t>(e)  a care recipient or proposed care recipient within the meaning of </w:t>
      </w:r>
      <w:bookmarkStart w:id="42" w:name="DLM224587"/>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"https://www.legislation.govt.nz/act/public/2006/0038/latest/link.aspx?id=DLM224587" \l "DLM224587"</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section 5(1)</w:t>
      </w:r>
      <w:r w:rsidRPr="00635240">
        <w:rPr>
          <w:rFonts w:eastAsia="Times New Roman"/>
          <w:sz w:val="24"/>
          <w:szCs w:val="24"/>
          <w:lang w:val="en-NZ" w:eastAsia="en-GB"/>
        </w:rPr>
        <w:fldChar w:fldCharType="end"/>
      </w:r>
      <w:bookmarkEnd w:id="42"/>
      <w:r w:rsidRPr="00635240">
        <w:rPr>
          <w:rFonts w:eastAsia="Times New Roman"/>
          <w:sz w:val="24"/>
          <w:szCs w:val="24"/>
          <w:lang w:val="en-NZ" w:eastAsia="en-GB"/>
        </w:rPr>
        <w:t> of the Intellectual Disability (Compulsory Care and Rehabilitation) Act 2003 (whether or not the death occurred in the facility concerned):</w:t>
      </w:r>
    </w:p>
    <w:p w14:paraId="002783D8" w14:textId="77777777" w:rsidR="00B86F26" w:rsidRPr="00635240" w:rsidRDefault="00B86F26" w:rsidP="00C16414">
      <w:pPr>
        <w:spacing w:before="60" w:after="0" w:line="264" w:lineRule="auto"/>
        <w:ind w:left="716" w:hanging="432"/>
        <w:rPr>
          <w:rFonts w:eastAsia="Times New Roman"/>
          <w:sz w:val="24"/>
          <w:szCs w:val="24"/>
          <w:lang w:val="en-NZ" w:eastAsia="en-GB"/>
        </w:rPr>
      </w:pPr>
      <w:r w:rsidRPr="00635240">
        <w:rPr>
          <w:rFonts w:eastAsia="Times New Roman"/>
          <w:sz w:val="24"/>
          <w:szCs w:val="24"/>
          <w:lang w:val="en-NZ" w:eastAsia="en-GB"/>
        </w:rPr>
        <w:t>(f)</w:t>
      </w:r>
      <w:r w:rsidRPr="00635240">
        <w:rPr>
          <w:rFonts w:eastAsia="Times New Roman"/>
          <w:sz w:val="24"/>
          <w:szCs w:val="24"/>
          <w:lang w:val="en-NZ" w:eastAsia="en-GB"/>
        </w:rPr>
        <w:tab/>
        <w:t>a prisoner within the meaning of </w:t>
      </w:r>
      <w:bookmarkStart w:id="43" w:name="DLM294857"/>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"https://www.legislation.govt.nz/act/public/2006/0038/latest/link.aspx?id=DLM294857" \l "DLM294857"</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section 3(1)</w:t>
      </w:r>
      <w:r w:rsidRPr="00635240">
        <w:rPr>
          <w:rFonts w:eastAsia="Times New Roman"/>
          <w:sz w:val="24"/>
          <w:szCs w:val="24"/>
          <w:lang w:val="en-NZ" w:eastAsia="en-GB"/>
        </w:rPr>
        <w:fldChar w:fldCharType="end"/>
      </w:r>
      <w:r w:rsidRPr="00635240">
        <w:rPr>
          <w:rFonts w:eastAsia="Times New Roman"/>
          <w:sz w:val="24"/>
          <w:szCs w:val="24"/>
          <w:lang w:val="en-NZ" w:eastAsia="en-GB"/>
        </w:rPr>
        <w:t> of the Corrections Act 2004 (whether or not the death occurred in the prison concerned):</w:t>
      </w:r>
    </w:p>
    <w:p w14:paraId="06F9AB1F" w14:textId="77777777" w:rsidR="00B86F26" w:rsidRPr="00635240" w:rsidRDefault="00B86F26" w:rsidP="00C16414">
      <w:pPr>
        <w:spacing w:before="60" w:after="0" w:line="264" w:lineRule="auto"/>
        <w:ind w:left="716" w:hanging="432"/>
        <w:rPr>
          <w:rFonts w:eastAsia="Times New Roman"/>
          <w:sz w:val="24"/>
          <w:szCs w:val="24"/>
          <w:lang w:val="en-NZ" w:eastAsia="en-GB"/>
        </w:rPr>
      </w:pPr>
      <w:r w:rsidRPr="00635240">
        <w:rPr>
          <w:rFonts w:eastAsia="Times New Roman"/>
          <w:sz w:val="24"/>
          <w:szCs w:val="24"/>
          <w:lang w:val="en-NZ" w:eastAsia="en-GB"/>
        </w:rPr>
        <w:t>(g)</w:t>
      </w:r>
      <w:r w:rsidRPr="00635240">
        <w:rPr>
          <w:rFonts w:eastAsia="Times New Roman"/>
          <w:sz w:val="24"/>
          <w:szCs w:val="24"/>
          <w:lang w:val="en-NZ" w:eastAsia="en-GB"/>
        </w:rPr>
        <w:tab/>
        <w:t>a person in the custody of the New Zealand Police:</w:t>
      </w:r>
    </w:p>
    <w:p w14:paraId="332679D7" w14:textId="77777777" w:rsidR="00B86F26" w:rsidRPr="00635240" w:rsidRDefault="00B86F26" w:rsidP="00C16414">
      <w:pPr>
        <w:spacing w:before="60" w:after="0" w:line="264" w:lineRule="auto"/>
        <w:ind w:left="716" w:hanging="432"/>
        <w:rPr>
          <w:rFonts w:eastAsia="Times New Roman"/>
          <w:sz w:val="24"/>
          <w:szCs w:val="24"/>
          <w:lang w:val="en-NZ" w:eastAsia="en-GB"/>
        </w:rPr>
      </w:pPr>
      <w:r w:rsidRPr="00635240">
        <w:rPr>
          <w:rFonts w:eastAsia="Times New Roman"/>
          <w:sz w:val="24"/>
          <w:szCs w:val="24"/>
          <w:lang w:val="en-NZ" w:eastAsia="en-GB"/>
        </w:rPr>
        <w:t>(h)</w:t>
      </w:r>
      <w:r w:rsidRPr="00635240">
        <w:rPr>
          <w:rFonts w:eastAsia="Times New Roman"/>
          <w:sz w:val="24"/>
          <w:szCs w:val="24"/>
          <w:lang w:val="en-NZ" w:eastAsia="en-GB"/>
        </w:rPr>
        <w:tab/>
        <w:t>a person under the control of a security officer (as defined in </w:t>
      </w:r>
      <w:hyperlink r:id="rId15" w:anchor="DLM294857" w:history="1">
        <w:r w:rsidRPr="00635240">
          <w:rPr>
            <w:rFonts w:eastAsia="Times New Roman"/>
            <w:sz w:val="24"/>
            <w:szCs w:val="24"/>
            <w:lang w:val="en-NZ" w:eastAsia="en-GB"/>
          </w:rPr>
          <w:t>section 3(1)</w:t>
        </w:r>
      </w:hyperlink>
      <w:bookmarkEnd w:id="43"/>
      <w:r w:rsidRPr="00635240">
        <w:rPr>
          <w:rFonts w:eastAsia="Times New Roman"/>
          <w:sz w:val="24"/>
          <w:szCs w:val="24"/>
          <w:lang w:val="en-NZ" w:eastAsia="en-GB"/>
        </w:rPr>
        <w:t> of the Corrections Act 2004):</w:t>
      </w:r>
    </w:p>
    <w:p w14:paraId="661CEA16" w14:textId="3359DD51" w:rsidR="00B86F26" w:rsidRPr="00635240" w:rsidRDefault="00B86F26" w:rsidP="00C16414">
      <w:pPr>
        <w:spacing w:before="60" w:after="0" w:line="264" w:lineRule="auto"/>
        <w:ind w:left="716" w:hanging="432"/>
        <w:rPr>
          <w:rFonts w:eastAsia="Times New Roman"/>
          <w:sz w:val="24"/>
          <w:szCs w:val="24"/>
          <w:lang w:val="en-NZ" w:eastAsia="en-GB"/>
        </w:rPr>
      </w:pPr>
      <w:r w:rsidRPr="00635240">
        <w:rPr>
          <w:rFonts w:eastAsia="Times New Roman"/>
          <w:sz w:val="24"/>
          <w:szCs w:val="24"/>
          <w:lang w:val="en-NZ" w:eastAsia="en-GB"/>
        </w:rPr>
        <w:t>(i)</w:t>
      </w:r>
      <w:r w:rsidRPr="00635240">
        <w:rPr>
          <w:rFonts w:eastAsia="Times New Roman"/>
          <w:sz w:val="24"/>
          <w:szCs w:val="24"/>
          <w:lang w:val="en-NZ" w:eastAsia="en-GB"/>
        </w:rPr>
        <w:tab/>
        <w:t>a resident within the meaning of </w:t>
      </w:r>
      <w:bookmarkStart w:id="44" w:name="DLM4751022"/>
      <w:r w:rsidRPr="00635240">
        <w:rPr>
          <w:rFonts w:eastAsia="Times New Roman"/>
          <w:sz w:val="24"/>
          <w:szCs w:val="24"/>
          <w:lang w:val="en-NZ" w:eastAsia="en-GB"/>
        </w:rPr>
        <w:fldChar w:fldCharType="begin"/>
      </w:r>
      <w:r w:rsidRPr="00635240">
        <w:rPr>
          <w:rFonts w:eastAsia="Times New Roman"/>
          <w:sz w:val="24"/>
          <w:szCs w:val="24"/>
          <w:lang w:val="en-NZ" w:eastAsia="en-GB"/>
        </w:rPr>
        <w:instrText>HYPERLINK "https://www.legislation.govt.nz/act/public/2006/0038/latest/link.aspx?id=DLM4751022" \l "DLM4751022"</w:instrText>
      </w:r>
      <w:r w:rsidRPr="00635240">
        <w:rPr>
          <w:rFonts w:eastAsia="Times New Roman"/>
          <w:sz w:val="24"/>
          <w:szCs w:val="24"/>
          <w:lang w:val="en-NZ" w:eastAsia="en-GB"/>
        </w:rPr>
      </w:r>
      <w:r w:rsidRPr="00635240">
        <w:rPr>
          <w:rFonts w:eastAsia="Times New Roman"/>
          <w:sz w:val="24"/>
          <w:szCs w:val="24"/>
          <w:lang w:val="en-NZ" w:eastAsia="en-GB"/>
        </w:rPr>
        <w:fldChar w:fldCharType="separate"/>
      </w:r>
      <w:r w:rsidRPr="00635240">
        <w:rPr>
          <w:rFonts w:eastAsia="Times New Roman"/>
          <w:sz w:val="24"/>
          <w:szCs w:val="24"/>
          <w:lang w:val="en-NZ" w:eastAsia="en-GB"/>
        </w:rPr>
        <w:t>section 3</w:t>
      </w:r>
      <w:r w:rsidRPr="00635240">
        <w:rPr>
          <w:rFonts w:eastAsia="Times New Roman"/>
          <w:sz w:val="24"/>
          <w:szCs w:val="24"/>
          <w:lang w:val="en-NZ" w:eastAsia="en-GB"/>
        </w:rPr>
        <w:fldChar w:fldCharType="end"/>
      </w:r>
      <w:bookmarkEnd w:id="44"/>
      <w:r w:rsidRPr="00635240">
        <w:rPr>
          <w:rFonts w:eastAsia="Times New Roman"/>
          <w:sz w:val="24"/>
          <w:szCs w:val="24"/>
          <w:lang w:val="en-NZ" w:eastAsia="en-GB"/>
        </w:rPr>
        <w:t> of the Public Safety (Public Protection Orders) Act 2014</w:t>
      </w:r>
      <w:r w:rsidR="00AD1289" w:rsidRPr="00635240">
        <w:rPr>
          <w:rFonts w:eastAsia="Times New Roman"/>
          <w:sz w:val="24"/>
          <w:szCs w:val="24"/>
          <w:lang w:val="en-NZ" w:eastAsia="en-GB"/>
        </w:rPr>
        <w:t>.</w:t>
      </w:r>
    </w:p>
    <w:p w14:paraId="1AD95AA3" w14:textId="13CC8FBA" w:rsidR="00347441" w:rsidRPr="00635240" w:rsidRDefault="00347441" w:rsidP="007E2A5F">
      <w:pPr>
        <w:rPr>
          <w:sz w:val="24"/>
          <w:szCs w:val="24"/>
          <w:lang w:val="en-NZ"/>
        </w:rPr>
      </w:pPr>
    </w:p>
    <w:p w14:paraId="3085938C" w14:textId="0B0E5151" w:rsidR="00347441" w:rsidRPr="00635240" w:rsidRDefault="00347441" w:rsidP="00347441">
      <w:pPr>
        <w:pStyle w:val="Heading2"/>
        <w:rPr>
          <w:rFonts w:ascii="Arial" w:hAnsi="Arial" w:cs="Arial"/>
          <w:sz w:val="48"/>
          <w:szCs w:val="48"/>
          <w:lang w:val="en-NZ"/>
        </w:rPr>
      </w:pPr>
      <w:bookmarkStart w:id="45" w:name="_Toc425235436"/>
      <w:bookmarkStart w:id="46" w:name="_Toc177558530"/>
      <w:bookmarkStart w:id="47" w:name="_Toc177558736"/>
      <w:r w:rsidRPr="00635240">
        <w:rPr>
          <w:rFonts w:ascii="Arial" w:hAnsi="Arial" w:cs="Arial"/>
          <w:sz w:val="48"/>
          <w:szCs w:val="48"/>
          <w:lang w:val="en-NZ"/>
        </w:rPr>
        <w:t xml:space="preserve">Reporting deaths to the </w:t>
      </w:r>
      <w:bookmarkEnd w:id="45"/>
      <w:r w:rsidR="00E73737" w:rsidRPr="00635240">
        <w:rPr>
          <w:rFonts w:ascii="Arial" w:hAnsi="Arial" w:cs="Arial"/>
          <w:sz w:val="48"/>
          <w:szCs w:val="48"/>
          <w:lang w:val="en-NZ"/>
        </w:rPr>
        <w:t>coroner</w:t>
      </w:r>
      <w:bookmarkEnd w:id="46"/>
      <w:bookmarkEnd w:id="47"/>
    </w:p>
    <w:p w14:paraId="0F7A2599" w14:textId="2176AFF5" w:rsidR="00347441" w:rsidRPr="00635240" w:rsidRDefault="00765CA2" w:rsidP="00347441">
      <w:pPr>
        <w:rPr>
          <w:sz w:val="24"/>
          <w:szCs w:val="24"/>
          <w:lang w:val="en-NZ"/>
        </w:rPr>
      </w:pPr>
      <w:r w:rsidRPr="00635240">
        <w:rPr>
          <w:sz w:val="24"/>
          <w:szCs w:val="24"/>
          <w:lang w:val="en-NZ"/>
        </w:rPr>
        <w:t>While</w:t>
      </w:r>
      <w:r w:rsidR="00347441" w:rsidRPr="00635240">
        <w:rPr>
          <w:sz w:val="24"/>
          <w:szCs w:val="24"/>
          <w:lang w:val="en-NZ"/>
        </w:rPr>
        <w:t xml:space="preserve"> some deaths must be reported to the </w:t>
      </w:r>
      <w:r w:rsidR="00E73737" w:rsidRPr="00635240">
        <w:rPr>
          <w:sz w:val="24"/>
          <w:szCs w:val="24"/>
          <w:lang w:val="en-NZ"/>
        </w:rPr>
        <w:t>coroner</w:t>
      </w:r>
      <w:r w:rsidR="00347441" w:rsidRPr="00635240">
        <w:rPr>
          <w:sz w:val="24"/>
          <w:szCs w:val="24"/>
          <w:lang w:val="en-NZ"/>
        </w:rPr>
        <w:t xml:space="preserve">, deaths which are expected and explainable do not. A death does not need to be reported to the </w:t>
      </w:r>
      <w:r w:rsidR="00E73737" w:rsidRPr="00635240">
        <w:rPr>
          <w:sz w:val="24"/>
          <w:szCs w:val="24"/>
          <w:lang w:val="en-NZ"/>
        </w:rPr>
        <w:t>coroner</w:t>
      </w:r>
      <w:r w:rsidR="00347441" w:rsidRPr="00635240">
        <w:rPr>
          <w:sz w:val="24"/>
          <w:szCs w:val="24"/>
          <w:lang w:val="en-NZ"/>
        </w:rPr>
        <w:t xml:space="preserve"> when a medical practitioner </w:t>
      </w:r>
      <w:r w:rsidR="00615CAE" w:rsidRPr="00635240">
        <w:rPr>
          <w:sz w:val="24"/>
          <w:szCs w:val="24"/>
          <w:lang w:val="en-NZ"/>
        </w:rPr>
        <w:t xml:space="preserve">or nurse practitioner </w:t>
      </w:r>
      <w:r w:rsidR="00347441" w:rsidRPr="00635240">
        <w:rPr>
          <w:sz w:val="24"/>
          <w:szCs w:val="24"/>
          <w:lang w:val="en-NZ"/>
        </w:rPr>
        <w:t>agrees to issue a Medical Certificate of Cause of Death</w:t>
      </w:r>
      <w:r w:rsidR="00EB1471" w:rsidRPr="00635240">
        <w:rPr>
          <w:sz w:val="24"/>
          <w:szCs w:val="24"/>
          <w:lang w:val="en-NZ"/>
        </w:rPr>
        <w:t xml:space="preserve"> (MCCD)</w:t>
      </w:r>
      <w:r w:rsidR="00347441" w:rsidRPr="00635240">
        <w:rPr>
          <w:sz w:val="24"/>
          <w:szCs w:val="24"/>
          <w:lang w:val="en-NZ"/>
        </w:rPr>
        <w:t xml:space="preserve">, provided that the death is not otherwise reportable under </w:t>
      </w:r>
      <w:r w:rsidR="00D305C4" w:rsidRPr="00635240">
        <w:rPr>
          <w:sz w:val="24"/>
          <w:szCs w:val="24"/>
          <w:lang w:val="en-NZ"/>
        </w:rPr>
        <w:t xml:space="preserve">sections 13 and 14 </w:t>
      </w:r>
      <w:r w:rsidR="00347441" w:rsidRPr="00635240">
        <w:rPr>
          <w:sz w:val="24"/>
          <w:szCs w:val="24"/>
          <w:lang w:val="en-NZ"/>
        </w:rPr>
        <w:t>of the Coroners Act 2006. In such cases, the provisions of Section 46B of the Burial and Cremation Act 1964 apply.</w:t>
      </w:r>
    </w:p>
    <w:p w14:paraId="5C0119D9" w14:textId="04D33C5D" w:rsidR="00347441" w:rsidRPr="00635240" w:rsidRDefault="00347441" w:rsidP="00347441">
      <w:pPr>
        <w:spacing w:before="180"/>
        <w:rPr>
          <w:sz w:val="24"/>
          <w:szCs w:val="24"/>
          <w:lang w:val="en-NZ"/>
        </w:rPr>
      </w:pPr>
      <w:r w:rsidRPr="00635240">
        <w:rPr>
          <w:sz w:val="24"/>
          <w:szCs w:val="24"/>
          <w:lang w:val="en-NZ"/>
        </w:rPr>
        <w:t xml:space="preserve">Section </w:t>
      </w:r>
      <w:r w:rsidR="00452A57" w:rsidRPr="00635240">
        <w:rPr>
          <w:sz w:val="24"/>
          <w:szCs w:val="24"/>
          <w:lang w:val="en-NZ"/>
        </w:rPr>
        <w:t xml:space="preserve">13(1) and (2) </w:t>
      </w:r>
      <w:r w:rsidRPr="00635240">
        <w:rPr>
          <w:sz w:val="24"/>
          <w:szCs w:val="24"/>
          <w:lang w:val="en-NZ"/>
        </w:rPr>
        <w:t>of the Coroners Act 2006 require</w:t>
      </w:r>
      <w:r w:rsidR="009B440D" w:rsidRPr="00635240">
        <w:rPr>
          <w:sz w:val="24"/>
          <w:szCs w:val="24"/>
          <w:lang w:val="en-NZ"/>
        </w:rPr>
        <w:t>s</w:t>
      </w:r>
      <w:r w:rsidRPr="00635240">
        <w:rPr>
          <w:sz w:val="24"/>
          <w:szCs w:val="24"/>
          <w:lang w:val="en-NZ"/>
        </w:rPr>
        <w:t xml:space="preserve"> that any person who finds a body in New Zealand or learns of a death to which </w:t>
      </w:r>
      <w:r w:rsidR="009B440D" w:rsidRPr="00635240">
        <w:rPr>
          <w:sz w:val="24"/>
          <w:szCs w:val="24"/>
          <w:lang w:val="en-NZ"/>
        </w:rPr>
        <w:t>s</w:t>
      </w:r>
      <w:r w:rsidRPr="00635240">
        <w:rPr>
          <w:sz w:val="24"/>
          <w:szCs w:val="24"/>
          <w:lang w:val="en-NZ"/>
        </w:rPr>
        <w:t>ection 1</w:t>
      </w:r>
      <w:r w:rsidR="00FF0488" w:rsidRPr="00635240">
        <w:rPr>
          <w:sz w:val="24"/>
          <w:szCs w:val="24"/>
          <w:lang w:val="en-NZ"/>
        </w:rPr>
        <w:t>4</w:t>
      </w:r>
      <w:r w:rsidRPr="00635240">
        <w:rPr>
          <w:sz w:val="24"/>
          <w:szCs w:val="24"/>
          <w:lang w:val="en-NZ"/>
        </w:rPr>
        <w:t xml:space="preserve"> of the Coroners Act 2006 applies must report the finding to the police. A pragmatic interpretation of the Act means that a person finding a body where the death is expected and </w:t>
      </w:r>
      <w:r w:rsidR="00E73737" w:rsidRPr="00635240">
        <w:rPr>
          <w:sz w:val="24"/>
          <w:szCs w:val="24"/>
          <w:lang w:val="en-NZ"/>
        </w:rPr>
        <w:t>explainable and</w:t>
      </w:r>
      <w:r w:rsidRPr="00635240">
        <w:rPr>
          <w:sz w:val="24"/>
          <w:szCs w:val="24"/>
          <w:lang w:val="en-NZ"/>
        </w:rPr>
        <w:t xml:space="preserve"> occurs in a setting such as aged care or palliative care, does not need to report finding the body to the police. However, in any sudden, unexpected death where the body is found and the cause of death is not established, including if a person is found dead at home, the police should be notified. It is the role of the police to determine whether the death is reported to the </w:t>
      </w:r>
      <w:r w:rsidR="000C301B" w:rsidRPr="00635240">
        <w:rPr>
          <w:sz w:val="24"/>
          <w:szCs w:val="24"/>
          <w:lang w:val="en-NZ"/>
        </w:rPr>
        <w:t>coroner</w:t>
      </w:r>
      <w:r w:rsidRPr="00635240">
        <w:rPr>
          <w:sz w:val="24"/>
          <w:szCs w:val="24"/>
          <w:lang w:val="en-NZ"/>
        </w:rPr>
        <w:t>.</w:t>
      </w:r>
    </w:p>
    <w:p w14:paraId="3E083AFF" w14:textId="7C0C32F4" w:rsidR="00707C61" w:rsidRPr="00635240" w:rsidRDefault="00707C61" w:rsidP="00707C61">
      <w:pPr>
        <w:spacing w:before="180"/>
        <w:rPr>
          <w:color w:val="000000"/>
          <w:sz w:val="24"/>
          <w:szCs w:val="24"/>
          <w:lang w:val="en-NZ"/>
        </w:rPr>
      </w:pPr>
      <w:r w:rsidRPr="00635240">
        <w:rPr>
          <w:color w:val="000000"/>
          <w:sz w:val="24"/>
          <w:szCs w:val="24"/>
          <w:lang w:val="en-NZ"/>
        </w:rPr>
        <w:t>Section 13(1) and (2) do</w:t>
      </w:r>
      <w:r w:rsidR="009B440D" w:rsidRPr="00635240">
        <w:rPr>
          <w:color w:val="000000"/>
          <w:sz w:val="24"/>
          <w:szCs w:val="24"/>
          <w:lang w:val="en-NZ"/>
        </w:rPr>
        <w:t>es</w:t>
      </w:r>
      <w:r w:rsidRPr="00635240">
        <w:rPr>
          <w:color w:val="000000"/>
          <w:sz w:val="24"/>
          <w:szCs w:val="24"/>
          <w:lang w:val="en-NZ"/>
        </w:rPr>
        <w:t xml:space="preserve"> not apply in any case in which the death was a result of assisted dying under the </w:t>
      </w:r>
      <w:bookmarkStart w:id="48" w:name="DLM7285902"/>
      <w:r w:rsidRPr="00635240">
        <w:rPr>
          <w:color w:val="000000"/>
          <w:sz w:val="24"/>
          <w:szCs w:val="24"/>
          <w:lang w:val="en-NZ"/>
        </w:rPr>
        <w:fldChar w:fldCharType="begin"/>
      </w:r>
      <w:r w:rsidRPr="00635240">
        <w:rPr>
          <w:color w:val="000000"/>
          <w:sz w:val="24"/>
          <w:szCs w:val="24"/>
          <w:lang w:val="en-NZ"/>
        </w:rPr>
        <w:instrText>HYPERLINK "https://www.legislation.govt.nz/act/public/2006/0038/latest/link.aspx?id=DLM7285902"</w:instrText>
      </w:r>
      <w:r w:rsidRPr="00635240">
        <w:rPr>
          <w:color w:val="000000"/>
          <w:sz w:val="24"/>
          <w:szCs w:val="24"/>
          <w:lang w:val="en-NZ"/>
        </w:rPr>
      </w:r>
      <w:r w:rsidRPr="00635240">
        <w:rPr>
          <w:color w:val="000000"/>
          <w:sz w:val="24"/>
          <w:szCs w:val="24"/>
          <w:lang w:val="en-NZ"/>
        </w:rPr>
        <w:fldChar w:fldCharType="separate"/>
      </w:r>
      <w:r w:rsidRPr="00635240">
        <w:rPr>
          <w:rStyle w:val="Hyperlink"/>
          <w:sz w:val="24"/>
          <w:szCs w:val="24"/>
          <w:lang w:val="en-NZ"/>
        </w:rPr>
        <w:t>End of Life Choice Act 2019</w:t>
      </w:r>
      <w:r w:rsidRPr="00635240">
        <w:rPr>
          <w:color w:val="000000"/>
          <w:sz w:val="24"/>
          <w:szCs w:val="24"/>
          <w:lang w:val="en-NZ"/>
        </w:rPr>
        <w:fldChar w:fldCharType="end"/>
      </w:r>
      <w:bookmarkEnd w:id="48"/>
      <w:r w:rsidRPr="00635240">
        <w:rPr>
          <w:color w:val="000000"/>
          <w:sz w:val="24"/>
          <w:szCs w:val="24"/>
          <w:lang w:val="en-NZ"/>
        </w:rPr>
        <w:t xml:space="preserve"> (section 13(2A) of the Coroners Act 2006 refers).</w:t>
      </w:r>
    </w:p>
    <w:p w14:paraId="1FAA6810" w14:textId="77777777" w:rsidR="007E2A5F" w:rsidRPr="00635240" w:rsidRDefault="007E2A5F" w:rsidP="007E2A5F">
      <w:pPr>
        <w:pBdr>
          <w:top w:val="single" w:sz="4" w:space="1" w:color="0C818F" w:themeColor="accent3"/>
          <w:left w:val="single" w:sz="4" w:space="4" w:color="0C818F" w:themeColor="accent3"/>
          <w:bottom w:val="single" w:sz="4" w:space="1" w:color="0C818F" w:themeColor="accent3"/>
          <w:right w:val="single" w:sz="4" w:space="4" w:color="0C818F" w:themeColor="accent3"/>
        </w:pBdr>
        <w:spacing w:after="0"/>
        <w:rPr>
          <w:sz w:val="24"/>
          <w:szCs w:val="24"/>
          <w:lang w:val="en-NZ"/>
        </w:rPr>
      </w:pPr>
    </w:p>
    <w:p w14:paraId="31498DAC" w14:textId="6D19E048" w:rsidR="00347441" w:rsidRPr="00635240" w:rsidRDefault="00347441" w:rsidP="007E2A5F">
      <w:pPr>
        <w:pBdr>
          <w:top w:val="single" w:sz="4" w:space="1" w:color="0C818F" w:themeColor="accent3"/>
          <w:left w:val="single" w:sz="4" w:space="4" w:color="0C818F" w:themeColor="accent3"/>
          <w:bottom w:val="single" w:sz="4" w:space="1" w:color="0C818F" w:themeColor="accent3"/>
          <w:right w:val="single" w:sz="4" w:space="4" w:color="0C818F" w:themeColor="accent3"/>
        </w:pBdr>
        <w:spacing w:after="0"/>
        <w:rPr>
          <w:color w:val="000000"/>
          <w:sz w:val="24"/>
          <w:szCs w:val="24"/>
          <w:lang w:val="en-NZ"/>
        </w:rPr>
      </w:pPr>
      <w:r w:rsidRPr="00635240">
        <w:rPr>
          <w:sz w:val="24"/>
          <w:szCs w:val="24"/>
          <w:lang w:val="en-NZ"/>
        </w:rPr>
        <w:t xml:space="preserve">Where there is any doubt, the National Duty Coroner can determine whether a death is classified as reportable. </w:t>
      </w:r>
      <w:r w:rsidRPr="00635240">
        <w:rPr>
          <w:color w:val="000000"/>
          <w:sz w:val="24"/>
          <w:szCs w:val="24"/>
          <w:lang w:val="en-NZ"/>
        </w:rPr>
        <w:t>Telephone 0800 266</w:t>
      </w:r>
      <w:r w:rsidR="0028384C" w:rsidRPr="00635240">
        <w:rPr>
          <w:color w:val="000000"/>
          <w:sz w:val="24"/>
          <w:szCs w:val="24"/>
          <w:lang w:val="en-NZ"/>
        </w:rPr>
        <w:t xml:space="preserve"> </w:t>
      </w:r>
      <w:r w:rsidRPr="00635240">
        <w:rPr>
          <w:color w:val="000000"/>
          <w:sz w:val="24"/>
          <w:szCs w:val="24"/>
          <w:lang w:val="en-NZ"/>
        </w:rPr>
        <w:t>800.</w:t>
      </w:r>
    </w:p>
    <w:p w14:paraId="73840708" w14:textId="77777777" w:rsidR="007E2A5F" w:rsidRPr="00635240" w:rsidRDefault="007E2A5F" w:rsidP="007E2A5F">
      <w:pPr>
        <w:pBdr>
          <w:top w:val="single" w:sz="4" w:space="1" w:color="0C818F" w:themeColor="accent3"/>
          <w:left w:val="single" w:sz="4" w:space="4" w:color="0C818F" w:themeColor="accent3"/>
          <w:bottom w:val="single" w:sz="4" w:space="1" w:color="0C818F" w:themeColor="accent3"/>
          <w:right w:val="single" w:sz="4" w:space="4" w:color="0C818F" w:themeColor="accent3"/>
        </w:pBdr>
        <w:spacing w:after="0"/>
        <w:rPr>
          <w:color w:val="000000"/>
          <w:sz w:val="24"/>
          <w:szCs w:val="24"/>
          <w:lang w:val="en-NZ"/>
        </w:rPr>
      </w:pPr>
    </w:p>
    <w:p w14:paraId="77248FAE" w14:textId="77777777" w:rsidR="00074682" w:rsidRPr="00635240" w:rsidRDefault="00074682" w:rsidP="00347441">
      <w:pPr>
        <w:rPr>
          <w:lang w:val="en-NZ"/>
        </w:rPr>
      </w:pPr>
    </w:p>
    <w:p w14:paraId="20EC79FF" w14:textId="7FD5B308" w:rsidR="009B5CCA" w:rsidRPr="00635240" w:rsidRDefault="00074682" w:rsidP="009B5CCA">
      <w:pPr>
        <w:rPr>
          <w:sz w:val="24"/>
          <w:szCs w:val="24"/>
          <w:lang w:val="en-NZ"/>
        </w:rPr>
      </w:pPr>
      <w:r w:rsidRPr="00635240">
        <w:rPr>
          <w:sz w:val="24"/>
          <w:szCs w:val="24"/>
          <w:lang w:val="en-NZ"/>
        </w:rPr>
        <w:lastRenderedPageBreak/>
        <w:t xml:space="preserve">Medical practitioners and nurse practitioners can now use the government digital tool </w:t>
      </w:r>
      <w:hyperlink r:id="rId16" w:history="1">
        <w:r w:rsidRPr="00635240">
          <w:rPr>
            <w:rStyle w:val="Hyperlink"/>
            <w:sz w:val="24"/>
            <w:szCs w:val="24"/>
            <w:lang w:val="en-NZ"/>
          </w:rPr>
          <w:t>Death Documents</w:t>
        </w:r>
      </w:hyperlink>
      <w:r w:rsidRPr="00635240">
        <w:rPr>
          <w:sz w:val="24"/>
          <w:szCs w:val="24"/>
          <w:lang w:val="en-NZ"/>
        </w:rPr>
        <w:t> </w:t>
      </w:r>
      <w:r w:rsidR="00E52B41" w:rsidRPr="00635240">
        <w:rPr>
          <w:sz w:val="24"/>
          <w:szCs w:val="24"/>
          <w:lang w:val="en-NZ"/>
        </w:rPr>
        <w:t>(</w:t>
      </w:r>
      <w:hyperlink r:id="rId17" w:history="1">
        <w:r w:rsidR="00E52B41" w:rsidRPr="00635240">
          <w:rPr>
            <w:rStyle w:val="Hyperlink"/>
            <w:sz w:val="24"/>
            <w:szCs w:val="24"/>
            <w:lang w:val="en-NZ"/>
          </w:rPr>
          <w:t>https://deathdocs.services.govt.nz</w:t>
        </w:r>
      </w:hyperlink>
      <w:r w:rsidR="00E52B41" w:rsidRPr="00635240">
        <w:rPr>
          <w:sz w:val="24"/>
          <w:szCs w:val="24"/>
          <w:lang w:val="en-NZ"/>
        </w:rPr>
        <w:t xml:space="preserve">) </w:t>
      </w:r>
      <w:r w:rsidRPr="00635240">
        <w:rPr>
          <w:sz w:val="24"/>
          <w:szCs w:val="24"/>
          <w:lang w:val="en-NZ"/>
        </w:rPr>
        <w:t xml:space="preserve">to report a death to the coroner if the deceased was 28 days of age or older at the time of death.  </w:t>
      </w:r>
      <w:r w:rsidR="009B5CCA" w:rsidRPr="00635240">
        <w:rPr>
          <w:sz w:val="24"/>
          <w:szCs w:val="24"/>
          <w:shd w:val="clear" w:color="auto" w:fill="FDFFF6"/>
        </w:rPr>
        <w:t>The online report form asks a series of screening questions to guide the practitioner through the reporting requirements then provides a recommendation to either complete and submit a Coroner Report or complete a MCCD (because the death does not need to be reported to the coroner).</w:t>
      </w:r>
    </w:p>
    <w:p w14:paraId="6881B6F8" w14:textId="77777777" w:rsidR="00AB04A4" w:rsidRPr="00635240" w:rsidRDefault="00074682" w:rsidP="00074682">
      <w:pPr>
        <w:rPr>
          <w:sz w:val="24"/>
          <w:szCs w:val="24"/>
          <w:lang w:val="en-NZ"/>
        </w:rPr>
      </w:pPr>
      <w:r w:rsidRPr="00635240">
        <w:rPr>
          <w:sz w:val="24"/>
          <w:szCs w:val="24"/>
          <w:lang w:val="en-NZ"/>
        </w:rPr>
        <w:t>To report the death to the coroner of a baby less than 28 days of age, in hospital, complete a Hospital Record of Death (HROD) form and phone the Duty Coroner on 0800 266 800.</w:t>
      </w:r>
    </w:p>
    <w:p w14:paraId="07547854" w14:textId="7FDF1DDC" w:rsidR="00832E97" w:rsidRPr="00635240" w:rsidRDefault="00000000" w:rsidP="00832E97">
      <w:pPr>
        <w:rPr>
          <w:sz w:val="24"/>
          <w:szCs w:val="24"/>
          <w:lang w:val="en-NZ"/>
        </w:rPr>
      </w:pPr>
      <w:hyperlink r:id="rId18" w:history="1">
        <w:r w:rsidR="005138EB" w:rsidRPr="00635240">
          <w:rPr>
            <w:sz w:val="24"/>
            <w:szCs w:val="24"/>
          </w:rPr>
          <w:t>Information for doctors and nurse practitioners</w:t>
        </w:r>
        <w:r w:rsidR="005138EB" w:rsidRPr="00635240">
          <w:rPr>
            <w:sz w:val="24"/>
            <w:szCs w:val="24"/>
            <w:lang w:val="en-NZ"/>
          </w:rPr>
          <w:t xml:space="preserve"> </w:t>
        </w:r>
        <w:r w:rsidR="005138EB" w:rsidRPr="00635240">
          <w:rPr>
            <w:sz w:val="24"/>
            <w:szCs w:val="24"/>
          </w:rPr>
          <w:t xml:space="preserve">on when and how to report a death to the coroner </w:t>
        </w:r>
        <w:r w:rsidR="005138EB" w:rsidRPr="00635240">
          <w:rPr>
            <w:sz w:val="24"/>
            <w:szCs w:val="24"/>
            <w:lang w:val="en-NZ"/>
          </w:rPr>
          <w:t>is available at:</w:t>
        </w:r>
        <w:r w:rsidR="005138EB" w:rsidRPr="00635240">
          <w:t xml:space="preserve"> </w:t>
        </w:r>
      </w:hyperlink>
      <w:r w:rsidR="00832E97" w:rsidRPr="00635240">
        <w:rPr>
          <w:sz w:val="24"/>
          <w:szCs w:val="24"/>
          <w:lang w:val="en-NZ"/>
        </w:rPr>
        <w:t xml:space="preserve"> </w:t>
      </w:r>
      <w:hyperlink r:id="rId19" w:history="1">
        <w:r w:rsidR="00816830" w:rsidRPr="00635240">
          <w:rPr>
            <w:rStyle w:val="Hyperlink"/>
            <w:sz w:val="24"/>
            <w:szCs w:val="24"/>
            <w:lang w:val="en-NZ"/>
          </w:rPr>
          <w:t>https://coronialservices.justice.govt.nz/information-for-doctors-and-nurse-practitioners/</w:t>
        </w:r>
      </w:hyperlink>
      <w:r w:rsidR="00816830" w:rsidRPr="00635240">
        <w:rPr>
          <w:sz w:val="24"/>
          <w:szCs w:val="24"/>
          <w:lang w:val="en-NZ"/>
        </w:rPr>
        <w:t xml:space="preserve"> </w:t>
      </w:r>
    </w:p>
    <w:p w14:paraId="1F67A5D6" w14:textId="597FE6F9" w:rsidR="00E52B41" w:rsidRPr="00635240" w:rsidRDefault="00E52B41" w:rsidP="00074682">
      <w:pPr>
        <w:rPr>
          <w:sz w:val="24"/>
          <w:szCs w:val="24"/>
          <w:lang w:val="en-NZ"/>
        </w:rPr>
      </w:pPr>
      <w:r w:rsidRPr="00635240">
        <w:rPr>
          <w:sz w:val="24"/>
          <w:szCs w:val="24"/>
          <w:lang w:val="en-NZ"/>
        </w:rPr>
        <w:t xml:space="preserve">More information about coronial services is available at: </w:t>
      </w:r>
      <w:hyperlink r:id="rId20" w:history="1">
        <w:r w:rsidRPr="00635240">
          <w:rPr>
            <w:rStyle w:val="Hyperlink"/>
            <w:sz w:val="24"/>
            <w:szCs w:val="24"/>
            <w:lang w:val="en-NZ"/>
          </w:rPr>
          <w:t>https://coronialservices.justice.govt.nz/coronial-services/</w:t>
        </w:r>
      </w:hyperlink>
      <w:r w:rsidRPr="00635240">
        <w:rPr>
          <w:sz w:val="24"/>
          <w:szCs w:val="24"/>
          <w:lang w:val="en-NZ"/>
        </w:rPr>
        <w:t xml:space="preserve"> </w:t>
      </w:r>
    </w:p>
    <w:p w14:paraId="0D12751F" w14:textId="77777777" w:rsidR="007E2A5F" w:rsidRPr="00635240" w:rsidRDefault="007E2A5F" w:rsidP="00EC2EAE">
      <w:pPr>
        <w:pStyle w:val="Heading1"/>
        <w:spacing w:before="480" w:after="0" w:line="240" w:lineRule="auto"/>
        <w:rPr>
          <w:rFonts w:cs="Arial"/>
          <w:bCs w:val="0"/>
          <w:color w:val="15284C"/>
          <w:szCs w:val="32"/>
          <w:lang w:val="en-NZ"/>
        </w:rPr>
      </w:pPr>
      <w:bookmarkStart w:id="49" w:name="_Toc425235440"/>
      <w:bookmarkStart w:id="50" w:name="_Toc177558531"/>
      <w:bookmarkStart w:id="51" w:name="_Toc177558737"/>
      <w:r w:rsidRPr="00635240">
        <w:rPr>
          <w:rFonts w:cs="Arial"/>
          <w:bCs w:val="0"/>
          <w:color w:val="15284C"/>
          <w:szCs w:val="32"/>
          <w:lang w:val="en-NZ"/>
        </w:rPr>
        <w:t>Education and practice support systems</w:t>
      </w:r>
      <w:bookmarkEnd w:id="49"/>
      <w:bookmarkEnd w:id="50"/>
      <w:bookmarkEnd w:id="51"/>
    </w:p>
    <w:p w14:paraId="28241C8B" w14:textId="77777777" w:rsidR="00EC2EAE" w:rsidRPr="00635240" w:rsidRDefault="00EC2EAE" w:rsidP="007E2A5F">
      <w:pPr>
        <w:rPr>
          <w:sz w:val="24"/>
          <w:szCs w:val="24"/>
          <w:lang w:val="en-NZ"/>
        </w:rPr>
      </w:pPr>
    </w:p>
    <w:p w14:paraId="1823EA27" w14:textId="05E11D0D" w:rsidR="007E2A5F" w:rsidRPr="00635240" w:rsidRDefault="002A7EB9" w:rsidP="007E2A5F">
      <w:pPr>
        <w:rPr>
          <w:sz w:val="24"/>
          <w:szCs w:val="24"/>
          <w:lang w:val="en-NZ"/>
        </w:rPr>
      </w:pPr>
      <w:r w:rsidRPr="00635240">
        <w:rPr>
          <w:sz w:val="24"/>
          <w:szCs w:val="24"/>
          <w:lang w:val="en-NZ"/>
        </w:rPr>
        <w:t xml:space="preserve">Registered </w:t>
      </w:r>
      <w:r w:rsidR="000A48FA" w:rsidRPr="00635240">
        <w:rPr>
          <w:sz w:val="24"/>
          <w:szCs w:val="24"/>
          <w:lang w:val="en-NZ"/>
        </w:rPr>
        <w:t>m</w:t>
      </w:r>
      <w:r w:rsidR="007E2A5F" w:rsidRPr="00635240">
        <w:rPr>
          <w:sz w:val="24"/>
          <w:szCs w:val="24"/>
          <w:lang w:val="en-NZ"/>
        </w:rPr>
        <w:t xml:space="preserve">edical practitioners, nurse practitioners, registered nurses, enrolled nurses, </w:t>
      </w:r>
      <w:r w:rsidRPr="00635240">
        <w:rPr>
          <w:sz w:val="24"/>
          <w:szCs w:val="24"/>
          <w:lang w:val="en-NZ"/>
        </w:rPr>
        <w:t>registered</w:t>
      </w:r>
      <w:r w:rsidR="00C610DA" w:rsidRPr="00635240">
        <w:rPr>
          <w:sz w:val="24"/>
          <w:szCs w:val="24"/>
          <w:lang w:val="en-NZ"/>
        </w:rPr>
        <w:t xml:space="preserve"> </w:t>
      </w:r>
      <w:r w:rsidR="007E2A5F" w:rsidRPr="00635240">
        <w:rPr>
          <w:sz w:val="24"/>
          <w:szCs w:val="24"/>
          <w:lang w:val="en-NZ"/>
        </w:rPr>
        <w:t>midwives, emergency medical technicians,</w:t>
      </w:r>
      <w:r w:rsidR="00C610DA" w:rsidRPr="00635240">
        <w:rPr>
          <w:sz w:val="24"/>
          <w:szCs w:val="24"/>
          <w:lang w:val="en-NZ"/>
        </w:rPr>
        <w:t xml:space="preserve"> </w:t>
      </w:r>
      <w:r w:rsidRPr="00635240">
        <w:rPr>
          <w:sz w:val="24"/>
          <w:szCs w:val="24"/>
          <w:lang w:val="en-NZ"/>
        </w:rPr>
        <w:t>registered</w:t>
      </w:r>
      <w:r w:rsidR="007E2A5F" w:rsidRPr="00635240">
        <w:rPr>
          <w:sz w:val="24"/>
          <w:szCs w:val="24"/>
          <w:lang w:val="en-NZ"/>
        </w:rPr>
        <w:t xml:space="preserve"> paramedics and </w:t>
      </w:r>
      <w:r w:rsidR="00AA7E93" w:rsidRPr="00635240">
        <w:rPr>
          <w:sz w:val="24"/>
          <w:szCs w:val="24"/>
          <w:lang w:val="en-NZ"/>
        </w:rPr>
        <w:t>police specialists (Disaster Victim Identification / Search and Rescue / Dive Squad / Maritime Police Specialist)</w:t>
      </w:r>
      <w:r w:rsidR="007E2A5F" w:rsidRPr="00635240">
        <w:rPr>
          <w:sz w:val="24"/>
          <w:szCs w:val="24"/>
          <w:lang w:val="en-NZ"/>
        </w:rPr>
        <w:t xml:space="preserve"> are authorised by the Chief Coroner to verify death. The required technical expertise and skill is within these health practitioners’ scopes of practice.</w:t>
      </w:r>
    </w:p>
    <w:p w14:paraId="406CBDA5" w14:textId="3108B401" w:rsidR="007E2A5F" w:rsidRPr="00635240" w:rsidRDefault="007E2A5F" w:rsidP="007E2A5F">
      <w:pPr>
        <w:rPr>
          <w:sz w:val="24"/>
          <w:szCs w:val="24"/>
          <w:lang w:val="en-NZ"/>
        </w:rPr>
      </w:pPr>
      <w:r w:rsidRPr="00635240">
        <w:rPr>
          <w:sz w:val="24"/>
          <w:szCs w:val="24"/>
          <w:lang w:val="en-NZ"/>
        </w:rPr>
        <w:t>Alongside technical expertise it is important health practitioners understand the legislation that guides their practice. In particular, when verifying death</w:t>
      </w:r>
      <w:r w:rsidR="001E585A" w:rsidRPr="00635240">
        <w:rPr>
          <w:sz w:val="24"/>
          <w:szCs w:val="24"/>
          <w:lang w:val="en-NZ"/>
        </w:rPr>
        <w:t>,</w:t>
      </w:r>
      <w:r w:rsidRPr="00635240">
        <w:rPr>
          <w:sz w:val="24"/>
          <w:szCs w:val="24"/>
          <w:lang w:val="en-NZ"/>
        </w:rPr>
        <w:t xml:space="preserve"> health practitioners must have a thorough understanding of the Health Practitioners Competency Assurance Act 2003, and the implications for practice in the </w:t>
      </w:r>
      <w:r w:rsidR="00E72858" w:rsidRPr="00635240">
        <w:rPr>
          <w:sz w:val="24"/>
          <w:szCs w:val="24"/>
          <w:lang w:val="en-NZ"/>
        </w:rPr>
        <w:t xml:space="preserve">Code of </w:t>
      </w:r>
      <w:r w:rsidRPr="00635240">
        <w:rPr>
          <w:sz w:val="24"/>
          <w:szCs w:val="24"/>
          <w:lang w:val="en-NZ"/>
        </w:rPr>
        <w:t xml:space="preserve">Health and Disability </w:t>
      </w:r>
      <w:r w:rsidR="00E72858" w:rsidRPr="00635240">
        <w:rPr>
          <w:sz w:val="24"/>
          <w:szCs w:val="24"/>
          <w:lang w:val="en-NZ"/>
        </w:rPr>
        <w:t>Services</w:t>
      </w:r>
      <w:r w:rsidR="004A2B61" w:rsidRPr="00635240">
        <w:rPr>
          <w:sz w:val="24"/>
          <w:szCs w:val="24"/>
          <w:lang w:val="en-NZ"/>
        </w:rPr>
        <w:t xml:space="preserve"> Consumers’ Rights</w:t>
      </w:r>
      <w:r w:rsidR="004406D1" w:rsidRPr="00635240">
        <w:rPr>
          <w:rStyle w:val="FootnoteReference"/>
          <w:sz w:val="24"/>
          <w:szCs w:val="24"/>
          <w:lang w:val="en-NZ"/>
        </w:rPr>
        <w:footnoteReference w:id="2"/>
      </w:r>
      <w:r w:rsidRPr="00635240">
        <w:rPr>
          <w:sz w:val="24"/>
          <w:szCs w:val="24"/>
          <w:lang w:val="en-NZ"/>
        </w:rPr>
        <w:t xml:space="preserve">, the Coroners Act 2006, the Burial and Cremation Act 1964, Births, Deaths Marriages and Relationships Registration Act </w:t>
      </w:r>
      <w:r w:rsidR="004A2B61" w:rsidRPr="00635240">
        <w:rPr>
          <w:sz w:val="24"/>
          <w:szCs w:val="24"/>
          <w:lang w:val="en-NZ"/>
        </w:rPr>
        <w:t>2021</w:t>
      </w:r>
      <w:r w:rsidR="003D1DC7" w:rsidRPr="00635240">
        <w:rPr>
          <w:sz w:val="24"/>
          <w:szCs w:val="24"/>
          <w:lang w:val="en-NZ"/>
        </w:rPr>
        <w:t>,</w:t>
      </w:r>
      <w:r w:rsidRPr="00635240">
        <w:rPr>
          <w:sz w:val="24"/>
          <w:szCs w:val="24"/>
          <w:lang w:val="en-NZ"/>
        </w:rPr>
        <w:t xml:space="preserve"> and the codes of ethics and professional boundaries for their practice.</w:t>
      </w:r>
    </w:p>
    <w:p w14:paraId="6DCFCC4E" w14:textId="77777777" w:rsidR="007E2A5F" w:rsidRPr="00635240" w:rsidRDefault="007E2A5F" w:rsidP="00B02D70">
      <w:pPr>
        <w:ind w:right="-46"/>
        <w:rPr>
          <w:sz w:val="24"/>
          <w:szCs w:val="24"/>
          <w:lang w:val="en-NZ"/>
        </w:rPr>
      </w:pPr>
      <w:r w:rsidRPr="00635240">
        <w:rPr>
          <w:sz w:val="24"/>
          <w:szCs w:val="24"/>
          <w:lang w:val="en-NZ"/>
        </w:rPr>
        <w:t>Employers and organisations have a role to ensure health practitioners are supported to verify death through clinical governance systems which cover policy, professional development and clinical leadership.</w:t>
      </w:r>
    </w:p>
    <w:p w14:paraId="6FBB0162" w14:textId="27FE3043" w:rsidR="007E2A5F" w:rsidRPr="00635240" w:rsidRDefault="007E2A5F" w:rsidP="007E2A5F">
      <w:pPr>
        <w:rPr>
          <w:sz w:val="24"/>
          <w:szCs w:val="24"/>
          <w:lang w:val="en-NZ"/>
        </w:rPr>
      </w:pPr>
      <w:r w:rsidRPr="00635240">
        <w:rPr>
          <w:sz w:val="24"/>
          <w:szCs w:val="24"/>
          <w:lang w:val="en-NZ"/>
        </w:rPr>
        <w:lastRenderedPageBreak/>
        <w:t>Collaborative relationships between health practitioners in local areas will support a seamless service and promote best practice, whilst ensuring professional boundaries are well known and understood. It is essential that the Police, funeral directors, health practitioners and health care facilities establish well understood role</w:t>
      </w:r>
      <w:r w:rsidR="000335CB" w:rsidRPr="00635240">
        <w:rPr>
          <w:sz w:val="24"/>
          <w:szCs w:val="24"/>
          <w:lang w:val="en-NZ"/>
        </w:rPr>
        <w:t xml:space="preserve">s, </w:t>
      </w:r>
      <w:r w:rsidRPr="00635240">
        <w:rPr>
          <w:sz w:val="24"/>
          <w:szCs w:val="24"/>
          <w:lang w:val="en-NZ"/>
        </w:rPr>
        <w:t xml:space="preserve"> responsibilities</w:t>
      </w:r>
      <w:r w:rsidR="000335CB" w:rsidRPr="00635240">
        <w:rPr>
          <w:sz w:val="24"/>
          <w:szCs w:val="24"/>
          <w:lang w:val="en-NZ"/>
        </w:rPr>
        <w:t>,</w:t>
      </w:r>
      <w:r w:rsidRPr="00635240">
        <w:rPr>
          <w:sz w:val="24"/>
          <w:szCs w:val="24"/>
          <w:lang w:val="en-NZ"/>
        </w:rPr>
        <w:t xml:space="preserve"> and pathways for responding to deaths.</w:t>
      </w:r>
    </w:p>
    <w:p w14:paraId="14DF9963" w14:textId="77777777" w:rsidR="007E2A5F" w:rsidRPr="00635240" w:rsidRDefault="007E2A5F" w:rsidP="007E2A5F">
      <w:pPr>
        <w:pStyle w:val="Heading2"/>
        <w:rPr>
          <w:rFonts w:ascii="Arial" w:hAnsi="Arial" w:cs="Arial"/>
          <w:sz w:val="48"/>
          <w:szCs w:val="48"/>
          <w:lang w:val="en-NZ"/>
        </w:rPr>
      </w:pPr>
      <w:bookmarkStart w:id="52" w:name="_Toc425235441"/>
      <w:bookmarkStart w:id="53" w:name="_Toc177558532"/>
      <w:bookmarkStart w:id="54" w:name="_Toc177558738"/>
      <w:r w:rsidRPr="00635240">
        <w:rPr>
          <w:rFonts w:ascii="Arial" w:hAnsi="Arial" w:cs="Arial"/>
          <w:sz w:val="48"/>
          <w:szCs w:val="48"/>
          <w:lang w:val="en-NZ"/>
        </w:rPr>
        <w:t>Opt out decision</w:t>
      </w:r>
      <w:bookmarkEnd w:id="52"/>
      <w:bookmarkEnd w:id="53"/>
      <w:bookmarkEnd w:id="54"/>
    </w:p>
    <w:p w14:paraId="610C28A1" w14:textId="2F7552CA" w:rsidR="00716347" w:rsidRPr="00635240" w:rsidRDefault="007E2A5F" w:rsidP="007E2A5F">
      <w:pPr>
        <w:rPr>
          <w:sz w:val="24"/>
          <w:szCs w:val="24"/>
          <w:lang w:val="en-NZ"/>
        </w:rPr>
      </w:pPr>
      <w:r w:rsidRPr="00635240">
        <w:rPr>
          <w:sz w:val="24"/>
          <w:szCs w:val="24"/>
          <w:lang w:val="en-NZ"/>
        </w:rPr>
        <w:t xml:space="preserve">Health practitioners are required by the Health Practitioners Competence Assurance Act 2003 to only undertake those activities within their scope of practice and for which they have the required competence. While the competencies for verification of death are included within the named groups of health practitioners’ scope of practice, and the activity undertaken as part of their usual roles, verification of death is </w:t>
      </w:r>
      <w:r w:rsidRPr="00635240">
        <w:rPr>
          <w:b/>
          <w:sz w:val="24"/>
          <w:szCs w:val="24"/>
          <w:lang w:val="en-NZ"/>
        </w:rPr>
        <w:t>voluntary</w:t>
      </w:r>
      <w:r w:rsidRPr="00635240">
        <w:rPr>
          <w:sz w:val="24"/>
          <w:szCs w:val="24"/>
          <w:lang w:val="en-NZ"/>
        </w:rPr>
        <w:t xml:space="preserve">. Any health practitioner who is not </w:t>
      </w:r>
      <w:r w:rsidR="00CB0213" w:rsidRPr="00635240">
        <w:rPr>
          <w:sz w:val="24"/>
          <w:szCs w:val="24"/>
          <w:lang w:val="en-NZ"/>
        </w:rPr>
        <w:t>willing or</w:t>
      </w:r>
      <w:r w:rsidRPr="00635240">
        <w:rPr>
          <w:sz w:val="24"/>
          <w:szCs w:val="24"/>
          <w:lang w:val="en-NZ"/>
        </w:rPr>
        <w:t xml:space="preserve"> does not feel competent to undertake the activity can defer to another health practitioner.</w:t>
      </w:r>
    </w:p>
    <w:p w14:paraId="53505EFE" w14:textId="77777777" w:rsidR="007E2A5F" w:rsidRPr="00635240" w:rsidRDefault="007E2A5F" w:rsidP="009E74EB">
      <w:pPr>
        <w:pStyle w:val="Heading1"/>
        <w:spacing w:before="480" w:line="288" w:lineRule="auto"/>
        <w:rPr>
          <w:rFonts w:cs="Arial"/>
          <w:bCs w:val="0"/>
          <w:color w:val="15284C"/>
          <w:szCs w:val="32"/>
          <w:lang w:val="en-NZ"/>
        </w:rPr>
      </w:pPr>
      <w:bookmarkStart w:id="55" w:name="_Toc425235443"/>
      <w:bookmarkStart w:id="56" w:name="_Toc177558533"/>
      <w:bookmarkStart w:id="57" w:name="_Toc177558739"/>
      <w:r w:rsidRPr="00635240">
        <w:rPr>
          <w:rFonts w:cs="Arial"/>
          <w:bCs w:val="0"/>
          <w:color w:val="15284C"/>
          <w:szCs w:val="32"/>
          <w:lang w:val="en-NZ"/>
        </w:rPr>
        <w:t>Role of the funeral director</w:t>
      </w:r>
      <w:bookmarkEnd w:id="55"/>
      <w:bookmarkEnd w:id="56"/>
      <w:bookmarkEnd w:id="57"/>
    </w:p>
    <w:p w14:paraId="4D591B47" w14:textId="42F5CF4C" w:rsidR="007E2A5F" w:rsidRPr="00635240" w:rsidRDefault="007E2A5F" w:rsidP="007E2A5F">
      <w:pPr>
        <w:rPr>
          <w:sz w:val="24"/>
          <w:szCs w:val="24"/>
          <w:lang w:val="en-NZ"/>
        </w:rPr>
      </w:pPr>
      <w:r w:rsidRPr="00635240">
        <w:rPr>
          <w:sz w:val="24"/>
          <w:szCs w:val="24"/>
          <w:lang w:val="en-NZ"/>
        </w:rPr>
        <w:t xml:space="preserve">The funeral director is employed </w:t>
      </w:r>
      <w:r w:rsidR="004D4937" w:rsidRPr="00635240">
        <w:rPr>
          <w:sz w:val="24"/>
          <w:szCs w:val="24"/>
          <w:lang w:val="en-NZ"/>
        </w:rPr>
        <w:t xml:space="preserve">by the family of the deceased </w:t>
      </w:r>
      <w:r w:rsidR="00E259FD" w:rsidRPr="00635240">
        <w:rPr>
          <w:sz w:val="24"/>
          <w:szCs w:val="24"/>
          <w:lang w:val="en-NZ"/>
        </w:rPr>
        <w:t xml:space="preserve">after the death </w:t>
      </w:r>
      <w:r w:rsidRPr="00635240">
        <w:rPr>
          <w:sz w:val="24"/>
          <w:szCs w:val="24"/>
          <w:lang w:val="en-NZ"/>
        </w:rPr>
        <w:t>to provide advice and services for the family including:</w:t>
      </w:r>
    </w:p>
    <w:p w14:paraId="6E7846EF" w14:textId="77777777" w:rsidR="007E2A5F" w:rsidRPr="00635240" w:rsidRDefault="007E2A5F" w:rsidP="004D2207">
      <w:pPr>
        <w:pStyle w:val="ListParagraph"/>
        <w:numPr>
          <w:ilvl w:val="0"/>
          <w:numId w:val="12"/>
        </w:numPr>
        <w:ind w:left="426" w:hanging="426"/>
        <w:rPr>
          <w:sz w:val="24"/>
          <w:szCs w:val="24"/>
          <w:lang w:val="en-NZ"/>
        </w:rPr>
      </w:pPr>
      <w:r w:rsidRPr="00635240">
        <w:rPr>
          <w:sz w:val="24"/>
          <w:szCs w:val="24"/>
          <w:lang w:val="en-NZ"/>
        </w:rPr>
        <w:t>transport of the body</w:t>
      </w:r>
    </w:p>
    <w:p w14:paraId="17463E5B" w14:textId="77777777" w:rsidR="007E2A5F" w:rsidRPr="00635240" w:rsidRDefault="007E2A5F" w:rsidP="004D2207">
      <w:pPr>
        <w:pStyle w:val="ListParagraph"/>
        <w:numPr>
          <w:ilvl w:val="0"/>
          <w:numId w:val="12"/>
        </w:numPr>
        <w:ind w:left="426" w:hanging="426"/>
        <w:rPr>
          <w:sz w:val="24"/>
          <w:szCs w:val="24"/>
          <w:lang w:val="en-NZ"/>
        </w:rPr>
      </w:pPr>
      <w:r w:rsidRPr="00635240">
        <w:rPr>
          <w:sz w:val="24"/>
          <w:szCs w:val="24"/>
          <w:lang w:val="en-NZ"/>
        </w:rPr>
        <w:t>registering the death</w:t>
      </w:r>
    </w:p>
    <w:p w14:paraId="7CD2E286" w14:textId="77777777" w:rsidR="007E2A5F" w:rsidRPr="00635240" w:rsidRDefault="007E2A5F" w:rsidP="004D2207">
      <w:pPr>
        <w:pStyle w:val="ListParagraph"/>
        <w:numPr>
          <w:ilvl w:val="0"/>
          <w:numId w:val="12"/>
        </w:numPr>
        <w:ind w:left="426" w:hanging="426"/>
        <w:rPr>
          <w:sz w:val="24"/>
          <w:szCs w:val="24"/>
          <w:lang w:val="en-NZ"/>
        </w:rPr>
      </w:pPr>
      <w:r w:rsidRPr="00635240">
        <w:rPr>
          <w:sz w:val="24"/>
          <w:szCs w:val="24"/>
          <w:lang w:val="en-NZ"/>
        </w:rPr>
        <w:t>meeting the legal requirements for burial or cremation (including bookings for a cemetery or crematorium, and filing the necessary forms for cremation)</w:t>
      </w:r>
    </w:p>
    <w:p w14:paraId="41493B18" w14:textId="77777777" w:rsidR="007E2A5F" w:rsidRPr="00635240" w:rsidRDefault="007E2A5F" w:rsidP="004D2207">
      <w:pPr>
        <w:pStyle w:val="ListParagraph"/>
        <w:numPr>
          <w:ilvl w:val="0"/>
          <w:numId w:val="12"/>
        </w:numPr>
        <w:ind w:left="426" w:hanging="426"/>
        <w:rPr>
          <w:sz w:val="24"/>
          <w:szCs w:val="24"/>
          <w:lang w:val="en-NZ"/>
        </w:rPr>
      </w:pPr>
      <w:r w:rsidRPr="00635240">
        <w:rPr>
          <w:sz w:val="24"/>
          <w:szCs w:val="24"/>
          <w:lang w:val="en-NZ"/>
        </w:rPr>
        <w:t>the embalming, care and presentation of the deceased’s body</w:t>
      </w:r>
    </w:p>
    <w:p w14:paraId="316CF0D8" w14:textId="77777777" w:rsidR="007E2A5F" w:rsidRPr="00635240" w:rsidRDefault="007E2A5F" w:rsidP="004D2207">
      <w:pPr>
        <w:pStyle w:val="ListParagraph"/>
        <w:numPr>
          <w:ilvl w:val="0"/>
          <w:numId w:val="12"/>
        </w:numPr>
        <w:ind w:left="426" w:hanging="426"/>
        <w:rPr>
          <w:sz w:val="24"/>
          <w:szCs w:val="24"/>
          <w:lang w:val="en-NZ"/>
        </w:rPr>
      </w:pPr>
      <w:r w:rsidRPr="00635240">
        <w:rPr>
          <w:sz w:val="24"/>
          <w:szCs w:val="24"/>
          <w:lang w:val="en-NZ"/>
        </w:rPr>
        <w:t>placement of death notices and/or funeral notices in the paper</w:t>
      </w:r>
    </w:p>
    <w:p w14:paraId="3B60623D" w14:textId="77777777" w:rsidR="007E2A5F" w:rsidRPr="00635240" w:rsidRDefault="007E2A5F" w:rsidP="004D2207">
      <w:pPr>
        <w:pStyle w:val="ListParagraph"/>
        <w:numPr>
          <w:ilvl w:val="0"/>
          <w:numId w:val="12"/>
        </w:numPr>
        <w:ind w:left="426" w:hanging="426"/>
        <w:rPr>
          <w:sz w:val="24"/>
          <w:szCs w:val="24"/>
        </w:rPr>
      </w:pPr>
      <w:r w:rsidRPr="00635240">
        <w:rPr>
          <w:sz w:val="24"/>
          <w:szCs w:val="24"/>
          <w:lang w:val="en-NZ"/>
        </w:rPr>
        <w:t>the funeral</w:t>
      </w:r>
      <w:r w:rsidRPr="00635240">
        <w:rPr>
          <w:sz w:val="24"/>
          <w:szCs w:val="24"/>
        </w:rPr>
        <w:t xml:space="preserve"> service.</w:t>
      </w:r>
    </w:p>
    <w:p w14:paraId="1B3244C3" w14:textId="23010EBC" w:rsidR="007E2A5F" w:rsidRPr="00635240" w:rsidRDefault="007E2A5F" w:rsidP="007E2A5F">
      <w:pPr>
        <w:rPr>
          <w:color w:val="000000"/>
          <w:sz w:val="24"/>
          <w:szCs w:val="24"/>
          <w:lang w:val="en-NZ" w:eastAsia="en-NZ"/>
        </w:rPr>
      </w:pPr>
      <w:r w:rsidRPr="00635240">
        <w:rPr>
          <w:sz w:val="24"/>
          <w:szCs w:val="24"/>
          <w:lang w:val="en-NZ"/>
        </w:rPr>
        <w:t xml:space="preserve">In cases where the death was expected, for example, in aged care and other palliative settings, the funeral director may remove the body before the </w:t>
      </w:r>
      <w:r w:rsidR="00DE4BD2" w:rsidRPr="00635240">
        <w:rPr>
          <w:sz w:val="24"/>
          <w:szCs w:val="24"/>
          <w:lang w:val="en-NZ"/>
        </w:rPr>
        <w:t>MCCD</w:t>
      </w:r>
      <w:r w:rsidRPr="00635240">
        <w:rPr>
          <w:sz w:val="24"/>
          <w:szCs w:val="24"/>
          <w:lang w:val="en-NZ"/>
        </w:rPr>
        <w:t xml:space="preserve"> is issued. In such cases, the medical practitioner </w:t>
      </w:r>
      <w:r w:rsidR="00695715" w:rsidRPr="00635240">
        <w:rPr>
          <w:sz w:val="24"/>
          <w:szCs w:val="24"/>
          <w:lang w:val="en-NZ"/>
        </w:rPr>
        <w:t xml:space="preserve">or nurse practitioner </w:t>
      </w:r>
      <w:r w:rsidRPr="00635240">
        <w:rPr>
          <w:sz w:val="24"/>
          <w:szCs w:val="24"/>
          <w:lang w:val="en-NZ"/>
        </w:rPr>
        <w:t>who has agreed to issue the M</w:t>
      </w:r>
      <w:r w:rsidR="00DE4BD2" w:rsidRPr="00635240">
        <w:rPr>
          <w:sz w:val="24"/>
          <w:szCs w:val="24"/>
          <w:lang w:val="en-NZ"/>
        </w:rPr>
        <w:t>CCD</w:t>
      </w:r>
      <w:r w:rsidRPr="00635240">
        <w:rPr>
          <w:sz w:val="24"/>
          <w:szCs w:val="24"/>
          <w:lang w:val="en-NZ"/>
        </w:rPr>
        <w:t xml:space="preserve"> must do so within the legally specified time. In all cases, </w:t>
      </w:r>
      <w:r w:rsidRPr="00635240">
        <w:rPr>
          <w:color w:val="000000"/>
          <w:sz w:val="24"/>
          <w:szCs w:val="24"/>
          <w:lang w:val="en-NZ" w:eastAsia="en-NZ"/>
        </w:rPr>
        <w:t xml:space="preserve">the funeral director must </w:t>
      </w:r>
      <w:r w:rsidRPr="00635240">
        <w:rPr>
          <w:b/>
          <w:color w:val="000000"/>
          <w:sz w:val="24"/>
          <w:szCs w:val="24"/>
          <w:lang w:val="en-NZ" w:eastAsia="en-NZ"/>
        </w:rPr>
        <w:t>receive</w:t>
      </w:r>
      <w:r w:rsidRPr="00635240">
        <w:rPr>
          <w:color w:val="000000"/>
          <w:sz w:val="24"/>
          <w:szCs w:val="24"/>
          <w:lang w:val="en-NZ" w:eastAsia="en-NZ"/>
        </w:rPr>
        <w:t xml:space="preserve"> a completed </w:t>
      </w:r>
      <w:r w:rsidRPr="00635240">
        <w:rPr>
          <w:sz w:val="24"/>
          <w:szCs w:val="24"/>
          <w:lang w:val="en-NZ"/>
        </w:rPr>
        <w:t>M</w:t>
      </w:r>
      <w:r w:rsidR="00DE4BD2" w:rsidRPr="00635240">
        <w:rPr>
          <w:sz w:val="24"/>
          <w:szCs w:val="24"/>
          <w:lang w:val="en-NZ"/>
        </w:rPr>
        <w:t>CCD</w:t>
      </w:r>
      <w:r w:rsidRPr="00635240">
        <w:rPr>
          <w:color w:val="000000"/>
          <w:sz w:val="24"/>
          <w:szCs w:val="24"/>
          <w:lang w:val="en-NZ" w:eastAsia="en-NZ"/>
        </w:rPr>
        <w:t xml:space="preserve"> from the medical practitioner before a body is embalmed, buried or cremated.</w:t>
      </w:r>
    </w:p>
    <w:p w14:paraId="746AFB01" w14:textId="2AE3897C" w:rsidR="007E2A5F" w:rsidRPr="00635240" w:rsidRDefault="00932F76">
      <w:pPr>
        <w:rPr>
          <w:color w:val="000000"/>
          <w:sz w:val="24"/>
          <w:szCs w:val="24"/>
          <w:lang w:val="en-NZ" w:eastAsia="en-NZ"/>
        </w:rPr>
      </w:pPr>
      <w:r w:rsidRPr="00635240">
        <w:rPr>
          <w:color w:val="000000"/>
          <w:sz w:val="24"/>
          <w:szCs w:val="24"/>
          <w:lang w:val="en-NZ" w:eastAsia="en-NZ"/>
        </w:rPr>
        <w:t>Where the death was reported to the coroner</w:t>
      </w:r>
      <w:r w:rsidR="007F523A" w:rsidRPr="00635240">
        <w:rPr>
          <w:color w:val="000000"/>
          <w:sz w:val="24"/>
          <w:szCs w:val="24"/>
          <w:lang w:val="en-NZ" w:eastAsia="en-NZ"/>
        </w:rPr>
        <w:t>,</w:t>
      </w:r>
      <w:r w:rsidR="00090E72" w:rsidRPr="00635240">
        <w:rPr>
          <w:color w:val="000000"/>
          <w:sz w:val="24"/>
          <w:szCs w:val="24"/>
          <w:lang w:val="en-NZ" w:eastAsia="en-NZ"/>
        </w:rPr>
        <w:t xml:space="preserve"> the funeral director must </w:t>
      </w:r>
      <w:r w:rsidR="0003634C" w:rsidRPr="00635240">
        <w:rPr>
          <w:color w:val="000000"/>
          <w:sz w:val="24"/>
          <w:szCs w:val="24"/>
          <w:lang w:val="en-NZ" w:eastAsia="en-NZ"/>
        </w:rPr>
        <w:t xml:space="preserve">not </w:t>
      </w:r>
      <w:r w:rsidR="006071D1" w:rsidRPr="00635240">
        <w:rPr>
          <w:color w:val="000000"/>
          <w:sz w:val="24"/>
          <w:szCs w:val="24"/>
          <w:lang w:val="en-NZ" w:eastAsia="en-NZ"/>
        </w:rPr>
        <w:t xml:space="preserve">remove the body until they have received </w:t>
      </w:r>
      <w:r w:rsidR="00D7523F" w:rsidRPr="00635240">
        <w:rPr>
          <w:color w:val="000000"/>
          <w:sz w:val="24"/>
          <w:szCs w:val="24"/>
          <w:lang w:val="en-NZ" w:eastAsia="en-NZ"/>
        </w:rPr>
        <w:t xml:space="preserve">written </w:t>
      </w:r>
      <w:r w:rsidR="006071D1" w:rsidRPr="00635240">
        <w:rPr>
          <w:color w:val="000000"/>
          <w:sz w:val="24"/>
          <w:szCs w:val="24"/>
          <w:lang w:val="en-NZ" w:eastAsia="en-NZ"/>
        </w:rPr>
        <w:t xml:space="preserve">authorisation </w:t>
      </w:r>
      <w:r w:rsidR="00E92C9B" w:rsidRPr="00635240">
        <w:rPr>
          <w:color w:val="000000"/>
          <w:sz w:val="24"/>
          <w:szCs w:val="24"/>
          <w:lang w:val="en-NZ" w:eastAsia="en-NZ"/>
        </w:rPr>
        <w:t>from the coroner</w:t>
      </w:r>
      <w:r w:rsidR="004B0590" w:rsidRPr="00635240">
        <w:rPr>
          <w:color w:val="000000"/>
          <w:sz w:val="24"/>
          <w:szCs w:val="24"/>
          <w:lang w:val="en-NZ" w:eastAsia="en-NZ"/>
        </w:rPr>
        <w:t xml:space="preserve"> </w:t>
      </w:r>
      <w:r w:rsidR="006071D1" w:rsidRPr="00635240">
        <w:rPr>
          <w:color w:val="000000"/>
          <w:sz w:val="24"/>
          <w:szCs w:val="24"/>
          <w:lang w:val="en-NZ" w:eastAsia="en-NZ"/>
        </w:rPr>
        <w:t>to do so</w:t>
      </w:r>
      <w:r w:rsidR="00DE5328" w:rsidRPr="00635240">
        <w:rPr>
          <w:color w:val="000000"/>
          <w:sz w:val="24"/>
          <w:szCs w:val="24"/>
          <w:lang w:val="en-NZ" w:eastAsia="en-NZ"/>
        </w:rPr>
        <w:t xml:space="preserve"> </w:t>
      </w:r>
      <w:r w:rsidR="006071D1" w:rsidRPr="00635240">
        <w:rPr>
          <w:color w:val="000000"/>
          <w:sz w:val="24"/>
          <w:szCs w:val="24"/>
          <w:lang w:val="en-NZ" w:eastAsia="en-NZ"/>
        </w:rPr>
        <w:t>under section</w:t>
      </w:r>
      <w:r w:rsidR="00E92C9B" w:rsidRPr="00635240">
        <w:rPr>
          <w:color w:val="000000"/>
          <w:sz w:val="24"/>
          <w:szCs w:val="24"/>
          <w:lang w:val="en-NZ" w:eastAsia="en-NZ"/>
        </w:rPr>
        <w:t xml:space="preserve"> 42 of the Coroners Act 2006.</w:t>
      </w:r>
      <w:r w:rsidR="006071D1" w:rsidRPr="00635240">
        <w:rPr>
          <w:color w:val="000000"/>
          <w:sz w:val="24"/>
          <w:szCs w:val="24"/>
          <w:lang w:val="en-NZ" w:eastAsia="en-NZ"/>
        </w:rPr>
        <w:t xml:space="preserve"> </w:t>
      </w:r>
    </w:p>
    <w:p w14:paraId="065F524A" w14:textId="52E3B994" w:rsidR="00EC2EAE" w:rsidRPr="00635240" w:rsidRDefault="006F10A7">
      <w:pPr>
        <w:rPr>
          <w:rFonts w:eastAsiaTheme="majorEastAsia"/>
          <w:b/>
          <w:color w:val="15284C"/>
          <w:sz w:val="68"/>
          <w:szCs w:val="32"/>
          <w:lang w:val="en-NZ"/>
        </w:rPr>
      </w:pPr>
      <w:r w:rsidRPr="00635240">
        <w:rPr>
          <w:color w:val="000000"/>
          <w:sz w:val="24"/>
          <w:szCs w:val="24"/>
          <w:lang w:val="en-NZ" w:eastAsia="en-NZ"/>
        </w:rPr>
        <w:t xml:space="preserve">Many families choose to </w:t>
      </w:r>
      <w:r w:rsidR="006D6161" w:rsidRPr="00635240">
        <w:rPr>
          <w:color w:val="000000"/>
          <w:sz w:val="24"/>
          <w:szCs w:val="24"/>
          <w:lang w:val="en-NZ" w:eastAsia="en-NZ"/>
        </w:rPr>
        <w:t>arrange the funeral themselves</w:t>
      </w:r>
      <w:r w:rsidR="003C7D23" w:rsidRPr="00635240">
        <w:rPr>
          <w:color w:val="000000"/>
          <w:sz w:val="24"/>
          <w:szCs w:val="24"/>
          <w:lang w:val="en-NZ" w:eastAsia="en-NZ"/>
        </w:rPr>
        <w:t xml:space="preserve"> without the services of a funeral director. </w:t>
      </w:r>
      <w:r w:rsidR="00EA7688" w:rsidRPr="00635240">
        <w:rPr>
          <w:color w:val="000000"/>
          <w:sz w:val="24"/>
          <w:szCs w:val="24"/>
          <w:lang w:val="en-NZ" w:eastAsia="en-NZ"/>
        </w:rPr>
        <w:t>The</w:t>
      </w:r>
      <w:r w:rsidR="00FC2568" w:rsidRPr="00635240">
        <w:rPr>
          <w:color w:val="000000"/>
          <w:sz w:val="24"/>
          <w:szCs w:val="24"/>
          <w:lang w:val="en-NZ" w:eastAsia="en-NZ"/>
        </w:rPr>
        <w:t xml:space="preserve"> family</w:t>
      </w:r>
      <w:r w:rsidR="00E171C0" w:rsidRPr="00635240">
        <w:rPr>
          <w:color w:val="000000"/>
          <w:sz w:val="24"/>
          <w:szCs w:val="24"/>
          <w:lang w:val="en-NZ" w:eastAsia="en-NZ"/>
        </w:rPr>
        <w:t xml:space="preserve"> is</w:t>
      </w:r>
      <w:r w:rsidR="00EA7688" w:rsidRPr="00635240">
        <w:rPr>
          <w:color w:val="000000"/>
          <w:sz w:val="24"/>
          <w:szCs w:val="24"/>
          <w:lang w:val="en-NZ" w:eastAsia="en-NZ"/>
        </w:rPr>
        <w:t xml:space="preserve"> also then responsible for</w:t>
      </w:r>
      <w:r w:rsidR="00485DF3" w:rsidRPr="00635240">
        <w:rPr>
          <w:color w:val="000000"/>
          <w:sz w:val="24"/>
          <w:szCs w:val="24"/>
          <w:lang w:val="en-NZ" w:eastAsia="en-NZ"/>
        </w:rPr>
        <w:t xml:space="preserve"> taking care of the </w:t>
      </w:r>
      <w:r w:rsidR="005845F8" w:rsidRPr="00635240">
        <w:rPr>
          <w:color w:val="000000"/>
          <w:sz w:val="24"/>
          <w:szCs w:val="24"/>
          <w:lang w:val="en-NZ" w:eastAsia="en-NZ"/>
        </w:rPr>
        <w:t xml:space="preserve">legal requirements. </w:t>
      </w:r>
      <w:r w:rsidR="00ED5462" w:rsidRPr="00635240">
        <w:rPr>
          <w:color w:val="000000"/>
          <w:sz w:val="24"/>
          <w:szCs w:val="24"/>
          <w:lang w:val="en-NZ" w:eastAsia="en-NZ"/>
        </w:rPr>
        <w:t>Community Law NZ provides guidance</w:t>
      </w:r>
      <w:r w:rsidR="00E171C0" w:rsidRPr="00635240">
        <w:rPr>
          <w:color w:val="000000"/>
          <w:sz w:val="24"/>
          <w:szCs w:val="24"/>
          <w:lang w:val="en-NZ" w:eastAsia="en-NZ"/>
        </w:rPr>
        <w:t xml:space="preserve"> </w:t>
      </w:r>
      <w:r w:rsidR="003A0C8C" w:rsidRPr="00635240">
        <w:rPr>
          <w:color w:val="000000"/>
          <w:sz w:val="24"/>
          <w:szCs w:val="24"/>
          <w:lang w:val="en-NZ" w:eastAsia="en-NZ"/>
        </w:rPr>
        <w:t>around</w:t>
      </w:r>
      <w:r w:rsidR="00E171C0" w:rsidRPr="00635240">
        <w:rPr>
          <w:color w:val="000000"/>
          <w:sz w:val="24"/>
          <w:szCs w:val="24"/>
          <w:lang w:val="en-NZ" w:eastAsia="en-NZ"/>
        </w:rPr>
        <w:t xml:space="preserve"> this</w:t>
      </w:r>
      <w:r w:rsidR="00BC211E" w:rsidRPr="00635240">
        <w:rPr>
          <w:color w:val="000000"/>
          <w:sz w:val="24"/>
          <w:szCs w:val="24"/>
          <w:lang w:val="en-NZ" w:eastAsia="en-NZ"/>
        </w:rPr>
        <w:t xml:space="preserve"> on </w:t>
      </w:r>
      <w:r w:rsidR="00A652DF" w:rsidRPr="00635240">
        <w:rPr>
          <w:color w:val="000000"/>
          <w:sz w:val="24"/>
          <w:szCs w:val="24"/>
          <w:lang w:val="en-NZ" w:eastAsia="en-NZ"/>
        </w:rPr>
        <w:t>its</w:t>
      </w:r>
      <w:r w:rsidR="00BC211E" w:rsidRPr="00635240">
        <w:rPr>
          <w:color w:val="000000"/>
          <w:sz w:val="24"/>
          <w:szCs w:val="24"/>
          <w:lang w:val="en-NZ" w:eastAsia="en-NZ"/>
        </w:rPr>
        <w:t xml:space="preserve"> website</w:t>
      </w:r>
      <w:r w:rsidR="00A652DF" w:rsidRPr="00635240">
        <w:rPr>
          <w:color w:val="000000"/>
          <w:sz w:val="24"/>
          <w:szCs w:val="24"/>
          <w:lang w:val="en-NZ" w:eastAsia="en-NZ"/>
        </w:rPr>
        <w:t>.</w:t>
      </w:r>
      <w:r w:rsidR="00A652DF" w:rsidRPr="00635240">
        <w:rPr>
          <w:rStyle w:val="FootnoteReference"/>
          <w:color w:val="000000"/>
          <w:sz w:val="24"/>
          <w:szCs w:val="24"/>
          <w:lang w:val="en-NZ" w:eastAsia="en-NZ"/>
        </w:rPr>
        <w:footnoteReference w:id="3"/>
      </w:r>
      <w:r w:rsidR="00A652DF" w:rsidRPr="00635240">
        <w:rPr>
          <w:color w:val="000000"/>
          <w:sz w:val="24"/>
          <w:szCs w:val="24"/>
          <w:lang w:val="en-NZ" w:eastAsia="en-NZ"/>
        </w:rPr>
        <w:t xml:space="preserve"> </w:t>
      </w:r>
      <w:bookmarkStart w:id="58" w:name="_Toc425235444"/>
      <w:r w:rsidR="00EC2EAE" w:rsidRPr="00635240">
        <w:rPr>
          <w:bCs/>
          <w:color w:val="15284C"/>
          <w:szCs w:val="32"/>
          <w:lang w:val="en-NZ"/>
        </w:rPr>
        <w:br w:type="page"/>
      </w:r>
    </w:p>
    <w:p w14:paraId="56328D46" w14:textId="0C67D4E7" w:rsidR="007E2A5F" w:rsidRPr="00635240" w:rsidRDefault="007E2A5F" w:rsidP="009E74EB">
      <w:pPr>
        <w:pStyle w:val="Heading1"/>
        <w:spacing w:before="480" w:line="288" w:lineRule="auto"/>
        <w:rPr>
          <w:rFonts w:cs="Arial"/>
          <w:bCs w:val="0"/>
          <w:color w:val="15284C"/>
          <w:szCs w:val="32"/>
          <w:lang w:val="en-NZ"/>
        </w:rPr>
      </w:pPr>
      <w:bookmarkStart w:id="59" w:name="_Toc177558534"/>
      <w:bookmarkStart w:id="60" w:name="_Toc177558740"/>
      <w:r w:rsidRPr="00635240">
        <w:rPr>
          <w:rFonts w:cs="Arial"/>
          <w:bCs w:val="0"/>
          <w:color w:val="15284C"/>
          <w:szCs w:val="32"/>
          <w:lang w:val="en-NZ"/>
        </w:rPr>
        <w:lastRenderedPageBreak/>
        <w:t>Reference documents</w:t>
      </w:r>
      <w:bookmarkEnd w:id="58"/>
      <w:bookmarkEnd w:id="59"/>
      <w:bookmarkEnd w:id="60"/>
      <w:r w:rsidR="007F523A" w:rsidRPr="00635240">
        <w:rPr>
          <w:rFonts w:cs="Arial"/>
          <w:bCs w:val="0"/>
          <w:color w:val="15284C"/>
          <w:szCs w:val="32"/>
          <w:lang w:val="en-NZ"/>
        </w:rPr>
        <w:t xml:space="preserve"> </w:t>
      </w:r>
    </w:p>
    <w:p w14:paraId="5C34BCAD" w14:textId="3C2F8CAD" w:rsidR="00F42B4D" w:rsidRPr="00635240" w:rsidRDefault="007E2A5F" w:rsidP="007E2A5F">
      <w:pPr>
        <w:rPr>
          <w:sz w:val="24"/>
          <w:szCs w:val="24"/>
          <w:lang w:val="en-NZ"/>
        </w:rPr>
      </w:pPr>
      <w:r w:rsidRPr="00635240">
        <w:rPr>
          <w:sz w:val="24"/>
          <w:szCs w:val="24"/>
          <w:lang w:val="en-NZ"/>
        </w:rPr>
        <w:t xml:space="preserve">Births, Deaths, Marriages and Relationships Registration Act </w:t>
      </w:r>
      <w:r w:rsidR="002E69E9" w:rsidRPr="00635240">
        <w:rPr>
          <w:sz w:val="24"/>
          <w:szCs w:val="24"/>
          <w:lang w:val="en-NZ"/>
        </w:rPr>
        <w:t>2021</w:t>
      </w:r>
      <w:r w:rsidR="00A409CA" w:rsidRPr="00635240">
        <w:rPr>
          <w:sz w:val="24"/>
          <w:szCs w:val="24"/>
          <w:lang w:val="en-NZ"/>
        </w:rPr>
        <w:t>.</w:t>
      </w:r>
      <w:r w:rsidRPr="00635240">
        <w:rPr>
          <w:sz w:val="24"/>
          <w:szCs w:val="24"/>
          <w:lang w:val="en-NZ"/>
        </w:rPr>
        <w:br/>
      </w:r>
      <w:hyperlink r:id="rId21" w:history="1">
        <w:r w:rsidR="00E52B41" w:rsidRPr="00635240">
          <w:rPr>
            <w:rStyle w:val="Hyperlink"/>
            <w:sz w:val="24"/>
            <w:szCs w:val="24"/>
            <w:lang w:val="en-NZ"/>
          </w:rPr>
          <w:t>https://www.legislation.govt.nz/act/public/2021/0057/latest/whole.html</w:t>
        </w:r>
      </w:hyperlink>
      <w:r w:rsidR="00E52B41" w:rsidRPr="00635240">
        <w:rPr>
          <w:sz w:val="24"/>
          <w:szCs w:val="24"/>
          <w:lang w:val="en-NZ"/>
        </w:rPr>
        <w:t xml:space="preserve"> </w:t>
      </w:r>
      <w:r w:rsidR="00F42B4D" w:rsidRPr="00635240" w:rsidDel="00934231">
        <w:rPr>
          <w:sz w:val="24"/>
          <w:szCs w:val="24"/>
          <w:lang w:val="en-NZ"/>
        </w:rPr>
        <w:t xml:space="preserve"> </w:t>
      </w:r>
    </w:p>
    <w:p w14:paraId="14197285" w14:textId="0911C6ED" w:rsidR="0084019D" w:rsidRPr="00635240" w:rsidRDefault="007E2A5F" w:rsidP="0084019D">
      <w:pPr>
        <w:rPr>
          <w:color w:val="2B529C" w:themeColor="hyperlink"/>
          <w:sz w:val="24"/>
          <w:szCs w:val="24"/>
          <w:u w:val="single"/>
        </w:rPr>
      </w:pPr>
      <w:r w:rsidRPr="00635240">
        <w:rPr>
          <w:sz w:val="24"/>
          <w:szCs w:val="24"/>
          <w:lang w:val="en-NZ"/>
        </w:rPr>
        <w:t>Burial and Cremation Act</w:t>
      </w:r>
      <w:r w:rsidR="007F523A" w:rsidRPr="00635240">
        <w:rPr>
          <w:sz w:val="24"/>
          <w:szCs w:val="24"/>
          <w:lang w:val="en-NZ"/>
        </w:rPr>
        <w:t xml:space="preserve"> </w:t>
      </w:r>
      <w:r w:rsidRPr="00635240">
        <w:rPr>
          <w:sz w:val="24"/>
          <w:szCs w:val="24"/>
          <w:lang w:val="en-NZ"/>
        </w:rPr>
        <w:t>1964</w:t>
      </w:r>
      <w:r w:rsidRPr="00635240">
        <w:rPr>
          <w:sz w:val="24"/>
          <w:szCs w:val="24"/>
          <w:lang w:val="en-NZ"/>
        </w:rPr>
        <w:br/>
      </w:r>
      <w:hyperlink r:id="rId22" w:history="1">
        <w:r w:rsidR="0084019D" w:rsidRPr="00635240">
          <w:rPr>
            <w:rStyle w:val="Hyperlink"/>
            <w:sz w:val="24"/>
            <w:szCs w:val="24"/>
          </w:rPr>
          <w:t>https://www.legislation.govt.nz/act/public/1964/0075/latest/whole.html</w:t>
        </w:r>
      </w:hyperlink>
    </w:p>
    <w:p w14:paraId="1BDDF536" w14:textId="77777777" w:rsidR="00A652DF" w:rsidRPr="00635240" w:rsidRDefault="00A652DF" w:rsidP="00A652DF">
      <w:pPr>
        <w:rPr>
          <w:color w:val="2B529C" w:themeColor="hyperlink"/>
          <w:sz w:val="24"/>
          <w:szCs w:val="24"/>
          <w:u w:val="single"/>
          <w:lang w:val="en-NZ"/>
        </w:rPr>
      </w:pPr>
      <w:r w:rsidRPr="00635240">
        <w:rPr>
          <w:sz w:val="24"/>
          <w:szCs w:val="24"/>
          <w:lang w:val="en-NZ"/>
        </w:rPr>
        <w:t>Coroners Act 2006.</w:t>
      </w:r>
      <w:r w:rsidRPr="00635240">
        <w:rPr>
          <w:sz w:val="24"/>
          <w:szCs w:val="24"/>
          <w:lang w:val="en-NZ"/>
        </w:rPr>
        <w:br/>
      </w:r>
      <w:r w:rsidRPr="00635240">
        <w:rPr>
          <w:rFonts w:ascii="Georgia" w:eastAsia="Times New Roman" w:hAnsi="Georgia" w:cs="Times New Roman"/>
          <w:szCs w:val="20"/>
          <w:lang w:val="en-NZ" w:eastAsia="en-GB"/>
        </w:rPr>
        <w:t xml:space="preserve"> </w:t>
      </w:r>
      <w:hyperlink r:id="rId23" w:history="1">
        <w:r w:rsidRPr="00635240">
          <w:rPr>
            <w:rStyle w:val="Hyperlink"/>
            <w:sz w:val="24"/>
            <w:szCs w:val="24"/>
            <w:lang w:val="en-NZ"/>
          </w:rPr>
          <w:t>https://www.legislation.govt.nz/act/public/2006/0038/latest/whole.html</w:t>
        </w:r>
      </w:hyperlink>
    </w:p>
    <w:p w14:paraId="2D14C8CC" w14:textId="77777777" w:rsidR="00A652DF" w:rsidRPr="00635240" w:rsidRDefault="00A652DF" w:rsidP="00A652DF">
      <w:pPr>
        <w:spacing w:after="0" w:line="240" w:lineRule="auto"/>
        <w:rPr>
          <w:sz w:val="24"/>
          <w:szCs w:val="24"/>
          <w:lang w:val="en-NZ"/>
        </w:rPr>
      </w:pPr>
      <w:r w:rsidRPr="00635240">
        <w:rPr>
          <w:sz w:val="24"/>
          <w:szCs w:val="24"/>
          <w:lang w:val="en-NZ"/>
        </w:rPr>
        <w:t>End of Life Choice Act 2019.</w:t>
      </w:r>
    </w:p>
    <w:p w14:paraId="11680C16" w14:textId="77777777" w:rsidR="00A652DF" w:rsidRPr="00635240" w:rsidRDefault="00A652DF" w:rsidP="00A652DF">
      <w:pPr>
        <w:rPr>
          <w:rStyle w:val="Hyperlink"/>
          <w:sz w:val="24"/>
          <w:szCs w:val="24"/>
        </w:rPr>
      </w:pPr>
      <w:r w:rsidRPr="00635240">
        <w:rPr>
          <w:rStyle w:val="Hyperlink"/>
          <w:sz w:val="24"/>
          <w:szCs w:val="24"/>
        </w:rPr>
        <w:t>https://www.legislation.govt.nz/act/public/2019/0067/latest/DLM7285905.html?src=qs</w:t>
      </w:r>
    </w:p>
    <w:p w14:paraId="5FA45087" w14:textId="77777777" w:rsidR="00A652DF" w:rsidRPr="00635240" w:rsidRDefault="00A652DF" w:rsidP="00A652DF">
      <w:pPr>
        <w:rPr>
          <w:color w:val="2B529C" w:themeColor="hyperlink"/>
          <w:sz w:val="24"/>
          <w:szCs w:val="24"/>
          <w:u w:val="single"/>
          <w:lang w:val="en-NZ"/>
        </w:rPr>
      </w:pPr>
      <w:r w:rsidRPr="00635240">
        <w:rPr>
          <w:sz w:val="24"/>
          <w:szCs w:val="24"/>
          <w:lang w:val="en-NZ"/>
        </w:rPr>
        <w:t>Health Practitioners Competence Assurance Act 2003.</w:t>
      </w:r>
      <w:r w:rsidRPr="00635240">
        <w:rPr>
          <w:sz w:val="24"/>
          <w:szCs w:val="24"/>
          <w:lang w:val="en-NZ"/>
        </w:rPr>
        <w:br/>
      </w:r>
      <w:hyperlink r:id="rId24" w:history="1">
        <w:r w:rsidRPr="00635240">
          <w:rPr>
            <w:rStyle w:val="Hyperlink"/>
            <w:sz w:val="24"/>
            <w:szCs w:val="24"/>
            <w:lang w:val="en-NZ"/>
          </w:rPr>
          <w:t>https://www.legislation.govt.nz/act/public/2003/0048/latest/DLM203312.html</w:t>
        </w:r>
      </w:hyperlink>
    </w:p>
    <w:p w14:paraId="08B695A5" w14:textId="54A5E784" w:rsidR="007E2A5F" w:rsidRPr="00635240" w:rsidRDefault="001E1175" w:rsidP="007E2A5F">
      <w:pPr>
        <w:rPr>
          <w:sz w:val="24"/>
          <w:szCs w:val="24"/>
          <w:lang w:val="en-NZ"/>
        </w:rPr>
      </w:pPr>
      <w:r w:rsidRPr="00635240">
        <w:rPr>
          <w:sz w:val="24"/>
          <w:szCs w:val="24"/>
          <w:lang w:val="en-NZ"/>
        </w:rPr>
        <w:t xml:space="preserve">Nursing Council of New Zealand. 2012 (reformatted 2022).  </w:t>
      </w:r>
      <w:r w:rsidR="007E2A5F" w:rsidRPr="00635240">
        <w:rPr>
          <w:i/>
          <w:iCs/>
          <w:sz w:val="24"/>
          <w:szCs w:val="24"/>
          <w:lang w:val="en-NZ"/>
        </w:rPr>
        <w:t>Competencies for enrolled nurses</w:t>
      </w:r>
      <w:r w:rsidR="007E2A5F" w:rsidRPr="00635240">
        <w:rPr>
          <w:sz w:val="24"/>
          <w:szCs w:val="24"/>
          <w:lang w:val="en-NZ"/>
        </w:rPr>
        <w:t xml:space="preserve">. </w:t>
      </w:r>
      <w:r w:rsidR="007E2A5F" w:rsidRPr="00635240">
        <w:rPr>
          <w:sz w:val="24"/>
          <w:szCs w:val="24"/>
          <w:lang w:val="en-NZ"/>
        </w:rPr>
        <w:br/>
      </w:r>
      <w:hyperlink r:id="rId25" w:history="1">
        <w:r w:rsidR="008B6E75" w:rsidRPr="00635240">
          <w:rPr>
            <w:rStyle w:val="Hyperlink"/>
            <w:sz w:val="24"/>
            <w:szCs w:val="24"/>
            <w:lang w:val="en-NZ"/>
          </w:rPr>
          <w:t>https://www.nursingcouncil.org.nz/Public/NCNZ/nursing-section/Enrolled_nurse.aspx?hkey=963854c0-246c-4bb1-800c-920a19b022dc</w:t>
        </w:r>
      </w:hyperlink>
    </w:p>
    <w:p w14:paraId="0962E535" w14:textId="77777777" w:rsidR="00A409CA" w:rsidRPr="00635240" w:rsidRDefault="00A409CA" w:rsidP="00A409CA">
      <w:pPr>
        <w:spacing w:after="0" w:line="240" w:lineRule="auto"/>
        <w:rPr>
          <w:sz w:val="24"/>
          <w:szCs w:val="24"/>
          <w:lang w:val="en-NZ"/>
        </w:rPr>
      </w:pPr>
      <w:r w:rsidRPr="00635240">
        <w:rPr>
          <w:sz w:val="24"/>
          <w:szCs w:val="24"/>
          <w:lang w:val="en-NZ"/>
        </w:rPr>
        <w:t xml:space="preserve">Nursing Council of New Zealand. 2016 (reformatted 2022). </w:t>
      </w:r>
      <w:r w:rsidR="007E2A5F" w:rsidRPr="00635240">
        <w:rPr>
          <w:i/>
          <w:iCs/>
          <w:sz w:val="24"/>
          <w:szCs w:val="24"/>
          <w:lang w:val="en-NZ"/>
        </w:rPr>
        <w:t>Competencies for registered nurses</w:t>
      </w:r>
      <w:r w:rsidR="007E2A5F" w:rsidRPr="00635240">
        <w:rPr>
          <w:sz w:val="24"/>
          <w:szCs w:val="24"/>
          <w:lang w:val="en-NZ"/>
        </w:rPr>
        <w:t>.</w:t>
      </w:r>
    </w:p>
    <w:p w14:paraId="54E858B8" w14:textId="64CC36E5" w:rsidR="00E27455" w:rsidRPr="00635240" w:rsidRDefault="00000000" w:rsidP="00E27455">
      <w:pPr>
        <w:rPr>
          <w:color w:val="2B529C" w:themeColor="hyperlink"/>
          <w:sz w:val="24"/>
          <w:szCs w:val="24"/>
          <w:u w:val="single"/>
        </w:rPr>
      </w:pPr>
      <w:hyperlink w:history="1"/>
      <w:r w:rsidR="00E27455" w:rsidRPr="00635240">
        <w:rPr>
          <w:color w:val="2B529C" w:themeColor="hyperlink"/>
          <w:sz w:val="24"/>
          <w:szCs w:val="24"/>
          <w:u w:val="single"/>
        </w:rPr>
        <w:t>https://www.nursingcouncil.org.nz/Public/NCNZ/nursing-section/Registered_nurse.aspx?hkey=57ae602c-4d67-4234-a21e-2568d0350214</w:t>
      </w:r>
    </w:p>
    <w:p w14:paraId="523727F3" w14:textId="60979464" w:rsidR="007E2A5F" w:rsidRPr="00635240" w:rsidRDefault="00A409CA" w:rsidP="007E2A5F">
      <w:pPr>
        <w:rPr>
          <w:sz w:val="24"/>
          <w:szCs w:val="24"/>
          <w:lang w:val="en-NZ"/>
        </w:rPr>
      </w:pPr>
      <w:r w:rsidRPr="00635240">
        <w:rPr>
          <w:sz w:val="24"/>
          <w:szCs w:val="24"/>
          <w:lang w:val="en-NZ"/>
        </w:rPr>
        <w:t xml:space="preserve">Nursing Council of New Zealand. 2017. </w:t>
      </w:r>
      <w:r w:rsidR="007E2A5F" w:rsidRPr="00635240">
        <w:rPr>
          <w:i/>
          <w:iCs/>
          <w:sz w:val="24"/>
          <w:szCs w:val="24"/>
          <w:lang w:val="en-NZ"/>
        </w:rPr>
        <w:t>Competencies for the nurse practitioner scope of practice.</w:t>
      </w:r>
      <w:r w:rsidR="007E2A5F" w:rsidRPr="00635240">
        <w:rPr>
          <w:sz w:val="24"/>
          <w:szCs w:val="24"/>
          <w:lang w:val="en-NZ"/>
        </w:rPr>
        <w:t xml:space="preserve">  </w:t>
      </w:r>
      <w:r w:rsidR="007E2A5F" w:rsidRPr="00635240">
        <w:rPr>
          <w:sz w:val="24"/>
          <w:szCs w:val="24"/>
          <w:lang w:val="en-NZ"/>
        </w:rPr>
        <w:br/>
      </w:r>
      <w:hyperlink w:history="1"/>
      <w:r w:rsidR="00EE7AC0" w:rsidRPr="00635240">
        <w:rPr>
          <w:color w:val="2B529C" w:themeColor="hyperlink"/>
          <w:sz w:val="24"/>
          <w:szCs w:val="24"/>
          <w:u w:val="single"/>
          <w:lang w:val="en-NZ"/>
        </w:rPr>
        <w:t>https://www.nursingcouncil.org.nz/Public/NCNZ/nursing-section/Nurse_practitioner.aspx?hkey=1493d86e-e4a5-45a5-8104-64607cf103c6</w:t>
      </w:r>
    </w:p>
    <w:p w14:paraId="50B06D02" w14:textId="33A0D59C" w:rsidR="00101DB7" w:rsidRPr="00635240" w:rsidRDefault="00A409CA" w:rsidP="00101DB7">
      <w:pPr>
        <w:rPr>
          <w:color w:val="2B529C" w:themeColor="hyperlink"/>
          <w:sz w:val="24"/>
          <w:szCs w:val="24"/>
          <w:u w:val="single"/>
        </w:rPr>
      </w:pPr>
      <w:r w:rsidRPr="00635240">
        <w:rPr>
          <w:sz w:val="24"/>
          <w:szCs w:val="24"/>
          <w:lang w:val="en-NZ"/>
        </w:rPr>
        <w:t xml:space="preserve">Midwifery Council. 2007. </w:t>
      </w:r>
      <w:r w:rsidR="007E2A5F" w:rsidRPr="00635240">
        <w:rPr>
          <w:i/>
          <w:iCs/>
          <w:sz w:val="24"/>
          <w:szCs w:val="24"/>
          <w:lang w:val="en-NZ"/>
        </w:rPr>
        <w:t>Competencies for entry to the register of midwives</w:t>
      </w:r>
      <w:r w:rsidR="007E2A5F" w:rsidRPr="00635240">
        <w:rPr>
          <w:sz w:val="24"/>
          <w:szCs w:val="24"/>
          <w:lang w:val="en-NZ"/>
        </w:rPr>
        <w:t xml:space="preserve">.  </w:t>
      </w:r>
      <w:r w:rsidR="007E2A5F" w:rsidRPr="00635240">
        <w:rPr>
          <w:sz w:val="24"/>
          <w:szCs w:val="24"/>
          <w:lang w:val="en-NZ"/>
        </w:rPr>
        <w:br/>
      </w:r>
      <w:hyperlink w:history="1"/>
      <w:r w:rsidR="00101DB7" w:rsidRPr="00635240">
        <w:rPr>
          <w:rStyle w:val="Hyperlink"/>
          <w:sz w:val="24"/>
          <w:szCs w:val="24"/>
          <w:lang w:val="en-NZ"/>
        </w:rPr>
        <w:t>h</w:t>
      </w:r>
      <w:r w:rsidR="00101DB7" w:rsidRPr="00635240">
        <w:rPr>
          <w:color w:val="2B529C" w:themeColor="hyperlink"/>
          <w:sz w:val="24"/>
          <w:szCs w:val="24"/>
          <w:u w:val="single"/>
        </w:rPr>
        <w:t>ttps://www.midwiferycouncil.health.nz/common/Uploaded%20files/Registration/Competencies%20for%20entry%20to%20the%20Register.pdf</w:t>
      </w:r>
    </w:p>
    <w:p w14:paraId="028BBC30" w14:textId="3E9FBE8F" w:rsidR="00E60C04" w:rsidRPr="00635240" w:rsidRDefault="00D1768C" w:rsidP="00E60C04">
      <w:pPr>
        <w:rPr>
          <w:sz w:val="24"/>
          <w:szCs w:val="24"/>
          <w:lang w:val="en-NZ"/>
        </w:rPr>
      </w:pPr>
      <w:r w:rsidRPr="00635240">
        <w:rPr>
          <w:sz w:val="24"/>
          <w:szCs w:val="24"/>
        </w:rPr>
        <w:t>The Australian and New Zealand Intensive Care Society</w:t>
      </w:r>
      <w:r w:rsidR="00315E94" w:rsidRPr="00635240">
        <w:rPr>
          <w:sz w:val="24"/>
          <w:szCs w:val="24"/>
        </w:rPr>
        <w:t xml:space="preserve">. 2020. </w:t>
      </w:r>
      <w:r w:rsidRPr="00635240">
        <w:rPr>
          <w:sz w:val="24"/>
          <w:szCs w:val="24"/>
        </w:rPr>
        <w:t xml:space="preserve"> </w:t>
      </w:r>
      <w:r w:rsidRPr="00635240">
        <w:rPr>
          <w:i/>
          <w:iCs/>
          <w:sz w:val="24"/>
          <w:szCs w:val="24"/>
        </w:rPr>
        <w:t xml:space="preserve">Statement on Death and Organ Donation. </w:t>
      </w:r>
      <w:r w:rsidRPr="00635240">
        <w:rPr>
          <w:sz w:val="24"/>
          <w:szCs w:val="24"/>
        </w:rPr>
        <w:t>Melbourne. Edition 4.1 2021. ISBN 4978-1-876980-39-9.</w:t>
      </w:r>
      <w:r w:rsidRPr="00635240">
        <w:rPr>
          <w:sz w:val="24"/>
          <w:szCs w:val="24"/>
          <w:lang w:val="en-NZ"/>
        </w:rPr>
        <w:t xml:space="preserve"> </w:t>
      </w:r>
      <w:hyperlink r:id="rId26" w:history="1">
        <w:r w:rsidR="00E60C04" w:rsidRPr="00635240">
          <w:rPr>
            <w:rStyle w:val="Hyperlink"/>
            <w:sz w:val="24"/>
            <w:szCs w:val="24"/>
            <w:lang w:val="en-NZ"/>
          </w:rPr>
          <w:t>https://www.donatelife.gov.au/sites/default/files/2022-01/anzics-statement-on-death-and-organ-donation-4.1.pdf</w:t>
        </w:r>
      </w:hyperlink>
      <w:r w:rsidR="00E60C04" w:rsidRPr="00635240">
        <w:rPr>
          <w:sz w:val="24"/>
          <w:szCs w:val="24"/>
          <w:lang w:val="en-NZ"/>
        </w:rPr>
        <w:t xml:space="preserve"> </w:t>
      </w:r>
    </w:p>
    <w:p w14:paraId="21CDABE0" w14:textId="77777777" w:rsidR="00EA0A46" w:rsidRPr="00635240" w:rsidRDefault="00EA0A46" w:rsidP="00E60C04">
      <w:pPr>
        <w:rPr>
          <w:sz w:val="24"/>
          <w:szCs w:val="24"/>
          <w:lang w:val="en-NZ"/>
        </w:rPr>
      </w:pPr>
    </w:p>
    <w:p w14:paraId="506F6CA0" w14:textId="77777777" w:rsidR="00EA0A46" w:rsidRPr="00635240" w:rsidRDefault="00EA0A46" w:rsidP="00E60C04">
      <w:pPr>
        <w:rPr>
          <w:sz w:val="24"/>
          <w:szCs w:val="24"/>
          <w:lang w:val="en-NZ"/>
        </w:rPr>
      </w:pPr>
    </w:p>
    <w:p w14:paraId="12BBD10F" w14:textId="77777777" w:rsidR="00EA0A46" w:rsidRPr="00635240" w:rsidRDefault="00EA0A46" w:rsidP="00E60C04">
      <w:pPr>
        <w:rPr>
          <w:sz w:val="24"/>
          <w:szCs w:val="24"/>
          <w:lang w:val="en-NZ"/>
        </w:rPr>
      </w:pPr>
    </w:p>
    <w:p w14:paraId="471B39A7" w14:textId="77777777" w:rsidR="00EA0A46" w:rsidRPr="00635240" w:rsidRDefault="00EA0A46" w:rsidP="00E60C04">
      <w:pPr>
        <w:rPr>
          <w:sz w:val="24"/>
          <w:szCs w:val="24"/>
          <w:lang w:val="en-NZ"/>
        </w:rPr>
      </w:pPr>
    </w:p>
    <w:p w14:paraId="10ECC5E0" w14:textId="02D5D4CB" w:rsidR="00E52B41" w:rsidRPr="00635240" w:rsidRDefault="00E52B41" w:rsidP="009E74EB">
      <w:pPr>
        <w:pStyle w:val="Heading1"/>
        <w:spacing w:before="480" w:line="288" w:lineRule="auto"/>
        <w:rPr>
          <w:rFonts w:cs="Arial"/>
          <w:bCs w:val="0"/>
          <w:color w:val="15284C"/>
          <w:szCs w:val="32"/>
          <w:lang w:val="en-NZ"/>
        </w:rPr>
      </w:pPr>
      <w:bookmarkStart w:id="61" w:name="_Toc177558535"/>
      <w:bookmarkStart w:id="62" w:name="_Toc177558741"/>
      <w:r w:rsidRPr="00635240">
        <w:rPr>
          <w:rFonts w:cs="Arial"/>
          <w:bCs w:val="0"/>
          <w:color w:val="15284C"/>
          <w:szCs w:val="32"/>
          <w:lang w:val="en-NZ"/>
        </w:rPr>
        <w:lastRenderedPageBreak/>
        <w:t>Related websites</w:t>
      </w:r>
      <w:bookmarkEnd w:id="61"/>
      <w:bookmarkEnd w:id="62"/>
      <w:r w:rsidRPr="00635240">
        <w:rPr>
          <w:rFonts w:cs="Arial"/>
          <w:bCs w:val="0"/>
          <w:color w:val="15284C"/>
          <w:szCs w:val="32"/>
          <w:lang w:val="en-NZ"/>
        </w:rPr>
        <w:t xml:space="preserve"> </w:t>
      </w:r>
    </w:p>
    <w:p w14:paraId="0626F772" w14:textId="18026536" w:rsidR="007F523A" w:rsidRPr="00635240" w:rsidRDefault="007F523A" w:rsidP="007F523A">
      <w:pPr>
        <w:rPr>
          <w:sz w:val="24"/>
          <w:szCs w:val="24"/>
          <w:lang w:val="en-NZ"/>
        </w:rPr>
      </w:pPr>
      <w:r w:rsidRPr="00635240">
        <w:rPr>
          <w:sz w:val="24"/>
          <w:szCs w:val="24"/>
          <w:lang w:val="en-NZ"/>
        </w:rPr>
        <w:t xml:space="preserve">Births Deaths and Marriages – </w:t>
      </w:r>
      <w:r w:rsidRPr="00635240">
        <w:rPr>
          <w:sz w:val="24"/>
          <w:szCs w:val="24"/>
        </w:rPr>
        <w:t>Whānautanga, Matenga, Mārenatanga</w:t>
      </w:r>
      <w:r w:rsidRPr="00635240">
        <w:rPr>
          <w:sz w:val="24"/>
          <w:szCs w:val="24"/>
          <w:lang w:val="en-NZ"/>
        </w:rPr>
        <w:t xml:space="preserve">: </w:t>
      </w:r>
      <w:hyperlink r:id="rId27" w:history="1">
        <w:r w:rsidRPr="00635240">
          <w:rPr>
            <w:rStyle w:val="Hyperlink"/>
            <w:sz w:val="24"/>
            <w:szCs w:val="24"/>
            <w:lang w:val="en-NZ"/>
          </w:rPr>
          <w:t>https://www.govt.nz/organisations/births-deaths-and-marriages/</w:t>
        </w:r>
      </w:hyperlink>
      <w:r w:rsidRPr="00635240">
        <w:rPr>
          <w:sz w:val="24"/>
          <w:szCs w:val="24"/>
          <w:lang w:val="en-NZ"/>
        </w:rPr>
        <w:t xml:space="preserve">  </w:t>
      </w:r>
    </w:p>
    <w:p w14:paraId="50087CDF" w14:textId="54AFC8F4" w:rsidR="00BC211E" w:rsidRPr="00635240" w:rsidRDefault="00524769" w:rsidP="00FC3B97">
      <w:pPr>
        <w:spacing w:after="0" w:line="240" w:lineRule="auto"/>
        <w:rPr>
          <w:sz w:val="24"/>
          <w:szCs w:val="24"/>
          <w:lang w:val="en-NZ"/>
        </w:rPr>
      </w:pPr>
      <w:r w:rsidRPr="00635240">
        <w:rPr>
          <w:sz w:val="24"/>
          <w:szCs w:val="24"/>
          <w:lang w:val="en-NZ"/>
        </w:rPr>
        <w:t xml:space="preserve">Community Law New Zealand </w:t>
      </w:r>
    </w:p>
    <w:p w14:paraId="75FF0006" w14:textId="730FEA2F" w:rsidR="00FC3B97" w:rsidRPr="00635240" w:rsidRDefault="00000000" w:rsidP="007F523A">
      <w:pPr>
        <w:rPr>
          <w:sz w:val="24"/>
          <w:szCs w:val="24"/>
          <w:lang w:val="en-NZ"/>
        </w:rPr>
      </w:pPr>
      <w:hyperlink r:id="rId28" w:history="1">
        <w:r w:rsidR="00FC3B97" w:rsidRPr="00635240">
          <w:rPr>
            <w:rStyle w:val="Hyperlink"/>
            <w:sz w:val="24"/>
            <w:szCs w:val="24"/>
            <w:lang w:val="en-NZ"/>
          </w:rPr>
          <w:t>https://communitylaw.org.nz/community-law-manual/chapter-16-a-death-in-the-family/overview-3/</w:t>
        </w:r>
      </w:hyperlink>
    </w:p>
    <w:p w14:paraId="0D8583B0" w14:textId="77777777" w:rsidR="007F523A" w:rsidRPr="00635240" w:rsidRDefault="007F523A" w:rsidP="007F523A">
      <w:pPr>
        <w:rPr>
          <w:sz w:val="24"/>
          <w:szCs w:val="24"/>
          <w:lang w:val="en-NZ"/>
        </w:rPr>
      </w:pPr>
      <w:r w:rsidRPr="00635240">
        <w:rPr>
          <w:sz w:val="24"/>
          <w:szCs w:val="24"/>
          <w:lang w:val="en-NZ"/>
        </w:rPr>
        <w:t xml:space="preserve">Coronial Services of New Zealand – Purongo te Ao Kakarauri:  </w:t>
      </w:r>
      <w:hyperlink r:id="rId29" w:history="1">
        <w:r w:rsidRPr="00635240">
          <w:rPr>
            <w:rStyle w:val="Hyperlink"/>
            <w:sz w:val="24"/>
            <w:szCs w:val="24"/>
            <w:lang w:val="en-NZ"/>
          </w:rPr>
          <w:t>https://coronialservices.justice.govt.nz/coronial-services/</w:t>
        </w:r>
      </w:hyperlink>
    </w:p>
    <w:p w14:paraId="1FEF8577" w14:textId="4E4378FE" w:rsidR="007F523A" w:rsidRPr="00635240" w:rsidRDefault="007F523A" w:rsidP="007F523A">
      <w:pPr>
        <w:rPr>
          <w:sz w:val="24"/>
          <w:szCs w:val="24"/>
          <w:lang w:val="en-NZ"/>
        </w:rPr>
      </w:pPr>
      <w:r w:rsidRPr="00635240">
        <w:rPr>
          <w:sz w:val="24"/>
          <w:szCs w:val="24"/>
          <w:lang w:val="en-NZ"/>
        </w:rPr>
        <w:t xml:space="preserve">Death Documents: </w:t>
      </w:r>
      <w:hyperlink r:id="rId30" w:history="1">
        <w:r w:rsidRPr="00635240">
          <w:rPr>
            <w:rStyle w:val="Hyperlink"/>
            <w:sz w:val="24"/>
            <w:szCs w:val="24"/>
            <w:lang w:val="en-NZ"/>
          </w:rPr>
          <w:t>https://deathdocs.services.govt.nz/welcome</w:t>
        </w:r>
      </w:hyperlink>
      <w:r w:rsidRPr="00635240">
        <w:rPr>
          <w:sz w:val="24"/>
          <w:szCs w:val="24"/>
          <w:lang w:val="en-NZ"/>
        </w:rPr>
        <w:t xml:space="preserve">  </w:t>
      </w:r>
    </w:p>
    <w:p w14:paraId="24251E98" w14:textId="10A30FE4" w:rsidR="007F523A" w:rsidRPr="00635240" w:rsidRDefault="007F523A" w:rsidP="007F523A">
      <w:pPr>
        <w:rPr>
          <w:sz w:val="24"/>
          <w:szCs w:val="24"/>
          <w:lang w:val="en-NZ"/>
        </w:rPr>
      </w:pPr>
      <w:r w:rsidRPr="00635240">
        <w:rPr>
          <w:sz w:val="24"/>
          <w:szCs w:val="24"/>
          <w:lang w:val="en-NZ"/>
        </w:rPr>
        <w:t xml:space="preserve">End of Life Services – </w:t>
      </w:r>
      <w:r w:rsidRPr="00635240">
        <w:rPr>
          <w:sz w:val="24"/>
          <w:szCs w:val="24"/>
        </w:rPr>
        <w:t>Te Hokinga ā Wairua</w:t>
      </w:r>
      <w:r w:rsidRPr="00635240">
        <w:rPr>
          <w:sz w:val="24"/>
          <w:szCs w:val="24"/>
          <w:lang w:val="en-NZ"/>
        </w:rPr>
        <w:t xml:space="preserve">: </w:t>
      </w:r>
      <w:hyperlink r:id="rId31" w:history="1">
        <w:r w:rsidRPr="00635240">
          <w:rPr>
            <w:rStyle w:val="Hyperlink"/>
            <w:sz w:val="24"/>
            <w:szCs w:val="24"/>
            <w:lang w:val="en-NZ"/>
          </w:rPr>
          <w:t>https://endoflife.services.govt.nz</w:t>
        </w:r>
      </w:hyperlink>
      <w:r w:rsidRPr="00635240">
        <w:rPr>
          <w:sz w:val="24"/>
          <w:szCs w:val="24"/>
          <w:lang w:val="en-NZ"/>
        </w:rPr>
        <w:t xml:space="preserve">  </w:t>
      </w:r>
    </w:p>
    <w:p w14:paraId="3F138350" w14:textId="463144B3" w:rsidR="007F523A" w:rsidRPr="00635240" w:rsidRDefault="007F523A" w:rsidP="007F523A">
      <w:pPr>
        <w:rPr>
          <w:sz w:val="24"/>
          <w:szCs w:val="24"/>
          <w:lang w:val="en-NZ"/>
        </w:rPr>
      </w:pPr>
      <w:r w:rsidRPr="00635240">
        <w:rPr>
          <w:sz w:val="24"/>
          <w:szCs w:val="24"/>
          <w:lang w:val="en-NZ"/>
        </w:rPr>
        <w:t xml:space="preserve">Health New Zealand – Te Whatu Ora: </w:t>
      </w:r>
      <w:hyperlink r:id="rId32" w:history="1">
        <w:r w:rsidRPr="00635240">
          <w:rPr>
            <w:rStyle w:val="Hyperlink"/>
            <w:sz w:val="24"/>
            <w:szCs w:val="24"/>
            <w:lang w:val="en-NZ"/>
          </w:rPr>
          <w:t>https://www.tewhatuora.govt.nz/health-services-and-programmes/burial-and-cremation-act-1964/</w:t>
        </w:r>
      </w:hyperlink>
      <w:r w:rsidRPr="00635240">
        <w:rPr>
          <w:sz w:val="24"/>
          <w:szCs w:val="24"/>
          <w:lang w:val="en-NZ"/>
        </w:rPr>
        <w:t xml:space="preserve"> </w:t>
      </w:r>
    </w:p>
    <w:p w14:paraId="2EA9EE30" w14:textId="15E827DB" w:rsidR="001A45DA" w:rsidRPr="00635240" w:rsidRDefault="008B2773" w:rsidP="007F523A">
      <w:pPr>
        <w:rPr>
          <w:sz w:val="24"/>
          <w:szCs w:val="24"/>
          <w:lang w:val="en-NZ"/>
        </w:rPr>
      </w:pPr>
      <w:r w:rsidRPr="00635240">
        <w:rPr>
          <w:sz w:val="24"/>
          <w:szCs w:val="24"/>
          <w:lang w:val="en-NZ"/>
        </w:rPr>
        <w:t xml:space="preserve">Organ Donation New Zealand: </w:t>
      </w:r>
      <w:hyperlink r:id="rId33" w:history="1">
        <w:r w:rsidRPr="00635240">
          <w:rPr>
            <w:rStyle w:val="Hyperlink"/>
            <w:sz w:val="24"/>
            <w:szCs w:val="24"/>
            <w:lang w:val="en-NZ"/>
          </w:rPr>
          <w:t>https://donor.co.nz/</w:t>
        </w:r>
      </w:hyperlink>
      <w:r w:rsidR="00705412" w:rsidRPr="00635240">
        <w:rPr>
          <w:sz w:val="24"/>
          <w:szCs w:val="24"/>
          <w:lang w:val="en-NZ"/>
        </w:rPr>
        <w:t xml:space="preserve"> </w:t>
      </w:r>
      <w:r w:rsidR="00E57FEC" w:rsidRPr="00635240">
        <w:rPr>
          <w:sz w:val="24"/>
          <w:szCs w:val="24"/>
          <w:lang w:val="en-NZ"/>
        </w:rPr>
        <w:t xml:space="preserve"> </w:t>
      </w:r>
    </w:p>
    <w:p w14:paraId="6AD443FE" w14:textId="2D58F598" w:rsidR="00D336FE" w:rsidRPr="00635240" w:rsidRDefault="00BA5ECD" w:rsidP="007F523A">
      <w:pPr>
        <w:rPr>
          <w:sz w:val="24"/>
          <w:szCs w:val="24"/>
          <w:lang w:val="en-NZ"/>
        </w:rPr>
      </w:pPr>
      <w:r w:rsidRPr="00635240">
        <w:rPr>
          <w:sz w:val="24"/>
          <w:szCs w:val="24"/>
          <w:lang w:val="en-NZ"/>
        </w:rPr>
        <w:t xml:space="preserve">Australian Government Organ and </w:t>
      </w:r>
      <w:r w:rsidR="00315E94" w:rsidRPr="00635240">
        <w:rPr>
          <w:sz w:val="24"/>
          <w:szCs w:val="24"/>
          <w:lang w:val="en-NZ"/>
        </w:rPr>
        <w:t>T</w:t>
      </w:r>
      <w:r w:rsidRPr="00635240">
        <w:rPr>
          <w:sz w:val="24"/>
          <w:szCs w:val="24"/>
          <w:lang w:val="en-NZ"/>
        </w:rPr>
        <w:t xml:space="preserve">issue Authority: </w:t>
      </w:r>
      <w:hyperlink r:id="rId34" w:history="1">
        <w:r w:rsidRPr="00635240">
          <w:rPr>
            <w:rStyle w:val="Hyperlink"/>
            <w:sz w:val="24"/>
            <w:szCs w:val="24"/>
            <w:lang w:val="en-NZ"/>
          </w:rPr>
          <w:t>https://www.donatelife.gov.au/</w:t>
        </w:r>
      </w:hyperlink>
      <w:r w:rsidR="001A45DA" w:rsidRPr="00635240">
        <w:rPr>
          <w:sz w:val="24"/>
          <w:szCs w:val="24"/>
          <w:lang w:val="en-NZ"/>
        </w:rPr>
        <w:t xml:space="preserve"> </w:t>
      </w:r>
    </w:p>
    <w:p w14:paraId="0A2334BB" w14:textId="34997133" w:rsidR="00E52B41" w:rsidRPr="007F523A" w:rsidRDefault="00D336FE" w:rsidP="007F523A">
      <w:pPr>
        <w:rPr>
          <w:sz w:val="24"/>
          <w:szCs w:val="24"/>
          <w:lang w:val="en-NZ"/>
        </w:rPr>
      </w:pPr>
      <w:r w:rsidRPr="00635240">
        <w:rPr>
          <w:sz w:val="24"/>
          <w:szCs w:val="24"/>
        </w:rPr>
        <w:t>Australian and New Zealand Intensive Care Society:</w:t>
      </w:r>
      <w:r w:rsidR="00CF2D5A" w:rsidRPr="00635240">
        <w:rPr>
          <w:sz w:val="24"/>
          <w:szCs w:val="24"/>
        </w:rPr>
        <w:t xml:space="preserve"> </w:t>
      </w:r>
      <w:hyperlink r:id="rId35" w:history="1">
        <w:r w:rsidR="00CF2D5A" w:rsidRPr="00635240">
          <w:rPr>
            <w:rStyle w:val="Hyperlink"/>
            <w:sz w:val="24"/>
            <w:szCs w:val="24"/>
            <w:lang w:val="en-NZ"/>
          </w:rPr>
          <w:t>https://www.anzics.org/</w:t>
        </w:r>
      </w:hyperlink>
      <w:r w:rsidR="00CF2D5A" w:rsidRPr="00FD4B35">
        <w:rPr>
          <w:sz w:val="24"/>
          <w:szCs w:val="24"/>
          <w:lang w:val="en-NZ"/>
        </w:rPr>
        <w:t xml:space="preserve"> </w:t>
      </w:r>
    </w:p>
    <w:sectPr w:rsidR="00E52B41" w:rsidRPr="007F523A" w:rsidSect="00F972D4">
      <w:headerReference w:type="default" r:id="rId36"/>
      <w:footerReference w:type="default" r:id="rId37"/>
      <w:pgSz w:w="11906" w:h="16838"/>
      <w:pgMar w:top="1440" w:right="1440" w:bottom="1276" w:left="1440" w:header="708" w:footer="4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B9DB8" w14:textId="77777777" w:rsidR="008976FD" w:rsidRDefault="008976FD" w:rsidP="00EB3422">
      <w:r>
        <w:separator/>
      </w:r>
    </w:p>
  </w:endnote>
  <w:endnote w:type="continuationSeparator" w:id="0">
    <w:p w14:paraId="696587FE" w14:textId="77777777" w:rsidR="008976FD" w:rsidRDefault="008976FD" w:rsidP="00EB3422">
      <w:r>
        <w:continuationSeparator/>
      </w:r>
    </w:p>
  </w:endnote>
  <w:endnote w:type="continuationNotice" w:id="1">
    <w:p w14:paraId="7D3A8256" w14:textId="77777777" w:rsidR="008976FD" w:rsidRDefault="00897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762297"/>
      <w:docPartObj>
        <w:docPartGallery w:val="Page Numbers (Bottom of Page)"/>
        <w:docPartUnique/>
      </w:docPartObj>
    </w:sdtPr>
    <w:sdtEndPr>
      <w:rPr>
        <w:noProof/>
      </w:rPr>
    </w:sdtEndPr>
    <w:sdtContent>
      <w:p w14:paraId="37BC7D46" w14:textId="3A46B42E" w:rsidR="002850E2" w:rsidRDefault="007E2A5F" w:rsidP="007E2A5F">
        <w:pPr>
          <w:pStyle w:val="Footer"/>
          <w:tabs>
            <w:tab w:val="clear" w:pos="4513"/>
          </w:tabs>
          <w:jc w:val="right"/>
        </w:pPr>
        <w:r>
          <w:t>Guidelines for Verifying Death</w:t>
        </w:r>
        <w:r>
          <w:tab/>
        </w:r>
        <w:r w:rsidR="002850E2">
          <w:fldChar w:fldCharType="begin"/>
        </w:r>
        <w:r w:rsidR="002850E2">
          <w:instrText xml:space="preserve"> PAGE   \* MERGEFORMAT </w:instrText>
        </w:r>
        <w:r w:rsidR="002850E2">
          <w:fldChar w:fldCharType="separate"/>
        </w:r>
        <w:r w:rsidR="002850E2">
          <w:rPr>
            <w:noProof/>
          </w:rPr>
          <w:t>2</w:t>
        </w:r>
        <w:r w:rsidR="002850E2">
          <w:rPr>
            <w:noProof/>
          </w:rPr>
          <w:fldChar w:fldCharType="end"/>
        </w:r>
      </w:p>
    </w:sdtContent>
  </w:sdt>
  <w:p w14:paraId="4841A51F" w14:textId="5D559831" w:rsidR="00EB3422" w:rsidRDefault="00EB3422" w:rsidP="00EB3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8D358" w14:textId="77777777" w:rsidR="008976FD" w:rsidRDefault="008976FD" w:rsidP="00EB3422">
      <w:r>
        <w:separator/>
      </w:r>
    </w:p>
  </w:footnote>
  <w:footnote w:type="continuationSeparator" w:id="0">
    <w:p w14:paraId="5F496987" w14:textId="77777777" w:rsidR="008976FD" w:rsidRDefault="008976FD" w:rsidP="00EB3422">
      <w:r>
        <w:continuationSeparator/>
      </w:r>
    </w:p>
  </w:footnote>
  <w:footnote w:type="continuationNotice" w:id="1">
    <w:p w14:paraId="3DCB714D" w14:textId="77777777" w:rsidR="008976FD" w:rsidRDefault="008976FD">
      <w:pPr>
        <w:spacing w:after="0" w:line="240" w:lineRule="auto"/>
      </w:pPr>
    </w:p>
  </w:footnote>
  <w:footnote w:id="2">
    <w:p w14:paraId="61F8C7AE" w14:textId="078E4E7A" w:rsidR="004406D1" w:rsidRPr="004406D1" w:rsidRDefault="004406D1">
      <w:pPr>
        <w:pStyle w:val="FootnoteText"/>
        <w:rPr>
          <w:lang w:val="en-NZ"/>
        </w:rPr>
      </w:pPr>
      <w:r>
        <w:rPr>
          <w:rStyle w:val="FootnoteReference"/>
        </w:rPr>
        <w:footnoteRef/>
      </w:r>
      <w:r>
        <w:t xml:space="preserve"> </w:t>
      </w:r>
      <w:hyperlink r:id="rId1" w:history="1">
        <w:r w:rsidR="001E1175" w:rsidRPr="00F4588D">
          <w:rPr>
            <w:rStyle w:val="Hyperlink"/>
          </w:rPr>
          <w:t>https://www.hdc.org.nz/your-rights/about-the-code/code-of-health-and-disability-services-consumers-rights/</w:t>
        </w:r>
      </w:hyperlink>
      <w:r w:rsidR="001E1175">
        <w:t xml:space="preserve"> </w:t>
      </w:r>
    </w:p>
  </w:footnote>
  <w:footnote w:id="3">
    <w:p w14:paraId="07960CA5" w14:textId="2A155B9E" w:rsidR="00A652DF" w:rsidRPr="00A652DF" w:rsidRDefault="00A652DF">
      <w:pPr>
        <w:pStyle w:val="FootnoteText"/>
        <w:rPr>
          <w:lang w:val="en-NZ"/>
        </w:rPr>
      </w:pPr>
      <w:r>
        <w:rPr>
          <w:rStyle w:val="FootnoteReference"/>
        </w:rPr>
        <w:footnoteRef/>
      </w:r>
      <w:r>
        <w:t xml:space="preserve"> </w:t>
      </w:r>
      <w:hyperlink r:id="rId2" w:history="1">
        <w:r w:rsidRPr="00A652DF">
          <w:rPr>
            <w:rStyle w:val="Hyperlink"/>
            <w:lang w:val="en-NZ"/>
          </w:rPr>
          <w:t>https://communitylaw.org.nz/community-law-manual/chapter-16-a-death-in-the-family/a-death-in-the-family/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EE911" w14:textId="40E71E03" w:rsidR="00C76026" w:rsidRDefault="00594BA5">
    <w:pPr>
      <w:pStyle w:val="Header"/>
    </w:pPr>
    <w:r>
      <w:rPr>
        <w:noProof/>
      </w:rPr>
      <w:drawing>
        <wp:anchor distT="0" distB="0" distL="114300" distR="114300" simplePos="0" relativeHeight="251658240" behindDoc="1" locked="0" layoutInCell="1" allowOverlap="1" wp14:anchorId="7D772477" wp14:editId="3A4C1470">
          <wp:simplePos x="0" y="0"/>
          <wp:positionH relativeFrom="page">
            <wp:align>left</wp:align>
          </wp:positionH>
          <wp:positionV relativeFrom="paragraph">
            <wp:posOffset>-449580</wp:posOffset>
          </wp:positionV>
          <wp:extent cx="7543800" cy="936915"/>
          <wp:effectExtent l="0" t="0" r="0" b="0"/>
          <wp:wrapNone/>
          <wp:docPr id="655630965" name="Picture 655630965"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93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7B24"/>
    <w:multiLevelType w:val="hybridMultilevel"/>
    <w:tmpl w:val="304409A4"/>
    <w:numStyleLink w:val="ImportedStyle1"/>
  </w:abstractNum>
  <w:abstractNum w:abstractNumId="1" w15:restartNumberingAfterBreak="0">
    <w:nsid w:val="066F6DB2"/>
    <w:multiLevelType w:val="multilevel"/>
    <w:tmpl w:val="0CA2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BA6F8B"/>
    <w:multiLevelType w:val="hybridMultilevel"/>
    <w:tmpl w:val="FEBABE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4157E2"/>
    <w:multiLevelType w:val="multilevel"/>
    <w:tmpl w:val="5FAC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FF42DF"/>
    <w:multiLevelType w:val="hybridMultilevel"/>
    <w:tmpl w:val="970ACDFA"/>
    <w:lvl w:ilvl="0" w:tplc="DF0084BC">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6" w15:restartNumberingAfterBreak="0">
    <w:nsid w:val="113D7DCA"/>
    <w:multiLevelType w:val="hybridMultilevel"/>
    <w:tmpl w:val="FEA82F5E"/>
    <w:lvl w:ilvl="0" w:tplc="14090001">
      <w:start w:val="1"/>
      <w:numFmt w:val="bullet"/>
      <w:lvlText w:val=""/>
      <w:lvlJc w:val="left"/>
      <w:pPr>
        <w:ind w:left="-351" w:hanging="360"/>
      </w:pPr>
      <w:rPr>
        <w:rFonts w:ascii="Symbol" w:hAnsi="Symbol" w:hint="default"/>
      </w:rPr>
    </w:lvl>
    <w:lvl w:ilvl="1" w:tplc="14090003">
      <w:start w:val="1"/>
      <w:numFmt w:val="bullet"/>
      <w:lvlText w:val="o"/>
      <w:lvlJc w:val="left"/>
      <w:pPr>
        <w:ind w:left="369" w:hanging="360"/>
      </w:pPr>
      <w:rPr>
        <w:rFonts w:ascii="Courier New" w:hAnsi="Courier New" w:cs="Courier New" w:hint="default"/>
      </w:rPr>
    </w:lvl>
    <w:lvl w:ilvl="2" w:tplc="14090005">
      <w:start w:val="1"/>
      <w:numFmt w:val="bullet"/>
      <w:lvlText w:val=""/>
      <w:lvlJc w:val="left"/>
      <w:pPr>
        <w:ind w:left="1089" w:hanging="360"/>
      </w:pPr>
      <w:rPr>
        <w:rFonts w:ascii="Wingdings" w:hAnsi="Wingdings" w:hint="default"/>
      </w:rPr>
    </w:lvl>
    <w:lvl w:ilvl="3" w:tplc="14090001" w:tentative="1">
      <w:start w:val="1"/>
      <w:numFmt w:val="bullet"/>
      <w:lvlText w:val=""/>
      <w:lvlJc w:val="left"/>
      <w:pPr>
        <w:ind w:left="1809" w:hanging="360"/>
      </w:pPr>
      <w:rPr>
        <w:rFonts w:ascii="Symbol" w:hAnsi="Symbol" w:hint="default"/>
      </w:rPr>
    </w:lvl>
    <w:lvl w:ilvl="4" w:tplc="14090003" w:tentative="1">
      <w:start w:val="1"/>
      <w:numFmt w:val="bullet"/>
      <w:lvlText w:val="o"/>
      <w:lvlJc w:val="left"/>
      <w:pPr>
        <w:ind w:left="2529" w:hanging="360"/>
      </w:pPr>
      <w:rPr>
        <w:rFonts w:ascii="Courier New" w:hAnsi="Courier New" w:cs="Courier New" w:hint="default"/>
      </w:rPr>
    </w:lvl>
    <w:lvl w:ilvl="5" w:tplc="14090005" w:tentative="1">
      <w:start w:val="1"/>
      <w:numFmt w:val="bullet"/>
      <w:lvlText w:val=""/>
      <w:lvlJc w:val="left"/>
      <w:pPr>
        <w:ind w:left="3249" w:hanging="360"/>
      </w:pPr>
      <w:rPr>
        <w:rFonts w:ascii="Wingdings" w:hAnsi="Wingdings" w:hint="default"/>
      </w:rPr>
    </w:lvl>
    <w:lvl w:ilvl="6" w:tplc="14090001" w:tentative="1">
      <w:start w:val="1"/>
      <w:numFmt w:val="bullet"/>
      <w:lvlText w:val=""/>
      <w:lvlJc w:val="left"/>
      <w:pPr>
        <w:ind w:left="3969" w:hanging="360"/>
      </w:pPr>
      <w:rPr>
        <w:rFonts w:ascii="Symbol" w:hAnsi="Symbol" w:hint="default"/>
      </w:rPr>
    </w:lvl>
    <w:lvl w:ilvl="7" w:tplc="14090003" w:tentative="1">
      <w:start w:val="1"/>
      <w:numFmt w:val="bullet"/>
      <w:lvlText w:val="o"/>
      <w:lvlJc w:val="left"/>
      <w:pPr>
        <w:ind w:left="4689" w:hanging="360"/>
      </w:pPr>
      <w:rPr>
        <w:rFonts w:ascii="Courier New" w:hAnsi="Courier New" w:cs="Courier New" w:hint="default"/>
      </w:rPr>
    </w:lvl>
    <w:lvl w:ilvl="8" w:tplc="14090005" w:tentative="1">
      <w:start w:val="1"/>
      <w:numFmt w:val="bullet"/>
      <w:lvlText w:val=""/>
      <w:lvlJc w:val="left"/>
      <w:pPr>
        <w:ind w:left="5409" w:hanging="360"/>
      </w:pPr>
      <w:rPr>
        <w:rFonts w:ascii="Wingdings" w:hAnsi="Wingdings" w:hint="default"/>
      </w:rPr>
    </w:lvl>
  </w:abstractNum>
  <w:abstractNum w:abstractNumId="7" w15:restartNumberingAfterBreak="0">
    <w:nsid w:val="128771CA"/>
    <w:multiLevelType w:val="multilevel"/>
    <w:tmpl w:val="3BACC5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4676EE0"/>
    <w:multiLevelType w:val="multilevel"/>
    <w:tmpl w:val="9E9C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EB3E1E"/>
    <w:multiLevelType w:val="multilevel"/>
    <w:tmpl w:val="8D4C2D6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1FD6142D"/>
    <w:multiLevelType w:val="hybridMultilevel"/>
    <w:tmpl w:val="7EA4B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B703484"/>
    <w:multiLevelType w:val="multilevel"/>
    <w:tmpl w:val="D292B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59076B"/>
    <w:multiLevelType w:val="multilevel"/>
    <w:tmpl w:val="0F5E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51531"/>
    <w:multiLevelType w:val="multilevel"/>
    <w:tmpl w:val="7994A6F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6" w15:restartNumberingAfterBreak="0">
    <w:nsid w:val="77386E31"/>
    <w:multiLevelType w:val="hybridMultilevel"/>
    <w:tmpl w:val="304409A4"/>
    <w:styleLink w:val="ImportedStyle1"/>
    <w:lvl w:ilvl="0" w:tplc="5D18FB56">
      <w:start w:val="1"/>
      <w:numFmt w:val="decimal"/>
      <w:lvlText w:val="%1."/>
      <w:lvlJc w:val="left"/>
      <w:pPr>
        <w:ind w:left="28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98A4774">
      <w:start w:val="1"/>
      <w:numFmt w:val="lowerLetter"/>
      <w:lvlText w:val="%2."/>
      <w:lvlJc w:val="left"/>
      <w:pPr>
        <w:ind w:left="80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006C0D0">
      <w:start w:val="1"/>
      <w:numFmt w:val="lowerRoman"/>
      <w:lvlText w:val="%3."/>
      <w:lvlJc w:val="left"/>
      <w:pPr>
        <w:ind w:left="1520" w:hanging="2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9181928">
      <w:start w:val="1"/>
      <w:numFmt w:val="decimal"/>
      <w:lvlText w:val="%4."/>
      <w:lvlJc w:val="left"/>
      <w:pPr>
        <w:ind w:left="224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63A3D20">
      <w:start w:val="1"/>
      <w:numFmt w:val="lowerLetter"/>
      <w:lvlText w:val="%5."/>
      <w:lvlJc w:val="left"/>
      <w:pPr>
        <w:ind w:left="29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5A0EB9C">
      <w:start w:val="1"/>
      <w:numFmt w:val="lowerRoman"/>
      <w:lvlText w:val="%6."/>
      <w:lvlJc w:val="left"/>
      <w:pPr>
        <w:ind w:left="3680" w:hanging="2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6E4EF88">
      <w:start w:val="1"/>
      <w:numFmt w:val="decimal"/>
      <w:lvlText w:val="%7."/>
      <w:lvlJc w:val="left"/>
      <w:pPr>
        <w:ind w:left="440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D3E12C4">
      <w:start w:val="1"/>
      <w:numFmt w:val="lowerLetter"/>
      <w:lvlText w:val="%8."/>
      <w:lvlJc w:val="left"/>
      <w:pPr>
        <w:ind w:left="512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8F6CB9E">
      <w:start w:val="1"/>
      <w:numFmt w:val="lowerRoman"/>
      <w:lvlText w:val="%9."/>
      <w:lvlJc w:val="left"/>
      <w:pPr>
        <w:ind w:left="5840" w:hanging="23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16cid:durableId="1047221583">
    <w:abstractNumId w:val="2"/>
  </w:num>
  <w:num w:numId="2" w16cid:durableId="1964649901">
    <w:abstractNumId w:val="10"/>
  </w:num>
  <w:num w:numId="3" w16cid:durableId="272521987">
    <w:abstractNumId w:val="15"/>
  </w:num>
  <w:num w:numId="4" w16cid:durableId="1045714551">
    <w:abstractNumId w:val="9"/>
  </w:num>
  <w:num w:numId="5" w16cid:durableId="1440369003">
    <w:abstractNumId w:val="12"/>
  </w:num>
  <w:num w:numId="6" w16cid:durableId="1559626174">
    <w:abstractNumId w:val="7"/>
  </w:num>
  <w:num w:numId="7" w16cid:durableId="205799036">
    <w:abstractNumId w:val="4"/>
  </w:num>
  <w:num w:numId="8" w16cid:durableId="1043364234">
    <w:abstractNumId w:val="14"/>
  </w:num>
  <w:num w:numId="9" w16cid:durableId="1296450883">
    <w:abstractNumId w:val="17"/>
  </w:num>
  <w:num w:numId="10" w16cid:durableId="1539853896">
    <w:abstractNumId w:val="13"/>
  </w:num>
  <w:num w:numId="11" w16cid:durableId="704915501">
    <w:abstractNumId w:val="3"/>
  </w:num>
  <w:num w:numId="12" w16cid:durableId="554855698">
    <w:abstractNumId w:val="6"/>
  </w:num>
  <w:num w:numId="13" w16cid:durableId="1045908477">
    <w:abstractNumId w:val="5"/>
  </w:num>
  <w:num w:numId="14" w16cid:durableId="1004474723">
    <w:abstractNumId w:val="8"/>
  </w:num>
  <w:num w:numId="15" w16cid:durableId="190844505">
    <w:abstractNumId w:val="11"/>
  </w:num>
  <w:num w:numId="16" w16cid:durableId="409355081">
    <w:abstractNumId w:val="1"/>
  </w:num>
  <w:num w:numId="17" w16cid:durableId="884025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2110393">
    <w:abstractNumId w:val="0"/>
    <w:lvlOverride w:ilvl="0">
      <w:lvl w:ilvl="0" w:tplc="F9AA8A80">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EE9EB036">
        <w:start w:val="1"/>
        <w:numFmt w:val="decimal"/>
        <w:lvlText w:val="%2."/>
        <w:lvlJc w:val="left"/>
        <w:pPr>
          <w:ind w:left="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9E6C042E">
        <w:start w:val="1"/>
        <w:numFmt w:val="decimal"/>
        <w:lvlText w:val="%3."/>
        <w:lvlJc w:val="left"/>
        <w:pPr>
          <w:ind w:left="152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D8C46BD6">
        <w:start w:val="1"/>
        <w:numFmt w:val="decimal"/>
        <w:lvlText w:val="%4."/>
        <w:lvlJc w:val="left"/>
        <w:pPr>
          <w:ind w:left="2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70D8874E">
        <w:start w:val="1"/>
        <w:numFmt w:val="decimal"/>
        <w:lvlText w:val="%5."/>
        <w:lvlJc w:val="left"/>
        <w:pPr>
          <w:ind w:left="2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63460882">
        <w:start w:val="1"/>
        <w:numFmt w:val="decimal"/>
        <w:lvlText w:val="%6."/>
        <w:lvlJc w:val="left"/>
        <w:pPr>
          <w:ind w:left="368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D478B504">
        <w:start w:val="1"/>
        <w:numFmt w:val="decimal"/>
        <w:lvlText w:val="%7."/>
        <w:lvlJc w:val="left"/>
        <w:pPr>
          <w:ind w:left="4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00E0FA86">
        <w:start w:val="1"/>
        <w:numFmt w:val="decimal"/>
        <w:lvlText w:val="%8."/>
        <w:lvlJc w:val="left"/>
        <w:pPr>
          <w:ind w:left="5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6F9E80FC">
        <w:start w:val="1"/>
        <w:numFmt w:val="decimal"/>
        <w:lvlText w:val="%9."/>
        <w:lvlJc w:val="left"/>
        <w:pPr>
          <w:ind w:left="584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9" w16cid:durableId="20379274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efaultTableStyle w:val="ListTable4-Accent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22"/>
    <w:rsid w:val="00001222"/>
    <w:rsid w:val="00001426"/>
    <w:rsid w:val="00002850"/>
    <w:rsid w:val="00003DE3"/>
    <w:rsid w:val="0001693F"/>
    <w:rsid w:val="00017EBC"/>
    <w:rsid w:val="00023C64"/>
    <w:rsid w:val="00027E41"/>
    <w:rsid w:val="00030756"/>
    <w:rsid w:val="000335CB"/>
    <w:rsid w:val="00034399"/>
    <w:rsid w:val="0003634C"/>
    <w:rsid w:val="000438D3"/>
    <w:rsid w:val="000447D6"/>
    <w:rsid w:val="00050483"/>
    <w:rsid w:val="00055AB0"/>
    <w:rsid w:val="00057FCB"/>
    <w:rsid w:val="00061A81"/>
    <w:rsid w:val="00066AB0"/>
    <w:rsid w:val="00066BAD"/>
    <w:rsid w:val="00074682"/>
    <w:rsid w:val="00077009"/>
    <w:rsid w:val="0008027B"/>
    <w:rsid w:val="0008498B"/>
    <w:rsid w:val="00084BEC"/>
    <w:rsid w:val="00090228"/>
    <w:rsid w:val="00090E72"/>
    <w:rsid w:val="000A48FA"/>
    <w:rsid w:val="000A523B"/>
    <w:rsid w:val="000B0443"/>
    <w:rsid w:val="000C188A"/>
    <w:rsid w:val="000C2361"/>
    <w:rsid w:val="000C301B"/>
    <w:rsid w:val="000E1A04"/>
    <w:rsid w:val="000E51F7"/>
    <w:rsid w:val="000F2DCB"/>
    <w:rsid w:val="000F4DCC"/>
    <w:rsid w:val="00101DB7"/>
    <w:rsid w:val="00103CD6"/>
    <w:rsid w:val="00106817"/>
    <w:rsid w:val="00110B27"/>
    <w:rsid w:val="00112340"/>
    <w:rsid w:val="0011396F"/>
    <w:rsid w:val="00122AE2"/>
    <w:rsid w:val="001323BA"/>
    <w:rsid w:val="001325D3"/>
    <w:rsid w:val="001542FF"/>
    <w:rsid w:val="0016697B"/>
    <w:rsid w:val="001678B5"/>
    <w:rsid w:val="00173063"/>
    <w:rsid w:val="00180F81"/>
    <w:rsid w:val="00181983"/>
    <w:rsid w:val="001A1E7D"/>
    <w:rsid w:val="001A2D2B"/>
    <w:rsid w:val="001A45DA"/>
    <w:rsid w:val="001B2781"/>
    <w:rsid w:val="001B31BF"/>
    <w:rsid w:val="001C17E5"/>
    <w:rsid w:val="001C26EE"/>
    <w:rsid w:val="001C2BB8"/>
    <w:rsid w:val="001C3BB4"/>
    <w:rsid w:val="001C3DA8"/>
    <w:rsid w:val="001D21CE"/>
    <w:rsid w:val="001E1175"/>
    <w:rsid w:val="001E4187"/>
    <w:rsid w:val="001E585A"/>
    <w:rsid w:val="001F3B4C"/>
    <w:rsid w:val="001F671D"/>
    <w:rsid w:val="0020122E"/>
    <w:rsid w:val="002051EF"/>
    <w:rsid w:val="0020562F"/>
    <w:rsid w:val="00207F92"/>
    <w:rsid w:val="0021365C"/>
    <w:rsid w:val="00217EEC"/>
    <w:rsid w:val="00223555"/>
    <w:rsid w:val="00224852"/>
    <w:rsid w:val="00235196"/>
    <w:rsid w:val="002410A5"/>
    <w:rsid w:val="00242C3E"/>
    <w:rsid w:val="002446ED"/>
    <w:rsid w:val="00247D85"/>
    <w:rsid w:val="002538C2"/>
    <w:rsid w:val="00254A1A"/>
    <w:rsid w:val="00256962"/>
    <w:rsid w:val="002604EE"/>
    <w:rsid w:val="00264964"/>
    <w:rsid w:val="00271F35"/>
    <w:rsid w:val="00283562"/>
    <w:rsid w:val="0028384C"/>
    <w:rsid w:val="002850E2"/>
    <w:rsid w:val="00293698"/>
    <w:rsid w:val="002952A4"/>
    <w:rsid w:val="0029607D"/>
    <w:rsid w:val="002A19FC"/>
    <w:rsid w:val="002A4186"/>
    <w:rsid w:val="002A6583"/>
    <w:rsid w:val="002A6B30"/>
    <w:rsid w:val="002A7EB9"/>
    <w:rsid w:val="002B1538"/>
    <w:rsid w:val="002C03EE"/>
    <w:rsid w:val="002C1B13"/>
    <w:rsid w:val="002D1C55"/>
    <w:rsid w:val="002E665F"/>
    <w:rsid w:val="002E69E9"/>
    <w:rsid w:val="0030003B"/>
    <w:rsid w:val="00300F4F"/>
    <w:rsid w:val="00304720"/>
    <w:rsid w:val="00307CA9"/>
    <w:rsid w:val="0031081C"/>
    <w:rsid w:val="00315CFC"/>
    <w:rsid w:val="00315E94"/>
    <w:rsid w:val="00320A38"/>
    <w:rsid w:val="00320B81"/>
    <w:rsid w:val="00321122"/>
    <w:rsid w:val="00321655"/>
    <w:rsid w:val="00331071"/>
    <w:rsid w:val="00331FAB"/>
    <w:rsid w:val="00337F57"/>
    <w:rsid w:val="00340EC4"/>
    <w:rsid w:val="00340FCE"/>
    <w:rsid w:val="00345A62"/>
    <w:rsid w:val="00345CA9"/>
    <w:rsid w:val="00347441"/>
    <w:rsid w:val="00351204"/>
    <w:rsid w:val="00353E5A"/>
    <w:rsid w:val="003549E7"/>
    <w:rsid w:val="00355341"/>
    <w:rsid w:val="00360908"/>
    <w:rsid w:val="00384CC1"/>
    <w:rsid w:val="0038559A"/>
    <w:rsid w:val="00385633"/>
    <w:rsid w:val="00394019"/>
    <w:rsid w:val="00394FC7"/>
    <w:rsid w:val="0039760D"/>
    <w:rsid w:val="003A0C8C"/>
    <w:rsid w:val="003B7C0C"/>
    <w:rsid w:val="003C1949"/>
    <w:rsid w:val="003C7D23"/>
    <w:rsid w:val="003D1B9D"/>
    <w:rsid w:val="003D1DC7"/>
    <w:rsid w:val="003D1DFE"/>
    <w:rsid w:val="003D4BD3"/>
    <w:rsid w:val="003D5DB3"/>
    <w:rsid w:val="003D709A"/>
    <w:rsid w:val="003E16C3"/>
    <w:rsid w:val="003E3DC5"/>
    <w:rsid w:val="003E77D3"/>
    <w:rsid w:val="003F0D51"/>
    <w:rsid w:val="003F2178"/>
    <w:rsid w:val="003F313A"/>
    <w:rsid w:val="003F597C"/>
    <w:rsid w:val="00423BE5"/>
    <w:rsid w:val="0042565A"/>
    <w:rsid w:val="00427B85"/>
    <w:rsid w:val="004300AB"/>
    <w:rsid w:val="00435F70"/>
    <w:rsid w:val="004406D1"/>
    <w:rsid w:val="00444BC4"/>
    <w:rsid w:val="00452A57"/>
    <w:rsid w:val="0045578B"/>
    <w:rsid w:val="00471BF7"/>
    <w:rsid w:val="00485DF3"/>
    <w:rsid w:val="00486A3E"/>
    <w:rsid w:val="00495DCB"/>
    <w:rsid w:val="004A0A8C"/>
    <w:rsid w:val="004A28D8"/>
    <w:rsid w:val="004A2B61"/>
    <w:rsid w:val="004A4520"/>
    <w:rsid w:val="004B0590"/>
    <w:rsid w:val="004B1C68"/>
    <w:rsid w:val="004B2089"/>
    <w:rsid w:val="004C09F8"/>
    <w:rsid w:val="004C5993"/>
    <w:rsid w:val="004D18C8"/>
    <w:rsid w:val="004D2207"/>
    <w:rsid w:val="004D269B"/>
    <w:rsid w:val="004D4937"/>
    <w:rsid w:val="004E0089"/>
    <w:rsid w:val="004E0931"/>
    <w:rsid w:val="004E3289"/>
    <w:rsid w:val="004E3B3D"/>
    <w:rsid w:val="004F24F9"/>
    <w:rsid w:val="004F41C9"/>
    <w:rsid w:val="00510043"/>
    <w:rsid w:val="00512852"/>
    <w:rsid w:val="005134E9"/>
    <w:rsid w:val="005138EB"/>
    <w:rsid w:val="0051647B"/>
    <w:rsid w:val="00517426"/>
    <w:rsid w:val="00523715"/>
    <w:rsid w:val="00524769"/>
    <w:rsid w:val="00530688"/>
    <w:rsid w:val="005330EA"/>
    <w:rsid w:val="005374CA"/>
    <w:rsid w:val="00544E0B"/>
    <w:rsid w:val="005534DE"/>
    <w:rsid w:val="005551BB"/>
    <w:rsid w:val="00577C5B"/>
    <w:rsid w:val="005828E8"/>
    <w:rsid w:val="00582DE2"/>
    <w:rsid w:val="00583404"/>
    <w:rsid w:val="00583815"/>
    <w:rsid w:val="005845F8"/>
    <w:rsid w:val="00587141"/>
    <w:rsid w:val="00594BA5"/>
    <w:rsid w:val="005B253E"/>
    <w:rsid w:val="005B3EF1"/>
    <w:rsid w:val="005C27A1"/>
    <w:rsid w:val="005D7930"/>
    <w:rsid w:val="005E0ED4"/>
    <w:rsid w:val="005E3B40"/>
    <w:rsid w:val="005E503E"/>
    <w:rsid w:val="005F0E92"/>
    <w:rsid w:val="00606529"/>
    <w:rsid w:val="006068BC"/>
    <w:rsid w:val="006071D1"/>
    <w:rsid w:val="00610F92"/>
    <w:rsid w:val="00614F4A"/>
    <w:rsid w:val="00615CAE"/>
    <w:rsid w:val="00625B47"/>
    <w:rsid w:val="00626AAD"/>
    <w:rsid w:val="00635240"/>
    <w:rsid w:val="00637E07"/>
    <w:rsid w:val="0064678D"/>
    <w:rsid w:val="00652370"/>
    <w:rsid w:val="00656784"/>
    <w:rsid w:val="006578D2"/>
    <w:rsid w:val="00660097"/>
    <w:rsid w:val="0066109A"/>
    <w:rsid w:val="00661B52"/>
    <w:rsid w:val="00665843"/>
    <w:rsid w:val="006671E0"/>
    <w:rsid w:val="006711CF"/>
    <w:rsid w:val="0067131A"/>
    <w:rsid w:val="00673CE4"/>
    <w:rsid w:val="00682E66"/>
    <w:rsid w:val="006848A0"/>
    <w:rsid w:val="00693931"/>
    <w:rsid w:val="00695715"/>
    <w:rsid w:val="00697E2D"/>
    <w:rsid w:val="006B386A"/>
    <w:rsid w:val="006B546C"/>
    <w:rsid w:val="006B5B84"/>
    <w:rsid w:val="006C4C93"/>
    <w:rsid w:val="006C605F"/>
    <w:rsid w:val="006D6161"/>
    <w:rsid w:val="006D799F"/>
    <w:rsid w:val="006E7A77"/>
    <w:rsid w:val="006F0E8F"/>
    <w:rsid w:val="006F10A7"/>
    <w:rsid w:val="006F276C"/>
    <w:rsid w:val="006F3D61"/>
    <w:rsid w:val="006F4A81"/>
    <w:rsid w:val="00703BE6"/>
    <w:rsid w:val="00705412"/>
    <w:rsid w:val="00705D58"/>
    <w:rsid w:val="00707C61"/>
    <w:rsid w:val="00713B34"/>
    <w:rsid w:val="007151EE"/>
    <w:rsid w:val="00716347"/>
    <w:rsid w:val="00721C40"/>
    <w:rsid w:val="00724DFD"/>
    <w:rsid w:val="00732407"/>
    <w:rsid w:val="00733562"/>
    <w:rsid w:val="00737068"/>
    <w:rsid w:val="00741F07"/>
    <w:rsid w:val="00750153"/>
    <w:rsid w:val="0075286E"/>
    <w:rsid w:val="00752CEE"/>
    <w:rsid w:val="00755DB8"/>
    <w:rsid w:val="00755DDD"/>
    <w:rsid w:val="0076423A"/>
    <w:rsid w:val="00765CA2"/>
    <w:rsid w:val="0076781E"/>
    <w:rsid w:val="007752DA"/>
    <w:rsid w:val="00783298"/>
    <w:rsid w:val="00784B31"/>
    <w:rsid w:val="00785592"/>
    <w:rsid w:val="007931D5"/>
    <w:rsid w:val="00794E84"/>
    <w:rsid w:val="007A3FE2"/>
    <w:rsid w:val="007A6F9C"/>
    <w:rsid w:val="007B0175"/>
    <w:rsid w:val="007B7CE0"/>
    <w:rsid w:val="007C3F05"/>
    <w:rsid w:val="007C40D9"/>
    <w:rsid w:val="007C7F10"/>
    <w:rsid w:val="007D35AE"/>
    <w:rsid w:val="007E1733"/>
    <w:rsid w:val="007E2A5F"/>
    <w:rsid w:val="007E2D7D"/>
    <w:rsid w:val="007F4A84"/>
    <w:rsid w:val="007F523A"/>
    <w:rsid w:val="007F56C7"/>
    <w:rsid w:val="008003A1"/>
    <w:rsid w:val="008066E4"/>
    <w:rsid w:val="00816830"/>
    <w:rsid w:val="00820261"/>
    <w:rsid w:val="008224D3"/>
    <w:rsid w:val="00832E97"/>
    <w:rsid w:val="008346B2"/>
    <w:rsid w:val="0084019D"/>
    <w:rsid w:val="0084467E"/>
    <w:rsid w:val="008477AF"/>
    <w:rsid w:val="00847CED"/>
    <w:rsid w:val="00851E97"/>
    <w:rsid w:val="00852E7C"/>
    <w:rsid w:val="00853C0E"/>
    <w:rsid w:val="00862D60"/>
    <w:rsid w:val="008640AC"/>
    <w:rsid w:val="008668CF"/>
    <w:rsid w:val="00870C7D"/>
    <w:rsid w:val="00874A08"/>
    <w:rsid w:val="00876C37"/>
    <w:rsid w:val="0087724B"/>
    <w:rsid w:val="0088067C"/>
    <w:rsid w:val="00882AA5"/>
    <w:rsid w:val="00887E13"/>
    <w:rsid w:val="008976FD"/>
    <w:rsid w:val="008B1883"/>
    <w:rsid w:val="008B211E"/>
    <w:rsid w:val="008B2773"/>
    <w:rsid w:val="008B44BE"/>
    <w:rsid w:val="008B6E75"/>
    <w:rsid w:val="008B70CE"/>
    <w:rsid w:val="008C289C"/>
    <w:rsid w:val="008E2394"/>
    <w:rsid w:val="008F09A5"/>
    <w:rsid w:val="008F1362"/>
    <w:rsid w:val="008F365B"/>
    <w:rsid w:val="008F381B"/>
    <w:rsid w:val="008F398D"/>
    <w:rsid w:val="008F41CD"/>
    <w:rsid w:val="009001B9"/>
    <w:rsid w:val="009249FB"/>
    <w:rsid w:val="00925CDC"/>
    <w:rsid w:val="00926221"/>
    <w:rsid w:val="009306D5"/>
    <w:rsid w:val="00932F76"/>
    <w:rsid w:val="0093534B"/>
    <w:rsid w:val="00936007"/>
    <w:rsid w:val="0093610F"/>
    <w:rsid w:val="009362D3"/>
    <w:rsid w:val="009372E3"/>
    <w:rsid w:val="009400ED"/>
    <w:rsid w:val="00947EEF"/>
    <w:rsid w:val="0095425E"/>
    <w:rsid w:val="0095655D"/>
    <w:rsid w:val="009616B2"/>
    <w:rsid w:val="00964E79"/>
    <w:rsid w:val="00965608"/>
    <w:rsid w:val="00972511"/>
    <w:rsid w:val="00982C2E"/>
    <w:rsid w:val="009929CB"/>
    <w:rsid w:val="009956CC"/>
    <w:rsid w:val="00997A66"/>
    <w:rsid w:val="009A2289"/>
    <w:rsid w:val="009A51FB"/>
    <w:rsid w:val="009B440D"/>
    <w:rsid w:val="009B5CCA"/>
    <w:rsid w:val="009B6207"/>
    <w:rsid w:val="009C29D5"/>
    <w:rsid w:val="009C3769"/>
    <w:rsid w:val="009D56EE"/>
    <w:rsid w:val="009E3DF4"/>
    <w:rsid w:val="009E4774"/>
    <w:rsid w:val="009E74EB"/>
    <w:rsid w:val="00A0191D"/>
    <w:rsid w:val="00A02AB6"/>
    <w:rsid w:val="00A115F2"/>
    <w:rsid w:val="00A12130"/>
    <w:rsid w:val="00A16F3F"/>
    <w:rsid w:val="00A224D5"/>
    <w:rsid w:val="00A2431F"/>
    <w:rsid w:val="00A24A44"/>
    <w:rsid w:val="00A409CA"/>
    <w:rsid w:val="00A41250"/>
    <w:rsid w:val="00A50648"/>
    <w:rsid w:val="00A51B61"/>
    <w:rsid w:val="00A5582C"/>
    <w:rsid w:val="00A55C6C"/>
    <w:rsid w:val="00A652DF"/>
    <w:rsid w:val="00A65537"/>
    <w:rsid w:val="00A6789A"/>
    <w:rsid w:val="00A7170C"/>
    <w:rsid w:val="00A728E6"/>
    <w:rsid w:val="00A7766D"/>
    <w:rsid w:val="00A815AF"/>
    <w:rsid w:val="00A833B3"/>
    <w:rsid w:val="00A84813"/>
    <w:rsid w:val="00A86916"/>
    <w:rsid w:val="00AA7E93"/>
    <w:rsid w:val="00AB04A4"/>
    <w:rsid w:val="00AB5401"/>
    <w:rsid w:val="00AC5162"/>
    <w:rsid w:val="00AC6B69"/>
    <w:rsid w:val="00AC731E"/>
    <w:rsid w:val="00AD1289"/>
    <w:rsid w:val="00AD2B2F"/>
    <w:rsid w:val="00AD4547"/>
    <w:rsid w:val="00AD6816"/>
    <w:rsid w:val="00AD7E6D"/>
    <w:rsid w:val="00AE2FBF"/>
    <w:rsid w:val="00AF1299"/>
    <w:rsid w:val="00AF4B54"/>
    <w:rsid w:val="00B02D70"/>
    <w:rsid w:val="00B02FC7"/>
    <w:rsid w:val="00B03603"/>
    <w:rsid w:val="00B0429C"/>
    <w:rsid w:val="00B11976"/>
    <w:rsid w:val="00B15AF4"/>
    <w:rsid w:val="00B1702C"/>
    <w:rsid w:val="00B225FC"/>
    <w:rsid w:val="00B253FE"/>
    <w:rsid w:val="00B311F5"/>
    <w:rsid w:val="00B32D18"/>
    <w:rsid w:val="00B3511C"/>
    <w:rsid w:val="00B351B0"/>
    <w:rsid w:val="00B41C84"/>
    <w:rsid w:val="00B421AE"/>
    <w:rsid w:val="00B421BA"/>
    <w:rsid w:val="00B51816"/>
    <w:rsid w:val="00B571DA"/>
    <w:rsid w:val="00B62B45"/>
    <w:rsid w:val="00B723E1"/>
    <w:rsid w:val="00B725BB"/>
    <w:rsid w:val="00B76494"/>
    <w:rsid w:val="00B769F0"/>
    <w:rsid w:val="00B807EB"/>
    <w:rsid w:val="00B83442"/>
    <w:rsid w:val="00B85462"/>
    <w:rsid w:val="00B86F26"/>
    <w:rsid w:val="00B9734A"/>
    <w:rsid w:val="00BA4A63"/>
    <w:rsid w:val="00BA5ECD"/>
    <w:rsid w:val="00BB2187"/>
    <w:rsid w:val="00BB2A80"/>
    <w:rsid w:val="00BB7913"/>
    <w:rsid w:val="00BC0ABD"/>
    <w:rsid w:val="00BC211E"/>
    <w:rsid w:val="00BC4E2D"/>
    <w:rsid w:val="00BC57FF"/>
    <w:rsid w:val="00BD35E6"/>
    <w:rsid w:val="00BD3C13"/>
    <w:rsid w:val="00BE574A"/>
    <w:rsid w:val="00BE7146"/>
    <w:rsid w:val="00BF6F16"/>
    <w:rsid w:val="00C02663"/>
    <w:rsid w:val="00C05BCE"/>
    <w:rsid w:val="00C101BB"/>
    <w:rsid w:val="00C10655"/>
    <w:rsid w:val="00C11104"/>
    <w:rsid w:val="00C16414"/>
    <w:rsid w:val="00C16703"/>
    <w:rsid w:val="00C176D6"/>
    <w:rsid w:val="00C21B54"/>
    <w:rsid w:val="00C24441"/>
    <w:rsid w:val="00C26EA7"/>
    <w:rsid w:val="00C3330D"/>
    <w:rsid w:val="00C34BBF"/>
    <w:rsid w:val="00C42C48"/>
    <w:rsid w:val="00C436AE"/>
    <w:rsid w:val="00C503B6"/>
    <w:rsid w:val="00C51032"/>
    <w:rsid w:val="00C610DA"/>
    <w:rsid w:val="00C61838"/>
    <w:rsid w:val="00C64AD1"/>
    <w:rsid w:val="00C67881"/>
    <w:rsid w:val="00C76026"/>
    <w:rsid w:val="00C7793E"/>
    <w:rsid w:val="00C77AC9"/>
    <w:rsid w:val="00C8050F"/>
    <w:rsid w:val="00C829AD"/>
    <w:rsid w:val="00C86398"/>
    <w:rsid w:val="00CA2DBF"/>
    <w:rsid w:val="00CA4EA4"/>
    <w:rsid w:val="00CA5365"/>
    <w:rsid w:val="00CB0213"/>
    <w:rsid w:val="00CB65EF"/>
    <w:rsid w:val="00CC3CA8"/>
    <w:rsid w:val="00CD11CB"/>
    <w:rsid w:val="00CD311A"/>
    <w:rsid w:val="00CD4B38"/>
    <w:rsid w:val="00CF2D5A"/>
    <w:rsid w:val="00D0096A"/>
    <w:rsid w:val="00D02719"/>
    <w:rsid w:val="00D02837"/>
    <w:rsid w:val="00D05EFF"/>
    <w:rsid w:val="00D107B1"/>
    <w:rsid w:val="00D1410E"/>
    <w:rsid w:val="00D14933"/>
    <w:rsid w:val="00D1768C"/>
    <w:rsid w:val="00D2542B"/>
    <w:rsid w:val="00D305C4"/>
    <w:rsid w:val="00D336FE"/>
    <w:rsid w:val="00D3712F"/>
    <w:rsid w:val="00D4345B"/>
    <w:rsid w:val="00D55CD8"/>
    <w:rsid w:val="00D70EF4"/>
    <w:rsid w:val="00D73C3F"/>
    <w:rsid w:val="00D74E96"/>
    <w:rsid w:val="00D7523F"/>
    <w:rsid w:val="00D779D3"/>
    <w:rsid w:val="00D77B18"/>
    <w:rsid w:val="00D93AD4"/>
    <w:rsid w:val="00D9608D"/>
    <w:rsid w:val="00DA07CE"/>
    <w:rsid w:val="00DA10BC"/>
    <w:rsid w:val="00DA6954"/>
    <w:rsid w:val="00DC00E7"/>
    <w:rsid w:val="00DC1017"/>
    <w:rsid w:val="00DC53A9"/>
    <w:rsid w:val="00DD2300"/>
    <w:rsid w:val="00DD5D6A"/>
    <w:rsid w:val="00DE3565"/>
    <w:rsid w:val="00DE4BD2"/>
    <w:rsid w:val="00DE5328"/>
    <w:rsid w:val="00DE64C8"/>
    <w:rsid w:val="00DF43FE"/>
    <w:rsid w:val="00DF46A7"/>
    <w:rsid w:val="00DF49BD"/>
    <w:rsid w:val="00DF6C4E"/>
    <w:rsid w:val="00E056CF"/>
    <w:rsid w:val="00E079C7"/>
    <w:rsid w:val="00E12E43"/>
    <w:rsid w:val="00E171C0"/>
    <w:rsid w:val="00E174B8"/>
    <w:rsid w:val="00E20EB2"/>
    <w:rsid w:val="00E22CB9"/>
    <w:rsid w:val="00E259FD"/>
    <w:rsid w:val="00E26DCF"/>
    <w:rsid w:val="00E26F6B"/>
    <w:rsid w:val="00E27455"/>
    <w:rsid w:val="00E32CA3"/>
    <w:rsid w:val="00E338C1"/>
    <w:rsid w:val="00E34575"/>
    <w:rsid w:val="00E52B41"/>
    <w:rsid w:val="00E54F13"/>
    <w:rsid w:val="00E57FEC"/>
    <w:rsid w:val="00E60C04"/>
    <w:rsid w:val="00E6510D"/>
    <w:rsid w:val="00E72858"/>
    <w:rsid w:val="00E73737"/>
    <w:rsid w:val="00E759B3"/>
    <w:rsid w:val="00E83B46"/>
    <w:rsid w:val="00E85087"/>
    <w:rsid w:val="00E875CB"/>
    <w:rsid w:val="00E925A8"/>
    <w:rsid w:val="00E92C9B"/>
    <w:rsid w:val="00EA09CB"/>
    <w:rsid w:val="00EA0A46"/>
    <w:rsid w:val="00EA1B80"/>
    <w:rsid w:val="00EA27A4"/>
    <w:rsid w:val="00EA4C0E"/>
    <w:rsid w:val="00EA4C2E"/>
    <w:rsid w:val="00EA65B4"/>
    <w:rsid w:val="00EA7688"/>
    <w:rsid w:val="00EA7E33"/>
    <w:rsid w:val="00EB07A7"/>
    <w:rsid w:val="00EB083D"/>
    <w:rsid w:val="00EB1471"/>
    <w:rsid w:val="00EB3369"/>
    <w:rsid w:val="00EB3422"/>
    <w:rsid w:val="00EB3847"/>
    <w:rsid w:val="00EC2EAE"/>
    <w:rsid w:val="00EC6B04"/>
    <w:rsid w:val="00ED5462"/>
    <w:rsid w:val="00EE1812"/>
    <w:rsid w:val="00EE1D5A"/>
    <w:rsid w:val="00EE7AC0"/>
    <w:rsid w:val="00EF0EBB"/>
    <w:rsid w:val="00EF5394"/>
    <w:rsid w:val="00EF7E8E"/>
    <w:rsid w:val="00F02BD1"/>
    <w:rsid w:val="00F066E7"/>
    <w:rsid w:val="00F074B1"/>
    <w:rsid w:val="00F1322C"/>
    <w:rsid w:val="00F17EA6"/>
    <w:rsid w:val="00F22C7F"/>
    <w:rsid w:val="00F25DAE"/>
    <w:rsid w:val="00F31F36"/>
    <w:rsid w:val="00F347FA"/>
    <w:rsid w:val="00F40A42"/>
    <w:rsid w:val="00F42B4D"/>
    <w:rsid w:val="00F435B7"/>
    <w:rsid w:val="00F439FA"/>
    <w:rsid w:val="00F53502"/>
    <w:rsid w:val="00F55D05"/>
    <w:rsid w:val="00F6119F"/>
    <w:rsid w:val="00F6138B"/>
    <w:rsid w:val="00F64661"/>
    <w:rsid w:val="00F6501B"/>
    <w:rsid w:val="00F73836"/>
    <w:rsid w:val="00F7703D"/>
    <w:rsid w:val="00F817B8"/>
    <w:rsid w:val="00F849FB"/>
    <w:rsid w:val="00F84E95"/>
    <w:rsid w:val="00F868DC"/>
    <w:rsid w:val="00F90954"/>
    <w:rsid w:val="00F92965"/>
    <w:rsid w:val="00F947F5"/>
    <w:rsid w:val="00F96094"/>
    <w:rsid w:val="00F972D4"/>
    <w:rsid w:val="00FA4E9E"/>
    <w:rsid w:val="00FB5EA4"/>
    <w:rsid w:val="00FB76E3"/>
    <w:rsid w:val="00FC2568"/>
    <w:rsid w:val="00FC3B97"/>
    <w:rsid w:val="00FD3196"/>
    <w:rsid w:val="00FD4B35"/>
    <w:rsid w:val="00FD5A7F"/>
    <w:rsid w:val="00FE1FCC"/>
    <w:rsid w:val="00FE3687"/>
    <w:rsid w:val="00FE686C"/>
    <w:rsid w:val="00FF0083"/>
    <w:rsid w:val="00FF0488"/>
    <w:rsid w:val="00FF10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422"/>
    <w:rPr>
      <w:rFonts w:ascii="Arial" w:hAnsi="Arial" w:cs="Arial"/>
      <w:lang w:val="en-US"/>
    </w:rPr>
  </w:style>
  <w:style w:type="paragraph" w:styleId="Heading1">
    <w:name w:val="heading 1"/>
    <w:basedOn w:val="Normal"/>
    <w:next w:val="Normal"/>
    <w:link w:val="Heading1Char"/>
    <w:uiPriority w:val="9"/>
    <w:qFormat/>
    <w:rsid w:val="003F0D51"/>
    <w:pPr>
      <w:keepNext/>
      <w:keepLines/>
      <w:spacing w:before="360" w:after="120" w:line="360" w:lineRule="auto"/>
      <w:outlineLvl w:val="0"/>
    </w:pPr>
    <w:rPr>
      <w:rFonts w:eastAsiaTheme="majorEastAsia" w:cs="Poppins"/>
      <w:b/>
      <w:bCs/>
      <w:color w:val="003399" w:themeColor="accent2"/>
      <w:sz w:val="68"/>
      <w:szCs w:val="36"/>
    </w:rPr>
  </w:style>
  <w:style w:type="paragraph" w:styleId="Heading2">
    <w:name w:val="heading 2"/>
    <w:basedOn w:val="Normal"/>
    <w:next w:val="Normal"/>
    <w:link w:val="Heading2Char"/>
    <w:uiPriority w:val="9"/>
    <w:unhideWhenUsed/>
    <w:qFormat/>
    <w:rsid w:val="00EB3422"/>
    <w:pPr>
      <w:outlineLvl w:val="1"/>
    </w:pPr>
    <w:rPr>
      <w:rFonts w:ascii="Poppins" w:hAnsi="Poppins" w:cs="Poppins"/>
      <w:b/>
      <w:bCs/>
      <w:color w:val="15284C"/>
      <w:sz w:val="32"/>
      <w:szCs w:val="32"/>
    </w:rPr>
  </w:style>
  <w:style w:type="paragraph" w:styleId="Heading3">
    <w:name w:val="heading 3"/>
    <w:basedOn w:val="Normal"/>
    <w:next w:val="Normal"/>
    <w:link w:val="Heading3Char"/>
    <w:uiPriority w:val="9"/>
    <w:unhideWhenUsed/>
    <w:qFormat/>
    <w:rsid w:val="00EB3422"/>
    <w:pPr>
      <w:outlineLvl w:val="2"/>
    </w:pPr>
    <w:rPr>
      <w:rFonts w:ascii="Poppins" w:hAnsi="Poppins" w:cs="Poppins"/>
      <w:b/>
      <w:bCs/>
      <w:i/>
      <w:iCs/>
      <w:color w:val="15284C"/>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Report title"/>
    <w:basedOn w:val="Normal"/>
    <w:link w:val="NoSpacingChar"/>
    <w:uiPriority w:val="1"/>
    <w:qFormat/>
    <w:rsid w:val="00EB3422"/>
    <w:rPr>
      <w:rFonts w:ascii="Poppins" w:hAnsi="Poppins" w:cs="Poppins"/>
      <w:b/>
      <w:bCs/>
      <w:color w:val="F6F4EC" w:themeColor="background1"/>
      <w:sz w:val="120"/>
      <w:szCs w:val="120"/>
    </w:rPr>
  </w:style>
  <w:style w:type="character" w:customStyle="1" w:styleId="NoSpacingChar">
    <w:name w:val="No Spacing Char"/>
    <w:aliases w:val="Report title Char"/>
    <w:basedOn w:val="DefaultParagraphFont"/>
    <w:link w:val="NoSpacing"/>
    <w:uiPriority w:val="1"/>
    <w:rsid w:val="00EB3422"/>
    <w:rPr>
      <w:rFonts w:ascii="Poppins" w:hAnsi="Poppins" w:cs="Poppins"/>
      <w:b/>
      <w:bCs/>
      <w:noProof/>
      <w:color w:val="F6F4EC" w:themeColor="background1"/>
      <w:sz w:val="120"/>
      <w:szCs w:val="120"/>
      <w:lang w:val="en-US"/>
    </w:rPr>
  </w:style>
  <w:style w:type="paragraph" w:styleId="Header">
    <w:name w:val="header"/>
    <w:basedOn w:val="Normal"/>
    <w:link w:val="HeaderChar"/>
    <w:uiPriority w:val="99"/>
    <w:unhideWhenUsed/>
    <w:rsid w:val="00EB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3F0D51"/>
    <w:rPr>
      <w:rFonts w:ascii="Arial" w:eastAsiaTheme="majorEastAsia" w:hAnsi="Arial" w:cs="Poppins"/>
      <w:b/>
      <w:bCs/>
      <w:color w:val="003399" w:themeColor="accent2"/>
      <w:sz w:val="68"/>
      <w:szCs w:val="36"/>
      <w:lang w:val="en-US"/>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EB3422"/>
    <w:rPr>
      <w:rFonts w:ascii="Poppins" w:hAnsi="Poppins" w:cs="Poppins"/>
      <w:b/>
      <w:bCs/>
      <w:noProof/>
      <w:color w:val="15284C"/>
      <w:sz w:val="32"/>
      <w:szCs w:val="32"/>
      <w:lang w:val="en-US"/>
    </w:rPr>
  </w:style>
  <w:style w:type="character" w:customStyle="1" w:styleId="Heading3Char">
    <w:name w:val="Heading 3 Char"/>
    <w:basedOn w:val="DefaultParagraphFont"/>
    <w:link w:val="Heading3"/>
    <w:uiPriority w:val="9"/>
    <w:rsid w:val="00EB3422"/>
    <w:rPr>
      <w:rFonts w:ascii="Poppins" w:hAnsi="Poppins" w:cs="Poppins"/>
      <w:b/>
      <w:bCs/>
      <w:i/>
      <w:iCs/>
      <w:noProof/>
      <w:color w:val="15284C"/>
      <w:sz w:val="28"/>
      <w:szCs w:val="28"/>
      <w:lang w:val="en-US"/>
    </w:rPr>
  </w:style>
  <w:style w:type="paragraph" w:styleId="TOC1">
    <w:name w:val="toc 1"/>
    <w:basedOn w:val="Normal"/>
    <w:next w:val="Normal"/>
    <w:autoRedefine/>
    <w:uiPriority w:val="39"/>
    <w:unhideWhenUsed/>
    <w:rsid w:val="007E1733"/>
    <w:pPr>
      <w:tabs>
        <w:tab w:val="right" w:leader="dot" w:pos="9016"/>
      </w:tabs>
      <w:spacing w:after="100"/>
    </w:pPr>
    <w:rPr>
      <w:b/>
      <w:sz w:val="24"/>
    </w:rPr>
  </w:style>
  <w:style w:type="paragraph" w:styleId="TOC2">
    <w:name w:val="toc 2"/>
    <w:basedOn w:val="Normal"/>
    <w:next w:val="Normal"/>
    <w:autoRedefine/>
    <w:uiPriority w:val="39"/>
    <w:unhideWhenUsed/>
    <w:rsid w:val="00B86F26"/>
    <w:pPr>
      <w:spacing w:after="100"/>
      <w:ind w:left="220"/>
    </w:pPr>
    <w:rPr>
      <w:sz w:val="24"/>
    </w:r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E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Roboto" w:hAnsi="Roboto"/>
        <w:b/>
        <w:color w:val="F6F4EC" w:themeColor="background1"/>
        <w:sz w:val="24"/>
      </w:rPr>
      <w:tblPr/>
      <w:tcPr>
        <w:shd w:val="clear" w:color="auto" w:fill="15284C"/>
      </w:tcPr>
    </w:tblStylePr>
  </w:style>
  <w:style w:type="table" w:styleId="TableGridLight">
    <w:name w:val="Grid Table Light"/>
    <w:basedOn w:val="TableNormal"/>
    <w:uiPriority w:val="40"/>
    <w:rsid w:val="009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GridTable6Colorful-Accent2">
    <w:name w:val="Grid Table 6 Colorful Accent 2"/>
    <w:basedOn w:val="TableNormal"/>
    <w:uiPriority w:val="51"/>
    <w:rsid w:val="00C176D6"/>
    <w:pPr>
      <w:spacing w:after="0" w:line="240" w:lineRule="auto"/>
    </w:pPr>
    <w:rPr>
      <w:color w:val="002672" w:themeColor="accent2" w:themeShade="BF"/>
    </w:r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insideV w:val="single" w:sz="4" w:space="0" w:color="2870FF" w:themeColor="accent2" w:themeTint="99"/>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3-Accent2">
    <w:name w:val="List Table 3 Accent 2"/>
    <w:basedOn w:val="TableNormal"/>
    <w:uiPriority w:val="48"/>
    <w:rsid w:val="00C176D6"/>
    <w:pPr>
      <w:spacing w:after="0" w:line="240" w:lineRule="auto"/>
    </w:pPr>
    <w:tblPr>
      <w:tblStyleRowBandSize w:val="1"/>
      <w:tblStyleColBandSize w:val="1"/>
      <w:tblBorders>
        <w:top w:val="single" w:sz="4" w:space="0" w:color="003399" w:themeColor="accent2"/>
        <w:left w:val="single" w:sz="4" w:space="0" w:color="003399" w:themeColor="accent2"/>
        <w:bottom w:val="single" w:sz="4" w:space="0" w:color="003399" w:themeColor="accent2"/>
        <w:right w:val="single" w:sz="4" w:space="0" w:color="003399" w:themeColor="accent2"/>
      </w:tblBorders>
    </w:tblPr>
    <w:tblStylePr w:type="firstRow">
      <w:rPr>
        <w:b/>
        <w:bCs/>
        <w:color w:val="F6F4EC" w:themeColor="background1"/>
      </w:rPr>
      <w:tblPr/>
      <w:tcPr>
        <w:shd w:val="clear" w:color="auto" w:fill="003399" w:themeFill="accent2"/>
      </w:tcPr>
    </w:tblStylePr>
    <w:tblStylePr w:type="lastRow">
      <w:rPr>
        <w:b/>
        <w:bCs/>
      </w:rPr>
      <w:tblPr/>
      <w:tcPr>
        <w:tcBorders>
          <w:top w:val="double" w:sz="4" w:space="0" w:color="003399" w:themeColor="accent2"/>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03399" w:themeColor="accent2"/>
          <w:right w:val="single" w:sz="4" w:space="0" w:color="003399" w:themeColor="accent2"/>
        </w:tcBorders>
      </w:tcPr>
    </w:tblStylePr>
    <w:tblStylePr w:type="band1Horz">
      <w:tblPr/>
      <w:tcPr>
        <w:tcBorders>
          <w:top w:val="single" w:sz="4" w:space="0" w:color="003399" w:themeColor="accent2"/>
          <w:bottom w:val="single" w:sz="4" w:space="0" w:color="00339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99" w:themeColor="accent2"/>
          <w:left w:val="nil"/>
        </w:tcBorders>
      </w:tcPr>
    </w:tblStylePr>
    <w:tblStylePr w:type="swCell">
      <w:tblPr/>
      <w:tcPr>
        <w:tcBorders>
          <w:top w:val="double" w:sz="4" w:space="0" w:color="003399" w:themeColor="accent2"/>
          <w:right w:val="nil"/>
        </w:tcBorders>
      </w:tcPr>
    </w:tblStylePr>
  </w:style>
  <w:style w:type="table" w:styleId="ListTable4-Accent2">
    <w:name w:val="List Table 4 Accent 2"/>
    <w:basedOn w:val="TableNormal"/>
    <w:uiPriority w:val="49"/>
    <w:rsid w:val="00721C40"/>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5">
    <w:name w:val="List Table 4 Accent 5"/>
    <w:basedOn w:val="TableNormal"/>
    <w:uiPriority w:val="49"/>
    <w:rsid w:val="006B546C"/>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ListTable4-Accent3">
    <w:name w:val="List Table 4 Accent 3"/>
    <w:basedOn w:val="TableNormal"/>
    <w:uiPriority w:val="49"/>
    <w:rsid w:val="00965608"/>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GridTable4-Accent5">
    <w:name w:val="Grid Table 4 Accent 5"/>
    <w:basedOn w:val="TableNormal"/>
    <w:uiPriority w:val="49"/>
    <w:rsid w:val="0096560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styleId="ListParagraph">
    <w:name w:val="List Paragraph"/>
    <w:basedOn w:val="Normal"/>
    <w:uiPriority w:val="34"/>
    <w:qFormat/>
    <w:rsid w:val="00F25DAE"/>
    <w:pPr>
      <w:ind w:left="720"/>
      <w:contextualSpacing/>
    </w:pPr>
  </w:style>
  <w:style w:type="paragraph" w:customStyle="1" w:styleId="paragraph">
    <w:name w:val="paragraph"/>
    <w:basedOn w:val="Normal"/>
    <w:rsid w:val="004B1C68"/>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4B1C68"/>
  </w:style>
  <w:style w:type="character" w:customStyle="1" w:styleId="eop">
    <w:name w:val="eop"/>
    <w:basedOn w:val="DefaultParagraphFont"/>
    <w:rsid w:val="004B1C68"/>
  </w:style>
  <w:style w:type="paragraph" w:styleId="NormalWeb">
    <w:name w:val="Normal (Web)"/>
    <w:basedOn w:val="Normal"/>
    <w:uiPriority w:val="99"/>
    <w:semiHidden/>
    <w:unhideWhenUsed/>
    <w:rsid w:val="00347441"/>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paragraph" w:customStyle="1" w:styleId="Bullet">
    <w:name w:val="Bullet"/>
    <w:basedOn w:val="Normal"/>
    <w:qFormat/>
    <w:rsid w:val="00347441"/>
    <w:pPr>
      <w:numPr>
        <w:numId w:val="9"/>
      </w:numPr>
      <w:spacing w:before="90" w:after="0" w:line="264" w:lineRule="auto"/>
    </w:pPr>
    <w:rPr>
      <w:rFonts w:ascii="Georgia" w:eastAsia="Times New Roman" w:hAnsi="Georgia" w:cs="Times New Roman"/>
      <w:szCs w:val="20"/>
      <w:lang w:val="en-NZ" w:eastAsia="en-GB"/>
    </w:rPr>
  </w:style>
  <w:style w:type="paragraph" w:customStyle="1" w:styleId="Dash">
    <w:name w:val="Dash"/>
    <w:basedOn w:val="Bullet"/>
    <w:qFormat/>
    <w:rsid w:val="00347441"/>
    <w:pPr>
      <w:numPr>
        <w:numId w:val="10"/>
      </w:numPr>
      <w:spacing w:before="60"/>
    </w:pPr>
  </w:style>
  <w:style w:type="paragraph" w:customStyle="1" w:styleId="Box">
    <w:name w:val="Box"/>
    <w:basedOn w:val="Normal"/>
    <w:qFormat/>
    <w:rsid w:val="00347441"/>
    <w:pPr>
      <w:pBdr>
        <w:top w:val="single" w:sz="4" w:space="12" w:color="auto"/>
        <w:left w:val="single" w:sz="4" w:space="12" w:color="auto"/>
        <w:bottom w:val="single" w:sz="4" w:space="12" w:color="auto"/>
        <w:right w:val="single" w:sz="4" w:space="12" w:color="auto"/>
      </w:pBdr>
      <w:spacing w:before="120" w:after="0" w:line="264" w:lineRule="auto"/>
      <w:ind w:left="284" w:right="284"/>
    </w:pPr>
    <w:rPr>
      <w:rFonts w:ascii="Georgia" w:eastAsia="Times New Roman" w:hAnsi="Georgia" w:cs="Times New Roman"/>
      <w:szCs w:val="20"/>
      <w:lang w:val="en-NZ" w:eastAsia="en-GB"/>
    </w:rPr>
  </w:style>
  <w:style w:type="paragraph" w:customStyle="1" w:styleId="References">
    <w:name w:val="References"/>
    <w:basedOn w:val="Normal"/>
    <w:qFormat/>
    <w:rsid w:val="007E2A5F"/>
    <w:pPr>
      <w:spacing w:after="180" w:line="264" w:lineRule="auto"/>
    </w:pPr>
    <w:rPr>
      <w:rFonts w:ascii="Georgia" w:eastAsia="Times New Roman" w:hAnsi="Georgia" w:cs="Times New Roman"/>
      <w:sz w:val="21"/>
      <w:szCs w:val="20"/>
      <w:lang w:val="en-NZ" w:eastAsia="en-GB"/>
    </w:rPr>
  </w:style>
  <w:style w:type="paragraph" w:styleId="Revision">
    <w:name w:val="Revision"/>
    <w:hidden/>
    <w:uiPriority w:val="99"/>
    <w:semiHidden/>
    <w:rsid w:val="00DF43FE"/>
    <w:pPr>
      <w:spacing w:after="0" w:line="240" w:lineRule="auto"/>
    </w:pPr>
    <w:rPr>
      <w:rFonts w:ascii="Arial" w:hAnsi="Arial" w:cs="Arial"/>
      <w:lang w:val="en-US"/>
    </w:rPr>
  </w:style>
  <w:style w:type="character" w:styleId="CommentReference">
    <w:name w:val="annotation reference"/>
    <w:basedOn w:val="DefaultParagraphFont"/>
    <w:uiPriority w:val="99"/>
    <w:semiHidden/>
    <w:unhideWhenUsed/>
    <w:rsid w:val="008003A1"/>
    <w:rPr>
      <w:sz w:val="16"/>
      <w:szCs w:val="16"/>
    </w:rPr>
  </w:style>
  <w:style w:type="paragraph" w:styleId="CommentText">
    <w:name w:val="annotation text"/>
    <w:basedOn w:val="Normal"/>
    <w:link w:val="CommentTextChar"/>
    <w:uiPriority w:val="99"/>
    <w:unhideWhenUsed/>
    <w:rsid w:val="008003A1"/>
    <w:pPr>
      <w:spacing w:line="240" w:lineRule="auto"/>
    </w:pPr>
    <w:rPr>
      <w:sz w:val="20"/>
      <w:szCs w:val="20"/>
    </w:rPr>
  </w:style>
  <w:style w:type="character" w:customStyle="1" w:styleId="CommentTextChar">
    <w:name w:val="Comment Text Char"/>
    <w:basedOn w:val="DefaultParagraphFont"/>
    <w:link w:val="CommentText"/>
    <w:uiPriority w:val="99"/>
    <w:rsid w:val="008003A1"/>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8003A1"/>
    <w:rPr>
      <w:b/>
      <w:bCs/>
    </w:rPr>
  </w:style>
  <w:style w:type="character" w:customStyle="1" w:styleId="CommentSubjectChar">
    <w:name w:val="Comment Subject Char"/>
    <w:basedOn w:val="CommentTextChar"/>
    <w:link w:val="CommentSubject"/>
    <w:uiPriority w:val="99"/>
    <w:semiHidden/>
    <w:rsid w:val="008003A1"/>
    <w:rPr>
      <w:rFonts w:ascii="Arial" w:hAnsi="Arial" w:cs="Arial"/>
      <w:b/>
      <w:bCs/>
      <w:sz w:val="20"/>
      <w:szCs w:val="20"/>
      <w:lang w:val="en-US"/>
    </w:rPr>
  </w:style>
  <w:style w:type="character" w:styleId="UnresolvedMention">
    <w:name w:val="Unresolved Mention"/>
    <w:basedOn w:val="DefaultParagraphFont"/>
    <w:uiPriority w:val="99"/>
    <w:semiHidden/>
    <w:unhideWhenUsed/>
    <w:rsid w:val="008668CF"/>
    <w:rPr>
      <w:color w:val="605E5C"/>
      <w:shd w:val="clear" w:color="auto" w:fill="E1DFDD"/>
    </w:rPr>
  </w:style>
  <w:style w:type="paragraph" w:styleId="FootnoteText">
    <w:name w:val="footnote text"/>
    <w:basedOn w:val="Normal"/>
    <w:link w:val="FootnoteTextChar"/>
    <w:uiPriority w:val="99"/>
    <w:semiHidden/>
    <w:unhideWhenUsed/>
    <w:rsid w:val="004406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6D1"/>
    <w:rPr>
      <w:rFonts w:ascii="Arial" w:hAnsi="Arial" w:cs="Arial"/>
      <w:sz w:val="20"/>
      <w:szCs w:val="20"/>
      <w:lang w:val="en-US"/>
    </w:rPr>
  </w:style>
  <w:style w:type="character" w:styleId="FootnoteReference">
    <w:name w:val="footnote reference"/>
    <w:basedOn w:val="DefaultParagraphFont"/>
    <w:uiPriority w:val="99"/>
    <w:semiHidden/>
    <w:unhideWhenUsed/>
    <w:rsid w:val="004406D1"/>
    <w:rPr>
      <w:vertAlign w:val="superscript"/>
    </w:rPr>
  </w:style>
  <w:style w:type="numbering" w:customStyle="1" w:styleId="ImportedStyle1">
    <w:name w:val="Imported Style 1"/>
    <w:rsid w:val="005534D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5282">
      <w:bodyDiv w:val="1"/>
      <w:marLeft w:val="0"/>
      <w:marRight w:val="0"/>
      <w:marTop w:val="0"/>
      <w:marBottom w:val="0"/>
      <w:divBdr>
        <w:top w:val="none" w:sz="0" w:space="0" w:color="auto"/>
        <w:left w:val="none" w:sz="0" w:space="0" w:color="auto"/>
        <w:bottom w:val="none" w:sz="0" w:space="0" w:color="auto"/>
        <w:right w:val="none" w:sz="0" w:space="0" w:color="auto"/>
      </w:divBdr>
    </w:div>
    <w:div w:id="232856662">
      <w:bodyDiv w:val="1"/>
      <w:marLeft w:val="0"/>
      <w:marRight w:val="0"/>
      <w:marTop w:val="0"/>
      <w:marBottom w:val="0"/>
      <w:divBdr>
        <w:top w:val="none" w:sz="0" w:space="0" w:color="auto"/>
        <w:left w:val="none" w:sz="0" w:space="0" w:color="auto"/>
        <w:bottom w:val="none" w:sz="0" w:space="0" w:color="auto"/>
        <w:right w:val="none" w:sz="0" w:space="0" w:color="auto"/>
      </w:divBdr>
    </w:div>
    <w:div w:id="482045677">
      <w:bodyDiv w:val="1"/>
      <w:marLeft w:val="0"/>
      <w:marRight w:val="0"/>
      <w:marTop w:val="0"/>
      <w:marBottom w:val="0"/>
      <w:divBdr>
        <w:top w:val="none" w:sz="0" w:space="0" w:color="auto"/>
        <w:left w:val="none" w:sz="0" w:space="0" w:color="auto"/>
        <w:bottom w:val="none" w:sz="0" w:space="0" w:color="auto"/>
        <w:right w:val="none" w:sz="0" w:space="0" w:color="auto"/>
      </w:divBdr>
    </w:div>
    <w:div w:id="681587313">
      <w:bodyDiv w:val="1"/>
      <w:marLeft w:val="0"/>
      <w:marRight w:val="0"/>
      <w:marTop w:val="0"/>
      <w:marBottom w:val="0"/>
      <w:divBdr>
        <w:top w:val="none" w:sz="0" w:space="0" w:color="auto"/>
        <w:left w:val="none" w:sz="0" w:space="0" w:color="auto"/>
        <w:bottom w:val="none" w:sz="0" w:space="0" w:color="auto"/>
        <w:right w:val="none" w:sz="0" w:space="0" w:color="auto"/>
      </w:divBdr>
    </w:div>
    <w:div w:id="800540902">
      <w:bodyDiv w:val="1"/>
      <w:marLeft w:val="0"/>
      <w:marRight w:val="0"/>
      <w:marTop w:val="0"/>
      <w:marBottom w:val="0"/>
      <w:divBdr>
        <w:top w:val="none" w:sz="0" w:space="0" w:color="auto"/>
        <w:left w:val="none" w:sz="0" w:space="0" w:color="auto"/>
        <w:bottom w:val="none" w:sz="0" w:space="0" w:color="auto"/>
        <w:right w:val="none" w:sz="0" w:space="0" w:color="auto"/>
      </w:divBdr>
    </w:div>
    <w:div w:id="803349174">
      <w:bodyDiv w:val="1"/>
      <w:marLeft w:val="0"/>
      <w:marRight w:val="0"/>
      <w:marTop w:val="0"/>
      <w:marBottom w:val="0"/>
      <w:divBdr>
        <w:top w:val="none" w:sz="0" w:space="0" w:color="auto"/>
        <w:left w:val="none" w:sz="0" w:space="0" w:color="auto"/>
        <w:bottom w:val="none" w:sz="0" w:space="0" w:color="auto"/>
        <w:right w:val="none" w:sz="0" w:space="0" w:color="auto"/>
      </w:divBdr>
    </w:div>
    <w:div w:id="858391745">
      <w:bodyDiv w:val="1"/>
      <w:marLeft w:val="0"/>
      <w:marRight w:val="0"/>
      <w:marTop w:val="0"/>
      <w:marBottom w:val="0"/>
      <w:divBdr>
        <w:top w:val="none" w:sz="0" w:space="0" w:color="auto"/>
        <w:left w:val="none" w:sz="0" w:space="0" w:color="auto"/>
        <w:bottom w:val="none" w:sz="0" w:space="0" w:color="auto"/>
        <w:right w:val="none" w:sz="0" w:space="0" w:color="auto"/>
      </w:divBdr>
    </w:div>
    <w:div w:id="892427700">
      <w:bodyDiv w:val="1"/>
      <w:marLeft w:val="0"/>
      <w:marRight w:val="0"/>
      <w:marTop w:val="0"/>
      <w:marBottom w:val="0"/>
      <w:divBdr>
        <w:top w:val="none" w:sz="0" w:space="0" w:color="auto"/>
        <w:left w:val="none" w:sz="0" w:space="0" w:color="auto"/>
        <w:bottom w:val="none" w:sz="0" w:space="0" w:color="auto"/>
        <w:right w:val="none" w:sz="0" w:space="0" w:color="auto"/>
      </w:divBdr>
    </w:div>
    <w:div w:id="979379067">
      <w:bodyDiv w:val="1"/>
      <w:marLeft w:val="0"/>
      <w:marRight w:val="0"/>
      <w:marTop w:val="0"/>
      <w:marBottom w:val="0"/>
      <w:divBdr>
        <w:top w:val="none" w:sz="0" w:space="0" w:color="auto"/>
        <w:left w:val="none" w:sz="0" w:space="0" w:color="auto"/>
        <w:bottom w:val="none" w:sz="0" w:space="0" w:color="auto"/>
        <w:right w:val="none" w:sz="0" w:space="0" w:color="auto"/>
      </w:divBdr>
    </w:div>
    <w:div w:id="1184587664">
      <w:bodyDiv w:val="1"/>
      <w:marLeft w:val="0"/>
      <w:marRight w:val="0"/>
      <w:marTop w:val="0"/>
      <w:marBottom w:val="0"/>
      <w:divBdr>
        <w:top w:val="none" w:sz="0" w:space="0" w:color="auto"/>
        <w:left w:val="none" w:sz="0" w:space="0" w:color="auto"/>
        <w:bottom w:val="none" w:sz="0" w:space="0" w:color="auto"/>
        <w:right w:val="none" w:sz="0" w:space="0" w:color="auto"/>
      </w:divBdr>
    </w:div>
    <w:div w:id="1740787567">
      <w:bodyDiv w:val="1"/>
      <w:marLeft w:val="0"/>
      <w:marRight w:val="0"/>
      <w:marTop w:val="0"/>
      <w:marBottom w:val="0"/>
      <w:divBdr>
        <w:top w:val="none" w:sz="0" w:space="0" w:color="auto"/>
        <w:left w:val="none" w:sz="0" w:space="0" w:color="auto"/>
        <w:bottom w:val="none" w:sz="0" w:space="0" w:color="auto"/>
        <w:right w:val="none" w:sz="0" w:space="0" w:color="auto"/>
      </w:divBdr>
    </w:div>
    <w:div w:id="1956519046">
      <w:bodyDiv w:val="1"/>
      <w:marLeft w:val="0"/>
      <w:marRight w:val="0"/>
      <w:marTop w:val="0"/>
      <w:marBottom w:val="0"/>
      <w:divBdr>
        <w:top w:val="none" w:sz="0" w:space="0" w:color="auto"/>
        <w:left w:val="none" w:sz="0" w:space="0" w:color="auto"/>
        <w:bottom w:val="none" w:sz="0" w:space="0" w:color="auto"/>
        <w:right w:val="none" w:sz="0" w:space="0" w:color="auto"/>
      </w:divBdr>
    </w:div>
    <w:div w:id="1989092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athdocs.services.govt.nz" TargetMode="External"/><Relationship Id="rId18" Type="http://schemas.openxmlformats.org/officeDocument/2006/relationships/hyperlink" Target="file:///C:\Users\cfowler\AppData\Local\Microsoft\Windows\INetCache\Content.Outlook\YUCDBZIM\Information%20for%20doctors%20and%20nurse%20practitioners%20on%20when%20and%20how%20to%20report%20a%20death%20to%20the%20coroner%20is%20available%20at:" TargetMode="External"/><Relationship Id="rId26" Type="http://schemas.openxmlformats.org/officeDocument/2006/relationships/hyperlink" Target="https://www.donatelife.gov.au/sites/default/files/2022-01/anzics-statement-on-death-and-organ-donation-4.1.pdf" TargetMode="External"/><Relationship Id="rId39" Type="http://schemas.openxmlformats.org/officeDocument/2006/relationships/theme" Target="theme/theme1.xml"/><Relationship Id="rId21" Type="http://schemas.openxmlformats.org/officeDocument/2006/relationships/hyperlink" Target="https://www.legislation.govt.nz/act/public/2021/0057/latest/whole.html" TargetMode="External"/><Relationship Id="rId34" Type="http://schemas.openxmlformats.org/officeDocument/2006/relationships/hyperlink" Target="https://www.donatelife.gov.au/" TargetMode="External"/><Relationship Id="rId7" Type="http://schemas.openxmlformats.org/officeDocument/2006/relationships/endnotes" Target="endnotes.xml"/><Relationship Id="rId12" Type="http://schemas.openxmlformats.org/officeDocument/2006/relationships/hyperlink" Target="http://deathdocs.services.govt.nz/welcome" TargetMode="External"/><Relationship Id="rId17" Type="http://schemas.openxmlformats.org/officeDocument/2006/relationships/hyperlink" Target="https://deathdocs.services.govt.nz" TargetMode="External"/><Relationship Id="rId25" Type="http://schemas.openxmlformats.org/officeDocument/2006/relationships/hyperlink" Target="https://www.nursingcouncil.org.nz/Public/NCNZ/nursing-section/Enrolled_nurse.aspx?hkey=963854c0-246c-4bb1-800c-920a19b022dc" TargetMode="External"/><Relationship Id="rId33" Type="http://schemas.openxmlformats.org/officeDocument/2006/relationships/hyperlink" Target="https://donor.co.nz/"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athdocs.services.govt.nz/welcome" TargetMode="External"/><Relationship Id="rId20" Type="http://schemas.openxmlformats.org/officeDocument/2006/relationships/hyperlink" Target="https://coronialservices.justice.govt.nz/coronial-services/" TargetMode="External"/><Relationship Id="rId29" Type="http://schemas.openxmlformats.org/officeDocument/2006/relationships/hyperlink" Target="https://coronialservices.justice.govt.nz/coronial-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io@justice.govt.nz" TargetMode="External"/><Relationship Id="rId24" Type="http://schemas.openxmlformats.org/officeDocument/2006/relationships/hyperlink" Target="https://www.legislation.govt.nz/act/public/2003/0048/latest/DLM203312.html" TargetMode="External"/><Relationship Id="rId32" Type="http://schemas.openxmlformats.org/officeDocument/2006/relationships/hyperlink" Target="https://www.tewhatuora.govt.nz/health-services-and-programmes/burial-and-cremation-act-1964/"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lation.govt.nz/act/public/2006/0038/latest/link.aspx?id=DLM294857" TargetMode="External"/><Relationship Id="rId23" Type="http://schemas.openxmlformats.org/officeDocument/2006/relationships/hyperlink" Target="https://www.legislation.govt.nz/act/public/2006/0038/latest/whole.html" TargetMode="External"/><Relationship Id="rId28" Type="http://schemas.openxmlformats.org/officeDocument/2006/relationships/hyperlink" Target="https://communitylaw.org.nz/community-law-manual/chapter-16-a-death-in-the-family/overview-3/"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coronialservices.justice.govt.nz/information-for-doctors-and-nurse-practitioners/" TargetMode="External"/><Relationship Id="rId31" Type="http://schemas.openxmlformats.org/officeDocument/2006/relationships/hyperlink" Target="https://endoflife.services.govt.nz/welcom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ewhatuora.govt.nz/health-services-and-programmes/burial-and-cremation-act-1964/completing-death-documents/" TargetMode="External"/><Relationship Id="rId22" Type="http://schemas.openxmlformats.org/officeDocument/2006/relationships/hyperlink" Target="https://www.legislation.govt.nz/act/public/1964/0075/latest/whole.html" TargetMode="External"/><Relationship Id="rId27" Type="http://schemas.openxmlformats.org/officeDocument/2006/relationships/hyperlink" Target="https://www.govt.nz/organisations/births-deaths-and-marriages/" TargetMode="External"/><Relationship Id="rId30" Type="http://schemas.openxmlformats.org/officeDocument/2006/relationships/hyperlink" Target="https://deathdocs.services.govt.nz/welcome" TargetMode="External"/><Relationship Id="rId35" Type="http://schemas.openxmlformats.org/officeDocument/2006/relationships/hyperlink" Target="https://www.anzics.org/" TargetMode="External"/><Relationship Id="rId8" Type="http://schemas.openxmlformats.org/officeDocument/2006/relationships/image" Target="media/image1.jp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communitylaw.org.nz/community-law-manual/chapter-16-a-death-in-the-family/a-death-in-the-family/" TargetMode="External"/><Relationship Id="rId1" Type="http://schemas.openxmlformats.org/officeDocument/2006/relationships/hyperlink" Target="https://www.hdc.org.nz/your-rights/about-the-code/code-of-health-and-disability-services-consumers-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4410</Words>
  <Characters>25139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29491</CharactersWithSpaces>
  <SharedDoc>false</SharedDoc>
  <HLinks>
    <vt:vector size="30" baseType="variant">
      <vt:variant>
        <vt:i4>1769520</vt:i4>
      </vt:variant>
      <vt:variant>
        <vt:i4>26</vt:i4>
      </vt:variant>
      <vt:variant>
        <vt:i4>0</vt:i4>
      </vt:variant>
      <vt:variant>
        <vt:i4>5</vt:i4>
      </vt:variant>
      <vt:variant>
        <vt:lpwstr/>
      </vt:variant>
      <vt:variant>
        <vt:lpwstr>_Toc152243788</vt:lpwstr>
      </vt:variant>
      <vt:variant>
        <vt:i4>1769520</vt:i4>
      </vt:variant>
      <vt:variant>
        <vt:i4>20</vt:i4>
      </vt:variant>
      <vt:variant>
        <vt:i4>0</vt:i4>
      </vt:variant>
      <vt:variant>
        <vt:i4>5</vt:i4>
      </vt:variant>
      <vt:variant>
        <vt:lpwstr/>
      </vt:variant>
      <vt:variant>
        <vt:lpwstr>_Toc152243787</vt:lpwstr>
      </vt:variant>
      <vt:variant>
        <vt:i4>1769520</vt:i4>
      </vt:variant>
      <vt:variant>
        <vt:i4>14</vt:i4>
      </vt:variant>
      <vt:variant>
        <vt:i4>0</vt:i4>
      </vt:variant>
      <vt:variant>
        <vt:i4>5</vt:i4>
      </vt:variant>
      <vt:variant>
        <vt:lpwstr/>
      </vt:variant>
      <vt:variant>
        <vt:lpwstr>_Toc152243786</vt:lpwstr>
      </vt:variant>
      <vt:variant>
        <vt:i4>1769520</vt:i4>
      </vt:variant>
      <vt:variant>
        <vt:i4>8</vt:i4>
      </vt:variant>
      <vt:variant>
        <vt:i4>0</vt:i4>
      </vt:variant>
      <vt:variant>
        <vt:i4>5</vt:i4>
      </vt:variant>
      <vt:variant>
        <vt:lpwstr/>
      </vt:variant>
      <vt:variant>
        <vt:lpwstr>_Toc152243785</vt:lpwstr>
      </vt:variant>
      <vt:variant>
        <vt:i4>1769520</vt:i4>
      </vt:variant>
      <vt:variant>
        <vt:i4>2</vt:i4>
      </vt:variant>
      <vt:variant>
        <vt:i4>0</vt:i4>
      </vt:variant>
      <vt:variant>
        <vt:i4>5</vt:i4>
      </vt:variant>
      <vt:variant>
        <vt:lpwstr/>
      </vt:variant>
      <vt:variant>
        <vt:lpwstr>_Toc152243784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2024-09-18T03:55:00Z</dcterms:created>
  <dcterms:modified xsi:type="dcterms:W3CDTF">2024-09-18T03:57:00Z</dcterms:modified>
</cp:coreProperties>
</file>