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8F4364" w:rsidP="00D54D50">
      <w:pPr>
        <w:pStyle w:val="Title"/>
      </w:pPr>
      <w:bookmarkStart w:id="0" w:name="_GoBack"/>
      <w:bookmarkEnd w:id="0"/>
      <w:r>
        <w:t>Increasing VIP Programmes</w:t>
      </w:r>
      <w:r w:rsidR="00E73F21">
        <w:t>’</w:t>
      </w:r>
      <w:r>
        <w:t xml:space="preserve"> Responsiveness</w:t>
      </w:r>
      <w:r w:rsidR="00873406">
        <w:br/>
      </w:r>
      <w:r>
        <w:t>to Māori:</w:t>
      </w:r>
    </w:p>
    <w:p w:rsidR="00343365" w:rsidRDefault="00873406" w:rsidP="00343365">
      <w:pPr>
        <w:pStyle w:val="Year"/>
      </w:pPr>
      <w:proofErr w:type="gramStart"/>
      <w:r>
        <w:t>a</w:t>
      </w:r>
      <w:proofErr w:type="gramEnd"/>
      <w:r w:rsidR="008F4364">
        <w:t xml:space="preserve"> </w:t>
      </w:r>
      <w:proofErr w:type="spellStart"/>
      <w:r w:rsidR="008F4364">
        <w:t>whānau</w:t>
      </w:r>
      <w:proofErr w:type="spellEnd"/>
      <w:r w:rsidR="008F4364">
        <w:t>-centred approach</w:t>
      </w:r>
      <w:r>
        <w:br/>
      </w:r>
      <w:r w:rsidR="008F4364">
        <w:t>for the VIP programme</w:t>
      </w:r>
    </w:p>
    <w:p w:rsidR="00C86248" w:rsidRDefault="008F4364" w:rsidP="00343365">
      <w:pPr>
        <w:pStyle w:val="Subhead"/>
      </w:pPr>
      <w:r>
        <w:t>User Guide</w:t>
      </w:r>
    </w:p>
    <w:p w:rsidR="00142954" w:rsidRPr="00142954" w:rsidRDefault="00142954" w:rsidP="00142954">
      <w:pPr>
        <w:sectPr w:rsidR="00142954" w:rsidRPr="00142954" w:rsidSect="00873406">
          <w:headerReference w:type="even" r:id="rId9"/>
          <w:headerReference w:type="default" r:id="rId10"/>
          <w:footerReference w:type="even" r:id="rId11"/>
          <w:footerReference w:type="default" r:id="rId12"/>
          <w:headerReference w:type="first" r:id="rId13"/>
          <w:footerReference w:type="first" r:id="rId14"/>
          <w:pgSz w:w="11907" w:h="16834" w:code="9"/>
          <w:pgMar w:top="3969" w:right="851" w:bottom="851" w:left="2268" w:header="851" w:footer="851" w:gutter="0"/>
          <w:cols w:space="720"/>
        </w:sectPr>
      </w:pPr>
    </w:p>
    <w:p w:rsidR="00A80363" w:rsidRPr="008F4364" w:rsidRDefault="008F4364">
      <w:pPr>
        <w:pStyle w:val="Imprint"/>
      </w:pPr>
      <w:r>
        <w:lastRenderedPageBreak/>
        <w:t>C</w:t>
      </w:r>
      <w:r w:rsidR="00A80363">
        <w:t xml:space="preserve">itation: </w:t>
      </w:r>
      <w:r>
        <w:t xml:space="preserve">Jigsaw and Ministry of Health. 2014. </w:t>
      </w:r>
      <w:r>
        <w:rPr>
          <w:i/>
        </w:rPr>
        <w:t>Increasing VIP Programmes</w:t>
      </w:r>
      <w:r w:rsidR="00E73F21">
        <w:rPr>
          <w:i/>
        </w:rPr>
        <w:t>’</w:t>
      </w:r>
      <w:r>
        <w:rPr>
          <w:i/>
        </w:rPr>
        <w:t xml:space="preserve"> Responsiven</w:t>
      </w:r>
      <w:r w:rsidR="002671AE">
        <w:rPr>
          <w:i/>
        </w:rPr>
        <w:t>e</w:t>
      </w:r>
      <w:r>
        <w:rPr>
          <w:i/>
        </w:rPr>
        <w:t xml:space="preserve">ss to Māori: </w:t>
      </w:r>
      <w:r w:rsidR="002671AE">
        <w:rPr>
          <w:i/>
        </w:rPr>
        <w:t>a</w:t>
      </w:r>
      <w:r>
        <w:rPr>
          <w:i/>
        </w:rPr>
        <w:t xml:space="preserve"> </w:t>
      </w:r>
      <w:proofErr w:type="spellStart"/>
      <w:r>
        <w:rPr>
          <w:i/>
        </w:rPr>
        <w:t>whānau</w:t>
      </w:r>
      <w:proofErr w:type="spellEnd"/>
      <w:r>
        <w:rPr>
          <w:i/>
        </w:rPr>
        <w:t>-centred approach for the VIP programme – User Guide</w:t>
      </w:r>
      <w:r>
        <w:t>.</w:t>
      </w:r>
      <w:r w:rsidR="009864C8">
        <w:br/>
        <w:t>W</w:t>
      </w:r>
      <w:r>
        <w:t>ellington: Ministry of Health.</w:t>
      </w:r>
    </w:p>
    <w:p w:rsidR="00C86248" w:rsidRDefault="00C86248">
      <w:pPr>
        <w:pStyle w:val="Imprint"/>
      </w:pPr>
      <w:r>
        <w:t xml:space="preserve">Published in </w:t>
      </w:r>
      <w:r w:rsidR="008F4364">
        <w:t xml:space="preserve">July 2014 </w:t>
      </w:r>
      <w:r>
        <w:t>by the</w:t>
      </w:r>
      <w:r w:rsidR="008F4364">
        <w:t xml:space="preserve"> </w:t>
      </w:r>
      <w:r>
        <w:t>Ministry of Health</w:t>
      </w:r>
      <w:r>
        <w:br/>
        <w:t>PO Box 5013, Wellington</w:t>
      </w:r>
      <w:r w:rsidR="00A80363">
        <w:t xml:space="preserve"> 6145</w:t>
      </w:r>
      <w:r>
        <w:t>, New Zealand</w:t>
      </w:r>
    </w:p>
    <w:p w:rsidR="00082CD6" w:rsidRPr="009C0F2D" w:rsidRDefault="00D863D0" w:rsidP="00082CD6">
      <w:pPr>
        <w:pStyle w:val="Imprint"/>
      </w:pPr>
      <w:r>
        <w:t xml:space="preserve">ISBN </w:t>
      </w:r>
      <w:r w:rsidR="008F4364">
        <w:t xml:space="preserve">978-0-478-40215-5 </w:t>
      </w:r>
      <w:r>
        <w:t>(</w:t>
      </w:r>
      <w:r w:rsidR="00082CD6">
        <w:t>online</w:t>
      </w:r>
      <w:proofErr w:type="gramStart"/>
      <w:r w:rsidR="00082CD6">
        <w:t>)</w:t>
      </w:r>
      <w:proofErr w:type="gramEnd"/>
      <w:r w:rsidR="00082CD6" w:rsidRPr="009C0F2D">
        <w:br/>
        <w:t xml:space="preserve">HP </w:t>
      </w:r>
      <w:r w:rsidR="008F4364">
        <w:t>5588</w:t>
      </w:r>
    </w:p>
    <w:p w:rsidR="00C86248" w:rsidRDefault="00C86248">
      <w:pPr>
        <w:pStyle w:val="Imprint"/>
      </w:pPr>
      <w:r>
        <w:t xml:space="preserve">This document is available </w:t>
      </w:r>
      <w:r w:rsidR="008F4364">
        <w:t>on the Ministry of Health website</w:t>
      </w:r>
      <w:r w:rsidR="008F4364">
        <w:br/>
      </w:r>
      <w:r w:rsidR="0071741C">
        <w:t>w</w:t>
      </w:r>
      <w:r>
        <w:t>ww.h</w:t>
      </w:r>
      <w:r w:rsidR="00A80363">
        <w:t>ealth</w:t>
      </w:r>
      <w:r>
        <w:t>.govt.nz</w:t>
      </w:r>
      <w:r w:rsidR="008F4364">
        <w:t>/familyviolence</w:t>
      </w:r>
    </w:p>
    <w:p w:rsidR="00C86248" w:rsidRPr="00B701D1" w:rsidRDefault="00C86248">
      <w:pPr>
        <w:jc w:val="center"/>
      </w:pPr>
    </w:p>
    <w:p w:rsidR="00C86248" w:rsidRDefault="00C86248">
      <w:pPr>
        <w:jc w:val="center"/>
        <w:sectPr w:rsidR="00C86248" w:rsidSect="002671AE">
          <w:footerReference w:type="even" r:id="rId15"/>
          <w:footerReference w:type="default" r:id="rId16"/>
          <w:pgSz w:w="11907" w:h="16834" w:code="9"/>
          <w:pgMar w:top="3402" w:right="1418" w:bottom="1134" w:left="1418" w:header="0" w:footer="0" w:gutter="0"/>
          <w:cols w:space="720"/>
        </w:sectPr>
      </w:pPr>
    </w:p>
    <w:bookmarkStart w:id="1" w:name="_Toc405792991"/>
    <w:bookmarkStart w:id="2" w:name="_Toc405793224"/>
    <w:p w:rsidR="00C86248" w:rsidRDefault="009864C8">
      <w:pPr>
        <w:pStyle w:val="IntroHead"/>
      </w:pPr>
      <w:r>
        <w:rPr>
          <w:noProof/>
          <w:lang w:eastAsia="en-NZ"/>
        </w:rPr>
        <w:lastRenderedPageBreak/>
        <mc:AlternateContent>
          <mc:Choice Requires="wps">
            <w:drawing>
              <wp:anchor distT="0" distB="0" distL="114300" distR="114300" simplePos="0" relativeHeight="251658239" behindDoc="1" locked="0" layoutInCell="1" allowOverlap="1" wp14:anchorId="1B1355A2" wp14:editId="4FC8EF55">
                <wp:simplePos x="0" y="0"/>
                <wp:positionH relativeFrom="column">
                  <wp:posOffset>-143972</wp:posOffset>
                </wp:positionH>
                <wp:positionV relativeFrom="paragraph">
                  <wp:posOffset>-124748</wp:posOffset>
                </wp:positionV>
                <wp:extent cx="6793200" cy="621664"/>
                <wp:effectExtent l="0" t="0" r="27305" b="26670"/>
                <wp:wrapNone/>
                <wp:docPr id="6" name="Rounded Rectangle 6"/>
                <wp:cNvGraphicFramePr/>
                <a:graphic xmlns:a="http://schemas.openxmlformats.org/drawingml/2006/main">
                  <a:graphicData uri="http://schemas.microsoft.com/office/word/2010/wordprocessingShape">
                    <wps:wsp>
                      <wps:cNvSpPr/>
                      <wps:spPr>
                        <a:xfrm>
                          <a:off x="0" y="0"/>
                          <a:ext cx="6793200"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1.35pt;margin-top:-9.8pt;width:534.9pt;height:4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" fillcolor="#d8d8d8 [2732]" strokecolor="#d8d8d8 [2732]" strokeweight="2pt"/>
            </w:pict>
          </mc:Fallback>
        </mc:AlternateContent>
      </w:r>
      <w:r w:rsidR="00C86248">
        <w:t>Contents</w:t>
      </w:r>
      <w:bookmarkEnd w:id="1"/>
      <w:bookmarkEnd w:id="2"/>
    </w:p>
    <w:p w:rsidR="00AE0A40" w:rsidRDefault="003351FE">
      <w:pPr>
        <w:pStyle w:val="TOC1"/>
        <w:rPr>
          <w:rFonts w:asciiTheme="minorHAnsi" w:eastAsiaTheme="minorEastAsia" w:hAnsiTheme="minorHAnsi" w:cstheme="minorBidi"/>
          <w:b/>
          <w:noProof/>
          <w:sz w:val="22"/>
          <w:szCs w:val="22"/>
          <w:lang w:eastAsia="en-NZ"/>
        </w:rPr>
      </w:pPr>
      <w:r>
        <w:fldChar w:fldCharType="begin"/>
      </w:r>
      <w:r>
        <w:instrText xml:space="preserve"> TOC \o "1-1" </w:instrText>
      </w:r>
      <w:r>
        <w:fldChar w:fldCharType="separate"/>
      </w:r>
      <w:r w:rsidR="00AE0A40">
        <w:rPr>
          <w:noProof/>
        </w:rPr>
        <w:t>Introduction</w:t>
      </w:r>
      <w:r w:rsidR="00AE0A40">
        <w:rPr>
          <w:noProof/>
        </w:rPr>
        <w:tab/>
      </w:r>
      <w:r w:rsidR="00AE0A40">
        <w:rPr>
          <w:noProof/>
        </w:rPr>
        <w:fldChar w:fldCharType="begin"/>
      </w:r>
      <w:r w:rsidR="00AE0A40">
        <w:rPr>
          <w:noProof/>
        </w:rPr>
        <w:instrText xml:space="preserve"> PAGEREF _Toc394305713 \h </w:instrText>
      </w:r>
      <w:r w:rsidR="00AE0A40">
        <w:rPr>
          <w:noProof/>
        </w:rPr>
      </w:r>
      <w:r w:rsidR="00AE0A40">
        <w:rPr>
          <w:noProof/>
        </w:rPr>
        <w:fldChar w:fldCharType="separate"/>
      </w:r>
      <w:r w:rsidR="00A5769B">
        <w:rPr>
          <w:noProof/>
        </w:rPr>
        <w:t>4</w:t>
      </w:r>
      <w:r w:rsidR="00AE0A40">
        <w:rPr>
          <w:noProof/>
        </w:rPr>
        <w:fldChar w:fldCharType="end"/>
      </w:r>
    </w:p>
    <w:p w:rsidR="00AE0A40" w:rsidRDefault="00AE0A40">
      <w:pPr>
        <w:pStyle w:val="TOC1"/>
        <w:rPr>
          <w:rFonts w:asciiTheme="minorHAnsi" w:eastAsiaTheme="minorEastAsia" w:hAnsiTheme="minorHAnsi" w:cstheme="minorBidi"/>
          <w:b/>
          <w:noProof/>
          <w:sz w:val="22"/>
          <w:szCs w:val="22"/>
          <w:lang w:eastAsia="en-NZ"/>
        </w:rPr>
      </w:pPr>
      <w:r w:rsidRPr="007C601D">
        <w:rPr>
          <w:rFonts w:eastAsia="Candara"/>
          <w:noProof/>
        </w:rPr>
        <w:t>How Jigsaw can help VIP coordinators increase their responsiveness to Māori</w:t>
      </w:r>
      <w:r>
        <w:rPr>
          <w:noProof/>
        </w:rPr>
        <w:tab/>
      </w:r>
      <w:r>
        <w:rPr>
          <w:noProof/>
        </w:rPr>
        <w:fldChar w:fldCharType="begin"/>
      </w:r>
      <w:r>
        <w:rPr>
          <w:noProof/>
        </w:rPr>
        <w:instrText xml:space="preserve"> PAGEREF _Toc394305714 \h </w:instrText>
      </w:r>
      <w:r>
        <w:rPr>
          <w:noProof/>
        </w:rPr>
      </w:r>
      <w:r>
        <w:rPr>
          <w:noProof/>
        </w:rPr>
        <w:fldChar w:fldCharType="separate"/>
      </w:r>
      <w:r w:rsidR="00A5769B">
        <w:rPr>
          <w:noProof/>
        </w:rPr>
        <w:t>5</w:t>
      </w:r>
      <w:r>
        <w:rPr>
          <w:noProof/>
        </w:rPr>
        <w:fldChar w:fldCharType="end"/>
      </w:r>
    </w:p>
    <w:p w:rsidR="00AE0A40" w:rsidRDefault="00AE0A40">
      <w:pPr>
        <w:pStyle w:val="TOC1"/>
        <w:rPr>
          <w:rFonts w:asciiTheme="minorHAnsi" w:eastAsiaTheme="minorEastAsia" w:hAnsiTheme="minorHAnsi" w:cstheme="minorBidi"/>
          <w:b/>
          <w:noProof/>
          <w:sz w:val="22"/>
          <w:szCs w:val="22"/>
          <w:lang w:eastAsia="en-NZ"/>
        </w:rPr>
      </w:pPr>
      <w:r w:rsidRPr="007C601D">
        <w:rPr>
          <w:rFonts w:eastAsia="Candara"/>
          <w:noProof/>
        </w:rPr>
        <w:t>How to enhance health practitioner understanding of effective responsiveness for Māori</w:t>
      </w:r>
      <w:r>
        <w:rPr>
          <w:noProof/>
        </w:rPr>
        <w:tab/>
      </w:r>
      <w:r>
        <w:rPr>
          <w:noProof/>
        </w:rPr>
        <w:fldChar w:fldCharType="begin"/>
      </w:r>
      <w:r>
        <w:rPr>
          <w:noProof/>
        </w:rPr>
        <w:instrText xml:space="preserve"> PAGEREF _Toc394305715 \h </w:instrText>
      </w:r>
      <w:r>
        <w:rPr>
          <w:noProof/>
        </w:rPr>
      </w:r>
      <w:r>
        <w:rPr>
          <w:noProof/>
        </w:rPr>
        <w:fldChar w:fldCharType="separate"/>
      </w:r>
      <w:r w:rsidR="00A5769B">
        <w:rPr>
          <w:noProof/>
        </w:rPr>
        <w:t>6</w:t>
      </w:r>
      <w:r>
        <w:rPr>
          <w:noProof/>
        </w:rPr>
        <w:fldChar w:fldCharType="end"/>
      </w:r>
    </w:p>
    <w:p w:rsidR="00AE0A40" w:rsidRDefault="00AE0A40">
      <w:pPr>
        <w:pStyle w:val="TOC1"/>
        <w:rPr>
          <w:rFonts w:asciiTheme="minorHAnsi" w:eastAsiaTheme="minorEastAsia" w:hAnsiTheme="minorHAnsi" w:cstheme="minorBidi"/>
          <w:b/>
          <w:noProof/>
          <w:sz w:val="22"/>
          <w:szCs w:val="22"/>
          <w:lang w:eastAsia="en-NZ"/>
        </w:rPr>
      </w:pPr>
      <w:r w:rsidRPr="007C601D">
        <w:rPr>
          <w:rFonts w:eastAsia="Candara"/>
          <w:noProof/>
        </w:rPr>
        <w:t>How to spark ideas and focus discussions about whānau-centred practice at VIP team and service planning meetings</w:t>
      </w:r>
      <w:r>
        <w:rPr>
          <w:noProof/>
        </w:rPr>
        <w:tab/>
      </w:r>
      <w:r>
        <w:rPr>
          <w:noProof/>
        </w:rPr>
        <w:fldChar w:fldCharType="begin"/>
      </w:r>
      <w:r>
        <w:rPr>
          <w:noProof/>
        </w:rPr>
        <w:instrText xml:space="preserve"> PAGEREF _Toc394305716 \h </w:instrText>
      </w:r>
      <w:r>
        <w:rPr>
          <w:noProof/>
        </w:rPr>
      </w:r>
      <w:r>
        <w:rPr>
          <w:noProof/>
        </w:rPr>
        <w:fldChar w:fldCharType="separate"/>
      </w:r>
      <w:r w:rsidR="00A5769B">
        <w:rPr>
          <w:noProof/>
        </w:rPr>
        <w:t>7</w:t>
      </w:r>
      <w:r>
        <w:rPr>
          <w:noProof/>
        </w:rPr>
        <w:fldChar w:fldCharType="end"/>
      </w:r>
    </w:p>
    <w:p w:rsidR="00AE0A40" w:rsidRDefault="00AE0A40">
      <w:pPr>
        <w:pStyle w:val="TOC1"/>
        <w:rPr>
          <w:rFonts w:asciiTheme="minorHAnsi" w:eastAsiaTheme="minorEastAsia" w:hAnsiTheme="minorHAnsi" w:cstheme="minorBidi"/>
          <w:b/>
          <w:noProof/>
          <w:sz w:val="22"/>
          <w:szCs w:val="22"/>
          <w:lang w:eastAsia="en-NZ"/>
        </w:rPr>
      </w:pPr>
      <w:r w:rsidRPr="007C601D">
        <w:rPr>
          <w:rFonts w:eastAsia="Candara"/>
          <w:noProof/>
        </w:rPr>
        <w:t>Increasing VIP programmes’ responsiveness to Māori</w:t>
      </w:r>
      <w:r>
        <w:rPr>
          <w:noProof/>
        </w:rPr>
        <w:tab/>
      </w:r>
      <w:r>
        <w:rPr>
          <w:noProof/>
        </w:rPr>
        <w:fldChar w:fldCharType="begin"/>
      </w:r>
      <w:r>
        <w:rPr>
          <w:noProof/>
        </w:rPr>
        <w:instrText xml:space="preserve"> PAGEREF _Toc394305717 \h </w:instrText>
      </w:r>
      <w:r>
        <w:rPr>
          <w:noProof/>
        </w:rPr>
      </w:r>
      <w:r>
        <w:rPr>
          <w:noProof/>
        </w:rPr>
        <w:fldChar w:fldCharType="separate"/>
      </w:r>
      <w:r w:rsidR="00A5769B">
        <w:rPr>
          <w:noProof/>
        </w:rPr>
        <w:t>8</w:t>
      </w:r>
      <w:r>
        <w:rPr>
          <w:noProof/>
        </w:rPr>
        <w:fldChar w:fldCharType="end"/>
      </w:r>
    </w:p>
    <w:p w:rsidR="00AE0A40" w:rsidRDefault="00AE0A40">
      <w:pPr>
        <w:pStyle w:val="TOC1"/>
        <w:rPr>
          <w:rFonts w:asciiTheme="minorHAnsi" w:eastAsiaTheme="minorEastAsia" w:hAnsiTheme="minorHAnsi" w:cstheme="minorBidi"/>
          <w:b/>
          <w:noProof/>
          <w:sz w:val="22"/>
          <w:szCs w:val="22"/>
          <w:lang w:eastAsia="en-NZ"/>
        </w:rPr>
      </w:pPr>
      <w:r w:rsidRPr="007C601D">
        <w:rPr>
          <w:rFonts w:eastAsia="Candara"/>
          <w:noProof/>
        </w:rPr>
        <w:t>Increasing VIP programmes’ responsiveness to Māori – stories and case studies</w:t>
      </w:r>
      <w:r>
        <w:rPr>
          <w:noProof/>
        </w:rPr>
        <w:tab/>
      </w:r>
      <w:r>
        <w:rPr>
          <w:noProof/>
        </w:rPr>
        <w:fldChar w:fldCharType="begin"/>
      </w:r>
      <w:r>
        <w:rPr>
          <w:noProof/>
        </w:rPr>
        <w:instrText xml:space="preserve"> PAGEREF _Toc394305718 \h </w:instrText>
      </w:r>
      <w:r>
        <w:rPr>
          <w:noProof/>
        </w:rPr>
      </w:r>
      <w:r>
        <w:rPr>
          <w:noProof/>
        </w:rPr>
        <w:fldChar w:fldCharType="separate"/>
      </w:r>
      <w:r w:rsidR="00A5769B">
        <w:rPr>
          <w:noProof/>
        </w:rPr>
        <w:t>9</w:t>
      </w:r>
      <w:r>
        <w:rPr>
          <w:noProof/>
        </w:rPr>
        <w:fldChar w:fldCharType="end"/>
      </w:r>
    </w:p>
    <w:p w:rsidR="00AE0A40" w:rsidRDefault="00AE0A40">
      <w:pPr>
        <w:pStyle w:val="TOC1"/>
        <w:rPr>
          <w:rFonts w:asciiTheme="minorHAnsi" w:eastAsiaTheme="minorEastAsia" w:hAnsiTheme="minorHAnsi" w:cstheme="minorBidi"/>
          <w:b/>
          <w:noProof/>
          <w:sz w:val="22"/>
          <w:szCs w:val="22"/>
          <w:lang w:eastAsia="en-NZ"/>
        </w:rPr>
      </w:pPr>
      <w:r w:rsidRPr="007C601D">
        <w:rPr>
          <w:rFonts w:eastAsia="Candara"/>
          <w:noProof/>
        </w:rPr>
        <w:t>How to Increase VIP programmes’ responsiveness to Māori</w:t>
      </w:r>
      <w:r>
        <w:rPr>
          <w:noProof/>
        </w:rPr>
        <w:tab/>
      </w:r>
      <w:r>
        <w:rPr>
          <w:noProof/>
        </w:rPr>
        <w:fldChar w:fldCharType="begin"/>
      </w:r>
      <w:r>
        <w:rPr>
          <w:noProof/>
        </w:rPr>
        <w:instrText xml:space="preserve"> PAGEREF _Toc394305719 \h </w:instrText>
      </w:r>
      <w:r>
        <w:rPr>
          <w:noProof/>
        </w:rPr>
      </w:r>
      <w:r>
        <w:rPr>
          <w:noProof/>
        </w:rPr>
        <w:fldChar w:fldCharType="separate"/>
      </w:r>
      <w:r w:rsidR="00A5769B">
        <w:rPr>
          <w:noProof/>
        </w:rPr>
        <w:t>14</w:t>
      </w:r>
      <w:r>
        <w:rPr>
          <w:noProof/>
        </w:rPr>
        <w:fldChar w:fldCharType="end"/>
      </w:r>
    </w:p>
    <w:p w:rsidR="00C86248" w:rsidRDefault="003351FE">
      <w:r>
        <w:rPr>
          <w:sz w:val="28"/>
        </w:rPr>
        <w:fldChar w:fldCharType="end"/>
      </w:r>
    </w:p>
    <w:p w:rsidR="003A5FEA" w:rsidRDefault="003A5FEA" w:rsidP="003A5FEA"/>
    <w:p w:rsidR="00C86248" w:rsidRDefault="00C86248">
      <w:pPr>
        <w:sectPr w:rsidR="00C86248" w:rsidSect="00EB53A0">
          <w:headerReference w:type="even" r:id="rId17"/>
          <w:headerReference w:type="default" r:id="rId18"/>
          <w:footerReference w:type="even" r:id="rId19"/>
          <w:footerReference w:type="default" r:id="rId20"/>
          <w:pgSz w:w="11907" w:h="16840" w:code="9"/>
          <w:pgMar w:top="851" w:right="2552" w:bottom="1134" w:left="2552" w:header="284" w:footer="851" w:gutter="0"/>
          <w:cols w:space="720"/>
        </w:sectPr>
      </w:pPr>
    </w:p>
    <w:bookmarkStart w:id="3" w:name="_Toc394305713"/>
    <w:p w:rsidR="008C2973" w:rsidRDefault="00EB53A0" w:rsidP="0086388B">
      <w:pPr>
        <w:pStyle w:val="Heading1"/>
      </w:pPr>
      <w:r>
        <w:rPr>
          <w:noProof/>
          <w:lang w:eastAsia="en-NZ"/>
        </w:rPr>
        <w:lastRenderedPageBreak/>
        <mc:AlternateContent>
          <mc:Choice Requires="wps">
            <w:drawing>
              <wp:anchor distT="0" distB="0" distL="114300" distR="114300" simplePos="0" relativeHeight="251661312" behindDoc="1" locked="0" layoutInCell="1" allowOverlap="1" wp14:anchorId="6A9274A8" wp14:editId="0F9236A3">
                <wp:simplePos x="0" y="0"/>
                <wp:positionH relativeFrom="column">
                  <wp:posOffset>-1147503</wp:posOffset>
                </wp:positionH>
                <wp:positionV relativeFrom="paragraph">
                  <wp:posOffset>-160020</wp:posOffset>
                </wp:positionV>
                <wp:extent cx="6793200" cy="621664"/>
                <wp:effectExtent l="0" t="0" r="27305" b="26670"/>
                <wp:wrapNone/>
                <wp:docPr id="7" name="Rounded Rectangle 7"/>
                <wp:cNvGraphicFramePr/>
                <a:graphic xmlns:a="http://schemas.openxmlformats.org/drawingml/2006/main">
                  <a:graphicData uri="http://schemas.microsoft.com/office/word/2010/wordprocessingShape">
                    <wps:wsp>
                      <wps:cNvSpPr/>
                      <wps:spPr>
                        <a:xfrm>
                          <a:off x="0" y="0"/>
                          <a:ext cx="6793200"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90.35pt;margin-top:-12.6pt;width:534.9pt;height:4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" fillcolor="#d8d8d8 [2732]" strokecolor="#d8d8d8 [2732]" strokeweight="2pt"/>
            </w:pict>
          </mc:Fallback>
        </mc:AlternateContent>
      </w:r>
      <w:r w:rsidR="0086388B">
        <w:t>Introduction</w:t>
      </w:r>
      <w:bookmarkEnd w:id="3"/>
    </w:p>
    <w:p w:rsidR="008F4364" w:rsidRPr="004D669E" w:rsidRDefault="008F4364" w:rsidP="00EB53A0">
      <w:pPr>
        <w:pStyle w:val="Introparagraph"/>
      </w:pPr>
      <w:r w:rsidRPr="004D669E">
        <w:t xml:space="preserve">This user guide is intended for Violence Intervention (VIP) Programme coordinators and managers. It suggests ways of </w:t>
      </w:r>
      <w:r w:rsidRPr="00EB53A0">
        <w:rPr>
          <w:rStyle w:val="Hyperlink"/>
        </w:rPr>
        <w:t>Increasing VIP Programmes</w:t>
      </w:r>
      <w:r w:rsidR="00E73F21">
        <w:rPr>
          <w:rStyle w:val="Hyperlink"/>
        </w:rPr>
        <w:t>’</w:t>
      </w:r>
      <w:r w:rsidRPr="00EB53A0">
        <w:rPr>
          <w:rStyle w:val="Hyperlink"/>
        </w:rPr>
        <w:t xml:space="preserve"> Responsiveness to Māori</w:t>
      </w:r>
      <w:r w:rsidRPr="004D669E">
        <w:rPr>
          <w:color w:val="735C30"/>
        </w:rPr>
        <w:t xml:space="preserve"> </w:t>
      </w:r>
      <w:r w:rsidRPr="004D669E">
        <w:t>to enhance VIP workforce understanding, and spark ideas and focus discussions</w:t>
      </w:r>
      <w:r>
        <w:t xml:space="preserve"> </w:t>
      </w:r>
      <w:r w:rsidRPr="004D669E">
        <w:t>during VIP meetings, service planning and training sessions.</w:t>
      </w:r>
    </w:p>
    <w:p w:rsidR="008F4364" w:rsidRPr="004D669E" w:rsidRDefault="008F4364" w:rsidP="008F4364">
      <w:pPr>
        <w:pStyle w:val="Bullet"/>
        <w:rPr>
          <w:rFonts w:eastAsia="Candara"/>
        </w:rPr>
      </w:pPr>
      <w:r w:rsidRPr="00EB53A0">
        <w:rPr>
          <w:rStyle w:val="Hyperlink"/>
          <w:rFonts w:eastAsia="Candara"/>
        </w:rPr>
        <w:t>Increasing VIP Programmes</w:t>
      </w:r>
      <w:r w:rsidR="00E73F21">
        <w:rPr>
          <w:rStyle w:val="Hyperlink"/>
          <w:rFonts w:eastAsia="Candara"/>
        </w:rPr>
        <w:t>’</w:t>
      </w:r>
      <w:r w:rsidRPr="00EB53A0">
        <w:rPr>
          <w:rStyle w:val="Hyperlink"/>
          <w:rFonts w:eastAsia="Candara"/>
        </w:rPr>
        <w:t xml:space="preserve"> Responsiveness to Māori</w:t>
      </w:r>
      <w:r w:rsidRPr="004D669E">
        <w:rPr>
          <w:rFonts w:eastAsia="Candara"/>
          <w:color w:val="735C30"/>
        </w:rPr>
        <w:t xml:space="preserve"> </w:t>
      </w:r>
      <w:r w:rsidRPr="004D669E">
        <w:rPr>
          <w:rFonts w:eastAsia="Candara"/>
          <w:color w:val="000000"/>
        </w:rPr>
        <w:t>can</w:t>
      </w:r>
      <w:r>
        <w:rPr>
          <w:rFonts w:eastAsia="Candara"/>
          <w:color w:val="000000"/>
        </w:rPr>
        <w:t xml:space="preserve"> </w:t>
      </w:r>
      <w:r w:rsidRPr="004D669E">
        <w:rPr>
          <w:rFonts w:eastAsia="Candara"/>
        </w:rPr>
        <w:t>be viewed online or printed and shared with others involved</w:t>
      </w:r>
      <w:r>
        <w:rPr>
          <w:rFonts w:eastAsia="Candara"/>
        </w:rPr>
        <w:t xml:space="preserve"> </w:t>
      </w:r>
      <w:r w:rsidRPr="004D669E">
        <w:rPr>
          <w:rFonts w:eastAsia="Candara"/>
        </w:rPr>
        <w:t>in VIP programme development, implementation and</w:t>
      </w:r>
      <w:r>
        <w:rPr>
          <w:rFonts w:eastAsia="Candara"/>
        </w:rPr>
        <w:t xml:space="preserve"> </w:t>
      </w:r>
      <w:r w:rsidRPr="004D669E">
        <w:rPr>
          <w:rFonts w:eastAsia="Candara"/>
        </w:rPr>
        <w:t>evaluation</w:t>
      </w:r>
      <w:r>
        <w:rPr>
          <w:rFonts w:eastAsia="Candara"/>
        </w:rPr>
        <w:t>.</w:t>
      </w:r>
    </w:p>
    <w:p w:rsidR="008F4364" w:rsidRPr="004D669E" w:rsidRDefault="008F4364" w:rsidP="008F4364">
      <w:pPr>
        <w:pStyle w:val="Bullet"/>
        <w:rPr>
          <w:rFonts w:eastAsia="Candara"/>
        </w:rPr>
      </w:pPr>
      <w:r w:rsidRPr="00E73F21">
        <w:rPr>
          <w:rStyle w:val="Hyperlink"/>
          <w:rFonts w:eastAsia="Candara"/>
        </w:rPr>
        <w:t>Individual stories/case studies</w:t>
      </w:r>
      <w:r w:rsidRPr="004D669E">
        <w:rPr>
          <w:rFonts w:eastAsia="Candara"/>
          <w:color w:val="735C30"/>
        </w:rPr>
        <w:t xml:space="preserve"> </w:t>
      </w:r>
      <w:r w:rsidRPr="004D669E">
        <w:rPr>
          <w:rFonts w:eastAsia="Candara"/>
          <w:color w:val="000000"/>
        </w:rPr>
        <w:t>from the resource can also be printed for use in VIP training sessions</w:t>
      </w:r>
      <w:r>
        <w:rPr>
          <w:rFonts w:eastAsia="Candara"/>
          <w:color w:val="000000"/>
        </w:rPr>
        <w:t>.</w:t>
      </w:r>
    </w:p>
    <w:p w:rsidR="008F4364" w:rsidRPr="004D669E" w:rsidRDefault="008F4364" w:rsidP="008F4364">
      <w:pPr>
        <w:pStyle w:val="Bullet"/>
        <w:rPr>
          <w:rFonts w:eastAsia="Candara"/>
        </w:rPr>
      </w:pPr>
      <w:r w:rsidRPr="00E73F21">
        <w:rPr>
          <w:rStyle w:val="Hyperlink"/>
          <w:rFonts w:eastAsia="Candara"/>
        </w:rPr>
        <w:t>Increasing VIP Programmes</w:t>
      </w:r>
      <w:r w:rsidR="00E73F21">
        <w:rPr>
          <w:rStyle w:val="Hyperlink"/>
          <w:rFonts w:eastAsia="Candara"/>
        </w:rPr>
        <w:t>’</w:t>
      </w:r>
      <w:r w:rsidRPr="00E73F21">
        <w:rPr>
          <w:rStyle w:val="Hyperlink"/>
          <w:rFonts w:eastAsia="Candara"/>
        </w:rPr>
        <w:t xml:space="preserve"> Responsiveness to Māori</w:t>
      </w:r>
      <w:r w:rsidRPr="004D669E">
        <w:rPr>
          <w:rFonts w:eastAsia="Candara"/>
          <w:color w:val="735C30"/>
        </w:rPr>
        <w:t xml:space="preserve"> </w:t>
      </w:r>
      <w:r w:rsidRPr="004D669E">
        <w:rPr>
          <w:rFonts w:eastAsia="Candara"/>
        </w:rPr>
        <w:t>and this user guide can be downloaded from the Ministry of Health</w:t>
      </w:r>
      <w:hyperlink r:id="rId21">
        <w:r w:rsidRPr="004D669E">
          <w:rPr>
            <w:rFonts w:eastAsia="Candara"/>
          </w:rPr>
          <w:t xml:space="preserve"> website www.health.govt.nz/familyviolence.</w:t>
        </w:r>
      </w:hyperlink>
    </w:p>
    <w:p w:rsidR="008F4364" w:rsidRPr="004D669E" w:rsidRDefault="008F4364" w:rsidP="00E73F21"/>
    <w:p w:rsidR="008F4364" w:rsidRPr="004D669E" w:rsidRDefault="008F4364" w:rsidP="008F4364">
      <w:pPr>
        <w:pStyle w:val="Heading2"/>
        <w:rPr>
          <w:rFonts w:eastAsia="Candara"/>
        </w:rPr>
      </w:pPr>
      <w:r w:rsidRPr="004D669E">
        <w:rPr>
          <w:rFonts w:eastAsia="Candara"/>
        </w:rPr>
        <w:t>Increasing VIP Programmes</w:t>
      </w:r>
      <w:r w:rsidR="00E73F21">
        <w:rPr>
          <w:rFonts w:eastAsia="Candara"/>
        </w:rPr>
        <w:t>’</w:t>
      </w:r>
      <w:r w:rsidRPr="004D669E">
        <w:rPr>
          <w:rFonts w:eastAsia="Candara"/>
        </w:rPr>
        <w:t xml:space="preserve"> Responsiveness to</w:t>
      </w:r>
      <w:r>
        <w:rPr>
          <w:rFonts w:eastAsia="Candara"/>
        </w:rPr>
        <w:t xml:space="preserve"> </w:t>
      </w:r>
      <w:r w:rsidRPr="004D669E">
        <w:rPr>
          <w:rFonts w:eastAsia="Candara"/>
        </w:rPr>
        <w:t>Māori</w:t>
      </w:r>
    </w:p>
    <w:p w:rsidR="008F4364" w:rsidRPr="004D669E" w:rsidRDefault="008F4364" w:rsidP="008F4364">
      <w:pPr>
        <w:rPr>
          <w:rFonts w:eastAsia="Candara"/>
        </w:rPr>
      </w:pPr>
      <w:r w:rsidRPr="00E73F21">
        <w:rPr>
          <w:rStyle w:val="Hyperlink"/>
          <w:rFonts w:eastAsia="Candara"/>
        </w:rPr>
        <w:t>Increasing VIP Programmes</w:t>
      </w:r>
      <w:r w:rsidR="00E73F21">
        <w:rPr>
          <w:rStyle w:val="Hyperlink"/>
          <w:rFonts w:eastAsia="Candara"/>
        </w:rPr>
        <w:t>’</w:t>
      </w:r>
      <w:r w:rsidRPr="00E73F21">
        <w:rPr>
          <w:rStyle w:val="Hyperlink"/>
          <w:rFonts w:eastAsia="Candara"/>
        </w:rPr>
        <w:t xml:space="preserve"> Responsiveness to Māori</w:t>
      </w:r>
      <w:r w:rsidRPr="004D669E">
        <w:rPr>
          <w:rFonts w:eastAsia="Candara"/>
          <w:color w:val="735C30"/>
        </w:rPr>
        <w:t xml:space="preserve"> </w:t>
      </w:r>
      <w:r w:rsidRPr="004D669E">
        <w:rPr>
          <w:rFonts w:eastAsia="Candara"/>
        </w:rPr>
        <w:t>is designed to inspire VIP practitioners to reflect and take further action so that everyone benefits from family violence prevention.</w:t>
      </w:r>
    </w:p>
    <w:p w:rsidR="008F4364" w:rsidRPr="004D669E" w:rsidRDefault="008F4364" w:rsidP="008F4364"/>
    <w:p w:rsidR="008F4364" w:rsidRPr="004D669E" w:rsidRDefault="008F4364" w:rsidP="008F4364">
      <w:pPr>
        <w:rPr>
          <w:rFonts w:eastAsia="Candara"/>
        </w:rPr>
      </w:pPr>
      <w:r w:rsidRPr="004D669E">
        <w:rPr>
          <w:rFonts w:eastAsia="Candara"/>
        </w:rPr>
        <w:t>Jigsaw developed Increasing VIP Programmes</w:t>
      </w:r>
      <w:r w:rsidR="00E73F21">
        <w:rPr>
          <w:rFonts w:eastAsia="Candara"/>
        </w:rPr>
        <w:t>’</w:t>
      </w:r>
      <w:r w:rsidRPr="004D669E">
        <w:rPr>
          <w:rFonts w:eastAsia="Candara"/>
        </w:rPr>
        <w:t xml:space="preserve"> Responsiveness to Māori </w:t>
      </w:r>
      <w:r w:rsidRPr="004D669E">
        <w:rPr>
          <w:rFonts w:eastAsia="Candara"/>
          <w:color w:val="000000"/>
        </w:rPr>
        <w:t>for the Ministry of</w:t>
      </w:r>
      <w:r>
        <w:rPr>
          <w:rFonts w:eastAsia="Candara"/>
          <w:color w:val="000000"/>
        </w:rPr>
        <w:t xml:space="preserve"> </w:t>
      </w:r>
      <w:r w:rsidRPr="004D669E">
        <w:rPr>
          <w:rFonts w:eastAsia="Candara"/>
        </w:rPr>
        <w:t>Health in response to VIP coordinators and managers requests for more information.</w:t>
      </w:r>
    </w:p>
    <w:p w:rsidR="008F4364" w:rsidRPr="004D669E" w:rsidRDefault="008F4364" w:rsidP="008F4364"/>
    <w:p w:rsidR="008F4364" w:rsidRPr="004D669E" w:rsidRDefault="008F4364" w:rsidP="008F4364">
      <w:pPr>
        <w:rPr>
          <w:rFonts w:eastAsia="Candara"/>
        </w:rPr>
      </w:pPr>
      <w:r w:rsidRPr="004D669E">
        <w:rPr>
          <w:rFonts w:eastAsia="Candara"/>
        </w:rPr>
        <w:t>The stories and case studies in the resource reflect just some of the innovative work that is being done in VIP services around the country.</w:t>
      </w:r>
    </w:p>
    <w:p w:rsidR="008F4364" w:rsidRPr="004D669E" w:rsidRDefault="008F4364" w:rsidP="008F4364"/>
    <w:p w:rsidR="008F4364" w:rsidRPr="004D669E" w:rsidRDefault="008F4364" w:rsidP="008F4364">
      <w:pPr>
        <w:pStyle w:val="Heading2"/>
        <w:rPr>
          <w:rFonts w:eastAsia="Candara"/>
        </w:rPr>
      </w:pPr>
      <w:r w:rsidRPr="004D669E">
        <w:rPr>
          <w:rFonts w:eastAsia="Candara"/>
        </w:rPr>
        <w:t>Tell us what you think</w:t>
      </w:r>
    </w:p>
    <w:p w:rsidR="008F4364" w:rsidRPr="004D669E" w:rsidRDefault="008F4364" w:rsidP="008F4364">
      <w:pPr>
        <w:rPr>
          <w:rFonts w:eastAsia="Candara"/>
        </w:rPr>
      </w:pPr>
      <w:r w:rsidRPr="004D669E">
        <w:rPr>
          <w:rFonts w:eastAsia="Candara"/>
        </w:rPr>
        <w:t>Your feedback about Increasing VIP Programmes</w:t>
      </w:r>
      <w:r w:rsidR="00E73F21">
        <w:rPr>
          <w:rFonts w:eastAsia="Candara"/>
        </w:rPr>
        <w:t>’</w:t>
      </w:r>
      <w:r w:rsidRPr="004D669E">
        <w:rPr>
          <w:rFonts w:eastAsia="Candara"/>
        </w:rPr>
        <w:t xml:space="preserve"> Responsiveness to Māori </w:t>
      </w:r>
      <w:r w:rsidRPr="004D669E">
        <w:rPr>
          <w:rFonts w:eastAsia="Candara"/>
          <w:color w:val="000000"/>
        </w:rPr>
        <w:t xml:space="preserve">and this </w:t>
      </w:r>
      <w:r w:rsidRPr="004D669E">
        <w:rPr>
          <w:rFonts w:eastAsia="Candara"/>
        </w:rPr>
        <w:t xml:space="preserve">user guide </w:t>
      </w:r>
      <w:r w:rsidRPr="004D669E">
        <w:rPr>
          <w:rFonts w:eastAsia="Candara"/>
          <w:color w:val="000000"/>
        </w:rPr>
        <w:t>will help us measure the impact of these resources.</w:t>
      </w:r>
    </w:p>
    <w:p w:rsidR="008F4364" w:rsidRPr="004D669E" w:rsidRDefault="008F4364" w:rsidP="008F4364"/>
    <w:p w:rsidR="008F4364" w:rsidRPr="004D669E" w:rsidRDefault="008F4364" w:rsidP="008F4364">
      <w:pPr>
        <w:rPr>
          <w:rFonts w:eastAsia="Candara" w:cs="Candara"/>
        </w:rPr>
      </w:pPr>
      <w:r w:rsidRPr="004D669E">
        <w:rPr>
          <w:rFonts w:eastAsia="Candara"/>
        </w:rPr>
        <w:t xml:space="preserve">Please complete a brief survey about the resource here: </w:t>
      </w:r>
      <w:hyperlink r:id="rId22">
        <w:r w:rsidRPr="00E73F21">
          <w:rPr>
            <w:rStyle w:val="Hyperlink"/>
            <w:rFonts w:eastAsia="Candara"/>
          </w:rPr>
          <w:t>www.surveymonkey.com/S/</w:t>
        </w:r>
      </w:hyperlink>
      <w:hyperlink r:id="rId23">
        <w:r w:rsidRPr="00E73F21">
          <w:rPr>
            <w:rStyle w:val="Hyperlink"/>
            <w:rFonts w:eastAsia="Candara"/>
          </w:rPr>
          <w:t>GZ9CD59</w:t>
        </w:r>
      </w:hyperlink>
    </w:p>
    <w:p w:rsidR="008F4364" w:rsidRPr="004D669E" w:rsidRDefault="008F4364" w:rsidP="008F4364"/>
    <w:p w:rsidR="008F4364" w:rsidRDefault="008F4364" w:rsidP="008F4364">
      <w:pPr>
        <w:rPr>
          <w:rFonts w:eastAsia="Candara"/>
        </w:rPr>
      </w:pPr>
      <w:r>
        <w:rPr>
          <w:rFonts w:eastAsia="Candara"/>
        </w:rPr>
        <w:br w:type="page"/>
      </w:r>
    </w:p>
    <w:bookmarkStart w:id="4" w:name="_Toc394305714"/>
    <w:p w:rsidR="008F4364" w:rsidRPr="004D669E" w:rsidRDefault="00170163" w:rsidP="008F4364">
      <w:pPr>
        <w:pStyle w:val="Heading1"/>
        <w:rPr>
          <w:rFonts w:eastAsia="Candara"/>
        </w:rPr>
      </w:pPr>
      <w:r>
        <w:rPr>
          <w:noProof/>
          <w:lang w:eastAsia="en-NZ"/>
        </w:rPr>
        <w:lastRenderedPageBreak/>
        <mc:AlternateContent>
          <mc:Choice Requires="wps">
            <w:drawing>
              <wp:anchor distT="0" distB="0" distL="114300" distR="114300" simplePos="0" relativeHeight="251663360" behindDoc="1" locked="0" layoutInCell="1" allowOverlap="1" wp14:anchorId="5C447F22" wp14:editId="4ACE2BAB">
                <wp:simplePos x="0" y="0"/>
                <wp:positionH relativeFrom="column">
                  <wp:posOffset>-393642</wp:posOffset>
                </wp:positionH>
                <wp:positionV relativeFrom="paragraph">
                  <wp:posOffset>-71755</wp:posOffset>
                </wp:positionV>
                <wp:extent cx="6793200" cy="906087"/>
                <wp:effectExtent l="0" t="0" r="27305" b="27940"/>
                <wp:wrapNone/>
                <wp:docPr id="9" name="Rounded Rectangle 9"/>
                <wp:cNvGraphicFramePr/>
                <a:graphic xmlns:a="http://schemas.openxmlformats.org/drawingml/2006/main">
                  <a:graphicData uri="http://schemas.microsoft.com/office/word/2010/wordprocessingShape">
                    <wps:wsp>
                      <wps:cNvSpPr/>
                      <wps:spPr>
                        <a:xfrm>
                          <a:off x="0" y="0"/>
                          <a:ext cx="6793200" cy="906087"/>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31pt;margin-top:-5.65pt;width:534.9pt;height:7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" fillcolor="#d8d8d8 [2732]" strokecolor="#d8d8d8 [2732]" strokeweight="2pt"/>
            </w:pict>
          </mc:Fallback>
        </mc:AlternateContent>
      </w:r>
      <w:r w:rsidR="008F4364" w:rsidRPr="004D669E">
        <w:rPr>
          <w:rFonts w:eastAsia="Candara"/>
        </w:rPr>
        <w:t>How Jigsaw can help VIP coordinators increase their responsiveness to Māori</w:t>
      </w:r>
      <w:bookmarkEnd w:id="4"/>
    </w:p>
    <w:p w:rsidR="008F4364" w:rsidRPr="004D669E" w:rsidRDefault="008F4364" w:rsidP="00170163">
      <w:pPr>
        <w:pStyle w:val="Introparagraph"/>
      </w:pPr>
      <w:r w:rsidRPr="004D669E">
        <w:t xml:space="preserve">Jigsaw is a network of 44 social service agencies working on the front line to prevent child abuse and support families to raise their children in safe, nurturing ways. Please see </w:t>
      </w:r>
      <w:hyperlink r:id="rId24">
        <w:r w:rsidRPr="00170163">
          <w:rPr>
            <w:rStyle w:val="Hyperlink"/>
          </w:rPr>
          <w:t>www.jigsaw.org.nz</w:t>
        </w:r>
        <w:r w:rsidRPr="00170163">
          <w:t xml:space="preserve"> </w:t>
        </w:r>
      </w:hyperlink>
      <w:r w:rsidRPr="004D669E">
        <w:t>for more information.</w:t>
      </w:r>
    </w:p>
    <w:p w:rsidR="008F4364" w:rsidRPr="004D669E" w:rsidRDefault="008F4364" w:rsidP="008F4364"/>
    <w:p w:rsidR="008F4364" w:rsidRPr="004D669E" w:rsidRDefault="008F4364" w:rsidP="008F4364">
      <w:pPr>
        <w:rPr>
          <w:rFonts w:eastAsia="Candara"/>
        </w:rPr>
      </w:pPr>
      <w:r w:rsidRPr="004D669E">
        <w:rPr>
          <w:rFonts w:eastAsia="Candara"/>
        </w:rPr>
        <w:t>The Ministry of Health has contracted Jigsaw to support workforce development within VIP programmes until July</w:t>
      </w:r>
      <w:r>
        <w:rPr>
          <w:rFonts w:eastAsia="Candara"/>
        </w:rPr>
        <w:t xml:space="preserve"> </w:t>
      </w:r>
      <w:r w:rsidRPr="004D669E">
        <w:rPr>
          <w:rFonts w:eastAsia="Candara"/>
        </w:rPr>
        <w:t>2014.</w:t>
      </w:r>
    </w:p>
    <w:p w:rsidR="008F4364" w:rsidRPr="004D669E" w:rsidRDefault="008516DE" w:rsidP="008F4364">
      <w:r>
        <w:rPr>
          <w:noProof/>
          <w:lang w:eastAsia="en-NZ"/>
        </w:rPr>
        <mc:AlternateContent>
          <mc:Choice Requires="wps">
            <w:drawing>
              <wp:anchor distT="0" distB="0" distL="114300" distR="114300" simplePos="0" relativeHeight="251665408" behindDoc="1" locked="0" layoutInCell="1" allowOverlap="0" wp14:anchorId="1639877B" wp14:editId="380F33FB">
                <wp:simplePos x="0" y="0"/>
                <wp:positionH relativeFrom="column">
                  <wp:posOffset>3177540</wp:posOffset>
                </wp:positionH>
                <wp:positionV relativeFrom="paragraph">
                  <wp:posOffset>41910</wp:posOffset>
                </wp:positionV>
                <wp:extent cx="2127885" cy="1403985"/>
                <wp:effectExtent l="0" t="0" r="5715" b="8890"/>
                <wp:wrapTight wrapText="left">
                  <wp:wrapPolygon edited="0">
                    <wp:start x="0" y="0"/>
                    <wp:lineTo x="0" y="21502"/>
                    <wp:lineTo x="21465" y="21502"/>
                    <wp:lineTo x="2146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solidFill>
                          <a:srgbClr val="FFFFFF"/>
                        </a:solidFill>
                        <a:ln w="9525">
                          <a:noFill/>
                          <a:miter lim="800000"/>
                          <a:headEnd/>
                          <a:tailEnd/>
                        </a:ln>
                      </wps:spPr>
                      <wps:txbx>
                        <w:txbxContent>
                          <w:p w:rsidR="00170163" w:rsidRPr="004D669E" w:rsidRDefault="00170163" w:rsidP="008516DE">
                            <w:pPr>
                              <w:pStyle w:val="Textbox"/>
                            </w:pPr>
                            <w:proofErr w:type="spellStart"/>
                            <w:r w:rsidRPr="004D669E">
                              <w:t>Nāu</w:t>
                            </w:r>
                            <w:proofErr w:type="spellEnd"/>
                            <w:r w:rsidRPr="004D669E">
                              <w:t xml:space="preserve"> </w:t>
                            </w:r>
                            <w:proofErr w:type="spellStart"/>
                            <w:proofErr w:type="gramStart"/>
                            <w:r w:rsidRPr="004D669E">
                              <w:t>te</w:t>
                            </w:r>
                            <w:proofErr w:type="spellEnd"/>
                            <w:proofErr w:type="gramEnd"/>
                            <w:r w:rsidRPr="004D669E">
                              <w:t xml:space="preserve"> </w:t>
                            </w:r>
                            <w:proofErr w:type="spellStart"/>
                            <w:r w:rsidRPr="004D669E">
                              <w:t>rourou</w:t>
                            </w:r>
                            <w:proofErr w:type="spellEnd"/>
                            <w:r w:rsidR="008516DE">
                              <w:br/>
                            </w:r>
                            <w:proofErr w:type="spellStart"/>
                            <w:r w:rsidRPr="004D669E">
                              <w:t>nāku</w:t>
                            </w:r>
                            <w:proofErr w:type="spellEnd"/>
                            <w:r w:rsidRPr="004D669E">
                              <w:t xml:space="preserve"> </w:t>
                            </w:r>
                            <w:proofErr w:type="spellStart"/>
                            <w:r w:rsidRPr="004D669E">
                              <w:t>te</w:t>
                            </w:r>
                            <w:proofErr w:type="spellEnd"/>
                            <w:r w:rsidRPr="004D669E">
                              <w:t xml:space="preserve"> </w:t>
                            </w:r>
                            <w:proofErr w:type="spellStart"/>
                            <w:r w:rsidRPr="004D669E">
                              <w:t>rourou</w:t>
                            </w:r>
                            <w:proofErr w:type="spellEnd"/>
                            <w:r w:rsidR="008516DE">
                              <w:br/>
                            </w:r>
                            <w:proofErr w:type="spellStart"/>
                            <w:r w:rsidRPr="004D669E">
                              <w:t>ka</w:t>
                            </w:r>
                            <w:proofErr w:type="spellEnd"/>
                            <w:r w:rsidRPr="004D669E">
                              <w:t xml:space="preserve"> </w:t>
                            </w:r>
                            <w:proofErr w:type="spellStart"/>
                            <w:r w:rsidRPr="004D669E">
                              <w:t>ora</w:t>
                            </w:r>
                            <w:proofErr w:type="spellEnd"/>
                            <w:r w:rsidRPr="004D669E">
                              <w:t xml:space="preserve"> </w:t>
                            </w:r>
                            <w:proofErr w:type="spellStart"/>
                            <w:r w:rsidRPr="004D669E">
                              <w:t>ai</w:t>
                            </w:r>
                            <w:proofErr w:type="spellEnd"/>
                            <w:r w:rsidRPr="004D669E">
                              <w:t xml:space="preserve"> </w:t>
                            </w:r>
                            <w:proofErr w:type="spellStart"/>
                            <w:r w:rsidRPr="004D669E">
                              <w:t>te</w:t>
                            </w:r>
                            <w:proofErr w:type="spellEnd"/>
                            <w:r w:rsidRPr="004D669E">
                              <w:t xml:space="preserve"> iwi</w:t>
                            </w:r>
                          </w:p>
                          <w:p w:rsidR="00170163" w:rsidRPr="008516DE" w:rsidRDefault="00170163" w:rsidP="008516DE">
                            <w:pPr>
                              <w:pStyle w:val="Textbox"/>
                              <w:rPr>
                                <w:i/>
                              </w:rPr>
                            </w:pPr>
                            <w:r w:rsidRPr="008516DE">
                              <w:rPr>
                                <w:i/>
                              </w:rPr>
                              <w:t>By sharing your</w:t>
                            </w:r>
                            <w:r w:rsidR="008516DE">
                              <w:rPr>
                                <w:i/>
                              </w:rPr>
                              <w:br/>
                            </w:r>
                            <w:r w:rsidRPr="008516DE">
                              <w:rPr>
                                <w:i/>
                              </w:rPr>
                              <w:t>basket of knowledge</w:t>
                            </w:r>
                            <w:r w:rsidR="008516DE">
                              <w:rPr>
                                <w:i/>
                              </w:rPr>
                              <w:br/>
                            </w:r>
                            <w:r w:rsidRPr="008516DE">
                              <w:rPr>
                                <w:i/>
                              </w:rPr>
                              <w:t>and my</w:t>
                            </w:r>
                            <w:r w:rsidR="008516DE">
                              <w:rPr>
                                <w:i/>
                              </w:rPr>
                              <w:br/>
                            </w:r>
                            <w:r w:rsidRPr="008516DE">
                              <w:rPr>
                                <w:i/>
                              </w:rPr>
                              <w:t>basket of knowledge</w:t>
                            </w:r>
                            <w:r w:rsidR="008516DE">
                              <w:rPr>
                                <w:i/>
                              </w:rPr>
                              <w:br/>
                            </w:r>
                            <w:r w:rsidRPr="008516DE">
                              <w:rPr>
                                <w:i/>
                              </w:rPr>
                              <w:t>our people will flourish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2pt;margin-top:3.3pt;width:167.5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UqIQ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" o:allowoverlap="f" stroked="f">
                <v:textbox style="mso-fit-shape-to-text:t">
                  <w:txbxContent>
                    <w:p w:rsidR="00170163" w:rsidRPr="004D669E" w:rsidRDefault="00170163" w:rsidP="008516DE">
                      <w:pPr>
                        <w:pStyle w:val="Textbox"/>
                      </w:pPr>
                      <w:r w:rsidRPr="004D669E">
                        <w:t>Nāu te rourou</w:t>
                      </w:r>
                      <w:r w:rsidR="008516DE">
                        <w:br/>
                      </w:r>
                      <w:r w:rsidRPr="004D669E">
                        <w:t>nāku te rourou</w:t>
                      </w:r>
                      <w:r w:rsidR="008516DE">
                        <w:br/>
                      </w:r>
                      <w:r w:rsidRPr="004D669E">
                        <w:t>ka ora ai te iwi</w:t>
                      </w:r>
                    </w:p>
                    <w:p w:rsidR="00170163" w:rsidRPr="008516DE" w:rsidRDefault="00170163" w:rsidP="008516DE">
                      <w:pPr>
                        <w:pStyle w:val="Textbox"/>
                        <w:rPr>
                          <w:i/>
                        </w:rPr>
                      </w:pPr>
                      <w:r w:rsidRPr="008516DE">
                        <w:rPr>
                          <w:i/>
                        </w:rPr>
                        <w:t>By sharing your</w:t>
                      </w:r>
                      <w:r w:rsidR="008516DE">
                        <w:rPr>
                          <w:i/>
                        </w:rPr>
                        <w:br/>
                      </w:r>
                      <w:r w:rsidRPr="008516DE">
                        <w:rPr>
                          <w:i/>
                        </w:rPr>
                        <w:t>basket of knowledge</w:t>
                      </w:r>
                      <w:r w:rsidR="008516DE">
                        <w:rPr>
                          <w:i/>
                        </w:rPr>
                        <w:br/>
                      </w:r>
                      <w:r w:rsidRPr="008516DE">
                        <w:rPr>
                          <w:i/>
                        </w:rPr>
                        <w:t>and my</w:t>
                      </w:r>
                      <w:r w:rsidR="008516DE">
                        <w:rPr>
                          <w:i/>
                        </w:rPr>
                        <w:br/>
                      </w:r>
                      <w:r w:rsidRPr="008516DE">
                        <w:rPr>
                          <w:i/>
                        </w:rPr>
                        <w:t>basket of knowledge</w:t>
                      </w:r>
                      <w:r w:rsidR="008516DE">
                        <w:rPr>
                          <w:i/>
                        </w:rPr>
                        <w:br/>
                      </w:r>
                      <w:r w:rsidRPr="008516DE">
                        <w:rPr>
                          <w:i/>
                        </w:rPr>
                        <w:t>our people will flourish</w:t>
                      </w:r>
                    </w:p>
                  </w:txbxContent>
                </v:textbox>
                <w10:wrap type="tight" side="left"/>
              </v:shape>
            </w:pict>
          </mc:Fallback>
        </mc:AlternateContent>
      </w:r>
    </w:p>
    <w:p w:rsidR="008F4364" w:rsidRPr="004D669E" w:rsidRDefault="008F4364" w:rsidP="008F4364">
      <w:pPr>
        <w:rPr>
          <w:rFonts w:eastAsia="Candara"/>
        </w:rPr>
      </w:pPr>
      <w:r w:rsidRPr="004D669E">
        <w:rPr>
          <w:rFonts w:eastAsia="Candara"/>
        </w:rPr>
        <w:t xml:space="preserve">Jigsaw aims to support VIP co-ordinators to improve responsiveness for Māori and to integrate a </w:t>
      </w:r>
      <w:proofErr w:type="spellStart"/>
      <w:r w:rsidRPr="004D669E">
        <w:rPr>
          <w:rFonts w:eastAsia="Candara"/>
        </w:rPr>
        <w:t>whānau</w:t>
      </w:r>
      <w:proofErr w:type="spellEnd"/>
      <w:r w:rsidRPr="004D669E">
        <w:rPr>
          <w:rFonts w:eastAsia="Candara"/>
        </w:rPr>
        <w:t>-centred approach to the VIP programme by providing information and guidance about:</w:t>
      </w:r>
    </w:p>
    <w:p w:rsidR="008F4364" w:rsidRPr="004D669E" w:rsidRDefault="008F4364" w:rsidP="008F4364">
      <w:pPr>
        <w:pStyle w:val="Bullet"/>
        <w:rPr>
          <w:rFonts w:eastAsia="Candara"/>
        </w:rPr>
      </w:pPr>
      <w:r w:rsidRPr="004D669E">
        <w:rPr>
          <w:rFonts w:eastAsia="Candara"/>
        </w:rPr>
        <w:t>VIP workforce development for greater cultural competency</w:t>
      </w:r>
    </w:p>
    <w:p w:rsidR="008F4364" w:rsidRPr="004D669E" w:rsidRDefault="008F4364" w:rsidP="008F4364">
      <w:pPr>
        <w:pStyle w:val="Bullet"/>
        <w:rPr>
          <w:rFonts w:eastAsia="Candara"/>
        </w:rPr>
      </w:pPr>
      <w:r w:rsidRPr="004D669E">
        <w:rPr>
          <w:rFonts w:eastAsia="Candara"/>
        </w:rPr>
        <w:t xml:space="preserve">how </w:t>
      </w:r>
      <w:proofErr w:type="spellStart"/>
      <w:r w:rsidRPr="004D669E">
        <w:rPr>
          <w:rFonts w:eastAsia="Candara"/>
        </w:rPr>
        <w:t>whānau</w:t>
      </w:r>
      <w:proofErr w:type="spellEnd"/>
      <w:r w:rsidRPr="004D669E">
        <w:rPr>
          <w:rFonts w:eastAsia="Candara"/>
        </w:rPr>
        <w:t>-centred approaches can be applied within VIP policy and practice</w:t>
      </w:r>
    </w:p>
    <w:p w:rsidR="008F4364" w:rsidRPr="004D669E" w:rsidRDefault="008F4364" w:rsidP="008F4364">
      <w:pPr>
        <w:pStyle w:val="Bullet"/>
        <w:rPr>
          <w:rFonts w:eastAsia="Candara"/>
        </w:rPr>
      </w:pPr>
      <w:proofErr w:type="gramStart"/>
      <w:r w:rsidRPr="004D669E">
        <w:rPr>
          <w:rFonts w:eastAsia="Candara"/>
        </w:rPr>
        <w:t>building</w:t>
      </w:r>
      <w:proofErr w:type="gramEnd"/>
      <w:r w:rsidRPr="004D669E">
        <w:rPr>
          <w:rFonts w:eastAsia="Candara"/>
        </w:rPr>
        <w:t xml:space="preserve"> relationships, partnerships and referral pathways with </w:t>
      </w:r>
      <w:proofErr w:type="spellStart"/>
      <w:r w:rsidRPr="004D669E">
        <w:rPr>
          <w:rFonts w:eastAsia="Candara"/>
        </w:rPr>
        <w:t>whānau</w:t>
      </w:r>
      <w:proofErr w:type="spellEnd"/>
      <w:r w:rsidRPr="004D669E">
        <w:rPr>
          <w:rFonts w:eastAsia="Candara"/>
        </w:rPr>
        <w:t>, iwi and Māori service providers</w:t>
      </w:r>
      <w:r>
        <w:rPr>
          <w:rFonts w:eastAsia="Candara"/>
        </w:rPr>
        <w:t>.</w:t>
      </w:r>
    </w:p>
    <w:p w:rsidR="008F4364" w:rsidRPr="004D669E" w:rsidRDefault="008F4364" w:rsidP="008F4364"/>
    <w:p w:rsidR="008F4364" w:rsidRDefault="0000742D" w:rsidP="00170163">
      <w:pPr>
        <w:pStyle w:val="Introparagraph"/>
      </w:pPr>
      <w:hyperlink r:id="rId25">
        <w:r w:rsidR="008F4364" w:rsidRPr="004D669E">
          <w:t>Please contact info@jigsaw</w:t>
        </w:r>
      </w:hyperlink>
      <w:r w:rsidR="008F4364" w:rsidRPr="004D669E">
        <w:t>.org.nz to find out how Jigsaw can help your VIP programme.</w:t>
      </w:r>
    </w:p>
    <w:p w:rsidR="008F4364" w:rsidRPr="004D669E" w:rsidRDefault="008F4364" w:rsidP="008516DE">
      <w:pPr>
        <w:rPr>
          <w:rFonts w:eastAsia="Candara"/>
        </w:rPr>
      </w:pPr>
    </w:p>
    <w:p w:rsidR="008F4364" w:rsidRDefault="008F4364" w:rsidP="008F4364">
      <w:pPr>
        <w:rPr>
          <w:rFonts w:eastAsia="Candara"/>
        </w:rPr>
      </w:pPr>
      <w:r>
        <w:rPr>
          <w:rFonts w:eastAsia="Candara"/>
        </w:rPr>
        <w:br w:type="page"/>
      </w:r>
    </w:p>
    <w:bookmarkStart w:id="5" w:name="_Toc394305715"/>
    <w:p w:rsidR="008F4364" w:rsidRPr="004D669E" w:rsidRDefault="00F4648A" w:rsidP="008F4364">
      <w:pPr>
        <w:pStyle w:val="Heading1"/>
        <w:rPr>
          <w:rFonts w:eastAsia="Candara"/>
        </w:rPr>
      </w:pPr>
      <w:r>
        <w:rPr>
          <w:noProof/>
          <w:lang w:eastAsia="en-NZ"/>
        </w:rPr>
        <w:lastRenderedPageBreak/>
        <mc:AlternateContent>
          <mc:Choice Requires="wps">
            <w:drawing>
              <wp:anchor distT="0" distB="0" distL="114300" distR="114300" simplePos="0" relativeHeight="251667456" behindDoc="1" locked="0" layoutInCell="1" allowOverlap="1" wp14:anchorId="7BB55214" wp14:editId="761AD501">
                <wp:simplePos x="0" y="0"/>
                <wp:positionH relativeFrom="column">
                  <wp:posOffset>-1287203</wp:posOffset>
                </wp:positionH>
                <wp:positionV relativeFrom="paragraph">
                  <wp:posOffset>-71755</wp:posOffset>
                </wp:positionV>
                <wp:extent cx="6793200" cy="1371022"/>
                <wp:effectExtent l="0" t="0" r="27305" b="19685"/>
                <wp:wrapNone/>
                <wp:docPr id="11" name="Rounded Rectangle 11"/>
                <wp:cNvGraphicFramePr/>
                <a:graphic xmlns:a="http://schemas.openxmlformats.org/drawingml/2006/main">
                  <a:graphicData uri="http://schemas.microsoft.com/office/word/2010/wordprocessingShape">
                    <wps:wsp>
                      <wps:cNvSpPr/>
                      <wps:spPr>
                        <a:xfrm>
                          <a:off x="0" y="0"/>
                          <a:ext cx="6793200" cy="1371022"/>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01.35pt;margin-top:-5.65pt;width:534.9pt;height:10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" fillcolor="#d8d8d8 [2732]" strokecolor="#d8d8d8 [2732]" strokeweight="2pt"/>
            </w:pict>
          </mc:Fallback>
        </mc:AlternateContent>
      </w:r>
      <w:r w:rsidR="008F4364" w:rsidRPr="004D669E">
        <w:rPr>
          <w:rFonts w:eastAsia="Candara"/>
        </w:rPr>
        <w:t>How to enhance health practitioner understanding of effective responsiveness for Māori</w:t>
      </w:r>
      <w:bookmarkEnd w:id="5"/>
    </w:p>
    <w:p w:rsidR="008F4364" w:rsidRPr="004D669E" w:rsidRDefault="008F4364" w:rsidP="00F4648A">
      <w:pPr>
        <w:rPr>
          <w:rFonts w:eastAsia="Candara"/>
        </w:rPr>
      </w:pPr>
      <w:r w:rsidRPr="004D669E">
        <w:rPr>
          <w:rFonts w:eastAsia="Candara"/>
        </w:rPr>
        <w:t>Many of the stories/case studies featured in the resource can be printed for use in VIP training sessions and are available for download on the VIP Health Innovation and Resource Centre (HIIRC) website.</w:t>
      </w:r>
    </w:p>
    <w:p w:rsidR="008F4364" w:rsidRPr="004D669E" w:rsidRDefault="008F4364" w:rsidP="00F4648A"/>
    <w:p w:rsidR="008F4364" w:rsidRPr="004D669E" w:rsidRDefault="008F4364" w:rsidP="00F4648A">
      <w:pPr>
        <w:pStyle w:val="Heading2"/>
        <w:rPr>
          <w:rFonts w:eastAsia="Candara"/>
        </w:rPr>
      </w:pPr>
      <w:r w:rsidRPr="004D669E">
        <w:rPr>
          <w:rFonts w:eastAsia="Candara"/>
        </w:rPr>
        <w:t>Increasing VIP Programmes</w:t>
      </w:r>
      <w:r w:rsidR="00E73F21">
        <w:rPr>
          <w:rFonts w:eastAsia="Candara"/>
        </w:rPr>
        <w:t>’</w:t>
      </w:r>
      <w:r w:rsidRPr="004D669E">
        <w:rPr>
          <w:rFonts w:eastAsia="Candara"/>
        </w:rPr>
        <w:t xml:space="preserve"> Responsiveness to Māori</w:t>
      </w:r>
      <w:r w:rsidR="00F4648A">
        <w:rPr>
          <w:rFonts w:eastAsia="Candara"/>
        </w:rPr>
        <w:t xml:space="preserve"> –</w:t>
      </w:r>
      <w:r w:rsidRPr="004D669E">
        <w:rPr>
          <w:rFonts w:eastAsia="Candara"/>
        </w:rPr>
        <w:t xml:space="preserve"> Stories and Case Studies to use in VIP training</w:t>
      </w:r>
    </w:p>
    <w:p w:rsidR="008F4364" w:rsidRPr="004D669E" w:rsidRDefault="008F4364" w:rsidP="008E1D46">
      <w:pPr>
        <w:spacing w:after="600"/>
        <w:rPr>
          <w:rFonts w:eastAsia="Candara"/>
        </w:rPr>
      </w:pPr>
      <w:r w:rsidRPr="004D669E">
        <w:rPr>
          <w:rFonts w:eastAsia="Candara"/>
        </w:rPr>
        <w:t xml:space="preserve">The following </w:t>
      </w:r>
      <w:r w:rsidRPr="004D669E">
        <w:rPr>
          <w:rFonts w:eastAsia="Candara"/>
          <w:color w:val="84235E"/>
        </w:rPr>
        <w:t>s</w:t>
      </w:r>
      <w:r w:rsidRPr="004D669E">
        <w:rPr>
          <w:rFonts w:eastAsia="Candara"/>
        </w:rPr>
        <w:t>tories and case studies are particularly relevant for VIP training:</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tblGrid>
      <w:tr w:rsidR="008A41B4" w:rsidTr="008A41B4">
        <w:trPr>
          <w:cantSplit/>
        </w:trPr>
        <w:tc>
          <w:tcPr>
            <w:tcW w:w="8222" w:type="dxa"/>
            <w:shd w:val="clear" w:color="auto" w:fill="A6A6A6" w:themeFill="background1" w:themeFillShade="A6"/>
          </w:tcPr>
          <w:p w:rsidR="008A41B4" w:rsidRDefault="008A41B4" w:rsidP="008A41B4">
            <w:pPr>
              <w:pStyle w:val="TableText"/>
            </w:pPr>
          </w:p>
        </w:tc>
      </w:tr>
      <w:tr w:rsidR="008A41B4" w:rsidTr="008A41B4">
        <w:trPr>
          <w:cantSplit/>
          <w:trHeight w:hRule="exact" w:val="3402"/>
        </w:trPr>
        <w:tc>
          <w:tcPr>
            <w:tcW w:w="8222" w:type="dxa"/>
            <w:shd w:val="clear" w:color="auto" w:fill="F2F2F2" w:themeFill="background1" w:themeFillShade="F2"/>
          </w:tcPr>
          <w:p w:rsidR="008A41B4" w:rsidRPr="008A41B4" w:rsidRDefault="008A41B4" w:rsidP="008A41B4">
            <w:pPr>
              <w:pStyle w:val="TableBullet"/>
            </w:pPr>
            <w:r w:rsidRPr="004D669E">
              <w:rPr>
                <w:rFonts w:eastAsia="Candara"/>
              </w:rPr>
              <w:t xml:space="preserve">Protecting children by working with midwives to support pregnant women and their </w:t>
            </w:r>
            <w:proofErr w:type="spellStart"/>
            <w:r w:rsidRPr="004D669E">
              <w:rPr>
                <w:rFonts w:eastAsia="Candara"/>
              </w:rPr>
              <w:t>whānau</w:t>
            </w:r>
            <w:proofErr w:type="spellEnd"/>
          </w:p>
          <w:p w:rsidR="008A41B4" w:rsidRPr="008A41B4" w:rsidRDefault="008A41B4" w:rsidP="008A41B4">
            <w:pPr>
              <w:pStyle w:val="TableBullet"/>
            </w:pPr>
            <w:r w:rsidRPr="00F4648A">
              <w:rPr>
                <w:rFonts w:eastAsia="Candara"/>
              </w:rPr>
              <w:t xml:space="preserve">Seeing the patient in the context of their </w:t>
            </w:r>
            <w:proofErr w:type="spellStart"/>
            <w:r w:rsidRPr="00F4648A">
              <w:rPr>
                <w:rFonts w:eastAsia="Candara"/>
              </w:rPr>
              <w:t>whānau</w:t>
            </w:r>
            <w:proofErr w:type="spellEnd"/>
            <w:r w:rsidRPr="00F4648A">
              <w:rPr>
                <w:rFonts w:eastAsia="Candara"/>
              </w:rPr>
              <w:t>: a physician’s</w:t>
            </w:r>
            <w:r>
              <w:rPr>
                <w:rFonts w:eastAsia="Candara"/>
              </w:rPr>
              <w:t xml:space="preserve"> </w:t>
            </w:r>
            <w:r w:rsidRPr="00F4648A">
              <w:rPr>
                <w:rFonts w:eastAsia="Candara"/>
              </w:rPr>
              <w:t>perspective</w:t>
            </w:r>
          </w:p>
          <w:p w:rsidR="008A41B4" w:rsidRPr="008A41B4" w:rsidRDefault="008A41B4" w:rsidP="008A41B4">
            <w:pPr>
              <w:pStyle w:val="TableBullet"/>
            </w:pPr>
            <w:r w:rsidRPr="004D669E">
              <w:rPr>
                <w:rFonts w:eastAsia="Candara"/>
              </w:rPr>
              <w:t xml:space="preserve">Working with </w:t>
            </w:r>
            <w:proofErr w:type="spellStart"/>
            <w:r w:rsidRPr="004D669E">
              <w:rPr>
                <w:rFonts w:eastAsia="Candara"/>
              </w:rPr>
              <w:t>whānau</w:t>
            </w:r>
            <w:proofErr w:type="spellEnd"/>
            <w:r w:rsidRPr="004D669E">
              <w:rPr>
                <w:rFonts w:eastAsia="Candara"/>
              </w:rPr>
              <w:t xml:space="preserve"> in child and adolescent mental health</w:t>
            </w:r>
          </w:p>
          <w:p w:rsidR="008A41B4" w:rsidRPr="008A41B4" w:rsidRDefault="008A41B4" w:rsidP="008A41B4">
            <w:pPr>
              <w:pStyle w:val="TableBullet"/>
            </w:pPr>
            <w:r w:rsidRPr="004D669E">
              <w:rPr>
                <w:rFonts w:eastAsia="Candara"/>
              </w:rPr>
              <w:t>Kay</w:t>
            </w:r>
            <w:r>
              <w:rPr>
                <w:rFonts w:eastAsia="Candara"/>
              </w:rPr>
              <w:t>’</w:t>
            </w:r>
            <w:r w:rsidRPr="004D669E">
              <w:rPr>
                <w:rFonts w:eastAsia="Candara"/>
              </w:rPr>
              <w:t>s story</w:t>
            </w:r>
          </w:p>
          <w:p w:rsidR="008A41B4" w:rsidRPr="008A41B4" w:rsidRDefault="008A41B4" w:rsidP="008A41B4">
            <w:pPr>
              <w:pStyle w:val="TableBullet"/>
            </w:pPr>
            <w:r w:rsidRPr="004D669E">
              <w:rPr>
                <w:rFonts w:eastAsia="Candara"/>
              </w:rPr>
              <w:t>The Hastings Health Centre</w:t>
            </w:r>
          </w:p>
          <w:p w:rsidR="008A41B4" w:rsidRDefault="008A41B4" w:rsidP="008A41B4">
            <w:pPr>
              <w:pStyle w:val="TableBullet"/>
            </w:pPr>
            <w:proofErr w:type="spellStart"/>
            <w:r w:rsidRPr="004D669E">
              <w:rPr>
                <w:rFonts w:eastAsia="Candara"/>
              </w:rPr>
              <w:t>Whānau</w:t>
            </w:r>
            <w:proofErr w:type="spellEnd"/>
            <w:r w:rsidRPr="004D669E">
              <w:rPr>
                <w:rFonts w:eastAsia="Candara"/>
              </w:rPr>
              <w:t xml:space="preserve"> is like a garden</w:t>
            </w:r>
          </w:p>
        </w:tc>
      </w:tr>
    </w:tbl>
    <w:p w:rsidR="008F4364" w:rsidRPr="004D669E" w:rsidRDefault="008F4364" w:rsidP="008A41B4"/>
    <w:p w:rsidR="008F4364" w:rsidRPr="004D669E" w:rsidRDefault="008F4364" w:rsidP="008A41B4">
      <w:pPr>
        <w:rPr>
          <w:rFonts w:eastAsia="Candara"/>
        </w:rPr>
      </w:pPr>
      <w:r w:rsidRPr="004D669E">
        <w:rPr>
          <w:rFonts w:eastAsia="Candara"/>
        </w:rPr>
        <w:t>A brief overview of each story/case study can be found on pages 9</w:t>
      </w:r>
      <w:r w:rsidR="008A41B4">
        <w:rPr>
          <w:rFonts w:eastAsia="Candara"/>
        </w:rPr>
        <w:t>–</w:t>
      </w:r>
      <w:r w:rsidRPr="004D669E">
        <w:rPr>
          <w:rFonts w:eastAsia="Candara"/>
        </w:rPr>
        <w:t>12 of this user guide.</w:t>
      </w:r>
    </w:p>
    <w:p w:rsidR="008F4364" w:rsidRPr="004D669E" w:rsidRDefault="008F4364" w:rsidP="008A41B4"/>
    <w:p w:rsidR="008F4364" w:rsidRPr="004D669E" w:rsidRDefault="008F4364" w:rsidP="008A41B4">
      <w:pPr>
        <w:rPr>
          <w:rFonts w:eastAsia="Candara"/>
        </w:rPr>
      </w:pPr>
      <w:r w:rsidRPr="004D669E">
        <w:rPr>
          <w:rFonts w:eastAsia="Candara"/>
          <w:b/>
          <w:bCs/>
        </w:rPr>
        <w:t>Kay</w:t>
      </w:r>
      <w:r w:rsidR="00E73F21">
        <w:rPr>
          <w:rFonts w:eastAsia="Candara"/>
          <w:b/>
          <w:bCs/>
        </w:rPr>
        <w:t>’</w:t>
      </w:r>
      <w:r w:rsidRPr="004D669E">
        <w:rPr>
          <w:rFonts w:eastAsia="Candara"/>
          <w:b/>
          <w:bCs/>
        </w:rPr>
        <w:t>s story</w:t>
      </w:r>
      <w:r w:rsidRPr="008A41B4">
        <w:rPr>
          <w:rFonts w:eastAsia="Candara"/>
          <w:bCs/>
        </w:rPr>
        <w:t xml:space="preserve"> </w:t>
      </w:r>
      <w:r w:rsidRPr="004D669E">
        <w:rPr>
          <w:rFonts w:eastAsia="Candara"/>
        </w:rPr>
        <w:t xml:space="preserve">is particularly useful for training as it invites readers to reflect on how </w:t>
      </w:r>
      <w:proofErr w:type="spellStart"/>
      <w:r w:rsidRPr="004D669E">
        <w:rPr>
          <w:rFonts w:eastAsia="Candara"/>
        </w:rPr>
        <w:t>tikanga</w:t>
      </w:r>
      <w:proofErr w:type="spellEnd"/>
      <w:r w:rsidRPr="004D669E">
        <w:rPr>
          <w:rFonts w:eastAsia="Candara"/>
        </w:rPr>
        <w:t xml:space="preserve"> Māori (traditional Māori values and practices) has been successfully used to support patients/clients to recover from family violence and increase their wellbeing.</w:t>
      </w:r>
    </w:p>
    <w:p w:rsidR="008F4364" w:rsidRPr="004D669E" w:rsidRDefault="008F4364" w:rsidP="008A41B4"/>
    <w:p w:rsidR="00367C3B" w:rsidRDefault="00367C3B" w:rsidP="00367C3B">
      <w:pPr>
        <w:rPr>
          <w:rFonts w:eastAsia="Candara"/>
        </w:rPr>
      </w:pPr>
      <w:r>
        <w:rPr>
          <w:rFonts w:eastAsia="Candara"/>
        </w:rPr>
        <w:br w:type="page"/>
      </w:r>
    </w:p>
    <w:bookmarkStart w:id="6" w:name="_Toc394305716"/>
    <w:p w:rsidR="008F4364" w:rsidRPr="004D669E" w:rsidRDefault="00367C3B" w:rsidP="004B590B">
      <w:pPr>
        <w:pStyle w:val="Heading1"/>
        <w:ind w:right="-567"/>
        <w:rPr>
          <w:rFonts w:eastAsia="Candara"/>
        </w:rPr>
      </w:pPr>
      <w:r>
        <w:rPr>
          <w:noProof/>
          <w:lang w:eastAsia="en-NZ"/>
        </w:rPr>
        <w:lastRenderedPageBreak/>
        <mc:AlternateContent>
          <mc:Choice Requires="wps">
            <w:drawing>
              <wp:anchor distT="0" distB="0" distL="114300" distR="114300" simplePos="0" relativeHeight="251669504" behindDoc="1" locked="0" layoutInCell="1" allowOverlap="1" wp14:anchorId="6A898137" wp14:editId="382F0E4C">
                <wp:simplePos x="0" y="0"/>
                <wp:positionH relativeFrom="column">
                  <wp:posOffset>-238010</wp:posOffset>
                </wp:positionH>
                <wp:positionV relativeFrom="paragraph">
                  <wp:posOffset>-113319</wp:posOffset>
                </wp:positionV>
                <wp:extent cx="6793200" cy="1412587"/>
                <wp:effectExtent l="0" t="0" r="27305" b="16510"/>
                <wp:wrapNone/>
                <wp:docPr id="12" name="Rounded Rectangle 12"/>
                <wp:cNvGraphicFramePr/>
                <a:graphic xmlns:a="http://schemas.openxmlformats.org/drawingml/2006/main">
                  <a:graphicData uri="http://schemas.microsoft.com/office/word/2010/wordprocessingShape">
                    <wps:wsp>
                      <wps:cNvSpPr/>
                      <wps:spPr>
                        <a:xfrm>
                          <a:off x="0" y="0"/>
                          <a:ext cx="6793200" cy="1412587"/>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8.75pt;margin-top:-8.9pt;width:534.9pt;height:1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" fillcolor="#d8d8d8 [2732]" strokecolor="#d8d8d8 [2732]" strokeweight="2pt"/>
            </w:pict>
          </mc:Fallback>
        </mc:AlternateContent>
      </w:r>
      <w:r w:rsidR="008F4364" w:rsidRPr="004D669E">
        <w:rPr>
          <w:rFonts w:eastAsia="Candara"/>
        </w:rPr>
        <w:t xml:space="preserve">How to spark ideas and focus discussions about </w:t>
      </w:r>
      <w:proofErr w:type="spellStart"/>
      <w:r w:rsidR="008F4364" w:rsidRPr="004D669E">
        <w:rPr>
          <w:rFonts w:eastAsia="Candara"/>
        </w:rPr>
        <w:t>whānau</w:t>
      </w:r>
      <w:proofErr w:type="spellEnd"/>
      <w:r w:rsidR="008F4364" w:rsidRPr="004D669E">
        <w:rPr>
          <w:rFonts w:eastAsia="Candara"/>
        </w:rPr>
        <w:t>-centred practice at VIP team and service planning meetings</w:t>
      </w:r>
      <w:bookmarkEnd w:id="6"/>
    </w:p>
    <w:p w:rsidR="008F4364" w:rsidRPr="004D669E" w:rsidRDefault="008F4364" w:rsidP="004B590B">
      <w:pPr>
        <w:pStyle w:val="Introparagraph"/>
      </w:pPr>
      <w:r w:rsidRPr="004D669E">
        <w:t xml:space="preserve">All of the stories/case studies in </w:t>
      </w:r>
      <w:r w:rsidRPr="004B590B">
        <w:rPr>
          <w:rStyle w:val="Hyperlink"/>
        </w:rPr>
        <w:t>Increasing VIP Programmes</w:t>
      </w:r>
      <w:r w:rsidR="00E73F21" w:rsidRPr="004B590B">
        <w:rPr>
          <w:rStyle w:val="Hyperlink"/>
        </w:rPr>
        <w:t>’</w:t>
      </w:r>
      <w:r w:rsidRPr="004B590B">
        <w:rPr>
          <w:rStyle w:val="Hyperlink"/>
        </w:rPr>
        <w:t xml:space="preserve"> Responsiveness to Māori </w:t>
      </w:r>
      <w:r w:rsidRPr="004D669E">
        <w:t xml:space="preserve">are designed to spark discussions within VIP teams about what </w:t>
      </w:r>
      <w:proofErr w:type="spellStart"/>
      <w:r w:rsidRPr="004D669E">
        <w:t>whānau</w:t>
      </w:r>
      <w:proofErr w:type="spellEnd"/>
      <w:r w:rsidRPr="004D669E">
        <w:t xml:space="preserve"> </w:t>
      </w:r>
      <w:proofErr w:type="spellStart"/>
      <w:r w:rsidRPr="004D669E">
        <w:t>ora</w:t>
      </w:r>
      <w:proofErr w:type="spellEnd"/>
      <w:r w:rsidRPr="004D669E">
        <w:t xml:space="preserve"> means within the context of the VIP programme. They suggest ways of improving VIP responsiveness for Māori and implementing a </w:t>
      </w:r>
      <w:proofErr w:type="spellStart"/>
      <w:r w:rsidRPr="004D669E">
        <w:t>whānau</w:t>
      </w:r>
      <w:proofErr w:type="spellEnd"/>
      <w:r w:rsidRPr="004D669E">
        <w:t>-centred approach that will benefit all families.</w:t>
      </w:r>
      <w:r w:rsidR="004B590B">
        <w:t xml:space="preserve"> </w:t>
      </w:r>
      <w:r w:rsidRPr="004D669E">
        <w:t>The resource is also designed to inspire and inform VIP service planning, implementation and evaluation.</w:t>
      </w:r>
    </w:p>
    <w:p w:rsidR="008F4364" w:rsidRPr="004D669E" w:rsidRDefault="008F4364" w:rsidP="004B590B"/>
    <w:p w:rsidR="008F4364" w:rsidRPr="004D669E" w:rsidRDefault="008F4364" w:rsidP="008E1D46">
      <w:pPr>
        <w:spacing w:after="600"/>
        <w:rPr>
          <w:rFonts w:eastAsia="Candara"/>
        </w:rPr>
      </w:pPr>
      <w:r w:rsidRPr="004D669E">
        <w:rPr>
          <w:rFonts w:eastAsia="Candara"/>
        </w:rPr>
        <w:t>Stories that may be of particular interest to VIP steering groups, VIP sponsors, managers and coordinators and other DHB service planners include:</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tblGrid>
      <w:tr w:rsidR="004B590B" w:rsidTr="005F3D52">
        <w:trPr>
          <w:cantSplit/>
        </w:trPr>
        <w:tc>
          <w:tcPr>
            <w:tcW w:w="8222" w:type="dxa"/>
            <w:shd w:val="clear" w:color="auto" w:fill="A6A6A6" w:themeFill="background1" w:themeFillShade="A6"/>
          </w:tcPr>
          <w:p w:rsidR="004B590B" w:rsidRDefault="004B590B" w:rsidP="005F3D52">
            <w:pPr>
              <w:pStyle w:val="TableText"/>
            </w:pPr>
          </w:p>
        </w:tc>
      </w:tr>
      <w:tr w:rsidR="004B590B" w:rsidTr="005F3D52">
        <w:trPr>
          <w:cantSplit/>
          <w:trHeight w:hRule="exact" w:val="3402"/>
        </w:trPr>
        <w:tc>
          <w:tcPr>
            <w:tcW w:w="8222" w:type="dxa"/>
            <w:shd w:val="clear" w:color="auto" w:fill="F2F2F2" w:themeFill="background1" w:themeFillShade="F2"/>
          </w:tcPr>
          <w:p w:rsidR="00A5008F" w:rsidRDefault="00A5008F" w:rsidP="00A5008F">
            <w:pPr>
              <w:pStyle w:val="TableBullet"/>
              <w:rPr>
                <w:rFonts w:eastAsia="Candara"/>
              </w:rPr>
            </w:pPr>
            <w:r w:rsidRPr="004D669E">
              <w:rPr>
                <w:rFonts w:eastAsia="Candara"/>
              </w:rPr>
              <w:t>A strategic approach to building relationships and driving change</w:t>
            </w:r>
          </w:p>
          <w:p w:rsidR="00A5008F" w:rsidRDefault="00A5008F" w:rsidP="00A5008F">
            <w:pPr>
              <w:pStyle w:val="TableBullet"/>
              <w:rPr>
                <w:rFonts w:eastAsia="Candara"/>
              </w:rPr>
            </w:pPr>
            <w:r w:rsidRPr="004D669E">
              <w:rPr>
                <w:rFonts w:eastAsia="Candara"/>
              </w:rPr>
              <w:t xml:space="preserve">Embedding </w:t>
            </w:r>
            <w:proofErr w:type="spellStart"/>
            <w:r w:rsidRPr="004D669E">
              <w:rPr>
                <w:rFonts w:eastAsia="Candara"/>
              </w:rPr>
              <w:t>whānau</w:t>
            </w:r>
            <w:proofErr w:type="spellEnd"/>
            <w:r w:rsidRPr="004D669E">
              <w:rPr>
                <w:rFonts w:eastAsia="Candara"/>
              </w:rPr>
              <w:t>-centred approaches into policy and practice</w:t>
            </w:r>
          </w:p>
          <w:p w:rsidR="00A5008F" w:rsidRPr="004D669E" w:rsidRDefault="00A5008F" w:rsidP="00A5008F">
            <w:pPr>
              <w:pStyle w:val="TableBullet"/>
              <w:rPr>
                <w:rFonts w:eastAsia="Candara"/>
              </w:rPr>
            </w:pPr>
            <w:r w:rsidRPr="004D669E">
              <w:rPr>
                <w:rFonts w:eastAsia="Candara"/>
              </w:rPr>
              <w:t xml:space="preserve">Bringing </w:t>
            </w:r>
            <w:proofErr w:type="spellStart"/>
            <w:r w:rsidRPr="004D669E">
              <w:rPr>
                <w:rFonts w:eastAsia="Candara"/>
              </w:rPr>
              <w:t>whānau</w:t>
            </w:r>
            <w:proofErr w:type="spellEnd"/>
            <w:r w:rsidRPr="004D669E">
              <w:rPr>
                <w:rFonts w:eastAsia="Candara"/>
              </w:rPr>
              <w:t xml:space="preserve"> into the heart of integrated health services</w:t>
            </w:r>
          </w:p>
          <w:p w:rsidR="00A5008F" w:rsidRPr="004D669E" w:rsidRDefault="00A5008F" w:rsidP="00A5008F">
            <w:pPr>
              <w:pStyle w:val="TableBullet"/>
              <w:rPr>
                <w:rFonts w:eastAsia="Candara"/>
              </w:rPr>
            </w:pPr>
            <w:r w:rsidRPr="004D669E">
              <w:rPr>
                <w:rFonts w:eastAsia="Candara"/>
              </w:rPr>
              <w:t>VIP partnerships with community providers</w:t>
            </w:r>
          </w:p>
          <w:p w:rsidR="00A5008F" w:rsidRPr="004D669E" w:rsidRDefault="00A5008F" w:rsidP="00A5008F">
            <w:pPr>
              <w:pStyle w:val="TableBullet"/>
              <w:rPr>
                <w:rFonts w:eastAsia="Candara"/>
              </w:rPr>
            </w:pPr>
            <w:r w:rsidRPr="004D669E">
              <w:rPr>
                <w:rFonts w:eastAsia="Candara"/>
              </w:rPr>
              <w:t>Weaving a southern perspective</w:t>
            </w:r>
          </w:p>
          <w:p w:rsidR="00A5008F" w:rsidRPr="004D669E" w:rsidRDefault="00A5008F" w:rsidP="00A5008F">
            <w:pPr>
              <w:pStyle w:val="TableBullet"/>
              <w:rPr>
                <w:rFonts w:eastAsia="Candara"/>
              </w:rPr>
            </w:pPr>
            <w:r w:rsidRPr="004D669E">
              <w:rPr>
                <w:rFonts w:eastAsia="Candara"/>
              </w:rPr>
              <w:t xml:space="preserve">Protecting children by working with midwives to support pregnant women and their </w:t>
            </w:r>
            <w:proofErr w:type="spellStart"/>
            <w:r w:rsidRPr="004D669E">
              <w:rPr>
                <w:rFonts w:eastAsia="Candara"/>
              </w:rPr>
              <w:t>whānau</w:t>
            </w:r>
            <w:proofErr w:type="spellEnd"/>
          </w:p>
          <w:p w:rsidR="00A5008F" w:rsidRPr="004D669E" w:rsidRDefault="00A5008F" w:rsidP="00A5008F">
            <w:pPr>
              <w:pStyle w:val="TableBullet"/>
              <w:rPr>
                <w:rFonts w:eastAsia="Candara"/>
              </w:rPr>
            </w:pPr>
            <w:r w:rsidRPr="004D669E">
              <w:rPr>
                <w:rFonts w:eastAsia="Candara"/>
              </w:rPr>
              <w:t xml:space="preserve">Working with Māori to celebrate and promote </w:t>
            </w:r>
            <w:proofErr w:type="spellStart"/>
            <w:r w:rsidRPr="004D669E">
              <w:rPr>
                <w:rFonts w:eastAsia="Candara"/>
              </w:rPr>
              <w:t>whānau</w:t>
            </w:r>
            <w:proofErr w:type="spellEnd"/>
            <w:r w:rsidRPr="004D669E">
              <w:rPr>
                <w:rFonts w:eastAsia="Candara"/>
              </w:rPr>
              <w:t xml:space="preserve"> wellness</w:t>
            </w:r>
          </w:p>
          <w:p w:rsidR="004B590B" w:rsidRDefault="00A5008F" w:rsidP="00A5008F">
            <w:pPr>
              <w:pStyle w:val="TableBullet"/>
            </w:pPr>
            <w:r w:rsidRPr="00A5008F">
              <w:rPr>
                <w:rFonts w:eastAsia="Candara"/>
              </w:rPr>
              <w:t xml:space="preserve">The power of using local people to promote positive </w:t>
            </w:r>
            <w:proofErr w:type="spellStart"/>
            <w:r w:rsidRPr="00A5008F">
              <w:rPr>
                <w:rFonts w:eastAsia="Candara"/>
              </w:rPr>
              <w:t>whānau</w:t>
            </w:r>
            <w:proofErr w:type="spellEnd"/>
            <w:r w:rsidRPr="00A5008F">
              <w:rPr>
                <w:rFonts w:eastAsia="Candara"/>
              </w:rPr>
              <w:t xml:space="preserve"> relationships</w:t>
            </w:r>
          </w:p>
        </w:tc>
      </w:tr>
    </w:tbl>
    <w:p w:rsidR="004B590B" w:rsidRPr="004D669E" w:rsidRDefault="004B590B" w:rsidP="003C531F"/>
    <w:p w:rsidR="008F4364" w:rsidRPr="004D669E" w:rsidRDefault="008F4364" w:rsidP="003C531F">
      <w:pPr>
        <w:rPr>
          <w:rFonts w:eastAsia="Candara"/>
        </w:rPr>
      </w:pPr>
      <w:r w:rsidRPr="004D669E">
        <w:rPr>
          <w:rFonts w:eastAsia="Candara"/>
        </w:rPr>
        <w:t>A brief overview of each story/case study can be found on pages 9</w:t>
      </w:r>
      <w:r w:rsidR="003C531F">
        <w:rPr>
          <w:rFonts w:eastAsia="Candara"/>
        </w:rPr>
        <w:t>–</w:t>
      </w:r>
      <w:r w:rsidRPr="004D669E">
        <w:rPr>
          <w:rFonts w:eastAsia="Candara"/>
        </w:rPr>
        <w:t>12 of this user guide.</w:t>
      </w:r>
    </w:p>
    <w:p w:rsidR="008F4364" w:rsidRPr="004D669E" w:rsidRDefault="008F4364" w:rsidP="003C531F"/>
    <w:p w:rsidR="003C531F" w:rsidRDefault="003C531F">
      <w:pPr>
        <w:spacing w:line="240" w:lineRule="auto"/>
        <w:rPr>
          <w:rFonts w:eastAsia="Candara"/>
        </w:rPr>
      </w:pPr>
      <w:r>
        <w:rPr>
          <w:rFonts w:eastAsia="Candara"/>
        </w:rPr>
        <w:br w:type="page"/>
      </w:r>
    </w:p>
    <w:bookmarkStart w:id="7" w:name="_Toc394305717"/>
    <w:p w:rsidR="008F4364" w:rsidRPr="004D669E" w:rsidRDefault="008E1D46" w:rsidP="008E1D46">
      <w:pPr>
        <w:pStyle w:val="Heading1"/>
        <w:rPr>
          <w:rFonts w:eastAsia="Candara"/>
        </w:rPr>
      </w:pPr>
      <w:r>
        <w:rPr>
          <w:noProof/>
          <w:lang w:eastAsia="en-NZ"/>
        </w:rPr>
        <w:lastRenderedPageBreak/>
        <mc:AlternateContent>
          <mc:Choice Requires="wps">
            <w:drawing>
              <wp:anchor distT="0" distB="0" distL="114300" distR="114300" simplePos="0" relativeHeight="251671552" behindDoc="1" locked="0" layoutInCell="1" allowOverlap="1" wp14:anchorId="37EE2362" wp14:editId="45D04949">
                <wp:simplePos x="0" y="0"/>
                <wp:positionH relativeFrom="column">
                  <wp:posOffset>-1312891</wp:posOffset>
                </wp:positionH>
                <wp:positionV relativeFrom="paragraph">
                  <wp:posOffset>-96692</wp:posOffset>
                </wp:positionV>
                <wp:extent cx="6793200" cy="972762"/>
                <wp:effectExtent l="0" t="0" r="27305" b="18415"/>
                <wp:wrapNone/>
                <wp:docPr id="13" name="Rounded Rectangle 13"/>
                <wp:cNvGraphicFramePr/>
                <a:graphic xmlns:a="http://schemas.openxmlformats.org/drawingml/2006/main">
                  <a:graphicData uri="http://schemas.microsoft.com/office/word/2010/wordprocessingShape">
                    <wps:wsp>
                      <wps:cNvSpPr/>
                      <wps:spPr>
                        <a:xfrm>
                          <a:off x="0" y="0"/>
                          <a:ext cx="6793200" cy="972762"/>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03.4pt;margin-top:-7.6pt;width:534.9pt;height:7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" fillcolor="#d8d8d8 [2732]" strokecolor="#d8d8d8 [2732]" strokeweight="2pt"/>
            </w:pict>
          </mc:Fallback>
        </mc:AlternateContent>
      </w:r>
      <w:r w:rsidR="008F4364" w:rsidRPr="004D669E">
        <w:rPr>
          <w:rFonts w:eastAsia="Candara"/>
        </w:rPr>
        <w:t xml:space="preserve">Increasing VIP </w:t>
      </w:r>
      <w:r w:rsidR="00AE0A40">
        <w:rPr>
          <w:rFonts w:eastAsia="Candara"/>
        </w:rPr>
        <w:t>p</w:t>
      </w:r>
      <w:r w:rsidR="008F4364" w:rsidRPr="004D669E">
        <w:rPr>
          <w:rFonts w:eastAsia="Candara"/>
        </w:rPr>
        <w:t>rogrammes</w:t>
      </w:r>
      <w:r w:rsidR="00E73F21">
        <w:rPr>
          <w:rFonts w:eastAsia="Candara"/>
        </w:rPr>
        <w:t>’</w:t>
      </w:r>
      <w:r w:rsidR="003C531F">
        <w:rPr>
          <w:rFonts w:eastAsia="Candara"/>
        </w:rPr>
        <w:t xml:space="preserve"> </w:t>
      </w:r>
      <w:r w:rsidR="00AE0A40">
        <w:rPr>
          <w:rFonts w:eastAsia="Candara"/>
        </w:rPr>
        <w:t>r</w:t>
      </w:r>
      <w:r w:rsidR="008F4364" w:rsidRPr="004D669E">
        <w:rPr>
          <w:rFonts w:eastAsia="Candara"/>
        </w:rPr>
        <w:t>esponsiveness to Māori</w:t>
      </w:r>
      <w:bookmarkEnd w:id="7"/>
    </w:p>
    <w:p w:rsidR="008F4364" w:rsidRPr="004D669E" w:rsidRDefault="008F4364" w:rsidP="008E1D46">
      <w:pPr>
        <w:pStyle w:val="Introparagraph"/>
      </w:pPr>
      <w:r w:rsidRPr="004D669E">
        <w:t>The stories and case studies in this resource were gathered in May and June 2012 and reflect the views of VIP, health and social service practitioners from diverse cultural and professional backgrounds.</w:t>
      </w:r>
    </w:p>
    <w:p w:rsidR="008F4364" w:rsidRPr="004D669E" w:rsidRDefault="008F4364" w:rsidP="008E1D46"/>
    <w:p w:rsidR="008F4364" w:rsidRPr="004D669E" w:rsidRDefault="008F4364" w:rsidP="008E1D46">
      <w:pPr>
        <w:spacing w:after="600"/>
        <w:rPr>
          <w:rFonts w:eastAsia="Candara"/>
        </w:rPr>
      </w:pPr>
      <w:r w:rsidRPr="004D669E">
        <w:rPr>
          <w:rFonts w:eastAsia="Candara"/>
        </w:rPr>
        <w:t xml:space="preserve">They are presented </w:t>
      </w:r>
      <w:proofErr w:type="gramStart"/>
      <w:r w:rsidRPr="004D669E">
        <w:rPr>
          <w:rFonts w:eastAsia="Candara"/>
        </w:rPr>
        <w:t>under</w:t>
      </w:r>
      <w:proofErr w:type="gramEnd"/>
      <w:r w:rsidRPr="004D669E">
        <w:rPr>
          <w:rFonts w:eastAsia="Candara"/>
        </w:rPr>
        <w:t xml:space="preserve"> </w:t>
      </w:r>
      <w:r w:rsidRPr="008E1D46">
        <w:rPr>
          <w:rFonts w:eastAsia="Candara"/>
          <w:b/>
        </w:rPr>
        <w:t>five themes</w:t>
      </w:r>
      <w:r w:rsidRPr="004D669E">
        <w:rPr>
          <w:rFonts w:eastAsia="Candara"/>
          <w:b/>
          <w:bCs/>
          <w:color w:val="84235E"/>
        </w:rPr>
        <w:t xml:space="preserve"> </w:t>
      </w:r>
      <w:r w:rsidRPr="004D669E">
        <w:rPr>
          <w:rFonts w:eastAsia="Candara"/>
        </w:rPr>
        <w:t>to help make navigating the resource easier:</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tblGrid>
      <w:tr w:rsidR="008E1D46" w:rsidTr="005F3D52">
        <w:trPr>
          <w:cantSplit/>
        </w:trPr>
        <w:tc>
          <w:tcPr>
            <w:tcW w:w="8222" w:type="dxa"/>
            <w:shd w:val="clear" w:color="auto" w:fill="A6A6A6" w:themeFill="background1" w:themeFillShade="A6"/>
          </w:tcPr>
          <w:p w:rsidR="008E1D46" w:rsidRDefault="008E1D46" w:rsidP="005F3D52">
            <w:pPr>
              <w:pStyle w:val="TableText"/>
            </w:pPr>
          </w:p>
        </w:tc>
      </w:tr>
      <w:tr w:rsidR="008E1D46" w:rsidTr="008E1D46">
        <w:trPr>
          <w:cantSplit/>
          <w:trHeight w:val="3402"/>
        </w:trPr>
        <w:tc>
          <w:tcPr>
            <w:tcW w:w="8222" w:type="dxa"/>
            <w:shd w:val="clear" w:color="auto" w:fill="F2F2F2" w:themeFill="background1" w:themeFillShade="F2"/>
          </w:tcPr>
          <w:p w:rsidR="008E1D46" w:rsidRPr="008E1D46" w:rsidRDefault="008E1D46" w:rsidP="008E1D46">
            <w:pPr>
              <w:pStyle w:val="TableBullet"/>
              <w:rPr>
                <w:rFonts w:eastAsia="Candara"/>
              </w:rPr>
            </w:pPr>
            <w:r w:rsidRPr="008E1D46">
              <w:rPr>
                <w:rFonts w:eastAsia="Candara"/>
                <w:b/>
              </w:rPr>
              <w:t xml:space="preserve">Theme 1 – Putting </w:t>
            </w:r>
            <w:proofErr w:type="spellStart"/>
            <w:r w:rsidRPr="008E1D46">
              <w:rPr>
                <w:rFonts w:eastAsia="Candara"/>
                <w:b/>
              </w:rPr>
              <w:t>whānau</w:t>
            </w:r>
            <w:proofErr w:type="spellEnd"/>
            <w:r w:rsidRPr="008E1D46">
              <w:rPr>
                <w:rFonts w:eastAsia="Candara"/>
                <w:b/>
              </w:rPr>
              <w:t xml:space="preserve"> at the centre of VIP and health practice</w:t>
            </w:r>
            <w:r w:rsidRPr="008E1D46">
              <w:rPr>
                <w:rFonts w:eastAsia="Candara"/>
                <w:b/>
              </w:rPr>
              <w:br/>
            </w:r>
            <w:r w:rsidRPr="008E1D46">
              <w:rPr>
                <w:rFonts w:eastAsia="Candara"/>
              </w:rPr>
              <w:t>Pages 6</w:t>
            </w:r>
            <w:r>
              <w:rPr>
                <w:rFonts w:eastAsia="Candara"/>
              </w:rPr>
              <w:t>–</w:t>
            </w:r>
            <w:r w:rsidRPr="008E1D46">
              <w:rPr>
                <w:rFonts w:eastAsia="Candara"/>
              </w:rPr>
              <w:t>11</w:t>
            </w:r>
          </w:p>
          <w:p w:rsidR="008E1D46" w:rsidRPr="008E1D46" w:rsidRDefault="008E1D46" w:rsidP="008E1D46">
            <w:pPr>
              <w:pStyle w:val="TableBullet"/>
              <w:rPr>
                <w:rFonts w:eastAsia="Candara"/>
              </w:rPr>
            </w:pPr>
            <w:r w:rsidRPr="008E1D46">
              <w:rPr>
                <w:rFonts w:eastAsia="Candara"/>
                <w:b/>
              </w:rPr>
              <w:t xml:space="preserve">Theme 2 – </w:t>
            </w:r>
            <w:proofErr w:type="spellStart"/>
            <w:r w:rsidRPr="008E1D46">
              <w:rPr>
                <w:rFonts w:eastAsia="Candara"/>
                <w:b/>
              </w:rPr>
              <w:t>Whānau</w:t>
            </w:r>
            <w:proofErr w:type="spellEnd"/>
            <w:r w:rsidRPr="008E1D46">
              <w:rPr>
                <w:rFonts w:eastAsia="Candara"/>
                <w:b/>
              </w:rPr>
              <w:t xml:space="preserve"> strengths: seeing the patient in the context of their extended family and community</w:t>
            </w:r>
            <w:r w:rsidRPr="008E1D46">
              <w:rPr>
                <w:rFonts w:eastAsia="Candara"/>
                <w:b/>
              </w:rPr>
              <w:br/>
            </w:r>
            <w:r w:rsidRPr="008E1D46">
              <w:rPr>
                <w:rFonts w:eastAsia="Candara"/>
              </w:rPr>
              <w:t>Pages 12</w:t>
            </w:r>
            <w:r>
              <w:rPr>
                <w:rFonts w:eastAsia="Candara"/>
              </w:rPr>
              <w:t>–</w:t>
            </w:r>
            <w:r w:rsidRPr="008E1D46">
              <w:rPr>
                <w:rFonts w:eastAsia="Candara"/>
              </w:rPr>
              <w:t>19</w:t>
            </w:r>
          </w:p>
          <w:p w:rsidR="008E1D46" w:rsidRPr="008E1D46" w:rsidRDefault="008E1D46" w:rsidP="008E1D46">
            <w:pPr>
              <w:pStyle w:val="TableBullet"/>
              <w:rPr>
                <w:rFonts w:eastAsia="Candara"/>
              </w:rPr>
            </w:pPr>
            <w:r w:rsidRPr="008E1D46">
              <w:rPr>
                <w:rFonts w:eastAsia="Candara"/>
                <w:b/>
              </w:rPr>
              <w:t xml:space="preserve">Theme 3 – Supporting Māori and their </w:t>
            </w:r>
            <w:proofErr w:type="spellStart"/>
            <w:r w:rsidRPr="008E1D46">
              <w:rPr>
                <w:rFonts w:eastAsia="Candara"/>
                <w:b/>
              </w:rPr>
              <w:t>whānau</w:t>
            </w:r>
            <w:proofErr w:type="spellEnd"/>
            <w:r w:rsidRPr="008E1D46">
              <w:rPr>
                <w:rFonts w:eastAsia="Candara"/>
                <w:b/>
              </w:rPr>
              <w:t xml:space="preserve">: using </w:t>
            </w:r>
            <w:proofErr w:type="spellStart"/>
            <w:r w:rsidRPr="008E1D46">
              <w:rPr>
                <w:rFonts w:eastAsia="Candara"/>
                <w:b/>
              </w:rPr>
              <w:t>tikanga</w:t>
            </w:r>
            <w:proofErr w:type="spellEnd"/>
            <w:r w:rsidRPr="008E1D46">
              <w:rPr>
                <w:rFonts w:eastAsia="Candara"/>
                <w:b/>
              </w:rPr>
              <w:t xml:space="preserve"> Māori to support healing and recovery</w:t>
            </w:r>
            <w:r w:rsidRPr="008E1D46">
              <w:rPr>
                <w:rFonts w:eastAsia="Candara"/>
                <w:b/>
              </w:rPr>
              <w:br/>
            </w:r>
            <w:r w:rsidRPr="008E1D46">
              <w:rPr>
                <w:rFonts w:eastAsia="Candara"/>
              </w:rPr>
              <w:t>Pages 20</w:t>
            </w:r>
            <w:r>
              <w:rPr>
                <w:rFonts w:eastAsia="Candara"/>
              </w:rPr>
              <w:t>–</w:t>
            </w:r>
            <w:r w:rsidRPr="008E1D46">
              <w:rPr>
                <w:rFonts w:eastAsia="Candara"/>
              </w:rPr>
              <w:t>27</w:t>
            </w:r>
          </w:p>
          <w:p w:rsidR="008E1D46" w:rsidRPr="008E1D46" w:rsidRDefault="008E1D46" w:rsidP="008E1D46">
            <w:pPr>
              <w:pStyle w:val="TableBullet"/>
              <w:rPr>
                <w:rFonts w:eastAsia="Candara"/>
              </w:rPr>
            </w:pPr>
            <w:r w:rsidRPr="008E1D46">
              <w:rPr>
                <w:rFonts w:eastAsia="Candara"/>
                <w:b/>
              </w:rPr>
              <w:t xml:space="preserve">Theme 4 – Partnerships with Māori and community providers to prevent family violence and connect </w:t>
            </w:r>
            <w:proofErr w:type="spellStart"/>
            <w:r w:rsidRPr="008E1D46">
              <w:rPr>
                <w:rFonts w:eastAsia="Candara"/>
                <w:b/>
              </w:rPr>
              <w:t>whānau</w:t>
            </w:r>
            <w:proofErr w:type="spellEnd"/>
            <w:r w:rsidRPr="008E1D46">
              <w:rPr>
                <w:rFonts w:eastAsia="Candara"/>
                <w:b/>
              </w:rPr>
              <w:t xml:space="preserve"> with support</w:t>
            </w:r>
            <w:r w:rsidRPr="008E1D46">
              <w:rPr>
                <w:rFonts w:eastAsia="Candara"/>
                <w:b/>
              </w:rPr>
              <w:br/>
            </w:r>
            <w:r w:rsidRPr="008E1D46">
              <w:rPr>
                <w:rFonts w:eastAsia="Candara"/>
              </w:rPr>
              <w:t>Pages 28</w:t>
            </w:r>
            <w:r>
              <w:rPr>
                <w:rFonts w:eastAsia="Candara"/>
              </w:rPr>
              <w:t>–</w:t>
            </w:r>
            <w:r w:rsidRPr="008E1D46">
              <w:rPr>
                <w:rFonts w:eastAsia="Candara"/>
              </w:rPr>
              <w:t>36</w:t>
            </w:r>
          </w:p>
          <w:p w:rsidR="008E1D46" w:rsidRDefault="008E1D46" w:rsidP="008E1D46">
            <w:pPr>
              <w:pStyle w:val="TableBullet"/>
            </w:pPr>
            <w:r w:rsidRPr="008E1D46">
              <w:rPr>
                <w:rFonts w:eastAsia="Candara"/>
                <w:b/>
              </w:rPr>
              <w:t xml:space="preserve">Theme 5 – Embedding </w:t>
            </w:r>
            <w:proofErr w:type="spellStart"/>
            <w:r w:rsidRPr="008E1D46">
              <w:rPr>
                <w:rFonts w:eastAsia="Candara"/>
                <w:b/>
              </w:rPr>
              <w:t>whānau</w:t>
            </w:r>
            <w:proofErr w:type="spellEnd"/>
            <w:r w:rsidRPr="008E1D46">
              <w:rPr>
                <w:rFonts w:eastAsia="Candara"/>
                <w:b/>
              </w:rPr>
              <w:t>-centred approaches into policy and practice</w:t>
            </w:r>
            <w:r w:rsidRPr="008E1D46">
              <w:rPr>
                <w:rFonts w:eastAsia="Candara"/>
                <w:b/>
              </w:rPr>
              <w:br/>
            </w:r>
            <w:r w:rsidRPr="008E1D46">
              <w:rPr>
                <w:rFonts w:eastAsia="Candara"/>
              </w:rPr>
              <w:t>Pages 38</w:t>
            </w:r>
            <w:r>
              <w:rPr>
                <w:rFonts w:eastAsia="Candara"/>
              </w:rPr>
              <w:t>–</w:t>
            </w:r>
            <w:r w:rsidRPr="008E1D46">
              <w:rPr>
                <w:rFonts w:eastAsia="Candara"/>
              </w:rPr>
              <w:t>42</w:t>
            </w:r>
          </w:p>
        </w:tc>
      </w:tr>
    </w:tbl>
    <w:p w:rsidR="008F4364" w:rsidRDefault="008F4364" w:rsidP="008E1D46"/>
    <w:p w:rsidR="008F4364" w:rsidRPr="004D669E" w:rsidRDefault="008F4364" w:rsidP="008E1D46">
      <w:pPr>
        <w:rPr>
          <w:rFonts w:eastAsia="Candara"/>
        </w:rPr>
      </w:pPr>
      <w:r w:rsidRPr="004D669E">
        <w:rPr>
          <w:rFonts w:eastAsia="Candara"/>
        </w:rPr>
        <w:t xml:space="preserve">The tables on the following pages present an overview of the </w:t>
      </w:r>
      <w:r w:rsidRPr="008E1D46">
        <w:rPr>
          <w:rStyle w:val="Hyperlink"/>
          <w:rFonts w:eastAsia="Candara"/>
        </w:rPr>
        <w:t>Increasing VIP Programmes Responsiveness to Māori</w:t>
      </w:r>
      <w:r w:rsidRPr="004D669E">
        <w:rPr>
          <w:rFonts w:eastAsia="Candara"/>
          <w:color w:val="735C30"/>
        </w:rPr>
        <w:t xml:space="preserve"> </w:t>
      </w:r>
      <w:r w:rsidRPr="004D669E">
        <w:rPr>
          <w:rFonts w:eastAsia="Candara"/>
        </w:rPr>
        <w:t>Stories and Case Studies. Key points and target audiences are highlighted for each.</w:t>
      </w:r>
    </w:p>
    <w:p w:rsidR="008F4364" w:rsidRPr="004D669E" w:rsidRDefault="008F4364" w:rsidP="008E1D46"/>
    <w:p w:rsidR="008E1D46" w:rsidRDefault="008E1D46" w:rsidP="008E1D46">
      <w:pPr>
        <w:rPr>
          <w:rFonts w:eastAsia="Candara"/>
        </w:rPr>
      </w:pPr>
      <w:r>
        <w:rPr>
          <w:rFonts w:eastAsia="Candara"/>
        </w:rPr>
        <w:br w:type="page"/>
      </w:r>
    </w:p>
    <w:bookmarkStart w:id="8" w:name="_Toc394305718"/>
    <w:p w:rsidR="008F4364" w:rsidRPr="004D669E" w:rsidRDefault="008E1D46" w:rsidP="008E1D46">
      <w:pPr>
        <w:pStyle w:val="Heading1"/>
        <w:rPr>
          <w:rFonts w:eastAsia="Candara"/>
        </w:rPr>
      </w:pPr>
      <w:r>
        <w:rPr>
          <w:noProof/>
          <w:lang w:eastAsia="en-NZ"/>
        </w:rPr>
        <w:lastRenderedPageBreak/>
        <mc:AlternateContent>
          <mc:Choice Requires="wps">
            <w:drawing>
              <wp:anchor distT="0" distB="0" distL="114300" distR="114300" simplePos="0" relativeHeight="251673600" behindDoc="1" locked="0" layoutInCell="1" allowOverlap="1" wp14:anchorId="0067C2F9" wp14:editId="27AF861A">
                <wp:simplePos x="0" y="0"/>
                <wp:positionH relativeFrom="column">
                  <wp:posOffset>-331470</wp:posOffset>
                </wp:positionH>
                <wp:positionV relativeFrom="paragraph">
                  <wp:posOffset>-103563</wp:posOffset>
                </wp:positionV>
                <wp:extent cx="6792595" cy="1412240"/>
                <wp:effectExtent l="0" t="0" r="27305" b="16510"/>
                <wp:wrapNone/>
                <wp:docPr id="14" name="Rounded Rectangle 14"/>
                <wp:cNvGraphicFramePr/>
                <a:graphic xmlns:a="http://schemas.openxmlformats.org/drawingml/2006/main">
                  <a:graphicData uri="http://schemas.microsoft.com/office/word/2010/wordprocessingShape">
                    <wps:wsp>
                      <wps:cNvSpPr/>
                      <wps:spPr>
                        <a:xfrm>
                          <a:off x="0" y="0"/>
                          <a:ext cx="6792595" cy="141224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6.1pt;margin-top:-8.15pt;width:534.85pt;height:11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" fillcolor="#d8d8d8 [2732]" strokecolor="#d8d8d8 [2732]" strokeweight="2pt"/>
            </w:pict>
          </mc:Fallback>
        </mc:AlternateContent>
      </w:r>
      <w:r w:rsidR="008F4364" w:rsidRPr="004D669E">
        <w:rPr>
          <w:rFonts w:eastAsia="Candara"/>
        </w:rPr>
        <w:t xml:space="preserve">Increasing VIP </w:t>
      </w:r>
      <w:r w:rsidR="00AE0A40">
        <w:rPr>
          <w:rFonts w:eastAsia="Candara"/>
        </w:rPr>
        <w:t>p</w:t>
      </w:r>
      <w:r w:rsidR="008F4364" w:rsidRPr="004D669E">
        <w:rPr>
          <w:rFonts w:eastAsia="Candara"/>
        </w:rPr>
        <w:t>rogrammes</w:t>
      </w:r>
      <w:r w:rsidR="00E73F21">
        <w:rPr>
          <w:rFonts w:eastAsia="Candara"/>
        </w:rPr>
        <w:t>’</w:t>
      </w:r>
      <w:r w:rsidR="008F4364" w:rsidRPr="004D669E">
        <w:rPr>
          <w:rFonts w:eastAsia="Candara"/>
        </w:rPr>
        <w:t xml:space="preserve"> </w:t>
      </w:r>
      <w:r w:rsidR="00AE0A40">
        <w:rPr>
          <w:rFonts w:eastAsia="Candara"/>
        </w:rPr>
        <w:t>r</w:t>
      </w:r>
      <w:r w:rsidR="008F4364" w:rsidRPr="004D669E">
        <w:rPr>
          <w:rFonts w:eastAsia="Candara"/>
        </w:rPr>
        <w:t>esponsiveness to Māori</w:t>
      </w:r>
      <w:r>
        <w:rPr>
          <w:rFonts w:eastAsia="Candara"/>
        </w:rPr>
        <w:br/>
        <w:t>–</w:t>
      </w:r>
      <w:r w:rsidR="008F4364" w:rsidRPr="004D669E">
        <w:rPr>
          <w:rFonts w:eastAsia="Candara"/>
        </w:rPr>
        <w:t xml:space="preserve"> </w:t>
      </w:r>
      <w:r w:rsidR="00AE0A40">
        <w:rPr>
          <w:rFonts w:eastAsia="Candara"/>
        </w:rPr>
        <w:t>s</w:t>
      </w:r>
      <w:r w:rsidR="008F4364" w:rsidRPr="004D669E">
        <w:rPr>
          <w:rFonts w:eastAsia="Candara"/>
        </w:rPr>
        <w:t xml:space="preserve">tories and </w:t>
      </w:r>
      <w:r w:rsidR="00AE0A40">
        <w:rPr>
          <w:rFonts w:eastAsia="Candara"/>
        </w:rPr>
        <w:t>c</w:t>
      </w:r>
      <w:r w:rsidR="008F4364" w:rsidRPr="004D669E">
        <w:rPr>
          <w:rFonts w:eastAsia="Candara"/>
        </w:rPr>
        <w:t xml:space="preserve">ase </w:t>
      </w:r>
      <w:r w:rsidR="00AE0A40">
        <w:rPr>
          <w:rFonts w:eastAsia="Candara"/>
        </w:rPr>
        <w:t>s</w:t>
      </w:r>
      <w:r w:rsidR="008F4364" w:rsidRPr="004D669E">
        <w:rPr>
          <w:rFonts w:eastAsia="Candara"/>
        </w:rPr>
        <w:t>tudies</w:t>
      </w:r>
      <w:bookmarkEnd w:id="8"/>
    </w:p>
    <w:p w:rsidR="008F4364" w:rsidRPr="004D669E" w:rsidRDefault="008F4364" w:rsidP="008E1D46">
      <w:pPr>
        <w:rPr>
          <w:rFonts w:eastAsia="Candara"/>
        </w:rPr>
      </w:pPr>
      <w:r w:rsidRPr="004D669E">
        <w:rPr>
          <w:rFonts w:eastAsia="Candara"/>
        </w:rPr>
        <w:t xml:space="preserve">The following tables present an overview of the stories and case studies in </w:t>
      </w:r>
      <w:r w:rsidRPr="004D669E">
        <w:rPr>
          <w:rFonts w:eastAsia="Candara"/>
          <w:color w:val="735C30"/>
        </w:rPr>
        <w:t>Increasing VIP</w:t>
      </w:r>
      <w:r w:rsidR="008E1D46">
        <w:rPr>
          <w:rFonts w:eastAsia="Candara"/>
          <w:color w:val="735C30"/>
        </w:rPr>
        <w:t xml:space="preserve"> </w:t>
      </w:r>
      <w:r w:rsidRPr="004D669E">
        <w:rPr>
          <w:rFonts w:eastAsia="Candara"/>
          <w:color w:val="735C30"/>
        </w:rPr>
        <w:t>Programmes</w:t>
      </w:r>
      <w:r w:rsidR="00E73F21">
        <w:rPr>
          <w:rFonts w:eastAsia="Candara"/>
          <w:color w:val="735C30"/>
        </w:rPr>
        <w:t>’</w:t>
      </w:r>
      <w:r w:rsidRPr="004D669E">
        <w:rPr>
          <w:rFonts w:eastAsia="Candara"/>
          <w:color w:val="735C30"/>
        </w:rPr>
        <w:t xml:space="preserve"> Responsiveness to Māori</w:t>
      </w:r>
      <w:r w:rsidRPr="004D669E">
        <w:rPr>
          <w:rFonts w:eastAsia="Candara"/>
          <w:color w:val="000000"/>
        </w:rPr>
        <w:t>. Key points and the target audience are highlighted for each.</w:t>
      </w:r>
    </w:p>
    <w:p w:rsidR="008F4364" w:rsidRPr="004D669E" w:rsidRDefault="008F4364" w:rsidP="008E1D46"/>
    <w:p w:rsidR="008F4364" w:rsidRDefault="008F4364" w:rsidP="008E1D46">
      <w:pPr>
        <w:pStyle w:val="Heading2"/>
        <w:rPr>
          <w:rFonts w:eastAsia="Candara"/>
        </w:rPr>
      </w:pPr>
      <w:r w:rsidRPr="004D669E">
        <w:rPr>
          <w:rFonts w:eastAsia="Candara"/>
        </w:rPr>
        <w:t xml:space="preserve">Theme 1: Putting </w:t>
      </w:r>
      <w:proofErr w:type="spellStart"/>
      <w:r w:rsidRPr="004D669E">
        <w:rPr>
          <w:rFonts w:eastAsia="Candara"/>
        </w:rPr>
        <w:t>whānau</w:t>
      </w:r>
      <w:proofErr w:type="spellEnd"/>
      <w:r w:rsidRPr="004D669E">
        <w:rPr>
          <w:rFonts w:eastAsia="Candara"/>
        </w:rPr>
        <w:t xml:space="preserve"> at the centre of VIP and health practice</w:t>
      </w:r>
    </w:p>
    <w:tbl>
      <w:tblPr>
        <w:tblStyle w:val="TableGrid"/>
        <w:tblW w:w="8222" w:type="dxa"/>
        <w:tblInd w:w="108" w:type="dxa"/>
        <w:tblLayout w:type="fixed"/>
        <w:tblLook w:val="04A0" w:firstRow="1" w:lastRow="0" w:firstColumn="1" w:lastColumn="0" w:noHBand="0" w:noVBand="1"/>
      </w:tblPr>
      <w:tblGrid>
        <w:gridCol w:w="2268"/>
        <w:gridCol w:w="2694"/>
        <w:gridCol w:w="3260"/>
      </w:tblGrid>
      <w:tr w:rsidR="008E1D46" w:rsidRPr="008E1D46" w:rsidTr="009501D2">
        <w:trPr>
          <w:cantSplit/>
        </w:trPr>
        <w:tc>
          <w:tcPr>
            <w:tcW w:w="2268" w:type="dxa"/>
          </w:tcPr>
          <w:p w:rsidR="008E1D46" w:rsidRPr="008E1D46" w:rsidRDefault="008E1D46" w:rsidP="005F3D52">
            <w:pPr>
              <w:pStyle w:val="TableText"/>
              <w:rPr>
                <w:rFonts w:eastAsia="Candara"/>
                <w:b/>
              </w:rPr>
            </w:pPr>
            <w:r w:rsidRPr="008E1D46">
              <w:rPr>
                <w:rFonts w:eastAsia="Candara"/>
                <w:b/>
              </w:rPr>
              <w:t>Story/case study title</w:t>
            </w:r>
          </w:p>
        </w:tc>
        <w:tc>
          <w:tcPr>
            <w:tcW w:w="2694" w:type="dxa"/>
          </w:tcPr>
          <w:p w:rsidR="008E1D46" w:rsidRPr="008E1D46" w:rsidRDefault="008E1D46" w:rsidP="005F3D52">
            <w:pPr>
              <w:pStyle w:val="TableText"/>
              <w:rPr>
                <w:rFonts w:eastAsia="Candara"/>
                <w:b/>
              </w:rPr>
            </w:pPr>
            <w:r w:rsidRPr="008E1D46">
              <w:rPr>
                <w:rFonts w:eastAsia="Candara"/>
                <w:b/>
              </w:rPr>
              <w:t>Particularly relevant to</w:t>
            </w:r>
          </w:p>
        </w:tc>
        <w:tc>
          <w:tcPr>
            <w:tcW w:w="3260" w:type="dxa"/>
          </w:tcPr>
          <w:p w:rsidR="008E1D46" w:rsidRPr="008E1D46" w:rsidRDefault="008E1D46" w:rsidP="005F3D52">
            <w:pPr>
              <w:pStyle w:val="TableText"/>
              <w:rPr>
                <w:rFonts w:eastAsia="Candara"/>
                <w:b/>
              </w:rPr>
            </w:pPr>
            <w:r w:rsidRPr="008E1D46">
              <w:rPr>
                <w:rFonts w:eastAsia="Candara"/>
                <w:b/>
              </w:rPr>
              <w:t>Main focus</w:t>
            </w:r>
          </w:p>
        </w:tc>
      </w:tr>
      <w:tr w:rsidR="008E1D46" w:rsidTr="009501D2">
        <w:trPr>
          <w:cantSplit/>
        </w:trPr>
        <w:tc>
          <w:tcPr>
            <w:tcW w:w="2268" w:type="dxa"/>
          </w:tcPr>
          <w:p w:rsidR="008E1D46" w:rsidRDefault="008E1D46" w:rsidP="008E1D46">
            <w:pPr>
              <w:pStyle w:val="TableText"/>
              <w:rPr>
                <w:rFonts w:eastAsia="Candara"/>
              </w:rPr>
            </w:pPr>
            <w:r>
              <w:rPr>
                <w:rFonts w:eastAsia="Candara"/>
                <w:spacing w:val="-6"/>
              </w:rPr>
              <w:t>W</w:t>
            </w:r>
            <w:r>
              <w:rPr>
                <w:rFonts w:eastAsia="Candara"/>
              </w:rPr>
              <w:t xml:space="preserve">eaving a southern </w:t>
            </w:r>
            <w:r>
              <w:rPr>
                <w:rFonts w:eastAsia="Candara"/>
                <w:position w:val="1"/>
              </w:rPr>
              <w:t>perspective</w:t>
            </w:r>
          </w:p>
        </w:tc>
        <w:tc>
          <w:tcPr>
            <w:tcW w:w="2694" w:type="dxa"/>
          </w:tcPr>
          <w:p w:rsidR="008E1D46" w:rsidRDefault="008E1D46" w:rsidP="009501D2">
            <w:pPr>
              <w:pStyle w:val="TableBulletstyle2"/>
              <w:rPr>
                <w:rFonts w:eastAsia="Candara"/>
              </w:rPr>
            </w:pPr>
            <w:r>
              <w:rPr>
                <w:rFonts w:eastAsia="Candara"/>
              </w:rPr>
              <w:t>VIP coordinators, managers,</w:t>
            </w:r>
            <w:r>
              <w:rPr>
                <w:rFonts w:eastAsia="Candara"/>
                <w:spacing w:val="-10"/>
              </w:rPr>
              <w:t xml:space="preserve"> </w:t>
            </w:r>
            <w:r>
              <w:rPr>
                <w:rFonts w:eastAsia="Candara"/>
              </w:rPr>
              <w:t>sponsors and steering groups</w:t>
            </w:r>
          </w:p>
        </w:tc>
        <w:tc>
          <w:tcPr>
            <w:tcW w:w="3260" w:type="dxa"/>
          </w:tcPr>
          <w:p w:rsidR="008E1D46" w:rsidRDefault="008E1D46" w:rsidP="008E1D46">
            <w:pPr>
              <w:pStyle w:val="TableText"/>
              <w:rPr>
                <w:rFonts w:eastAsia="Candara"/>
              </w:rPr>
            </w:pPr>
            <w:r>
              <w:rPr>
                <w:rFonts w:eastAsia="Candara"/>
              </w:rPr>
              <w:t>How commissioning a woven flax baby basket (</w:t>
            </w:r>
            <w:proofErr w:type="spellStart"/>
            <w:r>
              <w:rPr>
                <w:rFonts w:eastAsia="Candara"/>
              </w:rPr>
              <w:t>wahakura</w:t>
            </w:r>
            <w:proofErr w:type="spellEnd"/>
            <w:r>
              <w:rPr>
                <w:rFonts w:eastAsia="Candara"/>
              </w:rPr>
              <w:t>) for the Queen Mary Maternity Hospital has engaged families and midwives. Highlights</w:t>
            </w:r>
            <w:r>
              <w:rPr>
                <w:rFonts w:eastAsia="Candara"/>
                <w:spacing w:val="-2"/>
              </w:rPr>
              <w:t xml:space="preserve"> </w:t>
            </w:r>
            <w:r>
              <w:rPr>
                <w:rFonts w:eastAsia="Candara"/>
              </w:rPr>
              <w:t>the</w:t>
            </w:r>
            <w:r>
              <w:rPr>
                <w:rFonts w:eastAsia="Candara"/>
                <w:spacing w:val="-2"/>
              </w:rPr>
              <w:t xml:space="preserve"> </w:t>
            </w:r>
            <w:r>
              <w:rPr>
                <w:rFonts w:eastAsia="Candara"/>
              </w:rPr>
              <w:t>importance</w:t>
            </w:r>
            <w:r>
              <w:rPr>
                <w:rFonts w:eastAsia="Candara"/>
                <w:spacing w:val="-2"/>
              </w:rPr>
              <w:t xml:space="preserve"> </w:t>
            </w:r>
            <w:r>
              <w:rPr>
                <w:rFonts w:eastAsia="Candara"/>
              </w:rPr>
              <w:t>of</w:t>
            </w:r>
            <w:r>
              <w:rPr>
                <w:rFonts w:eastAsia="Candara"/>
                <w:spacing w:val="-2"/>
              </w:rPr>
              <w:t xml:space="preserve"> </w:t>
            </w:r>
            <w:r>
              <w:rPr>
                <w:rFonts w:eastAsia="Candara"/>
              </w:rPr>
              <w:t xml:space="preserve">working in partnership with the </w:t>
            </w:r>
            <w:proofErr w:type="spellStart"/>
            <w:r>
              <w:rPr>
                <w:rFonts w:eastAsia="Candara"/>
              </w:rPr>
              <w:t>whānau</w:t>
            </w:r>
            <w:proofErr w:type="spellEnd"/>
            <w:r>
              <w:rPr>
                <w:rFonts w:eastAsia="Candara"/>
              </w:rPr>
              <w:t xml:space="preserve"> and professionals to keep children and families safe.</w:t>
            </w:r>
          </w:p>
        </w:tc>
      </w:tr>
      <w:tr w:rsidR="008E1D46" w:rsidTr="009501D2">
        <w:trPr>
          <w:cantSplit/>
        </w:trPr>
        <w:tc>
          <w:tcPr>
            <w:tcW w:w="2268" w:type="dxa"/>
          </w:tcPr>
          <w:p w:rsidR="008E1D46" w:rsidRDefault="008E1D46" w:rsidP="008E1D46">
            <w:pPr>
              <w:pStyle w:val="TableText"/>
              <w:rPr>
                <w:rFonts w:eastAsia="Candara"/>
              </w:rPr>
            </w:pPr>
            <w:r>
              <w:rPr>
                <w:rFonts w:eastAsia="Candara"/>
              </w:rPr>
              <w:t xml:space="preserve">Protecting children by working with midwives to support pregnant women and their </w:t>
            </w:r>
            <w:proofErr w:type="spellStart"/>
            <w:r>
              <w:rPr>
                <w:rFonts w:eastAsia="Candara"/>
              </w:rPr>
              <w:t>whānau</w:t>
            </w:r>
            <w:proofErr w:type="spellEnd"/>
          </w:p>
        </w:tc>
        <w:tc>
          <w:tcPr>
            <w:tcW w:w="2694" w:type="dxa"/>
          </w:tcPr>
          <w:p w:rsidR="008E1D46" w:rsidRDefault="008E1D46" w:rsidP="009501D2">
            <w:pPr>
              <w:pStyle w:val="TableBulletstyle2"/>
              <w:rPr>
                <w:rFonts w:eastAsia="Candara"/>
              </w:rPr>
            </w:pPr>
            <w:r>
              <w:rPr>
                <w:rFonts w:eastAsia="Candara"/>
              </w:rPr>
              <w:t>Lead maternity carers</w:t>
            </w:r>
          </w:p>
          <w:p w:rsidR="008E1D46" w:rsidRDefault="008E1D46" w:rsidP="009501D2">
            <w:pPr>
              <w:pStyle w:val="TableBulletstyle2"/>
              <w:rPr>
                <w:rFonts w:eastAsia="Candara"/>
              </w:rPr>
            </w:pPr>
            <w:r>
              <w:rPr>
                <w:rFonts w:eastAsia="Candara"/>
              </w:rPr>
              <w:t>Midwives</w:t>
            </w:r>
          </w:p>
          <w:p w:rsidR="008E1D46" w:rsidRDefault="008E1D46" w:rsidP="009501D2">
            <w:pPr>
              <w:pStyle w:val="TableBulletstyle2"/>
              <w:rPr>
                <w:rFonts w:eastAsia="Candara"/>
              </w:rPr>
            </w:pPr>
            <w:r>
              <w:rPr>
                <w:rFonts w:eastAsia="Candara"/>
              </w:rPr>
              <w:t>Social workers</w:t>
            </w:r>
          </w:p>
        </w:tc>
        <w:tc>
          <w:tcPr>
            <w:tcW w:w="3260" w:type="dxa"/>
          </w:tcPr>
          <w:p w:rsidR="008E1D46" w:rsidRDefault="008E1D46" w:rsidP="008E1D46">
            <w:pPr>
              <w:pStyle w:val="TableText"/>
              <w:rPr>
                <w:rFonts w:eastAsia="Candara"/>
              </w:rPr>
            </w:pPr>
            <w:r>
              <w:rPr>
                <w:rFonts w:eastAsia="Candara"/>
              </w:rPr>
              <w:t>How the VIP team is supporting LMC midwives t</w:t>
            </w:r>
            <w:r w:rsidR="009501D2">
              <w:rPr>
                <w:rFonts w:eastAsia="Candara"/>
              </w:rPr>
              <w:t>o</w:t>
            </w:r>
            <w:r>
              <w:rPr>
                <w:rFonts w:eastAsia="Candara"/>
              </w:rPr>
              <w:t xml:space="preserve"> empower families to take a proactive approach to keeping their child safe if they have previously had children removed from their care.</w:t>
            </w:r>
          </w:p>
        </w:tc>
      </w:tr>
    </w:tbl>
    <w:p w:rsidR="008F4364" w:rsidRPr="004D669E" w:rsidRDefault="008F4364" w:rsidP="009501D2"/>
    <w:p w:rsidR="008F4364" w:rsidRDefault="008F4364" w:rsidP="009501D2">
      <w:pPr>
        <w:pStyle w:val="Heading2"/>
        <w:rPr>
          <w:rFonts w:eastAsia="Candara"/>
        </w:rPr>
      </w:pPr>
      <w:r w:rsidRPr="004D669E">
        <w:rPr>
          <w:rFonts w:eastAsia="Candara"/>
        </w:rPr>
        <w:lastRenderedPageBreak/>
        <w:t xml:space="preserve">Theme 2: </w:t>
      </w:r>
      <w:proofErr w:type="spellStart"/>
      <w:r w:rsidRPr="004D669E">
        <w:rPr>
          <w:rFonts w:eastAsia="Candara"/>
        </w:rPr>
        <w:t>Whānau</w:t>
      </w:r>
      <w:proofErr w:type="spellEnd"/>
      <w:r w:rsidRPr="004D669E">
        <w:rPr>
          <w:rFonts w:eastAsia="Candara"/>
        </w:rPr>
        <w:t xml:space="preserve"> strengths: seeing the patient in the context of their extended family and community</w:t>
      </w:r>
    </w:p>
    <w:tbl>
      <w:tblPr>
        <w:tblStyle w:val="TableGrid"/>
        <w:tblW w:w="8222" w:type="dxa"/>
        <w:tblInd w:w="108" w:type="dxa"/>
        <w:tblLayout w:type="fixed"/>
        <w:tblLook w:val="04A0" w:firstRow="1" w:lastRow="0" w:firstColumn="1" w:lastColumn="0" w:noHBand="0" w:noVBand="1"/>
      </w:tblPr>
      <w:tblGrid>
        <w:gridCol w:w="2268"/>
        <w:gridCol w:w="2694"/>
        <w:gridCol w:w="3260"/>
      </w:tblGrid>
      <w:tr w:rsidR="009501D2" w:rsidRPr="008E1D46" w:rsidTr="005F3D52">
        <w:trPr>
          <w:cantSplit/>
        </w:trPr>
        <w:tc>
          <w:tcPr>
            <w:tcW w:w="2268" w:type="dxa"/>
          </w:tcPr>
          <w:p w:rsidR="009501D2" w:rsidRPr="008E1D46" w:rsidRDefault="009501D2" w:rsidP="009501D2">
            <w:pPr>
              <w:pStyle w:val="TableText"/>
              <w:keepNext/>
              <w:rPr>
                <w:rFonts w:eastAsia="Candara"/>
                <w:b/>
              </w:rPr>
            </w:pPr>
            <w:r w:rsidRPr="008E1D46">
              <w:rPr>
                <w:rFonts w:eastAsia="Candara"/>
                <w:b/>
              </w:rPr>
              <w:t>Story/case study title</w:t>
            </w:r>
          </w:p>
        </w:tc>
        <w:tc>
          <w:tcPr>
            <w:tcW w:w="2694" w:type="dxa"/>
          </w:tcPr>
          <w:p w:rsidR="009501D2" w:rsidRPr="008E1D46" w:rsidRDefault="009501D2" w:rsidP="009501D2">
            <w:pPr>
              <w:pStyle w:val="TableText"/>
              <w:keepNext/>
              <w:rPr>
                <w:rFonts w:eastAsia="Candara"/>
                <w:b/>
              </w:rPr>
            </w:pPr>
            <w:r w:rsidRPr="008E1D46">
              <w:rPr>
                <w:rFonts w:eastAsia="Candara"/>
                <w:b/>
              </w:rPr>
              <w:t>Particularly relevant to</w:t>
            </w:r>
          </w:p>
        </w:tc>
        <w:tc>
          <w:tcPr>
            <w:tcW w:w="3260" w:type="dxa"/>
          </w:tcPr>
          <w:p w:rsidR="009501D2" w:rsidRPr="008E1D46" w:rsidRDefault="009501D2" w:rsidP="009501D2">
            <w:pPr>
              <w:pStyle w:val="TableText"/>
              <w:keepNext/>
              <w:rPr>
                <w:rFonts w:eastAsia="Candara"/>
                <w:b/>
              </w:rPr>
            </w:pPr>
            <w:r w:rsidRPr="008E1D46">
              <w:rPr>
                <w:rFonts w:eastAsia="Candara"/>
                <w:b/>
              </w:rPr>
              <w:t>Main focus</w:t>
            </w:r>
          </w:p>
        </w:tc>
      </w:tr>
      <w:tr w:rsidR="009501D2" w:rsidTr="005F3D52">
        <w:trPr>
          <w:cantSplit/>
        </w:trPr>
        <w:tc>
          <w:tcPr>
            <w:tcW w:w="2268" w:type="dxa"/>
          </w:tcPr>
          <w:p w:rsidR="009501D2" w:rsidRPr="004D669E" w:rsidRDefault="009501D2" w:rsidP="005F3D52">
            <w:pPr>
              <w:pStyle w:val="TableText"/>
              <w:rPr>
                <w:rFonts w:eastAsia="Candara" w:cs="Candara"/>
              </w:rPr>
            </w:pPr>
            <w:r w:rsidRPr="004D669E">
              <w:rPr>
                <w:rFonts w:eastAsia="Candara" w:cs="Candara"/>
              </w:rPr>
              <w:t xml:space="preserve">Seeing the patient in the context of their </w:t>
            </w:r>
            <w:proofErr w:type="spellStart"/>
            <w:r w:rsidRPr="004D669E">
              <w:rPr>
                <w:rFonts w:eastAsia="Candara" w:cs="Candara"/>
              </w:rPr>
              <w:t>whānau</w:t>
            </w:r>
            <w:proofErr w:type="spellEnd"/>
            <w:r w:rsidRPr="004D669E">
              <w:rPr>
                <w:rFonts w:eastAsia="Candara" w:cs="Candara"/>
              </w:rPr>
              <w:t>: a physician</w:t>
            </w:r>
            <w:r>
              <w:rPr>
                <w:rFonts w:eastAsia="Candara" w:cs="Candara"/>
              </w:rPr>
              <w:t>’</w:t>
            </w:r>
            <w:r w:rsidRPr="004D669E">
              <w:rPr>
                <w:rFonts w:eastAsia="Candara" w:cs="Candara"/>
              </w:rPr>
              <w:t>s perspective</w:t>
            </w:r>
          </w:p>
        </w:tc>
        <w:tc>
          <w:tcPr>
            <w:tcW w:w="2694" w:type="dxa"/>
          </w:tcPr>
          <w:p w:rsidR="009501D2" w:rsidRPr="009501D2" w:rsidRDefault="009501D2" w:rsidP="009501D2">
            <w:pPr>
              <w:pStyle w:val="TableBulletstyle2"/>
              <w:rPr>
                <w:rFonts w:eastAsia="Candara"/>
              </w:rPr>
            </w:pPr>
            <w:r w:rsidRPr="009501D2">
              <w:rPr>
                <w:rFonts w:eastAsia="Candara"/>
              </w:rPr>
              <w:t>Emergency care clinicians</w:t>
            </w:r>
          </w:p>
          <w:p w:rsidR="009501D2" w:rsidRPr="004D669E" w:rsidRDefault="009501D2" w:rsidP="009501D2">
            <w:pPr>
              <w:pStyle w:val="TableBulletstyle2"/>
              <w:rPr>
                <w:rFonts w:eastAsia="Candara"/>
              </w:rPr>
            </w:pPr>
            <w:r w:rsidRPr="004D669E">
              <w:rPr>
                <w:rFonts w:eastAsia="Candara"/>
              </w:rPr>
              <w:t>Doctors</w:t>
            </w:r>
          </w:p>
          <w:p w:rsidR="009501D2" w:rsidRPr="004D669E" w:rsidRDefault="009501D2" w:rsidP="009501D2">
            <w:pPr>
              <w:pStyle w:val="TableBulletstyle2"/>
              <w:rPr>
                <w:rFonts w:eastAsia="Candara"/>
              </w:rPr>
            </w:pPr>
            <w:r w:rsidRPr="004D669E">
              <w:rPr>
                <w:rFonts w:eastAsia="Candara"/>
              </w:rPr>
              <w:t>Nurses</w:t>
            </w:r>
          </w:p>
          <w:p w:rsidR="009501D2" w:rsidRDefault="009501D2" w:rsidP="009501D2">
            <w:pPr>
              <w:pStyle w:val="TableBulletstyle2"/>
              <w:rPr>
                <w:rFonts w:eastAsia="Candara"/>
              </w:rPr>
            </w:pPr>
            <w:r w:rsidRPr="004D669E">
              <w:rPr>
                <w:rFonts w:eastAsia="Candara"/>
              </w:rPr>
              <w:t>Social workers</w:t>
            </w:r>
          </w:p>
        </w:tc>
        <w:tc>
          <w:tcPr>
            <w:tcW w:w="3260" w:type="dxa"/>
          </w:tcPr>
          <w:p w:rsidR="009501D2" w:rsidRDefault="009501D2" w:rsidP="009501D2">
            <w:pPr>
              <w:pStyle w:val="TableText"/>
              <w:rPr>
                <w:rFonts w:eastAsia="Candara"/>
              </w:rPr>
            </w:pPr>
            <w:r w:rsidRPr="004D669E">
              <w:rPr>
                <w:rFonts w:eastAsia="Candara"/>
              </w:rPr>
              <w:t>Emergency care physician</w:t>
            </w:r>
            <w:r>
              <w:rPr>
                <w:rFonts w:eastAsia="Candara"/>
              </w:rPr>
              <w:t xml:space="preserve"> </w:t>
            </w:r>
            <w:r w:rsidRPr="004D669E">
              <w:rPr>
                <w:rFonts w:eastAsia="Candara"/>
              </w:rPr>
              <w:t>Dr</w:t>
            </w:r>
            <w:r>
              <w:rPr>
                <w:rFonts w:eastAsia="Candara"/>
              </w:rPr>
              <w:t> </w:t>
            </w:r>
            <w:r w:rsidRPr="004D669E">
              <w:rPr>
                <w:rFonts w:eastAsia="Candara"/>
              </w:rPr>
              <w:t>Sylvia Boys talks about the</w:t>
            </w:r>
            <w:r>
              <w:rPr>
                <w:rFonts w:eastAsia="Candara"/>
              </w:rPr>
              <w:t xml:space="preserve"> </w:t>
            </w:r>
            <w:r w:rsidRPr="004D669E">
              <w:rPr>
                <w:rFonts w:eastAsia="Candara"/>
              </w:rPr>
              <w:t>importance of screening for family</w:t>
            </w:r>
            <w:r>
              <w:rPr>
                <w:rFonts w:eastAsia="Candara"/>
              </w:rPr>
              <w:t xml:space="preserve"> </w:t>
            </w:r>
            <w:r w:rsidRPr="004D669E">
              <w:rPr>
                <w:rFonts w:eastAsia="Candara"/>
              </w:rPr>
              <w:t>violence and seeing patients in</w:t>
            </w:r>
            <w:r>
              <w:rPr>
                <w:rFonts w:eastAsia="Candara"/>
              </w:rPr>
              <w:t xml:space="preserve"> </w:t>
            </w:r>
            <w:r w:rsidRPr="004D669E">
              <w:rPr>
                <w:rFonts w:eastAsia="Candara"/>
              </w:rPr>
              <w:t xml:space="preserve">the context of their </w:t>
            </w:r>
            <w:proofErr w:type="spellStart"/>
            <w:r w:rsidRPr="004D669E">
              <w:rPr>
                <w:rFonts w:eastAsia="Candara"/>
              </w:rPr>
              <w:t>whānau</w:t>
            </w:r>
            <w:proofErr w:type="spellEnd"/>
            <w:r w:rsidRPr="004D669E">
              <w:rPr>
                <w:rFonts w:eastAsia="Candara"/>
              </w:rPr>
              <w:t>. She</w:t>
            </w:r>
            <w:r>
              <w:rPr>
                <w:rFonts w:eastAsia="Candara"/>
              </w:rPr>
              <w:t xml:space="preserve"> </w:t>
            </w:r>
            <w:r w:rsidRPr="004D669E">
              <w:rPr>
                <w:rFonts w:eastAsia="Candara"/>
              </w:rPr>
              <w:t>observes the support role that</w:t>
            </w:r>
            <w:r>
              <w:rPr>
                <w:rFonts w:eastAsia="Candara"/>
              </w:rPr>
              <w:t xml:space="preserve"> </w:t>
            </w:r>
            <w:r w:rsidRPr="004D669E">
              <w:rPr>
                <w:rFonts w:eastAsia="Candara"/>
              </w:rPr>
              <w:t>families play. Content is linked to the</w:t>
            </w:r>
            <w:r>
              <w:rPr>
                <w:rFonts w:eastAsia="Candara"/>
              </w:rPr>
              <w:t xml:space="preserve"> </w:t>
            </w:r>
            <w:r w:rsidRPr="004D669E">
              <w:rPr>
                <w:rFonts w:eastAsia="Candara"/>
              </w:rPr>
              <w:t>VIP six</w:t>
            </w:r>
            <w:r>
              <w:rPr>
                <w:rFonts w:eastAsia="Candara"/>
              </w:rPr>
              <w:noBreakHyphen/>
            </w:r>
            <w:r w:rsidRPr="004D669E">
              <w:rPr>
                <w:rFonts w:eastAsia="Candara"/>
              </w:rPr>
              <w:t>step process.</w:t>
            </w:r>
          </w:p>
        </w:tc>
      </w:tr>
      <w:tr w:rsidR="009501D2" w:rsidTr="005F3D52">
        <w:trPr>
          <w:cantSplit/>
        </w:trPr>
        <w:tc>
          <w:tcPr>
            <w:tcW w:w="2268" w:type="dxa"/>
          </w:tcPr>
          <w:p w:rsidR="009501D2" w:rsidRPr="004D669E" w:rsidRDefault="009501D2" w:rsidP="005F3D52">
            <w:pPr>
              <w:pStyle w:val="TableText"/>
              <w:rPr>
                <w:rFonts w:eastAsia="Candara" w:cs="Candara"/>
              </w:rPr>
            </w:pPr>
            <w:r w:rsidRPr="004D669E">
              <w:rPr>
                <w:rFonts w:eastAsia="Candara" w:cs="Candara"/>
              </w:rPr>
              <w:t>Action case study</w:t>
            </w:r>
          </w:p>
        </w:tc>
        <w:tc>
          <w:tcPr>
            <w:tcW w:w="2694" w:type="dxa"/>
          </w:tcPr>
          <w:p w:rsidR="009501D2" w:rsidRPr="004D669E" w:rsidRDefault="009501D2" w:rsidP="009501D2">
            <w:pPr>
              <w:pStyle w:val="TableBulletstyle2"/>
              <w:rPr>
                <w:rFonts w:eastAsia="Candara"/>
              </w:rPr>
            </w:pPr>
            <w:r w:rsidRPr="004D669E">
              <w:rPr>
                <w:rFonts w:eastAsia="Candara"/>
              </w:rPr>
              <w:t>All practitioners</w:t>
            </w:r>
          </w:p>
          <w:p w:rsidR="009501D2" w:rsidRDefault="009501D2" w:rsidP="009501D2">
            <w:pPr>
              <w:pStyle w:val="TableBulletstyle2"/>
              <w:rPr>
                <w:rFonts w:eastAsia="Candara"/>
              </w:rPr>
            </w:pPr>
            <w:r w:rsidRPr="004D669E">
              <w:rPr>
                <w:rFonts w:eastAsia="Candara"/>
              </w:rPr>
              <w:t>Particularly relevant to emergency care and maternity settings</w:t>
            </w:r>
          </w:p>
        </w:tc>
        <w:tc>
          <w:tcPr>
            <w:tcW w:w="3260" w:type="dxa"/>
          </w:tcPr>
          <w:p w:rsidR="009501D2" w:rsidRPr="004D669E" w:rsidRDefault="009501D2" w:rsidP="009501D2">
            <w:pPr>
              <w:pStyle w:val="TableText"/>
              <w:rPr>
                <w:rFonts w:eastAsia="Candara"/>
              </w:rPr>
            </w:pPr>
            <w:r w:rsidRPr="004D669E">
              <w:rPr>
                <w:rFonts w:eastAsia="Candara"/>
              </w:rPr>
              <w:t>A case study that demonstrates within an emergency care/</w:t>
            </w:r>
            <w:r>
              <w:rPr>
                <w:rFonts w:eastAsia="Candara"/>
              </w:rPr>
              <w:t xml:space="preserve"> </w:t>
            </w:r>
            <w:r w:rsidRPr="004D669E">
              <w:rPr>
                <w:rFonts w:eastAsia="Candara"/>
              </w:rPr>
              <w:t xml:space="preserve">maternity setting professionals and the </w:t>
            </w:r>
            <w:proofErr w:type="spellStart"/>
            <w:r w:rsidRPr="004D669E">
              <w:rPr>
                <w:rFonts w:eastAsia="Candara"/>
              </w:rPr>
              <w:t>whānau</w:t>
            </w:r>
            <w:proofErr w:type="spellEnd"/>
            <w:r w:rsidRPr="004D669E">
              <w:rPr>
                <w:rFonts w:eastAsia="Candara"/>
              </w:rPr>
              <w:t xml:space="preserve"> working together for the safety and wellbeing of a pregnant women and her unborn child.</w:t>
            </w:r>
          </w:p>
          <w:p w:rsidR="009501D2" w:rsidRPr="009501D2" w:rsidRDefault="009501D2" w:rsidP="009501D2">
            <w:pPr>
              <w:pStyle w:val="TableText"/>
              <w:rPr>
                <w:rFonts w:eastAsia="Candara"/>
                <w:b/>
              </w:rPr>
            </w:pPr>
            <w:r w:rsidRPr="009501D2">
              <w:rPr>
                <w:rFonts w:eastAsia="Candara"/>
                <w:b/>
              </w:rPr>
              <w:t>Question for reflection:</w:t>
            </w:r>
          </w:p>
          <w:p w:rsidR="009501D2" w:rsidRDefault="009501D2" w:rsidP="009501D2">
            <w:pPr>
              <w:pStyle w:val="TableText"/>
              <w:rPr>
                <w:rFonts w:eastAsia="Candara"/>
              </w:rPr>
            </w:pPr>
            <w:r w:rsidRPr="004D669E">
              <w:rPr>
                <w:rFonts w:eastAsia="Candara"/>
              </w:rPr>
              <w:t xml:space="preserve">What </w:t>
            </w:r>
            <w:proofErr w:type="spellStart"/>
            <w:r w:rsidRPr="004D669E">
              <w:rPr>
                <w:rFonts w:eastAsia="Candara"/>
              </w:rPr>
              <w:t>whānau</w:t>
            </w:r>
            <w:proofErr w:type="spellEnd"/>
            <w:r w:rsidRPr="004D669E">
              <w:rPr>
                <w:rFonts w:eastAsia="Candara"/>
              </w:rPr>
              <w:t>-centred and culturally</w:t>
            </w:r>
            <w:r>
              <w:rPr>
                <w:rFonts w:eastAsia="Candara"/>
              </w:rPr>
              <w:t xml:space="preserve"> </w:t>
            </w:r>
            <w:r w:rsidRPr="004D669E">
              <w:rPr>
                <w:rFonts w:eastAsia="Candara"/>
              </w:rPr>
              <w:t>responsive approaches are evident</w:t>
            </w:r>
            <w:r>
              <w:rPr>
                <w:rFonts w:eastAsia="Candara"/>
              </w:rPr>
              <w:t xml:space="preserve"> </w:t>
            </w:r>
            <w:r w:rsidRPr="004D669E">
              <w:rPr>
                <w:rFonts w:eastAsia="Candara"/>
              </w:rPr>
              <w:t>in this case study?</w:t>
            </w:r>
          </w:p>
        </w:tc>
      </w:tr>
      <w:tr w:rsidR="009501D2" w:rsidTr="005F3D52">
        <w:trPr>
          <w:cantSplit/>
        </w:trPr>
        <w:tc>
          <w:tcPr>
            <w:tcW w:w="2268" w:type="dxa"/>
          </w:tcPr>
          <w:p w:rsidR="009501D2" w:rsidRPr="004D669E" w:rsidRDefault="009501D2" w:rsidP="005F3D52">
            <w:pPr>
              <w:pStyle w:val="TableText"/>
              <w:rPr>
                <w:rFonts w:eastAsia="Candara" w:cs="Candara"/>
              </w:rPr>
            </w:pPr>
            <w:r w:rsidRPr="004D669E">
              <w:rPr>
                <w:rFonts w:eastAsia="Candara" w:cs="Candara"/>
              </w:rPr>
              <w:t xml:space="preserve">Working with </w:t>
            </w:r>
            <w:proofErr w:type="spellStart"/>
            <w:r w:rsidRPr="004D669E">
              <w:rPr>
                <w:rFonts w:eastAsia="Candara" w:cs="Candara"/>
              </w:rPr>
              <w:t>whānau</w:t>
            </w:r>
            <w:proofErr w:type="spellEnd"/>
            <w:r w:rsidRPr="004D669E">
              <w:rPr>
                <w:rFonts w:eastAsia="Candara" w:cs="Candara"/>
              </w:rPr>
              <w:t xml:space="preserve"> in child and adolescent mental health</w:t>
            </w:r>
          </w:p>
        </w:tc>
        <w:tc>
          <w:tcPr>
            <w:tcW w:w="2694" w:type="dxa"/>
          </w:tcPr>
          <w:p w:rsidR="009501D2" w:rsidRPr="004D669E" w:rsidRDefault="009501D2" w:rsidP="009501D2">
            <w:pPr>
              <w:pStyle w:val="TableBulletstyle2"/>
              <w:rPr>
                <w:rFonts w:eastAsia="Candara"/>
              </w:rPr>
            </w:pPr>
            <w:r w:rsidRPr="004D669E">
              <w:rPr>
                <w:rFonts w:eastAsia="Candara"/>
              </w:rPr>
              <w:t>Child and adolescent mental health practitioners</w:t>
            </w:r>
          </w:p>
        </w:tc>
        <w:tc>
          <w:tcPr>
            <w:tcW w:w="3260" w:type="dxa"/>
          </w:tcPr>
          <w:p w:rsidR="009501D2" w:rsidRPr="004D669E" w:rsidRDefault="009501D2" w:rsidP="005F3D52">
            <w:pPr>
              <w:pStyle w:val="TableText"/>
              <w:rPr>
                <w:rFonts w:eastAsia="Candara" w:cs="Candara"/>
              </w:rPr>
            </w:pPr>
            <w:r w:rsidRPr="004D669E">
              <w:rPr>
                <w:rFonts w:eastAsia="Candara" w:cs="Candara"/>
              </w:rPr>
              <w:t xml:space="preserve">This story highlights the importance of building relationships with </w:t>
            </w:r>
            <w:proofErr w:type="spellStart"/>
            <w:r w:rsidRPr="004D669E">
              <w:rPr>
                <w:rFonts w:eastAsia="Candara" w:cs="Candara"/>
              </w:rPr>
              <w:t>whānau</w:t>
            </w:r>
            <w:proofErr w:type="spellEnd"/>
            <w:r w:rsidRPr="004D669E">
              <w:rPr>
                <w:rFonts w:eastAsia="Candara" w:cs="Candara"/>
              </w:rPr>
              <w:t xml:space="preserve"> within a child and adolescent mental health context. Open and respectful communication with the </w:t>
            </w:r>
            <w:proofErr w:type="spellStart"/>
            <w:r w:rsidRPr="004D669E">
              <w:rPr>
                <w:rFonts w:eastAsia="Candara" w:cs="Candara"/>
              </w:rPr>
              <w:t>whānau</w:t>
            </w:r>
            <w:proofErr w:type="spellEnd"/>
            <w:r w:rsidRPr="004D669E">
              <w:rPr>
                <w:rFonts w:eastAsia="Candara" w:cs="Candara"/>
              </w:rPr>
              <w:t xml:space="preserve"> and building relationships with external agencies to support the young person and their family is also encouraged.</w:t>
            </w:r>
          </w:p>
        </w:tc>
      </w:tr>
    </w:tbl>
    <w:p w:rsidR="009501D2" w:rsidRPr="009501D2" w:rsidRDefault="009501D2" w:rsidP="009501D2">
      <w:pPr>
        <w:rPr>
          <w:rFonts w:eastAsia="Candara"/>
        </w:rPr>
      </w:pPr>
    </w:p>
    <w:p w:rsidR="008F4364" w:rsidRDefault="008F4364" w:rsidP="009501D2">
      <w:pPr>
        <w:pStyle w:val="Heading2"/>
        <w:rPr>
          <w:rFonts w:eastAsia="Candara"/>
        </w:rPr>
      </w:pPr>
      <w:r w:rsidRPr="004D669E">
        <w:rPr>
          <w:rFonts w:eastAsia="Candara"/>
        </w:rPr>
        <w:lastRenderedPageBreak/>
        <w:t xml:space="preserve">Theme 3: Supporting Māori and their </w:t>
      </w:r>
      <w:proofErr w:type="spellStart"/>
      <w:r w:rsidRPr="004D669E">
        <w:rPr>
          <w:rFonts w:eastAsia="Candara"/>
        </w:rPr>
        <w:t>whānau</w:t>
      </w:r>
      <w:proofErr w:type="spellEnd"/>
      <w:r w:rsidRPr="004D669E">
        <w:rPr>
          <w:rFonts w:eastAsia="Candara"/>
        </w:rPr>
        <w:t xml:space="preserve">: using </w:t>
      </w:r>
      <w:proofErr w:type="spellStart"/>
      <w:r w:rsidRPr="004D669E">
        <w:rPr>
          <w:rFonts w:eastAsia="Candara"/>
        </w:rPr>
        <w:t>tikanga</w:t>
      </w:r>
      <w:proofErr w:type="spellEnd"/>
      <w:r w:rsidRPr="004D669E">
        <w:rPr>
          <w:rFonts w:eastAsia="Candara"/>
        </w:rPr>
        <w:t xml:space="preserve"> Māori to support healing and recovery</w:t>
      </w:r>
    </w:p>
    <w:tbl>
      <w:tblPr>
        <w:tblStyle w:val="TableGrid"/>
        <w:tblW w:w="8222" w:type="dxa"/>
        <w:tblInd w:w="108" w:type="dxa"/>
        <w:tblLayout w:type="fixed"/>
        <w:tblLook w:val="04A0" w:firstRow="1" w:lastRow="0" w:firstColumn="1" w:lastColumn="0" w:noHBand="0" w:noVBand="1"/>
      </w:tblPr>
      <w:tblGrid>
        <w:gridCol w:w="2268"/>
        <w:gridCol w:w="2694"/>
        <w:gridCol w:w="3260"/>
      </w:tblGrid>
      <w:tr w:rsidR="009501D2" w:rsidRPr="008E1D46" w:rsidTr="005F3D52">
        <w:trPr>
          <w:cantSplit/>
        </w:trPr>
        <w:tc>
          <w:tcPr>
            <w:tcW w:w="2268" w:type="dxa"/>
          </w:tcPr>
          <w:p w:rsidR="009501D2" w:rsidRPr="008E1D46" w:rsidRDefault="009501D2" w:rsidP="005F3D52">
            <w:pPr>
              <w:pStyle w:val="TableText"/>
              <w:keepNext/>
              <w:rPr>
                <w:rFonts w:eastAsia="Candara"/>
                <w:b/>
              </w:rPr>
            </w:pPr>
            <w:r w:rsidRPr="008E1D46">
              <w:rPr>
                <w:rFonts w:eastAsia="Candara"/>
                <w:b/>
              </w:rPr>
              <w:t>Story/case study title</w:t>
            </w:r>
          </w:p>
        </w:tc>
        <w:tc>
          <w:tcPr>
            <w:tcW w:w="2694" w:type="dxa"/>
          </w:tcPr>
          <w:p w:rsidR="009501D2" w:rsidRPr="008E1D46" w:rsidRDefault="009501D2" w:rsidP="005F3D52">
            <w:pPr>
              <w:pStyle w:val="TableText"/>
              <w:keepNext/>
              <w:rPr>
                <w:rFonts w:eastAsia="Candara"/>
                <w:b/>
              </w:rPr>
            </w:pPr>
            <w:r w:rsidRPr="008E1D46">
              <w:rPr>
                <w:rFonts w:eastAsia="Candara"/>
                <w:b/>
              </w:rPr>
              <w:t>Particularly relevant to</w:t>
            </w:r>
          </w:p>
        </w:tc>
        <w:tc>
          <w:tcPr>
            <w:tcW w:w="3260" w:type="dxa"/>
          </w:tcPr>
          <w:p w:rsidR="009501D2" w:rsidRPr="008E1D46" w:rsidRDefault="009501D2" w:rsidP="005F3D52">
            <w:pPr>
              <w:pStyle w:val="TableText"/>
              <w:keepNext/>
              <w:rPr>
                <w:rFonts w:eastAsia="Candara"/>
                <w:b/>
              </w:rPr>
            </w:pPr>
            <w:r w:rsidRPr="008E1D46">
              <w:rPr>
                <w:rFonts w:eastAsia="Candara"/>
                <w:b/>
              </w:rPr>
              <w:t>Main focus</w:t>
            </w:r>
          </w:p>
        </w:tc>
      </w:tr>
      <w:tr w:rsidR="009501D2" w:rsidTr="005F3D52">
        <w:trPr>
          <w:cantSplit/>
        </w:trPr>
        <w:tc>
          <w:tcPr>
            <w:tcW w:w="2268" w:type="dxa"/>
          </w:tcPr>
          <w:p w:rsidR="009501D2" w:rsidRPr="004D669E" w:rsidRDefault="009501D2" w:rsidP="005F3D52">
            <w:pPr>
              <w:pStyle w:val="TableText"/>
              <w:rPr>
                <w:rFonts w:eastAsia="Candara" w:cs="Candara"/>
              </w:rPr>
            </w:pPr>
            <w:r w:rsidRPr="004D669E">
              <w:rPr>
                <w:rFonts w:eastAsia="Candara" w:cs="Candara"/>
              </w:rPr>
              <w:t>Kay</w:t>
            </w:r>
            <w:r>
              <w:rPr>
                <w:rFonts w:eastAsia="Candara" w:cs="Candara"/>
              </w:rPr>
              <w:t>’</w:t>
            </w:r>
            <w:r w:rsidRPr="004D669E">
              <w:rPr>
                <w:rFonts w:eastAsia="Candara" w:cs="Candara"/>
              </w:rPr>
              <w:t>s story</w:t>
            </w:r>
          </w:p>
        </w:tc>
        <w:tc>
          <w:tcPr>
            <w:tcW w:w="2694" w:type="dxa"/>
          </w:tcPr>
          <w:p w:rsidR="009501D2" w:rsidRPr="004D669E" w:rsidRDefault="009501D2" w:rsidP="009501D2">
            <w:pPr>
              <w:pStyle w:val="TableBulletstyle2"/>
              <w:rPr>
                <w:rFonts w:eastAsia="Candara"/>
              </w:rPr>
            </w:pPr>
            <w:r w:rsidRPr="004D669E">
              <w:rPr>
                <w:rFonts w:eastAsia="Candara"/>
              </w:rPr>
              <w:t>All practitioners</w:t>
            </w:r>
          </w:p>
          <w:p w:rsidR="009501D2" w:rsidRPr="004D669E" w:rsidRDefault="009501D2" w:rsidP="009501D2">
            <w:pPr>
              <w:pStyle w:val="TableBulletstyle2"/>
              <w:rPr>
                <w:rFonts w:eastAsia="Candara"/>
              </w:rPr>
            </w:pPr>
            <w:r w:rsidRPr="004D669E">
              <w:rPr>
                <w:rFonts w:eastAsia="Candara"/>
              </w:rPr>
              <w:t xml:space="preserve">To understand how </w:t>
            </w:r>
            <w:proofErr w:type="spellStart"/>
            <w:r w:rsidRPr="004D669E">
              <w:rPr>
                <w:rFonts w:eastAsia="Candara"/>
              </w:rPr>
              <w:t>tikanga</w:t>
            </w:r>
            <w:proofErr w:type="spellEnd"/>
            <w:r w:rsidRPr="004D669E">
              <w:rPr>
                <w:rFonts w:eastAsia="Candara"/>
              </w:rPr>
              <w:t xml:space="preserve"> can be used to support patients on a journey towards</w:t>
            </w:r>
            <w:r>
              <w:rPr>
                <w:rFonts w:eastAsia="Candara"/>
              </w:rPr>
              <w:t xml:space="preserve"> </w:t>
            </w:r>
            <w:r w:rsidRPr="004D669E">
              <w:rPr>
                <w:rFonts w:eastAsia="Candara"/>
              </w:rPr>
              <w:t>recovery and wellbeing</w:t>
            </w:r>
          </w:p>
        </w:tc>
        <w:tc>
          <w:tcPr>
            <w:tcW w:w="3260" w:type="dxa"/>
          </w:tcPr>
          <w:p w:rsidR="009501D2" w:rsidRPr="004D669E" w:rsidRDefault="009501D2" w:rsidP="009501D2">
            <w:pPr>
              <w:pStyle w:val="TableText"/>
              <w:rPr>
                <w:rFonts w:eastAsia="Candara" w:cs="Candara"/>
              </w:rPr>
            </w:pPr>
            <w:r w:rsidRPr="004D669E">
              <w:rPr>
                <w:rFonts w:eastAsia="Candara" w:cs="Candara"/>
              </w:rPr>
              <w:t xml:space="preserve">A VIP coordinator shares her personal journey towards </w:t>
            </w:r>
            <w:proofErr w:type="spellStart"/>
            <w:r w:rsidRPr="004D669E">
              <w:rPr>
                <w:rFonts w:eastAsia="Candara" w:cs="Candara"/>
              </w:rPr>
              <w:t>mauri</w:t>
            </w:r>
            <w:proofErr w:type="spellEnd"/>
            <w:r w:rsidRPr="004D669E">
              <w:rPr>
                <w:rFonts w:eastAsia="Candara" w:cs="Candara"/>
              </w:rPr>
              <w:t xml:space="preserve"> </w:t>
            </w:r>
            <w:proofErr w:type="spellStart"/>
            <w:r w:rsidRPr="004D669E">
              <w:rPr>
                <w:rFonts w:eastAsia="Candara" w:cs="Candara"/>
              </w:rPr>
              <w:t>ora</w:t>
            </w:r>
            <w:proofErr w:type="spellEnd"/>
            <w:r w:rsidRPr="004D669E">
              <w:rPr>
                <w:rFonts w:eastAsia="Candara" w:cs="Candara"/>
              </w:rPr>
              <w:t xml:space="preserve"> (wellbeing) after experiencing partner abuse. Kay reflects on the</w:t>
            </w:r>
            <w:r>
              <w:rPr>
                <w:rFonts w:eastAsia="Candara" w:cs="Candara"/>
              </w:rPr>
              <w:t xml:space="preserve"> </w:t>
            </w:r>
            <w:r w:rsidRPr="004D669E">
              <w:rPr>
                <w:rFonts w:eastAsia="Candara" w:cs="Candara"/>
              </w:rPr>
              <w:t xml:space="preserve">value of </w:t>
            </w:r>
            <w:proofErr w:type="spellStart"/>
            <w:r w:rsidRPr="004D669E">
              <w:rPr>
                <w:rFonts w:eastAsia="Candara" w:cs="Candara"/>
              </w:rPr>
              <w:t>tikanga</w:t>
            </w:r>
            <w:proofErr w:type="spellEnd"/>
            <w:r w:rsidRPr="004D669E">
              <w:rPr>
                <w:rFonts w:eastAsia="Candara" w:cs="Candara"/>
              </w:rPr>
              <w:t xml:space="preserve"> Māori on her journey of recovery.</w:t>
            </w:r>
          </w:p>
        </w:tc>
      </w:tr>
      <w:tr w:rsidR="009501D2" w:rsidTr="005F3D52">
        <w:trPr>
          <w:cantSplit/>
        </w:trPr>
        <w:tc>
          <w:tcPr>
            <w:tcW w:w="2268" w:type="dxa"/>
          </w:tcPr>
          <w:p w:rsidR="009501D2" w:rsidRPr="004D669E" w:rsidRDefault="009501D2" w:rsidP="005F3D52">
            <w:pPr>
              <w:pStyle w:val="TableText"/>
              <w:rPr>
                <w:rFonts w:eastAsia="Candara" w:cs="Candara"/>
              </w:rPr>
            </w:pPr>
            <w:r w:rsidRPr="004D669E">
              <w:rPr>
                <w:rFonts w:eastAsia="Candara" w:cs="Candara"/>
              </w:rPr>
              <w:t>Principles for action</w:t>
            </w:r>
          </w:p>
        </w:tc>
        <w:tc>
          <w:tcPr>
            <w:tcW w:w="2694" w:type="dxa"/>
          </w:tcPr>
          <w:p w:rsidR="009501D2" w:rsidRPr="004D669E" w:rsidRDefault="009501D2" w:rsidP="009501D2">
            <w:pPr>
              <w:pStyle w:val="TableBulletstyle2"/>
              <w:rPr>
                <w:rFonts w:eastAsia="Candara"/>
              </w:rPr>
            </w:pPr>
            <w:r w:rsidRPr="004D669E">
              <w:rPr>
                <w:rFonts w:eastAsia="Candara"/>
              </w:rPr>
              <w:t>All practitioners</w:t>
            </w:r>
          </w:p>
          <w:p w:rsidR="009501D2" w:rsidRPr="004D669E" w:rsidRDefault="009501D2" w:rsidP="009501D2">
            <w:pPr>
              <w:pStyle w:val="TableBulletstyle2"/>
              <w:rPr>
                <w:rFonts w:eastAsia="Candara"/>
              </w:rPr>
            </w:pPr>
            <w:r w:rsidRPr="004D669E">
              <w:rPr>
                <w:rFonts w:eastAsia="Candara"/>
              </w:rPr>
              <w:t xml:space="preserve">To understand how </w:t>
            </w:r>
            <w:proofErr w:type="spellStart"/>
            <w:r w:rsidRPr="004D669E">
              <w:rPr>
                <w:rFonts w:eastAsia="Candara"/>
              </w:rPr>
              <w:t>tikanga</w:t>
            </w:r>
            <w:proofErr w:type="spellEnd"/>
            <w:r w:rsidRPr="004D669E">
              <w:rPr>
                <w:rFonts w:eastAsia="Candara"/>
              </w:rPr>
              <w:t xml:space="preserve"> can be used to support patients on a journey towards</w:t>
            </w:r>
            <w:r>
              <w:rPr>
                <w:rFonts w:eastAsia="Candara"/>
              </w:rPr>
              <w:t xml:space="preserve"> </w:t>
            </w:r>
            <w:r w:rsidRPr="004D669E">
              <w:rPr>
                <w:rFonts w:eastAsia="Candara"/>
              </w:rPr>
              <w:t>recovery and wellbeing</w:t>
            </w:r>
          </w:p>
        </w:tc>
        <w:tc>
          <w:tcPr>
            <w:tcW w:w="3260" w:type="dxa"/>
          </w:tcPr>
          <w:p w:rsidR="009501D2" w:rsidRPr="004D669E" w:rsidRDefault="009501D2" w:rsidP="005F3D52">
            <w:pPr>
              <w:pStyle w:val="TableText"/>
              <w:rPr>
                <w:rFonts w:eastAsia="Candara" w:cs="Candara"/>
              </w:rPr>
            </w:pPr>
            <w:r w:rsidRPr="004D669E">
              <w:rPr>
                <w:rFonts w:eastAsia="Candara" w:cs="Candara"/>
              </w:rPr>
              <w:t xml:space="preserve">Health professionals are invited to reflect on how they can apply an understanding of </w:t>
            </w:r>
            <w:proofErr w:type="spellStart"/>
            <w:r w:rsidRPr="004D669E">
              <w:rPr>
                <w:rFonts w:eastAsia="Candara" w:cs="Candara"/>
              </w:rPr>
              <w:t>tikanga</w:t>
            </w:r>
            <w:proofErr w:type="spellEnd"/>
            <w:r w:rsidRPr="004D669E">
              <w:rPr>
                <w:rFonts w:eastAsia="Candara" w:cs="Candara"/>
              </w:rPr>
              <w:t xml:space="preserve"> Māori to their practice to help individuals and families experiencing violence to move towards a place of wellbeing. Links to the </w:t>
            </w:r>
            <w:proofErr w:type="spellStart"/>
            <w:r w:rsidRPr="004D669E">
              <w:rPr>
                <w:rFonts w:eastAsia="Candara" w:cs="Candara"/>
              </w:rPr>
              <w:t>tikanga</w:t>
            </w:r>
            <w:proofErr w:type="spellEnd"/>
            <w:r w:rsidRPr="004D669E">
              <w:rPr>
                <w:rFonts w:eastAsia="Candara" w:cs="Candara"/>
              </w:rPr>
              <w:t xml:space="preserve"> that have been developed for the VIP programme.</w:t>
            </w:r>
          </w:p>
        </w:tc>
      </w:tr>
    </w:tbl>
    <w:p w:rsidR="009501D2" w:rsidRPr="009501D2" w:rsidRDefault="009501D2" w:rsidP="009501D2">
      <w:pPr>
        <w:rPr>
          <w:rFonts w:eastAsia="Candara"/>
        </w:rPr>
      </w:pPr>
    </w:p>
    <w:p w:rsidR="008F4364" w:rsidRDefault="008F4364" w:rsidP="009501D2">
      <w:pPr>
        <w:pStyle w:val="Heading2"/>
        <w:rPr>
          <w:rFonts w:eastAsia="Candara"/>
        </w:rPr>
      </w:pPr>
      <w:r w:rsidRPr="004D669E">
        <w:rPr>
          <w:rFonts w:eastAsia="Candara"/>
        </w:rPr>
        <w:lastRenderedPageBreak/>
        <w:t xml:space="preserve">Theme 4: Partnerships with Māori and community providers to prevent family violence and connect </w:t>
      </w:r>
      <w:proofErr w:type="spellStart"/>
      <w:r w:rsidRPr="004D669E">
        <w:rPr>
          <w:rFonts w:eastAsia="Candara"/>
        </w:rPr>
        <w:t>whānau</w:t>
      </w:r>
      <w:proofErr w:type="spellEnd"/>
      <w:r w:rsidRPr="004D669E">
        <w:rPr>
          <w:rFonts w:eastAsia="Candara"/>
        </w:rPr>
        <w:t xml:space="preserve"> with support</w:t>
      </w:r>
    </w:p>
    <w:tbl>
      <w:tblPr>
        <w:tblStyle w:val="TableGrid"/>
        <w:tblW w:w="8222" w:type="dxa"/>
        <w:tblInd w:w="108" w:type="dxa"/>
        <w:tblLayout w:type="fixed"/>
        <w:tblLook w:val="04A0" w:firstRow="1" w:lastRow="0" w:firstColumn="1" w:lastColumn="0" w:noHBand="0" w:noVBand="1"/>
      </w:tblPr>
      <w:tblGrid>
        <w:gridCol w:w="2268"/>
        <w:gridCol w:w="2694"/>
        <w:gridCol w:w="3260"/>
      </w:tblGrid>
      <w:tr w:rsidR="00E73E06" w:rsidRPr="008E1D46" w:rsidTr="005F3D52">
        <w:trPr>
          <w:cantSplit/>
        </w:trPr>
        <w:tc>
          <w:tcPr>
            <w:tcW w:w="2268" w:type="dxa"/>
          </w:tcPr>
          <w:p w:rsidR="00E73E06" w:rsidRPr="008E1D46" w:rsidRDefault="00E73E06" w:rsidP="005F3D52">
            <w:pPr>
              <w:pStyle w:val="TableText"/>
              <w:keepNext/>
              <w:rPr>
                <w:rFonts w:eastAsia="Candara"/>
                <w:b/>
              </w:rPr>
            </w:pPr>
            <w:r w:rsidRPr="008E1D46">
              <w:rPr>
                <w:rFonts w:eastAsia="Candara"/>
                <w:b/>
              </w:rPr>
              <w:t>Story/case study title</w:t>
            </w:r>
          </w:p>
        </w:tc>
        <w:tc>
          <w:tcPr>
            <w:tcW w:w="2694" w:type="dxa"/>
          </w:tcPr>
          <w:p w:rsidR="00E73E06" w:rsidRPr="008E1D46" w:rsidRDefault="00E73E06" w:rsidP="005F3D52">
            <w:pPr>
              <w:pStyle w:val="TableText"/>
              <w:keepNext/>
              <w:rPr>
                <w:rFonts w:eastAsia="Candara"/>
                <w:b/>
              </w:rPr>
            </w:pPr>
            <w:r w:rsidRPr="008E1D46">
              <w:rPr>
                <w:rFonts w:eastAsia="Candara"/>
                <w:b/>
              </w:rPr>
              <w:t>Particularly relevant to</w:t>
            </w:r>
          </w:p>
        </w:tc>
        <w:tc>
          <w:tcPr>
            <w:tcW w:w="3260" w:type="dxa"/>
          </w:tcPr>
          <w:p w:rsidR="00E73E06" w:rsidRPr="008E1D46" w:rsidRDefault="00E73E06" w:rsidP="005F3D52">
            <w:pPr>
              <w:pStyle w:val="TableText"/>
              <w:keepNext/>
              <w:rPr>
                <w:rFonts w:eastAsia="Candara"/>
                <w:b/>
              </w:rPr>
            </w:pPr>
            <w:r w:rsidRPr="008E1D46">
              <w:rPr>
                <w:rFonts w:eastAsia="Candara"/>
                <w:b/>
              </w:rPr>
              <w:t>Main focus</w:t>
            </w:r>
          </w:p>
        </w:tc>
      </w:tr>
      <w:tr w:rsidR="00E73E06" w:rsidRPr="004D669E" w:rsidTr="005F3D52">
        <w:trPr>
          <w:cantSplit/>
        </w:trPr>
        <w:tc>
          <w:tcPr>
            <w:tcW w:w="2268" w:type="dxa"/>
          </w:tcPr>
          <w:p w:rsidR="00E73E06" w:rsidRPr="004D669E" w:rsidRDefault="00E73E06" w:rsidP="00E73E06">
            <w:pPr>
              <w:pStyle w:val="TableText"/>
              <w:keepNext/>
              <w:rPr>
                <w:rFonts w:eastAsia="Candara" w:cs="Candara"/>
              </w:rPr>
            </w:pPr>
            <w:r w:rsidRPr="004D669E">
              <w:rPr>
                <w:rFonts w:eastAsia="Candara" w:cs="Candara"/>
              </w:rPr>
              <w:t>The Hastings Health</w:t>
            </w:r>
            <w:r>
              <w:rPr>
                <w:rFonts w:eastAsia="Candara" w:cs="Candara"/>
              </w:rPr>
              <w:t xml:space="preserve"> </w:t>
            </w:r>
            <w:r w:rsidRPr="004D669E">
              <w:rPr>
                <w:rFonts w:eastAsia="Candara" w:cs="Candara"/>
              </w:rPr>
              <w:t>Centre</w:t>
            </w:r>
          </w:p>
        </w:tc>
        <w:tc>
          <w:tcPr>
            <w:tcW w:w="2694" w:type="dxa"/>
          </w:tcPr>
          <w:p w:rsidR="00E73E06" w:rsidRPr="00E73E06" w:rsidRDefault="00E73E06" w:rsidP="00E73E06">
            <w:pPr>
              <w:pStyle w:val="TableBulletstyle2"/>
              <w:keepNext/>
              <w:rPr>
                <w:rFonts w:eastAsia="Candara"/>
              </w:rPr>
            </w:pPr>
            <w:r w:rsidRPr="00E73E06">
              <w:rPr>
                <w:rFonts w:eastAsia="Candara"/>
              </w:rPr>
              <w:t>Primary care professionals</w:t>
            </w:r>
          </w:p>
          <w:p w:rsidR="00E73E06" w:rsidRPr="004D669E" w:rsidRDefault="00E73E06" w:rsidP="00E73E06">
            <w:pPr>
              <w:pStyle w:val="TableBulletstyle2"/>
              <w:keepNext/>
              <w:rPr>
                <w:rFonts w:eastAsia="Candara"/>
              </w:rPr>
            </w:pPr>
            <w:r w:rsidRPr="004D669E">
              <w:rPr>
                <w:rFonts w:eastAsia="Candara"/>
              </w:rPr>
              <w:t>GPs</w:t>
            </w:r>
          </w:p>
          <w:p w:rsidR="00E73E06" w:rsidRPr="004D669E" w:rsidRDefault="00E73E06" w:rsidP="00E73E06">
            <w:pPr>
              <w:pStyle w:val="TableBulletstyle2"/>
              <w:keepNext/>
              <w:rPr>
                <w:rFonts w:eastAsia="Candara"/>
              </w:rPr>
            </w:pPr>
            <w:r w:rsidRPr="004D669E">
              <w:rPr>
                <w:rFonts w:eastAsia="Candara"/>
              </w:rPr>
              <w:t>Nurses</w:t>
            </w:r>
          </w:p>
          <w:p w:rsidR="00E73E06" w:rsidRPr="004D669E" w:rsidRDefault="00E73E06" w:rsidP="00E73E06">
            <w:pPr>
              <w:pStyle w:val="TableBulletstyle2"/>
              <w:keepNext/>
              <w:rPr>
                <w:rFonts w:eastAsia="Candara"/>
              </w:rPr>
            </w:pPr>
            <w:r w:rsidRPr="004D669E">
              <w:rPr>
                <w:rFonts w:eastAsia="Candara"/>
              </w:rPr>
              <w:t>Allied health</w:t>
            </w:r>
            <w:r>
              <w:rPr>
                <w:rFonts w:eastAsia="Candara"/>
              </w:rPr>
              <w:t xml:space="preserve"> </w:t>
            </w:r>
            <w:r w:rsidRPr="004D669E">
              <w:rPr>
                <w:rFonts w:eastAsia="Candara"/>
              </w:rPr>
              <w:t>professionals</w:t>
            </w:r>
          </w:p>
        </w:tc>
        <w:tc>
          <w:tcPr>
            <w:tcW w:w="3260" w:type="dxa"/>
          </w:tcPr>
          <w:p w:rsidR="00E73E06" w:rsidRPr="004D669E" w:rsidRDefault="00E73E06" w:rsidP="00E73E06">
            <w:pPr>
              <w:pStyle w:val="TableText"/>
              <w:keepNext/>
              <w:rPr>
                <w:rFonts w:eastAsia="Candara" w:cs="Candara"/>
              </w:rPr>
            </w:pPr>
            <w:r w:rsidRPr="004D669E">
              <w:rPr>
                <w:rFonts w:eastAsia="Candara" w:cs="Candara"/>
              </w:rPr>
              <w:t xml:space="preserve">A primary care perspective on </w:t>
            </w:r>
            <w:proofErr w:type="spellStart"/>
            <w:r w:rsidRPr="004D669E">
              <w:rPr>
                <w:rFonts w:eastAsia="Candara" w:cs="Candara"/>
              </w:rPr>
              <w:t>whānau</w:t>
            </w:r>
            <w:proofErr w:type="spellEnd"/>
            <w:r w:rsidRPr="004D669E">
              <w:rPr>
                <w:rFonts w:eastAsia="Candara" w:cs="Candara"/>
              </w:rPr>
              <w:t xml:space="preserve">-centred practice. Emphasises the importance of building strong relationships with family violence prevention and </w:t>
            </w:r>
            <w:proofErr w:type="spellStart"/>
            <w:r w:rsidRPr="004D669E">
              <w:rPr>
                <w:rFonts w:eastAsia="Candara" w:cs="Candara"/>
              </w:rPr>
              <w:t>whānau</w:t>
            </w:r>
            <w:proofErr w:type="spellEnd"/>
            <w:r w:rsidRPr="004D669E">
              <w:rPr>
                <w:rFonts w:eastAsia="Candara" w:cs="Candara"/>
              </w:rPr>
              <w:t xml:space="preserve"> support specialists and referring patients to them so they get the support they need.</w:t>
            </w:r>
          </w:p>
        </w:tc>
      </w:tr>
      <w:tr w:rsidR="00E73E06" w:rsidRPr="004D669E" w:rsidTr="005F3D52">
        <w:trPr>
          <w:cantSplit/>
        </w:trPr>
        <w:tc>
          <w:tcPr>
            <w:tcW w:w="2268" w:type="dxa"/>
          </w:tcPr>
          <w:p w:rsidR="00E73E06" w:rsidRPr="004D669E" w:rsidRDefault="00E73E06" w:rsidP="00E73E06">
            <w:pPr>
              <w:pStyle w:val="TableText"/>
              <w:rPr>
                <w:rFonts w:eastAsia="Candara" w:cs="Candara"/>
              </w:rPr>
            </w:pPr>
            <w:r w:rsidRPr="004D669E">
              <w:rPr>
                <w:rFonts w:eastAsia="Candara" w:cs="Candara"/>
              </w:rPr>
              <w:t>Providing support:</w:t>
            </w:r>
            <w:r>
              <w:rPr>
                <w:rFonts w:eastAsia="Candara" w:cs="Candara"/>
              </w:rPr>
              <w:t xml:space="preserve"> </w:t>
            </w:r>
            <w:r w:rsidRPr="004D669E">
              <w:rPr>
                <w:rFonts w:eastAsia="Candara" w:cs="Candara"/>
              </w:rPr>
              <w:t>a service provider</w:t>
            </w:r>
            <w:r>
              <w:rPr>
                <w:rFonts w:eastAsia="Candara" w:cs="Candara"/>
              </w:rPr>
              <w:t>’</w:t>
            </w:r>
            <w:r w:rsidRPr="004D669E">
              <w:rPr>
                <w:rFonts w:eastAsia="Candara" w:cs="Candara"/>
              </w:rPr>
              <w:t>s</w:t>
            </w:r>
            <w:r>
              <w:rPr>
                <w:rFonts w:eastAsia="Candara" w:cs="Candara"/>
              </w:rPr>
              <w:t xml:space="preserve"> </w:t>
            </w:r>
            <w:r w:rsidRPr="004D669E">
              <w:rPr>
                <w:rFonts w:eastAsia="Candara" w:cs="Candara"/>
              </w:rPr>
              <w:t>perspective</w:t>
            </w:r>
          </w:p>
        </w:tc>
        <w:tc>
          <w:tcPr>
            <w:tcW w:w="2694" w:type="dxa"/>
          </w:tcPr>
          <w:p w:rsidR="00E73E06" w:rsidRPr="004D669E" w:rsidRDefault="00E73E06" w:rsidP="00E73E06">
            <w:pPr>
              <w:pStyle w:val="TableBulletstyle2"/>
              <w:rPr>
                <w:rFonts w:eastAsia="Candara" w:cs="Candara"/>
              </w:rPr>
            </w:pPr>
            <w:r w:rsidRPr="004D669E">
              <w:rPr>
                <w:rFonts w:eastAsia="Candara" w:cs="Candara"/>
              </w:rPr>
              <w:t>All practitioners</w:t>
            </w:r>
          </w:p>
          <w:p w:rsidR="00E73E06" w:rsidRPr="004D669E" w:rsidRDefault="00E73E06" w:rsidP="00E73E06">
            <w:pPr>
              <w:pStyle w:val="TableBulletstyle2"/>
              <w:rPr>
                <w:rFonts w:eastAsia="Candara" w:cs="Candara"/>
              </w:rPr>
            </w:pPr>
            <w:r w:rsidRPr="004D669E">
              <w:rPr>
                <w:rFonts w:eastAsia="Candara" w:cs="Candara"/>
              </w:rPr>
              <w:t>To develop an understanding of how iwi and Māori services operate</w:t>
            </w:r>
          </w:p>
        </w:tc>
        <w:tc>
          <w:tcPr>
            <w:tcW w:w="3260" w:type="dxa"/>
          </w:tcPr>
          <w:p w:rsidR="00E73E06" w:rsidRPr="004D669E" w:rsidRDefault="00E73E06" w:rsidP="00E73E06">
            <w:pPr>
              <w:pStyle w:val="TableText"/>
              <w:rPr>
                <w:rFonts w:eastAsia="Candara" w:cs="Candara"/>
              </w:rPr>
            </w:pPr>
            <w:r w:rsidRPr="004D669E">
              <w:rPr>
                <w:rFonts w:eastAsia="Candara" w:cs="Candara"/>
              </w:rPr>
              <w:t xml:space="preserve">Gives an insight into how a service provider/family violence prevention service works with </w:t>
            </w:r>
            <w:proofErr w:type="spellStart"/>
            <w:r w:rsidRPr="004D669E">
              <w:rPr>
                <w:rFonts w:eastAsia="Candara" w:cs="Candara"/>
              </w:rPr>
              <w:t>whānau</w:t>
            </w:r>
            <w:proofErr w:type="spellEnd"/>
            <w:r w:rsidRPr="004D669E">
              <w:rPr>
                <w:rFonts w:eastAsia="Candara" w:cs="Candara"/>
              </w:rPr>
              <w:t xml:space="preserve">. Shows how this model can help a </w:t>
            </w:r>
            <w:proofErr w:type="spellStart"/>
            <w:r w:rsidRPr="004D669E">
              <w:rPr>
                <w:rFonts w:eastAsia="Candara" w:cs="Candara"/>
              </w:rPr>
              <w:t>whānau</w:t>
            </w:r>
            <w:proofErr w:type="spellEnd"/>
            <w:r w:rsidRPr="004D669E">
              <w:rPr>
                <w:rFonts w:eastAsia="Candara" w:cs="Candara"/>
              </w:rPr>
              <w:t xml:space="preserve"> address multiple issues safely. Health practitioner referral to these</w:t>
            </w:r>
            <w:r>
              <w:rPr>
                <w:rFonts w:eastAsia="Candara" w:cs="Candara"/>
              </w:rPr>
              <w:t xml:space="preserve"> </w:t>
            </w:r>
            <w:r w:rsidRPr="004D669E">
              <w:rPr>
                <w:rFonts w:eastAsia="Candara" w:cs="Candara"/>
              </w:rPr>
              <w:t>agencies is encouraged as part of the</w:t>
            </w:r>
            <w:r>
              <w:rPr>
                <w:rFonts w:eastAsia="Candara" w:cs="Candara"/>
              </w:rPr>
              <w:t xml:space="preserve"> </w:t>
            </w:r>
            <w:r w:rsidRPr="004D669E">
              <w:rPr>
                <w:rFonts w:eastAsia="Candara" w:cs="Candara"/>
              </w:rPr>
              <w:t>VIP intervention process.</w:t>
            </w:r>
          </w:p>
        </w:tc>
      </w:tr>
      <w:tr w:rsidR="00E73E06" w:rsidRPr="004D669E" w:rsidTr="005F3D52">
        <w:trPr>
          <w:cantSplit/>
        </w:trPr>
        <w:tc>
          <w:tcPr>
            <w:tcW w:w="2268" w:type="dxa"/>
          </w:tcPr>
          <w:p w:rsidR="00E73E06" w:rsidRPr="004D669E" w:rsidRDefault="00E73E06" w:rsidP="005F3D52">
            <w:pPr>
              <w:pStyle w:val="TableText"/>
              <w:rPr>
                <w:rFonts w:eastAsia="Candara" w:cs="Candara"/>
              </w:rPr>
            </w:pPr>
            <w:r w:rsidRPr="004D669E">
              <w:rPr>
                <w:rFonts w:eastAsia="Candara" w:cs="Candara"/>
              </w:rPr>
              <w:t xml:space="preserve">Working with Māori to celebrate and promote </w:t>
            </w:r>
            <w:proofErr w:type="spellStart"/>
            <w:r w:rsidRPr="004D669E">
              <w:rPr>
                <w:rFonts w:eastAsia="Candara" w:cs="Candara"/>
              </w:rPr>
              <w:t>whānau</w:t>
            </w:r>
            <w:proofErr w:type="spellEnd"/>
            <w:r w:rsidRPr="004D669E">
              <w:rPr>
                <w:rFonts w:eastAsia="Candara" w:cs="Candara"/>
              </w:rPr>
              <w:t xml:space="preserve"> wellness</w:t>
            </w:r>
          </w:p>
        </w:tc>
        <w:tc>
          <w:tcPr>
            <w:tcW w:w="2694" w:type="dxa"/>
          </w:tcPr>
          <w:p w:rsidR="00E73E06" w:rsidRPr="004D669E" w:rsidRDefault="00E73E06" w:rsidP="00E73E06">
            <w:pPr>
              <w:pStyle w:val="TableBulletstyle2"/>
              <w:rPr>
                <w:rFonts w:eastAsia="Candara" w:cs="Candara"/>
              </w:rPr>
            </w:pPr>
            <w:r w:rsidRPr="004D669E">
              <w:rPr>
                <w:rFonts w:eastAsia="Candara" w:cs="Candara"/>
              </w:rPr>
              <w:t>VIP coordinators, managers, sponsors and steering groups</w:t>
            </w:r>
          </w:p>
        </w:tc>
        <w:tc>
          <w:tcPr>
            <w:tcW w:w="3260" w:type="dxa"/>
          </w:tcPr>
          <w:p w:rsidR="00E73E06" w:rsidRPr="004D669E" w:rsidRDefault="00E73E06" w:rsidP="005F3D52">
            <w:pPr>
              <w:pStyle w:val="TableText"/>
              <w:rPr>
                <w:rFonts w:eastAsia="Candara" w:cs="Candara"/>
              </w:rPr>
            </w:pPr>
            <w:r w:rsidRPr="004D669E">
              <w:rPr>
                <w:rFonts w:eastAsia="Candara" w:cs="Candara"/>
              </w:rPr>
              <w:t xml:space="preserve">The story highlights the importance of meaningful engagement with Māori to ensure the VIP is more responsive to and effective for Māori and </w:t>
            </w:r>
            <w:proofErr w:type="spellStart"/>
            <w:r w:rsidRPr="004D669E">
              <w:rPr>
                <w:rFonts w:eastAsia="Candara" w:cs="Candara"/>
              </w:rPr>
              <w:t>whānau</w:t>
            </w:r>
            <w:proofErr w:type="spellEnd"/>
            <w:r w:rsidRPr="004D669E">
              <w:rPr>
                <w:rFonts w:eastAsia="Candara" w:cs="Candara"/>
              </w:rPr>
              <w:t>.</w:t>
            </w:r>
          </w:p>
        </w:tc>
      </w:tr>
      <w:tr w:rsidR="00E73E06" w:rsidRPr="004D669E" w:rsidTr="005F3D52">
        <w:trPr>
          <w:cantSplit/>
        </w:trPr>
        <w:tc>
          <w:tcPr>
            <w:tcW w:w="2268" w:type="dxa"/>
          </w:tcPr>
          <w:p w:rsidR="00E73E06" w:rsidRPr="004D669E" w:rsidRDefault="00E73E06" w:rsidP="00E73E06">
            <w:pPr>
              <w:pStyle w:val="TableText"/>
              <w:rPr>
                <w:rFonts w:eastAsia="Candara" w:cs="Candara"/>
              </w:rPr>
            </w:pPr>
            <w:r w:rsidRPr="004D669E">
              <w:rPr>
                <w:rFonts w:eastAsia="Candara" w:cs="Candara"/>
              </w:rPr>
              <w:t>VIP partnerships with</w:t>
            </w:r>
            <w:r>
              <w:rPr>
                <w:rFonts w:eastAsia="Candara" w:cs="Candara"/>
              </w:rPr>
              <w:t xml:space="preserve"> </w:t>
            </w:r>
            <w:r w:rsidRPr="004D669E">
              <w:rPr>
                <w:rFonts w:eastAsia="Candara" w:cs="Candara"/>
              </w:rPr>
              <w:t>community providers</w:t>
            </w:r>
          </w:p>
        </w:tc>
        <w:tc>
          <w:tcPr>
            <w:tcW w:w="2694" w:type="dxa"/>
          </w:tcPr>
          <w:p w:rsidR="00E73E06" w:rsidRPr="004D669E" w:rsidRDefault="00E73E06" w:rsidP="00E73E06">
            <w:pPr>
              <w:pStyle w:val="TableBulletstyle2"/>
              <w:rPr>
                <w:rFonts w:eastAsia="Candara" w:cs="Candara"/>
              </w:rPr>
            </w:pPr>
            <w:r w:rsidRPr="004D669E">
              <w:rPr>
                <w:rFonts w:eastAsia="Candara" w:cs="Candara"/>
              </w:rPr>
              <w:t>VIP coordinators, managers, sponsors and steering groups</w:t>
            </w:r>
          </w:p>
        </w:tc>
        <w:tc>
          <w:tcPr>
            <w:tcW w:w="3260" w:type="dxa"/>
          </w:tcPr>
          <w:p w:rsidR="00E73E06" w:rsidRPr="004D669E" w:rsidRDefault="00E73E06" w:rsidP="005F3D52">
            <w:pPr>
              <w:pStyle w:val="TableText"/>
              <w:rPr>
                <w:rFonts w:eastAsia="Candara" w:cs="Candara"/>
              </w:rPr>
            </w:pPr>
            <w:r w:rsidRPr="004D669E">
              <w:rPr>
                <w:rFonts w:eastAsia="Candara" w:cs="Candara"/>
              </w:rPr>
              <w:t>VIP and community provider relationships and referrals. How VIP programmes are thinking creatively about engaging with community providers.</w:t>
            </w:r>
          </w:p>
        </w:tc>
      </w:tr>
      <w:tr w:rsidR="00E73E06" w:rsidRPr="004D669E" w:rsidTr="005F3D52">
        <w:trPr>
          <w:cantSplit/>
        </w:trPr>
        <w:tc>
          <w:tcPr>
            <w:tcW w:w="2268" w:type="dxa"/>
          </w:tcPr>
          <w:p w:rsidR="00E73E06" w:rsidRPr="004D669E" w:rsidRDefault="00E73E06" w:rsidP="00E73E06">
            <w:pPr>
              <w:pStyle w:val="TableText"/>
              <w:rPr>
                <w:rFonts w:eastAsia="Candara" w:cs="Candara"/>
              </w:rPr>
            </w:pPr>
            <w:r w:rsidRPr="004D669E">
              <w:rPr>
                <w:rFonts w:eastAsia="Candara" w:cs="Candara"/>
              </w:rPr>
              <w:t>The power of using</w:t>
            </w:r>
            <w:r>
              <w:rPr>
                <w:rFonts w:eastAsia="Candara" w:cs="Candara"/>
              </w:rPr>
              <w:t xml:space="preserve"> </w:t>
            </w:r>
            <w:r w:rsidRPr="004D669E">
              <w:rPr>
                <w:rFonts w:eastAsia="Candara" w:cs="Candara"/>
              </w:rPr>
              <w:t>local people to promote</w:t>
            </w:r>
            <w:r>
              <w:rPr>
                <w:rFonts w:eastAsia="Candara" w:cs="Candara"/>
              </w:rPr>
              <w:t xml:space="preserve"> </w:t>
            </w:r>
            <w:r w:rsidRPr="004D669E">
              <w:rPr>
                <w:rFonts w:eastAsia="Candara" w:cs="Candara"/>
              </w:rPr>
              <w:t xml:space="preserve">positive </w:t>
            </w:r>
            <w:proofErr w:type="spellStart"/>
            <w:r w:rsidRPr="004D669E">
              <w:rPr>
                <w:rFonts w:eastAsia="Candara" w:cs="Candara"/>
              </w:rPr>
              <w:t>whānau</w:t>
            </w:r>
            <w:proofErr w:type="spellEnd"/>
            <w:r>
              <w:rPr>
                <w:rFonts w:eastAsia="Candara" w:cs="Candara"/>
              </w:rPr>
              <w:t xml:space="preserve"> </w:t>
            </w:r>
            <w:r w:rsidRPr="004D669E">
              <w:rPr>
                <w:rFonts w:eastAsia="Candara" w:cs="Candara"/>
              </w:rPr>
              <w:t>relationships</w:t>
            </w:r>
          </w:p>
        </w:tc>
        <w:tc>
          <w:tcPr>
            <w:tcW w:w="2694" w:type="dxa"/>
          </w:tcPr>
          <w:p w:rsidR="00E73E06" w:rsidRPr="004D669E" w:rsidRDefault="00E73E06" w:rsidP="00E73E06">
            <w:pPr>
              <w:pStyle w:val="TableBulletstyle2"/>
              <w:rPr>
                <w:rFonts w:eastAsia="Candara" w:cs="Candara"/>
              </w:rPr>
            </w:pPr>
            <w:r w:rsidRPr="004D669E">
              <w:rPr>
                <w:rFonts w:eastAsia="Candara" w:cs="Candara"/>
              </w:rPr>
              <w:t>VIP coordinators, managers, sponsors and steering groups</w:t>
            </w:r>
          </w:p>
        </w:tc>
        <w:tc>
          <w:tcPr>
            <w:tcW w:w="3260" w:type="dxa"/>
          </w:tcPr>
          <w:p w:rsidR="00E73E06" w:rsidRPr="004D669E" w:rsidRDefault="00E73E06" w:rsidP="005F3D52">
            <w:pPr>
              <w:pStyle w:val="TableText"/>
              <w:rPr>
                <w:rFonts w:eastAsia="Candara" w:cs="Candara"/>
              </w:rPr>
            </w:pPr>
            <w:r w:rsidRPr="004D669E">
              <w:rPr>
                <w:rFonts w:eastAsia="Candara" w:cs="Candara"/>
              </w:rPr>
              <w:t xml:space="preserve">Preventing family violence by involving local people in promoting positive </w:t>
            </w:r>
            <w:proofErr w:type="spellStart"/>
            <w:r w:rsidRPr="004D669E">
              <w:rPr>
                <w:rFonts w:eastAsia="Candara" w:cs="Candara"/>
              </w:rPr>
              <w:t>whānau</w:t>
            </w:r>
            <w:proofErr w:type="spellEnd"/>
            <w:r w:rsidRPr="004D669E">
              <w:rPr>
                <w:rFonts w:eastAsia="Candara" w:cs="Candara"/>
              </w:rPr>
              <w:t xml:space="preserve"> relationships. Shows how community networks and existing resources can be used to drive change.</w:t>
            </w:r>
          </w:p>
        </w:tc>
      </w:tr>
    </w:tbl>
    <w:p w:rsidR="00E73E06" w:rsidRPr="00E73E06" w:rsidRDefault="00E73E06" w:rsidP="00E73E06">
      <w:pPr>
        <w:rPr>
          <w:rFonts w:eastAsia="Candara"/>
        </w:rPr>
      </w:pPr>
    </w:p>
    <w:p w:rsidR="008F4364" w:rsidRPr="004D669E" w:rsidRDefault="008F4364" w:rsidP="00E73E06">
      <w:pPr>
        <w:pStyle w:val="Heading2"/>
        <w:rPr>
          <w:rFonts w:eastAsia="Candara"/>
        </w:rPr>
      </w:pPr>
      <w:r w:rsidRPr="004D669E">
        <w:rPr>
          <w:rFonts w:eastAsia="Candara"/>
        </w:rPr>
        <w:lastRenderedPageBreak/>
        <w:t xml:space="preserve">Theme 5: Embedding </w:t>
      </w:r>
      <w:proofErr w:type="spellStart"/>
      <w:r w:rsidRPr="004D669E">
        <w:rPr>
          <w:rFonts w:eastAsia="Candara"/>
        </w:rPr>
        <w:t>whānau</w:t>
      </w:r>
      <w:proofErr w:type="spellEnd"/>
      <w:r w:rsidRPr="004D669E">
        <w:rPr>
          <w:rFonts w:eastAsia="Candara"/>
        </w:rPr>
        <w:t>-centred approaches into policy and practice</w:t>
      </w:r>
    </w:p>
    <w:tbl>
      <w:tblPr>
        <w:tblStyle w:val="TableGrid"/>
        <w:tblW w:w="8222" w:type="dxa"/>
        <w:tblInd w:w="108" w:type="dxa"/>
        <w:tblLayout w:type="fixed"/>
        <w:tblLook w:val="04A0" w:firstRow="1" w:lastRow="0" w:firstColumn="1" w:lastColumn="0" w:noHBand="0" w:noVBand="1"/>
      </w:tblPr>
      <w:tblGrid>
        <w:gridCol w:w="2268"/>
        <w:gridCol w:w="2694"/>
        <w:gridCol w:w="3260"/>
      </w:tblGrid>
      <w:tr w:rsidR="00E73E06" w:rsidRPr="008E1D46" w:rsidTr="005F3D52">
        <w:trPr>
          <w:cantSplit/>
        </w:trPr>
        <w:tc>
          <w:tcPr>
            <w:tcW w:w="2268" w:type="dxa"/>
          </w:tcPr>
          <w:p w:rsidR="00E73E06" w:rsidRPr="008E1D46" w:rsidRDefault="00E73E06" w:rsidP="005F3D52">
            <w:pPr>
              <w:pStyle w:val="TableText"/>
              <w:keepNext/>
              <w:rPr>
                <w:rFonts w:eastAsia="Candara"/>
                <w:b/>
              </w:rPr>
            </w:pPr>
            <w:r w:rsidRPr="008E1D46">
              <w:rPr>
                <w:rFonts w:eastAsia="Candara"/>
                <w:b/>
              </w:rPr>
              <w:t>Story/case study title</w:t>
            </w:r>
          </w:p>
        </w:tc>
        <w:tc>
          <w:tcPr>
            <w:tcW w:w="2694" w:type="dxa"/>
          </w:tcPr>
          <w:p w:rsidR="00E73E06" w:rsidRPr="008E1D46" w:rsidRDefault="00E73E06" w:rsidP="005F3D52">
            <w:pPr>
              <w:pStyle w:val="TableText"/>
              <w:keepNext/>
              <w:rPr>
                <w:rFonts w:eastAsia="Candara"/>
                <w:b/>
              </w:rPr>
            </w:pPr>
            <w:r w:rsidRPr="008E1D46">
              <w:rPr>
                <w:rFonts w:eastAsia="Candara"/>
                <w:b/>
              </w:rPr>
              <w:t>Particularly relevant to</w:t>
            </w:r>
          </w:p>
        </w:tc>
        <w:tc>
          <w:tcPr>
            <w:tcW w:w="3260" w:type="dxa"/>
          </w:tcPr>
          <w:p w:rsidR="00E73E06" w:rsidRPr="008E1D46" w:rsidRDefault="00E73E06" w:rsidP="005F3D52">
            <w:pPr>
              <w:pStyle w:val="TableText"/>
              <w:keepNext/>
              <w:rPr>
                <w:rFonts w:eastAsia="Candara"/>
                <w:b/>
              </w:rPr>
            </w:pPr>
            <w:r w:rsidRPr="008E1D46">
              <w:rPr>
                <w:rFonts w:eastAsia="Candara"/>
                <w:b/>
              </w:rPr>
              <w:t>Main focus</w:t>
            </w:r>
          </w:p>
        </w:tc>
      </w:tr>
      <w:tr w:rsidR="00E73E06" w:rsidRPr="004D669E" w:rsidTr="005F3D52">
        <w:trPr>
          <w:cantSplit/>
        </w:trPr>
        <w:tc>
          <w:tcPr>
            <w:tcW w:w="2268" w:type="dxa"/>
          </w:tcPr>
          <w:p w:rsidR="00E73E06" w:rsidRPr="004D669E" w:rsidRDefault="00E73E06" w:rsidP="005F3D52">
            <w:pPr>
              <w:pStyle w:val="TableText"/>
              <w:rPr>
                <w:rFonts w:eastAsia="Candara" w:cs="Candara"/>
              </w:rPr>
            </w:pPr>
            <w:r w:rsidRPr="004D669E">
              <w:rPr>
                <w:rFonts w:eastAsia="Candara" w:cs="Candara"/>
              </w:rPr>
              <w:t>A strategic approach to building relationships and driving change</w:t>
            </w:r>
          </w:p>
        </w:tc>
        <w:tc>
          <w:tcPr>
            <w:tcW w:w="2694" w:type="dxa"/>
          </w:tcPr>
          <w:p w:rsidR="00E73E06" w:rsidRPr="004D669E" w:rsidRDefault="00E73E06" w:rsidP="00E73E06">
            <w:pPr>
              <w:pStyle w:val="TableBulletstyle2"/>
              <w:rPr>
                <w:rFonts w:eastAsia="Candara"/>
              </w:rPr>
            </w:pPr>
            <w:r w:rsidRPr="004D669E">
              <w:rPr>
                <w:rFonts w:eastAsia="Candara"/>
              </w:rPr>
              <w:t>VIP coordinators, managers, sponsors and steering groups</w:t>
            </w:r>
          </w:p>
        </w:tc>
        <w:tc>
          <w:tcPr>
            <w:tcW w:w="3260" w:type="dxa"/>
          </w:tcPr>
          <w:p w:rsidR="00E73E06" w:rsidRPr="004D669E" w:rsidRDefault="00E73E06" w:rsidP="005F3D52">
            <w:pPr>
              <w:pStyle w:val="TableText"/>
              <w:rPr>
                <w:rFonts w:eastAsia="Candara" w:cs="Candara"/>
              </w:rPr>
            </w:pPr>
            <w:r w:rsidRPr="004D669E">
              <w:rPr>
                <w:rFonts w:eastAsia="Candara" w:cs="Candara"/>
              </w:rPr>
              <w:t>Developing a framework to improve</w:t>
            </w:r>
            <w:r>
              <w:rPr>
                <w:rFonts w:eastAsia="Candara" w:cs="Candara"/>
              </w:rPr>
              <w:t xml:space="preserve"> </w:t>
            </w:r>
            <w:r w:rsidRPr="004D669E">
              <w:rPr>
                <w:rFonts w:eastAsia="Candara" w:cs="Candara"/>
              </w:rPr>
              <w:t>and evaluate VIP responsiveness</w:t>
            </w:r>
            <w:r>
              <w:rPr>
                <w:rFonts w:eastAsia="Candara" w:cs="Candara"/>
              </w:rPr>
              <w:t xml:space="preserve"> </w:t>
            </w:r>
            <w:r w:rsidRPr="004D669E">
              <w:rPr>
                <w:rFonts w:eastAsia="Candara" w:cs="Candara"/>
              </w:rPr>
              <w:t>to Māori. Highlights the benefits of</w:t>
            </w:r>
            <w:r>
              <w:rPr>
                <w:rFonts w:eastAsia="Candara" w:cs="Candara"/>
              </w:rPr>
              <w:t xml:space="preserve"> </w:t>
            </w:r>
            <w:r w:rsidRPr="004D669E">
              <w:rPr>
                <w:rFonts w:eastAsia="Candara" w:cs="Candara"/>
              </w:rPr>
              <w:t>having a strategic, planned approach</w:t>
            </w:r>
            <w:r>
              <w:rPr>
                <w:rFonts w:eastAsia="Candara" w:cs="Candara"/>
              </w:rPr>
              <w:t xml:space="preserve"> </w:t>
            </w:r>
            <w:r w:rsidRPr="004D669E">
              <w:rPr>
                <w:rFonts w:eastAsia="Candara" w:cs="Candara"/>
              </w:rPr>
              <w:t>to responsiveness to Māori and</w:t>
            </w:r>
            <w:r>
              <w:rPr>
                <w:rFonts w:eastAsia="Candara" w:cs="Candara"/>
              </w:rPr>
              <w:t xml:space="preserve"> </w:t>
            </w:r>
            <w:r w:rsidRPr="004D669E">
              <w:rPr>
                <w:rFonts w:eastAsia="Candara" w:cs="Candara"/>
              </w:rPr>
              <w:t>working in partnership with the</w:t>
            </w:r>
            <w:r>
              <w:rPr>
                <w:rFonts w:eastAsia="Candara" w:cs="Candara"/>
              </w:rPr>
              <w:t xml:space="preserve"> </w:t>
            </w:r>
            <w:r w:rsidRPr="004D669E">
              <w:rPr>
                <w:rFonts w:eastAsia="Candara" w:cs="Candara"/>
              </w:rPr>
              <w:t>Māori Health Unit.</w:t>
            </w:r>
          </w:p>
          <w:p w:rsidR="00E73E06" w:rsidRPr="004D669E" w:rsidRDefault="00E73E06" w:rsidP="005F3D52">
            <w:pPr>
              <w:pStyle w:val="TableText"/>
              <w:rPr>
                <w:rFonts w:eastAsia="Candara" w:cs="Candara"/>
              </w:rPr>
            </w:pPr>
            <w:r w:rsidRPr="004D669E">
              <w:rPr>
                <w:rFonts w:eastAsia="Candara" w:cs="Candara"/>
              </w:rPr>
              <w:t>Includes tips and advice about implementing a similar approach for your DHB.</w:t>
            </w:r>
          </w:p>
        </w:tc>
      </w:tr>
      <w:tr w:rsidR="00E73E06" w:rsidRPr="004D669E" w:rsidTr="005F3D52">
        <w:trPr>
          <w:cantSplit/>
        </w:trPr>
        <w:tc>
          <w:tcPr>
            <w:tcW w:w="2268" w:type="dxa"/>
          </w:tcPr>
          <w:p w:rsidR="00E73E06" w:rsidRPr="004D669E" w:rsidRDefault="00E73E06" w:rsidP="00E73E06">
            <w:pPr>
              <w:pStyle w:val="TableText"/>
              <w:rPr>
                <w:rFonts w:eastAsia="Candara" w:cs="Candara"/>
              </w:rPr>
            </w:pPr>
            <w:r w:rsidRPr="004D669E">
              <w:rPr>
                <w:rFonts w:eastAsia="Candara" w:cs="Candara"/>
              </w:rPr>
              <w:t xml:space="preserve">Embedding </w:t>
            </w:r>
            <w:proofErr w:type="spellStart"/>
            <w:r w:rsidRPr="004D669E">
              <w:rPr>
                <w:rFonts w:eastAsia="Candara" w:cs="Candara"/>
              </w:rPr>
              <w:t>whānau</w:t>
            </w:r>
            <w:proofErr w:type="spellEnd"/>
            <w:r w:rsidRPr="004D669E">
              <w:rPr>
                <w:rFonts w:eastAsia="Candara" w:cs="Candara"/>
              </w:rPr>
              <w:t>-centred approaches into policy and practice</w:t>
            </w:r>
          </w:p>
        </w:tc>
        <w:tc>
          <w:tcPr>
            <w:tcW w:w="2694" w:type="dxa"/>
          </w:tcPr>
          <w:p w:rsidR="00E73E06" w:rsidRPr="004D669E" w:rsidRDefault="00E73E06" w:rsidP="00E73E06">
            <w:pPr>
              <w:pStyle w:val="TableBulletstyle2"/>
              <w:rPr>
                <w:rFonts w:eastAsia="Candara"/>
              </w:rPr>
            </w:pPr>
            <w:r w:rsidRPr="004D669E">
              <w:rPr>
                <w:rFonts w:eastAsia="Candara"/>
              </w:rPr>
              <w:t>VIP coordinators, managers, sponsors and steering groups</w:t>
            </w:r>
          </w:p>
        </w:tc>
        <w:tc>
          <w:tcPr>
            <w:tcW w:w="3260" w:type="dxa"/>
          </w:tcPr>
          <w:p w:rsidR="00E73E06" w:rsidRPr="004D669E" w:rsidRDefault="00E73E06" w:rsidP="005F3D52">
            <w:pPr>
              <w:pStyle w:val="TableText"/>
              <w:rPr>
                <w:rFonts w:eastAsia="Candara" w:cs="Candara"/>
              </w:rPr>
            </w:pPr>
            <w:r w:rsidRPr="004D669E">
              <w:rPr>
                <w:rFonts w:eastAsia="Candara" w:cs="Candara"/>
              </w:rPr>
              <w:t xml:space="preserve">Raises questions for discussion about how to embed </w:t>
            </w:r>
            <w:proofErr w:type="spellStart"/>
            <w:r w:rsidRPr="004D669E">
              <w:rPr>
                <w:rFonts w:eastAsia="Candara" w:cs="Candara"/>
              </w:rPr>
              <w:t>whānau</w:t>
            </w:r>
            <w:proofErr w:type="spellEnd"/>
            <w:r w:rsidRPr="004D669E">
              <w:rPr>
                <w:rFonts w:eastAsia="Candara" w:cs="Candara"/>
              </w:rPr>
              <w:t>-centred approaches within VIP policy and practice.</w:t>
            </w:r>
          </w:p>
          <w:p w:rsidR="00E73E06" w:rsidRPr="00E73E06" w:rsidRDefault="00E73E06" w:rsidP="00E73E06">
            <w:pPr>
              <w:pStyle w:val="TableText"/>
              <w:rPr>
                <w:rFonts w:eastAsia="Candara"/>
                <w:b/>
              </w:rPr>
            </w:pPr>
            <w:r w:rsidRPr="00E73E06">
              <w:rPr>
                <w:rFonts w:eastAsia="Candara"/>
                <w:b/>
              </w:rPr>
              <w:t>Question for reflection:</w:t>
            </w:r>
          </w:p>
          <w:p w:rsidR="00E73E06" w:rsidRPr="004D669E" w:rsidRDefault="00E73E06" w:rsidP="00E73E06">
            <w:pPr>
              <w:pStyle w:val="TableText"/>
              <w:rPr>
                <w:rFonts w:eastAsia="Candara" w:cs="Candara"/>
              </w:rPr>
            </w:pPr>
            <w:r w:rsidRPr="004D669E">
              <w:rPr>
                <w:rFonts w:eastAsia="Candara" w:cs="Candara"/>
              </w:rPr>
              <w:t>What could be done within your</w:t>
            </w:r>
            <w:r>
              <w:rPr>
                <w:rFonts w:eastAsia="Candara" w:cs="Candara"/>
              </w:rPr>
              <w:t xml:space="preserve"> </w:t>
            </w:r>
            <w:r w:rsidRPr="004D669E">
              <w:rPr>
                <w:rFonts w:eastAsia="Candara" w:cs="Candara"/>
              </w:rPr>
              <w:t xml:space="preserve">practice or DHB to embed </w:t>
            </w:r>
            <w:proofErr w:type="spellStart"/>
            <w:r w:rsidRPr="004D669E">
              <w:rPr>
                <w:rFonts w:eastAsia="Candara" w:cs="Candara"/>
              </w:rPr>
              <w:t>whānau</w:t>
            </w:r>
            <w:proofErr w:type="spellEnd"/>
            <w:r w:rsidRPr="004D669E">
              <w:rPr>
                <w:rFonts w:eastAsia="Candara" w:cs="Candara"/>
              </w:rPr>
              <w:t>-centred practices into family violence</w:t>
            </w:r>
            <w:r>
              <w:rPr>
                <w:rFonts w:eastAsia="Candara" w:cs="Candara"/>
              </w:rPr>
              <w:t xml:space="preserve"> </w:t>
            </w:r>
            <w:r w:rsidRPr="004D669E">
              <w:rPr>
                <w:rFonts w:eastAsia="Candara" w:cs="Candara"/>
              </w:rPr>
              <w:t>intervention services and to patient/client care in general?</w:t>
            </w:r>
          </w:p>
        </w:tc>
      </w:tr>
    </w:tbl>
    <w:p w:rsidR="008F4364" w:rsidRPr="004D669E" w:rsidRDefault="008F4364" w:rsidP="0094553B"/>
    <w:p w:rsidR="0094553B" w:rsidRDefault="0094553B" w:rsidP="0094553B">
      <w:pPr>
        <w:rPr>
          <w:rFonts w:eastAsia="Candara"/>
        </w:rPr>
      </w:pPr>
      <w:r>
        <w:rPr>
          <w:rFonts w:eastAsia="Candara"/>
        </w:rPr>
        <w:br w:type="page"/>
      </w:r>
    </w:p>
    <w:bookmarkStart w:id="9" w:name="_Toc394305719"/>
    <w:p w:rsidR="008F4364" w:rsidRPr="004D669E" w:rsidRDefault="0094553B" w:rsidP="00D44C58">
      <w:pPr>
        <w:pStyle w:val="Heading1"/>
        <w:spacing w:after="600"/>
        <w:rPr>
          <w:rFonts w:eastAsia="Candara"/>
        </w:rPr>
      </w:pPr>
      <w:r>
        <w:rPr>
          <w:noProof/>
          <w:lang w:eastAsia="en-NZ"/>
        </w:rPr>
        <w:lastRenderedPageBreak/>
        <mc:AlternateContent>
          <mc:Choice Requires="wps">
            <w:drawing>
              <wp:anchor distT="0" distB="0" distL="114300" distR="114300" simplePos="0" relativeHeight="251675648" behindDoc="1" locked="0" layoutInCell="1" allowOverlap="1" wp14:anchorId="51A8F4CF" wp14:editId="59C483A3">
                <wp:simplePos x="0" y="0"/>
                <wp:positionH relativeFrom="column">
                  <wp:posOffset>-1234440</wp:posOffset>
                </wp:positionH>
                <wp:positionV relativeFrom="paragraph">
                  <wp:posOffset>-80068</wp:posOffset>
                </wp:positionV>
                <wp:extent cx="6793200" cy="972762"/>
                <wp:effectExtent l="0" t="0" r="27305" b="18415"/>
                <wp:wrapNone/>
                <wp:docPr id="15" name="Rounded Rectangle 15"/>
                <wp:cNvGraphicFramePr/>
                <a:graphic xmlns:a="http://schemas.openxmlformats.org/drawingml/2006/main">
                  <a:graphicData uri="http://schemas.microsoft.com/office/word/2010/wordprocessingShape">
                    <wps:wsp>
                      <wps:cNvSpPr/>
                      <wps:spPr>
                        <a:xfrm>
                          <a:off x="0" y="0"/>
                          <a:ext cx="6793200" cy="972762"/>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97.2pt;margin-top:-6.3pt;width:534.9pt;height:7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" fillcolor="#d8d8d8 [2732]" strokecolor="#d8d8d8 [2732]" strokeweight="2pt"/>
            </w:pict>
          </mc:Fallback>
        </mc:AlternateContent>
      </w:r>
      <w:r w:rsidR="008F4364" w:rsidRPr="004D669E">
        <w:rPr>
          <w:rFonts w:eastAsia="Candara"/>
        </w:rPr>
        <w:t xml:space="preserve">How to Increase VIP </w:t>
      </w:r>
      <w:r w:rsidR="00AE0A40">
        <w:rPr>
          <w:rFonts w:eastAsia="Candara"/>
        </w:rPr>
        <w:t>p</w:t>
      </w:r>
      <w:r w:rsidR="008F4364" w:rsidRPr="004D669E">
        <w:rPr>
          <w:rFonts w:eastAsia="Candara"/>
        </w:rPr>
        <w:t>rogrammes</w:t>
      </w:r>
      <w:r w:rsidR="00E73F21">
        <w:rPr>
          <w:rFonts w:eastAsia="Candara"/>
        </w:rPr>
        <w:t>’</w:t>
      </w:r>
      <w:r w:rsidR="008F4364" w:rsidRPr="004D669E">
        <w:rPr>
          <w:rFonts w:eastAsia="Candara"/>
        </w:rPr>
        <w:t xml:space="preserve"> </w:t>
      </w:r>
      <w:r w:rsidR="00AE0A40">
        <w:rPr>
          <w:rFonts w:eastAsia="Candara"/>
        </w:rPr>
        <w:t>r</w:t>
      </w:r>
      <w:r w:rsidR="008F4364" w:rsidRPr="004D669E">
        <w:rPr>
          <w:rFonts w:eastAsia="Candara"/>
        </w:rPr>
        <w:t>esponsiveness to Māori</w:t>
      </w:r>
      <w:bookmarkEnd w:id="9"/>
    </w:p>
    <w:p w:rsidR="008F4364" w:rsidRPr="004D669E" w:rsidRDefault="008F4364" w:rsidP="00D44C58">
      <w:pPr>
        <w:pStyle w:val="Heading2"/>
        <w:spacing w:before="0"/>
        <w:rPr>
          <w:rFonts w:eastAsia="Candara"/>
        </w:rPr>
      </w:pPr>
      <w:r w:rsidRPr="004D669E">
        <w:rPr>
          <w:rFonts w:eastAsia="Candara"/>
        </w:rPr>
        <w:t>Preparation:</w:t>
      </w:r>
    </w:p>
    <w:p w:rsidR="008F4364" w:rsidRPr="004D669E" w:rsidRDefault="008F4364" w:rsidP="00D174E9">
      <w:pPr>
        <w:pStyle w:val="Bullet"/>
        <w:spacing w:before="80"/>
        <w:rPr>
          <w:rFonts w:eastAsia="Candara"/>
        </w:rPr>
      </w:pPr>
      <w:r w:rsidRPr="004D669E">
        <w:rPr>
          <w:rFonts w:eastAsia="Candara"/>
        </w:rPr>
        <w:t xml:space="preserve">Consider how a </w:t>
      </w:r>
      <w:proofErr w:type="spellStart"/>
      <w:r w:rsidRPr="004D669E">
        <w:rPr>
          <w:rFonts w:eastAsia="Candara"/>
        </w:rPr>
        <w:t>whānau</w:t>
      </w:r>
      <w:proofErr w:type="spellEnd"/>
      <w:r w:rsidRPr="004D669E">
        <w:rPr>
          <w:rFonts w:eastAsia="Candara"/>
        </w:rPr>
        <w:t>-centred approach aligns with your existing personal and professional values, ethics and practice.</w:t>
      </w:r>
    </w:p>
    <w:p w:rsidR="008F4364" w:rsidRPr="004D669E" w:rsidRDefault="008F4364" w:rsidP="00D174E9">
      <w:pPr>
        <w:pStyle w:val="Bullet"/>
        <w:spacing w:before="80"/>
        <w:rPr>
          <w:rFonts w:eastAsia="Candara"/>
        </w:rPr>
      </w:pPr>
      <w:r w:rsidRPr="004D669E">
        <w:rPr>
          <w:rFonts w:eastAsia="Candara"/>
        </w:rPr>
        <w:t xml:space="preserve">Continue to build your knowledge about </w:t>
      </w:r>
      <w:proofErr w:type="spellStart"/>
      <w:r w:rsidRPr="004D669E">
        <w:rPr>
          <w:rFonts w:eastAsia="Candara"/>
        </w:rPr>
        <w:t>tikanga</w:t>
      </w:r>
      <w:proofErr w:type="spellEnd"/>
      <w:r w:rsidRPr="004D669E">
        <w:rPr>
          <w:rFonts w:eastAsia="Candara"/>
        </w:rPr>
        <w:t xml:space="preserve"> Māori and Māori models of health.</w:t>
      </w:r>
    </w:p>
    <w:p w:rsidR="008F4364" w:rsidRPr="0094553B" w:rsidRDefault="008F4364" w:rsidP="00D174E9">
      <w:pPr>
        <w:pStyle w:val="Bullet"/>
        <w:spacing w:before="80"/>
        <w:rPr>
          <w:rFonts w:eastAsia="Candara"/>
        </w:rPr>
      </w:pPr>
      <w:r w:rsidRPr="0094553B">
        <w:rPr>
          <w:rFonts w:eastAsia="Candara"/>
        </w:rPr>
        <w:t xml:space="preserve">The Family Violence Intervention Guidelines suggest how </w:t>
      </w:r>
      <w:proofErr w:type="spellStart"/>
      <w:r w:rsidRPr="0094553B">
        <w:rPr>
          <w:rFonts w:eastAsia="Candara"/>
        </w:rPr>
        <w:t>tikanga</w:t>
      </w:r>
      <w:proofErr w:type="spellEnd"/>
      <w:r w:rsidRPr="0094553B">
        <w:rPr>
          <w:rFonts w:eastAsia="Candara"/>
        </w:rPr>
        <w:t xml:space="preserve"> can be applied</w:t>
      </w:r>
      <w:r w:rsidR="0094553B" w:rsidRPr="0094553B">
        <w:rPr>
          <w:rFonts w:eastAsia="Candara"/>
        </w:rPr>
        <w:t xml:space="preserve"> </w:t>
      </w:r>
      <w:r w:rsidRPr="0094553B">
        <w:rPr>
          <w:rFonts w:eastAsia="Candara"/>
        </w:rPr>
        <w:t>within a family violence prevention/intervention context.</w:t>
      </w:r>
    </w:p>
    <w:p w:rsidR="008F4364" w:rsidRPr="004D669E" w:rsidRDefault="008F4364" w:rsidP="00D174E9">
      <w:pPr>
        <w:pStyle w:val="Bullet"/>
        <w:spacing w:before="80"/>
        <w:rPr>
          <w:rFonts w:eastAsia="Candara"/>
        </w:rPr>
      </w:pPr>
      <w:r w:rsidRPr="004D669E">
        <w:rPr>
          <w:rFonts w:eastAsia="Candara"/>
        </w:rPr>
        <w:t xml:space="preserve">Get to know the people/agencies in your DHB and community that are available to support patients/clients and their </w:t>
      </w:r>
      <w:proofErr w:type="spellStart"/>
      <w:r w:rsidRPr="004D669E">
        <w:rPr>
          <w:rFonts w:eastAsia="Candara"/>
        </w:rPr>
        <w:t>whānau</w:t>
      </w:r>
      <w:proofErr w:type="spellEnd"/>
      <w:r w:rsidRPr="004D669E">
        <w:rPr>
          <w:rFonts w:eastAsia="Candara"/>
        </w:rPr>
        <w:t xml:space="preserve"> to address family violence and to address their health and wellbeing needs. Know how to refer people to them.</w:t>
      </w:r>
    </w:p>
    <w:p w:rsidR="008F4364" w:rsidRPr="004D669E" w:rsidRDefault="008F4364" w:rsidP="00A47DB8"/>
    <w:p w:rsidR="008F4364" w:rsidRPr="004D669E" w:rsidRDefault="008F4364" w:rsidP="00D44C58">
      <w:pPr>
        <w:pStyle w:val="Heading2"/>
        <w:spacing w:before="0"/>
        <w:rPr>
          <w:rFonts w:eastAsia="Candara"/>
        </w:rPr>
      </w:pPr>
      <w:r w:rsidRPr="004D669E">
        <w:rPr>
          <w:rFonts w:eastAsia="Candara"/>
        </w:rPr>
        <w:t xml:space="preserve">For all </w:t>
      </w:r>
      <w:r w:rsidRPr="0094553B">
        <w:rPr>
          <w:rFonts w:eastAsia="Candara"/>
        </w:rPr>
        <w:t>p</w:t>
      </w:r>
      <w:r w:rsidRPr="004D669E">
        <w:rPr>
          <w:rFonts w:eastAsia="Candara"/>
        </w:rPr>
        <w:t>atient/client interactions:</w:t>
      </w:r>
    </w:p>
    <w:p w:rsidR="008F4364" w:rsidRPr="004D669E" w:rsidRDefault="008F4364" w:rsidP="00D174E9">
      <w:pPr>
        <w:pStyle w:val="Bullet"/>
        <w:spacing w:before="80"/>
        <w:rPr>
          <w:rFonts w:eastAsia="Candara"/>
        </w:rPr>
      </w:pPr>
      <w:r w:rsidRPr="004D669E">
        <w:rPr>
          <w:rFonts w:eastAsia="Candara"/>
        </w:rPr>
        <w:t xml:space="preserve">Remember to see all patients/clients in the context of their </w:t>
      </w:r>
      <w:proofErr w:type="spellStart"/>
      <w:r w:rsidRPr="004D669E">
        <w:rPr>
          <w:rFonts w:eastAsia="Candara"/>
        </w:rPr>
        <w:t>whānau</w:t>
      </w:r>
      <w:proofErr w:type="spellEnd"/>
      <w:r w:rsidRPr="004D669E">
        <w:rPr>
          <w:rFonts w:eastAsia="Candara"/>
        </w:rPr>
        <w:t xml:space="preserve"> and keep in mind their right to be </w:t>
      </w:r>
      <w:proofErr w:type="spellStart"/>
      <w:r w:rsidRPr="004D669E">
        <w:rPr>
          <w:rFonts w:eastAsia="Candara"/>
        </w:rPr>
        <w:t>self determining</w:t>
      </w:r>
      <w:proofErr w:type="spellEnd"/>
      <w:r w:rsidRPr="004D669E">
        <w:rPr>
          <w:rFonts w:eastAsia="Candara"/>
        </w:rPr>
        <w:t xml:space="preserve"> and </w:t>
      </w:r>
      <w:proofErr w:type="spellStart"/>
      <w:r w:rsidRPr="004D669E">
        <w:rPr>
          <w:rFonts w:eastAsia="Candara"/>
        </w:rPr>
        <w:t>self managing</w:t>
      </w:r>
      <w:proofErr w:type="spellEnd"/>
      <w:r w:rsidRPr="004D669E">
        <w:rPr>
          <w:rFonts w:eastAsia="Candara"/>
        </w:rPr>
        <w:t>.</w:t>
      </w:r>
    </w:p>
    <w:p w:rsidR="008F4364" w:rsidRPr="004D669E" w:rsidRDefault="008F4364" w:rsidP="00D174E9">
      <w:pPr>
        <w:pStyle w:val="Bullet"/>
        <w:spacing w:before="80"/>
        <w:rPr>
          <w:rFonts w:eastAsia="Candara"/>
        </w:rPr>
      </w:pPr>
      <w:r w:rsidRPr="004D669E">
        <w:rPr>
          <w:rFonts w:eastAsia="Candara"/>
        </w:rPr>
        <w:t xml:space="preserve">Introduce yourself to any </w:t>
      </w:r>
      <w:proofErr w:type="spellStart"/>
      <w:r w:rsidRPr="004D669E">
        <w:rPr>
          <w:rFonts w:eastAsia="Candara"/>
        </w:rPr>
        <w:t>whānau</w:t>
      </w:r>
      <w:proofErr w:type="spellEnd"/>
      <w:r w:rsidRPr="004D669E">
        <w:rPr>
          <w:rFonts w:eastAsia="Candara"/>
        </w:rPr>
        <w:t xml:space="preserve"> members/support people present and ask them to introduce themselves. Look to the </w:t>
      </w:r>
      <w:proofErr w:type="spellStart"/>
      <w:r w:rsidRPr="004D669E">
        <w:rPr>
          <w:rFonts w:eastAsia="Candara"/>
        </w:rPr>
        <w:t>whānau</w:t>
      </w:r>
      <w:proofErr w:type="spellEnd"/>
      <w:r w:rsidRPr="004D669E">
        <w:rPr>
          <w:rFonts w:eastAsia="Candara"/>
        </w:rPr>
        <w:t xml:space="preserve"> as a potential source of support for the patient/client.</w:t>
      </w:r>
    </w:p>
    <w:p w:rsidR="008F4364" w:rsidRPr="004D669E" w:rsidRDefault="008F4364" w:rsidP="00D174E9">
      <w:pPr>
        <w:pStyle w:val="Bullet"/>
        <w:spacing w:before="80"/>
        <w:rPr>
          <w:rFonts w:eastAsia="Candara"/>
        </w:rPr>
      </w:pPr>
      <w:r w:rsidRPr="004D669E">
        <w:rPr>
          <w:rFonts w:eastAsia="Candara"/>
        </w:rPr>
        <w:t xml:space="preserve">Build trust and respect with the patient/client and their </w:t>
      </w:r>
      <w:proofErr w:type="spellStart"/>
      <w:r w:rsidRPr="004D669E">
        <w:rPr>
          <w:rFonts w:eastAsia="Candara"/>
        </w:rPr>
        <w:t>whānau</w:t>
      </w:r>
      <w:proofErr w:type="spellEnd"/>
      <w:r w:rsidRPr="004D669E">
        <w:rPr>
          <w:rFonts w:eastAsia="Candara"/>
        </w:rPr>
        <w:t>/support people.</w:t>
      </w:r>
    </w:p>
    <w:p w:rsidR="008F4364" w:rsidRPr="004D669E" w:rsidRDefault="008F4364" w:rsidP="00D174E9">
      <w:pPr>
        <w:pStyle w:val="Bullet"/>
        <w:spacing w:before="80"/>
        <w:ind w:right="-567"/>
        <w:rPr>
          <w:rFonts w:eastAsia="Candara"/>
        </w:rPr>
      </w:pPr>
      <w:r w:rsidRPr="004D669E">
        <w:rPr>
          <w:rFonts w:eastAsia="Candara"/>
        </w:rPr>
        <w:t xml:space="preserve">Engage in transparent, open communication with the patient and their </w:t>
      </w:r>
      <w:proofErr w:type="spellStart"/>
      <w:r w:rsidRPr="004D669E">
        <w:rPr>
          <w:rFonts w:eastAsia="Candara"/>
        </w:rPr>
        <w:t>whānau</w:t>
      </w:r>
      <w:proofErr w:type="spellEnd"/>
      <w:r w:rsidRPr="004D669E">
        <w:rPr>
          <w:rFonts w:eastAsia="Candara"/>
        </w:rPr>
        <w:t xml:space="preserve"> wherever possible. Take the time to ask family members about their views and expectations and to answer their questions so that they can make informed choices.</w:t>
      </w:r>
    </w:p>
    <w:p w:rsidR="008F4364" w:rsidRPr="004D669E" w:rsidRDefault="008F4364" w:rsidP="00A86893"/>
    <w:p w:rsidR="008F4364" w:rsidRPr="004D669E" w:rsidRDefault="008F4364" w:rsidP="00D44C58">
      <w:pPr>
        <w:pStyle w:val="Heading2"/>
        <w:spacing w:before="0"/>
        <w:rPr>
          <w:rFonts w:eastAsia="Candara"/>
        </w:rPr>
      </w:pPr>
      <w:r w:rsidRPr="004D669E">
        <w:rPr>
          <w:rFonts w:eastAsia="Candara"/>
        </w:rPr>
        <w:t>The VIP programme:</w:t>
      </w:r>
    </w:p>
    <w:p w:rsidR="008F4364" w:rsidRPr="004D669E" w:rsidRDefault="008F4364" w:rsidP="00D174E9">
      <w:pPr>
        <w:pStyle w:val="Bullet"/>
        <w:spacing w:before="80"/>
        <w:rPr>
          <w:rFonts w:eastAsia="Candara"/>
        </w:rPr>
      </w:pPr>
      <w:r w:rsidRPr="004D669E">
        <w:rPr>
          <w:rFonts w:eastAsia="Candara"/>
        </w:rPr>
        <w:t xml:space="preserve">Follow the VIP six step intervention </w:t>
      </w:r>
      <w:proofErr w:type="gramStart"/>
      <w:r w:rsidRPr="004D669E">
        <w:rPr>
          <w:rFonts w:eastAsia="Candara"/>
        </w:rPr>
        <w:t>process</w:t>
      </w:r>
      <w:proofErr w:type="gramEnd"/>
      <w:r w:rsidRPr="004D669E">
        <w:rPr>
          <w:rFonts w:eastAsia="Candara"/>
        </w:rPr>
        <w:t>.</w:t>
      </w:r>
    </w:p>
    <w:p w:rsidR="008F4364" w:rsidRPr="004D669E" w:rsidRDefault="008F4364" w:rsidP="00D174E9">
      <w:pPr>
        <w:pStyle w:val="Bullet"/>
        <w:spacing w:before="80"/>
        <w:rPr>
          <w:rFonts w:eastAsia="Candara"/>
        </w:rPr>
      </w:pPr>
      <w:r w:rsidRPr="004D669E">
        <w:rPr>
          <w:rFonts w:eastAsia="Candara"/>
        </w:rPr>
        <w:t>Remember, safety always comes first.</w:t>
      </w:r>
    </w:p>
    <w:p w:rsidR="008F4364" w:rsidRPr="004D669E" w:rsidRDefault="008F4364" w:rsidP="00D174E9">
      <w:pPr>
        <w:pStyle w:val="Bullet"/>
        <w:spacing w:before="80"/>
        <w:ind w:right="-567"/>
        <w:rPr>
          <w:rFonts w:eastAsia="Candara"/>
        </w:rPr>
      </w:pPr>
      <w:r w:rsidRPr="004D669E">
        <w:rPr>
          <w:rFonts w:eastAsia="Candara"/>
        </w:rPr>
        <w:t xml:space="preserve">Apply your knowledge of </w:t>
      </w:r>
      <w:proofErr w:type="spellStart"/>
      <w:r w:rsidRPr="004D669E">
        <w:rPr>
          <w:rFonts w:eastAsia="Candara"/>
        </w:rPr>
        <w:t>tikanga</w:t>
      </w:r>
      <w:proofErr w:type="spellEnd"/>
      <w:r w:rsidRPr="004D669E">
        <w:rPr>
          <w:rFonts w:eastAsia="Candara"/>
        </w:rPr>
        <w:t xml:space="preserve"> Māori to each stage of the screening and intervention process. Refer to the Family Violence Intervention Guidelines for more information.</w:t>
      </w:r>
    </w:p>
    <w:p w:rsidR="008F4364" w:rsidRPr="004D669E" w:rsidRDefault="008F4364" w:rsidP="00D174E9">
      <w:pPr>
        <w:pStyle w:val="Bullet"/>
        <w:spacing w:before="80"/>
        <w:rPr>
          <w:rFonts w:eastAsia="Candara"/>
        </w:rPr>
      </w:pPr>
      <w:r w:rsidRPr="004D669E">
        <w:rPr>
          <w:rFonts w:eastAsia="Candara"/>
        </w:rPr>
        <w:t>During the safety planning and referral process, consider family members as potential sources of support for those who are experiencing family violence.</w:t>
      </w:r>
    </w:p>
    <w:p w:rsidR="008F4364" w:rsidRPr="00A86893" w:rsidRDefault="008F4364" w:rsidP="00D174E9">
      <w:pPr>
        <w:pStyle w:val="Bullet"/>
        <w:spacing w:before="80"/>
        <w:rPr>
          <w:rFonts w:eastAsia="Candara"/>
        </w:rPr>
      </w:pPr>
      <w:r w:rsidRPr="00A86893">
        <w:rPr>
          <w:rFonts w:eastAsia="Candara"/>
        </w:rPr>
        <w:t>Work with and refer people to family violence and iwi and Māori service providers/</w:t>
      </w:r>
      <w:r w:rsidR="00A86893">
        <w:rPr>
          <w:rFonts w:eastAsia="Candara"/>
        </w:rPr>
        <w:t xml:space="preserve"> </w:t>
      </w:r>
      <w:r w:rsidRPr="00A86893">
        <w:rPr>
          <w:rFonts w:eastAsia="Candara"/>
        </w:rPr>
        <w:t>family support services available in the community.</w:t>
      </w:r>
    </w:p>
    <w:p w:rsidR="008F4364" w:rsidRPr="004D669E" w:rsidRDefault="008F4364" w:rsidP="00D174E9">
      <w:pPr>
        <w:pStyle w:val="Bullet"/>
        <w:spacing w:before="80"/>
        <w:rPr>
          <w:rFonts w:eastAsia="Candara"/>
        </w:rPr>
      </w:pPr>
      <w:r w:rsidRPr="004D669E">
        <w:rPr>
          <w:rFonts w:eastAsia="Candara"/>
        </w:rPr>
        <w:t>Communicate openly with family members (if it is safe to do so), for example when making a report of concern to Child, Youth and Family.</w:t>
      </w:r>
    </w:p>
    <w:p w:rsidR="0086388B" w:rsidRPr="0086388B" w:rsidRDefault="008F4364" w:rsidP="00D44C58">
      <w:pPr>
        <w:pStyle w:val="Bullet"/>
        <w:spacing w:before="80"/>
      </w:pPr>
      <w:r w:rsidRPr="00D174E9">
        <w:rPr>
          <w:rFonts w:eastAsia="Candara"/>
        </w:rPr>
        <w:t xml:space="preserve">Get involved in/support initiatives to prevent family violence and promote </w:t>
      </w:r>
      <w:proofErr w:type="spellStart"/>
      <w:r w:rsidRPr="00D174E9">
        <w:rPr>
          <w:rFonts w:eastAsia="Candara"/>
        </w:rPr>
        <w:t>whānau</w:t>
      </w:r>
      <w:proofErr w:type="spellEnd"/>
      <w:r w:rsidRPr="00D174E9">
        <w:rPr>
          <w:rFonts w:eastAsia="Candara"/>
        </w:rPr>
        <w:t xml:space="preserve"> wellbeing.</w:t>
      </w:r>
    </w:p>
    <w:sectPr w:rsidR="0086388B" w:rsidRPr="0086388B" w:rsidSect="00D144DB">
      <w:headerReference w:type="default" r:id="rId26"/>
      <w:footerReference w:type="even" r:id="rId27"/>
      <w:footerReference w:type="default" r:id="rId28"/>
      <w:pgSz w:w="11907" w:h="16834" w:code="9"/>
      <w:pgMar w:top="1985" w:right="1701" w:bottom="1134" w:left="1985"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38" w:rsidRDefault="00434B38">
      <w:pPr>
        <w:spacing w:line="240" w:lineRule="auto"/>
      </w:pPr>
      <w:r>
        <w:separator/>
      </w:r>
    </w:p>
  </w:endnote>
  <w:endnote w:type="continuationSeparator" w:id="0">
    <w:p w:rsidR="00434B38" w:rsidRDefault="00434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1C" w:rsidRDefault="000C3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1C" w:rsidRDefault="000C3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1C" w:rsidRDefault="000C32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4D668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Pr="00D144DB" w:rsidRDefault="00EE5CB7"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144DB">
      <w:rPr>
        <w:rStyle w:val="PageNumber"/>
        <w:noProof/>
      </w:rPr>
      <w:t>4</w:t>
    </w:r>
    <w:r w:rsidRPr="00FC46E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533B90">
    <w:pPr>
      <w:pStyle w:val="RectoFooter"/>
    </w:pPr>
    <w:r>
      <w:rPr>
        <w:rStyle w:val="PageNumber"/>
      </w:rPr>
      <w:fldChar w:fldCharType="begin"/>
    </w:r>
    <w:r>
      <w:rPr>
        <w:rStyle w:val="PageNumber"/>
      </w:rPr>
      <w:instrText xml:space="preserve"> PAGE </w:instrText>
    </w:r>
    <w:r>
      <w:rPr>
        <w:rStyle w:val="PageNumber"/>
      </w:rPr>
      <w:fldChar w:fldCharType="separate"/>
    </w:r>
    <w:r w:rsidR="0000742D">
      <w:rPr>
        <w:rStyle w:val="PageNumber"/>
        <w:noProof/>
      </w:rPr>
      <w:t>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DB" w:rsidRPr="00D144DB" w:rsidRDefault="00D144DB" w:rsidP="00D144DB">
    <w:pPr>
      <w:pStyle w:val="Footer"/>
      <w:rPr>
        <w:rStyle w:val="PageNumber"/>
      </w:rPr>
    </w:pPr>
    <w:r w:rsidRPr="00D144DB">
      <w:rPr>
        <w:rStyle w:val="PageNumber"/>
      </w:rPr>
      <w:fldChar w:fldCharType="begin"/>
    </w:r>
    <w:r w:rsidRPr="00D144DB">
      <w:rPr>
        <w:rStyle w:val="PageNumber"/>
      </w:rPr>
      <w:instrText xml:space="preserve"> PAGE   \* MERGEFORMAT </w:instrText>
    </w:r>
    <w:r w:rsidRPr="00D144DB">
      <w:rPr>
        <w:rStyle w:val="PageNumber"/>
      </w:rPr>
      <w:fldChar w:fldCharType="separate"/>
    </w:r>
    <w:r w:rsidR="0000742D">
      <w:rPr>
        <w:rStyle w:val="PageNumber"/>
        <w:noProof/>
      </w:rPr>
      <w:t>14</w:t>
    </w:r>
    <w:r w:rsidRPr="00D144DB">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F" w:rsidRDefault="003C531F" w:rsidP="003C531F">
    <w:pPr>
      <w:pStyle w:val="RectoFooter"/>
      <w:ind w:left="0" w:right="-851"/>
    </w:pPr>
    <w:r>
      <w:rPr>
        <w:rStyle w:val="PageNumber"/>
      </w:rPr>
      <w:fldChar w:fldCharType="begin"/>
    </w:r>
    <w:r>
      <w:rPr>
        <w:rStyle w:val="PageNumber"/>
      </w:rPr>
      <w:instrText xml:space="preserve"> PAGE </w:instrText>
    </w:r>
    <w:r>
      <w:rPr>
        <w:rStyle w:val="PageNumber"/>
      </w:rPr>
      <w:fldChar w:fldCharType="separate"/>
    </w:r>
    <w:r w:rsidR="0000742D">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38" w:rsidRPr="00E460B6" w:rsidRDefault="00434B38" w:rsidP="007B4D3E"/>
  </w:footnote>
  <w:footnote w:type="continuationSeparator" w:id="0">
    <w:p w:rsidR="00434B38" w:rsidRDefault="00434B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1C" w:rsidRDefault="000C3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6" w:rsidRDefault="00873406">
    <w:pPr>
      <w:pStyle w:val="Header"/>
    </w:pPr>
    <w:r>
      <w:rPr>
        <w:noProof/>
        <w:lang w:eastAsia="en-NZ"/>
      </w:rPr>
      <w:drawing>
        <wp:inline distT="0" distB="0" distL="0" distR="0" wp14:anchorId="6F293B19" wp14:editId="1BCD1988">
          <wp:extent cx="5400675" cy="68495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400675" cy="6849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1C" w:rsidRDefault="000C32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bullet="t">
        <v:imagedata r:id="rId1" o:title="Bullet"/>
      </v:shape>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6F89ADC"/>
    <w:lvl w:ilvl="0">
      <w:start w:val="1"/>
      <w:numFmt w:val="bullet"/>
      <w:pStyle w:val="TableBullet"/>
      <w:lvlText w:val="z"/>
      <w:lvlJc w:val="left"/>
      <w:pPr>
        <w:ind w:left="360" w:hanging="360"/>
      </w:pPr>
      <w:rPr>
        <w:rFonts w:ascii="Wingdings" w:hAnsi="Wingdings" w:hint="default"/>
        <w:color w:val="auto"/>
        <w:sz w:val="16"/>
        <w:szCs w:val="16"/>
        <w:u w:color="7F7F7F" w:themeColor="text1" w:themeTint="80"/>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DCC4EC8"/>
    <w:multiLevelType w:val="hybridMultilevel"/>
    <w:tmpl w:val="16E83388"/>
    <w:lvl w:ilvl="0" w:tplc="BB1A7E78">
      <w:start w:val="1"/>
      <w:numFmt w:val="bullet"/>
      <w:pStyle w:val="TableBulletstyle2"/>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2">
    <w:nsid w:val="7C1218D3"/>
    <w:multiLevelType w:val="singleLevel"/>
    <w:tmpl w:val="F8B61714"/>
    <w:lvl w:ilvl="0">
      <w:start w:val="1"/>
      <w:numFmt w:val="bullet"/>
      <w:pStyle w:val="Bullet"/>
      <w:lvlText w:val="z"/>
      <w:lvlJc w:val="left"/>
      <w:pPr>
        <w:ind w:left="360" w:hanging="360"/>
      </w:pPr>
      <w:rPr>
        <w:rFonts w:ascii="Wingdings" w:hAnsi="Wingdings" w:hint="default"/>
        <w:color w:val="auto"/>
        <w:sz w:val="16"/>
        <w:u w:color="7F7F7F" w:themeColor="text1" w:themeTint="80"/>
      </w:rPr>
    </w:lvl>
  </w:abstractNum>
  <w:num w:numId="1">
    <w:abstractNumId w:val="12"/>
  </w:num>
  <w:num w:numId="2">
    <w:abstractNumId w:val="10"/>
  </w:num>
  <w:num w:numId="3">
    <w:abstractNumId w:val="6"/>
  </w:num>
  <w:num w:numId="4">
    <w:abstractNumId w:val="7"/>
  </w:num>
  <w:num w:numId="5">
    <w:abstractNumId w:val="1"/>
  </w:num>
  <w:num w:numId="6">
    <w:abstractNumId w:val="9"/>
  </w:num>
  <w:num w:numId="7">
    <w:abstractNumId w:val="3"/>
  </w:num>
  <w:num w:numId="8">
    <w:abstractNumId w:val="11"/>
  </w:num>
  <w:num w:numId="9">
    <w:abstractNumId w:val="2"/>
  </w:num>
  <w:num w:numId="10">
    <w:abstractNumId w:val="5"/>
  </w:num>
  <w:num w:numId="11">
    <w:abstractNumId w:val="8"/>
  </w:num>
  <w:num w:numId="12">
    <w:abstractNumId w:val="0"/>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742D"/>
    <w:rsid w:val="00030B26"/>
    <w:rsid w:val="0006228D"/>
    <w:rsid w:val="00072BD6"/>
    <w:rsid w:val="00075B78"/>
    <w:rsid w:val="00082CD6"/>
    <w:rsid w:val="00085AFE"/>
    <w:rsid w:val="000B0730"/>
    <w:rsid w:val="000C321C"/>
    <w:rsid w:val="000F2AE2"/>
    <w:rsid w:val="00102063"/>
    <w:rsid w:val="0010541C"/>
    <w:rsid w:val="00106F93"/>
    <w:rsid w:val="00111D50"/>
    <w:rsid w:val="00113B8E"/>
    <w:rsid w:val="001342C7"/>
    <w:rsid w:val="0013585C"/>
    <w:rsid w:val="00142954"/>
    <w:rsid w:val="001460E0"/>
    <w:rsid w:val="00147F71"/>
    <w:rsid w:val="00150A6E"/>
    <w:rsid w:val="0016468A"/>
    <w:rsid w:val="00170163"/>
    <w:rsid w:val="001A5CF5"/>
    <w:rsid w:val="001B39D2"/>
    <w:rsid w:val="001C4326"/>
    <w:rsid w:val="001D3541"/>
    <w:rsid w:val="001D5E24"/>
    <w:rsid w:val="00201A01"/>
    <w:rsid w:val="002104D3"/>
    <w:rsid w:val="00211C87"/>
    <w:rsid w:val="00213A33"/>
    <w:rsid w:val="0021763B"/>
    <w:rsid w:val="00246DB1"/>
    <w:rsid w:val="002476B5"/>
    <w:rsid w:val="00253ECF"/>
    <w:rsid w:val="002546A1"/>
    <w:rsid w:val="002671AE"/>
    <w:rsid w:val="00275D08"/>
    <w:rsid w:val="002858E3"/>
    <w:rsid w:val="0029190A"/>
    <w:rsid w:val="00292C5A"/>
    <w:rsid w:val="00295241"/>
    <w:rsid w:val="002B047D"/>
    <w:rsid w:val="002B732B"/>
    <w:rsid w:val="002C2219"/>
    <w:rsid w:val="002D0DF2"/>
    <w:rsid w:val="002D23BD"/>
    <w:rsid w:val="002E0B47"/>
    <w:rsid w:val="002F7213"/>
    <w:rsid w:val="0030382F"/>
    <w:rsid w:val="003060E4"/>
    <w:rsid w:val="003160E7"/>
    <w:rsid w:val="0031739E"/>
    <w:rsid w:val="003325AB"/>
    <w:rsid w:val="0033412B"/>
    <w:rsid w:val="003351FE"/>
    <w:rsid w:val="00343365"/>
    <w:rsid w:val="00353501"/>
    <w:rsid w:val="003606F8"/>
    <w:rsid w:val="003648EF"/>
    <w:rsid w:val="003673E6"/>
    <w:rsid w:val="00367C3B"/>
    <w:rsid w:val="00377264"/>
    <w:rsid w:val="003A21CE"/>
    <w:rsid w:val="003A26A5"/>
    <w:rsid w:val="003A3761"/>
    <w:rsid w:val="003A5FEA"/>
    <w:rsid w:val="003B1D10"/>
    <w:rsid w:val="003C531F"/>
    <w:rsid w:val="003C76D4"/>
    <w:rsid w:val="003E7C46"/>
    <w:rsid w:val="003F52A7"/>
    <w:rsid w:val="0040240C"/>
    <w:rsid w:val="00413021"/>
    <w:rsid w:val="00434B38"/>
    <w:rsid w:val="00440BE0"/>
    <w:rsid w:val="00442F23"/>
    <w:rsid w:val="0044584B"/>
    <w:rsid w:val="00447CB7"/>
    <w:rsid w:val="00460826"/>
    <w:rsid w:val="00460EA7"/>
    <w:rsid w:val="0046195B"/>
    <w:rsid w:val="0046596D"/>
    <w:rsid w:val="00487C04"/>
    <w:rsid w:val="004907E1"/>
    <w:rsid w:val="004A035B"/>
    <w:rsid w:val="004A38D7"/>
    <w:rsid w:val="004A778C"/>
    <w:rsid w:val="004B590B"/>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A27CA"/>
    <w:rsid w:val="005A43BD"/>
    <w:rsid w:val="005E226E"/>
    <w:rsid w:val="006015D7"/>
    <w:rsid w:val="00601B21"/>
    <w:rsid w:val="00626CF8"/>
    <w:rsid w:val="00636D7D"/>
    <w:rsid w:val="00642868"/>
    <w:rsid w:val="006512BC"/>
    <w:rsid w:val="00653A5A"/>
    <w:rsid w:val="006575F4"/>
    <w:rsid w:val="006579E6"/>
    <w:rsid w:val="00663EDC"/>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663EF"/>
    <w:rsid w:val="00771B1E"/>
    <w:rsid w:val="00773C95"/>
    <w:rsid w:val="0078171E"/>
    <w:rsid w:val="00795B34"/>
    <w:rsid w:val="007B1770"/>
    <w:rsid w:val="007B36F9"/>
    <w:rsid w:val="007B4D3E"/>
    <w:rsid w:val="007B7C70"/>
    <w:rsid w:val="007D2151"/>
    <w:rsid w:val="007D42CC"/>
    <w:rsid w:val="007D5DE4"/>
    <w:rsid w:val="007E1341"/>
    <w:rsid w:val="007E1B41"/>
    <w:rsid w:val="007E30B9"/>
    <w:rsid w:val="007F0F0C"/>
    <w:rsid w:val="007F1288"/>
    <w:rsid w:val="00800A8A"/>
    <w:rsid w:val="0080155C"/>
    <w:rsid w:val="008052E1"/>
    <w:rsid w:val="0080765A"/>
    <w:rsid w:val="00822F2C"/>
    <w:rsid w:val="008305E8"/>
    <w:rsid w:val="008516DE"/>
    <w:rsid w:val="00860826"/>
    <w:rsid w:val="00860E21"/>
    <w:rsid w:val="0086388B"/>
    <w:rsid w:val="008642E5"/>
    <w:rsid w:val="00872D93"/>
    <w:rsid w:val="00873406"/>
    <w:rsid w:val="00880470"/>
    <w:rsid w:val="00880D94"/>
    <w:rsid w:val="008A3755"/>
    <w:rsid w:val="008A41B4"/>
    <w:rsid w:val="008B264F"/>
    <w:rsid w:val="008B6F83"/>
    <w:rsid w:val="008C2973"/>
    <w:rsid w:val="008C64C4"/>
    <w:rsid w:val="008D74D5"/>
    <w:rsid w:val="008E1D46"/>
    <w:rsid w:val="008F29BE"/>
    <w:rsid w:val="008F4364"/>
    <w:rsid w:val="008F4AE5"/>
    <w:rsid w:val="008F51EB"/>
    <w:rsid w:val="00900197"/>
    <w:rsid w:val="00902F55"/>
    <w:rsid w:val="0090582B"/>
    <w:rsid w:val="009060C0"/>
    <w:rsid w:val="009133F5"/>
    <w:rsid w:val="00920A27"/>
    <w:rsid w:val="00921216"/>
    <w:rsid w:val="00932D69"/>
    <w:rsid w:val="00944647"/>
    <w:rsid w:val="0094553B"/>
    <w:rsid w:val="009501D2"/>
    <w:rsid w:val="00977B8A"/>
    <w:rsid w:val="00982971"/>
    <w:rsid w:val="009845AD"/>
    <w:rsid w:val="009864C8"/>
    <w:rsid w:val="00995BA0"/>
    <w:rsid w:val="009A418B"/>
    <w:rsid w:val="009A4473"/>
    <w:rsid w:val="009C151C"/>
    <w:rsid w:val="009D5125"/>
    <w:rsid w:val="009D60B8"/>
    <w:rsid w:val="009D7D4B"/>
    <w:rsid w:val="009E36ED"/>
    <w:rsid w:val="009F460A"/>
    <w:rsid w:val="00A043FB"/>
    <w:rsid w:val="00A0729C"/>
    <w:rsid w:val="00A07779"/>
    <w:rsid w:val="00A20B2E"/>
    <w:rsid w:val="00A3068F"/>
    <w:rsid w:val="00A3145B"/>
    <w:rsid w:val="00A339D0"/>
    <w:rsid w:val="00A4201A"/>
    <w:rsid w:val="00A47DB8"/>
    <w:rsid w:val="00A5008F"/>
    <w:rsid w:val="00A553CE"/>
    <w:rsid w:val="00A5677A"/>
    <w:rsid w:val="00A5769B"/>
    <w:rsid w:val="00A6490D"/>
    <w:rsid w:val="00A80363"/>
    <w:rsid w:val="00A86893"/>
    <w:rsid w:val="00A9169D"/>
    <w:rsid w:val="00AD4CF1"/>
    <w:rsid w:val="00AD5988"/>
    <w:rsid w:val="00AE0A40"/>
    <w:rsid w:val="00AF7800"/>
    <w:rsid w:val="00B072E0"/>
    <w:rsid w:val="00B253F6"/>
    <w:rsid w:val="00B332F8"/>
    <w:rsid w:val="00B3492B"/>
    <w:rsid w:val="00B4646F"/>
    <w:rsid w:val="00B55C7D"/>
    <w:rsid w:val="00B63038"/>
    <w:rsid w:val="00B64BD8"/>
    <w:rsid w:val="00B701D1"/>
    <w:rsid w:val="00B73AF2"/>
    <w:rsid w:val="00B7551A"/>
    <w:rsid w:val="00B76E55"/>
    <w:rsid w:val="00BC59F1"/>
    <w:rsid w:val="00BF3DE1"/>
    <w:rsid w:val="00BF4843"/>
    <w:rsid w:val="00BF5205"/>
    <w:rsid w:val="00C12508"/>
    <w:rsid w:val="00C45AA2"/>
    <w:rsid w:val="00C77282"/>
    <w:rsid w:val="00C84DE5"/>
    <w:rsid w:val="00C86248"/>
    <w:rsid w:val="00CA4C33"/>
    <w:rsid w:val="00CA6F4A"/>
    <w:rsid w:val="00CD2119"/>
    <w:rsid w:val="00CD36AC"/>
    <w:rsid w:val="00CF1747"/>
    <w:rsid w:val="00D144DB"/>
    <w:rsid w:val="00D174E9"/>
    <w:rsid w:val="00D2392A"/>
    <w:rsid w:val="00D25FFE"/>
    <w:rsid w:val="00D4476F"/>
    <w:rsid w:val="00D44C58"/>
    <w:rsid w:val="00D54D50"/>
    <w:rsid w:val="00D66797"/>
    <w:rsid w:val="00D7087C"/>
    <w:rsid w:val="00D70C3C"/>
    <w:rsid w:val="00D72BE5"/>
    <w:rsid w:val="00D8195F"/>
    <w:rsid w:val="00D82F26"/>
    <w:rsid w:val="00D863D0"/>
    <w:rsid w:val="00D87C87"/>
    <w:rsid w:val="00DB39CF"/>
    <w:rsid w:val="00DD447A"/>
    <w:rsid w:val="00DE6C94"/>
    <w:rsid w:val="00DE6FD7"/>
    <w:rsid w:val="00DF4097"/>
    <w:rsid w:val="00E23271"/>
    <w:rsid w:val="00E24F80"/>
    <w:rsid w:val="00E4486C"/>
    <w:rsid w:val="00E460B6"/>
    <w:rsid w:val="00E511D5"/>
    <w:rsid w:val="00E65269"/>
    <w:rsid w:val="00E73E06"/>
    <w:rsid w:val="00E73F21"/>
    <w:rsid w:val="00EA796A"/>
    <w:rsid w:val="00EB1856"/>
    <w:rsid w:val="00EB53A0"/>
    <w:rsid w:val="00EC50CE"/>
    <w:rsid w:val="00EC5B34"/>
    <w:rsid w:val="00EE4ADE"/>
    <w:rsid w:val="00EE5CB7"/>
    <w:rsid w:val="00F024FE"/>
    <w:rsid w:val="00F05AD4"/>
    <w:rsid w:val="00F4648A"/>
    <w:rsid w:val="00F67496"/>
    <w:rsid w:val="00F801BA"/>
    <w:rsid w:val="00F946C9"/>
    <w:rsid w:val="00FA74EE"/>
    <w:rsid w:val="00FC46E7"/>
    <w:rsid w:val="00FC5656"/>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5E24"/>
    <w:pPr>
      <w:spacing w:line="264" w:lineRule="auto"/>
    </w:pPr>
    <w:rPr>
      <w:rFonts w:ascii="Candara" w:hAnsi="Candara"/>
      <w:sz w:val="22"/>
      <w:lang w:eastAsia="en-GB"/>
    </w:rPr>
  </w:style>
  <w:style w:type="paragraph" w:styleId="Heading1">
    <w:name w:val="heading 1"/>
    <w:basedOn w:val="Normal"/>
    <w:next w:val="Normal"/>
    <w:link w:val="Heading1Char"/>
    <w:uiPriority w:val="9"/>
    <w:qFormat/>
    <w:rsid w:val="00EB53A0"/>
    <w:pPr>
      <w:spacing w:after="720"/>
      <w:outlineLvl w:val="0"/>
    </w:pPr>
    <w:rPr>
      <w:b/>
      <w:sz w:val="48"/>
    </w:rPr>
  </w:style>
  <w:style w:type="paragraph" w:styleId="Heading2">
    <w:name w:val="heading 2"/>
    <w:basedOn w:val="Normal"/>
    <w:next w:val="Normal"/>
    <w:link w:val="Heading2Char"/>
    <w:uiPriority w:val="9"/>
    <w:qFormat/>
    <w:rsid w:val="00E73F21"/>
    <w:pPr>
      <w:keepNext/>
      <w:spacing w:before="120" w:after="120"/>
      <w:outlineLvl w:val="1"/>
    </w:pPr>
    <w:rPr>
      <w:b/>
      <w:sz w:val="32"/>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E0A40"/>
    <w:pPr>
      <w:tabs>
        <w:tab w:val="right" w:pos="7371"/>
      </w:tabs>
      <w:spacing w:before="480"/>
      <w:ind w:right="567"/>
    </w:pPr>
    <w:rPr>
      <w:sz w:val="28"/>
    </w:rPr>
  </w:style>
  <w:style w:type="paragraph" w:styleId="TOC2">
    <w:name w:val="toc 2"/>
    <w:basedOn w:val="Normal"/>
    <w:next w:val="Normal"/>
    <w:uiPriority w:val="39"/>
    <w:rsid w:val="009864C8"/>
    <w:pPr>
      <w:tabs>
        <w:tab w:val="right" w:pos="6804"/>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73F21"/>
    <w:pPr>
      <w:numPr>
        <w:numId w:val="1"/>
      </w:numPr>
      <w:spacing w:before="90"/>
      <w:ind w:left="425"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873406"/>
    <w:pPr>
      <w:jc w:val="right"/>
    </w:pPr>
    <w:rPr>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D144DB"/>
    <w:pPr>
      <w:ind w:left="-851"/>
    </w:pPr>
  </w:style>
  <w:style w:type="character" w:styleId="PageNumber">
    <w:name w:val="page number"/>
    <w:rsid w:val="008A41B4"/>
    <w:rPr>
      <w:rFonts w:ascii="Candara" w:hAnsi="Candara"/>
      <w:b/>
      <w:sz w:val="36"/>
    </w:rPr>
  </w:style>
  <w:style w:type="paragraph" w:customStyle="1" w:styleId="VersoFooter">
    <w:name w:val="Verso Footer"/>
    <w:basedOn w:val="Footer"/>
    <w:rsid w:val="00D144DB"/>
    <w:pPr>
      <w:ind w:left="-567"/>
    </w:pPr>
  </w:style>
  <w:style w:type="paragraph" w:customStyle="1" w:styleId="RectoFooter">
    <w:name w:val="Recto Footer"/>
    <w:basedOn w:val="Footer"/>
    <w:rsid w:val="009864C8"/>
    <w:pPr>
      <w:spacing w:line="240" w:lineRule="auto"/>
      <w:ind w:right="-1701"/>
      <w:jc w:val="right"/>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E1D46"/>
    <w:pPr>
      <w:spacing w:before="90" w:after="90" w:line="240" w:lineRule="auto"/>
    </w:pPr>
  </w:style>
  <w:style w:type="paragraph" w:customStyle="1" w:styleId="TableBullet">
    <w:name w:val="TableBullet"/>
    <w:basedOn w:val="TableText"/>
    <w:qFormat/>
    <w:rsid w:val="008A41B4"/>
    <w:pPr>
      <w:numPr>
        <w:numId w:val="5"/>
      </w:numPr>
      <w:ind w:left="425" w:hanging="425"/>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9864C8"/>
    <w:pPr>
      <w:spacing w:after="1200"/>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D8195F"/>
    <w:pPr>
      <w:spacing w:before="6000"/>
      <w:ind w:left="-1134"/>
    </w:pPr>
    <w:rPr>
      <w:b/>
      <w:sz w:val="72"/>
    </w:rPr>
  </w:style>
  <w:style w:type="character" w:styleId="Hyperlink">
    <w:name w:val="Hyperlink"/>
    <w:uiPriority w:val="99"/>
    <w:rsid w:val="00EB53A0"/>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Normal"/>
    <w:next w:val="Subhead"/>
    <w:qFormat/>
    <w:rsid w:val="00873406"/>
    <w:pPr>
      <w:jc w:val="right"/>
    </w:pPr>
    <w:rPr>
      <w:sz w:val="48"/>
    </w:rPr>
  </w:style>
  <w:style w:type="paragraph" w:customStyle="1" w:styleId="Introparagraph">
    <w:name w:val="Intro paragraph"/>
    <w:basedOn w:val="Normal"/>
    <w:next w:val="Normal"/>
    <w:qFormat/>
    <w:rsid w:val="00EB53A0"/>
    <w:rPr>
      <w:rFonts w:eastAsia="Candara"/>
      <w:b/>
      <w:sz w:val="28"/>
    </w:rPr>
  </w:style>
  <w:style w:type="paragraph" w:customStyle="1" w:styleId="Textbox">
    <w:name w:val="Textbox"/>
    <w:basedOn w:val="Normal"/>
    <w:qFormat/>
    <w:rsid w:val="00A5769B"/>
    <w:pPr>
      <w:spacing w:before="120" w:after="120"/>
      <w:jc w:val="right"/>
    </w:pPr>
    <w:rPr>
      <w:rFonts w:eastAsia="Candara"/>
      <w:sz w:val="24"/>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D144DB"/>
    <w:rPr>
      <w:rFonts w:ascii="Candara" w:hAnsi="Candara"/>
      <w:sz w:val="22"/>
      <w:lang w:eastAsia="en-GB"/>
    </w:rPr>
  </w:style>
  <w:style w:type="paragraph" w:customStyle="1" w:styleId="TableBulletstyle2">
    <w:name w:val="TableBullet style 2"/>
    <w:basedOn w:val="TableText"/>
    <w:qFormat/>
    <w:rsid w:val="009501D2"/>
    <w:pPr>
      <w:numPr>
        <w:numId w:val="13"/>
      </w:numPr>
      <w:ind w:left="284" w:hanging="284"/>
    </w:pPr>
  </w:style>
  <w:style w:type="character" w:customStyle="1" w:styleId="Heading1Char">
    <w:name w:val="Heading 1 Char"/>
    <w:link w:val="Heading1"/>
    <w:uiPriority w:val="9"/>
    <w:rsid w:val="00EB53A0"/>
    <w:rPr>
      <w:rFonts w:ascii="Candara" w:hAnsi="Candara"/>
      <w:b/>
      <w:sz w:val="48"/>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E73F21"/>
    <w:rPr>
      <w:rFonts w:ascii="Candara" w:hAnsi="Candara"/>
      <w:b/>
      <w:sz w:val="32"/>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766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E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5E24"/>
    <w:pPr>
      <w:spacing w:line="264" w:lineRule="auto"/>
    </w:pPr>
    <w:rPr>
      <w:rFonts w:ascii="Candara" w:hAnsi="Candara"/>
      <w:sz w:val="22"/>
      <w:lang w:eastAsia="en-GB"/>
    </w:rPr>
  </w:style>
  <w:style w:type="paragraph" w:styleId="Heading1">
    <w:name w:val="heading 1"/>
    <w:basedOn w:val="Normal"/>
    <w:next w:val="Normal"/>
    <w:link w:val="Heading1Char"/>
    <w:uiPriority w:val="9"/>
    <w:qFormat/>
    <w:rsid w:val="00EB53A0"/>
    <w:pPr>
      <w:spacing w:after="720"/>
      <w:outlineLvl w:val="0"/>
    </w:pPr>
    <w:rPr>
      <w:b/>
      <w:sz w:val="48"/>
    </w:rPr>
  </w:style>
  <w:style w:type="paragraph" w:styleId="Heading2">
    <w:name w:val="heading 2"/>
    <w:basedOn w:val="Normal"/>
    <w:next w:val="Normal"/>
    <w:link w:val="Heading2Char"/>
    <w:uiPriority w:val="9"/>
    <w:qFormat/>
    <w:rsid w:val="00E73F21"/>
    <w:pPr>
      <w:keepNext/>
      <w:spacing w:before="120" w:after="120"/>
      <w:outlineLvl w:val="1"/>
    </w:pPr>
    <w:rPr>
      <w:b/>
      <w:sz w:val="32"/>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E0A40"/>
    <w:pPr>
      <w:tabs>
        <w:tab w:val="right" w:pos="7371"/>
      </w:tabs>
      <w:spacing w:before="480"/>
      <w:ind w:right="567"/>
    </w:pPr>
    <w:rPr>
      <w:sz w:val="28"/>
    </w:rPr>
  </w:style>
  <w:style w:type="paragraph" w:styleId="TOC2">
    <w:name w:val="toc 2"/>
    <w:basedOn w:val="Normal"/>
    <w:next w:val="Normal"/>
    <w:uiPriority w:val="39"/>
    <w:rsid w:val="009864C8"/>
    <w:pPr>
      <w:tabs>
        <w:tab w:val="right" w:pos="6804"/>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73F21"/>
    <w:pPr>
      <w:numPr>
        <w:numId w:val="1"/>
      </w:numPr>
      <w:spacing w:before="90"/>
      <w:ind w:left="425"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873406"/>
    <w:pPr>
      <w:jc w:val="right"/>
    </w:pPr>
    <w:rPr>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D144DB"/>
    <w:pPr>
      <w:ind w:left="-851"/>
    </w:pPr>
  </w:style>
  <w:style w:type="character" w:styleId="PageNumber">
    <w:name w:val="page number"/>
    <w:rsid w:val="008A41B4"/>
    <w:rPr>
      <w:rFonts w:ascii="Candara" w:hAnsi="Candara"/>
      <w:b/>
      <w:sz w:val="36"/>
    </w:rPr>
  </w:style>
  <w:style w:type="paragraph" w:customStyle="1" w:styleId="VersoFooter">
    <w:name w:val="Verso Footer"/>
    <w:basedOn w:val="Footer"/>
    <w:rsid w:val="00D144DB"/>
    <w:pPr>
      <w:ind w:left="-567"/>
    </w:pPr>
  </w:style>
  <w:style w:type="paragraph" w:customStyle="1" w:styleId="RectoFooter">
    <w:name w:val="Recto Footer"/>
    <w:basedOn w:val="Footer"/>
    <w:rsid w:val="009864C8"/>
    <w:pPr>
      <w:spacing w:line="240" w:lineRule="auto"/>
      <w:ind w:right="-1701"/>
      <w:jc w:val="right"/>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E1D46"/>
    <w:pPr>
      <w:spacing w:before="90" w:after="90" w:line="240" w:lineRule="auto"/>
    </w:pPr>
  </w:style>
  <w:style w:type="paragraph" w:customStyle="1" w:styleId="TableBullet">
    <w:name w:val="TableBullet"/>
    <w:basedOn w:val="TableText"/>
    <w:qFormat/>
    <w:rsid w:val="008A41B4"/>
    <w:pPr>
      <w:numPr>
        <w:numId w:val="5"/>
      </w:numPr>
      <w:ind w:left="425" w:hanging="425"/>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9864C8"/>
    <w:pPr>
      <w:spacing w:after="1200"/>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D8195F"/>
    <w:pPr>
      <w:spacing w:before="6000"/>
      <w:ind w:left="-1134"/>
    </w:pPr>
    <w:rPr>
      <w:b/>
      <w:sz w:val="72"/>
    </w:rPr>
  </w:style>
  <w:style w:type="character" w:styleId="Hyperlink">
    <w:name w:val="Hyperlink"/>
    <w:uiPriority w:val="99"/>
    <w:rsid w:val="00EB53A0"/>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Normal"/>
    <w:next w:val="Subhead"/>
    <w:qFormat/>
    <w:rsid w:val="00873406"/>
    <w:pPr>
      <w:jc w:val="right"/>
    </w:pPr>
    <w:rPr>
      <w:sz w:val="48"/>
    </w:rPr>
  </w:style>
  <w:style w:type="paragraph" w:customStyle="1" w:styleId="Introparagraph">
    <w:name w:val="Intro paragraph"/>
    <w:basedOn w:val="Normal"/>
    <w:next w:val="Normal"/>
    <w:qFormat/>
    <w:rsid w:val="00EB53A0"/>
    <w:rPr>
      <w:rFonts w:eastAsia="Candara"/>
      <w:b/>
      <w:sz w:val="28"/>
    </w:rPr>
  </w:style>
  <w:style w:type="paragraph" w:customStyle="1" w:styleId="Textbox">
    <w:name w:val="Textbox"/>
    <w:basedOn w:val="Normal"/>
    <w:qFormat/>
    <w:rsid w:val="00A5769B"/>
    <w:pPr>
      <w:spacing w:before="120" w:after="120"/>
      <w:jc w:val="right"/>
    </w:pPr>
    <w:rPr>
      <w:rFonts w:eastAsia="Candara"/>
      <w:sz w:val="24"/>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D144DB"/>
    <w:rPr>
      <w:rFonts w:ascii="Candara" w:hAnsi="Candara"/>
      <w:sz w:val="22"/>
      <w:lang w:eastAsia="en-GB"/>
    </w:rPr>
  </w:style>
  <w:style w:type="paragraph" w:customStyle="1" w:styleId="TableBulletstyle2">
    <w:name w:val="TableBullet style 2"/>
    <w:basedOn w:val="TableText"/>
    <w:qFormat/>
    <w:rsid w:val="009501D2"/>
    <w:pPr>
      <w:numPr>
        <w:numId w:val="13"/>
      </w:numPr>
      <w:ind w:left="284" w:hanging="284"/>
    </w:pPr>
  </w:style>
  <w:style w:type="character" w:customStyle="1" w:styleId="Heading1Char">
    <w:name w:val="Heading 1 Char"/>
    <w:link w:val="Heading1"/>
    <w:uiPriority w:val="9"/>
    <w:rsid w:val="00EB53A0"/>
    <w:rPr>
      <w:rFonts w:ascii="Candara" w:hAnsi="Candara"/>
      <w:b/>
      <w:sz w:val="48"/>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E73F21"/>
    <w:rPr>
      <w:rFonts w:ascii="Candara" w:hAnsi="Candara"/>
      <w:b/>
      <w:sz w:val="32"/>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766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E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health.govt.nz/familyviolenc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info@jigsaw.org.nz"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jigsaw.org.nz/"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surveymonkey.com/S/GZ9CD59" TargetMode="Externa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urveymonkey.com/S/GZ9CD59" TargetMode="External"/><Relationship Id="rId27" Type="http://schemas.openxmlformats.org/officeDocument/2006/relationships/footer" Target="foot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E9E5-EC1D-4958-9BE0-EC210592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2255</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Increasing VIP Programmes’ Responsiveness to Māori User guide</vt:lpstr>
    </vt:vector>
  </TitlesOfParts>
  <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VIP Programmes’ Responsiveness to Māori User guide</dc:title>
  <dc:subject/>
  <dc:creator/>
  <cp:keywords/>
  <cp:lastModifiedBy/>
  <cp:revision>1</cp:revision>
  <dcterms:created xsi:type="dcterms:W3CDTF">2014-07-28T22:36:00Z</dcterms:created>
  <dcterms:modified xsi:type="dcterms:W3CDTF">2014-07-29T21:35:00Z</dcterms:modified>
</cp:coreProperties>
</file>