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138" w:rsidRPr="000B531B" w:rsidRDefault="006D5138" w:rsidP="006D5138">
      <w:pPr>
        <w:rPr>
          <w:rFonts w:ascii="Arial" w:hAnsi="Arial" w:cs="Arial"/>
          <w:bCs/>
          <w:sz w:val="18"/>
          <w:szCs w:val="18"/>
        </w:rPr>
      </w:pPr>
    </w:p>
    <w:tbl>
      <w:tblPr>
        <w:tblW w:w="9648" w:type="dxa"/>
        <w:tblLook w:val="0000" w:firstRow="0" w:lastRow="0" w:firstColumn="0" w:lastColumn="0" w:noHBand="0" w:noVBand="0"/>
      </w:tblPr>
      <w:tblGrid>
        <w:gridCol w:w="4194"/>
        <w:gridCol w:w="5454"/>
      </w:tblGrid>
      <w:tr w:rsidR="006D5138" w:rsidRPr="000B531B" w:rsidTr="00454CC4">
        <w:tblPrEx>
          <w:tblCellMar>
            <w:top w:w="0" w:type="dxa"/>
            <w:bottom w:w="0" w:type="dxa"/>
          </w:tblCellMar>
        </w:tblPrEx>
        <w:trPr>
          <w:cantSplit/>
        </w:trPr>
        <w:tc>
          <w:tcPr>
            <w:tcW w:w="4194" w:type="dxa"/>
            <w:vAlign w:val="center"/>
          </w:tcPr>
          <w:p w:rsidR="006D5138" w:rsidRPr="000B531B" w:rsidRDefault="008E68A9" w:rsidP="00454CC4">
            <w:pPr>
              <w:jc w:val="center"/>
              <w:rPr>
                <w:rFonts w:ascii="Arial" w:hAnsi="Arial" w:cs="Arial"/>
                <w:bCs/>
                <w:sz w:val="36"/>
              </w:rPr>
            </w:pPr>
            <w:r>
              <w:rPr>
                <w:rFonts w:ascii="Arial" w:hAnsi="Arial" w:cs="Arial"/>
                <w:noProof/>
                <w:lang w:eastAsia="en-NZ"/>
              </w:rPr>
              <w:drawing>
                <wp:inline distT="0" distB="0" distL="0" distR="0">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454" w:type="dxa"/>
            <w:vAlign w:val="center"/>
          </w:tcPr>
          <w:p w:rsidR="006D5138" w:rsidRPr="000B531B" w:rsidRDefault="006D5138" w:rsidP="00454CC4">
            <w:pPr>
              <w:jc w:val="center"/>
              <w:rPr>
                <w:rFonts w:ascii="Arial" w:hAnsi="Arial" w:cs="Arial"/>
                <w:bCs/>
                <w:sz w:val="36"/>
              </w:rPr>
            </w:pPr>
            <w:r>
              <w:rPr>
                <w:rFonts w:ascii="Arial" w:hAnsi="Arial" w:cs="Arial"/>
                <w:bCs/>
                <w:sz w:val="36"/>
              </w:rPr>
              <w:t>20 District Health Boards</w:t>
            </w:r>
          </w:p>
        </w:tc>
      </w:tr>
      <w:tr w:rsidR="006D5138" w:rsidRPr="000B531B" w:rsidTr="00454CC4">
        <w:tblPrEx>
          <w:tblCellMar>
            <w:top w:w="0" w:type="dxa"/>
            <w:bottom w:w="0" w:type="dxa"/>
          </w:tblCellMar>
        </w:tblPrEx>
        <w:trPr>
          <w:cantSplit/>
        </w:trPr>
        <w:tc>
          <w:tcPr>
            <w:tcW w:w="4194" w:type="dxa"/>
            <w:vAlign w:val="center"/>
          </w:tcPr>
          <w:p w:rsidR="006D5138" w:rsidRPr="000B531B" w:rsidRDefault="006D5138" w:rsidP="00454CC4">
            <w:pPr>
              <w:jc w:val="center"/>
              <w:rPr>
                <w:rFonts w:ascii="Arial" w:hAnsi="Arial" w:cs="Arial"/>
              </w:rPr>
            </w:pPr>
          </w:p>
        </w:tc>
        <w:tc>
          <w:tcPr>
            <w:tcW w:w="5454" w:type="dxa"/>
            <w:vAlign w:val="center"/>
          </w:tcPr>
          <w:p w:rsidR="006D5138" w:rsidRPr="000B531B" w:rsidRDefault="006D5138" w:rsidP="00454CC4">
            <w:pPr>
              <w:jc w:val="center"/>
              <w:rPr>
                <w:rFonts w:ascii="Arial" w:hAnsi="Arial" w:cs="Arial"/>
                <w:b/>
                <w:bCs/>
              </w:rPr>
            </w:pPr>
          </w:p>
        </w:tc>
      </w:tr>
    </w:tbl>
    <w:p w:rsidR="006D5138" w:rsidRPr="000B531B" w:rsidRDefault="006D5138" w:rsidP="006D5138">
      <w:pPr>
        <w:jc w:val="center"/>
        <w:rPr>
          <w:rFonts w:ascii="Arial" w:hAnsi="Arial" w:cs="Arial"/>
          <w:bCs/>
        </w:rPr>
      </w:pPr>
    </w:p>
    <w:tbl>
      <w:tblPr>
        <w:tblW w:w="96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549"/>
        <w:gridCol w:w="3135"/>
      </w:tblGrid>
      <w:tr w:rsidR="006D5138" w:rsidRPr="006D5138" w:rsidTr="00454CC4">
        <w:tblPrEx>
          <w:tblCellMar>
            <w:top w:w="0" w:type="dxa"/>
            <w:bottom w:w="0" w:type="dxa"/>
          </w:tblCellMar>
        </w:tblPrEx>
        <w:trPr>
          <w:trHeight w:val="1362"/>
        </w:trPr>
        <w:tc>
          <w:tcPr>
            <w:tcW w:w="9684" w:type="dxa"/>
            <w:gridSpan w:val="2"/>
            <w:tcBorders>
              <w:top w:val="nil"/>
              <w:left w:val="nil"/>
              <w:bottom w:val="nil"/>
              <w:right w:val="nil"/>
            </w:tcBorders>
          </w:tcPr>
          <w:p w:rsidR="00EF6EB9" w:rsidRDefault="005C4312" w:rsidP="00EF6EB9">
            <w:pPr>
              <w:pStyle w:val="Heading1"/>
              <w:spacing w:before="1320" w:after="120"/>
              <w:jc w:val="center"/>
              <w:rPr>
                <w:rFonts w:ascii="Arial" w:hAnsi="Arial" w:cs="Arial"/>
                <w:caps/>
                <w:sz w:val="36"/>
              </w:rPr>
            </w:pPr>
            <w:r>
              <w:rPr>
                <w:rFonts w:ascii="Arial" w:hAnsi="Arial" w:cs="Arial"/>
                <w:caps/>
                <w:sz w:val="36"/>
              </w:rPr>
              <w:t>specialist medical and surgical services -</w:t>
            </w:r>
            <w:r w:rsidR="00EF6EB9">
              <w:rPr>
                <w:rFonts w:ascii="Arial" w:hAnsi="Arial" w:cs="Arial"/>
                <w:caps/>
                <w:sz w:val="36"/>
              </w:rPr>
              <w:t>– diabetes services</w:t>
            </w:r>
          </w:p>
          <w:p w:rsidR="006D5138" w:rsidRDefault="006D5138" w:rsidP="00EF6EB9">
            <w:pPr>
              <w:pStyle w:val="Heading1"/>
              <w:spacing w:after="120"/>
              <w:jc w:val="center"/>
              <w:rPr>
                <w:rFonts w:ascii="Arial" w:hAnsi="Arial" w:cs="Arial"/>
                <w:caps/>
                <w:sz w:val="36"/>
              </w:rPr>
            </w:pPr>
            <w:r w:rsidRPr="006D5138">
              <w:rPr>
                <w:rFonts w:ascii="Arial" w:hAnsi="Arial" w:cs="Arial"/>
                <w:caps/>
                <w:sz w:val="36"/>
              </w:rPr>
              <w:t>ASSESSMENT AND SUPPORT FOR PEOPLE WITH HIGH RISK TYPE 1 DIABETES (INSULIN PUMPS)</w:t>
            </w:r>
            <w:r>
              <w:rPr>
                <w:rFonts w:ascii="Arial" w:hAnsi="Arial" w:cs="Arial"/>
                <w:caps/>
                <w:sz w:val="36"/>
              </w:rPr>
              <w:t xml:space="preserve"> </w:t>
            </w:r>
            <w:r w:rsidR="00EF6EB9">
              <w:rPr>
                <w:rFonts w:ascii="Arial" w:hAnsi="Arial" w:cs="Arial"/>
                <w:caps/>
                <w:sz w:val="36"/>
              </w:rPr>
              <w:t xml:space="preserve">services </w:t>
            </w:r>
          </w:p>
          <w:p w:rsidR="006D5138" w:rsidRPr="006D5138" w:rsidRDefault="006D5138" w:rsidP="00727F05">
            <w:pPr>
              <w:pStyle w:val="Heading1"/>
              <w:spacing w:before="120" w:after="120"/>
              <w:jc w:val="center"/>
              <w:rPr>
                <w:rFonts w:ascii="Arial" w:hAnsi="Arial" w:cs="Arial"/>
                <w:caps/>
                <w:sz w:val="36"/>
              </w:rPr>
            </w:pPr>
            <w:r w:rsidRPr="006D5138">
              <w:rPr>
                <w:rFonts w:ascii="Arial" w:hAnsi="Arial" w:cs="Arial"/>
                <w:caps/>
                <w:sz w:val="36"/>
              </w:rPr>
              <w:t xml:space="preserve">TIER </w:t>
            </w:r>
            <w:r>
              <w:rPr>
                <w:rFonts w:ascii="Arial" w:hAnsi="Arial" w:cs="Arial"/>
                <w:caps/>
                <w:sz w:val="36"/>
              </w:rPr>
              <w:t xml:space="preserve">level </w:t>
            </w:r>
            <w:r w:rsidRPr="006D5138">
              <w:rPr>
                <w:rFonts w:ascii="Arial" w:hAnsi="Arial" w:cs="Arial"/>
                <w:caps/>
                <w:sz w:val="36"/>
              </w:rPr>
              <w:t>THREE</w:t>
            </w:r>
          </w:p>
          <w:p w:rsidR="006D5138" w:rsidRPr="006D5138" w:rsidRDefault="006D5138" w:rsidP="00E81A45">
            <w:pPr>
              <w:pStyle w:val="Heading1"/>
              <w:spacing w:after="840"/>
              <w:ind w:hanging="442"/>
              <w:jc w:val="center"/>
              <w:rPr>
                <w:rFonts w:ascii="Arial" w:hAnsi="Arial" w:cs="Arial"/>
                <w:lang w:val="en-US"/>
              </w:rPr>
            </w:pPr>
            <w:r w:rsidRPr="006D5138">
              <w:rPr>
                <w:rFonts w:ascii="Arial" w:hAnsi="Arial" w:cs="Arial"/>
                <w:caps/>
                <w:sz w:val="36"/>
              </w:rPr>
              <w:t>SERVICE SPECIFICATION</w:t>
            </w:r>
          </w:p>
        </w:tc>
      </w:tr>
      <w:tr w:rsidR="006D5138" w:rsidRPr="006D5138" w:rsidTr="00454CC4">
        <w:tblPrEx>
          <w:tblCellMar>
            <w:top w:w="0" w:type="dxa"/>
            <w:bottom w:w="0" w:type="dxa"/>
          </w:tblCellMar>
        </w:tblPrEx>
        <w:trPr>
          <w:trHeight w:val="1722"/>
        </w:trPr>
        <w:tc>
          <w:tcPr>
            <w:tcW w:w="6549" w:type="dxa"/>
            <w:tcBorders>
              <w:top w:val="nil"/>
              <w:left w:val="nil"/>
              <w:bottom w:val="single" w:sz="4" w:space="0" w:color="auto"/>
              <w:right w:val="nil"/>
            </w:tcBorders>
          </w:tcPr>
          <w:p w:rsidR="006D5138" w:rsidRPr="006D5138" w:rsidRDefault="006D5138" w:rsidP="00454CC4">
            <w:pPr>
              <w:pStyle w:val="Heading1"/>
              <w:spacing w:before="120" w:after="240"/>
              <w:ind w:left="360"/>
              <w:rPr>
                <w:rFonts w:ascii="Arial" w:hAnsi="Arial" w:cs="Arial"/>
                <w:caps/>
                <w:sz w:val="32"/>
                <w:szCs w:val="32"/>
              </w:rPr>
            </w:pPr>
            <w:r w:rsidRPr="006D5138">
              <w:rPr>
                <w:rFonts w:ascii="Arial" w:hAnsi="Arial" w:cs="Arial"/>
                <w:caps/>
                <w:sz w:val="32"/>
                <w:szCs w:val="32"/>
              </w:rPr>
              <w:t>Status:</w:t>
            </w:r>
          </w:p>
          <w:p w:rsidR="006D5138" w:rsidRPr="005C4312" w:rsidRDefault="006D5138" w:rsidP="00727F05">
            <w:pPr>
              <w:pStyle w:val="Heading1"/>
              <w:spacing w:after="120"/>
              <w:jc w:val="left"/>
              <w:rPr>
                <w:rFonts w:ascii="Arial" w:hAnsi="Arial" w:cs="Arial"/>
                <w:b w:val="0"/>
                <w:caps/>
                <w:sz w:val="32"/>
                <w:szCs w:val="32"/>
              </w:rPr>
            </w:pPr>
            <w:r w:rsidRPr="005C4312">
              <w:rPr>
                <w:rFonts w:ascii="Arial" w:hAnsi="Arial" w:cs="Arial"/>
                <w:b w:val="0"/>
                <w:sz w:val="32"/>
                <w:szCs w:val="32"/>
              </w:rPr>
              <w:t xml:space="preserve">Approved for use for nationwide mandatory description of services to be provided </w:t>
            </w:r>
          </w:p>
        </w:tc>
        <w:tc>
          <w:tcPr>
            <w:tcW w:w="3135" w:type="dxa"/>
            <w:tcBorders>
              <w:top w:val="nil"/>
              <w:left w:val="nil"/>
              <w:bottom w:val="single" w:sz="4" w:space="0" w:color="auto"/>
              <w:right w:val="nil"/>
            </w:tcBorders>
          </w:tcPr>
          <w:p w:rsidR="006D5138" w:rsidRPr="006D5138" w:rsidRDefault="006D5138" w:rsidP="00454CC4">
            <w:pPr>
              <w:pStyle w:val="Heading1"/>
              <w:spacing w:before="120" w:after="240"/>
              <w:ind w:left="360"/>
              <w:rPr>
                <w:rFonts w:ascii="Arial" w:hAnsi="Arial" w:cs="Arial"/>
                <w:caps/>
                <w:sz w:val="32"/>
                <w:szCs w:val="32"/>
              </w:rPr>
            </w:pPr>
            <w:r w:rsidRPr="006D5138">
              <w:rPr>
                <w:rFonts w:ascii="Arial" w:hAnsi="Arial" w:cs="Arial"/>
                <w:caps/>
                <w:sz w:val="32"/>
                <w:szCs w:val="32"/>
              </w:rPr>
              <w:t xml:space="preserve">MANDATORY </w:t>
            </w:r>
            <w:r w:rsidRPr="006D5138">
              <w:rPr>
                <w:rFonts w:ascii="Arial" w:hAnsi="Arial" w:cs="Arial"/>
                <w:caps/>
                <w:sz w:val="32"/>
                <w:szCs w:val="32"/>
              </w:rPr>
              <w:sym w:font="Wingdings" w:char="F0FE"/>
            </w:r>
          </w:p>
          <w:p w:rsidR="006D5138" w:rsidRPr="006D5138" w:rsidRDefault="006D5138" w:rsidP="00454CC4">
            <w:pPr>
              <w:rPr>
                <w:rFonts w:ascii="Arial" w:hAnsi="Arial" w:cs="Arial"/>
                <w:b/>
                <w:sz w:val="32"/>
                <w:szCs w:val="32"/>
                <w:lang w:val="en-US"/>
              </w:rPr>
            </w:pPr>
          </w:p>
        </w:tc>
      </w:tr>
      <w:tr w:rsidR="006D5138" w:rsidRPr="006D5138" w:rsidTr="00454CC4">
        <w:tblPrEx>
          <w:tblCellMar>
            <w:top w:w="0" w:type="dxa"/>
            <w:bottom w:w="0" w:type="dxa"/>
          </w:tblCellMar>
        </w:tblPrEx>
        <w:trPr>
          <w:trHeight w:val="517"/>
        </w:trPr>
        <w:tc>
          <w:tcPr>
            <w:tcW w:w="6549" w:type="dxa"/>
            <w:tcBorders>
              <w:top w:val="single" w:sz="4" w:space="0" w:color="auto"/>
              <w:bottom w:val="single" w:sz="4" w:space="0" w:color="auto"/>
              <w:right w:val="single" w:sz="4" w:space="0" w:color="auto"/>
            </w:tcBorders>
            <w:shd w:val="clear" w:color="auto" w:fill="C0C0C0"/>
          </w:tcPr>
          <w:p w:rsidR="006D5138" w:rsidRPr="006D5138" w:rsidRDefault="006D5138" w:rsidP="00454CC4">
            <w:pPr>
              <w:pStyle w:val="Heading1"/>
              <w:spacing w:after="240"/>
              <w:rPr>
                <w:rFonts w:ascii="Arial" w:hAnsi="Arial" w:cs="Arial"/>
                <w:caps/>
              </w:rPr>
            </w:pPr>
            <w:r w:rsidRPr="006D5138">
              <w:rPr>
                <w:rFonts w:ascii="Arial" w:hAnsi="Arial" w:cs="Arial"/>
                <w:sz w:val="28"/>
                <w:szCs w:val="28"/>
              </w:rPr>
              <w:t>Review History</w:t>
            </w:r>
          </w:p>
        </w:tc>
        <w:tc>
          <w:tcPr>
            <w:tcW w:w="3135" w:type="dxa"/>
            <w:tcBorders>
              <w:top w:val="single" w:sz="4" w:space="0" w:color="auto"/>
              <w:left w:val="single" w:sz="4" w:space="0" w:color="auto"/>
              <w:bottom w:val="single" w:sz="4" w:space="0" w:color="auto"/>
            </w:tcBorders>
            <w:shd w:val="clear" w:color="auto" w:fill="C0C0C0"/>
          </w:tcPr>
          <w:p w:rsidR="006D5138" w:rsidRPr="006D5138" w:rsidRDefault="006D5138" w:rsidP="00454CC4">
            <w:pPr>
              <w:pStyle w:val="Heading1"/>
              <w:spacing w:after="240"/>
              <w:jc w:val="center"/>
              <w:rPr>
                <w:rFonts w:ascii="Arial" w:hAnsi="Arial" w:cs="Arial"/>
                <w:caps/>
              </w:rPr>
            </w:pPr>
            <w:r w:rsidRPr="006D5138">
              <w:rPr>
                <w:rFonts w:ascii="Arial" w:hAnsi="Arial" w:cs="Arial"/>
                <w:sz w:val="28"/>
                <w:szCs w:val="28"/>
              </w:rPr>
              <w:t>Date</w:t>
            </w:r>
          </w:p>
        </w:tc>
      </w:tr>
      <w:tr w:rsidR="006D5138" w:rsidRPr="006D5138" w:rsidTr="00454CC4">
        <w:tblPrEx>
          <w:tblCellMar>
            <w:top w:w="0" w:type="dxa"/>
            <w:bottom w:w="0" w:type="dxa"/>
          </w:tblCellMar>
        </w:tblPrEx>
        <w:trPr>
          <w:trHeight w:val="931"/>
        </w:trPr>
        <w:tc>
          <w:tcPr>
            <w:tcW w:w="6549" w:type="dxa"/>
            <w:vAlign w:val="center"/>
          </w:tcPr>
          <w:p w:rsidR="006D5138" w:rsidRPr="006D5138" w:rsidRDefault="006D5138" w:rsidP="00727F05">
            <w:pPr>
              <w:pStyle w:val="BodyText"/>
              <w:spacing w:before="120" w:after="120"/>
              <w:jc w:val="left"/>
              <w:rPr>
                <w:rFonts w:ascii="Arial" w:hAnsi="Arial" w:cs="Arial"/>
              </w:rPr>
            </w:pPr>
            <w:r w:rsidRPr="006D5138">
              <w:rPr>
                <w:rFonts w:ascii="Arial" w:hAnsi="Arial" w:cs="Arial"/>
                <w:sz w:val="28"/>
              </w:rPr>
              <w:t>Published on NSFL</w:t>
            </w:r>
          </w:p>
        </w:tc>
        <w:tc>
          <w:tcPr>
            <w:tcW w:w="3135" w:type="dxa"/>
            <w:vAlign w:val="center"/>
          </w:tcPr>
          <w:p w:rsidR="006D5138" w:rsidRPr="006D5138" w:rsidRDefault="006D5138" w:rsidP="00454CC4">
            <w:pPr>
              <w:spacing w:before="120" w:after="120"/>
              <w:jc w:val="center"/>
              <w:rPr>
                <w:rFonts w:ascii="Arial" w:hAnsi="Arial" w:cs="Arial"/>
                <w:b/>
                <w:sz w:val="28"/>
              </w:rPr>
            </w:pPr>
            <w:r w:rsidRPr="006D5138">
              <w:rPr>
                <w:rFonts w:ascii="Arial" w:hAnsi="Arial" w:cs="Arial"/>
                <w:b/>
                <w:sz w:val="28"/>
              </w:rPr>
              <w:t>December 2003</w:t>
            </w:r>
          </w:p>
        </w:tc>
      </w:tr>
      <w:tr w:rsidR="006D5138" w:rsidRPr="006D5138" w:rsidTr="00454CC4">
        <w:tblPrEx>
          <w:tblCellMar>
            <w:top w:w="0" w:type="dxa"/>
            <w:bottom w:w="0" w:type="dxa"/>
          </w:tblCellMar>
        </w:tblPrEx>
        <w:trPr>
          <w:trHeight w:val="1159"/>
        </w:trPr>
        <w:tc>
          <w:tcPr>
            <w:tcW w:w="6549" w:type="dxa"/>
            <w:vAlign w:val="center"/>
          </w:tcPr>
          <w:p w:rsidR="006D5138" w:rsidRPr="006D5138" w:rsidRDefault="006D5138" w:rsidP="00727F05">
            <w:pPr>
              <w:pStyle w:val="BodyText"/>
              <w:spacing w:before="120" w:after="120"/>
              <w:jc w:val="left"/>
              <w:rPr>
                <w:rFonts w:ascii="Arial" w:hAnsi="Arial" w:cs="Arial"/>
                <w:sz w:val="28"/>
              </w:rPr>
            </w:pPr>
            <w:r w:rsidRPr="006D5138">
              <w:rPr>
                <w:rFonts w:ascii="Arial" w:hAnsi="Arial" w:cs="Arial"/>
                <w:sz w:val="28"/>
              </w:rPr>
              <w:t>Consideration for next Service Specification Review</w:t>
            </w:r>
          </w:p>
        </w:tc>
        <w:tc>
          <w:tcPr>
            <w:tcW w:w="3135" w:type="dxa"/>
            <w:vAlign w:val="center"/>
          </w:tcPr>
          <w:p w:rsidR="006D5138" w:rsidRPr="006D5138" w:rsidRDefault="006D5138" w:rsidP="00454CC4">
            <w:pPr>
              <w:spacing w:before="120" w:after="120"/>
              <w:jc w:val="center"/>
              <w:rPr>
                <w:rFonts w:ascii="Arial" w:hAnsi="Arial" w:cs="Arial"/>
                <w:b/>
                <w:sz w:val="28"/>
              </w:rPr>
            </w:pPr>
            <w:r w:rsidRPr="006D5138">
              <w:rPr>
                <w:rFonts w:ascii="Arial" w:hAnsi="Arial" w:cs="Arial"/>
                <w:b/>
                <w:sz w:val="28"/>
              </w:rPr>
              <w:t>within five years</w:t>
            </w:r>
          </w:p>
        </w:tc>
      </w:tr>
    </w:tbl>
    <w:p w:rsidR="006D5138" w:rsidRPr="006D5138" w:rsidRDefault="006D5138" w:rsidP="00DB02C7">
      <w:pPr>
        <w:spacing w:before="720"/>
        <w:rPr>
          <w:rFonts w:ascii="Arial" w:hAnsi="Arial" w:cs="Arial"/>
          <w:lang w:val="en-US" w:eastAsia="en-NZ"/>
        </w:rPr>
      </w:pPr>
      <w:r w:rsidRPr="006D5138">
        <w:rPr>
          <w:rFonts w:ascii="Arial" w:hAnsi="Arial" w:cs="Arial"/>
          <w:b/>
          <w:lang w:val="en-US" w:eastAsia="en-NZ"/>
        </w:rPr>
        <w:t>Note:</w:t>
      </w:r>
      <w:r w:rsidRPr="006D5138">
        <w:rPr>
          <w:rFonts w:ascii="Arial" w:hAnsi="Arial" w:cs="Arial"/>
          <w:lang w:val="en-US" w:eastAsia="en-NZ"/>
        </w:rPr>
        <w:t xml:space="preserve"> Contact the Service Specification Programme Manager, National Health Board Business Unit, Ministry of Health to discuss the process and guidance available in developing new or updating and revising existing service specifications.  Web site address Nationwide Service Framework Library: </w:t>
      </w:r>
      <w:hyperlink r:id="rId9" w:history="1">
        <w:r w:rsidRPr="006D5138">
          <w:rPr>
            <w:rStyle w:val="Hyperlink"/>
            <w:rFonts w:ascii="Arial" w:hAnsi="Arial" w:cs="Arial"/>
            <w:lang w:val="en-US" w:eastAsia="en-NZ"/>
          </w:rPr>
          <w:t>http://ww</w:t>
        </w:r>
        <w:r w:rsidRPr="006D5138">
          <w:rPr>
            <w:rStyle w:val="Hyperlink"/>
            <w:rFonts w:ascii="Arial" w:hAnsi="Arial" w:cs="Arial"/>
            <w:lang w:val="en-US" w:eastAsia="en-NZ"/>
          </w:rPr>
          <w:t>w</w:t>
        </w:r>
        <w:r w:rsidRPr="006D5138">
          <w:rPr>
            <w:rStyle w:val="Hyperlink"/>
            <w:rFonts w:ascii="Arial" w:hAnsi="Arial" w:cs="Arial"/>
            <w:lang w:val="en-US" w:eastAsia="en-NZ"/>
          </w:rPr>
          <w:t>.nsfl.health.govt.nz/</w:t>
        </w:r>
      </w:hyperlink>
    </w:p>
    <w:p w:rsidR="005C4312" w:rsidRDefault="0004637D" w:rsidP="00DA0976">
      <w:pPr>
        <w:pStyle w:val="Heading1"/>
        <w:pBdr>
          <w:top w:val="single" w:sz="4" w:space="1" w:color="auto"/>
          <w:left w:val="single" w:sz="4" w:space="4" w:color="auto"/>
          <w:bottom w:val="single" w:sz="4" w:space="1" w:color="auto"/>
          <w:right w:val="single" w:sz="4" w:space="4" w:color="auto"/>
        </w:pBdr>
        <w:jc w:val="center"/>
        <w:rPr>
          <w:rFonts w:ascii="Arial" w:hAnsi="Arial" w:cs="Arial"/>
        </w:rPr>
      </w:pPr>
      <w:r w:rsidRPr="006D5138">
        <w:rPr>
          <w:rFonts w:ascii="Arial" w:hAnsi="Arial" w:cs="Arial"/>
        </w:rPr>
        <w:br w:type="page"/>
      </w:r>
      <w:r w:rsidR="005C4312">
        <w:rPr>
          <w:rFonts w:ascii="Arial" w:hAnsi="Arial" w:cs="Arial"/>
        </w:rPr>
        <w:t xml:space="preserve">SPECIALIST MEDICAL AND SURGICAL SERVICES – </w:t>
      </w:r>
    </w:p>
    <w:p w:rsidR="00DB02C7" w:rsidRDefault="00DB02C7" w:rsidP="00DA0976">
      <w:pPr>
        <w:pStyle w:val="Heading1"/>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DIABETES SERVICES</w:t>
      </w:r>
    </w:p>
    <w:p w:rsidR="0004637D" w:rsidRPr="006D5138" w:rsidRDefault="0004637D" w:rsidP="00DA0976">
      <w:pPr>
        <w:pStyle w:val="Heading1"/>
        <w:pBdr>
          <w:top w:val="single" w:sz="4" w:space="1" w:color="auto"/>
          <w:left w:val="single" w:sz="4" w:space="4" w:color="auto"/>
          <w:bottom w:val="single" w:sz="4" w:space="1" w:color="auto"/>
          <w:right w:val="single" w:sz="4" w:space="4" w:color="auto"/>
        </w:pBdr>
        <w:jc w:val="center"/>
        <w:rPr>
          <w:rFonts w:ascii="Arial" w:hAnsi="Arial" w:cs="Arial"/>
        </w:rPr>
      </w:pPr>
      <w:r w:rsidRPr="006D5138">
        <w:rPr>
          <w:rFonts w:ascii="Arial" w:hAnsi="Arial" w:cs="Arial"/>
        </w:rPr>
        <w:t>ASSESSMENT AND SUPORT FOR PEOPLE WITH HIGH</w:t>
      </w:r>
    </w:p>
    <w:p w:rsidR="00041D56" w:rsidRPr="006D5138" w:rsidRDefault="0004637D" w:rsidP="00DA0976">
      <w:pPr>
        <w:pStyle w:val="Heading1"/>
        <w:pBdr>
          <w:top w:val="single" w:sz="4" w:space="1" w:color="auto"/>
          <w:left w:val="single" w:sz="4" w:space="4" w:color="auto"/>
          <w:bottom w:val="single" w:sz="4" w:space="1" w:color="auto"/>
          <w:right w:val="single" w:sz="4" w:space="4" w:color="auto"/>
        </w:pBdr>
        <w:jc w:val="center"/>
        <w:rPr>
          <w:rFonts w:ascii="Arial" w:hAnsi="Arial" w:cs="Arial"/>
        </w:rPr>
      </w:pPr>
      <w:r w:rsidRPr="006D5138">
        <w:rPr>
          <w:rFonts w:ascii="Arial" w:hAnsi="Arial" w:cs="Arial"/>
        </w:rPr>
        <w:t>RISK TYPE 1 DIABETES (INSULIN PUMPS)</w:t>
      </w:r>
      <w:r w:rsidR="00DB02C7">
        <w:rPr>
          <w:rFonts w:ascii="Arial" w:hAnsi="Arial" w:cs="Arial"/>
        </w:rPr>
        <w:t xml:space="preserve"> SERVICES</w:t>
      </w:r>
      <w:r w:rsidRPr="006D5138">
        <w:rPr>
          <w:rFonts w:ascii="Arial" w:hAnsi="Arial" w:cs="Arial"/>
        </w:rPr>
        <w:t xml:space="preserve"> </w:t>
      </w:r>
    </w:p>
    <w:p w:rsidR="00041D56" w:rsidRPr="006D5138" w:rsidRDefault="00041D56" w:rsidP="00DA0976">
      <w:pPr>
        <w:pStyle w:val="Heading1"/>
        <w:pBdr>
          <w:top w:val="single" w:sz="4" w:space="1" w:color="auto"/>
          <w:left w:val="single" w:sz="4" w:space="4" w:color="auto"/>
          <w:bottom w:val="single" w:sz="4" w:space="1" w:color="auto"/>
          <w:right w:val="single" w:sz="4" w:space="4" w:color="auto"/>
        </w:pBdr>
        <w:jc w:val="center"/>
        <w:rPr>
          <w:rFonts w:ascii="Arial" w:hAnsi="Arial" w:cs="Arial"/>
        </w:rPr>
      </w:pPr>
      <w:r w:rsidRPr="006D5138">
        <w:rPr>
          <w:rFonts w:ascii="Arial" w:hAnsi="Arial" w:cs="Arial"/>
        </w:rPr>
        <w:t xml:space="preserve">TIER </w:t>
      </w:r>
      <w:r w:rsidR="00DB02C7">
        <w:rPr>
          <w:rFonts w:ascii="Arial" w:hAnsi="Arial" w:cs="Arial"/>
        </w:rPr>
        <w:t xml:space="preserve">LEVEL </w:t>
      </w:r>
      <w:r w:rsidRPr="006D5138">
        <w:rPr>
          <w:rFonts w:ascii="Arial" w:hAnsi="Arial" w:cs="Arial"/>
        </w:rPr>
        <w:t xml:space="preserve">THREE </w:t>
      </w:r>
    </w:p>
    <w:p w:rsidR="00041D56" w:rsidRDefault="00041D56" w:rsidP="00DA0976">
      <w:pPr>
        <w:pStyle w:val="Heading1"/>
        <w:pBdr>
          <w:top w:val="single" w:sz="4" w:space="1" w:color="auto"/>
          <w:left w:val="single" w:sz="4" w:space="4" w:color="auto"/>
          <w:bottom w:val="single" w:sz="4" w:space="1" w:color="auto"/>
          <w:right w:val="single" w:sz="4" w:space="4" w:color="auto"/>
        </w:pBdr>
        <w:jc w:val="center"/>
        <w:rPr>
          <w:rFonts w:ascii="Arial" w:hAnsi="Arial" w:cs="Arial"/>
        </w:rPr>
      </w:pPr>
      <w:r w:rsidRPr="006D5138">
        <w:rPr>
          <w:rFonts w:ascii="Arial" w:hAnsi="Arial" w:cs="Arial"/>
        </w:rPr>
        <w:t>SERVICE SPECIFICATION</w:t>
      </w:r>
    </w:p>
    <w:p w:rsidR="00DA0976" w:rsidRPr="00DA0976" w:rsidRDefault="00DA0976" w:rsidP="00DA0976">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M20010, M20015</w:t>
      </w:r>
    </w:p>
    <w:p w:rsidR="00DA0976" w:rsidRPr="00DA0976" w:rsidRDefault="00DA0976" w:rsidP="00DA0976"/>
    <w:p w:rsidR="0004637D" w:rsidRPr="006D5138" w:rsidRDefault="0004637D">
      <w:pPr>
        <w:pStyle w:val="Unpublished"/>
        <w:rPr>
          <w:rFonts w:ascii="Arial" w:hAnsi="Arial" w:cs="Arial"/>
        </w:rPr>
      </w:pPr>
    </w:p>
    <w:p w:rsidR="0004637D" w:rsidRPr="006D5138" w:rsidRDefault="0004637D">
      <w:pPr>
        <w:autoSpaceDE w:val="0"/>
        <w:autoSpaceDN w:val="0"/>
        <w:adjustRightInd w:val="0"/>
        <w:jc w:val="both"/>
        <w:rPr>
          <w:rFonts w:ascii="Arial" w:hAnsi="Arial" w:cs="Arial"/>
          <w:sz w:val="20"/>
          <w:lang w:val="en-US"/>
        </w:rPr>
      </w:pPr>
      <w:r w:rsidRPr="006D5138">
        <w:rPr>
          <w:rFonts w:ascii="Arial" w:hAnsi="Arial" w:cs="Arial"/>
          <w:sz w:val="20"/>
        </w:rPr>
        <w:t xml:space="preserve">This Tier 3 Service Specification for Insulin Pumps is linked to the overarching Tier 2 Diabetes Service Specification. </w:t>
      </w:r>
      <w:r w:rsidRPr="006D5138">
        <w:rPr>
          <w:rFonts w:ascii="Arial" w:hAnsi="Arial" w:cs="Arial"/>
          <w:sz w:val="20"/>
          <w:lang w:val="en-US"/>
        </w:rPr>
        <w:t>This service specification is also linked to the following diabetes service specifications:</w:t>
      </w:r>
    </w:p>
    <w:p w:rsidR="0004637D" w:rsidRPr="006D5138" w:rsidRDefault="0004637D">
      <w:pPr>
        <w:autoSpaceDE w:val="0"/>
        <w:autoSpaceDN w:val="0"/>
        <w:adjustRightInd w:val="0"/>
        <w:jc w:val="both"/>
        <w:rPr>
          <w:rFonts w:ascii="Arial" w:hAnsi="Arial" w:cs="Arial"/>
          <w:sz w:val="20"/>
          <w:lang w:val="en-US"/>
        </w:rPr>
      </w:pPr>
    </w:p>
    <w:p w:rsidR="0004637D" w:rsidRPr="006D5138" w:rsidRDefault="0004637D">
      <w:pPr>
        <w:numPr>
          <w:ilvl w:val="0"/>
          <w:numId w:val="15"/>
        </w:numPr>
        <w:autoSpaceDE w:val="0"/>
        <w:autoSpaceDN w:val="0"/>
        <w:adjustRightInd w:val="0"/>
        <w:jc w:val="both"/>
        <w:rPr>
          <w:rFonts w:ascii="Arial" w:hAnsi="Arial" w:cs="Arial"/>
          <w:sz w:val="20"/>
          <w:szCs w:val="20"/>
          <w:lang w:val="en-US"/>
        </w:rPr>
      </w:pPr>
      <w:r w:rsidRPr="006D5138">
        <w:rPr>
          <w:rFonts w:ascii="Arial" w:hAnsi="Arial" w:cs="Arial"/>
          <w:sz w:val="20"/>
          <w:szCs w:val="20"/>
          <w:lang w:val="en-US"/>
        </w:rPr>
        <w:t>Local Diabetes Team</w:t>
      </w:r>
    </w:p>
    <w:p w:rsidR="0004637D" w:rsidRPr="006D5138" w:rsidRDefault="0004637D">
      <w:pPr>
        <w:numPr>
          <w:ilvl w:val="0"/>
          <w:numId w:val="15"/>
        </w:numPr>
        <w:autoSpaceDE w:val="0"/>
        <w:autoSpaceDN w:val="0"/>
        <w:adjustRightInd w:val="0"/>
        <w:jc w:val="both"/>
        <w:rPr>
          <w:rFonts w:ascii="Arial" w:hAnsi="Arial" w:cs="Arial"/>
          <w:sz w:val="20"/>
          <w:szCs w:val="20"/>
          <w:lang w:val="en-US"/>
        </w:rPr>
      </w:pPr>
      <w:r w:rsidRPr="006D5138">
        <w:rPr>
          <w:rFonts w:ascii="Arial" w:hAnsi="Arial" w:cs="Arial"/>
          <w:sz w:val="20"/>
          <w:szCs w:val="20"/>
          <w:lang w:val="en-US"/>
        </w:rPr>
        <w:t>Free annual review for people with diabetes</w:t>
      </w:r>
    </w:p>
    <w:p w:rsidR="0004637D" w:rsidRPr="006D5138" w:rsidRDefault="0004637D">
      <w:pPr>
        <w:numPr>
          <w:ilvl w:val="0"/>
          <w:numId w:val="15"/>
        </w:numPr>
        <w:autoSpaceDE w:val="0"/>
        <w:autoSpaceDN w:val="0"/>
        <w:adjustRightInd w:val="0"/>
        <w:jc w:val="both"/>
        <w:rPr>
          <w:rFonts w:ascii="Arial" w:hAnsi="Arial" w:cs="Arial"/>
          <w:sz w:val="20"/>
          <w:szCs w:val="20"/>
          <w:lang w:val="en-US"/>
        </w:rPr>
      </w:pPr>
      <w:r w:rsidRPr="006D5138">
        <w:rPr>
          <w:rFonts w:ascii="Arial" w:hAnsi="Arial" w:cs="Arial"/>
          <w:sz w:val="20"/>
          <w:szCs w:val="20"/>
          <w:lang w:val="en-US"/>
        </w:rPr>
        <w:t>Diabetes retinal screening</w:t>
      </w:r>
    </w:p>
    <w:p w:rsidR="0004637D" w:rsidRPr="006D5138" w:rsidRDefault="0004637D">
      <w:pPr>
        <w:jc w:val="both"/>
        <w:rPr>
          <w:rFonts w:ascii="Arial" w:hAnsi="Arial" w:cs="Arial"/>
          <w:sz w:val="20"/>
        </w:rPr>
      </w:pPr>
    </w:p>
    <w:p w:rsidR="0004637D" w:rsidRPr="006D5138" w:rsidRDefault="0004637D">
      <w:pPr>
        <w:jc w:val="both"/>
        <w:rPr>
          <w:rFonts w:ascii="Arial" w:hAnsi="Arial" w:cs="Arial"/>
          <w:sz w:val="20"/>
        </w:rPr>
      </w:pPr>
      <w:r w:rsidRPr="006D5138">
        <w:rPr>
          <w:rFonts w:ascii="Arial" w:hAnsi="Arial" w:cs="Arial"/>
          <w:sz w:val="20"/>
        </w:rPr>
        <w:t xml:space="preserve">The impact of diabetes in </w:t>
      </w:r>
      <w:smartTag w:uri="urn:schemas-microsoft-com:office:smarttags" w:element="country-region">
        <w:smartTag w:uri="urn:schemas-microsoft-com:office:smarttags" w:element="place">
          <w:r w:rsidRPr="006D5138">
            <w:rPr>
              <w:rFonts w:ascii="Arial" w:hAnsi="Arial" w:cs="Arial"/>
              <w:sz w:val="20"/>
            </w:rPr>
            <w:t>New Zealand</w:t>
          </w:r>
        </w:smartTag>
      </w:smartTag>
      <w:r w:rsidRPr="006D5138">
        <w:rPr>
          <w:rFonts w:ascii="Arial" w:hAnsi="Arial" w:cs="Arial"/>
          <w:sz w:val="20"/>
        </w:rPr>
        <w:t xml:space="preserve"> is significant and will become more so as the prevalence of type 2 diabetes increases.  The prevalence of known diabetes across the population of </w:t>
      </w:r>
      <w:smartTag w:uri="urn:schemas-microsoft-com:office:smarttags" w:element="country-region">
        <w:smartTag w:uri="urn:schemas-microsoft-com:office:smarttags" w:element="place">
          <w:r w:rsidRPr="006D5138">
            <w:rPr>
              <w:rFonts w:ascii="Arial" w:hAnsi="Arial" w:cs="Arial"/>
              <w:sz w:val="20"/>
            </w:rPr>
            <w:t>New Zealand</w:t>
          </w:r>
        </w:smartTag>
      </w:smartTag>
      <w:r w:rsidRPr="006D5138">
        <w:rPr>
          <w:rFonts w:ascii="Arial" w:hAnsi="Arial" w:cs="Arial"/>
          <w:sz w:val="20"/>
        </w:rPr>
        <w:t xml:space="preserve"> is currently estimated at around 3%.  Within the population however the prevalence of diabetes in Maori and Pacific populations is around three times higher than among other New Zealanders.  </w:t>
      </w:r>
    </w:p>
    <w:p w:rsidR="0004637D" w:rsidRPr="006D5138" w:rsidRDefault="0004637D">
      <w:pPr>
        <w:jc w:val="both"/>
        <w:rPr>
          <w:rFonts w:ascii="Arial" w:hAnsi="Arial" w:cs="Arial"/>
          <w:sz w:val="20"/>
        </w:rPr>
      </w:pPr>
    </w:p>
    <w:p w:rsidR="0004637D" w:rsidRPr="006D5138" w:rsidRDefault="0004637D">
      <w:pPr>
        <w:autoSpaceDE w:val="0"/>
        <w:autoSpaceDN w:val="0"/>
        <w:adjustRightInd w:val="0"/>
        <w:jc w:val="both"/>
        <w:rPr>
          <w:rFonts w:ascii="Arial" w:hAnsi="Arial" w:cs="Arial"/>
          <w:sz w:val="20"/>
          <w:szCs w:val="20"/>
          <w:lang w:val="en-US"/>
        </w:rPr>
      </w:pPr>
      <w:r w:rsidRPr="006D5138">
        <w:rPr>
          <w:rFonts w:ascii="Arial" w:hAnsi="Arial" w:cs="Arial"/>
          <w:sz w:val="20"/>
        </w:rPr>
        <w:t xml:space="preserve">Reducing the incidence and impact of diabetes is one of the thirteen New Zealand Health Strategy immediate action priority objectives for population health.  Diabetes is also one of eight Maori Health Gain priority areas.  </w:t>
      </w:r>
    </w:p>
    <w:p w:rsidR="0004637D" w:rsidRPr="006D5138" w:rsidRDefault="0004637D">
      <w:pPr>
        <w:jc w:val="both"/>
        <w:rPr>
          <w:rFonts w:ascii="Arial" w:hAnsi="Arial" w:cs="Arial"/>
          <w:sz w:val="20"/>
        </w:rPr>
      </w:pPr>
    </w:p>
    <w:p w:rsidR="0004637D" w:rsidRPr="006D5138" w:rsidRDefault="0004637D">
      <w:pPr>
        <w:numPr>
          <w:ilvl w:val="0"/>
          <w:numId w:val="1"/>
        </w:numPr>
        <w:tabs>
          <w:tab w:val="clear" w:pos="1080"/>
          <w:tab w:val="num" w:pos="570"/>
        </w:tabs>
        <w:spacing w:after="120"/>
        <w:ind w:left="570" w:hanging="570"/>
        <w:jc w:val="both"/>
        <w:rPr>
          <w:rFonts w:ascii="Arial" w:hAnsi="Arial" w:cs="Arial"/>
          <w:b/>
          <w:sz w:val="20"/>
        </w:rPr>
      </w:pPr>
      <w:r w:rsidRPr="006D5138">
        <w:rPr>
          <w:rFonts w:ascii="Arial" w:hAnsi="Arial" w:cs="Arial"/>
          <w:b/>
          <w:sz w:val="20"/>
        </w:rPr>
        <w:t>Definition</w:t>
      </w:r>
    </w:p>
    <w:p w:rsidR="0004637D" w:rsidRPr="006D5138" w:rsidRDefault="0004637D">
      <w:pPr>
        <w:spacing w:after="120"/>
        <w:jc w:val="both"/>
        <w:rPr>
          <w:rFonts w:ascii="Arial" w:hAnsi="Arial" w:cs="Arial"/>
          <w:sz w:val="20"/>
        </w:rPr>
      </w:pPr>
      <w:r w:rsidRPr="006D5138">
        <w:rPr>
          <w:rFonts w:ascii="Arial" w:hAnsi="Arial" w:cs="Arial"/>
          <w:sz w:val="20"/>
        </w:rPr>
        <w:t xml:space="preserve">This service specification is for a regional service, for people with Type 1 diabetes who are not achieving satisfactory control of hypoglycaemia or are at risk of diabetic keto-acidosis using multiple daily insulin injection regimes (MDI).  The service includes the provision of Continuous Sub-cutaneous Insulin Injections (insulin pumps) and consumables including assessment, support (including dietetic advice), and on-going review. </w:t>
      </w:r>
    </w:p>
    <w:p w:rsidR="0004637D" w:rsidRPr="006D5138" w:rsidRDefault="0004637D">
      <w:pPr>
        <w:numPr>
          <w:ilvl w:val="0"/>
          <w:numId w:val="1"/>
        </w:numPr>
        <w:tabs>
          <w:tab w:val="clear" w:pos="1080"/>
          <w:tab w:val="num" w:pos="570"/>
        </w:tabs>
        <w:ind w:left="570" w:hanging="570"/>
        <w:jc w:val="both"/>
        <w:rPr>
          <w:rFonts w:ascii="Arial" w:hAnsi="Arial" w:cs="Arial"/>
          <w:b/>
          <w:sz w:val="20"/>
        </w:rPr>
      </w:pPr>
      <w:r w:rsidRPr="006D5138">
        <w:rPr>
          <w:rFonts w:ascii="Arial" w:hAnsi="Arial" w:cs="Arial"/>
          <w:b/>
          <w:sz w:val="20"/>
        </w:rPr>
        <w:t>Service objectives</w:t>
      </w:r>
    </w:p>
    <w:p w:rsidR="0004637D" w:rsidRPr="006D5138" w:rsidRDefault="0004637D">
      <w:pPr>
        <w:numPr>
          <w:ilvl w:val="1"/>
          <w:numId w:val="1"/>
        </w:numPr>
        <w:tabs>
          <w:tab w:val="clear" w:pos="1080"/>
          <w:tab w:val="num" w:pos="570"/>
        </w:tabs>
        <w:spacing w:after="120"/>
        <w:ind w:left="570" w:hanging="570"/>
        <w:jc w:val="both"/>
        <w:rPr>
          <w:rFonts w:ascii="Arial" w:hAnsi="Arial" w:cs="Arial"/>
          <w:b/>
          <w:i/>
          <w:sz w:val="20"/>
        </w:rPr>
      </w:pPr>
      <w:r w:rsidRPr="006D5138">
        <w:rPr>
          <w:rFonts w:ascii="Arial" w:hAnsi="Arial" w:cs="Arial"/>
          <w:b/>
          <w:i/>
          <w:sz w:val="20"/>
        </w:rPr>
        <w:t>General</w:t>
      </w:r>
    </w:p>
    <w:p w:rsidR="0004637D" w:rsidRPr="006D5138" w:rsidRDefault="0004637D">
      <w:pPr>
        <w:pStyle w:val="BodyText2"/>
        <w:tabs>
          <w:tab w:val="clear" w:pos="0"/>
        </w:tabs>
        <w:spacing w:after="120"/>
        <w:rPr>
          <w:rFonts w:ascii="Arial" w:hAnsi="Arial" w:cs="Arial"/>
          <w:b/>
        </w:rPr>
      </w:pPr>
      <w:r w:rsidRPr="006D5138">
        <w:rPr>
          <w:rFonts w:ascii="Arial" w:hAnsi="Arial" w:cs="Arial"/>
        </w:rPr>
        <w:t xml:space="preserve">The objective of this service is to provide insulin pumps, or other treatment modalities for which evidence of effectiveness is established in the future, to people with Type 1 diabetes who meet the clinical priority access criteria below. </w:t>
      </w:r>
    </w:p>
    <w:p w:rsidR="0004637D" w:rsidRPr="006D5138" w:rsidRDefault="0004637D">
      <w:pPr>
        <w:numPr>
          <w:ilvl w:val="1"/>
          <w:numId w:val="1"/>
        </w:numPr>
        <w:tabs>
          <w:tab w:val="clear" w:pos="1080"/>
          <w:tab w:val="num" w:pos="570"/>
        </w:tabs>
        <w:spacing w:after="120"/>
        <w:ind w:left="570" w:hanging="570"/>
        <w:jc w:val="both"/>
        <w:rPr>
          <w:rFonts w:ascii="Arial" w:hAnsi="Arial" w:cs="Arial"/>
          <w:b/>
          <w:i/>
          <w:sz w:val="20"/>
        </w:rPr>
      </w:pPr>
      <w:r w:rsidRPr="006D5138">
        <w:rPr>
          <w:rFonts w:ascii="Arial" w:hAnsi="Arial" w:cs="Arial"/>
          <w:b/>
          <w:i/>
          <w:sz w:val="20"/>
        </w:rPr>
        <w:t>Maori Health</w:t>
      </w:r>
    </w:p>
    <w:p w:rsidR="0004637D" w:rsidRPr="006D5138" w:rsidRDefault="0004637D">
      <w:pPr>
        <w:autoSpaceDE w:val="0"/>
        <w:autoSpaceDN w:val="0"/>
        <w:adjustRightInd w:val="0"/>
        <w:spacing w:line="240" w:lineRule="atLeast"/>
        <w:rPr>
          <w:rFonts w:ascii="Arial" w:hAnsi="Arial" w:cs="Arial"/>
          <w:color w:val="000000"/>
          <w:sz w:val="20"/>
          <w:szCs w:val="20"/>
          <w:lang w:val="en-US"/>
        </w:rPr>
      </w:pPr>
      <w:r w:rsidRPr="006D5138">
        <w:rPr>
          <w:rFonts w:ascii="Arial" w:hAnsi="Arial" w:cs="Arial"/>
          <w:color w:val="000000"/>
          <w:sz w:val="20"/>
          <w:szCs w:val="20"/>
          <w:lang w:val="en-US"/>
        </w:rPr>
        <w:t>These services will be provided in a way that will contribute to the objectives of He Korowai Oranga - the Maori Health Strategy as referred to in the New Zealand Health Strategy.  In particular, to increase access to high quality and effective health and disability services which improve Maori health and reduce inequalities between Maori and non-Maori.</w:t>
      </w:r>
    </w:p>
    <w:p w:rsidR="0004637D" w:rsidRPr="006D5138" w:rsidRDefault="0004637D">
      <w:pPr>
        <w:ind w:left="570" w:hanging="570"/>
        <w:jc w:val="both"/>
        <w:rPr>
          <w:rFonts w:ascii="Arial" w:hAnsi="Arial" w:cs="Arial"/>
          <w:sz w:val="20"/>
        </w:rPr>
      </w:pPr>
    </w:p>
    <w:p w:rsidR="0004637D" w:rsidRPr="006D5138" w:rsidRDefault="0004637D">
      <w:pPr>
        <w:numPr>
          <w:ilvl w:val="0"/>
          <w:numId w:val="1"/>
        </w:numPr>
        <w:tabs>
          <w:tab w:val="clear" w:pos="1080"/>
          <w:tab w:val="left" w:pos="570"/>
          <w:tab w:val="num" w:pos="627"/>
        </w:tabs>
        <w:spacing w:after="120"/>
        <w:ind w:left="570" w:hanging="570"/>
        <w:jc w:val="both"/>
        <w:rPr>
          <w:rFonts w:ascii="Arial" w:hAnsi="Arial" w:cs="Arial"/>
          <w:b/>
          <w:sz w:val="20"/>
        </w:rPr>
      </w:pPr>
      <w:r w:rsidRPr="006D5138">
        <w:rPr>
          <w:rFonts w:ascii="Arial" w:hAnsi="Arial" w:cs="Arial"/>
          <w:b/>
          <w:sz w:val="20"/>
        </w:rPr>
        <w:t>Service users</w:t>
      </w:r>
    </w:p>
    <w:p w:rsidR="0004637D" w:rsidRPr="006D5138" w:rsidRDefault="0004637D">
      <w:pPr>
        <w:pStyle w:val="BodyText2"/>
        <w:spacing w:after="120"/>
        <w:rPr>
          <w:rFonts w:ascii="Arial" w:hAnsi="Arial" w:cs="Arial"/>
        </w:rPr>
      </w:pPr>
      <w:r w:rsidRPr="006D5138">
        <w:rPr>
          <w:rFonts w:ascii="Arial" w:hAnsi="Arial" w:cs="Arial"/>
        </w:rPr>
        <w:t xml:space="preserve">This service is for people of </w:t>
      </w:r>
      <w:r w:rsidRPr="006D5138">
        <w:rPr>
          <w:rFonts w:ascii="Arial" w:hAnsi="Arial" w:cs="Arial"/>
          <w:b/>
          <w:bCs/>
        </w:rPr>
        <w:t>all</w:t>
      </w:r>
      <w:r w:rsidRPr="006D5138">
        <w:rPr>
          <w:rFonts w:ascii="Arial" w:hAnsi="Arial" w:cs="Arial"/>
        </w:rPr>
        <w:t xml:space="preserve"> age groups with Type 1 diabetes who are not achieving satisfactory control of hypoglycaemia or are at risk of diabetic keto-acidosis using MDI regimes.  </w:t>
      </w:r>
    </w:p>
    <w:p w:rsidR="0004637D" w:rsidRPr="006D5138" w:rsidRDefault="0004637D">
      <w:pPr>
        <w:numPr>
          <w:ilvl w:val="0"/>
          <w:numId w:val="1"/>
        </w:numPr>
        <w:tabs>
          <w:tab w:val="left" w:pos="570"/>
        </w:tabs>
        <w:ind w:left="570" w:hanging="570"/>
        <w:jc w:val="both"/>
        <w:rPr>
          <w:rFonts w:ascii="Arial" w:hAnsi="Arial" w:cs="Arial"/>
          <w:b/>
          <w:sz w:val="20"/>
        </w:rPr>
      </w:pPr>
      <w:r w:rsidRPr="006D5138">
        <w:rPr>
          <w:rFonts w:ascii="Arial" w:hAnsi="Arial" w:cs="Arial"/>
          <w:b/>
          <w:sz w:val="20"/>
        </w:rPr>
        <w:t>Access</w:t>
      </w:r>
    </w:p>
    <w:p w:rsidR="0004637D" w:rsidRPr="006D5138" w:rsidRDefault="0004637D">
      <w:pPr>
        <w:tabs>
          <w:tab w:val="left" w:pos="570"/>
        </w:tabs>
        <w:ind w:left="570" w:hanging="570"/>
        <w:jc w:val="both"/>
        <w:rPr>
          <w:rFonts w:ascii="Arial" w:hAnsi="Arial" w:cs="Arial"/>
          <w:b/>
          <w:i/>
          <w:sz w:val="20"/>
        </w:rPr>
      </w:pPr>
      <w:r w:rsidRPr="006D5138">
        <w:rPr>
          <w:rFonts w:ascii="Arial" w:hAnsi="Arial" w:cs="Arial"/>
          <w:b/>
          <w:i/>
          <w:sz w:val="20"/>
        </w:rPr>
        <w:t>4.1</w:t>
      </w:r>
      <w:r w:rsidRPr="006D5138">
        <w:rPr>
          <w:rFonts w:ascii="Arial" w:hAnsi="Arial" w:cs="Arial"/>
          <w:b/>
          <w:i/>
          <w:sz w:val="20"/>
        </w:rPr>
        <w:tab/>
        <w:t>Entry and Exit Criteria</w:t>
      </w:r>
    </w:p>
    <w:p w:rsidR="0004637D" w:rsidRPr="006D5138" w:rsidRDefault="0004637D">
      <w:pPr>
        <w:spacing w:after="120"/>
        <w:ind w:left="570" w:hanging="570"/>
        <w:jc w:val="both"/>
        <w:rPr>
          <w:rFonts w:ascii="Arial" w:hAnsi="Arial" w:cs="Arial"/>
          <w:b/>
          <w:sz w:val="20"/>
        </w:rPr>
      </w:pPr>
      <w:r w:rsidRPr="006D5138">
        <w:rPr>
          <w:rFonts w:ascii="Arial" w:hAnsi="Arial" w:cs="Arial"/>
          <w:b/>
          <w:sz w:val="20"/>
        </w:rPr>
        <w:t>Entry criteria:</w:t>
      </w:r>
    </w:p>
    <w:p w:rsidR="0004637D" w:rsidRPr="006D5138" w:rsidRDefault="0004637D">
      <w:pPr>
        <w:pStyle w:val="BodyText3"/>
        <w:spacing w:after="120"/>
        <w:jc w:val="both"/>
        <w:rPr>
          <w:rFonts w:ascii="Arial" w:hAnsi="Arial" w:cs="Arial"/>
        </w:rPr>
      </w:pPr>
      <w:r w:rsidRPr="006D5138">
        <w:rPr>
          <w:rFonts w:ascii="Arial" w:hAnsi="Arial" w:cs="Arial"/>
        </w:rPr>
        <w:t>People with Type 1 diabetes meeting the clinical priority access criteria below and should be referred by a secondary hospital diabetes clinic. Direct referral by GPs is not intended. The secondary hospital diabetes clinic must have attempted to maximise the effectiveness of MDI in preventing hypoglycaemia and diabetic keto-acidosis prior to referral.</w:t>
      </w:r>
    </w:p>
    <w:p w:rsidR="0004637D" w:rsidRPr="006D5138" w:rsidRDefault="0004637D">
      <w:pPr>
        <w:pStyle w:val="BodyText3"/>
        <w:jc w:val="both"/>
        <w:rPr>
          <w:rFonts w:ascii="Arial" w:hAnsi="Arial" w:cs="Arial"/>
        </w:rPr>
      </w:pPr>
      <w:r w:rsidRPr="006D5138">
        <w:rPr>
          <w:rFonts w:ascii="Arial" w:hAnsi="Arial" w:cs="Arial"/>
        </w:rPr>
        <w:t xml:space="preserve">Patients who have insulin pumps funded by non-government organisations (for example sponsored by Lions Club) may receive this service, provided that it is clinically indicated.  This service must be provided on the basis of clinical priority.  It is not acceptable for individuals to access the service, and have consumables funded, solely on the basis that they can personally fund the initial cost of an insulin pump.  </w:t>
      </w:r>
    </w:p>
    <w:p w:rsidR="0004637D" w:rsidRPr="006D5138" w:rsidRDefault="0004637D">
      <w:pPr>
        <w:pStyle w:val="BodyText3"/>
        <w:jc w:val="both"/>
        <w:rPr>
          <w:rFonts w:ascii="Arial" w:hAnsi="Arial" w:cs="Arial"/>
        </w:rPr>
      </w:pPr>
    </w:p>
    <w:p w:rsidR="0004637D" w:rsidRPr="006D5138" w:rsidRDefault="0004637D">
      <w:pPr>
        <w:pStyle w:val="BodyText3"/>
        <w:jc w:val="both"/>
        <w:rPr>
          <w:rFonts w:ascii="Arial" w:hAnsi="Arial" w:cs="Arial"/>
        </w:rPr>
      </w:pPr>
      <w:r w:rsidRPr="006D5138">
        <w:rPr>
          <w:rFonts w:ascii="Arial" w:hAnsi="Arial" w:cs="Arial"/>
          <w:b/>
        </w:rPr>
        <w:t xml:space="preserve">Clinical Priority Access Criteria </w:t>
      </w:r>
      <w:r w:rsidRPr="006D5138">
        <w:rPr>
          <w:rFonts w:ascii="Arial" w:hAnsi="Arial" w:cs="Arial"/>
        </w:rPr>
        <w:t>(listed in no particular order of priority)</w:t>
      </w:r>
    </w:p>
    <w:p w:rsidR="0004637D" w:rsidRPr="006D5138" w:rsidRDefault="0004637D">
      <w:pPr>
        <w:pStyle w:val="BodyText3"/>
        <w:jc w:val="both"/>
        <w:rPr>
          <w:rFonts w:ascii="Arial" w:hAnsi="Arial" w:cs="Arial"/>
        </w:rPr>
      </w:pPr>
    </w:p>
    <w:p w:rsidR="0004637D" w:rsidRPr="006D5138" w:rsidRDefault="0004637D">
      <w:pPr>
        <w:pStyle w:val="Header"/>
        <w:spacing w:after="120"/>
        <w:ind w:left="360"/>
        <w:jc w:val="both"/>
        <w:rPr>
          <w:rFonts w:ascii="Arial" w:hAnsi="Arial" w:cs="Arial"/>
        </w:rPr>
      </w:pPr>
      <w:r w:rsidRPr="006D5138">
        <w:rPr>
          <w:rFonts w:ascii="Arial" w:hAnsi="Arial" w:cs="Arial"/>
        </w:rPr>
        <w:t>Patients with Type 1 diabetes:</w:t>
      </w:r>
    </w:p>
    <w:p w:rsidR="0004637D" w:rsidRPr="006D5138" w:rsidRDefault="0004637D">
      <w:pPr>
        <w:pStyle w:val="Header"/>
        <w:numPr>
          <w:ilvl w:val="0"/>
          <w:numId w:val="20"/>
        </w:numPr>
        <w:spacing w:after="120"/>
        <w:jc w:val="both"/>
        <w:rPr>
          <w:rFonts w:ascii="Arial" w:hAnsi="Arial" w:cs="Arial"/>
        </w:rPr>
      </w:pPr>
      <w:r w:rsidRPr="006D5138">
        <w:rPr>
          <w:rFonts w:ascii="Arial" w:hAnsi="Arial" w:cs="Arial"/>
        </w:rPr>
        <w:t>with hypoglycaemic unawareness and autonomic neuropathy</w:t>
      </w:r>
    </w:p>
    <w:p w:rsidR="0004637D" w:rsidRPr="006D5138" w:rsidRDefault="0004637D">
      <w:pPr>
        <w:pStyle w:val="Header"/>
        <w:numPr>
          <w:ilvl w:val="0"/>
          <w:numId w:val="20"/>
        </w:numPr>
        <w:spacing w:after="120"/>
        <w:jc w:val="both"/>
        <w:rPr>
          <w:rFonts w:ascii="Arial" w:hAnsi="Arial" w:cs="Arial"/>
        </w:rPr>
      </w:pPr>
      <w:r w:rsidRPr="006D5138">
        <w:rPr>
          <w:rFonts w:ascii="Arial" w:hAnsi="Arial" w:cs="Arial"/>
        </w:rPr>
        <w:t xml:space="preserve">suffering recurrent </w:t>
      </w:r>
      <w:r w:rsidRPr="006D5138">
        <w:rPr>
          <w:rFonts w:ascii="Arial" w:hAnsi="Arial" w:cs="Arial"/>
          <w:b/>
        </w:rPr>
        <w:t>severe</w:t>
      </w:r>
      <w:r w:rsidRPr="006D5138">
        <w:rPr>
          <w:rFonts w:ascii="Arial" w:hAnsi="Arial" w:cs="Arial"/>
        </w:rPr>
        <w:t xml:space="preserve"> hypoglycaemic episodes</w:t>
      </w:r>
    </w:p>
    <w:p w:rsidR="0004637D" w:rsidRPr="006D5138" w:rsidRDefault="0004637D">
      <w:pPr>
        <w:pStyle w:val="Header"/>
        <w:numPr>
          <w:ilvl w:val="0"/>
          <w:numId w:val="20"/>
        </w:numPr>
        <w:spacing w:after="120"/>
        <w:jc w:val="both"/>
        <w:rPr>
          <w:rFonts w:ascii="Arial" w:hAnsi="Arial" w:cs="Arial"/>
        </w:rPr>
      </w:pPr>
      <w:r w:rsidRPr="006D5138">
        <w:rPr>
          <w:rFonts w:ascii="Arial" w:hAnsi="Arial" w:cs="Arial"/>
        </w:rPr>
        <w:t>with poor glycaemic control and unacceptable fasting blood glucose levels due to a marked dawn phenomenon especially adolescents</w:t>
      </w:r>
    </w:p>
    <w:p w:rsidR="0004637D" w:rsidRPr="006D5138" w:rsidRDefault="0004637D">
      <w:pPr>
        <w:pStyle w:val="Header"/>
        <w:numPr>
          <w:ilvl w:val="0"/>
          <w:numId w:val="20"/>
        </w:numPr>
        <w:spacing w:after="120"/>
        <w:jc w:val="both"/>
        <w:rPr>
          <w:rFonts w:ascii="Arial" w:hAnsi="Arial" w:cs="Arial"/>
        </w:rPr>
      </w:pPr>
      <w:r w:rsidRPr="006D5138">
        <w:rPr>
          <w:rFonts w:ascii="Arial" w:hAnsi="Arial" w:cs="Arial"/>
        </w:rPr>
        <w:t>with poor glycaemic control despite multiple daily injections who are proven to have improved control with a trial of insulin pump therapy</w:t>
      </w:r>
    </w:p>
    <w:p w:rsidR="0004637D" w:rsidRPr="006D5138" w:rsidRDefault="0004637D">
      <w:pPr>
        <w:pStyle w:val="Header"/>
        <w:numPr>
          <w:ilvl w:val="0"/>
          <w:numId w:val="20"/>
        </w:numPr>
        <w:spacing w:after="120"/>
        <w:jc w:val="both"/>
        <w:rPr>
          <w:rFonts w:ascii="Arial" w:hAnsi="Arial" w:cs="Arial"/>
        </w:rPr>
      </w:pPr>
      <w:r w:rsidRPr="006D5138">
        <w:rPr>
          <w:rFonts w:ascii="Arial" w:hAnsi="Arial" w:cs="Arial"/>
        </w:rPr>
        <w:t>and recurrent diabetic keto-acidosis despite all efforts to avoid it</w:t>
      </w:r>
    </w:p>
    <w:p w:rsidR="0004637D" w:rsidRPr="006D5138" w:rsidRDefault="0004637D">
      <w:pPr>
        <w:pStyle w:val="Header"/>
        <w:numPr>
          <w:ilvl w:val="0"/>
          <w:numId w:val="20"/>
        </w:numPr>
        <w:spacing w:after="120"/>
        <w:jc w:val="both"/>
        <w:rPr>
          <w:rFonts w:ascii="Arial" w:hAnsi="Arial" w:cs="Arial"/>
        </w:rPr>
      </w:pPr>
      <w:r w:rsidRPr="006D5138">
        <w:rPr>
          <w:rFonts w:ascii="Arial" w:hAnsi="Arial" w:cs="Arial"/>
        </w:rPr>
        <w:t>with eating disorders (in highly selected cases)</w:t>
      </w:r>
    </w:p>
    <w:p w:rsidR="0004637D" w:rsidRPr="006D5138" w:rsidRDefault="0004637D">
      <w:pPr>
        <w:pStyle w:val="Header"/>
        <w:numPr>
          <w:ilvl w:val="0"/>
          <w:numId w:val="20"/>
        </w:numPr>
        <w:spacing w:after="120"/>
        <w:jc w:val="both"/>
        <w:rPr>
          <w:rFonts w:ascii="Arial" w:hAnsi="Arial" w:cs="Arial"/>
        </w:rPr>
      </w:pPr>
      <w:r w:rsidRPr="006D5138">
        <w:rPr>
          <w:rFonts w:ascii="Arial" w:hAnsi="Arial" w:cs="Arial"/>
        </w:rPr>
        <w:t>and other chronic illness eg coeliac disease</w:t>
      </w:r>
    </w:p>
    <w:p w:rsidR="0004637D" w:rsidRPr="006D5138" w:rsidRDefault="0004637D">
      <w:pPr>
        <w:pStyle w:val="Header"/>
        <w:numPr>
          <w:ilvl w:val="0"/>
          <w:numId w:val="20"/>
        </w:numPr>
        <w:spacing w:after="120"/>
        <w:jc w:val="both"/>
        <w:rPr>
          <w:rFonts w:ascii="Arial" w:hAnsi="Arial" w:cs="Arial"/>
        </w:rPr>
      </w:pPr>
      <w:r w:rsidRPr="006D5138">
        <w:rPr>
          <w:rFonts w:ascii="Arial" w:hAnsi="Arial" w:cs="Arial"/>
        </w:rPr>
        <w:t>variable or prolonged insulin action</w:t>
      </w:r>
    </w:p>
    <w:p w:rsidR="0004637D" w:rsidRPr="006D5138" w:rsidRDefault="0004637D">
      <w:pPr>
        <w:ind w:left="570" w:hanging="570"/>
        <w:jc w:val="both"/>
        <w:rPr>
          <w:rFonts w:ascii="Arial" w:hAnsi="Arial" w:cs="Arial"/>
          <w:sz w:val="20"/>
        </w:rPr>
      </w:pPr>
    </w:p>
    <w:p w:rsidR="0004637D" w:rsidRPr="006D5138" w:rsidRDefault="0004637D">
      <w:pPr>
        <w:pStyle w:val="Heading2"/>
        <w:rPr>
          <w:rFonts w:ascii="Arial" w:hAnsi="Arial" w:cs="Arial"/>
        </w:rPr>
      </w:pPr>
      <w:r w:rsidRPr="006D5138">
        <w:rPr>
          <w:rFonts w:ascii="Arial" w:hAnsi="Arial" w:cs="Arial"/>
        </w:rPr>
        <w:t>Patient and caregiver/parents requirements</w:t>
      </w:r>
    </w:p>
    <w:p w:rsidR="0004637D" w:rsidRPr="006D5138" w:rsidRDefault="0004637D">
      <w:pPr>
        <w:ind w:left="570" w:hanging="570"/>
        <w:jc w:val="both"/>
        <w:rPr>
          <w:rFonts w:ascii="Arial" w:hAnsi="Arial" w:cs="Arial"/>
          <w:sz w:val="20"/>
        </w:rPr>
      </w:pPr>
      <w:r w:rsidRPr="006D5138">
        <w:rPr>
          <w:rFonts w:ascii="Arial" w:hAnsi="Arial" w:cs="Arial"/>
          <w:sz w:val="20"/>
        </w:rPr>
        <w:t>Patients/caregivers/parents must:</w:t>
      </w:r>
    </w:p>
    <w:p w:rsidR="0004637D" w:rsidRPr="006D5138" w:rsidRDefault="0004637D">
      <w:pPr>
        <w:jc w:val="both"/>
        <w:rPr>
          <w:rFonts w:ascii="Arial" w:hAnsi="Arial" w:cs="Arial"/>
          <w:sz w:val="20"/>
        </w:rPr>
      </w:pPr>
    </w:p>
    <w:p w:rsidR="0004637D" w:rsidRPr="006D5138" w:rsidRDefault="0004637D">
      <w:pPr>
        <w:numPr>
          <w:ilvl w:val="0"/>
          <w:numId w:val="21"/>
        </w:numPr>
        <w:jc w:val="both"/>
        <w:rPr>
          <w:rFonts w:ascii="Arial" w:hAnsi="Arial" w:cs="Arial"/>
          <w:sz w:val="20"/>
        </w:rPr>
      </w:pPr>
      <w:r w:rsidRPr="006D5138">
        <w:rPr>
          <w:rFonts w:ascii="Arial" w:hAnsi="Arial" w:cs="Arial"/>
          <w:sz w:val="20"/>
        </w:rPr>
        <w:t>have the patient on optimal conventional therapy</w:t>
      </w:r>
    </w:p>
    <w:p w:rsidR="0004637D" w:rsidRPr="006D5138" w:rsidRDefault="0004637D">
      <w:pPr>
        <w:numPr>
          <w:ilvl w:val="0"/>
          <w:numId w:val="21"/>
        </w:numPr>
        <w:jc w:val="both"/>
        <w:rPr>
          <w:rFonts w:ascii="Arial" w:hAnsi="Arial" w:cs="Arial"/>
          <w:sz w:val="20"/>
        </w:rPr>
      </w:pPr>
      <w:r w:rsidRPr="006D5138">
        <w:rPr>
          <w:rFonts w:ascii="Arial" w:hAnsi="Arial" w:cs="Arial"/>
          <w:sz w:val="20"/>
        </w:rPr>
        <w:t>monitor and record blood glucose a minimum of four times per day, and make appropriate adjustments</w:t>
      </w:r>
    </w:p>
    <w:p w:rsidR="0004637D" w:rsidRPr="006D5138" w:rsidRDefault="0004637D">
      <w:pPr>
        <w:numPr>
          <w:ilvl w:val="0"/>
          <w:numId w:val="21"/>
        </w:numPr>
        <w:jc w:val="both"/>
        <w:rPr>
          <w:rFonts w:ascii="Arial" w:hAnsi="Arial" w:cs="Arial"/>
          <w:sz w:val="20"/>
        </w:rPr>
      </w:pPr>
      <w:r w:rsidRPr="006D5138">
        <w:rPr>
          <w:rFonts w:ascii="Arial" w:hAnsi="Arial" w:cs="Arial"/>
          <w:sz w:val="20"/>
        </w:rPr>
        <w:t>be responsible and psychologically stable</w:t>
      </w:r>
    </w:p>
    <w:p w:rsidR="0004637D" w:rsidRPr="006D5138" w:rsidRDefault="0004637D">
      <w:pPr>
        <w:numPr>
          <w:ilvl w:val="0"/>
          <w:numId w:val="21"/>
        </w:numPr>
        <w:jc w:val="both"/>
        <w:rPr>
          <w:rFonts w:ascii="Arial" w:hAnsi="Arial" w:cs="Arial"/>
          <w:sz w:val="20"/>
        </w:rPr>
      </w:pPr>
      <w:r w:rsidRPr="006D5138">
        <w:rPr>
          <w:rFonts w:ascii="Arial" w:hAnsi="Arial" w:cs="Arial"/>
          <w:sz w:val="20"/>
        </w:rPr>
        <w:t>be willing to quantitate food intake, especially carbohydrate in the diet</w:t>
      </w:r>
    </w:p>
    <w:p w:rsidR="0004637D" w:rsidRPr="006D5138" w:rsidRDefault="0004637D">
      <w:pPr>
        <w:numPr>
          <w:ilvl w:val="0"/>
          <w:numId w:val="21"/>
        </w:numPr>
        <w:jc w:val="both"/>
        <w:rPr>
          <w:rFonts w:ascii="Arial" w:hAnsi="Arial" w:cs="Arial"/>
          <w:sz w:val="20"/>
        </w:rPr>
      </w:pPr>
      <w:r w:rsidRPr="006D5138">
        <w:rPr>
          <w:rFonts w:ascii="Arial" w:hAnsi="Arial" w:cs="Arial"/>
          <w:sz w:val="20"/>
        </w:rPr>
        <w:t>be willing to comply with medical/nursing follow-up</w:t>
      </w:r>
    </w:p>
    <w:p w:rsidR="0004637D" w:rsidRPr="006D5138" w:rsidRDefault="0004637D">
      <w:pPr>
        <w:numPr>
          <w:ilvl w:val="0"/>
          <w:numId w:val="21"/>
        </w:numPr>
        <w:jc w:val="both"/>
        <w:rPr>
          <w:rFonts w:ascii="Arial" w:hAnsi="Arial" w:cs="Arial"/>
          <w:sz w:val="20"/>
        </w:rPr>
      </w:pPr>
      <w:r w:rsidRPr="006D5138">
        <w:rPr>
          <w:rFonts w:ascii="Arial" w:hAnsi="Arial" w:cs="Arial"/>
          <w:sz w:val="20"/>
        </w:rPr>
        <w:t>be able to cope with and manage the technical challenges of the equipment</w:t>
      </w:r>
    </w:p>
    <w:p w:rsidR="0004637D" w:rsidRPr="006D5138" w:rsidRDefault="0004637D">
      <w:pPr>
        <w:numPr>
          <w:ilvl w:val="0"/>
          <w:numId w:val="21"/>
        </w:numPr>
        <w:jc w:val="both"/>
        <w:rPr>
          <w:rFonts w:ascii="Arial" w:hAnsi="Arial" w:cs="Arial"/>
          <w:sz w:val="20"/>
        </w:rPr>
      </w:pPr>
      <w:r w:rsidRPr="006D5138">
        <w:rPr>
          <w:rFonts w:ascii="Arial" w:hAnsi="Arial" w:cs="Arial"/>
          <w:sz w:val="20"/>
        </w:rPr>
        <w:t>have committed parental/caregiver supervision in diabetes care</w:t>
      </w:r>
    </w:p>
    <w:p w:rsidR="0004637D" w:rsidRPr="006D5138" w:rsidRDefault="0004637D">
      <w:pPr>
        <w:jc w:val="both"/>
        <w:rPr>
          <w:rFonts w:ascii="Arial" w:hAnsi="Arial" w:cs="Arial"/>
          <w:sz w:val="20"/>
        </w:rPr>
      </w:pPr>
    </w:p>
    <w:p w:rsidR="0004637D" w:rsidRPr="006D5138" w:rsidRDefault="0004637D">
      <w:pPr>
        <w:spacing w:after="120"/>
        <w:ind w:left="570" w:hanging="570"/>
        <w:jc w:val="both"/>
        <w:rPr>
          <w:rFonts w:ascii="Arial" w:hAnsi="Arial" w:cs="Arial"/>
          <w:b/>
          <w:sz w:val="20"/>
        </w:rPr>
      </w:pPr>
      <w:r w:rsidRPr="006D5138">
        <w:rPr>
          <w:rFonts w:ascii="Arial" w:hAnsi="Arial" w:cs="Arial"/>
          <w:b/>
          <w:sz w:val="20"/>
        </w:rPr>
        <w:t>Exit criteria:</w:t>
      </w:r>
    </w:p>
    <w:p w:rsidR="0004637D" w:rsidRPr="006D5138" w:rsidRDefault="0004637D">
      <w:pPr>
        <w:spacing w:after="120"/>
        <w:jc w:val="both"/>
        <w:rPr>
          <w:rFonts w:ascii="Arial" w:hAnsi="Arial" w:cs="Arial"/>
          <w:sz w:val="20"/>
        </w:rPr>
      </w:pPr>
      <w:r w:rsidRPr="006D5138">
        <w:rPr>
          <w:rFonts w:ascii="Arial" w:hAnsi="Arial" w:cs="Arial"/>
          <w:sz w:val="20"/>
        </w:rPr>
        <w:t>People with ongoing pump or other special treatment modalities funded by the service should be reviewed each year to establish the continuing effectiveness of the special treatment offered. This may result in a decision to revert to MDI or other treatment modalities.</w:t>
      </w:r>
    </w:p>
    <w:p w:rsidR="0004637D" w:rsidRPr="006D5138" w:rsidRDefault="0004637D">
      <w:pPr>
        <w:tabs>
          <w:tab w:val="left" w:pos="570"/>
        </w:tabs>
        <w:ind w:left="570" w:hanging="570"/>
        <w:jc w:val="both"/>
        <w:rPr>
          <w:rFonts w:ascii="Arial" w:hAnsi="Arial" w:cs="Arial"/>
          <w:b/>
          <w:sz w:val="20"/>
        </w:rPr>
      </w:pPr>
      <w:r w:rsidRPr="006D5138">
        <w:rPr>
          <w:rFonts w:ascii="Arial" w:hAnsi="Arial" w:cs="Arial"/>
          <w:b/>
          <w:sz w:val="20"/>
        </w:rPr>
        <w:t>5.</w:t>
      </w:r>
      <w:r w:rsidRPr="006D5138">
        <w:rPr>
          <w:rFonts w:ascii="Arial" w:hAnsi="Arial" w:cs="Arial"/>
          <w:b/>
          <w:sz w:val="20"/>
        </w:rPr>
        <w:tab/>
        <w:t>Service Components</w:t>
      </w:r>
    </w:p>
    <w:p w:rsidR="0004637D" w:rsidRPr="006D5138" w:rsidRDefault="0004637D">
      <w:pPr>
        <w:numPr>
          <w:ilvl w:val="1"/>
          <w:numId w:val="2"/>
        </w:numPr>
        <w:tabs>
          <w:tab w:val="left" w:pos="570"/>
        </w:tabs>
        <w:spacing w:after="120"/>
        <w:ind w:left="570" w:hanging="570"/>
        <w:jc w:val="both"/>
        <w:rPr>
          <w:rFonts w:ascii="Arial" w:hAnsi="Arial" w:cs="Arial"/>
          <w:b/>
          <w:i/>
          <w:sz w:val="20"/>
        </w:rPr>
      </w:pPr>
      <w:r w:rsidRPr="006D5138">
        <w:rPr>
          <w:rFonts w:ascii="Arial" w:hAnsi="Arial" w:cs="Arial"/>
          <w:b/>
          <w:i/>
          <w:sz w:val="20"/>
        </w:rPr>
        <w:t>Processes</w:t>
      </w:r>
    </w:p>
    <w:p w:rsidR="0004637D" w:rsidRPr="006D5138" w:rsidRDefault="0004637D">
      <w:pPr>
        <w:spacing w:after="120"/>
        <w:jc w:val="both"/>
        <w:rPr>
          <w:rFonts w:ascii="Arial" w:hAnsi="Arial" w:cs="Arial"/>
          <w:sz w:val="20"/>
        </w:rPr>
      </w:pPr>
      <w:r w:rsidRPr="006D5138">
        <w:rPr>
          <w:rFonts w:ascii="Arial" w:hAnsi="Arial" w:cs="Arial"/>
          <w:sz w:val="20"/>
        </w:rPr>
        <w:t>The regional service must use a documented assessment process, and attempt first to maximise MDI. This may require continuous glucose monitoring (using interstitial glucose sensors). The regional service should support secondary hospital diabetes services where it is practicable to undertake this assessment remotely.</w:t>
      </w:r>
    </w:p>
    <w:p w:rsidR="0004637D" w:rsidRPr="006D5138" w:rsidRDefault="0004637D">
      <w:pPr>
        <w:pStyle w:val="Header"/>
        <w:tabs>
          <w:tab w:val="clear" w:pos="4153"/>
          <w:tab w:val="clear" w:pos="8306"/>
        </w:tabs>
        <w:jc w:val="both"/>
        <w:rPr>
          <w:rFonts w:ascii="Arial" w:hAnsi="Arial" w:cs="Arial"/>
        </w:rPr>
      </w:pPr>
      <w:r w:rsidRPr="006D5138">
        <w:rPr>
          <w:rFonts w:ascii="Arial" w:hAnsi="Arial" w:cs="Arial"/>
          <w:lang w:val="en-NZ"/>
        </w:rPr>
        <w:t xml:space="preserve">The service should include a </w:t>
      </w:r>
      <w:r w:rsidRPr="006D5138">
        <w:rPr>
          <w:rFonts w:ascii="Arial" w:hAnsi="Arial" w:cs="Arial"/>
        </w:rPr>
        <w:t>detailed programme for pre-insulin pump assessment, implementation, support, and on-going review of patients on insulin pumps.  The service should provide for a trial period of insulin pump therapy to suitable patients.</w:t>
      </w:r>
    </w:p>
    <w:p w:rsidR="0004637D" w:rsidRPr="006D5138" w:rsidRDefault="0004637D">
      <w:pPr>
        <w:pStyle w:val="Header"/>
        <w:tabs>
          <w:tab w:val="clear" w:pos="4153"/>
          <w:tab w:val="clear" w:pos="8306"/>
        </w:tabs>
        <w:jc w:val="both"/>
        <w:rPr>
          <w:rFonts w:ascii="Arial" w:hAnsi="Arial" w:cs="Arial"/>
        </w:rPr>
      </w:pPr>
    </w:p>
    <w:p w:rsidR="0004637D" w:rsidRPr="006D5138" w:rsidRDefault="0004637D">
      <w:pPr>
        <w:pStyle w:val="Header"/>
        <w:tabs>
          <w:tab w:val="clear" w:pos="4153"/>
          <w:tab w:val="clear" w:pos="8306"/>
        </w:tabs>
        <w:jc w:val="both"/>
        <w:rPr>
          <w:rFonts w:ascii="Arial" w:hAnsi="Arial" w:cs="Arial"/>
          <w:lang w:val="en-NZ"/>
        </w:rPr>
      </w:pPr>
      <w:r w:rsidRPr="006D5138">
        <w:rPr>
          <w:rFonts w:ascii="Arial" w:hAnsi="Arial" w:cs="Arial"/>
        </w:rPr>
        <w:t>Personnel requirements include:</w:t>
      </w:r>
    </w:p>
    <w:p w:rsidR="0004637D" w:rsidRPr="006D5138" w:rsidRDefault="0004637D">
      <w:pPr>
        <w:ind w:left="570" w:hanging="570"/>
        <w:jc w:val="both"/>
        <w:rPr>
          <w:rFonts w:ascii="Arial" w:hAnsi="Arial" w:cs="Arial"/>
          <w:sz w:val="20"/>
        </w:rPr>
      </w:pPr>
    </w:p>
    <w:p w:rsidR="0004637D" w:rsidRPr="006D5138" w:rsidRDefault="0004637D">
      <w:pPr>
        <w:numPr>
          <w:ilvl w:val="0"/>
          <w:numId w:val="22"/>
        </w:numPr>
        <w:jc w:val="both"/>
        <w:rPr>
          <w:rFonts w:ascii="Arial" w:hAnsi="Arial" w:cs="Arial"/>
          <w:sz w:val="20"/>
        </w:rPr>
      </w:pPr>
      <w:r w:rsidRPr="006D5138">
        <w:rPr>
          <w:rFonts w:ascii="Arial" w:hAnsi="Arial" w:cs="Arial"/>
          <w:sz w:val="20"/>
        </w:rPr>
        <w:t>a specialist diabetes physician/paediatrician with experience in the selection and supervision of patients on insulin pumps</w:t>
      </w:r>
    </w:p>
    <w:p w:rsidR="0004637D" w:rsidRPr="006D5138" w:rsidRDefault="0004637D">
      <w:pPr>
        <w:numPr>
          <w:ilvl w:val="0"/>
          <w:numId w:val="22"/>
        </w:numPr>
        <w:jc w:val="both"/>
        <w:rPr>
          <w:rFonts w:ascii="Arial" w:hAnsi="Arial" w:cs="Arial"/>
          <w:sz w:val="20"/>
        </w:rPr>
      </w:pPr>
      <w:r w:rsidRPr="006D5138">
        <w:rPr>
          <w:rFonts w:ascii="Arial" w:hAnsi="Arial" w:cs="Arial"/>
          <w:sz w:val="20"/>
        </w:rPr>
        <w:t>a diabetes Nurse Educator trained in continuous glucose monitoring and insulin pump therapy</w:t>
      </w:r>
    </w:p>
    <w:p w:rsidR="0004637D" w:rsidRPr="006D5138" w:rsidRDefault="0004637D">
      <w:pPr>
        <w:numPr>
          <w:ilvl w:val="0"/>
          <w:numId w:val="22"/>
        </w:numPr>
        <w:jc w:val="both"/>
        <w:rPr>
          <w:rFonts w:ascii="Arial" w:hAnsi="Arial" w:cs="Arial"/>
          <w:sz w:val="20"/>
        </w:rPr>
      </w:pPr>
      <w:r w:rsidRPr="006D5138">
        <w:rPr>
          <w:rFonts w:ascii="Arial" w:hAnsi="Arial" w:cs="Arial"/>
          <w:sz w:val="20"/>
        </w:rPr>
        <w:t>a dietician with experience in providing appropriate dietary education for patients planning to use insulin pumps</w:t>
      </w:r>
    </w:p>
    <w:p w:rsidR="0004637D" w:rsidRPr="006D5138" w:rsidRDefault="0004637D">
      <w:pPr>
        <w:ind w:left="570" w:hanging="570"/>
        <w:jc w:val="both"/>
        <w:rPr>
          <w:rFonts w:ascii="Arial" w:hAnsi="Arial" w:cs="Arial"/>
          <w:sz w:val="20"/>
        </w:rPr>
      </w:pPr>
    </w:p>
    <w:p w:rsidR="0004637D" w:rsidRPr="006D5138" w:rsidRDefault="0004637D">
      <w:pPr>
        <w:spacing w:after="120"/>
        <w:ind w:left="573" w:hanging="573"/>
        <w:jc w:val="both"/>
        <w:rPr>
          <w:rFonts w:ascii="Arial" w:hAnsi="Arial" w:cs="Arial"/>
          <w:b/>
          <w:i/>
          <w:sz w:val="20"/>
        </w:rPr>
      </w:pPr>
      <w:r w:rsidRPr="006D5138">
        <w:rPr>
          <w:rFonts w:ascii="Arial" w:hAnsi="Arial" w:cs="Arial"/>
          <w:b/>
          <w:i/>
          <w:sz w:val="20"/>
        </w:rPr>
        <w:t>5.2</w:t>
      </w:r>
      <w:r w:rsidRPr="006D5138">
        <w:rPr>
          <w:rFonts w:ascii="Arial" w:hAnsi="Arial" w:cs="Arial"/>
          <w:b/>
          <w:i/>
          <w:sz w:val="20"/>
        </w:rPr>
        <w:tab/>
        <w:t>Settings</w:t>
      </w:r>
    </w:p>
    <w:p w:rsidR="0004637D" w:rsidRPr="006D5138" w:rsidRDefault="0004637D">
      <w:pPr>
        <w:pStyle w:val="BodyText2"/>
        <w:tabs>
          <w:tab w:val="clear" w:pos="0"/>
        </w:tabs>
        <w:spacing w:after="120"/>
        <w:rPr>
          <w:rFonts w:ascii="Arial" w:hAnsi="Arial" w:cs="Arial"/>
        </w:rPr>
      </w:pPr>
      <w:r w:rsidRPr="006D5138">
        <w:rPr>
          <w:rFonts w:ascii="Arial" w:hAnsi="Arial" w:cs="Arial"/>
        </w:rPr>
        <w:t xml:space="preserve">This service will be based in the 5 DHBs providing tertiary hospital services – </w:t>
      </w:r>
      <w:smartTag w:uri="urn:schemas-microsoft-com:office:smarttags" w:element="City">
        <w:r w:rsidRPr="006D5138">
          <w:rPr>
            <w:rFonts w:ascii="Arial" w:hAnsi="Arial" w:cs="Arial"/>
          </w:rPr>
          <w:t>Auckland</w:t>
        </w:r>
      </w:smartTag>
      <w:r w:rsidRPr="006D5138">
        <w:rPr>
          <w:rFonts w:ascii="Arial" w:hAnsi="Arial" w:cs="Arial"/>
        </w:rPr>
        <w:t xml:space="preserve">, Waikato, </w:t>
      </w:r>
      <w:smartTag w:uri="urn:schemas-microsoft-com:office:smarttags" w:element="City">
        <w:r w:rsidRPr="006D5138">
          <w:rPr>
            <w:rFonts w:ascii="Arial" w:hAnsi="Arial" w:cs="Arial"/>
          </w:rPr>
          <w:t>Wellington</w:t>
        </w:r>
      </w:smartTag>
      <w:r w:rsidRPr="006D5138">
        <w:rPr>
          <w:rFonts w:ascii="Arial" w:hAnsi="Arial" w:cs="Arial"/>
        </w:rPr>
        <w:t xml:space="preserve">, </w:t>
      </w:r>
      <w:smartTag w:uri="urn:schemas-microsoft-com:office:smarttags" w:element="City">
        <w:smartTag w:uri="urn:schemas-microsoft-com:office:smarttags" w:element="place">
          <w:r w:rsidRPr="006D5138">
            <w:rPr>
              <w:rFonts w:ascii="Arial" w:hAnsi="Arial" w:cs="Arial"/>
            </w:rPr>
            <w:t>Canterbury</w:t>
          </w:r>
        </w:smartTag>
      </w:smartTag>
      <w:r w:rsidRPr="006D5138">
        <w:rPr>
          <w:rFonts w:ascii="Arial" w:hAnsi="Arial" w:cs="Arial"/>
        </w:rPr>
        <w:t xml:space="preserve"> and Otago.</w:t>
      </w:r>
    </w:p>
    <w:p w:rsidR="0004637D" w:rsidRPr="006D5138" w:rsidRDefault="0004637D">
      <w:pPr>
        <w:ind w:left="570" w:hanging="570"/>
        <w:jc w:val="both"/>
        <w:rPr>
          <w:rFonts w:ascii="Arial" w:hAnsi="Arial" w:cs="Arial"/>
          <w:sz w:val="20"/>
        </w:rPr>
      </w:pPr>
    </w:p>
    <w:p w:rsidR="0004637D" w:rsidRPr="006D5138" w:rsidRDefault="0004637D">
      <w:pPr>
        <w:spacing w:after="120"/>
        <w:ind w:left="570" w:hanging="570"/>
        <w:jc w:val="both"/>
        <w:rPr>
          <w:rFonts w:ascii="Arial" w:hAnsi="Arial" w:cs="Arial"/>
          <w:b/>
          <w:sz w:val="20"/>
        </w:rPr>
      </w:pPr>
      <w:r w:rsidRPr="006D5138">
        <w:rPr>
          <w:rFonts w:ascii="Arial" w:hAnsi="Arial" w:cs="Arial"/>
          <w:b/>
          <w:sz w:val="20"/>
        </w:rPr>
        <w:t>5.3</w:t>
      </w:r>
      <w:r w:rsidRPr="006D5138">
        <w:rPr>
          <w:rFonts w:ascii="Arial" w:hAnsi="Arial" w:cs="Arial"/>
          <w:b/>
          <w:sz w:val="20"/>
        </w:rPr>
        <w:tab/>
        <w:t>Facilities</w:t>
      </w:r>
    </w:p>
    <w:p w:rsidR="0004637D" w:rsidRPr="006D5138" w:rsidRDefault="0004637D">
      <w:pPr>
        <w:pStyle w:val="BodyText2"/>
        <w:tabs>
          <w:tab w:val="clear" w:pos="0"/>
        </w:tabs>
        <w:spacing w:after="120"/>
        <w:rPr>
          <w:rFonts w:ascii="Arial" w:hAnsi="Arial" w:cs="Arial"/>
        </w:rPr>
      </w:pPr>
      <w:r w:rsidRPr="006D5138">
        <w:rPr>
          <w:rFonts w:ascii="Arial" w:hAnsi="Arial" w:cs="Arial"/>
        </w:rPr>
        <w:t>The service may offer insulin pumps or other special treatment modalities for which evidence of effectiveness is established in the future.</w:t>
      </w:r>
    </w:p>
    <w:p w:rsidR="0004637D" w:rsidRPr="006D5138" w:rsidRDefault="0004637D">
      <w:pPr>
        <w:pStyle w:val="BodyText2"/>
        <w:tabs>
          <w:tab w:val="clear" w:pos="0"/>
        </w:tabs>
        <w:rPr>
          <w:rFonts w:ascii="Arial" w:hAnsi="Arial" w:cs="Arial"/>
        </w:rPr>
      </w:pPr>
      <w:r w:rsidRPr="006D5138">
        <w:rPr>
          <w:rFonts w:ascii="Arial" w:hAnsi="Arial" w:cs="Arial"/>
        </w:rPr>
        <w:t>The service should also provide access to interstitial blood glucose monitoring equipment.</w:t>
      </w:r>
    </w:p>
    <w:p w:rsidR="0004637D" w:rsidRPr="006D5138" w:rsidRDefault="0004637D">
      <w:pPr>
        <w:ind w:left="570" w:hanging="570"/>
        <w:jc w:val="both"/>
        <w:rPr>
          <w:rFonts w:ascii="Arial" w:hAnsi="Arial" w:cs="Arial"/>
          <w:b/>
          <w:sz w:val="20"/>
        </w:rPr>
      </w:pPr>
    </w:p>
    <w:p w:rsidR="0004637D" w:rsidRPr="006D5138" w:rsidRDefault="0004637D">
      <w:pPr>
        <w:spacing w:after="120"/>
        <w:ind w:left="573" w:hanging="573"/>
        <w:jc w:val="both"/>
        <w:rPr>
          <w:rFonts w:ascii="Arial" w:hAnsi="Arial" w:cs="Arial"/>
          <w:b/>
          <w:sz w:val="20"/>
        </w:rPr>
      </w:pPr>
      <w:r w:rsidRPr="006D5138">
        <w:rPr>
          <w:rFonts w:ascii="Arial" w:hAnsi="Arial" w:cs="Arial"/>
          <w:b/>
          <w:sz w:val="20"/>
        </w:rPr>
        <w:t>6.</w:t>
      </w:r>
      <w:r w:rsidRPr="006D5138">
        <w:rPr>
          <w:rFonts w:ascii="Arial" w:hAnsi="Arial" w:cs="Arial"/>
          <w:b/>
          <w:sz w:val="20"/>
        </w:rPr>
        <w:tab/>
        <w:t>Service Linkages</w:t>
      </w:r>
    </w:p>
    <w:tbl>
      <w:tblPr>
        <w:tblW w:w="0" w:type="auto"/>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7"/>
        <w:gridCol w:w="2839"/>
        <w:gridCol w:w="2908"/>
      </w:tblGrid>
      <w:tr w:rsidR="0004637D" w:rsidRPr="006D5138">
        <w:tblPrEx>
          <w:tblCellMar>
            <w:top w:w="0" w:type="dxa"/>
            <w:bottom w:w="0" w:type="dxa"/>
          </w:tblCellMar>
        </w:tblPrEx>
        <w:tc>
          <w:tcPr>
            <w:tcW w:w="2967" w:type="dxa"/>
          </w:tcPr>
          <w:p w:rsidR="0004637D" w:rsidRPr="006D5138" w:rsidRDefault="0004637D">
            <w:pPr>
              <w:pStyle w:val="Heading3"/>
              <w:rPr>
                <w:rFonts w:ascii="Arial" w:hAnsi="Arial" w:cs="Arial"/>
              </w:rPr>
            </w:pPr>
            <w:r w:rsidRPr="006D5138">
              <w:rPr>
                <w:rFonts w:ascii="Arial" w:hAnsi="Arial" w:cs="Arial"/>
              </w:rPr>
              <w:t>Linked providers</w:t>
            </w:r>
          </w:p>
        </w:tc>
        <w:tc>
          <w:tcPr>
            <w:tcW w:w="2839" w:type="dxa"/>
          </w:tcPr>
          <w:p w:rsidR="0004637D" w:rsidRPr="006D5138" w:rsidRDefault="0004637D">
            <w:pPr>
              <w:spacing w:after="120"/>
              <w:jc w:val="both"/>
              <w:rPr>
                <w:rFonts w:ascii="Arial" w:hAnsi="Arial" w:cs="Arial"/>
                <w:b/>
                <w:bCs/>
                <w:sz w:val="20"/>
              </w:rPr>
            </w:pPr>
            <w:r w:rsidRPr="006D5138">
              <w:rPr>
                <w:rFonts w:ascii="Arial" w:hAnsi="Arial" w:cs="Arial"/>
                <w:b/>
                <w:bCs/>
                <w:sz w:val="20"/>
              </w:rPr>
              <w:t>Nature of linkages</w:t>
            </w:r>
          </w:p>
        </w:tc>
        <w:tc>
          <w:tcPr>
            <w:tcW w:w="2908" w:type="dxa"/>
          </w:tcPr>
          <w:p w:rsidR="0004637D" w:rsidRPr="006D5138" w:rsidRDefault="0004637D">
            <w:pPr>
              <w:spacing w:after="120"/>
              <w:jc w:val="both"/>
              <w:rPr>
                <w:rFonts w:ascii="Arial" w:hAnsi="Arial" w:cs="Arial"/>
                <w:b/>
                <w:bCs/>
                <w:sz w:val="20"/>
              </w:rPr>
            </w:pPr>
            <w:r w:rsidRPr="006D5138">
              <w:rPr>
                <w:rFonts w:ascii="Arial" w:hAnsi="Arial" w:cs="Arial"/>
                <w:b/>
                <w:bCs/>
                <w:sz w:val="20"/>
              </w:rPr>
              <w:t>Accountabilities associated with linkages</w:t>
            </w:r>
          </w:p>
        </w:tc>
      </w:tr>
      <w:tr w:rsidR="0004637D" w:rsidRPr="006D5138">
        <w:tblPrEx>
          <w:tblCellMar>
            <w:top w:w="0" w:type="dxa"/>
            <w:bottom w:w="0" w:type="dxa"/>
          </w:tblCellMar>
        </w:tblPrEx>
        <w:tc>
          <w:tcPr>
            <w:tcW w:w="2967" w:type="dxa"/>
          </w:tcPr>
          <w:p w:rsidR="0004637D" w:rsidRPr="006D5138" w:rsidRDefault="0004637D">
            <w:pPr>
              <w:numPr>
                <w:ilvl w:val="0"/>
                <w:numId w:val="16"/>
              </w:numPr>
              <w:spacing w:after="120"/>
              <w:jc w:val="both"/>
              <w:rPr>
                <w:rFonts w:ascii="Arial" w:hAnsi="Arial" w:cs="Arial"/>
                <w:sz w:val="20"/>
              </w:rPr>
            </w:pPr>
            <w:r w:rsidRPr="006D5138">
              <w:rPr>
                <w:rFonts w:ascii="Arial" w:hAnsi="Arial" w:cs="Arial"/>
                <w:sz w:val="20"/>
              </w:rPr>
              <w:t>Local Diabetes Team</w:t>
            </w:r>
          </w:p>
        </w:tc>
        <w:tc>
          <w:tcPr>
            <w:tcW w:w="2839" w:type="dxa"/>
          </w:tcPr>
          <w:p w:rsidR="0004637D" w:rsidRPr="006D5138" w:rsidRDefault="0004637D">
            <w:pPr>
              <w:spacing w:after="120"/>
              <w:jc w:val="both"/>
              <w:rPr>
                <w:rFonts w:ascii="Arial" w:hAnsi="Arial" w:cs="Arial"/>
                <w:sz w:val="20"/>
              </w:rPr>
            </w:pPr>
            <w:r w:rsidRPr="006D5138">
              <w:rPr>
                <w:rFonts w:ascii="Arial" w:hAnsi="Arial" w:cs="Arial"/>
                <w:sz w:val="20"/>
              </w:rPr>
              <w:t>Register of patients</w:t>
            </w:r>
          </w:p>
        </w:tc>
        <w:tc>
          <w:tcPr>
            <w:tcW w:w="2908" w:type="dxa"/>
          </w:tcPr>
          <w:p w:rsidR="0004637D" w:rsidRPr="006D5138" w:rsidRDefault="0004637D">
            <w:pPr>
              <w:spacing w:after="120"/>
              <w:jc w:val="both"/>
              <w:rPr>
                <w:rFonts w:ascii="Arial" w:hAnsi="Arial" w:cs="Arial"/>
                <w:sz w:val="20"/>
              </w:rPr>
            </w:pPr>
            <w:r w:rsidRPr="006D5138">
              <w:rPr>
                <w:rFonts w:ascii="Arial" w:hAnsi="Arial" w:cs="Arial"/>
                <w:sz w:val="20"/>
              </w:rPr>
              <w:t>Annual report</w:t>
            </w:r>
          </w:p>
        </w:tc>
      </w:tr>
    </w:tbl>
    <w:p w:rsidR="0004637D" w:rsidRPr="006D5138" w:rsidRDefault="0004637D">
      <w:pPr>
        <w:spacing w:after="120"/>
        <w:ind w:left="573" w:hanging="573"/>
        <w:jc w:val="both"/>
        <w:rPr>
          <w:rFonts w:ascii="Arial" w:hAnsi="Arial" w:cs="Arial"/>
          <w:sz w:val="20"/>
        </w:rPr>
      </w:pPr>
    </w:p>
    <w:p w:rsidR="0004637D" w:rsidRPr="006D5138" w:rsidRDefault="0004637D">
      <w:pPr>
        <w:jc w:val="both"/>
        <w:rPr>
          <w:rFonts w:ascii="Arial" w:hAnsi="Arial" w:cs="Arial"/>
          <w:b/>
          <w:sz w:val="20"/>
        </w:rPr>
      </w:pPr>
      <w:r w:rsidRPr="006D5138">
        <w:rPr>
          <w:rFonts w:ascii="Arial" w:hAnsi="Arial" w:cs="Arial"/>
          <w:b/>
          <w:sz w:val="20"/>
        </w:rPr>
        <w:t>7.</w:t>
      </w:r>
      <w:r w:rsidRPr="006D5138">
        <w:rPr>
          <w:rFonts w:ascii="Arial" w:hAnsi="Arial" w:cs="Arial"/>
          <w:b/>
          <w:sz w:val="20"/>
        </w:rPr>
        <w:tab/>
        <w:t>Quality Requirements</w:t>
      </w:r>
    </w:p>
    <w:p w:rsidR="0004637D" w:rsidRPr="006D5138" w:rsidRDefault="0004637D">
      <w:pPr>
        <w:spacing w:after="120"/>
        <w:ind w:left="570" w:hanging="570"/>
        <w:jc w:val="both"/>
        <w:rPr>
          <w:rFonts w:ascii="Arial" w:hAnsi="Arial" w:cs="Arial"/>
          <w:b/>
          <w:i/>
          <w:sz w:val="20"/>
        </w:rPr>
      </w:pPr>
      <w:r w:rsidRPr="006D5138">
        <w:rPr>
          <w:rFonts w:ascii="Arial" w:hAnsi="Arial" w:cs="Arial"/>
          <w:b/>
          <w:i/>
          <w:sz w:val="20"/>
        </w:rPr>
        <w:t>7.1</w:t>
      </w:r>
      <w:r w:rsidRPr="006D5138">
        <w:rPr>
          <w:rFonts w:ascii="Arial" w:hAnsi="Arial" w:cs="Arial"/>
          <w:b/>
          <w:i/>
          <w:sz w:val="20"/>
        </w:rPr>
        <w:tab/>
        <w:t>General</w:t>
      </w:r>
    </w:p>
    <w:p w:rsidR="0004637D" w:rsidRPr="006D5138" w:rsidRDefault="0004637D">
      <w:pPr>
        <w:pStyle w:val="BodyText2"/>
        <w:tabs>
          <w:tab w:val="clear" w:pos="0"/>
        </w:tabs>
        <w:spacing w:after="120"/>
        <w:rPr>
          <w:rFonts w:ascii="Arial" w:hAnsi="Arial" w:cs="Arial"/>
        </w:rPr>
      </w:pPr>
      <w:r w:rsidRPr="006D5138">
        <w:rPr>
          <w:rFonts w:ascii="Arial" w:hAnsi="Arial" w:cs="Arial"/>
        </w:rPr>
        <w:t xml:space="preserve">This service is required to comply with the </w:t>
      </w:r>
      <w:r w:rsidRPr="006D5138">
        <w:rPr>
          <w:rFonts w:ascii="Arial" w:hAnsi="Arial" w:cs="Arial"/>
          <w:szCs w:val="20"/>
          <w:lang w:val="en-US"/>
        </w:rPr>
        <w:t xml:space="preserve">Provider Quality Specifications in the overarching Specialist Medical and Surgical and </w:t>
      </w:r>
      <w:r w:rsidR="00B97FBD">
        <w:rPr>
          <w:rFonts w:ascii="Arial" w:hAnsi="Arial" w:cs="Arial"/>
          <w:szCs w:val="20"/>
          <w:lang w:val="en-US"/>
        </w:rPr>
        <w:t>Services for Children and Young People Service Specifications.</w:t>
      </w:r>
    </w:p>
    <w:p w:rsidR="0004637D" w:rsidRPr="006D5138" w:rsidRDefault="0004637D">
      <w:pPr>
        <w:pStyle w:val="BodyText2"/>
        <w:tabs>
          <w:tab w:val="clear" w:pos="0"/>
        </w:tabs>
        <w:rPr>
          <w:rFonts w:ascii="Arial" w:hAnsi="Arial" w:cs="Arial"/>
        </w:rPr>
      </w:pPr>
    </w:p>
    <w:p w:rsidR="0004637D" w:rsidRPr="006D5138" w:rsidRDefault="0004637D">
      <w:pPr>
        <w:ind w:left="570" w:hanging="570"/>
        <w:jc w:val="both"/>
        <w:rPr>
          <w:rFonts w:ascii="Arial" w:hAnsi="Arial" w:cs="Arial"/>
          <w:b/>
          <w:sz w:val="20"/>
        </w:rPr>
      </w:pPr>
      <w:r w:rsidRPr="006D5138">
        <w:rPr>
          <w:rFonts w:ascii="Arial" w:hAnsi="Arial" w:cs="Arial"/>
          <w:b/>
          <w:sz w:val="20"/>
        </w:rPr>
        <w:t>8.</w:t>
      </w:r>
      <w:r w:rsidRPr="006D5138">
        <w:rPr>
          <w:rFonts w:ascii="Arial" w:hAnsi="Arial" w:cs="Arial"/>
          <w:b/>
          <w:sz w:val="20"/>
        </w:rPr>
        <w:tab/>
        <w:t>Reporting requirements</w:t>
      </w:r>
    </w:p>
    <w:p w:rsidR="0004637D" w:rsidRPr="006D5138" w:rsidRDefault="0004637D">
      <w:pPr>
        <w:tabs>
          <w:tab w:val="left" w:pos="570"/>
        </w:tabs>
        <w:spacing w:after="120"/>
        <w:jc w:val="both"/>
        <w:rPr>
          <w:rFonts w:ascii="Arial" w:hAnsi="Arial" w:cs="Arial"/>
          <w:sz w:val="20"/>
        </w:rPr>
      </w:pPr>
      <w:r w:rsidRPr="006D5138">
        <w:rPr>
          <w:rFonts w:ascii="Arial" w:hAnsi="Arial" w:cs="Arial"/>
          <w:b/>
          <w:i/>
          <w:sz w:val="20"/>
        </w:rPr>
        <w:t>8.1</w:t>
      </w:r>
      <w:r w:rsidRPr="006D5138">
        <w:rPr>
          <w:rFonts w:ascii="Arial" w:hAnsi="Arial" w:cs="Arial"/>
          <w:b/>
          <w:i/>
          <w:sz w:val="20"/>
        </w:rPr>
        <w:tab/>
        <w:t>Purchase units</w:t>
      </w:r>
    </w:p>
    <w:p w:rsidR="0004637D" w:rsidRPr="006D5138" w:rsidRDefault="0004637D">
      <w:pPr>
        <w:pStyle w:val="BodyText2"/>
        <w:tabs>
          <w:tab w:val="clear" w:pos="0"/>
        </w:tabs>
        <w:spacing w:after="120"/>
        <w:rPr>
          <w:rFonts w:ascii="Arial" w:hAnsi="Arial" w:cs="Arial"/>
        </w:rPr>
      </w:pPr>
      <w:r w:rsidRPr="006D5138">
        <w:rPr>
          <w:rFonts w:ascii="Arial" w:hAnsi="Arial" w:cs="Arial"/>
        </w:rPr>
        <w:t>M20010 is the purchase unit as defined in the Data Dictionary applying to all age groups of people requiring High Risk type 1 Diabetes Assessment and Support.</w:t>
      </w:r>
    </w:p>
    <w:p w:rsidR="0004637D" w:rsidRPr="006D5138" w:rsidRDefault="0004637D">
      <w:pPr>
        <w:pStyle w:val="BodyText2"/>
        <w:tabs>
          <w:tab w:val="clear" w:pos="0"/>
        </w:tabs>
        <w:spacing w:after="120"/>
        <w:rPr>
          <w:rFonts w:ascii="Arial" w:hAnsi="Arial" w:cs="Arial"/>
        </w:rPr>
      </w:pPr>
      <w:r w:rsidRPr="006D5138">
        <w:rPr>
          <w:rFonts w:ascii="Arial" w:hAnsi="Arial" w:cs="Arial"/>
        </w:rPr>
        <w:t>M20015 is the purchase unit as defined in the Data Dictionary for additional funding for children and young people up to 18 years of age requiring High Risk type 1 Diabetes Assessment and Support.</w:t>
      </w:r>
    </w:p>
    <w:p w:rsidR="0004637D" w:rsidRPr="006D5138" w:rsidRDefault="0004637D">
      <w:pPr>
        <w:spacing w:after="120"/>
        <w:ind w:left="570" w:hanging="570"/>
        <w:jc w:val="both"/>
        <w:rPr>
          <w:rFonts w:ascii="Arial" w:hAnsi="Arial" w:cs="Arial"/>
          <w:b/>
          <w:i/>
          <w:sz w:val="20"/>
        </w:rPr>
      </w:pPr>
      <w:r w:rsidRPr="006D5138">
        <w:rPr>
          <w:rFonts w:ascii="Arial" w:hAnsi="Arial" w:cs="Arial"/>
          <w:b/>
          <w:i/>
          <w:sz w:val="20"/>
        </w:rPr>
        <w:t>8.2</w:t>
      </w:r>
      <w:r w:rsidRPr="006D5138">
        <w:rPr>
          <w:rFonts w:ascii="Arial" w:hAnsi="Arial" w:cs="Arial"/>
          <w:b/>
          <w:i/>
          <w:sz w:val="20"/>
        </w:rPr>
        <w:tab/>
        <w:t>Information reporting requirement</w:t>
      </w:r>
    </w:p>
    <w:p w:rsidR="0004637D" w:rsidRPr="006D5138" w:rsidRDefault="0004637D">
      <w:pPr>
        <w:spacing w:after="120"/>
        <w:jc w:val="both"/>
        <w:rPr>
          <w:rFonts w:ascii="Arial" w:hAnsi="Arial" w:cs="Arial"/>
          <w:sz w:val="20"/>
        </w:rPr>
      </w:pPr>
      <w:r w:rsidRPr="006D5138">
        <w:rPr>
          <w:rFonts w:ascii="Arial" w:hAnsi="Arial" w:cs="Arial"/>
          <w:sz w:val="20"/>
        </w:rPr>
        <w:t>For each referral the service must maintain a register that includes:</w:t>
      </w:r>
    </w:p>
    <w:p w:rsidR="0004637D" w:rsidRPr="006D5138" w:rsidRDefault="0004637D">
      <w:pPr>
        <w:numPr>
          <w:ilvl w:val="0"/>
          <w:numId w:val="11"/>
        </w:numPr>
        <w:tabs>
          <w:tab w:val="clear" w:pos="720"/>
          <w:tab w:val="num" w:pos="570"/>
        </w:tabs>
        <w:ind w:left="570" w:hanging="570"/>
        <w:jc w:val="both"/>
        <w:rPr>
          <w:rFonts w:ascii="Arial" w:hAnsi="Arial" w:cs="Arial"/>
          <w:sz w:val="20"/>
        </w:rPr>
      </w:pPr>
      <w:r w:rsidRPr="006D5138">
        <w:rPr>
          <w:rFonts w:ascii="Arial" w:hAnsi="Arial" w:cs="Arial"/>
          <w:sz w:val="20"/>
        </w:rPr>
        <w:t>the NHI and patient demographics including ethnicity.</w:t>
      </w:r>
    </w:p>
    <w:p w:rsidR="0004637D" w:rsidRPr="006D5138" w:rsidRDefault="0004637D">
      <w:pPr>
        <w:numPr>
          <w:ilvl w:val="0"/>
          <w:numId w:val="11"/>
        </w:numPr>
        <w:tabs>
          <w:tab w:val="clear" w:pos="720"/>
          <w:tab w:val="num" w:pos="570"/>
        </w:tabs>
        <w:ind w:left="570" w:hanging="570"/>
        <w:jc w:val="both"/>
        <w:rPr>
          <w:rFonts w:ascii="Arial" w:hAnsi="Arial" w:cs="Arial"/>
          <w:sz w:val="20"/>
        </w:rPr>
      </w:pPr>
      <w:r w:rsidRPr="006D5138">
        <w:rPr>
          <w:rFonts w:ascii="Arial" w:hAnsi="Arial" w:cs="Arial"/>
          <w:sz w:val="20"/>
        </w:rPr>
        <w:t>the indications for referral (using the referral criteria in this service specification).</w:t>
      </w:r>
    </w:p>
    <w:p w:rsidR="0004637D" w:rsidRPr="006D5138" w:rsidRDefault="0004637D">
      <w:pPr>
        <w:numPr>
          <w:ilvl w:val="0"/>
          <w:numId w:val="11"/>
        </w:numPr>
        <w:tabs>
          <w:tab w:val="clear" w:pos="720"/>
          <w:tab w:val="num" w:pos="570"/>
        </w:tabs>
        <w:ind w:left="570" w:hanging="570"/>
        <w:jc w:val="both"/>
        <w:rPr>
          <w:rFonts w:ascii="Arial" w:hAnsi="Arial" w:cs="Arial"/>
          <w:sz w:val="20"/>
        </w:rPr>
      </w:pPr>
      <w:r w:rsidRPr="006D5138">
        <w:rPr>
          <w:rFonts w:ascii="Arial" w:hAnsi="Arial" w:cs="Arial"/>
          <w:sz w:val="20"/>
        </w:rPr>
        <w:t>the report and outcome from an assessment using continuous glucose monitoring (if applicable).</w:t>
      </w:r>
    </w:p>
    <w:p w:rsidR="0004637D" w:rsidRPr="006D5138" w:rsidRDefault="0004637D">
      <w:pPr>
        <w:numPr>
          <w:ilvl w:val="0"/>
          <w:numId w:val="11"/>
        </w:numPr>
        <w:tabs>
          <w:tab w:val="clear" w:pos="720"/>
          <w:tab w:val="num" w:pos="570"/>
        </w:tabs>
        <w:ind w:left="570" w:hanging="570"/>
        <w:jc w:val="both"/>
        <w:rPr>
          <w:rFonts w:ascii="Arial" w:hAnsi="Arial" w:cs="Arial"/>
          <w:sz w:val="20"/>
        </w:rPr>
      </w:pPr>
      <w:r w:rsidRPr="006D5138">
        <w:rPr>
          <w:rFonts w:ascii="Arial" w:hAnsi="Arial" w:cs="Arial"/>
          <w:sz w:val="20"/>
        </w:rPr>
        <w:t>the final treatment (including optimised MDI, insulin pump, other specific treatment modalities, or assessment and treatment not completed).</w:t>
      </w:r>
    </w:p>
    <w:p w:rsidR="0004637D" w:rsidRPr="006D5138" w:rsidRDefault="0004637D">
      <w:pPr>
        <w:jc w:val="both"/>
        <w:rPr>
          <w:rFonts w:ascii="Arial" w:hAnsi="Arial" w:cs="Arial"/>
          <w:sz w:val="20"/>
        </w:rPr>
      </w:pPr>
    </w:p>
    <w:p w:rsidR="0004637D" w:rsidRPr="006D5138" w:rsidRDefault="0004637D">
      <w:pPr>
        <w:tabs>
          <w:tab w:val="left" w:pos="570"/>
        </w:tabs>
        <w:jc w:val="both"/>
        <w:rPr>
          <w:rFonts w:ascii="Arial" w:hAnsi="Arial" w:cs="Arial"/>
          <w:b/>
          <w:i/>
          <w:sz w:val="20"/>
        </w:rPr>
      </w:pPr>
      <w:r w:rsidRPr="006D5138">
        <w:rPr>
          <w:rFonts w:ascii="Arial" w:hAnsi="Arial" w:cs="Arial"/>
          <w:b/>
          <w:i/>
          <w:sz w:val="20"/>
        </w:rPr>
        <w:t>8.3</w:t>
      </w:r>
      <w:r w:rsidRPr="006D5138">
        <w:rPr>
          <w:rFonts w:ascii="Arial" w:hAnsi="Arial" w:cs="Arial"/>
          <w:b/>
          <w:i/>
          <w:sz w:val="20"/>
        </w:rPr>
        <w:tab/>
        <w:t>Annual reporting requirements</w:t>
      </w:r>
    </w:p>
    <w:p w:rsidR="0004637D" w:rsidRPr="006D5138" w:rsidRDefault="0004637D">
      <w:pPr>
        <w:jc w:val="both"/>
        <w:rPr>
          <w:rFonts w:ascii="Arial" w:hAnsi="Arial" w:cs="Arial"/>
          <w:sz w:val="20"/>
        </w:rPr>
      </w:pPr>
    </w:p>
    <w:p w:rsidR="0004637D" w:rsidRDefault="0004637D">
      <w:pPr>
        <w:jc w:val="both"/>
        <w:rPr>
          <w:rFonts w:ascii="Arial" w:hAnsi="Arial" w:cs="Arial"/>
          <w:sz w:val="20"/>
        </w:rPr>
      </w:pPr>
      <w:r w:rsidRPr="006D5138">
        <w:rPr>
          <w:rFonts w:ascii="Arial" w:hAnsi="Arial" w:cs="Arial"/>
          <w:sz w:val="20"/>
        </w:rPr>
        <w:t xml:space="preserve">Each year, the service must report to </w:t>
      </w:r>
      <w:r w:rsidR="00B97FBD">
        <w:rPr>
          <w:rFonts w:ascii="Arial" w:hAnsi="Arial" w:cs="Arial"/>
          <w:sz w:val="20"/>
        </w:rPr>
        <w:t>Sector Services</w:t>
      </w:r>
      <w:r w:rsidRPr="006D5138">
        <w:rPr>
          <w:rFonts w:ascii="Arial" w:hAnsi="Arial" w:cs="Arial"/>
          <w:sz w:val="20"/>
        </w:rPr>
        <w:t xml:space="preserve">, </w:t>
      </w:r>
      <w:smartTag w:uri="urn:schemas-microsoft-com:office:smarttags" w:element="place">
        <w:smartTag w:uri="urn:schemas-microsoft-com:office:smarttags" w:element="City">
          <w:r w:rsidRPr="006D5138">
            <w:rPr>
              <w:rFonts w:ascii="Arial" w:hAnsi="Arial" w:cs="Arial"/>
              <w:sz w:val="20"/>
            </w:rPr>
            <w:t>Dunedin</w:t>
          </w:r>
        </w:smartTag>
      </w:smartTag>
      <w:r w:rsidRPr="006D5138">
        <w:rPr>
          <w:rFonts w:ascii="Arial" w:hAnsi="Arial" w:cs="Arial"/>
          <w:sz w:val="20"/>
        </w:rPr>
        <w:t xml:space="preserve"> and </w:t>
      </w:r>
      <w:r w:rsidR="00B97FBD">
        <w:rPr>
          <w:rFonts w:ascii="Arial" w:hAnsi="Arial" w:cs="Arial"/>
          <w:sz w:val="20"/>
        </w:rPr>
        <w:t>the Local Diabetes Team or equi</w:t>
      </w:r>
      <w:r w:rsidR="00D004C2">
        <w:rPr>
          <w:rFonts w:ascii="Arial" w:hAnsi="Arial" w:cs="Arial"/>
          <w:sz w:val="20"/>
        </w:rPr>
        <w:t>valent</w:t>
      </w:r>
      <w:r w:rsidR="00B97FBD">
        <w:rPr>
          <w:rFonts w:ascii="Arial" w:hAnsi="Arial" w:cs="Arial"/>
          <w:sz w:val="20"/>
        </w:rPr>
        <w:t xml:space="preserve"> service in the region</w:t>
      </w:r>
      <w:r w:rsidR="00D004C2">
        <w:rPr>
          <w:rFonts w:ascii="Arial" w:hAnsi="Arial" w:cs="Arial"/>
          <w:sz w:val="20"/>
        </w:rPr>
        <w:t>:</w:t>
      </w:r>
    </w:p>
    <w:p w:rsidR="00D004C2" w:rsidRPr="006D5138" w:rsidRDefault="00D004C2" w:rsidP="00D004C2">
      <w:pPr>
        <w:numPr>
          <w:ilvl w:val="0"/>
          <w:numId w:val="23"/>
        </w:numPr>
        <w:jc w:val="both"/>
        <w:rPr>
          <w:rFonts w:ascii="Arial" w:hAnsi="Arial" w:cs="Arial"/>
          <w:sz w:val="20"/>
        </w:rPr>
      </w:pPr>
      <w:r>
        <w:rPr>
          <w:rFonts w:ascii="Arial" w:hAnsi="Arial" w:cs="Arial"/>
          <w:sz w:val="20"/>
        </w:rPr>
        <w:t>free annual review for individuals with diabetes.</w:t>
      </w:r>
    </w:p>
    <w:p w:rsidR="0004637D" w:rsidRPr="006D5138" w:rsidRDefault="0004637D">
      <w:pPr>
        <w:jc w:val="both"/>
        <w:rPr>
          <w:rFonts w:ascii="Arial" w:hAnsi="Arial" w:cs="Arial"/>
        </w:rPr>
      </w:pPr>
    </w:p>
    <w:sectPr w:rsidR="0004637D" w:rsidRPr="006D5138">
      <w:footerReference w:type="default" r:id="rId10"/>
      <w:pgSz w:w="11907" w:h="16840" w:code="9"/>
      <w:pgMar w:top="1418" w:right="1418" w:bottom="1418" w:left="1418" w:header="720" w:footer="720"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8A9" w:rsidRDefault="008E68A9">
      <w:r>
        <w:separator/>
      </w:r>
    </w:p>
  </w:endnote>
  <w:endnote w:type="continuationSeparator" w:id="0">
    <w:p w:rsidR="008E68A9" w:rsidRDefault="008E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Arial M">
    <w:panose1 w:val="00000000000000000000"/>
    <w:charset w:val="00"/>
    <w:family w:val="auto"/>
    <w:notTrueType/>
    <w:pitch w:val="default"/>
    <w:sig w:usb0="00000003" w:usb1="00000000" w:usb2="00000000" w:usb3="00000000" w:csb0="00000001" w:csb1="00000000"/>
  </w:font>
  <w:font w:name="Times New Roman M">
    <w:panose1 w:val="00000000000000000000"/>
    <w:charset w:val="00"/>
    <w:family w:val="auto"/>
    <w:notTrueType/>
    <w:pitch w:val="default"/>
    <w:sig w:usb0="00000003" w:usb1="00000000" w:usb2="00000000" w:usb3="00000000" w:csb0="00000001" w:csb1="00000000"/>
  </w:font>
  <w:font w:name="Times New Roman Mäori">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C7" w:rsidRDefault="00DB02C7">
    <w:pPr>
      <w:pStyle w:val="Footer"/>
      <w:pBdr>
        <w:top w:val="single" w:sz="6" w:space="1" w:color="000000"/>
      </w:pBdr>
      <w:tabs>
        <w:tab w:val="clear" w:pos="8306"/>
        <w:tab w:val="right" w:pos="9072"/>
      </w:tabs>
      <w:rPr>
        <w:rFonts w:ascii="Arial Mäori" w:hAnsi="Arial Mäori" w:cs="Arial Mäori"/>
        <w:sz w:val="18"/>
      </w:rPr>
    </w:pPr>
    <w:r>
      <w:rPr>
        <w:rFonts w:ascii="Arial Mäori" w:hAnsi="Arial Mäori" w:cs="Arial Mäori"/>
        <w:sz w:val="18"/>
      </w:rPr>
      <w:t xml:space="preserve">Specialist Medical and Surgical Services, Diabetes Services- Assessment and Support for </w:t>
    </w:r>
    <w:r w:rsidR="00B97FBD">
      <w:rPr>
        <w:rFonts w:ascii="Arial Mäori" w:hAnsi="Arial Mäori" w:cs="Arial Mäori"/>
        <w:sz w:val="18"/>
      </w:rPr>
      <w:t>P</w:t>
    </w:r>
    <w:r>
      <w:rPr>
        <w:rFonts w:ascii="Arial Mäori" w:hAnsi="Arial Mäori" w:cs="Arial Mäori"/>
        <w:sz w:val="18"/>
      </w:rPr>
      <w:t xml:space="preserve">eople with </w:t>
    </w:r>
    <w:r w:rsidR="00B97FBD">
      <w:rPr>
        <w:rFonts w:ascii="Arial Mäori" w:hAnsi="Arial Mäori" w:cs="Arial Mäori"/>
        <w:sz w:val="18"/>
      </w:rPr>
      <w:t>H</w:t>
    </w:r>
    <w:r>
      <w:rPr>
        <w:rFonts w:ascii="Arial Mäori" w:hAnsi="Arial Mäori" w:cs="Arial Mäori"/>
        <w:sz w:val="18"/>
      </w:rPr>
      <w:t xml:space="preserve">igh </w:t>
    </w:r>
    <w:r w:rsidR="00B97FBD">
      <w:rPr>
        <w:rFonts w:ascii="Arial Mäori" w:hAnsi="Arial Mäori" w:cs="Arial Mäori"/>
        <w:sz w:val="18"/>
      </w:rPr>
      <w:t>R</w:t>
    </w:r>
    <w:r>
      <w:rPr>
        <w:rFonts w:ascii="Arial Mäori" w:hAnsi="Arial Mäori" w:cs="Arial Mäori"/>
        <w:sz w:val="18"/>
      </w:rPr>
      <w:t xml:space="preserve">isk </w:t>
    </w:r>
    <w:r w:rsidR="00B97FBD">
      <w:rPr>
        <w:rFonts w:ascii="Arial Mäori" w:hAnsi="Arial Mäori" w:cs="Arial Mäori"/>
        <w:sz w:val="18"/>
      </w:rPr>
      <w:t>T</w:t>
    </w:r>
    <w:r>
      <w:rPr>
        <w:rFonts w:ascii="Arial Mäori" w:hAnsi="Arial Mäori" w:cs="Arial Mäori"/>
        <w:sz w:val="18"/>
      </w:rPr>
      <w:t xml:space="preserve">ype 1 </w:t>
    </w:r>
    <w:r w:rsidR="00B97FBD">
      <w:rPr>
        <w:rFonts w:ascii="Arial Mäori" w:hAnsi="Arial Mäori" w:cs="Arial Mäori"/>
        <w:sz w:val="18"/>
      </w:rPr>
      <w:t>Diabetes (insulin pumps) T</w:t>
    </w:r>
    <w:r>
      <w:rPr>
        <w:rFonts w:ascii="Arial Mäori" w:hAnsi="Arial Mäori" w:cs="Arial Mäori"/>
        <w:sz w:val="18"/>
      </w:rPr>
      <w:t xml:space="preserve">ier </w:t>
    </w:r>
    <w:r w:rsidR="00B97FBD">
      <w:rPr>
        <w:rFonts w:ascii="Arial Mäori" w:hAnsi="Arial Mäori" w:cs="Arial Mäori"/>
        <w:sz w:val="18"/>
      </w:rPr>
      <w:t>T</w:t>
    </w:r>
    <w:r>
      <w:rPr>
        <w:rFonts w:ascii="Arial Mäori" w:hAnsi="Arial Mäori" w:cs="Arial Mäori"/>
        <w:sz w:val="18"/>
      </w:rPr>
      <w:t xml:space="preserve">hree </w:t>
    </w:r>
    <w:r w:rsidR="00B97FBD">
      <w:rPr>
        <w:rFonts w:ascii="Arial Mäori" w:hAnsi="Arial Mäori" w:cs="Arial Mäori"/>
        <w:sz w:val="18"/>
      </w:rPr>
      <w:t>S</w:t>
    </w:r>
    <w:r>
      <w:rPr>
        <w:rFonts w:ascii="Arial Mäori" w:hAnsi="Arial Mäori" w:cs="Arial Mäori"/>
        <w:sz w:val="18"/>
      </w:rPr>
      <w:t xml:space="preserve">ervice </w:t>
    </w:r>
    <w:r w:rsidR="00B97FBD">
      <w:rPr>
        <w:rFonts w:ascii="Arial Mäori" w:hAnsi="Arial Mäori" w:cs="Arial Mäori"/>
        <w:sz w:val="18"/>
      </w:rPr>
      <w:t>S</w:t>
    </w:r>
    <w:r>
      <w:rPr>
        <w:rFonts w:ascii="Arial Mäori" w:hAnsi="Arial Mäori" w:cs="Arial Mäori"/>
        <w:sz w:val="18"/>
      </w:rPr>
      <w:t>pecification</w:t>
    </w:r>
    <w:r w:rsidRPr="00041D56">
      <w:rPr>
        <w:rFonts w:ascii="Arial Mäori" w:hAnsi="Arial Mäori" w:cs="Arial Mäori"/>
        <w:sz w:val="18"/>
      </w:rPr>
      <w:t xml:space="preserve"> </w:t>
    </w:r>
    <w:r w:rsidR="00B97FBD">
      <w:rPr>
        <w:rFonts w:ascii="Arial Mäori" w:hAnsi="Arial Mäori" w:cs="Arial Mäori"/>
        <w:sz w:val="18"/>
      </w:rPr>
      <w:t>December</w:t>
    </w:r>
    <w:r>
      <w:rPr>
        <w:rFonts w:ascii="Arial Mäori" w:hAnsi="Arial Mäori" w:cs="Arial Mäori"/>
        <w:sz w:val="18"/>
      </w:rPr>
      <w:t xml:space="preserve"> 2003</w:t>
    </w:r>
  </w:p>
  <w:p w:rsidR="00DB02C7" w:rsidRDefault="00DB02C7">
    <w:pPr>
      <w:pStyle w:val="Footer"/>
      <w:tabs>
        <w:tab w:val="clear" w:pos="8306"/>
        <w:tab w:val="right" w:pos="9072"/>
      </w:tabs>
      <w:rPr>
        <w:rFonts w:ascii="Arial Mäori" w:hAnsi="Arial Mäori" w:cs="Arial Mäori"/>
        <w:sz w:val="18"/>
      </w:rPr>
    </w:pPr>
    <w:r>
      <w:rPr>
        <w:rFonts w:ascii="Arial Mäori" w:hAnsi="Arial Mäori" w:cs="Arial Mäori"/>
        <w:sz w:val="18"/>
      </w:rPr>
      <w:t>Nationwide Service Framework</w:t>
    </w:r>
    <w:r>
      <w:rPr>
        <w:rFonts w:ascii="Arial Mäori" w:hAnsi="Arial Mäori" w:cs="Arial Mäori"/>
        <w:sz w:val="18"/>
      </w:rPr>
      <w:tab/>
    </w:r>
    <w:r>
      <w:rPr>
        <w:rFonts w:ascii="Arial Mäori" w:hAnsi="Arial Mäori" w:cs="Arial Mäori"/>
        <w:sz w:val="18"/>
      </w:rPr>
      <w:tab/>
    </w:r>
    <w:r>
      <w:rPr>
        <w:rStyle w:val="PageNumber"/>
        <w:rFonts w:ascii="Arial Mäori" w:hAnsi="Arial Mäori"/>
        <w:sz w:val="18"/>
      </w:rPr>
      <w:fldChar w:fldCharType="begin"/>
    </w:r>
    <w:r>
      <w:rPr>
        <w:rStyle w:val="PageNumber"/>
        <w:rFonts w:ascii="Arial Mäori" w:hAnsi="Arial Mäori"/>
        <w:sz w:val="18"/>
      </w:rPr>
      <w:instrText xml:space="preserve"> PAGE </w:instrText>
    </w:r>
    <w:r>
      <w:rPr>
        <w:rStyle w:val="PageNumber"/>
        <w:rFonts w:ascii="Arial Mäori" w:hAnsi="Arial Mäori"/>
        <w:sz w:val="18"/>
      </w:rPr>
      <w:fldChar w:fldCharType="separate"/>
    </w:r>
    <w:r w:rsidR="009032AC">
      <w:rPr>
        <w:rStyle w:val="PageNumber"/>
        <w:rFonts w:ascii="Arial Mäori" w:hAnsi="Arial Mäori"/>
        <w:noProof/>
        <w:sz w:val="18"/>
      </w:rPr>
      <w:t>1</w:t>
    </w:r>
    <w:r>
      <w:rPr>
        <w:rStyle w:val="PageNumber"/>
        <w:rFonts w:ascii="Arial Mäori" w:hAnsi="Arial Mäor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8A9" w:rsidRDefault="008E68A9">
      <w:r>
        <w:separator/>
      </w:r>
    </w:p>
  </w:footnote>
  <w:footnote w:type="continuationSeparator" w:id="0">
    <w:p w:rsidR="008E68A9" w:rsidRDefault="008E6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F680032"/>
    <w:lvl w:ilvl="0">
      <w:start w:val="1"/>
      <w:numFmt w:val="decimal"/>
      <w:lvlText w:val="%1."/>
      <w:lvlJc w:val="left"/>
      <w:pPr>
        <w:tabs>
          <w:tab w:val="num" w:pos="567"/>
        </w:tabs>
        <w:ind w:left="567" w:hanging="567"/>
      </w:pPr>
    </w:lvl>
    <w:lvl w:ilvl="1">
      <w:start w:val="1"/>
      <w:numFmt w:val="decimal"/>
      <w:lvlText w:val="%1.%2."/>
      <w:lvlJc w:val="left"/>
      <w:pPr>
        <w:tabs>
          <w:tab w:val="num" w:pos="720"/>
        </w:tabs>
        <w:ind w:left="0" w:firstLine="0"/>
      </w:pPr>
    </w:lvl>
    <w:lvl w:ilvl="2">
      <w:numFmt w:val="none"/>
      <w:lvlText w:val=""/>
      <w:lvlJc w:val="left"/>
      <w:pPr>
        <w:tabs>
          <w:tab w:val="num" w:pos="360"/>
        </w:tabs>
        <w:ind w:left="0" w:firstLine="0"/>
      </w:pPr>
    </w:lvl>
    <w:lvl w:ilvl="3">
      <w:numFmt w:val="none"/>
      <w:lvlText w:val=""/>
      <w:lvlJc w:val="left"/>
      <w:pPr>
        <w:tabs>
          <w:tab w:val="num" w:pos="0"/>
        </w:tabs>
        <w:ind w:left="0" w:firstLine="0"/>
      </w:pPr>
    </w:lvl>
    <w:lvl w:ilvl="4">
      <w:numFmt w:val="none"/>
      <w:lvlText w:val=""/>
      <w:lvlJc w:val="left"/>
      <w:pPr>
        <w:tabs>
          <w:tab w:val="num" w:pos="0"/>
        </w:tabs>
        <w:ind w:left="0" w:firstLine="0"/>
      </w:pPr>
    </w:lvl>
    <w:lvl w:ilvl="5">
      <w:numFmt w:val="none"/>
      <w:lvlText w:val=""/>
      <w:lvlJc w:val="left"/>
      <w:pPr>
        <w:tabs>
          <w:tab w:val="num" w:pos="0"/>
        </w:tabs>
        <w:ind w:left="0" w:firstLine="0"/>
      </w:pPr>
    </w:lvl>
    <w:lvl w:ilvl="6">
      <w:numFmt w:val="none"/>
      <w:lvlText w:val=""/>
      <w:lvlJc w:val="left"/>
      <w:pPr>
        <w:tabs>
          <w:tab w:val="num" w:pos="0"/>
        </w:tabs>
        <w:ind w:left="0" w:firstLine="0"/>
      </w:pPr>
    </w:lvl>
    <w:lvl w:ilvl="7">
      <w:numFmt w:val="none"/>
      <w:lvlText w:val=""/>
      <w:lvlJc w:val="left"/>
      <w:pPr>
        <w:tabs>
          <w:tab w:val="num" w:pos="0"/>
        </w:tabs>
        <w:ind w:left="0" w:firstLine="0"/>
      </w:pPr>
    </w:lvl>
    <w:lvl w:ilvl="8">
      <w:numFmt w:val="none"/>
      <w:lvlText w:val=""/>
      <w:lvlJc w:val="left"/>
      <w:pPr>
        <w:tabs>
          <w:tab w:val="num" w:pos="0"/>
        </w:tabs>
        <w:ind w:left="0" w:firstLine="0"/>
      </w:pPr>
    </w:lvl>
  </w:abstractNum>
  <w:abstractNum w:abstractNumId="1">
    <w:nsid w:val="00810832"/>
    <w:multiLevelType w:val="hybridMultilevel"/>
    <w:tmpl w:val="DBBA0F96"/>
    <w:lvl w:ilvl="0">
      <w:start w:val="1"/>
      <w:numFmt w:val="decimal"/>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0F30CF3"/>
    <w:multiLevelType w:val="hybridMultilevel"/>
    <w:tmpl w:val="E2A2FEA2"/>
    <w:lvl w:ilvl="0" w:tplc="E018A626">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C35098"/>
    <w:multiLevelType w:val="hybridMultilevel"/>
    <w:tmpl w:val="39061B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255DA5"/>
    <w:multiLevelType w:val="hybridMultilevel"/>
    <w:tmpl w:val="8D44F894"/>
    <w:lvl w:ilvl="0">
      <w:numFmt w:val="bullet"/>
      <w:lvlText w:val="-"/>
      <w:lvlJc w:val="left"/>
      <w:pPr>
        <w:tabs>
          <w:tab w:val="num" w:pos="1080"/>
        </w:tabs>
        <w:ind w:left="108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D964957"/>
    <w:multiLevelType w:val="hybridMultilevel"/>
    <w:tmpl w:val="C144FA9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FF76F66"/>
    <w:multiLevelType w:val="hybridMultilevel"/>
    <w:tmpl w:val="DBBA0F96"/>
    <w:lvl w:ilvl="0">
      <w:numFmt w:val="bullet"/>
      <w:lvlText w:val="-"/>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1AF5E0B"/>
    <w:multiLevelType w:val="singleLevel"/>
    <w:tmpl w:val="B7B64582"/>
    <w:lvl w:ilvl="0">
      <w:start w:val="4"/>
      <w:numFmt w:val="decimal"/>
      <w:lvlText w:val="%1."/>
      <w:lvlJc w:val="left"/>
      <w:pPr>
        <w:tabs>
          <w:tab w:val="num" w:pos="720"/>
        </w:tabs>
        <w:ind w:left="720" w:hanging="720"/>
      </w:pPr>
      <w:rPr>
        <w:rFonts w:hint="default"/>
      </w:rPr>
    </w:lvl>
  </w:abstractNum>
  <w:abstractNum w:abstractNumId="8">
    <w:nsid w:val="22D62153"/>
    <w:multiLevelType w:val="hybridMultilevel"/>
    <w:tmpl w:val="C144FA98"/>
    <w:lvl w:ilvl="0">
      <w:numFmt w:val="bullet"/>
      <w:lvlText w:val="-"/>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72C77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78A0F97"/>
    <w:multiLevelType w:val="hybridMultilevel"/>
    <w:tmpl w:val="6B7A8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84A6A63"/>
    <w:multiLevelType w:val="multilevel"/>
    <w:tmpl w:val="3B742968"/>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AC2444"/>
    <w:multiLevelType w:val="hybridMultilevel"/>
    <w:tmpl w:val="1E90E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512DD2"/>
    <w:multiLevelType w:val="hybridMultilevel"/>
    <w:tmpl w:val="382C4D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4555918"/>
    <w:multiLevelType w:val="hybridMultilevel"/>
    <w:tmpl w:val="5094C38C"/>
    <w:lvl w:ilvl="0" w:tplc="414C5C98">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712ABA"/>
    <w:multiLevelType w:val="multilevel"/>
    <w:tmpl w:val="9F483F2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C1750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C7868C5"/>
    <w:multiLevelType w:val="hybridMultilevel"/>
    <w:tmpl w:val="16F28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FD0DC9"/>
    <w:multiLevelType w:val="singleLevel"/>
    <w:tmpl w:val="0CF46234"/>
    <w:lvl w:ilvl="0">
      <w:start w:val="4"/>
      <w:numFmt w:val="decimal"/>
      <w:lvlText w:val="%1."/>
      <w:lvlJc w:val="left"/>
      <w:pPr>
        <w:tabs>
          <w:tab w:val="num" w:pos="705"/>
        </w:tabs>
        <w:ind w:left="705" w:hanging="705"/>
      </w:pPr>
      <w:rPr>
        <w:rFonts w:ascii="Times New Roman" w:hAnsi="Times New Roman" w:hint="default"/>
      </w:rPr>
    </w:lvl>
  </w:abstractNum>
  <w:abstractNum w:abstractNumId="19">
    <w:nsid w:val="62372187"/>
    <w:multiLevelType w:val="multilevel"/>
    <w:tmpl w:val="4A1EF5B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689565D5"/>
    <w:multiLevelType w:val="hybridMultilevel"/>
    <w:tmpl w:val="7C98465E"/>
    <w:lvl w:ilvl="0" w:tplc="E018A626">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2F6B0A"/>
    <w:multiLevelType w:val="multilevel"/>
    <w:tmpl w:val="3B742968"/>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DB2587D"/>
    <w:multiLevelType w:val="hybridMultilevel"/>
    <w:tmpl w:val="E5B26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11"/>
  </w:num>
  <w:num w:numId="4">
    <w:abstractNumId w:val="18"/>
  </w:num>
  <w:num w:numId="5">
    <w:abstractNumId w:val="21"/>
  </w:num>
  <w:num w:numId="6">
    <w:abstractNumId w:val="5"/>
  </w:num>
  <w:num w:numId="7">
    <w:abstractNumId w:val="8"/>
  </w:num>
  <w:num w:numId="8">
    <w:abstractNumId w:val="7"/>
  </w:num>
  <w:num w:numId="9">
    <w:abstractNumId w:val="4"/>
  </w:num>
  <w:num w:numId="10">
    <w:abstractNumId w:val="1"/>
  </w:num>
  <w:num w:numId="11">
    <w:abstractNumId w:val="6"/>
  </w:num>
  <w:num w:numId="12">
    <w:abstractNumId w:val="9"/>
  </w:num>
  <w:num w:numId="13">
    <w:abstractNumId w:val="16"/>
  </w:num>
  <w:num w:numId="14">
    <w:abstractNumId w:val="14"/>
  </w:num>
  <w:num w:numId="15">
    <w:abstractNumId w:val="22"/>
  </w:num>
  <w:num w:numId="16">
    <w:abstractNumId w:val="13"/>
  </w:num>
  <w:num w:numId="17">
    <w:abstractNumId w:val="0"/>
  </w:num>
  <w:num w:numId="18">
    <w:abstractNumId w:val="20"/>
  </w:num>
  <w:num w:numId="19">
    <w:abstractNumId w:val="2"/>
  </w:num>
  <w:num w:numId="20">
    <w:abstractNumId w:val="10"/>
  </w:num>
  <w:num w:numId="21">
    <w:abstractNumId w:val="12"/>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7D"/>
    <w:rsid w:val="00041D56"/>
    <w:rsid w:val="0004637D"/>
    <w:rsid w:val="00226129"/>
    <w:rsid w:val="002720E5"/>
    <w:rsid w:val="002B2ACA"/>
    <w:rsid w:val="00454CC4"/>
    <w:rsid w:val="0047295B"/>
    <w:rsid w:val="004865D5"/>
    <w:rsid w:val="00493842"/>
    <w:rsid w:val="005C4312"/>
    <w:rsid w:val="006D5138"/>
    <w:rsid w:val="00702C67"/>
    <w:rsid w:val="00727F05"/>
    <w:rsid w:val="008E68A9"/>
    <w:rsid w:val="009032AC"/>
    <w:rsid w:val="00942521"/>
    <w:rsid w:val="00B97FBD"/>
    <w:rsid w:val="00CC0B50"/>
    <w:rsid w:val="00D004C2"/>
    <w:rsid w:val="00D03D55"/>
    <w:rsid w:val="00DA0976"/>
    <w:rsid w:val="00DB02C7"/>
    <w:rsid w:val="00DF47FA"/>
    <w:rsid w:val="00E81A45"/>
    <w:rsid w:val="00EF6EB9"/>
    <w:rsid w:val="00F258C3"/>
    <w:rsid w:val="00F51F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rFonts w:ascii="Arial Mäori" w:hAnsi="Arial Mäori"/>
      <w:b/>
      <w:bCs/>
    </w:rPr>
  </w:style>
  <w:style w:type="paragraph" w:styleId="Heading2">
    <w:name w:val="heading 2"/>
    <w:aliases w:val="H1"/>
    <w:basedOn w:val="Normal"/>
    <w:next w:val="Normal"/>
    <w:qFormat/>
    <w:pPr>
      <w:keepNext/>
      <w:ind w:left="570" w:hanging="570"/>
      <w:jc w:val="both"/>
      <w:outlineLvl w:val="1"/>
    </w:pPr>
    <w:rPr>
      <w:rFonts w:ascii="Arial Mäori" w:hAnsi="Arial Mäori"/>
      <w:b/>
      <w:bCs/>
      <w:sz w:val="20"/>
    </w:rPr>
  </w:style>
  <w:style w:type="paragraph" w:styleId="Heading3">
    <w:name w:val="heading 3"/>
    <w:basedOn w:val="Normal"/>
    <w:next w:val="Normal"/>
    <w:qFormat/>
    <w:pPr>
      <w:keepNext/>
      <w:spacing w:after="120"/>
      <w:jc w:val="both"/>
      <w:outlineLvl w:val="2"/>
    </w:pPr>
    <w:rPr>
      <w:rFonts w:ascii="Arial Mäori" w:hAnsi="Arial Mäori"/>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ajor">
    <w:name w:val="Major"/>
    <w:basedOn w:val="Normal"/>
    <w:pPr>
      <w:autoSpaceDE w:val="0"/>
      <w:autoSpaceDN w:val="0"/>
      <w:adjustRightInd w:val="0"/>
      <w:spacing w:line="240" w:lineRule="atLeast"/>
      <w:jc w:val="both"/>
    </w:pPr>
    <w:rPr>
      <w:rFonts w:ascii="Arial M" w:hAnsi="Arial M"/>
      <w:b/>
      <w:bCs/>
      <w:color w:val="000000"/>
      <w:lang w:val="en-US"/>
    </w:rPr>
  </w:style>
  <w:style w:type="paragraph" w:customStyle="1" w:styleId="2ndlevel">
    <w:name w:val="2nd level"/>
    <w:basedOn w:val="Normal"/>
    <w:pPr>
      <w:autoSpaceDE w:val="0"/>
      <w:autoSpaceDN w:val="0"/>
      <w:adjustRightInd w:val="0"/>
      <w:spacing w:line="240" w:lineRule="atLeast"/>
      <w:jc w:val="both"/>
    </w:pPr>
    <w:rPr>
      <w:rFonts w:ascii="Arial M" w:hAnsi="Arial M"/>
      <w:b/>
      <w:bCs/>
      <w:color w:val="000000"/>
      <w:lang w:val="en-US"/>
    </w:rPr>
  </w:style>
  <w:style w:type="paragraph" w:customStyle="1" w:styleId="3rdlevel">
    <w:name w:val="3rd level"/>
    <w:basedOn w:val="Normal"/>
    <w:pPr>
      <w:autoSpaceDE w:val="0"/>
      <w:autoSpaceDN w:val="0"/>
      <w:adjustRightInd w:val="0"/>
      <w:spacing w:line="240" w:lineRule="atLeast"/>
      <w:jc w:val="both"/>
    </w:pPr>
    <w:rPr>
      <w:rFonts w:ascii="Arial M" w:hAnsi="Arial M"/>
      <w:b/>
      <w:bCs/>
      <w:i/>
      <w:iCs/>
      <w:color w:val="000000"/>
      <w:lang w:val="en-US"/>
    </w:rPr>
  </w:style>
  <w:style w:type="paragraph" w:customStyle="1" w:styleId="4thlevel">
    <w:name w:val="4th level"/>
    <w:basedOn w:val="Normal"/>
    <w:pPr>
      <w:autoSpaceDE w:val="0"/>
      <w:autoSpaceDN w:val="0"/>
      <w:adjustRightInd w:val="0"/>
      <w:spacing w:line="240" w:lineRule="atLeast"/>
      <w:jc w:val="both"/>
    </w:pPr>
    <w:rPr>
      <w:rFonts w:ascii="Times New Roman M" w:hAnsi="Times New Roman M"/>
      <w:i/>
      <w:iCs/>
      <w:color w:val="000000"/>
      <w:lang w:val="en-US"/>
    </w:rPr>
  </w:style>
  <w:style w:type="paragraph" w:customStyle="1" w:styleId="Unpublished">
    <w:name w:val="Unpublished"/>
    <w:basedOn w:val="Normal"/>
    <w:rPr>
      <w:rFonts w:ascii="Arial Mäori" w:hAnsi="Arial Mäori"/>
    </w:rPr>
  </w:style>
  <w:style w:type="paragraph" w:customStyle="1" w:styleId="Published">
    <w:name w:val="Published"/>
    <w:basedOn w:val="Normal"/>
    <w:rPr>
      <w:rFonts w:ascii="Times New Roman Mäori" w:hAnsi="Times New Roman Mäori"/>
    </w:rPr>
  </w:style>
  <w:style w:type="paragraph" w:styleId="BodyText">
    <w:name w:val="Body Text"/>
    <w:basedOn w:val="Normal"/>
    <w:pPr>
      <w:jc w:val="both"/>
    </w:pPr>
    <w:rPr>
      <w:rFonts w:ascii="Arial Mäori" w:hAnsi="Arial Mäori"/>
    </w:rPr>
  </w:style>
  <w:style w:type="paragraph" w:styleId="BodyText2">
    <w:name w:val="Body Text 2"/>
    <w:basedOn w:val="Normal"/>
    <w:pPr>
      <w:tabs>
        <w:tab w:val="left" w:pos="0"/>
      </w:tabs>
      <w:jc w:val="both"/>
    </w:pPr>
    <w:rPr>
      <w:rFonts w:ascii="Arial Mäori" w:hAnsi="Arial Mäori"/>
      <w:sz w:val="20"/>
    </w:rPr>
  </w:style>
  <w:style w:type="paragraph" w:styleId="BodyText3">
    <w:name w:val="Body Text 3"/>
    <w:basedOn w:val="Normal"/>
    <w:rPr>
      <w:rFonts w:ascii="Arial Mäori" w:hAnsi="Arial Mäori"/>
      <w:sz w:val="20"/>
    </w:rPr>
  </w:style>
  <w:style w:type="paragraph" w:styleId="Header">
    <w:name w:val="header"/>
    <w:basedOn w:val="Normal"/>
    <w:pPr>
      <w:tabs>
        <w:tab w:val="center" w:pos="4153"/>
        <w:tab w:val="right" w:pos="8306"/>
      </w:tabs>
    </w:pPr>
    <w:rPr>
      <w:sz w:val="20"/>
      <w:szCs w:val="20"/>
      <w:lang w:val="en-GB"/>
    </w:rPr>
  </w:style>
  <w:style w:type="paragraph" w:styleId="BodyTextIndent">
    <w:name w:val="Body Text Indent"/>
    <w:basedOn w:val="Normal"/>
    <w:pPr>
      <w:ind w:left="570" w:hanging="570"/>
      <w:jc w:val="both"/>
    </w:pPr>
    <w:rPr>
      <w:rFonts w:ascii="Arial Mäori" w:hAnsi="Arial Mäori"/>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04637D"/>
    <w:rPr>
      <w:rFonts w:ascii="Tahoma" w:hAnsi="Tahoma" w:cs="Tahoma"/>
      <w:sz w:val="16"/>
      <w:szCs w:val="16"/>
    </w:rPr>
  </w:style>
  <w:style w:type="character" w:styleId="Hyperlink">
    <w:name w:val="Hyperlink"/>
    <w:rsid w:val="006D5138"/>
    <w:rPr>
      <w:color w:val="0000FF"/>
      <w:u w:val="single"/>
    </w:rPr>
  </w:style>
  <w:style w:type="character" w:styleId="FollowedHyperlink">
    <w:name w:val="FollowedHyperlink"/>
    <w:rsid w:val="006D513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rFonts w:ascii="Arial Mäori" w:hAnsi="Arial Mäori"/>
      <w:b/>
      <w:bCs/>
    </w:rPr>
  </w:style>
  <w:style w:type="paragraph" w:styleId="Heading2">
    <w:name w:val="heading 2"/>
    <w:aliases w:val="H1"/>
    <w:basedOn w:val="Normal"/>
    <w:next w:val="Normal"/>
    <w:qFormat/>
    <w:pPr>
      <w:keepNext/>
      <w:ind w:left="570" w:hanging="570"/>
      <w:jc w:val="both"/>
      <w:outlineLvl w:val="1"/>
    </w:pPr>
    <w:rPr>
      <w:rFonts w:ascii="Arial Mäori" w:hAnsi="Arial Mäori"/>
      <w:b/>
      <w:bCs/>
      <w:sz w:val="20"/>
    </w:rPr>
  </w:style>
  <w:style w:type="paragraph" w:styleId="Heading3">
    <w:name w:val="heading 3"/>
    <w:basedOn w:val="Normal"/>
    <w:next w:val="Normal"/>
    <w:qFormat/>
    <w:pPr>
      <w:keepNext/>
      <w:spacing w:after="120"/>
      <w:jc w:val="both"/>
      <w:outlineLvl w:val="2"/>
    </w:pPr>
    <w:rPr>
      <w:rFonts w:ascii="Arial Mäori" w:hAnsi="Arial Mäori"/>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ajor">
    <w:name w:val="Major"/>
    <w:basedOn w:val="Normal"/>
    <w:pPr>
      <w:autoSpaceDE w:val="0"/>
      <w:autoSpaceDN w:val="0"/>
      <w:adjustRightInd w:val="0"/>
      <w:spacing w:line="240" w:lineRule="atLeast"/>
      <w:jc w:val="both"/>
    </w:pPr>
    <w:rPr>
      <w:rFonts w:ascii="Arial M" w:hAnsi="Arial M"/>
      <w:b/>
      <w:bCs/>
      <w:color w:val="000000"/>
      <w:lang w:val="en-US"/>
    </w:rPr>
  </w:style>
  <w:style w:type="paragraph" w:customStyle="1" w:styleId="2ndlevel">
    <w:name w:val="2nd level"/>
    <w:basedOn w:val="Normal"/>
    <w:pPr>
      <w:autoSpaceDE w:val="0"/>
      <w:autoSpaceDN w:val="0"/>
      <w:adjustRightInd w:val="0"/>
      <w:spacing w:line="240" w:lineRule="atLeast"/>
      <w:jc w:val="both"/>
    </w:pPr>
    <w:rPr>
      <w:rFonts w:ascii="Arial M" w:hAnsi="Arial M"/>
      <w:b/>
      <w:bCs/>
      <w:color w:val="000000"/>
      <w:lang w:val="en-US"/>
    </w:rPr>
  </w:style>
  <w:style w:type="paragraph" w:customStyle="1" w:styleId="3rdlevel">
    <w:name w:val="3rd level"/>
    <w:basedOn w:val="Normal"/>
    <w:pPr>
      <w:autoSpaceDE w:val="0"/>
      <w:autoSpaceDN w:val="0"/>
      <w:adjustRightInd w:val="0"/>
      <w:spacing w:line="240" w:lineRule="atLeast"/>
      <w:jc w:val="both"/>
    </w:pPr>
    <w:rPr>
      <w:rFonts w:ascii="Arial M" w:hAnsi="Arial M"/>
      <w:b/>
      <w:bCs/>
      <w:i/>
      <w:iCs/>
      <w:color w:val="000000"/>
      <w:lang w:val="en-US"/>
    </w:rPr>
  </w:style>
  <w:style w:type="paragraph" w:customStyle="1" w:styleId="4thlevel">
    <w:name w:val="4th level"/>
    <w:basedOn w:val="Normal"/>
    <w:pPr>
      <w:autoSpaceDE w:val="0"/>
      <w:autoSpaceDN w:val="0"/>
      <w:adjustRightInd w:val="0"/>
      <w:spacing w:line="240" w:lineRule="atLeast"/>
      <w:jc w:val="both"/>
    </w:pPr>
    <w:rPr>
      <w:rFonts w:ascii="Times New Roman M" w:hAnsi="Times New Roman M"/>
      <w:i/>
      <w:iCs/>
      <w:color w:val="000000"/>
      <w:lang w:val="en-US"/>
    </w:rPr>
  </w:style>
  <w:style w:type="paragraph" w:customStyle="1" w:styleId="Unpublished">
    <w:name w:val="Unpublished"/>
    <w:basedOn w:val="Normal"/>
    <w:rPr>
      <w:rFonts w:ascii="Arial Mäori" w:hAnsi="Arial Mäori"/>
    </w:rPr>
  </w:style>
  <w:style w:type="paragraph" w:customStyle="1" w:styleId="Published">
    <w:name w:val="Published"/>
    <w:basedOn w:val="Normal"/>
    <w:rPr>
      <w:rFonts w:ascii="Times New Roman Mäori" w:hAnsi="Times New Roman Mäori"/>
    </w:rPr>
  </w:style>
  <w:style w:type="paragraph" w:styleId="BodyText">
    <w:name w:val="Body Text"/>
    <w:basedOn w:val="Normal"/>
    <w:pPr>
      <w:jc w:val="both"/>
    </w:pPr>
    <w:rPr>
      <w:rFonts w:ascii="Arial Mäori" w:hAnsi="Arial Mäori"/>
    </w:rPr>
  </w:style>
  <w:style w:type="paragraph" w:styleId="BodyText2">
    <w:name w:val="Body Text 2"/>
    <w:basedOn w:val="Normal"/>
    <w:pPr>
      <w:tabs>
        <w:tab w:val="left" w:pos="0"/>
      </w:tabs>
      <w:jc w:val="both"/>
    </w:pPr>
    <w:rPr>
      <w:rFonts w:ascii="Arial Mäori" w:hAnsi="Arial Mäori"/>
      <w:sz w:val="20"/>
    </w:rPr>
  </w:style>
  <w:style w:type="paragraph" w:styleId="BodyText3">
    <w:name w:val="Body Text 3"/>
    <w:basedOn w:val="Normal"/>
    <w:rPr>
      <w:rFonts w:ascii="Arial Mäori" w:hAnsi="Arial Mäori"/>
      <w:sz w:val="20"/>
    </w:rPr>
  </w:style>
  <w:style w:type="paragraph" w:styleId="Header">
    <w:name w:val="header"/>
    <w:basedOn w:val="Normal"/>
    <w:pPr>
      <w:tabs>
        <w:tab w:val="center" w:pos="4153"/>
        <w:tab w:val="right" w:pos="8306"/>
      </w:tabs>
    </w:pPr>
    <w:rPr>
      <w:sz w:val="20"/>
      <w:szCs w:val="20"/>
      <w:lang w:val="en-GB"/>
    </w:rPr>
  </w:style>
  <w:style w:type="paragraph" w:styleId="BodyTextIndent">
    <w:name w:val="Body Text Indent"/>
    <w:basedOn w:val="Normal"/>
    <w:pPr>
      <w:ind w:left="570" w:hanging="570"/>
      <w:jc w:val="both"/>
    </w:pPr>
    <w:rPr>
      <w:rFonts w:ascii="Arial Mäori" w:hAnsi="Arial Mäori"/>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04637D"/>
    <w:rPr>
      <w:rFonts w:ascii="Tahoma" w:hAnsi="Tahoma" w:cs="Tahoma"/>
      <w:sz w:val="16"/>
      <w:szCs w:val="16"/>
    </w:rPr>
  </w:style>
  <w:style w:type="character" w:styleId="Hyperlink">
    <w:name w:val="Hyperlink"/>
    <w:rsid w:val="006D5138"/>
    <w:rPr>
      <w:color w:val="0000FF"/>
      <w:u w:val="single"/>
    </w:rPr>
  </w:style>
  <w:style w:type="character" w:styleId="FollowedHyperlink">
    <w:name w:val="FollowedHyperlink"/>
    <w:rsid w:val="006D513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sfl.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TIER 3 SERVICE SPECIFICATION</vt:lpstr>
    </vt:vector>
  </TitlesOfParts>
  <Company>Ministry Of Health</Company>
  <LinksUpToDate>false</LinksUpToDate>
  <CharactersWithSpaces>8409</CharactersWithSpaces>
  <SharedDoc>false</SharedDoc>
  <HLinks>
    <vt:vector size="6" baseType="variant">
      <vt:variant>
        <vt:i4>2687081</vt:i4>
      </vt:variant>
      <vt:variant>
        <vt:i4>0</vt:i4>
      </vt:variant>
      <vt:variant>
        <vt:i4>0</vt:i4>
      </vt:variant>
      <vt:variant>
        <vt:i4>5</vt:i4>
      </vt:variant>
      <vt:variant>
        <vt:lpwstr>http://www.nsfl.health.govt.nz/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 3 SERVICE SPECIFICATION</dc:title>
  <dc:creator>Rachel Phillips</dc:creator>
  <cp:lastModifiedBy>jcraven</cp:lastModifiedBy>
  <cp:revision>1</cp:revision>
  <cp:lastPrinted>2011-11-22T03:33:00Z</cp:lastPrinted>
  <dcterms:created xsi:type="dcterms:W3CDTF">2013-04-16T01:20:00Z</dcterms:created>
  <dcterms:modified xsi:type="dcterms:W3CDTF">2013-04-16T01:20:00Z</dcterms:modified>
</cp:coreProperties>
</file>