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ook w:val="0000" w:firstRow="0" w:lastRow="0" w:firstColumn="0" w:lastColumn="0" w:noHBand="0" w:noVBand="0"/>
      </w:tblPr>
      <w:tblGrid>
        <w:gridCol w:w="4361"/>
        <w:gridCol w:w="1623"/>
        <w:gridCol w:w="3905"/>
      </w:tblGrid>
      <w:tr w:rsidR="008F0157" w:rsidRPr="00393000" w:rsidTr="001457F5">
        <w:trPr>
          <w:cantSplit/>
        </w:trPr>
        <w:tc>
          <w:tcPr>
            <w:tcW w:w="4361" w:type="dxa"/>
            <w:vAlign w:val="center"/>
          </w:tcPr>
          <w:p w:rsidR="008F0157" w:rsidRPr="00393000" w:rsidRDefault="008F0157" w:rsidP="000B5C25">
            <w:pPr>
              <w:spacing w:before="120"/>
              <w:ind w:left="114" w:right="5"/>
              <w:rPr>
                <w:rFonts w:ascii="Arial" w:hAnsi="Arial" w:cs="Arial"/>
              </w:rPr>
            </w:pPr>
            <w:r>
              <w:rPr>
                <w:rFonts w:ascii="Arial" w:hAnsi="Arial" w:cs="Arial"/>
                <w:noProof/>
                <w:lang w:eastAsia="en-NZ"/>
              </w:rPr>
              <w:drawing>
                <wp:inline distT="0" distB="0" distL="0" distR="0" wp14:anchorId="679B4C7C" wp14:editId="4BD22290">
                  <wp:extent cx="2051685" cy="81915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1685" cy="819150"/>
                          </a:xfrm>
                          <a:prstGeom prst="rect">
                            <a:avLst/>
                          </a:prstGeom>
                          <a:noFill/>
                          <a:ln>
                            <a:noFill/>
                          </a:ln>
                        </pic:spPr>
                      </pic:pic>
                    </a:graphicData>
                  </a:graphic>
                </wp:inline>
              </w:drawing>
            </w:r>
          </w:p>
        </w:tc>
        <w:tc>
          <w:tcPr>
            <w:tcW w:w="5528" w:type="dxa"/>
            <w:gridSpan w:val="2"/>
            <w:vAlign w:val="center"/>
          </w:tcPr>
          <w:p w:rsidR="008F0157" w:rsidRPr="001457F5" w:rsidRDefault="00BF7155" w:rsidP="001457F5">
            <w:pPr>
              <w:spacing w:before="120"/>
              <w:ind w:left="77"/>
              <w:jc w:val="right"/>
              <w:rPr>
                <w:rFonts w:ascii="Arial" w:hAnsi="Arial" w:cs="Arial"/>
                <w:sz w:val="32"/>
                <w:szCs w:val="32"/>
              </w:rPr>
            </w:pPr>
            <w:bookmarkStart w:id="0" w:name="_Toc215319100"/>
            <w:r w:rsidRPr="001457F5">
              <w:rPr>
                <w:rFonts w:ascii="Arial" w:hAnsi="Arial" w:cs="Arial"/>
                <w:sz w:val="32"/>
                <w:szCs w:val="32"/>
              </w:rPr>
              <w:t>A</w:t>
            </w:r>
            <w:r w:rsidR="00887A56" w:rsidRPr="001457F5">
              <w:rPr>
                <w:rFonts w:ascii="Arial" w:hAnsi="Arial" w:cs="Arial"/>
                <w:sz w:val="32"/>
                <w:szCs w:val="32"/>
              </w:rPr>
              <w:t>ll</w:t>
            </w:r>
            <w:r w:rsidR="00CD2594" w:rsidRPr="001457F5">
              <w:rPr>
                <w:rFonts w:ascii="Arial" w:hAnsi="Arial" w:cs="Arial"/>
                <w:sz w:val="32"/>
                <w:szCs w:val="32"/>
              </w:rPr>
              <w:t xml:space="preserve"> </w:t>
            </w:r>
            <w:r w:rsidR="008F0157" w:rsidRPr="001457F5">
              <w:rPr>
                <w:rFonts w:ascii="Arial" w:hAnsi="Arial" w:cs="Arial"/>
                <w:sz w:val="32"/>
                <w:szCs w:val="32"/>
              </w:rPr>
              <w:t>D</w:t>
            </w:r>
            <w:r w:rsidRPr="001457F5">
              <w:rPr>
                <w:rFonts w:ascii="Arial" w:hAnsi="Arial" w:cs="Arial"/>
                <w:sz w:val="32"/>
                <w:szCs w:val="32"/>
              </w:rPr>
              <w:t xml:space="preserve">istrict </w:t>
            </w:r>
            <w:r w:rsidR="008F0157" w:rsidRPr="001457F5">
              <w:rPr>
                <w:rFonts w:ascii="Arial" w:hAnsi="Arial" w:cs="Arial"/>
                <w:sz w:val="32"/>
                <w:szCs w:val="32"/>
              </w:rPr>
              <w:t>H</w:t>
            </w:r>
            <w:r w:rsidRPr="001457F5">
              <w:rPr>
                <w:rFonts w:ascii="Arial" w:hAnsi="Arial" w:cs="Arial"/>
                <w:sz w:val="32"/>
                <w:szCs w:val="32"/>
              </w:rPr>
              <w:t xml:space="preserve">ealth </w:t>
            </w:r>
            <w:r w:rsidR="008F0157" w:rsidRPr="001457F5">
              <w:rPr>
                <w:rFonts w:ascii="Arial" w:hAnsi="Arial" w:cs="Arial"/>
                <w:sz w:val="32"/>
                <w:szCs w:val="32"/>
              </w:rPr>
              <w:t>B</w:t>
            </w:r>
            <w:r w:rsidRPr="001457F5">
              <w:rPr>
                <w:rFonts w:ascii="Arial" w:hAnsi="Arial" w:cs="Arial"/>
                <w:sz w:val="32"/>
                <w:szCs w:val="32"/>
              </w:rPr>
              <w:t>oard</w:t>
            </w:r>
            <w:r w:rsidR="008F0157" w:rsidRPr="001457F5">
              <w:rPr>
                <w:rFonts w:ascii="Arial" w:hAnsi="Arial" w:cs="Arial"/>
                <w:sz w:val="32"/>
                <w:szCs w:val="32"/>
              </w:rPr>
              <w:t>s</w:t>
            </w:r>
            <w:bookmarkEnd w:id="0"/>
          </w:p>
        </w:tc>
      </w:tr>
      <w:tr w:rsidR="008F0157" w:rsidRPr="00393000" w:rsidTr="001457F5">
        <w:trPr>
          <w:cantSplit/>
        </w:trPr>
        <w:tc>
          <w:tcPr>
            <w:tcW w:w="4361" w:type="dxa"/>
            <w:vAlign w:val="center"/>
          </w:tcPr>
          <w:p w:rsidR="008F0157" w:rsidRPr="00393000" w:rsidRDefault="008F0157" w:rsidP="000B5C25">
            <w:pPr>
              <w:spacing w:before="120" w:after="120"/>
              <w:ind w:left="1134" w:right="5"/>
              <w:rPr>
                <w:rFonts w:ascii="Arial" w:hAnsi="Arial" w:cs="Arial"/>
              </w:rPr>
            </w:pPr>
          </w:p>
        </w:tc>
        <w:tc>
          <w:tcPr>
            <w:tcW w:w="5528" w:type="dxa"/>
            <w:gridSpan w:val="2"/>
            <w:vAlign w:val="center"/>
          </w:tcPr>
          <w:p w:rsidR="008F0157" w:rsidRPr="00393000" w:rsidRDefault="008F0157" w:rsidP="000B5C25">
            <w:pPr>
              <w:spacing w:before="120" w:after="120"/>
              <w:ind w:left="1134" w:right="5"/>
              <w:rPr>
                <w:rFonts w:ascii="Arial" w:hAnsi="Arial" w:cs="Arial"/>
              </w:rPr>
            </w:pPr>
          </w:p>
        </w:tc>
      </w:tr>
      <w:tr w:rsidR="008F0157" w:rsidRPr="00393000" w:rsidTr="001457F5">
        <w:tc>
          <w:tcPr>
            <w:tcW w:w="9889" w:type="dxa"/>
            <w:gridSpan w:val="3"/>
            <w:tcBorders>
              <w:bottom w:val="single" w:sz="4" w:space="0" w:color="auto"/>
            </w:tcBorders>
          </w:tcPr>
          <w:p w:rsidR="008F0157" w:rsidRPr="00393000" w:rsidRDefault="008F0157" w:rsidP="001457F5">
            <w:pPr>
              <w:spacing w:before="1200" w:after="120"/>
              <w:ind w:right="5"/>
              <w:jc w:val="center"/>
              <w:rPr>
                <w:rFonts w:ascii="Arial" w:hAnsi="Arial" w:cs="Arial"/>
                <w:b/>
                <w:sz w:val="36"/>
                <w:szCs w:val="36"/>
              </w:rPr>
            </w:pPr>
            <w:bookmarkStart w:id="1" w:name="_Toc215319101"/>
            <w:r w:rsidRPr="00393000">
              <w:rPr>
                <w:rFonts w:ascii="Arial" w:hAnsi="Arial" w:cs="Arial"/>
                <w:b/>
                <w:sz w:val="36"/>
                <w:szCs w:val="36"/>
              </w:rPr>
              <w:t>PUBLIC HEALTH SERVICES</w:t>
            </w:r>
          </w:p>
          <w:p w:rsidR="008F0157" w:rsidRPr="00393000" w:rsidRDefault="008F0157" w:rsidP="000B5C25">
            <w:pPr>
              <w:spacing w:before="120" w:after="120"/>
              <w:ind w:right="5"/>
              <w:jc w:val="center"/>
              <w:rPr>
                <w:rFonts w:ascii="Arial" w:hAnsi="Arial" w:cs="Arial"/>
                <w:b/>
                <w:sz w:val="36"/>
                <w:szCs w:val="36"/>
              </w:rPr>
            </w:pPr>
            <w:r w:rsidRPr="00393000">
              <w:rPr>
                <w:rFonts w:ascii="Arial" w:hAnsi="Arial" w:cs="Arial"/>
                <w:b/>
                <w:sz w:val="36"/>
                <w:szCs w:val="36"/>
              </w:rPr>
              <w:t>TIER LEVEL ONE</w:t>
            </w:r>
          </w:p>
          <w:p w:rsidR="008F0157" w:rsidRPr="00393000" w:rsidRDefault="008F0157" w:rsidP="001457F5">
            <w:pPr>
              <w:spacing w:before="120" w:after="1200"/>
              <w:ind w:right="5"/>
              <w:jc w:val="center"/>
              <w:rPr>
                <w:rFonts w:ascii="Arial" w:hAnsi="Arial" w:cs="Arial"/>
                <w:b/>
                <w:sz w:val="36"/>
                <w:szCs w:val="36"/>
              </w:rPr>
            </w:pPr>
            <w:r w:rsidRPr="00393000">
              <w:rPr>
                <w:rFonts w:ascii="Arial" w:hAnsi="Arial" w:cs="Arial"/>
                <w:b/>
                <w:sz w:val="36"/>
                <w:szCs w:val="36"/>
              </w:rPr>
              <w:t>SERVICE SPECIFICATION</w:t>
            </w:r>
            <w:bookmarkEnd w:id="1"/>
          </w:p>
          <w:p w:rsidR="008F0157" w:rsidRPr="00393000" w:rsidRDefault="008F0157" w:rsidP="000B5C25">
            <w:pPr>
              <w:spacing w:before="120" w:after="120"/>
              <w:ind w:right="5"/>
              <w:jc w:val="center"/>
              <w:rPr>
                <w:rFonts w:ascii="Arial" w:hAnsi="Arial" w:cs="Arial"/>
              </w:rPr>
            </w:pPr>
          </w:p>
        </w:tc>
      </w:tr>
      <w:tr w:rsidR="008F0157" w:rsidRPr="00393000" w:rsidTr="001457F5">
        <w:trPr>
          <w:trHeight w:val="1641"/>
        </w:trPr>
        <w:tc>
          <w:tcPr>
            <w:tcW w:w="5984" w:type="dxa"/>
            <w:gridSpan w:val="2"/>
            <w:tcBorders>
              <w:top w:val="single" w:sz="4" w:space="0" w:color="auto"/>
              <w:left w:val="single" w:sz="4" w:space="0" w:color="auto"/>
              <w:bottom w:val="single" w:sz="4" w:space="0" w:color="auto"/>
              <w:right w:val="single" w:sz="4" w:space="0" w:color="auto"/>
            </w:tcBorders>
          </w:tcPr>
          <w:p w:rsidR="008F0157" w:rsidRPr="001457F5" w:rsidRDefault="008F0157" w:rsidP="000B5C25">
            <w:pPr>
              <w:spacing w:before="120" w:after="120"/>
              <w:ind w:left="57" w:right="5"/>
              <w:rPr>
                <w:rFonts w:ascii="Arial" w:hAnsi="Arial" w:cs="Arial"/>
                <w:b/>
                <w:sz w:val="32"/>
                <w:szCs w:val="32"/>
              </w:rPr>
            </w:pPr>
            <w:bookmarkStart w:id="2" w:name="_Toc215319104"/>
            <w:r w:rsidRPr="001457F5">
              <w:rPr>
                <w:rFonts w:ascii="Arial" w:hAnsi="Arial" w:cs="Arial"/>
                <w:b/>
                <w:sz w:val="32"/>
                <w:szCs w:val="32"/>
              </w:rPr>
              <w:t>S</w:t>
            </w:r>
            <w:r w:rsidR="001457F5" w:rsidRPr="001457F5">
              <w:rPr>
                <w:rFonts w:ascii="Arial" w:hAnsi="Arial" w:cs="Arial"/>
                <w:b/>
                <w:sz w:val="32"/>
                <w:szCs w:val="32"/>
              </w:rPr>
              <w:t>TATUS</w:t>
            </w:r>
            <w:r w:rsidRPr="001457F5">
              <w:rPr>
                <w:rFonts w:ascii="Arial" w:hAnsi="Arial" w:cs="Arial"/>
                <w:b/>
                <w:sz w:val="32"/>
                <w:szCs w:val="32"/>
              </w:rPr>
              <w:t>:</w:t>
            </w:r>
            <w:bookmarkEnd w:id="2"/>
          </w:p>
          <w:p w:rsidR="008F0157" w:rsidRPr="00393000" w:rsidRDefault="0052687A" w:rsidP="000B5C25">
            <w:pPr>
              <w:spacing w:before="120" w:after="120"/>
              <w:ind w:left="57" w:right="5"/>
              <w:rPr>
                <w:rFonts w:ascii="Arial" w:hAnsi="Arial" w:cs="Arial"/>
                <w:sz w:val="32"/>
                <w:szCs w:val="32"/>
              </w:rPr>
            </w:pPr>
            <w:bookmarkStart w:id="3" w:name="_Toc215319105"/>
            <w:r w:rsidRPr="00EC3E93">
              <w:rPr>
                <w:rFonts w:ascii="Arial" w:hAnsi="Arial" w:cs="Arial"/>
                <w:sz w:val="32"/>
                <w:szCs w:val="32"/>
                <w:lang w:val="en-US"/>
              </w:rPr>
              <w:t>It is compulsory to use this nationwide service specification when purchasing this service.</w:t>
            </w:r>
            <w:bookmarkEnd w:id="3"/>
          </w:p>
        </w:tc>
        <w:tc>
          <w:tcPr>
            <w:tcW w:w="3905" w:type="dxa"/>
            <w:tcBorders>
              <w:top w:val="single" w:sz="4" w:space="0" w:color="auto"/>
              <w:left w:val="single" w:sz="4" w:space="0" w:color="auto"/>
              <w:bottom w:val="single" w:sz="4" w:space="0" w:color="auto"/>
              <w:right w:val="single" w:sz="4" w:space="0" w:color="auto"/>
            </w:tcBorders>
          </w:tcPr>
          <w:p w:rsidR="008F0157" w:rsidRPr="00393000" w:rsidRDefault="008F0157" w:rsidP="001457F5">
            <w:pPr>
              <w:pStyle w:val="Heading1"/>
              <w:spacing w:before="120" w:after="240"/>
              <w:ind w:firstLine="537"/>
            </w:pPr>
            <w:bookmarkStart w:id="4" w:name="_Toc215319108"/>
            <w:r w:rsidRPr="00393000">
              <w:rPr>
                <w:caps/>
              </w:rPr>
              <w:t xml:space="preserve">MANDATORY </w:t>
            </w:r>
            <w:r w:rsidRPr="00393000">
              <w:rPr>
                <w:caps/>
              </w:rPr>
              <w:sym w:font="Wingdings" w:char="F0FE"/>
            </w:r>
            <w:bookmarkEnd w:id="4"/>
          </w:p>
        </w:tc>
      </w:tr>
      <w:tr w:rsidR="008F0157" w:rsidRPr="00393000" w:rsidTr="001457F5">
        <w:trPr>
          <w:trHeight w:val="297"/>
        </w:trPr>
        <w:tc>
          <w:tcPr>
            <w:tcW w:w="5984" w:type="dxa"/>
            <w:gridSpan w:val="2"/>
            <w:tcBorders>
              <w:top w:val="single" w:sz="4" w:space="0" w:color="auto"/>
              <w:bottom w:val="single" w:sz="4" w:space="0" w:color="auto"/>
            </w:tcBorders>
            <w:shd w:val="clear" w:color="auto" w:fill="CCCCCC"/>
          </w:tcPr>
          <w:p w:rsidR="008F0157" w:rsidRPr="00393000" w:rsidRDefault="008F0157" w:rsidP="000B5C25">
            <w:pPr>
              <w:spacing w:before="120" w:after="120"/>
              <w:ind w:left="57" w:right="5"/>
              <w:jc w:val="both"/>
              <w:rPr>
                <w:rFonts w:ascii="Arial" w:hAnsi="Arial" w:cs="Arial"/>
                <w:b/>
                <w:sz w:val="28"/>
                <w:szCs w:val="28"/>
              </w:rPr>
            </w:pPr>
            <w:bookmarkStart w:id="5" w:name="_Toc215319110"/>
            <w:r w:rsidRPr="00393000">
              <w:rPr>
                <w:rFonts w:ascii="Arial" w:hAnsi="Arial" w:cs="Arial"/>
                <w:b/>
                <w:sz w:val="28"/>
                <w:szCs w:val="28"/>
              </w:rPr>
              <w:t>Review History</w:t>
            </w:r>
            <w:bookmarkEnd w:id="5"/>
          </w:p>
        </w:tc>
        <w:tc>
          <w:tcPr>
            <w:tcW w:w="3905" w:type="dxa"/>
            <w:tcBorders>
              <w:top w:val="single" w:sz="4" w:space="0" w:color="auto"/>
              <w:bottom w:val="single" w:sz="4" w:space="0" w:color="auto"/>
            </w:tcBorders>
            <w:shd w:val="clear" w:color="auto" w:fill="CCCCCC"/>
          </w:tcPr>
          <w:p w:rsidR="008F0157" w:rsidRPr="00393000" w:rsidRDefault="008F0157" w:rsidP="000B5C25">
            <w:pPr>
              <w:spacing w:before="120" w:after="120"/>
              <w:ind w:left="57" w:right="5"/>
              <w:rPr>
                <w:rFonts w:ascii="Arial" w:hAnsi="Arial" w:cs="Arial"/>
                <w:b/>
                <w:sz w:val="28"/>
                <w:szCs w:val="28"/>
              </w:rPr>
            </w:pPr>
            <w:bookmarkStart w:id="6" w:name="_Toc215319111"/>
            <w:r w:rsidRPr="00393000">
              <w:rPr>
                <w:rFonts w:ascii="Arial" w:hAnsi="Arial" w:cs="Arial"/>
                <w:b/>
                <w:sz w:val="28"/>
                <w:szCs w:val="28"/>
              </w:rPr>
              <w:t>Date</w:t>
            </w:r>
            <w:bookmarkEnd w:id="6"/>
          </w:p>
        </w:tc>
      </w:tr>
      <w:tr w:rsidR="008F0157" w:rsidRPr="00393000" w:rsidTr="001457F5">
        <w:tc>
          <w:tcPr>
            <w:tcW w:w="5984" w:type="dxa"/>
            <w:gridSpan w:val="2"/>
            <w:tcBorders>
              <w:top w:val="single" w:sz="4" w:space="0" w:color="auto"/>
              <w:left w:val="single" w:sz="4" w:space="0" w:color="auto"/>
              <w:bottom w:val="single" w:sz="6" w:space="0" w:color="auto"/>
              <w:right w:val="single" w:sz="6" w:space="0" w:color="auto"/>
            </w:tcBorders>
            <w:vAlign w:val="center"/>
          </w:tcPr>
          <w:p w:rsidR="001457F5" w:rsidRDefault="001457F5" w:rsidP="001457F5">
            <w:pPr>
              <w:spacing w:before="120" w:after="120"/>
              <w:ind w:left="57" w:right="5"/>
              <w:rPr>
                <w:rFonts w:ascii="Arial" w:hAnsi="Arial" w:cs="Arial"/>
                <w:sz w:val="28"/>
                <w:szCs w:val="28"/>
              </w:rPr>
            </w:pPr>
            <w:bookmarkStart w:id="7" w:name="_Toc215319113"/>
            <w:r>
              <w:rPr>
                <w:rFonts w:ascii="Arial" w:hAnsi="Arial" w:cs="Arial"/>
                <w:sz w:val="28"/>
                <w:szCs w:val="28"/>
              </w:rPr>
              <w:t xml:space="preserve">First </w:t>
            </w:r>
            <w:r w:rsidR="008F0157" w:rsidRPr="00393000">
              <w:rPr>
                <w:rFonts w:ascii="Arial" w:hAnsi="Arial" w:cs="Arial"/>
                <w:sz w:val="28"/>
                <w:szCs w:val="28"/>
              </w:rPr>
              <w:t>Published on N</w:t>
            </w:r>
            <w:r w:rsidR="003C450E">
              <w:rPr>
                <w:rFonts w:ascii="Arial" w:hAnsi="Arial" w:cs="Arial"/>
                <w:sz w:val="28"/>
                <w:szCs w:val="28"/>
              </w:rPr>
              <w:t xml:space="preserve">ationwide </w:t>
            </w:r>
            <w:r w:rsidR="008F0157" w:rsidRPr="00393000">
              <w:rPr>
                <w:rFonts w:ascii="Arial" w:hAnsi="Arial" w:cs="Arial"/>
                <w:sz w:val="28"/>
                <w:szCs w:val="28"/>
              </w:rPr>
              <w:t>S</w:t>
            </w:r>
            <w:r w:rsidR="003C450E">
              <w:rPr>
                <w:rFonts w:ascii="Arial" w:hAnsi="Arial" w:cs="Arial"/>
                <w:sz w:val="28"/>
                <w:szCs w:val="28"/>
              </w:rPr>
              <w:t xml:space="preserve">ervices </w:t>
            </w:r>
            <w:r w:rsidR="008F0157" w:rsidRPr="00393000">
              <w:rPr>
                <w:rFonts w:ascii="Arial" w:hAnsi="Arial" w:cs="Arial"/>
                <w:sz w:val="28"/>
                <w:szCs w:val="28"/>
              </w:rPr>
              <w:t>F</w:t>
            </w:r>
            <w:r w:rsidR="003C450E">
              <w:rPr>
                <w:rFonts w:ascii="Arial" w:hAnsi="Arial" w:cs="Arial"/>
                <w:sz w:val="28"/>
                <w:szCs w:val="28"/>
              </w:rPr>
              <w:t xml:space="preserve">ramework </w:t>
            </w:r>
            <w:r w:rsidR="008F0157" w:rsidRPr="00393000">
              <w:rPr>
                <w:rFonts w:ascii="Arial" w:hAnsi="Arial" w:cs="Arial"/>
                <w:sz w:val="28"/>
                <w:szCs w:val="28"/>
              </w:rPr>
              <w:t>L</w:t>
            </w:r>
            <w:bookmarkEnd w:id="7"/>
            <w:r w:rsidR="003C450E">
              <w:rPr>
                <w:rFonts w:ascii="Arial" w:hAnsi="Arial" w:cs="Arial"/>
                <w:sz w:val="28"/>
                <w:szCs w:val="28"/>
              </w:rPr>
              <w:t>ibrary</w:t>
            </w:r>
            <w:r>
              <w:rPr>
                <w:rFonts w:ascii="Arial" w:hAnsi="Arial" w:cs="Arial"/>
                <w:sz w:val="28"/>
                <w:szCs w:val="28"/>
              </w:rPr>
              <w:t xml:space="preserve"> </w:t>
            </w:r>
          </w:p>
          <w:p w:rsidR="008F0157" w:rsidRPr="00393000" w:rsidRDefault="001457F5" w:rsidP="00C201CB">
            <w:pPr>
              <w:spacing w:before="120" w:after="120"/>
              <w:ind w:left="57" w:right="5"/>
              <w:rPr>
                <w:rFonts w:ascii="Arial" w:hAnsi="Arial" w:cs="Arial"/>
                <w:sz w:val="28"/>
                <w:szCs w:val="28"/>
              </w:rPr>
            </w:pPr>
            <w:r>
              <w:rPr>
                <w:rFonts w:ascii="Arial" w:hAnsi="Arial" w:cs="Arial"/>
                <w:sz w:val="28"/>
                <w:szCs w:val="28"/>
              </w:rPr>
              <w:t>(</w:t>
            </w:r>
            <w:r w:rsidR="00C201CB">
              <w:rPr>
                <w:rFonts w:ascii="Arial" w:hAnsi="Arial" w:cs="Arial"/>
                <w:sz w:val="28"/>
                <w:szCs w:val="28"/>
              </w:rPr>
              <w:t>P</w:t>
            </w:r>
            <w:r>
              <w:rPr>
                <w:rFonts w:ascii="Arial" w:hAnsi="Arial" w:cs="Arial"/>
                <w:sz w:val="28"/>
                <w:szCs w:val="28"/>
              </w:rPr>
              <w:t>reviously known as the Public Health Handbook(2003))</w:t>
            </w:r>
          </w:p>
        </w:tc>
        <w:tc>
          <w:tcPr>
            <w:tcW w:w="3905" w:type="dxa"/>
            <w:tcBorders>
              <w:top w:val="single" w:sz="4" w:space="0" w:color="auto"/>
              <w:left w:val="single" w:sz="6" w:space="0" w:color="auto"/>
              <w:bottom w:val="single" w:sz="6" w:space="0" w:color="auto"/>
              <w:right w:val="single" w:sz="4" w:space="0" w:color="auto"/>
            </w:tcBorders>
            <w:vAlign w:val="center"/>
          </w:tcPr>
          <w:p w:rsidR="008F0157" w:rsidRPr="0052687A" w:rsidRDefault="001457F5" w:rsidP="000B5C25">
            <w:pPr>
              <w:spacing w:before="120" w:after="120"/>
              <w:ind w:left="57" w:right="5"/>
              <w:rPr>
                <w:rFonts w:ascii="Arial" w:hAnsi="Arial" w:cs="Arial"/>
                <w:sz w:val="28"/>
                <w:szCs w:val="28"/>
              </w:rPr>
            </w:pPr>
            <w:r>
              <w:rPr>
                <w:rFonts w:ascii="Arial" w:hAnsi="Arial" w:cs="Arial"/>
                <w:sz w:val="28"/>
                <w:szCs w:val="28"/>
              </w:rPr>
              <w:t>19 August 2010</w:t>
            </w:r>
          </w:p>
        </w:tc>
      </w:tr>
      <w:tr w:rsidR="001457F5" w:rsidRPr="00393000" w:rsidTr="001457F5">
        <w:tc>
          <w:tcPr>
            <w:tcW w:w="5984" w:type="dxa"/>
            <w:gridSpan w:val="2"/>
            <w:tcBorders>
              <w:top w:val="single" w:sz="4" w:space="0" w:color="auto"/>
              <w:left w:val="single" w:sz="4" w:space="0" w:color="auto"/>
              <w:bottom w:val="single" w:sz="6" w:space="0" w:color="auto"/>
              <w:right w:val="single" w:sz="6" w:space="0" w:color="auto"/>
            </w:tcBorders>
            <w:vAlign w:val="center"/>
          </w:tcPr>
          <w:p w:rsidR="001457F5" w:rsidRDefault="001457F5" w:rsidP="00D17514">
            <w:pPr>
              <w:spacing w:before="120" w:after="120"/>
              <w:ind w:left="57" w:right="5"/>
              <w:rPr>
                <w:rFonts w:ascii="Arial" w:hAnsi="Arial" w:cs="Arial"/>
                <w:sz w:val="28"/>
                <w:szCs w:val="28"/>
              </w:rPr>
            </w:pPr>
            <w:r>
              <w:rPr>
                <w:rFonts w:ascii="Arial" w:hAnsi="Arial" w:cs="Arial"/>
                <w:sz w:val="28"/>
                <w:szCs w:val="28"/>
              </w:rPr>
              <w:t>Review</w:t>
            </w:r>
            <w:r w:rsidR="00D17514">
              <w:rPr>
                <w:rFonts w:ascii="Arial" w:hAnsi="Arial" w:cs="Arial"/>
                <w:sz w:val="28"/>
                <w:szCs w:val="28"/>
              </w:rPr>
              <w:t>ed</w:t>
            </w:r>
            <w:r>
              <w:rPr>
                <w:rFonts w:ascii="Arial" w:hAnsi="Arial" w:cs="Arial"/>
                <w:sz w:val="28"/>
                <w:szCs w:val="28"/>
              </w:rPr>
              <w:t xml:space="preserve"> and update</w:t>
            </w:r>
            <w:r w:rsidR="00D17514">
              <w:rPr>
                <w:rFonts w:ascii="Arial" w:hAnsi="Arial" w:cs="Arial"/>
                <w:sz w:val="28"/>
                <w:szCs w:val="28"/>
              </w:rPr>
              <w:t>d</w:t>
            </w:r>
            <w:r>
              <w:rPr>
                <w:rFonts w:ascii="Arial" w:hAnsi="Arial" w:cs="Arial"/>
                <w:sz w:val="28"/>
                <w:szCs w:val="28"/>
              </w:rPr>
              <w:t xml:space="preserve"> content</w:t>
            </w:r>
          </w:p>
        </w:tc>
        <w:tc>
          <w:tcPr>
            <w:tcW w:w="3905" w:type="dxa"/>
            <w:tcBorders>
              <w:top w:val="single" w:sz="4" w:space="0" w:color="auto"/>
              <w:left w:val="single" w:sz="6" w:space="0" w:color="auto"/>
              <w:bottom w:val="single" w:sz="6" w:space="0" w:color="auto"/>
              <w:right w:val="single" w:sz="4" w:space="0" w:color="auto"/>
            </w:tcBorders>
            <w:vAlign w:val="center"/>
          </w:tcPr>
          <w:p w:rsidR="001457F5" w:rsidRPr="0052687A" w:rsidRDefault="001457F5" w:rsidP="000B5C25">
            <w:pPr>
              <w:spacing w:before="120" w:after="120"/>
              <w:ind w:left="57" w:right="5"/>
              <w:rPr>
                <w:rFonts w:ascii="Arial" w:hAnsi="Arial" w:cs="Arial"/>
                <w:sz w:val="28"/>
                <w:szCs w:val="28"/>
              </w:rPr>
            </w:pPr>
            <w:r w:rsidRPr="001457F5">
              <w:rPr>
                <w:rFonts w:ascii="Arial" w:hAnsi="Arial" w:cs="Arial"/>
                <w:sz w:val="28"/>
                <w:szCs w:val="28"/>
              </w:rPr>
              <w:t>February 2014</w:t>
            </w:r>
          </w:p>
        </w:tc>
      </w:tr>
      <w:tr w:rsidR="008F0157" w:rsidRPr="00393000" w:rsidTr="001457F5">
        <w:tc>
          <w:tcPr>
            <w:tcW w:w="5984" w:type="dxa"/>
            <w:gridSpan w:val="2"/>
            <w:tcBorders>
              <w:top w:val="single" w:sz="6" w:space="0" w:color="auto"/>
              <w:left w:val="single" w:sz="4" w:space="0" w:color="auto"/>
              <w:bottom w:val="single" w:sz="6" w:space="0" w:color="auto"/>
              <w:right w:val="single" w:sz="6" w:space="0" w:color="auto"/>
            </w:tcBorders>
            <w:vAlign w:val="center"/>
          </w:tcPr>
          <w:p w:rsidR="008F0157" w:rsidRPr="00393000" w:rsidRDefault="008F0157" w:rsidP="000B5C25">
            <w:pPr>
              <w:spacing w:before="120" w:after="120"/>
              <w:ind w:left="57" w:right="5"/>
              <w:rPr>
                <w:rFonts w:ascii="Arial" w:hAnsi="Arial" w:cs="Arial"/>
                <w:sz w:val="28"/>
                <w:szCs w:val="28"/>
              </w:rPr>
            </w:pPr>
            <w:bookmarkStart w:id="8" w:name="_Toc215319116"/>
            <w:r w:rsidRPr="00393000">
              <w:rPr>
                <w:rFonts w:ascii="Arial" w:hAnsi="Arial" w:cs="Arial"/>
                <w:sz w:val="28"/>
                <w:szCs w:val="28"/>
              </w:rPr>
              <w:t>Consideration for next Service Specification Review</w:t>
            </w:r>
            <w:bookmarkEnd w:id="8"/>
          </w:p>
        </w:tc>
        <w:tc>
          <w:tcPr>
            <w:tcW w:w="3905" w:type="dxa"/>
            <w:tcBorders>
              <w:top w:val="single" w:sz="6" w:space="0" w:color="auto"/>
              <w:left w:val="single" w:sz="6" w:space="0" w:color="auto"/>
              <w:bottom w:val="single" w:sz="6" w:space="0" w:color="auto"/>
              <w:right w:val="single" w:sz="4" w:space="0" w:color="auto"/>
            </w:tcBorders>
            <w:vAlign w:val="center"/>
          </w:tcPr>
          <w:p w:rsidR="008F0157" w:rsidRPr="00393000" w:rsidRDefault="008F0157" w:rsidP="000B5C25">
            <w:pPr>
              <w:spacing w:before="120" w:after="120"/>
              <w:ind w:left="57" w:right="5"/>
              <w:rPr>
                <w:rFonts w:ascii="Arial" w:hAnsi="Arial" w:cs="Arial"/>
                <w:sz w:val="28"/>
                <w:szCs w:val="28"/>
              </w:rPr>
            </w:pPr>
            <w:bookmarkStart w:id="9" w:name="_Toc215319117"/>
            <w:r w:rsidRPr="00393000">
              <w:rPr>
                <w:rFonts w:ascii="Arial" w:hAnsi="Arial" w:cs="Arial"/>
                <w:sz w:val="28"/>
                <w:szCs w:val="28"/>
              </w:rPr>
              <w:t xml:space="preserve">Within </w:t>
            </w:r>
            <w:r w:rsidRPr="00887A56">
              <w:rPr>
                <w:rFonts w:ascii="Arial" w:hAnsi="Arial" w:cs="Arial"/>
                <w:sz w:val="28"/>
                <w:szCs w:val="28"/>
              </w:rPr>
              <w:t>five</w:t>
            </w:r>
            <w:r w:rsidRPr="00393000">
              <w:rPr>
                <w:rFonts w:ascii="Arial" w:hAnsi="Arial" w:cs="Arial"/>
                <w:sz w:val="28"/>
                <w:szCs w:val="28"/>
              </w:rPr>
              <w:t xml:space="preserve"> years</w:t>
            </w:r>
            <w:bookmarkEnd w:id="9"/>
          </w:p>
        </w:tc>
      </w:tr>
    </w:tbl>
    <w:p w:rsidR="008F0157" w:rsidRPr="00393000" w:rsidRDefault="008F0157" w:rsidP="00C201CB">
      <w:pPr>
        <w:spacing w:before="120" w:after="240"/>
        <w:ind w:left="-57" w:right="5"/>
        <w:rPr>
          <w:rFonts w:ascii="Arial" w:hAnsi="Arial" w:cs="Arial"/>
        </w:rPr>
      </w:pPr>
      <w:bookmarkStart w:id="10" w:name="_Toc215319119"/>
      <w:r w:rsidRPr="00393000">
        <w:rPr>
          <w:rFonts w:ascii="Arial" w:hAnsi="Arial" w:cs="Arial"/>
        </w:rPr>
        <w:t>Note: Contact the Service Specification Programme Manager, National Health Board Business Unit, Ministry of Health to discuss the process and guidance available in developing new or updating and revising existing service specifications.  Web site address of the Nationwide Service Framework Library: http://www.nsfl.health.govt.nz/.</w:t>
      </w:r>
      <w:bookmarkEnd w:id="10"/>
    </w:p>
    <w:p w:rsidR="008F0157" w:rsidRPr="00393000" w:rsidRDefault="008F0157" w:rsidP="008F0157">
      <w:pPr>
        <w:pStyle w:val="MoHHeading1"/>
        <w:pBdr>
          <w:top w:val="single" w:sz="4" w:space="1" w:color="auto"/>
          <w:left w:val="single" w:sz="4" w:space="4" w:color="auto"/>
          <w:bottom w:val="single" w:sz="4" w:space="1" w:color="auto"/>
          <w:right w:val="single" w:sz="4" w:space="4" w:color="auto"/>
        </w:pBdr>
        <w:ind w:right="5"/>
        <w:jc w:val="center"/>
        <w:rPr>
          <w:rFonts w:ascii="Arial" w:hAnsi="Arial" w:cs="Arial"/>
        </w:rPr>
      </w:pPr>
      <w:r w:rsidRPr="00393000">
        <w:rPr>
          <w:rFonts w:ascii="Arial" w:hAnsi="Arial" w:cs="Arial"/>
        </w:rPr>
        <w:br w:type="page"/>
      </w:r>
      <w:bookmarkStart w:id="11" w:name="_Toc215319120"/>
      <w:r w:rsidRPr="00393000">
        <w:rPr>
          <w:rFonts w:ascii="Arial" w:hAnsi="Arial" w:cs="Arial"/>
        </w:rPr>
        <w:lastRenderedPageBreak/>
        <w:t>Public Health Services</w:t>
      </w:r>
    </w:p>
    <w:p w:rsidR="008F0157" w:rsidRPr="00393000" w:rsidRDefault="008F0157" w:rsidP="008F0157">
      <w:pPr>
        <w:pBdr>
          <w:top w:val="single" w:sz="4" w:space="1" w:color="auto"/>
          <w:left w:val="single" w:sz="4" w:space="4" w:color="auto"/>
          <w:bottom w:val="single" w:sz="4" w:space="1" w:color="auto"/>
          <w:right w:val="single" w:sz="4" w:space="4" w:color="auto"/>
        </w:pBdr>
        <w:ind w:right="5"/>
        <w:jc w:val="center"/>
        <w:rPr>
          <w:rFonts w:ascii="Arial" w:hAnsi="Arial" w:cs="Arial"/>
        </w:rPr>
      </w:pPr>
      <w:bookmarkStart w:id="12" w:name="_Toc215319121"/>
      <w:bookmarkEnd w:id="11"/>
      <w:r w:rsidRPr="00393000">
        <w:rPr>
          <w:rFonts w:ascii="Arial" w:hAnsi="Arial" w:cs="Arial"/>
          <w:b/>
        </w:rPr>
        <w:t>TIER LEVEL ONE</w:t>
      </w:r>
      <w:bookmarkStart w:id="13" w:name="_Toc215319122"/>
      <w:bookmarkEnd w:id="12"/>
    </w:p>
    <w:p w:rsidR="008F0157" w:rsidRPr="00393000" w:rsidRDefault="008F0157" w:rsidP="008F0157">
      <w:pPr>
        <w:pBdr>
          <w:top w:val="single" w:sz="4" w:space="1" w:color="auto"/>
          <w:left w:val="single" w:sz="4" w:space="4" w:color="auto"/>
          <w:bottom w:val="single" w:sz="4" w:space="1" w:color="auto"/>
          <w:right w:val="single" w:sz="4" w:space="4" w:color="auto"/>
        </w:pBdr>
        <w:ind w:right="5"/>
        <w:jc w:val="center"/>
        <w:rPr>
          <w:rFonts w:ascii="Arial" w:hAnsi="Arial" w:cs="Arial"/>
          <w:b/>
        </w:rPr>
      </w:pPr>
      <w:r w:rsidRPr="00393000">
        <w:rPr>
          <w:rFonts w:ascii="Arial" w:hAnsi="Arial" w:cs="Arial"/>
          <w:b/>
        </w:rPr>
        <w:t>SERVICE SPECIFICATION</w:t>
      </w:r>
    </w:p>
    <w:p w:rsidR="00C201CB" w:rsidRDefault="003D5553" w:rsidP="008F0157">
      <w:pPr>
        <w:spacing w:before="120"/>
        <w:ind w:right="5"/>
        <w:rPr>
          <w:rFonts w:ascii="Arial" w:hAnsi="Arial" w:cs="Arial"/>
        </w:rPr>
      </w:pPr>
      <w:bookmarkStart w:id="14" w:name="_Toc215319123"/>
      <w:bookmarkEnd w:id="13"/>
      <w:r>
        <w:rPr>
          <w:rFonts w:ascii="Arial" w:hAnsi="Arial" w:cs="Arial"/>
          <w:color w:val="000000"/>
          <w:lang w:eastAsia="en-NZ"/>
        </w:rPr>
        <w:t>The</w:t>
      </w:r>
      <w:r w:rsidR="008F0157">
        <w:rPr>
          <w:rFonts w:ascii="Arial" w:hAnsi="Arial" w:cs="Arial"/>
          <w:color w:val="000000"/>
          <w:lang w:eastAsia="en-NZ"/>
        </w:rPr>
        <w:t xml:space="preserve"> tier one</w:t>
      </w:r>
      <w:r w:rsidRPr="003D5553">
        <w:rPr>
          <w:rFonts w:ascii="Arial" w:hAnsi="Arial" w:cs="Arial"/>
          <w:color w:val="000000"/>
          <w:lang w:eastAsia="en-NZ"/>
        </w:rPr>
        <w:t xml:space="preserve"> </w:t>
      </w:r>
      <w:r>
        <w:rPr>
          <w:rFonts w:ascii="Arial" w:hAnsi="Arial" w:cs="Arial"/>
          <w:color w:val="000000"/>
          <w:lang w:eastAsia="en-NZ"/>
        </w:rPr>
        <w:t>service specification for</w:t>
      </w:r>
      <w:r w:rsidR="008F0157">
        <w:rPr>
          <w:rFonts w:ascii="Arial" w:hAnsi="Arial" w:cs="Arial"/>
          <w:color w:val="000000"/>
          <w:lang w:eastAsia="en-NZ"/>
        </w:rPr>
        <w:t xml:space="preserve"> Public Health S</w:t>
      </w:r>
      <w:r w:rsidR="00E3339D">
        <w:rPr>
          <w:rFonts w:ascii="Arial" w:hAnsi="Arial" w:cs="Arial"/>
          <w:color w:val="000000"/>
          <w:lang w:eastAsia="en-NZ"/>
        </w:rPr>
        <w:t>ervices defines</w:t>
      </w:r>
      <w:r w:rsidR="008F0157">
        <w:rPr>
          <w:rFonts w:ascii="Arial" w:hAnsi="Arial" w:cs="Arial"/>
          <w:color w:val="000000"/>
          <w:lang w:eastAsia="en-NZ"/>
        </w:rPr>
        <w:t xml:space="preserve"> the overarching </w:t>
      </w:r>
      <w:r w:rsidR="00E3339D">
        <w:rPr>
          <w:rFonts w:ascii="Arial" w:hAnsi="Arial" w:cs="Arial"/>
          <w:color w:val="000000"/>
          <w:lang w:eastAsia="en-NZ"/>
        </w:rPr>
        <w:t>framework and</w:t>
      </w:r>
      <w:r w:rsidR="00CF6B0B">
        <w:rPr>
          <w:rFonts w:ascii="Arial" w:hAnsi="Arial" w:cs="Arial"/>
          <w:color w:val="000000"/>
          <w:lang w:eastAsia="en-NZ"/>
        </w:rPr>
        <w:t xml:space="preserve"> generic requirements for all Public Health S</w:t>
      </w:r>
      <w:r w:rsidR="008F0157">
        <w:rPr>
          <w:rFonts w:ascii="Arial" w:hAnsi="Arial" w:cs="Arial"/>
          <w:color w:val="000000"/>
          <w:lang w:eastAsia="en-NZ"/>
        </w:rPr>
        <w:t xml:space="preserve">ervices.  </w:t>
      </w:r>
      <w:r w:rsidR="008F0157" w:rsidRPr="00393000">
        <w:rPr>
          <w:rFonts w:ascii="Arial" w:hAnsi="Arial" w:cs="Arial"/>
        </w:rPr>
        <w:t xml:space="preserve">This service specification must be used in conjunction with </w:t>
      </w:r>
      <w:r w:rsidR="00CF6B0B">
        <w:rPr>
          <w:rFonts w:ascii="Arial" w:hAnsi="Arial" w:cs="Arial"/>
        </w:rPr>
        <w:t>one or more</w:t>
      </w:r>
      <w:r w:rsidR="00594A30">
        <w:rPr>
          <w:rFonts w:ascii="Arial" w:hAnsi="Arial" w:cs="Arial"/>
        </w:rPr>
        <w:t xml:space="preserve"> of the</w:t>
      </w:r>
      <w:r>
        <w:rPr>
          <w:rFonts w:ascii="Arial" w:hAnsi="Arial" w:cs="Arial"/>
        </w:rPr>
        <w:t xml:space="preserve"> tier two </w:t>
      </w:r>
      <w:r w:rsidR="00594A30">
        <w:rPr>
          <w:rFonts w:ascii="Arial" w:hAnsi="Arial" w:cs="Arial"/>
        </w:rPr>
        <w:t xml:space="preserve">service </w:t>
      </w:r>
      <w:r w:rsidR="008F0157" w:rsidRPr="00393000">
        <w:rPr>
          <w:rFonts w:ascii="Arial" w:hAnsi="Arial" w:cs="Arial"/>
        </w:rPr>
        <w:t>specifications and</w:t>
      </w:r>
      <w:r w:rsidR="008F0157">
        <w:rPr>
          <w:rFonts w:ascii="Arial" w:hAnsi="Arial" w:cs="Arial"/>
        </w:rPr>
        <w:t>, where appropriate,</w:t>
      </w:r>
      <w:r w:rsidR="008F0157" w:rsidRPr="00393000">
        <w:rPr>
          <w:rFonts w:ascii="Arial" w:hAnsi="Arial" w:cs="Arial"/>
        </w:rPr>
        <w:t xml:space="preserve"> tier thr</w:t>
      </w:r>
      <w:r w:rsidR="00546943">
        <w:rPr>
          <w:rFonts w:ascii="Arial" w:hAnsi="Arial" w:cs="Arial"/>
        </w:rPr>
        <w:t xml:space="preserve">ee specifications (see section </w:t>
      </w:r>
      <w:r w:rsidR="00546943" w:rsidRPr="00DD0D3D">
        <w:rPr>
          <w:rFonts w:ascii="Arial" w:hAnsi="Arial" w:cs="Arial"/>
        </w:rPr>
        <w:t>6</w:t>
      </w:r>
      <w:r w:rsidR="008F0157">
        <w:rPr>
          <w:rFonts w:ascii="Arial" w:hAnsi="Arial" w:cs="Arial"/>
        </w:rPr>
        <w:t>, Service Components).</w:t>
      </w:r>
    </w:p>
    <w:p w:rsidR="008F0157" w:rsidRPr="00393000" w:rsidRDefault="00CF6B0B" w:rsidP="008F0157">
      <w:pPr>
        <w:spacing w:before="120"/>
        <w:ind w:right="5"/>
        <w:rPr>
          <w:rFonts w:ascii="Arial" w:hAnsi="Arial" w:cs="Arial"/>
        </w:rPr>
      </w:pPr>
      <w:r w:rsidRPr="00DD0D3D">
        <w:rPr>
          <w:rFonts w:ascii="Arial" w:hAnsi="Arial" w:cs="Arial"/>
        </w:rPr>
        <w:t>Specifications are hierarchical,</w:t>
      </w:r>
      <w:r w:rsidR="00E3339D" w:rsidRPr="00DD0D3D">
        <w:rPr>
          <w:rFonts w:ascii="Arial" w:hAnsi="Arial" w:cs="Arial"/>
        </w:rPr>
        <w:t xml:space="preserve"> so</w:t>
      </w:r>
      <w:r w:rsidRPr="00DD0D3D">
        <w:rPr>
          <w:rFonts w:ascii="Arial" w:hAnsi="Arial" w:cs="Arial"/>
        </w:rPr>
        <w:t xml:space="preserve"> that everything in this specification applies to </w:t>
      </w:r>
      <w:r w:rsidRPr="00DD0D3D">
        <w:rPr>
          <w:rFonts w:ascii="Arial" w:hAnsi="Arial" w:cs="Arial"/>
          <w:i/>
        </w:rPr>
        <w:t>all</w:t>
      </w:r>
      <w:r w:rsidRPr="00DD0D3D">
        <w:rPr>
          <w:rFonts w:ascii="Arial" w:hAnsi="Arial" w:cs="Arial"/>
        </w:rPr>
        <w:t xml:space="preserve"> subordinate </w:t>
      </w:r>
      <w:r w:rsidR="00E3339D" w:rsidRPr="00DD0D3D">
        <w:rPr>
          <w:rFonts w:ascii="Arial" w:hAnsi="Arial" w:cs="Arial"/>
        </w:rPr>
        <w:t>tier t</w:t>
      </w:r>
      <w:r w:rsidRPr="00DD0D3D">
        <w:rPr>
          <w:rFonts w:ascii="Arial" w:hAnsi="Arial" w:cs="Arial"/>
        </w:rPr>
        <w:t>wo and tier three specifications for Public Health Services.  Where a particular tier two specification has one or more subordinat</w:t>
      </w:r>
      <w:r w:rsidR="003D5553" w:rsidRPr="00DD0D3D">
        <w:rPr>
          <w:rFonts w:ascii="Arial" w:hAnsi="Arial" w:cs="Arial"/>
        </w:rPr>
        <w:t>e tier three specifications</w:t>
      </w:r>
      <w:r w:rsidRPr="00DD0D3D">
        <w:rPr>
          <w:rFonts w:ascii="Arial" w:hAnsi="Arial" w:cs="Arial"/>
        </w:rPr>
        <w:t xml:space="preserve"> under it, then that tier two specification</w:t>
      </w:r>
      <w:r w:rsidR="00E3339D" w:rsidRPr="00DD0D3D">
        <w:rPr>
          <w:rFonts w:ascii="Arial" w:hAnsi="Arial" w:cs="Arial"/>
        </w:rPr>
        <w:t xml:space="preserve"> applies to all of those</w:t>
      </w:r>
      <w:r w:rsidRPr="00DD0D3D">
        <w:rPr>
          <w:rFonts w:ascii="Arial" w:hAnsi="Arial" w:cs="Arial"/>
        </w:rPr>
        <w:t xml:space="preserve"> tier three specifications.</w:t>
      </w:r>
    </w:p>
    <w:p w:rsidR="008F0157" w:rsidRPr="00393000" w:rsidRDefault="00546943" w:rsidP="008F0157">
      <w:pPr>
        <w:spacing w:before="240" w:after="120"/>
        <w:ind w:right="6"/>
        <w:rPr>
          <w:rFonts w:ascii="Arial" w:hAnsi="Arial" w:cs="Arial"/>
          <w:b/>
        </w:rPr>
      </w:pPr>
      <w:bookmarkStart w:id="15" w:name="_Toc215319134"/>
      <w:bookmarkEnd w:id="14"/>
      <w:r>
        <w:rPr>
          <w:rFonts w:ascii="Arial" w:hAnsi="Arial" w:cs="Arial"/>
          <w:b/>
        </w:rPr>
        <w:t>1.</w:t>
      </w:r>
      <w:r>
        <w:rPr>
          <w:rFonts w:ascii="Arial" w:hAnsi="Arial" w:cs="Arial"/>
          <w:b/>
        </w:rPr>
        <w:tab/>
      </w:r>
      <w:r w:rsidR="008F0157" w:rsidRPr="00393000">
        <w:rPr>
          <w:rFonts w:ascii="Arial" w:hAnsi="Arial" w:cs="Arial"/>
          <w:b/>
        </w:rPr>
        <w:t xml:space="preserve">Background </w:t>
      </w:r>
      <w:bookmarkEnd w:id="15"/>
    </w:p>
    <w:p w:rsidR="001E4E2C" w:rsidRDefault="003257C8" w:rsidP="00C201CB">
      <w:pPr>
        <w:spacing w:before="120"/>
        <w:rPr>
          <w:rFonts w:ascii="Arial" w:hAnsi="Arial" w:cs="Arial"/>
          <w:color w:val="000000"/>
          <w:lang w:val="en-GB" w:eastAsia="en-GB"/>
        </w:rPr>
      </w:pPr>
      <w:r>
        <w:rPr>
          <w:rFonts w:ascii="Arial" w:hAnsi="Arial" w:cs="Arial"/>
          <w:color w:val="000000"/>
          <w:lang w:val="en-GB" w:eastAsia="en-GB"/>
        </w:rPr>
        <w:t>P</w:t>
      </w:r>
      <w:r w:rsidR="00546943" w:rsidRPr="00393000">
        <w:rPr>
          <w:rFonts w:ascii="Arial" w:hAnsi="Arial" w:cs="Arial"/>
          <w:color w:val="000000"/>
          <w:lang w:val="en-GB" w:eastAsia="en-GB"/>
        </w:rPr>
        <w:t>ublic health</w:t>
      </w:r>
      <w:r w:rsidR="00546943">
        <w:rPr>
          <w:rFonts w:ascii="Arial" w:hAnsi="Arial" w:cs="Arial"/>
          <w:color w:val="000000"/>
          <w:lang w:val="en-GB" w:eastAsia="en-GB"/>
        </w:rPr>
        <w:t xml:space="preserve"> </w:t>
      </w:r>
      <w:r w:rsidR="00546943" w:rsidRPr="00393000">
        <w:rPr>
          <w:rFonts w:ascii="Arial" w:hAnsi="Arial" w:cs="Arial"/>
          <w:color w:val="000000"/>
          <w:lang w:val="en-GB" w:eastAsia="en-GB"/>
        </w:rPr>
        <w:t>is “the science and art of preventing disease, prolonging life and promoting health through the organised efforts of society</w:t>
      </w:r>
      <w:r w:rsidR="00546943">
        <w:rPr>
          <w:rFonts w:ascii="Arial" w:hAnsi="Arial" w:cs="Arial"/>
          <w:color w:val="000000"/>
          <w:lang w:val="en-GB" w:eastAsia="en-GB"/>
        </w:rPr>
        <w:t>”</w:t>
      </w:r>
      <w:r w:rsidR="00546943" w:rsidRPr="00DD0D3D">
        <w:rPr>
          <w:rStyle w:val="FootnoteReference"/>
          <w:rFonts w:ascii="Arial" w:hAnsi="Arial" w:cs="Arial"/>
          <w:color w:val="000000"/>
          <w:sz w:val="22"/>
          <w:szCs w:val="22"/>
          <w:lang w:val="en-GB" w:eastAsia="en-GB"/>
        </w:rPr>
        <w:footnoteReference w:id="1"/>
      </w:r>
      <w:r w:rsidR="00546943">
        <w:rPr>
          <w:rFonts w:ascii="Arial" w:hAnsi="Arial" w:cs="Arial"/>
          <w:color w:val="000000"/>
          <w:lang w:val="en-GB" w:eastAsia="en-GB"/>
        </w:rPr>
        <w:t>.</w:t>
      </w:r>
    </w:p>
    <w:p w:rsidR="001E4E2C" w:rsidRPr="00DD0D3D" w:rsidRDefault="001E4E2C" w:rsidP="00C201CB">
      <w:pPr>
        <w:spacing w:before="120"/>
        <w:rPr>
          <w:rFonts w:ascii="Arial" w:hAnsi="Arial" w:cs="Arial"/>
        </w:rPr>
      </w:pPr>
      <w:r w:rsidRPr="00DD0D3D">
        <w:rPr>
          <w:rFonts w:ascii="Arial" w:hAnsi="Arial" w:cs="Arial"/>
        </w:rPr>
        <w:t xml:space="preserve">Some Public Health Services are mandated by legislation (see section 8.2) and some by international obligations (section 8.3).  Other services are justified on the basis of their efficacy, evidence of health need </w:t>
      </w:r>
      <w:r w:rsidR="003257C8" w:rsidRPr="00DD0D3D">
        <w:rPr>
          <w:rFonts w:ascii="Arial" w:hAnsi="Arial" w:cs="Arial"/>
        </w:rPr>
        <w:t>and</w:t>
      </w:r>
      <w:r w:rsidRPr="00DD0D3D">
        <w:rPr>
          <w:rFonts w:ascii="Arial" w:hAnsi="Arial" w:cs="Arial"/>
        </w:rPr>
        <w:t xml:space="preserve"> good practice. </w:t>
      </w:r>
    </w:p>
    <w:p w:rsidR="001E4E2C" w:rsidRPr="00DD0D3D" w:rsidRDefault="001E4E2C" w:rsidP="00C201CB">
      <w:pPr>
        <w:spacing w:before="120"/>
        <w:rPr>
          <w:rFonts w:ascii="Arial" w:hAnsi="Arial" w:cs="Arial"/>
        </w:rPr>
      </w:pPr>
      <w:r w:rsidRPr="00DD0D3D">
        <w:rPr>
          <w:rFonts w:ascii="Arial" w:hAnsi="Arial" w:cs="Arial"/>
        </w:rPr>
        <w:t xml:space="preserve">In a New Zealand context, the principles of the Treaty of Waitangi / </w:t>
      </w:r>
      <w:proofErr w:type="spellStart"/>
      <w:r w:rsidRPr="00DD0D3D">
        <w:rPr>
          <w:rFonts w:ascii="Arial" w:hAnsi="Arial" w:cs="Arial"/>
        </w:rPr>
        <w:t>Te</w:t>
      </w:r>
      <w:proofErr w:type="spellEnd"/>
      <w:r w:rsidRPr="00DD0D3D">
        <w:rPr>
          <w:rFonts w:ascii="Arial" w:hAnsi="Arial" w:cs="Arial"/>
        </w:rPr>
        <w:t xml:space="preserve"> </w:t>
      </w:r>
      <w:proofErr w:type="spellStart"/>
      <w:r w:rsidRPr="00DD0D3D">
        <w:rPr>
          <w:rFonts w:ascii="Arial" w:hAnsi="Arial" w:cs="Arial"/>
        </w:rPr>
        <w:t>Tiriti</w:t>
      </w:r>
      <w:proofErr w:type="spellEnd"/>
      <w:r w:rsidRPr="00DD0D3D">
        <w:rPr>
          <w:rFonts w:ascii="Arial" w:hAnsi="Arial" w:cs="Arial"/>
        </w:rPr>
        <w:t xml:space="preserve"> o Waitangi, including partnership, protection and participation, are also relevant to the planning and delivery of Public Health Services.</w:t>
      </w:r>
    </w:p>
    <w:p w:rsidR="00546943" w:rsidRPr="00DD0D3D" w:rsidRDefault="008677AF" w:rsidP="00C201CB">
      <w:pPr>
        <w:spacing w:before="120"/>
        <w:rPr>
          <w:rFonts w:ascii="Arial" w:hAnsi="Arial" w:cs="Arial"/>
        </w:rPr>
      </w:pPr>
      <w:r w:rsidRPr="00DD0D3D">
        <w:rPr>
          <w:rFonts w:ascii="Arial" w:hAnsi="Arial" w:cs="Arial"/>
        </w:rPr>
        <w:t>In providing for the funding and provisio</w:t>
      </w:r>
      <w:r w:rsidR="00A811A7" w:rsidRPr="00DD0D3D">
        <w:rPr>
          <w:rFonts w:ascii="Arial" w:hAnsi="Arial" w:cs="Arial"/>
        </w:rPr>
        <w:t>n of Public Health S</w:t>
      </w:r>
      <w:r w:rsidRPr="00DD0D3D">
        <w:rPr>
          <w:rFonts w:ascii="Arial" w:hAnsi="Arial" w:cs="Arial"/>
        </w:rPr>
        <w:t>ervices, the</w:t>
      </w:r>
      <w:r w:rsidR="00546943" w:rsidRPr="00DD0D3D">
        <w:rPr>
          <w:rFonts w:ascii="Arial" w:hAnsi="Arial" w:cs="Arial"/>
        </w:rPr>
        <w:t xml:space="preserve"> </w:t>
      </w:r>
      <w:r w:rsidRPr="00DD0D3D">
        <w:rPr>
          <w:rFonts w:ascii="Arial" w:hAnsi="Arial" w:cs="Arial"/>
        </w:rPr>
        <w:t xml:space="preserve">New Zealand Public Health and Disability Act 2000 </w:t>
      </w:r>
      <w:r w:rsidR="00546943" w:rsidRPr="00DD0D3D">
        <w:rPr>
          <w:rFonts w:ascii="Arial" w:hAnsi="Arial" w:cs="Arial"/>
        </w:rPr>
        <w:t>has as its purposes</w:t>
      </w:r>
      <w:r w:rsidRPr="00DD0D3D">
        <w:rPr>
          <w:rFonts w:ascii="Arial" w:hAnsi="Arial" w:cs="Arial"/>
        </w:rPr>
        <w:t xml:space="preserve"> the improvement, promotion and protection of the health of </w:t>
      </w:r>
      <w:r w:rsidR="00E3339D" w:rsidRPr="00DD0D3D">
        <w:rPr>
          <w:rFonts w:ascii="Arial" w:hAnsi="Arial" w:cs="Arial"/>
        </w:rPr>
        <w:t xml:space="preserve">all </w:t>
      </w:r>
      <w:r w:rsidRPr="00DD0D3D">
        <w:rPr>
          <w:rFonts w:ascii="Arial" w:hAnsi="Arial" w:cs="Arial"/>
        </w:rPr>
        <w:t>New Zealanders.  Under the Health Act 1956 t</w:t>
      </w:r>
      <w:r w:rsidR="008F0157" w:rsidRPr="00DD0D3D">
        <w:rPr>
          <w:rFonts w:ascii="Arial" w:hAnsi="Arial" w:cs="Arial"/>
        </w:rPr>
        <w:t xml:space="preserve">he Ministry of Health (the Ministry) </w:t>
      </w:r>
      <w:r w:rsidR="003D5553" w:rsidRPr="00DD0D3D">
        <w:rPr>
          <w:rFonts w:ascii="Arial" w:hAnsi="Arial" w:cs="Arial"/>
        </w:rPr>
        <w:t>has a</w:t>
      </w:r>
      <w:r w:rsidR="00546943" w:rsidRPr="00DD0D3D">
        <w:rPr>
          <w:rFonts w:ascii="Arial" w:hAnsi="Arial" w:cs="Arial"/>
        </w:rPr>
        <w:t xml:space="preserve"> </w:t>
      </w:r>
      <w:r w:rsidR="008F0157" w:rsidRPr="00DD0D3D">
        <w:rPr>
          <w:rFonts w:ascii="Arial" w:hAnsi="Arial" w:cs="Arial"/>
        </w:rPr>
        <w:t>statutory function to improve, promo</w:t>
      </w:r>
      <w:r w:rsidR="00546943" w:rsidRPr="00DD0D3D">
        <w:rPr>
          <w:rFonts w:ascii="Arial" w:hAnsi="Arial" w:cs="Arial"/>
        </w:rPr>
        <w:t>te and protect public health.</w:t>
      </w:r>
    </w:p>
    <w:p w:rsidR="008F0157" w:rsidRDefault="008677AF" w:rsidP="00C201CB">
      <w:pPr>
        <w:spacing w:before="120"/>
        <w:rPr>
          <w:rFonts w:ascii="Arial" w:hAnsi="Arial" w:cs="Arial"/>
          <w:strike/>
        </w:rPr>
      </w:pPr>
      <w:r w:rsidRPr="00DD0D3D">
        <w:rPr>
          <w:rFonts w:ascii="Arial" w:hAnsi="Arial" w:cs="Arial"/>
        </w:rPr>
        <w:t>The Ministry</w:t>
      </w:r>
      <w:r w:rsidR="008F0157" w:rsidRPr="00393000">
        <w:rPr>
          <w:rFonts w:ascii="Arial" w:hAnsi="Arial" w:cs="Arial"/>
        </w:rPr>
        <w:t xml:space="preserve"> is accountable to the Minister</w:t>
      </w:r>
      <w:r w:rsidR="008F0157">
        <w:rPr>
          <w:rFonts w:ascii="Arial" w:hAnsi="Arial" w:cs="Arial"/>
        </w:rPr>
        <w:t xml:space="preserve"> of Health</w:t>
      </w:r>
      <w:r w:rsidR="008F0157" w:rsidRPr="00393000">
        <w:rPr>
          <w:rFonts w:ascii="Arial" w:hAnsi="Arial" w:cs="Arial"/>
        </w:rPr>
        <w:t xml:space="preserve"> for discharging the Crown's responsibilities for public health protection and </w:t>
      </w:r>
      <w:r w:rsidR="008F0157">
        <w:rPr>
          <w:rFonts w:ascii="Arial" w:hAnsi="Arial" w:cs="Arial"/>
        </w:rPr>
        <w:t xml:space="preserve">the administration of </w:t>
      </w:r>
      <w:r w:rsidR="008F0157" w:rsidRPr="00393000">
        <w:rPr>
          <w:rFonts w:ascii="Arial" w:hAnsi="Arial" w:cs="Arial"/>
        </w:rPr>
        <w:t>legislation.  The Ministry is therefore responsible for planning, specifying, funding and</w:t>
      </w:r>
      <w:r w:rsidR="003C450E">
        <w:rPr>
          <w:rFonts w:ascii="Arial" w:hAnsi="Arial" w:cs="Arial"/>
        </w:rPr>
        <w:t>,</w:t>
      </w:r>
      <w:r w:rsidR="008F0157" w:rsidRPr="00393000">
        <w:rPr>
          <w:rFonts w:ascii="Arial" w:hAnsi="Arial" w:cs="Arial"/>
        </w:rPr>
        <w:t xml:space="preserve"> in some cases</w:t>
      </w:r>
      <w:r w:rsidR="003C450E">
        <w:rPr>
          <w:rFonts w:ascii="Arial" w:hAnsi="Arial" w:cs="Arial"/>
        </w:rPr>
        <w:t>,</w:t>
      </w:r>
      <w:r w:rsidR="008F0157" w:rsidRPr="00393000">
        <w:rPr>
          <w:rFonts w:ascii="Arial" w:hAnsi="Arial" w:cs="Arial"/>
        </w:rPr>
        <w:t xml:space="preserve"> delivering Public Health Services at a national level</w:t>
      </w:r>
      <w:r w:rsidR="008F0157" w:rsidRPr="00DD0D3D">
        <w:rPr>
          <w:rFonts w:ascii="Arial" w:hAnsi="Arial" w:cs="Arial"/>
        </w:rPr>
        <w:t>.</w:t>
      </w:r>
      <w:r w:rsidR="0086604B" w:rsidRPr="00DD0D3D">
        <w:rPr>
          <w:rFonts w:ascii="Arial" w:hAnsi="Arial" w:cs="Arial"/>
        </w:rPr>
        <w:t xml:space="preserve">  The Ministry’s leadership role is augmented by the</w:t>
      </w:r>
      <w:r w:rsidRPr="00DD0D3D">
        <w:rPr>
          <w:rFonts w:ascii="Arial" w:hAnsi="Arial" w:cs="Arial"/>
        </w:rPr>
        <w:t xml:space="preserve"> functions and</w:t>
      </w:r>
      <w:r w:rsidR="0086604B" w:rsidRPr="00DD0D3D">
        <w:rPr>
          <w:rFonts w:ascii="Arial" w:hAnsi="Arial" w:cs="Arial"/>
        </w:rPr>
        <w:t xml:space="preserve"> statutory independence of the Director of Public Health.</w:t>
      </w:r>
    </w:p>
    <w:p w:rsidR="008F0157" w:rsidRPr="00393000" w:rsidRDefault="008F0157" w:rsidP="00C201CB">
      <w:pPr>
        <w:autoSpaceDE w:val="0"/>
        <w:autoSpaceDN w:val="0"/>
        <w:adjustRightInd w:val="0"/>
        <w:spacing w:before="120"/>
        <w:ind w:right="6"/>
        <w:rPr>
          <w:rFonts w:ascii="Arial" w:hAnsi="Arial" w:cs="Arial"/>
          <w:color w:val="000000"/>
          <w:lang w:val="en-GB" w:eastAsia="en-GB"/>
        </w:rPr>
      </w:pPr>
      <w:r w:rsidRPr="00393000">
        <w:rPr>
          <w:rFonts w:ascii="Arial" w:hAnsi="Arial" w:cs="Arial"/>
          <w:color w:val="000000"/>
          <w:lang w:val="en-GB" w:eastAsia="en-GB"/>
        </w:rPr>
        <w:t xml:space="preserve">There is solid evidence of major health gains from </w:t>
      </w:r>
      <w:r w:rsidRPr="00DD0D3D">
        <w:rPr>
          <w:rFonts w:ascii="Arial" w:hAnsi="Arial" w:cs="Arial"/>
          <w:color w:val="000000"/>
          <w:lang w:val="en-GB" w:eastAsia="en-GB"/>
        </w:rPr>
        <w:t>preventive</w:t>
      </w:r>
      <w:r>
        <w:rPr>
          <w:rFonts w:ascii="Arial" w:hAnsi="Arial" w:cs="Arial"/>
          <w:color w:val="000000"/>
          <w:lang w:val="en-GB" w:eastAsia="en-GB"/>
        </w:rPr>
        <w:t xml:space="preserve"> </w:t>
      </w:r>
      <w:r w:rsidRPr="00393000">
        <w:rPr>
          <w:rFonts w:ascii="Arial" w:hAnsi="Arial" w:cs="Arial"/>
          <w:color w:val="000000"/>
          <w:lang w:val="en-GB" w:eastAsia="en-GB"/>
        </w:rPr>
        <w:t xml:space="preserve">services that address not only individual behaviour but also the environments in which people live.  </w:t>
      </w:r>
      <w:r w:rsidRPr="00393000">
        <w:rPr>
          <w:rFonts w:ascii="Arial" w:hAnsi="Arial" w:cs="Arial"/>
          <w:color w:val="000000"/>
          <w:lang w:eastAsia="en-GB"/>
        </w:rPr>
        <w:t>Because many of the strongest influences on health and wellbeing come from outside the health sector, effective action to sust</w:t>
      </w:r>
      <w:r w:rsidR="003D5553">
        <w:rPr>
          <w:rFonts w:ascii="Arial" w:hAnsi="Arial" w:cs="Arial"/>
          <w:color w:val="000000"/>
          <w:lang w:eastAsia="en-GB"/>
        </w:rPr>
        <w:t>ain and improve public</w:t>
      </w:r>
      <w:r w:rsidRPr="00393000">
        <w:rPr>
          <w:rFonts w:ascii="Arial" w:hAnsi="Arial" w:cs="Arial"/>
          <w:color w:val="000000"/>
          <w:lang w:eastAsia="en-GB"/>
        </w:rPr>
        <w:t xml:space="preserve"> health cannot be solely the responsibility of the health sector</w:t>
      </w:r>
      <w:r w:rsidRPr="00DD0D3D">
        <w:rPr>
          <w:rStyle w:val="FootnoteReference"/>
          <w:rFonts w:ascii="Arial" w:hAnsi="Arial" w:cs="Arial"/>
          <w:color w:val="000000"/>
          <w:sz w:val="22"/>
          <w:szCs w:val="22"/>
          <w:lang w:eastAsia="en-GB"/>
        </w:rPr>
        <w:footnoteReference w:id="2"/>
      </w:r>
      <w:r w:rsidRPr="00393000">
        <w:rPr>
          <w:rFonts w:ascii="Arial" w:hAnsi="Arial" w:cs="Arial"/>
          <w:color w:val="000000"/>
          <w:lang w:eastAsia="en-GB"/>
        </w:rPr>
        <w:t>.  This requires coordinated action across different areas of government and addresses a broad range of social, economic and lifestyle issues</w:t>
      </w:r>
      <w:r w:rsidRPr="00DD0D3D">
        <w:rPr>
          <w:rStyle w:val="FootnoteReference"/>
          <w:rFonts w:ascii="Arial" w:hAnsi="Arial" w:cs="Arial"/>
          <w:color w:val="000000"/>
          <w:sz w:val="22"/>
          <w:szCs w:val="22"/>
          <w:lang w:eastAsia="en-GB"/>
        </w:rPr>
        <w:footnoteReference w:id="3"/>
      </w:r>
      <w:r w:rsidRPr="00393000">
        <w:rPr>
          <w:rFonts w:ascii="Arial" w:hAnsi="Arial" w:cs="Arial"/>
          <w:color w:val="000000"/>
          <w:lang w:eastAsia="en-GB"/>
        </w:rPr>
        <w:t>.</w:t>
      </w:r>
    </w:p>
    <w:p w:rsidR="008F0157" w:rsidRDefault="00A811A7" w:rsidP="00C201CB">
      <w:pPr>
        <w:pStyle w:val="BodyText"/>
        <w:spacing w:before="120" w:after="0"/>
        <w:ind w:right="5"/>
        <w:rPr>
          <w:rFonts w:cs="Arial"/>
          <w:color w:val="000000"/>
          <w:sz w:val="24"/>
          <w:lang w:eastAsia="en-GB"/>
        </w:rPr>
      </w:pPr>
      <w:r>
        <w:rPr>
          <w:rFonts w:cs="Arial"/>
          <w:color w:val="000000"/>
          <w:sz w:val="24"/>
          <w:lang w:eastAsia="en-GB"/>
        </w:rPr>
        <w:t>Public Health S</w:t>
      </w:r>
      <w:r w:rsidR="008F0157">
        <w:rPr>
          <w:rFonts w:cs="Arial"/>
          <w:color w:val="000000"/>
          <w:sz w:val="24"/>
          <w:lang w:eastAsia="en-GB"/>
        </w:rPr>
        <w:t>ervices are</w:t>
      </w:r>
      <w:r w:rsidR="008F0157" w:rsidRPr="00393000">
        <w:rPr>
          <w:rFonts w:cs="Arial"/>
          <w:color w:val="000000"/>
          <w:sz w:val="24"/>
          <w:lang w:eastAsia="en-GB"/>
        </w:rPr>
        <w:t xml:space="preserve"> provided</w:t>
      </w:r>
      <w:r w:rsidR="008F0157">
        <w:rPr>
          <w:rFonts w:cs="Arial"/>
          <w:color w:val="000000"/>
          <w:sz w:val="24"/>
          <w:lang w:eastAsia="en-GB"/>
        </w:rPr>
        <w:t xml:space="preserve"> either</w:t>
      </w:r>
      <w:r w:rsidR="008F0157" w:rsidRPr="00393000">
        <w:rPr>
          <w:rFonts w:cs="Arial"/>
          <w:color w:val="000000"/>
          <w:sz w:val="24"/>
          <w:lang w:eastAsia="en-GB"/>
        </w:rPr>
        <w:t xml:space="preserve"> directly by the Ministry, </w:t>
      </w:r>
      <w:r w:rsidR="008F0157">
        <w:rPr>
          <w:rFonts w:cs="Arial"/>
          <w:color w:val="000000"/>
          <w:sz w:val="24"/>
          <w:lang w:eastAsia="en-GB"/>
        </w:rPr>
        <w:t xml:space="preserve">or </w:t>
      </w:r>
      <w:r w:rsidR="008F0157" w:rsidRPr="00393000">
        <w:rPr>
          <w:rFonts w:cs="Arial"/>
          <w:color w:val="000000"/>
          <w:sz w:val="24"/>
          <w:lang w:eastAsia="en-GB"/>
        </w:rPr>
        <w:t>by the Ministry contractin</w:t>
      </w:r>
      <w:r w:rsidR="008F0157">
        <w:rPr>
          <w:rFonts w:cs="Arial"/>
          <w:color w:val="000000"/>
          <w:sz w:val="24"/>
          <w:lang w:eastAsia="en-GB"/>
        </w:rPr>
        <w:t xml:space="preserve">g </w:t>
      </w:r>
      <w:r w:rsidR="003257C8">
        <w:rPr>
          <w:rFonts w:cs="Arial"/>
          <w:color w:val="000000"/>
          <w:sz w:val="24"/>
          <w:lang w:eastAsia="en-GB"/>
        </w:rPr>
        <w:t>with</w:t>
      </w:r>
      <w:r w:rsidR="00594A30">
        <w:rPr>
          <w:rFonts w:cs="Arial"/>
          <w:color w:val="000000"/>
          <w:sz w:val="24"/>
          <w:lang w:eastAsia="en-GB"/>
        </w:rPr>
        <w:t xml:space="preserve"> </w:t>
      </w:r>
      <w:r w:rsidR="00594A30" w:rsidRPr="00DD0D3D">
        <w:rPr>
          <w:rFonts w:cs="Arial"/>
          <w:color w:val="000000"/>
          <w:sz w:val="24"/>
          <w:lang w:val="en-GB" w:eastAsia="en-GB"/>
        </w:rPr>
        <w:t>a wide range of service providers</w:t>
      </w:r>
      <w:r w:rsidR="00594A30" w:rsidRPr="00DD0D3D">
        <w:rPr>
          <w:rStyle w:val="FootnoteReference"/>
          <w:rFonts w:cs="Arial"/>
          <w:sz w:val="22"/>
          <w:szCs w:val="22"/>
          <w:lang w:eastAsia="en-GB"/>
        </w:rPr>
        <w:footnoteReference w:id="4"/>
      </w:r>
      <w:r w:rsidR="008F0157" w:rsidRPr="00DD0D3D">
        <w:rPr>
          <w:rFonts w:cs="Arial"/>
          <w:color w:val="000000"/>
          <w:sz w:val="24"/>
          <w:lang w:val="en-GB" w:eastAsia="en-GB"/>
        </w:rPr>
        <w:t xml:space="preserve">.  </w:t>
      </w:r>
      <w:r w:rsidR="00594A30" w:rsidRPr="00DD0D3D">
        <w:rPr>
          <w:rFonts w:cs="Arial"/>
          <w:color w:val="000000"/>
          <w:sz w:val="24"/>
          <w:lang w:val="en-GB" w:eastAsia="en-GB"/>
        </w:rPr>
        <w:t xml:space="preserve">Service providers will take an </w:t>
      </w:r>
      <w:r w:rsidR="00594A30" w:rsidRPr="00DD0D3D">
        <w:rPr>
          <w:rFonts w:cs="Arial"/>
          <w:color w:val="000000"/>
          <w:sz w:val="24"/>
          <w:lang w:val="en-GB" w:eastAsia="en-GB"/>
        </w:rPr>
        <w:lastRenderedPageBreak/>
        <w:t>integrated approach to service planning and delivery, and work collaboratively with other public health and personal health service providers</w:t>
      </w:r>
      <w:r w:rsidR="008F0157" w:rsidRPr="00DD0D3D">
        <w:rPr>
          <w:rFonts w:cs="Arial"/>
          <w:color w:val="000000"/>
          <w:sz w:val="24"/>
          <w:lang w:val="en-GB" w:eastAsia="en-GB"/>
        </w:rPr>
        <w:t>.</w:t>
      </w:r>
    </w:p>
    <w:p w:rsidR="00546943" w:rsidRPr="00C201CB" w:rsidRDefault="00546943" w:rsidP="00C201CB">
      <w:pPr>
        <w:pStyle w:val="BodyText"/>
        <w:spacing w:before="120" w:after="0"/>
        <w:ind w:right="5"/>
        <w:rPr>
          <w:rFonts w:cs="Arial"/>
          <w:color w:val="000000"/>
          <w:sz w:val="24"/>
          <w:lang w:eastAsia="en-GB"/>
        </w:rPr>
      </w:pPr>
      <w:r w:rsidRPr="00C201CB">
        <w:rPr>
          <w:rFonts w:cs="Arial"/>
          <w:color w:val="000000"/>
          <w:sz w:val="24"/>
          <w:lang w:eastAsia="en-GB"/>
        </w:rPr>
        <w:t xml:space="preserve">The relationship accord </w:t>
      </w:r>
      <w:r w:rsidRPr="00C201CB">
        <w:rPr>
          <w:rFonts w:cs="Arial"/>
          <w:i/>
          <w:color w:val="000000"/>
          <w:sz w:val="24"/>
          <w:lang w:eastAsia="en-GB"/>
        </w:rPr>
        <w:t xml:space="preserve">Kia </w:t>
      </w:r>
      <w:proofErr w:type="spellStart"/>
      <w:r w:rsidRPr="00C201CB">
        <w:rPr>
          <w:rFonts w:cs="Arial"/>
          <w:i/>
          <w:color w:val="000000"/>
          <w:sz w:val="24"/>
          <w:lang w:eastAsia="en-GB"/>
        </w:rPr>
        <w:t>Tutahi</w:t>
      </w:r>
      <w:proofErr w:type="spellEnd"/>
      <w:r w:rsidRPr="00C201CB">
        <w:rPr>
          <w:rFonts w:cs="Arial"/>
          <w:i/>
          <w:color w:val="000000"/>
          <w:sz w:val="24"/>
          <w:lang w:eastAsia="en-GB"/>
        </w:rPr>
        <w:t xml:space="preserve"> standing together</w:t>
      </w:r>
      <w:r w:rsidRPr="00C201CB">
        <w:rPr>
          <w:rStyle w:val="FootnoteReference"/>
          <w:rFonts w:cs="Arial"/>
          <w:color w:val="000000"/>
          <w:sz w:val="24"/>
          <w:lang w:eastAsia="en-GB"/>
        </w:rPr>
        <w:footnoteReference w:id="5"/>
      </w:r>
      <w:r w:rsidRPr="00C201CB">
        <w:rPr>
          <w:rFonts w:cs="Arial"/>
          <w:color w:val="000000"/>
          <w:sz w:val="24"/>
          <w:lang w:eastAsia="en-GB"/>
        </w:rPr>
        <w:t xml:space="preserve"> is recognised as underpinning the multiple relationships between the Ministry and NGO providers. </w:t>
      </w:r>
    </w:p>
    <w:p w:rsidR="00F747E8" w:rsidRPr="00C201CB" w:rsidRDefault="00887A56" w:rsidP="00C201CB">
      <w:pPr>
        <w:pStyle w:val="BodyText"/>
        <w:spacing w:before="120" w:after="0"/>
        <w:ind w:right="5"/>
        <w:rPr>
          <w:rFonts w:cs="Arial"/>
          <w:color w:val="000000"/>
          <w:sz w:val="24"/>
          <w:lang w:eastAsia="en-GB"/>
        </w:rPr>
      </w:pPr>
      <w:r w:rsidRPr="00C201CB">
        <w:rPr>
          <w:rFonts w:cs="Arial"/>
          <w:color w:val="000000"/>
          <w:sz w:val="24"/>
          <w:lang w:eastAsia="en-GB"/>
        </w:rPr>
        <w:t>Priority areas</w:t>
      </w:r>
      <w:r w:rsidR="00F747E8" w:rsidRPr="00C201CB">
        <w:rPr>
          <w:rFonts w:cs="Arial"/>
          <w:color w:val="000000"/>
          <w:sz w:val="24"/>
          <w:lang w:eastAsia="en-GB"/>
        </w:rPr>
        <w:t xml:space="preserve"> for Public Health Services include </w:t>
      </w:r>
      <w:r w:rsidRPr="00C201CB">
        <w:rPr>
          <w:rFonts w:cs="Arial"/>
          <w:color w:val="000000"/>
          <w:sz w:val="24"/>
          <w:lang w:eastAsia="en-GB"/>
        </w:rPr>
        <w:t>addressing non</w:t>
      </w:r>
      <w:r w:rsidR="00DD0D3D" w:rsidRPr="00C201CB">
        <w:rPr>
          <w:rFonts w:cs="Arial"/>
          <w:color w:val="000000"/>
          <w:sz w:val="24"/>
          <w:lang w:eastAsia="en-GB"/>
        </w:rPr>
        <w:t>-</w:t>
      </w:r>
      <w:r w:rsidRPr="00C201CB">
        <w:rPr>
          <w:rFonts w:cs="Arial"/>
          <w:color w:val="000000"/>
          <w:sz w:val="24"/>
          <w:lang w:eastAsia="en-GB"/>
        </w:rPr>
        <w:t>communicable disease risk factors, improved prevention and control of infectious diseases, mental health promotion, well</w:t>
      </w:r>
      <w:r w:rsidR="00CD2594" w:rsidRPr="00C201CB">
        <w:rPr>
          <w:rFonts w:cs="Arial"/>
          <w:color w:val="000000"/>
          <w:sz w:val="24"/>
          <w:lang w:eastAsia="en-GB"/>
        </w:rPr>
        <w:t xml:space="preserve"> </w:t>
      </w:r>
      <w:r w:rsidRPr="00C201CB">
        <w:rPr>
          <w:rFonts w:cs="Arial"/>
          <w:color w:val="000000"/>
          <w:sz w:val="24"/>
          <w:lang w:eastAsia="en-GB"/>
        </w:rPr>
        <w:t>child promotion, environmental health and improved</w:t>
      </w:r>
      <w:r w:rsidR="00F747E8" w:rsidRPr="00C201CB">
        <w:rPr>
          <w:rFonts w:cs="Arial"/>
          <w:color w:val="000000"/>
          <w:sz w:val="24"/>
          <w:lang w:eastAsia="en-GB"/>
        </w:rPr>
        <w:t xml:space="preserve"> </w:t>
      </w:r>
      <w:r w:rsidRPr="00C201CB">
        <w:rPr>
          <w:rFonts w:cs="Arial"/>
          <w:color w:val="000000"/>
          <w:sz w:val="24"/>
          <w:lang w:eastAsia="en-GB"/>
        </w:rPr>
        <w:t>coordination</w:t>
      </w:r>
      <w:r w:rsidR="00F747E8" w:rsidRPr="00C201CB">
        <w:rPr>
          <w:rFonts w:cs="Arial"/>
          <w:color w:val="000000"/>
          <w:sz w:val="24"/>
          <w:lang w:eastAsia="en-GB"/>
        </w:rPr>
        <w:t xml:space="preserve"> between </w:t>
      </w:r>
      <w:r w:rsidRPr="00C201CB">
        <w:rPr>
          <w:rFonts w:cs="Arial"/>
          <w:color w:val="000000"/>
          <w:sz w:val="24"/>
          <w:lang w:eastAsia="en-GB"/>
        </w:rPr>
        <w:t>health providers and between Public Health S</w:t>
      </w:r>
      <w:r w:rsidR="00F747E8" w:rsidRPr="00C201CB">
        <w:rPr>
          <w:rFonts w:cs="Arial"/>
          <w:color w:val="000000"/>
          <w:sz w:val="24"/>
          <w:lang w:eastAsia="en-GB"/>
        </w:rPr>
        <w:t>ervice providers</w:t>
      </w:r>
      <w:r w:rsidRPr="00C201CB">
        <w:rPr>
          <w:rFonts w:cs="Arial"/>
          <w:color w:val="000000"/>
          <w:sz w:val="24"/>
          <w:lang w:eastAsia="en-GB"/>
        </w:rPr>
        <w:t xml:space="preserve"> and other sectors</w:t>
      </w:r>
      <w:r w:rsidR="00F747E8" w:rsidRPr="00C201CB">
        <w:rPr>
          <w:rFonts w:cs="Arial"/>
          <w:color w:val="000000"/>
          <w:sz w:val="24"/>
          <w:lang w:eastAsia="en-GB"/>
        </w:rPr>
        <w:t>.</w:t>
      </w:r>
    </w:p>
    <w:p w:rsidR="008F0157" w:rsidRPr="00C201CB" w:rsidRDefault="008F0157" w:rsidP="00C201CB">
      <w:pPr>
        <w:spacing w:before="120"/>
        <w:ind w:left="57" w:right="5" w:hanging="57"/>
        <w:rPr>
          <w:rFonts w:ascii="Arial" w:hAnsi="Arial" w:cs="Arial"/>
          <w:color w:val="000000"/>
          <w:lang w:val="en-US"/>
        </w:rPr>
      </w:pPr>
      <w:r w:rsidRPr="00C201CB">
        <w:rPr>
          <w:rFonts w:ascii="Arial" w:hAnsi="Arial" w:cs="Arial"/>
          <w:b/>
          <w:i/>
          <w:color w:val="000000"/>
          <w:lang w:val="en-US"/>
        </w:rPr>
        <w:t>Vision</w:t>
      </w:r>
      <w:r w:rsidR="00706CFA" w:rsidRPr="00C201CB">
        <w:rPr>
          <w:rFonts w:ascii="Arial" w:hAnsi="Arial" w:cs="Arial"/>
          <w:b/>
          <w:i/>
          <w:color w:val="000000"/>
          <w:lang w:val="en-US"/>
        </w:rPr>
        <w:t xml:space="preserve"> and Principles</w:t>
      </w:r>
      <w:r w:rsidRPr="00C201CB">
        <w:rPr>
          <w:rFonts w:ascii="Arial" w:hAnsi="Arial" w:cs="Arial"/>
          <w:b/>
          <w:i/>
          <w:color w:val="000000"/>
          <w:lang w:val="en-US"/>
        </w:rPr>
        <w:t>:</w:t>
      </w:r>
      <w:r w:rsidRPr="00C201CB">
        <w:rPr>
          <w:rFonts w:ascii="Arial" w:hAnsi="Arial" w:cs="Arial"/>
          <w:color w:val="000000"/>
          <w:lang w:val="en-US"/>
        </w:rPr>
        <w:t xml:space="preserve">  </w:t>
      </w:r>
      <w:r w:rsidR="00706CFA" w:rsidRPr="00C201CB">
        <w:rPr>
          <w:rFonts w:ascii="Arial" w:hAnsi="Arial" w:cs="Arial"/>
          <w:color w:val="000000"/>
          <w:lang w:eastAsia="en-GB"/>
        </w:rPr>
        <w:t xml:space="preserve">The </w:t>
      </w:r>
      <w:r w:rsidR="00A811A7" w:rsidRPr="00C201CB">
        <w:rPr>
          <w:rFonts w:ascii="Arial" w:hAnsi="Arial" w:cs="Arial"/>
          <w:color w:val="000000"/>
          <w:lang w:eastAsia="en-GB"/>
        </w:rPr>
        <w:t>Ministry’s vision for Public H</w:t>
      </w:r>
      <w:r w:rsidRPr="00C201CB">
        <w:rPr>
          <w:rFonts w:ascii="Arial" w:hAnsi="Arial" w:cs="Arial"/>
          <w:color w:val="000000"/>
          <w:lang w:eastAsia="en-GB"/>
        </w:rPr>
        <w:t xml:space="preserve">ealth </w:t>
      </w:r>
      <w:r w:rsidR="00A811A7" w:rsidRPr="00C201CB">
        <w:rPr>
          <w:rFonts w:ascii="Arial" w:hAnsi="Arial" w:cs="Arial"/>
          <w:color w:val="000000"/>
          <w:lang w:eastAsia="en-GB"/>
        </w:rPr>
        <w:t>S</w:t>
      </w:r>
      <w:r w:rsidR="00706CFA" w:rsidRPr="00C201CB">
        <w:rPr>
          <w:rFonts w:ascii="Arial" w:hAnsi="Arial" w:cs="Arial"/>
          <w:color w:val="000000"/>
          <w:lang w:eastAsia="en-GB"/>
        </w:rPr>
        <w:t xml:space="preserve">ervices, </w:t>
      </w:r>
      <w:r w:rsidR="00580A98" w:rsidRPr="00C201CB">
        <w:rPr>
          <w:rFonts w:ascii="Arial" w:hAnsi="Arial" w:cs="Arial"/>
          <w:color w:val="000000"/>
          <w:lang w:eastAsia="en-GB"/>
        </w:rPr>
        <w:t xml:space="preserve">being </w:t>
      </w:r>
      <w:r w:rsidR="00546943" w:rsidRPr="00C201CB">
        <w:rPr>
          <w:rFonts w:ascii="Arial" w:hAnsi="Arial" w:cs="Arial"/>
          <w:color w:val="000000"/>
          <w:lang w:eastAsia="en-GB"/>
        </w:rPr>
        <w:t>both part of and</w:t>
      </w:r>
      <w:r w:rsidR="00706CFA" w:rsidRPr="00C201CB">
        <w:rPr>
          <w:rFonts w:ascii="Arial" w:hAnsi="Arial" w:cs="Arial"/>
          <w:color w:val="000000"/>
          <w:lang w:eastAsia="en-GB"/>
        </w:rPr>
        <w:t xml:space="preserve"> </w:t>
      </w:r>
      <w:r w:rsidR="00580A98" w:rsidRPr="00C201CB">
        <w:rPr>
          <w:rFonts w:ascii="Arial" w:hAnsi="Arial" w:cs="Arial"/>
          <w:color w:val="000000"/>
          <w:lang w:eastAsia="en-GB"/>
        </w:rPr>
        <w:t xml:space="preserve">acting as </w:t>
      </w:r>
      <w:r w:rsidR="00546943" w:rsidRPr="00C201CB">
        <w:rPr>
          <w:rFonts w:ascii="Arial" w:hAnsi="Arial" w:cs="Arial"/>
          <w:color w:val="000000"/>
          <w:lang w:eastAsia="en-GB"/>
        </w:rPr>
        <w:t>a catalyst for</w:t>
      </w:r>
      <w:r w:rsidR="00706CFA" w:rsidRPr="00C201CB">
        <w:rPr>
          <w:rFonts w:ascii="Arial" w:hAnsi="Arial" w:cs="Arial"/>
          <w:color w:val="000000"/>
          <w:lang w:eastAsia="en-GB"/>
        </w:rPr>
        <w:t xml:space="preserve"> the organised efforts of society, is</w:t>
      </w:r>
      <w:r w:rsidRPr="00C201CB">
        <w:rPr>
          <w:rFonts w:ascii="Arial" w:hAnsi="Arial" w:cs="Arial"/>
          <w:color w:val="000000"/>
          <w:lang w:eastAsia="en-GB"/>
        </w:rPr>
        <w:t xml:space="preserve"> to improve, promote and protect the health</w:t>
      </w:r>
      <w:r w:rsidR="006C1914" w:rsidRPr="00C201CB">
        <w:rPr>
          <w:rFonts w:ascii="Arial" w:hAnsi="Arial" w:cs="Arial"/>
          <w:color w:val="000000"/>
          <w:lang w:eastAsia="en-GB"/>
        </w:rPr>
        <w:t xml:space="preserve"> and independence</w:t>
      </w:r>
      <w:r w:rsidRPr="00C201CB">
        <w:rPr>
          <w:rFonts w:ascii="Arial" w:hAnsi="Arial" w:cs="Arial"/>
          <w:color w:val="000000"/>
          <w:lang w:eastAsia="en-GB"/>
        </w:rPr>
        <w:t xml:space="preserve"> of New Zealanders by supporting</w:t>
      </w:r>
      <w:r w:rsidR="004A5719" w:rsidRPr="00C201CB">
        <w:rPr>
          <w:rFonts w:ascii="Arial" w:hAnsi="Arial" w:cs="Arial"/>
          <w:color w:val="000000"/>
          <w:lang w:eastAsia="en-GB"/>
        </w:rPr>
        <w:t xml:space="preserve"> and enabling</w:t>
      </w:r>
      <w:r w:rsidRPr="00C201CB">
        <w:rPr>
          <w:rFonts w:ascii="Arial" w:hAnsi="Arial" w:cs="Arial"/>
          <w:color w:val="000000"/>
          <w:lang w:val="en-US"/>
        </w:rPr>
        <w:t xml:space="preserve"> communities, </w:t>
      </w:r>
      <w:proofErr w:type="spellStart"/>
      <w:r w:rsidRPr="00C201CB">
        <w:rPr>
          <w:rFonts w:ascii="Arial" w:hAnsi="Arial" w:cs="Arial"/>
          <w:color w:val="000000"/>
          <w:lang w:val="en-US"/>
        </w:rPr>
        <w:t>whānau</w:t>
      </w:r>
      <w:proofErr w:type="spellEnd"/>
      <w:r w:rsidRPr="00C201CB">
        <w:rPr>
          <w:rFonts w:ascii="Arial" w:hAnsi="Arial" w:cs="Arial"/>
          <w:color w:val="000000"/>
          <w:lang w:val="en-US"/>
        </w:rPr>
        <w:t>, and individuals to:</w:t>
      </w:r>
    </w:p>
    <w:p w:rsidR="008F0157" w:rsidRPr="00C201CB" w:rsidRDefault="004A5719" w:rsidP="00D26301">
      <w:pPr>
        <w:numPr>
          <w:ilvl w:val="0"/>
          <w:numId w:val="14"/>
        </w:numPr>
        <w:tabs>
          <w:tab w:val="clear" w:pos="720"/>
        </w:tabs>
        <w:spacing w:before="120"/>
        <w:ind w:left="567" w:right="6" w:hanging="567"/>
        <w:rPr>
          <w:rFonts w:ascii="Arial" w:hAnsi="Arial" w:cs="Arial"/>
          <w:color w:val="000000"/>
          <w:lang w:val="en-US"/>
        </w:rPr>
      </w:pPr>
      <w:r w:rsidRPr="00C201CB">
        <w:rPr>
          <w:rFonts w:ascii="Arial" w:hAnsi="Arial" w:cs="Arial"/>
          <w:color w:val="000000"/>
          <w:lang w:val="en-US"/>
        </w:rPr>
        <w:t>live, work,</w:t>
      </w:r>
      <w:r w:rsidR="008F0157" w:rsidRPr="00C201CB">
        <w:rPr>
          <w:rFonts w:ascii="Arial" w:hAnsi="Arial" w:cs="Arial"/>
          <w:color w:val="000000"/>
          <w:lang w:val="en-US"/>
        </w:rPr>
        <w:t xml:space="preserve"> learn</w:t>
      </w:r>
      <w:r w:rsidRPr="00C201CB">
        <w:rPr>
          <w:rFonts w:ascii="Arial" w:hAnsi="Arial" w:cs="Arial"/>
          <w:color w:val="000000"/>
          <w:lang w:val="en-US"/>
        </w:rPr>
        <w:t xml:space="preserve"> and play in</w:t>
      </w:r>
      <w:r w:rsidR="008F0157" w:rsidRPr="00C201CB">
        <w:rPr>
          <w:rFonts w:ascii="Arial" w:hAnsi="Arial" w:cs="Arial"/>
          <w:color w:val="000000"/>
          <w:lang w:val="en-US"/>
        </w:rPr>
        <w:t xml:space="preserve"> healthy and safe environment</w:t>
      </w:r>
      <w:r w:rsidRPr="00C201CB">
        <w:rPr>
          <w:rFonts w:ascii="Arial" w:hAnsi="Arial" w:cs="Arial"/>
          <w:color w:val="000000"/>
          <w:lang w:val="en-US"/>
        </w:rPr>
        <w:t>s</w:t>
      </w:r>
    </w:p>
    <w:p w:rsidR="008F0157" w:rsidRPr="00C201CB" w:rsidRDefault="00394D95" w:rsidP="00D26301">
      <w:pPr>
        <w:numPr>
          <w:ilvl w:val="0"/>
          <w:numId w:val="14"/>
        </w:numPr>
        <w:tabs>
          <w:tab w:val="clear" w:pos="720"/>
        </w:tabs>
        <w:ind w:left="567" w:right="6" w:hanging="567"/>
        <w:rPr>
          <w:rFonts w:ascii="Arial" w:hAnsi="Arial" w:cs="Arial"/>
          <w:color w:val="000000"/>
          <w:lang w:eastAsia="en-GB"/>
        </w:rPr>
      </w:pPr>
      <w:r w:rsidRPr="00C201CB">
        <w:rPr>
          <w:rFonts w:ascii="Arial" w:hAnsi="Arial" w:cs="Arial"/>
          <w:color w:val="000000"/>
          <w:lang w:eastAsia="en-GB"/>
        </w:rPr>
        <w:t>lead healthier lives</w:t>
      </w:r>
      <w:r w:rsidR="008F0157" w:rsidRPr="00C201CB">
        <w:rPr>
          <w:rFonts w:ascii="Arial" w:hAnsi="Arial" w:cs="Arial"/>
          <w:color w:val="000000"/>
          <w:lang w:eastAsia="en-GB"/>
        </w:rPr>
        <w:t xml:space="preserve"> in respect of a wide range of matters, including physical activity, nutrition, </w:t>
      </w:r>
      <w:r w:rsidRPr="00C201CB">
        <w:rPr>
          <w:rFonts w:ascii="Arial" w:hAnsi="Arial" w:cs="Arial"/>
          <w:color w:val="000000"/>
          <w:lang w:eastAsia="en-GB"/>
        </w:rPr>
        <w:t xml:space="preserve">breastfeeding, </w:t>
      </w:r>
      <w:r w:rsidR="008F0157" w:rsidRPr="00C201CB">
        <w:rPr>
          <w:rFonts w:ascii="Arial" w:hAnsi="Arial" w:cs="Arial"/>
          <w:color w:val="000000"/>
          <w:lang w:eastAsia="en-GB"/>
        </w:rPr>
        <w:t xml:space="preserve">tobacco, alcohol and other drugs </w:t>
      </w:r>
      <w:proofErr w:type="spellStart"/>
      <w:r w:rsidR="008F0157" w:rsidRPr="00C201CB">
        <w:rPr>
          <w:rFonts w:ascii="Arial" w:hAnsi="Arial" w:cs="Arial"/>
          <w:color w:val="000000"/>
          <w:lang w:eastAsia="en-GB"/>
        </w:rPr>
        <w:t>etc</w:t>
      </w:r>
      <w:proofErr w:type="spellEnd"/>
      <w:r w:rsidR="008F0157" w:rsidRPr="00C201CB">
        <w:rPr>
          <w:rFonts w:ascii="Arial" w:hAnsi="Arial" w:cs="Arial"/>
          <w:color w:val="000000"/>
          <w:lang w:eastAsia="en-GB"/>
        </w:rPr>
        <w:t xml:space="preserve"> </w:t>
      </w:r>
      <w:r w:rsidR="004A5719" w:rsidRPr="00C201CB">
        <w:rPr>
          <w:rFonts w:ascii="Arial" w:hAnsi="Arial" w:cs="Arial"/>
          <w:color w:val="000000"/>
          <w:lang w:eastAsia="en-GB"/>
        </w:rPr>
        <w:t>(including policies that create healthy environments and inform and support healthy choices)</w:t>
      </w:r>
    </w:p>
    <w:p w:rsidR="00607F54" w:rsidRPr="00C201CB" w:rsidRDefault="00607F54" w:rsidP="00D26301">
      <w:pPr>
        <w:numPr>
          <w:ilvl w:val="0"/>
          <w:numId w:val="14"/>
        </w:numPr>
        <w:tabs>
          <w:tab w:val="clear" w:pos="720"/>
        </w:tabs>
        <w:ind w:left="567" w:right="6" w:hanging="567"/>
        <w:rPr>
          <w:rFonts w:ascii="Arial" w:hAnsi="Arial" w:cs="Arial"/>
          <w:color w:val="000000"/>
          <w:lang w:eastAsia="en-GB"/>
        </w:rPr>
      </w:pPr>
      <w:r w:rsidRPr="00C201CB">
        <w:rPr>
          <w:rFonts w:ascii="Arial" w:hAnsi="Arial" w:cs="Arial"/>
          <w:color w:val="000000"/>
          <w:lang w:eastAsia="en-GB"/>
        </w:rPr>
        <w:t>access to screening programmes which identify those individual who are more likely to be helped than harmed by further tests or treatments to reduce the risk of disease or conditions and associated complications</w:t>
      </w:r>
    </w:p>
    <w:p w:rsidR="008F0157" w:rsidRPr="00C201CB" w:rsidRDefault="004A5719" w:rsidP="00D26301">
      <w:pPr>
        <w:numPr>
          <w:ilvl w:val="0"/>
          <w:numId w:val="14"/>
        </w:numPr>
        <w:tabs>
          <w:tab w:val="clear" w:pos="720"/>
        </w:tabs>
        <w:ind w:left="567" w:right="6" w:hanging="567"/>
        <w:rPr>
          <w:rFonts w:ascii="Arial" w:hAnsi="Arial" w:cs="Arial"/>
          <w:color w:val="000000"/>
          <w:lang w:eastAsia="en-GB"/>
        </w:rPr>
      </w:pPr>
      <w:r w:rsidRPr="00C201CB">
        <w:rPr>
          <w:rFonts w:ascii="Arial" w:hAnsi="Arial" w:cs="Arial"/>
          <w:color w:val="000000"/>
          <w:lang w:eastAsia="en-GB"/>
        </w:rPr>
        <w:t>be free of communicable</w:t>
      </w:r>
      <w:r w:rsidR="008F0157" w:rsidRPr="00C201CB">
        <w:rPr>
          <w:rFonts w:ascii="Arial" w:hAnsi="Arial" w:cs="Arial"/>
          <w:color w:val="000000"/>
          <w:lang w:eastAsia="en-GB"/>
        </w:rPr>
        <w:t xml:space="preserve"> </w:t>
      </w:r>
      <w:r w:rsidRPr="00C201CB">
        <w:rPr>
          <w:rFonts w:ascii="Arial" w:hAnsi="Arial" w:cs="Arial"/>
          <w:color w:val="000000"/>
          <w:lang w:eastAsia="en-GB"/>
        </w:rPr>
        <w:t xml:space="preserve">and vaccine-preventable </w:t>
      </w:r>
      <w:r w:rsidR="008F0157" w:rsidRPr="00C201CB">
        <w:rPr>
          <w:rFonts w:ascii="Arial" w:hAnsi="Arial" w:cs="Arial"/>
          <w:color w:val="000000"/>
          <w:lang w:eastAsia="en-GB"/>
        </w:rPr>
        <w:t>diseases</w:t>
      </w:r>
    </w:p>
    <w:p w:rsidR="008F0157" w:rsidRPr="00C201CB" w:rsidRDefault="007B6119" w:rsidP="00D26301">
      <w:pPr>
        <w:numPr>
          <w:ilvl w:val="0"/>
          <w:numId w:val="14"/>
        </w:numPr>
        <w:tabs>
          <w:tab w:val="clear" w:pos="720"/>
        </w:tabs>
        <w:autoSpaceDE w:val="0"/>
        <w:autoSpaceDN w:val="0"/>
        <w:adjustRightInd w:val="0"/>
        <w:ind w:left="567" w:right="6" w:hanging="567"/>
        <w:rPr>
          <w:rFonts w:ascii="Arial" w:hAnsi="Arial" w:cs="Arial"/>
          <w:color w:val="000000"/>
          <w:lang w:eastAsia="en-GB"/>
        </w:rPr>
      </w:pPr>
      <w:r w:rsidRPr="00C201CB">
        <w:rPr>
          <w:rFonts w:ascii="Arial" w:hAnsi="Arial" w:cs="Arial"/>
          <w:color w:val="000000"/>
          <w:lang w:eastAsia="en-GB"/>
        </w:rPr>
        <w:t xml:space="preserve">sustain and improve their mental health and wellbeing, to </w:t>
      </w:r>
      <w:r w:rsidR="003257C8" w:rsidRPr="00C201CB">
        <w:rPr>
          <w:rFonts w:ascii="Arial" w:hAnsi="Arial" w:cs="Arial"/>
          <w:color w:val="000000"/>
          <w:lang w:eastAsia="en-GB"/>
        </w:rPr>
        <w:t>build resilience</w:t>
      </w:r>
      <w:r w:rsidRPr="00C201CB">
        <w:rPr>
          <w:rFonts w:ascii="Arial" w:hAnsi="Arial" w:cs="Arial"/>
          <w:color w:val="000000"/>
          <w:lang w:eastAsia="en-GB"/>
        </w:rPr>
        <w:t xml:space="preserve"> and attain their full potential</w:t>
      </w:r>
    </w:p>
    <w:p w:rsidR="008F0157" w:rsidRPr="00C201CB" w:rsidRDefault="008F0157" w:rsidP="00D26301">
      <w:pPr>
        <w:numPr>
          <w:ilvl w:val="0"/>
          <w:numId w:val="14"/>
        </w:numPr>
        <w:tabs>
          <w:tab w:val="clear" w:pos="720"/>
        </w:tabs>
        <w:autoSpaceDE w:val="0"/>
        <w:autoSpaceDN w:val="0"/>
        <w:adjustRightInd w:val="0"/>
        <w:ind w:left="567" w:right="6" w:hanging="567"/>
        <w:rPr>
          <w:rFonts w:ascii="Arial" w:hAnsi="Arial" w:cs="Arial"/>
          <w:color w:val="000000"/>
          <w:lang w:eastAsia="en-GB"/>
        </w:rPr>
      </w:pPr>
      <w:r w:rsidRPr="00C201CB">
        <w:rPr>
          <w:rFonts w:ascii="Arial" w:hAnsi="Arial" w:cs="Arial"/>
          <w:color w:val="000000"/>
          <w:lang w:eastAsia="en-GB"/>
        </w:rPr>
        <w:t>reduce the burden of acute and chronic disease</w:t>
      </w:r>
      <w:r w:rsidR="0052687A" w:rsidRPr="00C201CB">
        <w:rPr>
          <w:rFonts w:ascii="Arial" w:hAnsi="Arial" w:cs="Arial"/>
          <w:color w:val="000000"/>
          <w:lang w:eastAsia="en-GB"/>
        </w:rPr>
        <w:t xml:space="preserve"> and injury</w:t>
      </w:r>
    </w:p>
    <w:p w:rsidR="009E337C" w:rsidRPr="00C201CB" w:rsidRDefault="009E337C" w:rsidP="00D26301">
      <w:pPr>
        <w:numPr>
          <w:ilvl w:val="0"/>
          <w:numId w:val="14"/>
        </w:numPr>
        <w:tabs>
          <w:tab w:val="clear" w:pos="720"/>
        </w:tabs>
        <w:autoSpaceDE w:val="0"/>
        <w:autoSpaceDN w:val="0"/>
        <w:adjustRightInd w:val="0"/>
        <w:ind w:left="567" w:right="6" w:hanging="567"/>
        <w:rPr>
          <w:rFonts w:ascii="Arial" w:hAnsi="Arial" w:cs="Arial"/>
          <w:color w:val="000000"/>
          <w:lang w:eastAsia="en-GB"/>
        </w:rPr>
      </w:pPr>
      <w:r w:rsidRPr="00C201CB">
        <w:rPr>
          <w:rFonts w:ascii="Arial" w:hAnsi="Arial" w:cs="Arial"/>
          <w:color w:val="000000"/>
          <w:lang w:eastAsia="en-GB"/>
        </w:rPr>
        <w:t>enjoy positive interpersonal relationships</w:t>
      </w:r>
    </w:p>
    <w:p w:rsidR="008F0157" w:rsidRPr="00C201CB" w:rsidRDefault="008F0157" w:rsidP="00D26301">
      <w:pPr>
        <w:numPr>
          <w:ilvl w:val="0"/>
          <w:numId w:val="14"/>
        </w:numPr>
        <w:tabs>
          <w:tab w:val="clear" w:pos="720"/>
        </w:tabs>
        <w:autoSpaceDE w:val="0"/>
        <w:autoSpaceDN w:val="0"/>
        <w:adjustRightInd w:val="0"/>
        <w:ind w:left="567" w:right="6" w:hanging="567"/>
        <w:rPr>
          <w:rFonts w:ascii="Arial" w:hAnsi="Arial" w:cs="Arial"/>
          <w:color w:val="000000"/>
          <w:lang w:eastAsia="en-GB"/>
        </w:rPr>
      </w:pPr>
      <w:r w:rsidRPr="00C201CB">
        <w:rPr>
          <w:rFonts w:ascii="Arial" w:hAnsi="Arial" w:cs="Arial"/>
          <w:color w:val="000000"/>
          <w:lang w:eastAsia="en-GB"/>
        </w:rPr>
        <w:t>prepare for and respond to emergencies and disasters with confidence</w:t>
      </w:r>
    </w:p>
    <w:p w:rsidR="00580A98" w:rsidRPr="00C201CB" w:rsidRDefault="00580A98" w:rsidP="00D26301">
      <w:pPr>
        <w:numPr>
          <w:ilvl w:val="0"/>
          <w:numId w:val="14"/>
        </w:numPr>
        <w:tabs>
          <w:tab w:val="clear" w:pos="720"/>
        </w:tabs>
        <w:autoSpaceDE w:val="0"/>
        <w:autoSpaceDN w:val="0"/>
        <w:adjustRightInd w:val="0"/>
        <w:ind w:left="567" w:right="6" w:hanging="567"/>
        <w:rPr>
          <w:rFonts w:ascii="Arial" w:hAnsi="Arial" w:cs="Arial"/>
          <w:color w:val="000000"/>
          <w:lang w:eastAsia="en-GB"/>
        </w:rPr>
      </w:pPr>
      <w:proofErr w:type="gramStart"/>
      <w:r w:rsidRPr="00C201CB">
        <w:rPr>
          <w:rFonts w:ascii="Arial" w:hAnsi="Arial" w:cs="Arial"/>
          <w:color w:val="000000"/>
          <w:lang w:eastAsia="en-GB"/>
        </w:rPr>
        <w:t>enjoy</w:t>
      </w:r>
      <w:proofErr w:type="gramEnd"/>
      <w:r w:rsidRPr="00C201CB">
        <w:rPr>
          <w:rFonts w:ascii="Arial" w:hAnsi="Arial" w:cs="Arial"/>
          <w:color w:val="000000"/>
          <w:lang w:eastAsia="en-GB"/>
        </w:rPr>
        <w:t xml:space="preserve"> equitable health outcomes</w:t>
      </w:r>
      <w:r w:rsidR="00AB0727" w:rsidRPr="00C201CB">
        <w:rPr>
          <w:rFonts w:ascii="Arial" w:hAnsi="Arial" w:cs="Arial"/>
          <w:color w:val="000000"/>
          <w:lang w:eastAsia="en-GB"/>
        </w:rPr>
        <w:t>.</w:t>
      </w:r>
    </w:p>
    <w:p w:rsidR="001E4E2C" w:rsidRPr="00C201CB" w:rsidRDefault="00546943" w:rsidP="00C201CB">
      <w:pPr>
        <w:pStyle w:val="BodyText"/>
        <w:spacing w:before="120" w:after="0"/>
        <w:ind w:right="5"/>
        <w:rPr>
          <w:rFonts w:cs="Arial"/>
          <w:color w:val="000000"/>
          <w:sz w:val="24"/>
          <w:lang w:eastAsia="en-GB"/>
        </w:rPr>
      </w:pPr>
      <w:r w:rsidRPr="00C201CB">
        <w:rPr>
          <w:rFonts w:cs="Arial"/>
          <w:color w:val="000000"/>
          <w:sz w:val="24"/>
          <w:lang w:eastAsia="en-GB"/>
        </w:rPr>
        <w:t xml:space="preserve">Services </w:t>
      </w:r>
      <w:r w:rsidR="00580A98" w:rsidRPr="00C201CB">
        <w:rPr>
          <w:rFonts w:cs="Arial"/>
          <w:color w:val="000000"/>
          <w:sz w:val="24"/>
          <w:lang w:eastAsia="en-GB"/>
        </w:rPr>
        <w:t>provided pursuant to</w:t>
      </w:r>
      <w:r w:rsidRPr="00C201CB">
        <w:rPr>
          <w:rFonts w:cs="Arial"/>
          <w:color w:val="000000"/>
          <w:sz w:val="24"/>
          <w:lang w:eastAsia="en-GB"/>
        </w:rPr>
        <w:t xml:space="preserve"> this vision are supported by a wide range of national and international research </w:t>
      </w:r>
      <w:r w:rsidR="00580A98" w:rsidRPr="00C201CB">
        <w:rPr>
          <w:rFonts w:cs="Arial"/>
          <w:color w:val="000000"/>
          <w:sz w:val="24"/>
          <w:lang w:eastAsia="en-GB"/>
        </w:rPr>
        <w:t>which yields</w:t>
      </w:r>
      <w:r w:rsidRPr="00C201CB">
        <w:rPr>
          <w:rFonts w:cs="Arial"/>
          <w:color w:val="000000"/>
          <w:sz w:val="24"/>
          <w:lang w:eastAsia="en-GB"/>
        </w:rPr>
        <w:t xml:space="preserve"> evidence-informed principles and methods to promote health and prevent illness.</w:t>
      </w:r>
    </w:p>
    <w:p w:rsidR="00546943" w:rsidRPr="00DD0D3D" w:rsidRDefault="003257C8" w:rsidP="00C201CB">
      <w:pPr>
        <w:pStyle w:val="BodyText"/>
        <w:spacing w:before="120" w:after="0"/>
        <w:ind w:right="5"/>
        <w:rPr>
          <w:rFonts w:cs="Arial"/>
          <w:color w:val="000000"/>
          <w:sz w:val="24"/>
          <w:lang w:val="en-GB" w:eastAsia="en-GB"/>
        </w:rPr>
      </w:pPr>
      <w:r w:rsidRPr="00C201CB">
        <w:rPr>
          <w:rFonts w:cs="Arial"/>
          <w:b/>
          <w:i/>
          <w:color w:val="000000"/>
          <w:sz w:val="24"/>
          <w:lang w:val="en-GB" w:eastAsia="en-GB"/>
        </w:rPr>
        <w:t>T</w:t>
      </w:r>
      <w:r w:rsidR="00546943" w:rsidRPr="00C201CB">
        <w:rPr>
          <w:rFonts w:cs="Arial"/>
          <w:b/>
          <w:i/>
          <w:color w:val="000000"/>
          <w:sz w:val="24"/>
          <w:lang w:val="en-GB" w:eastAsia="en-GB"/>
        </w:rPr>
        <w:t>he Ottawa Charter</w:t>
      </w:r>
      <w:r w:rsidR="00B41095" w:rsidRPr="00C201CB">
        <w:rPr>
          <w:rFonts w:cs="Arial"/>
          <w:color w:val="000000"/>
          <w:sz w:val="24"/>
          <w:lang w:val="en-GB" w:eastAsia="en-GB"/>
        </w:rPr>
        <w:t xml:space="preserve"> for</w:t>
      </w:r>
      <w:r w:rsidR="00546943" w:rsidRPr="00C201CB">
        <w:rPr>
          <w:rFonts w:cs="Arial"/>
          <w:color w:val="000000"/>
          <w:sz w:val="24"/>
          <w:lang w:val="en-GB" w:eastAsia="en-GB"/>
        </w:rPr>
        <w:t xml:space="preserve"> health promotion </w:t>
      </w:r>
      <w:r w:rsidR="003D5553" w:rsidRPr="00C201CB">
        <w:rPr>
          <w:rFonts w:cs="Arial"/>
          <w:color w:val="000000"/>
          <w:sz w:val="24"/>
          <w:lang w:val="en-GB" w:eastAsia="en-GB"/>
        </w:rPr>
        <w:t>is</w:t>
      </w:r>
      <w:r w:rsidR="001E4E2C" w:rsidRPr="00C201CB">
        <w:rPr>
          <w:rFonts w:cs="Arial"/>
          <w:color w:val="000000"/>
          <w:sz w:val="24"/>
          <w:lang w:val="en-GB" w:eastAsia="en-GB"/>
        </w:rPr>
        <w:t xml:space="preserve"> one of the defining</w:t>
      </w:r>
      <w:r w:rsidR="00546943" w:rsidRPr="00C201CB">
        <w:rPr>
          <w:rFonts w:cs="Arial"/>
          <w:color w:val="000000"/>
          <w:sz w:val="24"/>
          <w:lang w:val="en-GB" w:eastAsia="en-GB"/>
        </w:rPr>
        <w:t xml:space="preserve"> </w:t>
      </w:r>
      <w:r w:rsidR="001E4E2C" w:rsidRPr="00C201CB">
        <w:rPr>
          <w:rFonts w:cs="Arial"/>
          <w:color w:val="000000"/>
          <w:sz w:val="24"/>
          <w:lang w:val="en-GB" w:eastAsia="en-GB"/>
        </w:rPr>
        <w:t>frameworks for public health action</w:t>
      </w:r>
      <w:r w:rsidR="00546943" w:rsidRPr="00C201CB">
        <w:rPr>
          <w:rFonts w:cs="Arial"/>
          <w:color w:val="000000"/>
          <w:sz w:val="24"/>
          <w:lang w:val="en-GB" w:eastAsia="en-GB"/>
        </w:rPr>
        <w:t xml:space="preserve">.  Health promotion is </w:t>
      </w:r>
      <w:r w:rsidR="00546943" w:rsidRPr="00C201CB">
        <w:rPr>
          <w:rFonts w:cs="Arial"/>
          <w:i/>
          <w:color w:val="000000"/>
          <w:sz w:val="24"/>
          <w:lang w:val="en-GB" w:eastAsia="en-GB"/>
        </w:rPr>
        <w:t>“… the process of enabling people to increase control over, and to improve, their health</w:t>
      </w:r>
      <w:r w:rsidR="00546943" w:rsidRPr="00C201CB">
        <w:rPr>
          <w:rFonts w:cs="Arial"/>
          <w:color w:val="000000"/>
          <w:sz w:val="24"/>
          <w:lang w:val="en-GB" w:eastAsia="en-GB"/>
        </w:rPr>
        <w:t>”</w:t>
      </w:r>
      <w:r w:rsidR="00546943" w:rsidRPr="00C201CB">
        <w:rPr>
          <w:sz w:val="24"/>
          <w:vertAlign w:val="superscript"/>
        </w:rPr>
        <w:footnoteReference w:id="6"/>
      </w:r>
      <w:r w:rsidR="00546943" w:rsidRPr="00C201CB">
        <w:rPr>
          <w:rFonts w:cs="Arial"/>
          <w:color w:val="000000"/>
          <w:sz w:val="24"/>
          <w:lang w:val="en-GB" w:eastAsia="en-GB"/>
        </w:rPr>
        <w:t>.</w:t>
      </w:r>
      <w:r w:rsidR="00546943" w:rsidRPr="001E4E2C">
        <w:rPr>
          <w:rFonts w:cs="Arial"/>
          <w:color w:val="000000"/>
          <w:sz w:val="24"/>
          <w:lang w:val="en-GB" w:eastAsia="en-GB"/>
        </w:rPr>
        <w:t xml:space="preserve">  </w:t>
      </w:r>
      <w:r w:rsidR="00546943" w:rsidRPr="00DD0D3D">
        <w:rPr>
          <w:rFonts w:cs="Arial"/>
          <w:color w:val="000000"/>
          <w:sz w:val="24"/>
          <w:lang w:val="en-GB" w:eastAsia="en-GB"/>
        </w:rPr>
        <w:t xml:space="preserve">The Ottawa Charter </w:t>
      </w:r>
      <w:r w:rsidR="001E4E2C" w:rsidRPr="00DD0D3D">
        <w:rPr>
          <w:rFonts w:cs="Arial"/>
          <w:color w:val="000000"/>
          <w:sz w:val="24"/>
          <w:lang w:val="en-GB" w:eastAsia="en-GB"/>
        </w:rPr>
        <w:t>identifies</w:t>
      </w:r>
      <w:r w:rsidR="00546943" w:rsidRPr="00DD0D3D">
        <w:rPr>
          <w:rFonts w:cs="Arial"/>
          <w:color w:val="000000"/>
          <w:sz w:val="24"/>
          <w:lang w:val="en-GB" w:eastAsia="en-GB"/>
        </w:rPr>
        <w:t xml:space="preserve"> five </w:t>
      </w:r>
      <w:r w:rsidR="001E4E2C" w:rsidRPr="00DD0D3D">
        <w:rPr>
          <w:rFonts w:cs="Arial"/>
          <w:color w:val="000000"/>
          <w:sz w:val="24"/>
          <w:lang w:val="en-GB" w:eastAsia="en-GB"/>
        </w:rPr>
        <w:t>key</w:t>
      </w:r>
      <w:r w:rsidR="00546943" w:rsidRPr="00DD0D3D">
        <w:rPr>
          <w:rFonts w:cs="Arial"/>
          <w:color w:val="000000"/>
          <w:sz w:val="24"/>
          <w:lang w:val="en-GB" w:eastAsia="en-GB"/>
        </w:rPr>
        <w:t xml:space="preserve"> </w:t>
      </w:r>
      <w:r w:rsidR="001E4E2C" w:rsidRPr="00DD0D3D">
        <w:rPr>
          <w:rFonts w:cs="Arial"/>
          <w:color w:val="000000"/>
          <w:sz w:val="24"/>
          <w:lang w:val="en-GB" w:eastAsia="en-GB"/>
        </w:rPr>
        <w:t>strategies</w:t>
      </w:r>
      <w:r w:rsidR="00546943" w:rsidRPr="00DD0D3D">
        <w:rPr>
          <w:rFonts w:cs="Arial"/>
          <w:color w:val="000000"/>
          <w:sz w:val="24"/>
          <w:lang w:val="en-GB" w:eastAsia="en-GB"/>
        </w:rPr>
        <w:t>:</w:t>
      </w:r>
    </w:p>
    <w:p w:rsidR="00546943" w:rsidRPr="00DD0D3D" w:rsidRDefault="00546943" w:rsidP="002F6E72">
      <w:pPr>
        <w:pStyle w:val="ListParagraph"/>
        <w:numPr>
          <w:ilvl w:val="0"/>
          <w:numId w:val="31"/>
        </w:numPr>
        <w:autoSpaceDE w:val="0"/>
        <w:autoSpaceDN w:val="0"/>
        <w:adjustRightInd w:val="0"/>
        <w:spacing w:before="120"/>
        <w:ind w:left="567" w:right="5" w:hanging="567"/>
        <w:rPr>
          <w:rFonts w:eastAsia="Times New Roman" w:cs="Arial"/>
          <w:color w:val="000000"/>
          <w:szCs w:val="24"/>
          <w:lang w:val="en-GB" w:eastAsia="en-GB"/>
        </w:rPr>
      </w:pPr>
      <w:r w:rsidRPr="00DD0D3D">
        <w:rPr>
          <w:rFonts w:eastAsia="Times New Roman" w:cs="Arial"/>
          <w:color w:val="000000"/>
          <w:szCs w:val="24"/>
          <w:lang w:val="en-GB" w:eastAsia="en-GB"/>
        </w:rPr>
        <w:t>build</w:t>
      </w:r>
      <w:r w:rsidR="001E4E2C" w:rsidRPr="00DD0D3D">
        <w:rPr>
          <w:rFonts w:eastAsia="Times New Roman" w:cs="Arial"/>
          <w:color w:val="000000"/>
          <w:szCs w:val="24"/>
          <w:lang w:val="en-GB" w:eastAsia="en-GB"/>
        </w:rPr>
        <w:t>ing</w:t>
      </w:r>
      <w:r w:rsidRPr="00DD0D3D">
        <w:rPr>
          <w:rFonts w:eastAsia="Times New Roman" w:cs="Arial"/>
          <w:color w:val="000000"/>
          <w:szCs w:val="24"/>
          <w:lang w:val="en-GB" w:eastAsia="en-GB"/>
        </w:rPr>
        <w:t xml:space="preserve"> healthy public policy</w:t>
      </w:r>
    </w:p>
    <w:p w:rsidR="00546943" w:rsidRPr="00DD0D3D" w:rsidRDefault="001E4E2C" w:rsidP="002F6E72">
      <w:pPr>
        <w:pStyle w:val="ListParagraph"/>
        <w:numPr>
          <w:ilvl w:val="0"/>
          <w:numId w:val="31"/>
        </w:numPr>
        <w:autoSpaceDE w:val="0"/>
        <w:autoSpaceDN w:val="0"/>
        <w:adjustRightInd w:val="0"/>
        <w:ind w:left="567" w:right="5" w:hanging="567"/>
        <w:rPr>
          <w:rFonts w:eastAsia="Times New Roman" w:cs="Arial"/>
          <w:color w:val="000000"/>
          <w:szCs w:val="24"/>
          <w:lang w:val="en-GB" w:eastAsia="en-GB"/>
        </w:rPr>
      </w:pPr>
      <w:r w:rsidRPr="00DD0D3D">
        <w:rPr>
          <w:rFonts w:eastAsia="Times New Roman" w:cs="Arial"/>
          <w:color w:val="000000"/>
          <w:szCs w:val="24"/>
          <w:lang w:val="en-GB" w:eastAsia="en-GB"/>
        </w:rPr>
        <w:t>creating</w:t>
      </w:r>
      <w:r w:rsidR="00546943" w:rsidRPr="00DD0D3D">
        <w:rPr>
          <w:rFonts w:eastAsia="Times New Roman" w:cs="Arial"/>
          <w:color w:val="000000"/>
          <w:szCs w:val="24"/>
          <w:lang w:val="en-GB" w:eastAsia="en-GB"/>
        </w:rPr>
        <w:t xml:space="preserve"> supportive environments</w:t>
      </w:r>
    </w:p>
    <w:p w:rsidR="00546943" w:rsidRPr="00DD0D3D" w:rsidRDefault="00546943" w:rsidP="002F6E72">
      <w:pPr>
        <w:pStyle w:val="ListParagraph"/>
        <w:numPr>
          <w:ilvl w:val="0"/>
          <w:numId w:val="31"/>
        </w:numPr>
        <w:autoSpaceDE w:val="0"/>
        <w:autoSpaceDN w:val="0"/>
        <w:adjustRightInd w:val="0"/>
        <w:ind w:left="567" w:right="5" w:hanging="567"/>
        <w:rPr>
          <w:rFonts w:eastAsia="Times New Roman" w:cs="Arial"/>
          <w:color w:val="000000"/>
          <w:szCs w:val="24"/>
          <w:lang w:val="en-GB" w:eastAsia="en-GB"/>
        </w:rPr>
      </w:pPr>
      <w:r w:rsidRPr="00DD0D3D">
        <w:rPr>
          <w:rFonts w:eastAsia="Times New Roman" w:cs="Arial"/>
          <w:color w:val="000000"/>
          <w:szCs w:val="24"/>
          <w:lang w:val="en-GB" w:eastAsia="en-GB"/>
        </w:rPr>
        <w:t>strengthen</w:t>
      </w:r>
      <w:r w:rsidR="001E4E2C" w:rsidRPr="00DD0D3D">
        <w:rPr>
          <w:rFonts w:eastAsia="Times New Roman" w:cs="Arial"/>
          <w:color w:val="000000"/>
          <w:szCs w:val="24"/>
          <w:lang w:val="en-GB" w:eastAsia="en-GB"/>
        </w:rPr>
        <w:t>ing</w:t>
      </w:r>
      <w:r w:rsidRPr="00DD0D3D">
        <w:rPr>
          <w:rFonts w:eastAsia="Times New Roman" w:cs="Arial"/>
          <w:color w:val="000000"/>
          <w:szCs w:val="24"/>
          <w:lang w:val="en-GB" w:eastAsia="en-GB"/>
        </w:rPr>
        <w:t xml:space="preserve"> community action</w:t>
      </w:r>
    </w:p>
    <w:p w:rsidR="00546943" w:rsidRPr="00DD0D3D" w:rsidRDefault="00546943" w:rsidP="002F6E72">
      <w:pPr>
        <w:pStyle w:val="ListParagraph"/>
        <w:numPr>
          <w:ilvl w:val="0"/>
          <w:numId w:val="31"/>
        </w:numPr>
        <w:autoSpaceDE w:val="0"/>
        <w:autoSpaceDN w:val="0"/>
        <w:adjustRightInd w:val="0"/>
        <w:ind w:left="567" w:right="5" w:hanging="567"/>
        <w:rPr>
          <w:rFonts w:eastAsia="Times New Roman" w:cs="Arial"/>
          <w:color w:val="000000"/>
          <w:szCs w:val="24"/>
          <w:lang w:val="en-GB" w:eastAsia="en-GB"/>
        </w:rPr>
      </w:pPr>
      <w:r w:rsidRPr="00DD0D3D">
        <w:rPr>
          <w:rFonts w:eastAsia="Times New Roman" w:cs="Arial"/>
          <w:color w:val="000000"/>
          <w:szCs w:val="24"/>
          <w:lang w:val="en-GB" w:eastAsia="en-GB"/>
        </w:rPr>
        <w:t>develop</w:t>
      </w:r>
      <w:r w:rsidR="001E4E2C" w:rsidRPr="00DD0D3D">
        <w:rPr>
          <w:rFonts w:eastAsia="Times New Roman" w:cs="Arial"/>
          <w:color w:val="000000"/>
          <w:szCs w:val="24"/>
          <w:lang w:val="en-GB" w:eastAsia="en-GB"/>
        </w:rPr>
        <w:t>ing</w:t>
      </w:r>
      <w:r w:rsidRPr="00DD0D3D">
        <w:rPr>
          <w:rFonts w:eastAsia="Times New Roman" w:cs="Arial"/>
          <w:color w:val="000000"/>
          <w:szCs w:val="24"/>
          <w:lang w:val="en-GB" w:eastAsia="en-GB"/>
        </w:rPr>
        <w:t xml:space="preserve"> personal skills</w:t>
      </w:r>
    </w:p>
    <w:p w:rsidR="00546943" w:rsidRPr="00DD0D3D" w:rsidRDefault="00546943" w:rsidP="002F6E72">
      <w:pPr>
        <w:pStyle w:val="ListParagraph"/>
        <w:numPr>
          <w:ilvl w:val="0"/>
          <w:numId w:val="31"/>
        </w:numPr>
        <w:autoSpaceDE w:val="0"/>
        <w:autoSpaceDN w:val="0"/>
        <w:adjustRightInd w:val="0"/>
        <w:ind w:left="567" w:right="5" w:hanging="567"/>
        <w:rPr>
          <w:rFonts w:eastAsia="Times New Roman" w:cs="Arial"/>
          <w:color w:val="000000"/>
          <w:szCs w:val="24"/>
          <w:lang w:val="en-GB" w:eastAsia="en-GB"/>
        </w:rPr>
      </w:pPr>
      <w:proofErr w:type="gramStart"/>
      <w:r w:rsidRPr="00DD0D3D">
        <w:rPr>
          <w:rFonts w:eastAsia="Times New Roman" w:cs="Arial"/>
          <w:color w:val="000000"/>
          <w:szCs w:val="24"/>
          <w:lang w:val="en-GB" w:eastAsia="en-GB"/>
        </w:rPr>
        <w:t>reorient</w:t>
      </w:r>
      <w:r w:rsidR="001E4E2C" w:rsidRPr="00DD0D3D">
        <w:rPr>
          <w:rFonts w:eastAsia="Times New Roman" w:cs="Arial"/>
          <w:color w:val="000000"/>
          <w:szCs w:val="24"/>
          <w:lang w:val="en-GB" w:eastAsia="en-GB"/>
        </w:rPr>
        <w:t>ing</w:t>
      </w:r>
      <w:proofErr w:type="gramEnd"/>
      <w:r w:rsidRPr="00DD0D3D">
        <w:rPr>
          <w:rFonts w:eastAsia="Times New Roman" w:cs="Arial"/>
          <w:color w:val="000000"/>
          <w:szCs w:val="24"/>
          <w:lang w:val="en-GB" w:eastAsia="en-GB"/>
        </w:rPr>
        <w:t xml:space="preserve"> health services</w:t>
      </w:r>
      <w:r w:rsidR="003C450E">
        <w:rPr>
          <w:rFonts w:eastAsia="Times New Roman" w:cs="Arial"/>
          <w:color w:val="000000"/>
          <w:szCs w:val="24"/>
          <w:lang w:val="en-GB" w:eastAsia="en-GB"/>
        </w:rPr>
        <w:t>.</w:t>
      </w:r>
    </w:p>
    <w:p w:rsidR="008F0157" w:rsidRPr="00DD0D3D" w:rsidRDefault="003D5553" w:rsidP="008F0157">
      <w:pPr>
        <w:pStyle w:val="BodyText"/>
        <w:spacing w:after="0"/>
        <w:ind w:right="5"/>
        <w:rPr>
          <w:rFonts w:cs="Arial"/>
          <w:color w:val="000000"/>
          <w:sz w:val="24"/>
          <w:lang w:val="en-US"/>
        </w:rPr>
      </w:pPr>
      <w:r w:rsidRPr="00DD0D3D">
        <w:rPr>
          <w:rFonts w:cs="Arial"/>
          <w:color w:val="000000"/>
          <w:sz w:val="24"/>
          <w:lang w:val="en-US"/>
        </w:rPr>
        <w:t>Consistent with</w:t>
      </w:r>
      <w:r w:rsidR="001E4E2C" w:rsidRPr="00DD0D3D">
        <w:rPr>
          <w:rFonts w:cs="Arial"/>
          <w:color w:val="000000"/>
          <w:sz w:val="24"/>
          <w:lang w:val="en-US"/>
        </w:rPr>
        <w:t xml:space="preserve"> the Ottawa Charter</w:t>
      </w:r>
      <w:r w:rsidR="00580A98" w:rsidRPr="00DD0D3D">
        <w:rPr>
          <w:rFonts w:cs="Arial"/>
          <w:color w:val="000000"/>
          <w:sz w:val="24"/>
          <w:lang w:val="en-US"/>
        </w:rPr>
        <w:t>, t</w:t>
      </w:r>
      <w:r w:rsidR="008F0157" w:rsidRPr="00DD0D3D">
        <w:rPr>
          <w:rFonts w:cs="Arial"/>
          <w:color w:val="000000"/>
          <w:sz w:val="24"/>
          <w:lang w:val="en-US"/>
        </w:rPr>
        <w:t xml:space="preserve">he following principles inform </w:t>
      </w:r>
      <w:r w:rsidR="00A811A7" w:rsidRPr="00DD0D3D">
        <w:rPr>
          <w:rFonts w:cs="Arial"/>
          <w:color w:val="000000"/>
          <w:sz w:val="24"/>
          <w:lang w:val="en-US"/>
        </w:rPr>
        <w:t>and shape Public Health S</w:t>
      </w:r>
      <w:r w:rsidR="008F0157" w:rsidRPr="00DD0D3D">
        <w:rPr>
          <w:rFonts w:cs="Arial"/>
          <w:color w:val="000000"/>
          <w:sz w:val="24"/>
          <w:lang w:val="en-US"/>
        </w:rPr>
        <w:t>ervice delivery in New Zealand:</w:t>
      </w:r>
    </w:p>
    <w:p w:rsidR="008F0157" w:rsidRPr="00DD0D3D" w:rsidRDefault="00394D95" w:rsidP="002F6E72">
      <w:pPr>
        <w:pStyle w:val="BodyText"/>
        <w:numPr>
          <w:ilvl w:val="0"/>
          <w:numId w:val="10"/>
        </w:numPr>
        <w:spacing w:before="120" w:after="0"/>
        <w:ind w:left="567" w:right="5" w:hanging="567"/>
        <w:rPr>
          <w:rFonts w:cs="Arial"/>
          <w:color w:val="000000"/>
          <w:sz w:val="24"/>
          <w:lang w:val="en-US"/>
        </w:rPr>
      </w:pPr>
      <w:r w:rsidRPr="00DD0D3D">
        <w:rPr>
          <w:rFonts w:cs="Arial"/>
          <w:color w:val="000000"/>
          <w:sz w:val="24"/>
          <w:lang w:val="en-US"/>
        </w:rPr>
        <w:t xml:space="preserve">focusing </w:t>
      </w:r>
      <w:r w:rsidR="008F0157" w:rsidRPr="00DD0D3D">
        <w:rPr>
          <w:rFonts w:cs="Arial"/>
          <w:color w:val="000000"/>
          <w:sz w:val="24"/>
          <w:lang w:val="en-US"/>
        </w:rPr>
        <w:t xml:space="preserve">on the health and wellbeing of </w:t>
      </w:r>
      <w:r w:rsidR="008677AF" w:rsidRPr="00DD0D3D">
        <w:rPr>
          <w:rFonts w:cs="Arial"/>
          <w:color w:val="000000"/>
          <w:sz w:val="24"/>
          <w:lang w:val="en-US"/>
        </w:rPr>
        <w:t xml:space="preserve">populations, </w:t>
      </w:r>
      <w:r w:rsidR="008F0157" w:rsidRPr="00DD0D3D">
        <w:rPr>
          <w:rFonts w:cs="Arial"/>
          <w:color w:val="000000"/>
          <w:sz w:val="24"/>
          <w:lang w:val="en-US"/>
        </w:rPr>
        <w:t>communities</w:t>
      </w:r>
      <w:r w:rsidR="00D82AE1" w:rsidRPr="00DD0D3D">
        <w:rPr>
          <w:rFonts w:cs="Arial"/>
          <w:color w:val="000000"/>
          <w:sz w:val="24"/>
          <w:lang w:val="en-US"/>
        </w:rPr>
        <w:t xml:space="preserve"> and whanau</w:t>
      </w:r>
      <w:r w:rsidRPr="00DD0D3D">
        <w:rPr>
          <w:rFonts w:cs="Arial"/>
          <w:color w:val="000000"/>
          <w:sz w:val="24"/>
          <w:lang w:val="en-US"/>
        </w:rPr>
        <w:t xml:space="preserve">, as well as </w:t>
      </w:r>
      <w:r w:rsidR="008F0157" w:rsidRPr="00DD0D3D">
        <w:rPr>
          <w:rFonts w:cs="Arial"/>
          <w:color w:val="000000"/>
          <w:sz w:val="24"/>
          <w:lang w:val="en-US"/>
        </w:rPr>
        <w:t>individuals</w:t>
      </w:r>
      <w:r w:rsidRPr="00DD0D3D">
        <w:rPr>
          <w:rFonts w:cs="Arial"/>
          <w:color w:val="000000"/>
          <w:sz w:val="24"/>
          <w:lang w:val="en-US"/>
        </w:rPr>
        <w:t xml:space="preserve"> </w:t>
      </w:r>
    </w:p>
    <w:p w:rsidR="008F0157" w:rsidRPr="00DD0D3D" w:rsidRDefault="008F0157" w:rsidP="002F6E72">
      <w:pPr>
        <w:pStyle w:val="BodyText"/>
        <w:numPr>
          <w:ilvl w:val="0"/>
          <w:numId w:val="10"/>
        </w:numPr>
        <w:spacing w:after="0"/>
        <w:ind w:left="567" w:right="5" w:hanging="567"/>
        <w:rPr>
          <w:rFonts w:cs="Arial"/>
          <w:color w:val="000000"/>
          <w:sz w:val="24"/>
          <w:lang w:val="en-US"/>
        </w:rPr>
      </w:pPr>
      <w:r w:rsidRPr="00DD0D3D">
        <w:rPr>
          <w:rFonts w:cs="Arial"/>
          <w:color w:val="000000"/>
          <w:sz w:val="24"/>
          <w:lang w:val="en-US"/>
        </w:rPr>
        <w:t>understanding and influencing the determinants of health</w:t>
      </w:r>
    </w:p>
    <w:p w:rsidR="008F0157" w:rsidRPr="00DD0D3D" w:rsidRDefault="008F0157" w:rsidP="002F6E72">
      <w:pPr>
        <w:pStyle w:val="BodyText"/>
        <w:numPr>
          <w:ilvl w:val="0"/>
          <w:numId w:val="10"/>
        </w:numPr>
        <w:spacing w:after="0"/>
        <w:ind w:left="567" w:right="5" w:hanging="567"/>
        <w:rPr>
          <w:rFonts w:cs="Arial"/>
          <w:color w:val="000000"/>
          <w:sz w:val="24"/>
          <w:lang w:val="en-US"/>
        </w:rPr>
      </w:pPr>
      <w:proofErr w:type="spellStart"/>
      <w:r w:rsidRPr="00DD0D3D">
        <w:rPr>
          <w:rFonts w:cs="Arial"/>
          <w:color w:val="000000"/>
          <w:sz w:val="24"/>
          <w:lang w:val="en-US"/>
        </w:rPr>
        <w:t>prioritising</w:t>
      </w:r>
      <w:proofErr w:type="spellEnd"/>
      <w:r w:rsidRPr="00DD0D3D">
        <w:rPr>
          <w:rFonts w:cs="Arial"/>
          <w:color w:val="000000"/>
          <w:sz w:val="24"/>
          <w:lang w:val="en-US"/>
        </w:rPr>
        <w:t xml:space="preserve"> improvements in Māori health</w:t>
      </w:r>
    </w:p>
    <w:p w:rsidR="008F0157" w:rsidRPr="00DD0D3D" w:rsidRDefault="008F0157" w:rsidP="002F6E72">
      <w:pPr>
        <w:pStyle w:val="BodyText"/>
        <w:numPr>
          <w:ilvl w:val="0"/>
          <w:numId w:val="10"/>
        </w:numPr>
        <w:spacing w:after="0"/>
        <w:ind w:left="567" w:right="5" w:hanging="567"/>
        <w:rPr>
          <w:rFonts w:cs="Arial"/>
          <w:color w:val="000000"/>
          <w:sz w:val="24"/>
          <w:lang w:val="en-US"/>
        </w:rPr>
      </w:pPr>
      <w:r w:rsidRPr="00DD0D3D">
        <w:rPr>
          <w:rFonts w:cs="Arial"/>
          <w:color w:val="000000"/>
          <w:sz w:val="24"/>
          <w:lang w:val="en-US"/>
        </w:rPr>
        <w:lastRenderedPageBreak/>
        <w:t xml:space="preserve">reducing </w:t>
      </w:r>
      <w:r w:rsidR="001E4E2C" w:rsidRPr="00DD0D3D">
        <w:rPr>
          <w:rFonts w:cs="Arial"/>
          <w:color w:val="000000"/>
          <w:sz w:val="24"/>
          <w:lang w:val="en-US"/>
        </w:rPr>
        <w:t xml:space="preserve">inequitable </w:t>
      </w:r>
      <w:r w:rsidRPr="00DD0D3D">
        <w:rPr>
          <w:rFonts w:cs="Arial"/>
          <w:color w:val="000000"/>
          <w:sz w:val="24"/>
          <w:lang w:val="en-US"/>
        </w:rPr>
        <w:t>health</w:t>
      </w:r>
      <w:r w:rsidR="001E4E2C" w:rsidRPr="00DD0D3D">
        <w:rPr>
          <w:rFonts w:cs="Arial"/>
          <w:color w:val="000000"/>
          <w:sz w:val="24"/>
          <w:lang w:val="en-US"/>
        </w:rPr>
        <w:t xml:space="preserve"> outcomes</w:t>
      </w:r>
      <w:r w:rsidRPr="00DD0D3D">
        <w:rPr>
          <w:rFonts w:cs="Arial"/>
          <w:color w:val="000000"/>
          <w:sz w:val="24"/>
          <w:lang w:val="en-US"/>
        </w:rPr>
        <w:t xml:space="preserve"> </w:t>
      </w:r>
      <w:r w:rsidR="004A5719" w:rsidRPr="00DD0D3D">
        <w:rPr>
          <w:rStyle w:val="FootnoteReference"/>
          <w:rFonts w:cs="Arial"/>
          <w:color w:val="000000"/>
          <w:sz w:val="22"/>
          <w:szCs w:val="22"/>
          <w:lang w:val="en-US"/>
        </w:rPr>
        <w:footnoteReference w:id="7"/>
      </w:r>
    </w:p>
    <w:p w:rsidR="008F0157" w:rsidRPr="00DD0D3D" w:rsidRDefault="008F0157" w:rsidP="002F6E72">
      <w:pPr>
        <w:pStyle w:val="BodyText"/>
        <w:numPr>
          <w:ilvl w:val="0"/>
          <w:numId w:val="10"/>
        </w:numPr>
        <w:spacing w:after="0"/>
        <w:ind w:left="567" w:right="5" w:hanging="567"/>
        <w:rPr>
          <w:rFonts w:cs="Arial"/>
          <w:color w:val="000000"/>
          <w:sz w:val="24"/>
          <w:lang w:val="en-US"/>
        </w:rPr>
      </w:pPr>
      <w:r w:rsidRPr="00DD0D3D">
        <w:rPr>
          <w:rFonts w:cs="Arial"/>
          <w:color w:val="000000"/>
          <w:sz w:val="24"/>
          <w:lang w:val="en-US"/>
        </w:rPr>
        <w:t>basing practice on the best available evidence</w:t>
      </w:r>
    </w:p>
    <w:p w:rsidR="008F0157" w:rsidRPr="00DD0D3D" w:rsidRDefault="008F0157" w:rsidP="002F6E72">
      <w:pPr>
        <w:pStyle w:val="BodyText"/>
        <w:numPr>
          <w:ilvl w:val="0"/>
          <w:numId w:val="10"/>
        </w:numPr>
        <w:spacing w:after="0"/>
        <w:ind w:left="567" w:right="5" w:hanging="567"/>
        <w:rPr>
          <w:rFonts w:cs="Arial"/>
          <w:color w:val="000000"/>
          <w:sz w:val="24"/>
          <w:lang w:val="en-US"/>
        </w:rPr>
      </w:pPr>
      <w:r w:rsidRPr="00DD0D3D">
        <w:rPr>
          <w:rFonts w:cs="Arial"/>
          <w:color w:val="000000"/>
          <w:sz w:val="24"/>
          <w:lang w:val="en-US"/>
        </w:rPr>
        <w:t>building effective partnerships across the health sector and with other sectors</w:t>
      </w:r>
    </w:p>
    <w:p w:rsidR="008F0157" w:rsidRPr="00DD0D3D" w:rsidRDefault="008F0157" w:rsidP="002F6E72">
      <w:pPr>
        <w:pStyle w:val="BodyText"/>
        <w:numPr>
          <w:ilvl w:val="0"/>
          <w:numId w:val="10"/>
        </w:numPr>
        <w:spacing w:after="0"/>
        <w:ind w:left="567" w:right="5" w:hanging="567"/>
        <w:rPr>
          <w:rFonts w:cs="Arial"/>
          <w:color w:val="000000"/>
          <w:sz w:val="24"/>
          <w:lang w:val="en-US"/>
        </w:rPr>
      </w:pPr>
      <w:proofErr w:type="gramStart"/>
      <w:r w:rsidRPr="00DD0D3D">
        <w:rPr>
          <w:rFonts w:cs="Arial"/>
          <w:color w:val="000000"/>
          <w:sz w:val="24"/>
          <w:lang w:val="en-US"/>
        </w:rPr>
        <w:t>anticipating</w:t>
      </w:r>
      <w:proofErr w:type="gramEnd"/>
      <w:r w:rsidRPr="00DD0D3D">
        <w:rPr>
          <w:rFonts w:cs="Arial"/>
          <w:color w:val="000000"/>
          <w:sz w:val="24"/>
          <w:lang w:val="en-US"/>
        </w:rPr>
        <w:t xml:space="preserve"> and remaining responsive to new and emerging health threats.</w:t>
      </w:r>
    </w:p>
    <w:p w:rsidR="008F0157" w:rsidRPr="00546943" w:rsidRDefault="008F0157" w:rsidP="00143F4F">
      <w:pPr>
        <w:pStyle w:val="ListParagraph"/>
        <w:numPr>
          <w:ilvl w:val="0"/>
          <w:numId w:val="33"/>
        </w:numPr>
        <w:spacing w:before="240"/>
        <w:ind w:right="6" w:hanging="720"/>
        <w:rPr>
          <w:rFonts w:cs="Arial"/>
          <w:b/>
        </w:rPr>
      </w:pPr>
      <w:r w:rsidRPr="00546943">
        <w:rPr>
          <w:rFonts w:cs="Arial"/>
          <w:b/>
        </w:rPr>
        <w:t>Service Definition</w:t>
      </w:r>
    </w:p>
    <w:p w:rsidR="008F0157" w:rsidRPr="002F6E72" w:rsidRDefault="008F0157" w:rsidP="002F6E72">
      <w:pPr>
        <w:autoSpaceDE w:val="0"/>
        <w:autoSpaceDN w:val="0"/>
        <w:adjustRightInd w:val="0"/>
        <w:spacing w:before="120"/>
        <w:ind w:right="5"/>
        <w:rPr>
          <w:rFonts w:ascii="Arial" w:hAnsi="Arial" w:cs="Arial"/>
          <w:color w:val="000000"/>
          <w:lang w:val="en-GB" w:eastAsia="en-GB"/>
        </w:rPr>
      </w:pPr>
      <w:r w:rsidRPr="00A541D6">
        <w:rPr>
          <w:rFonts w:ascii="Arial" w:hAnsi="Arial" w:cs="Arial"/>
          <w:color w:val="000000"/>
          <w:lang w:val="en-GB" w:eastAsia="en-GB"/>
        </w:rPr>
        <w:t xml:space="preserve">Public health </w:t>
      </w:r>
      <w:r>
        <w:rPr>
          <w:rFonts w:ascii="Arial" w:hAnsi="Arial" w:cs="Arial"/>
          <w:color w:val="000000"/>
          <w:lang w:val="en-GB" w:eastAsia="en-GB"/>
        </w:rPr>
        <w:t xml:space="preserve">is defined </w:t>
      </w:r>
      <w:r w:rsidRPr="002F6E72">
        <w:rPr>
          <w:rFonts w:ascii="Arial" w:hAnsi="Arial" w:cs="Arial"/>
          <w:color w:val="000000"/>
          <w:lang w:val="en-GB" w:eastAsia="en-GB"/>
        </w:rPr>
        <w:t>as the health and wellbeing of all the people of New Zealand or a community or section of such people</w:t>
      </w:r>
      <w:r w:rsidRPr="002F6E72">
        <w:rPr>
          <w:rStyle w:val="FootnoteReference"/>
          <w:rFonts w:ascii="Arial" w:hAnsi="Arial" w:cs="Arial"/>
          <w:color w:val="000000"/>
          <w:lang w:val="en-GB" w:eastAsia="en-GB"/>
        </w:rPr>
        <w:footnoteReference w:id="8"/>
      </w:r>
      <w:r w:rsidR="00DD0D3D" w:rsidRPr="002F6E72">
        <w:rPr>
          <w:rFonts w:ascii="Arial" w:hAnsi="Arial" w:cs="Arial"/>
          <w:color w:val="000000"/>
          <w:lang w:val="en-GB" w:eastAsia="en-GB"/>
        </w:rPr>
        <w:t xml:space="preserve">. </w:t>
      </w:r>
      <w:r w:rsidRPr="002F6E72">
        <w:rPr>
          <w:rFonts w:ascii="Arial" w:hAnsi="Arial" w:cs="Arial"/>
          <w:color w:val="000000"/>
          <w:lang w:val="en-GB" w:eastAsia="en-GB"/>
        </w:rPr>
        <w:t xml:space="preserve"> Public Health Services are publicly funded services that improve, promote and protect public health at a </w:t>
      </w:r>
      <w:r w:rsidR="00580A98" w:rsidRPr="002F6E72">
        <w:rPr>
          <w:rFonts w:ascii="Arial" w:hAnsi="Arial" w:cs="Arial"/>
          <w:color w:val="000000"/>
          <w:lang w:val="en-GB" w:eastAsia="en-GB"/>
        </w:rPr>
        <w:t xml:space="preserve">community or </w:t>
      </w:r>
      <w:r w:rsidRPr="002F6E72">
        <w:rPr>
          <w:rFonts w:ascii="Arial" w:hAnsi="Arial" w:cs="Arial"/>
          <w:color w:val="000000"/>
          <w:lang w:val="en-GB" w:eastAsia="en-GB"/>
        </w:rPr>
        <w:t>population level</w:t>
      </w:r>
      <w:r w:rsidR="00580A98" w:rsidRPr="002F6E72">
        <w:rPr>
          <w:rFonts w:ascii="Arial" w:hAnsi="Arial" w:cs="Arial"/>
          <w:color w:val="000000"/>
          <w:lang w:val="en-GB" w:eastAsia="en-GB"/>
        </w:rPr>
        <w:t xml:space="preserve">, and include services and programmes focused on identifiable sub-populations.  </w:t>
      </w:r>
      <w:r w:rsidR="00AB0727" w:rsidRPr="002F6E72">
        <w:rPr>
          <w:rFonts w:ascii="Arial" w:hAnsi="Arial" w:cs="Arial"/>
          <w:color w:val="000000"/>
          <w:lang w:val="en-GB" w:eastAsia="en-GB"/>
        </w:rPr>
        <w:t>S</w:t>
      </w:r>
      <w:r w:rsidR="00580A98" w:rsidRPr="002F6E72">
        <w:rPr>
          <w:rFonts w:ascii="Arial" w:hAnsi="Arial" w:cs="Arial"/>
          <w:color w:val="000000"/>
          <w:lang w:val="en-GB" w:eastAsia="en-GB"/>
        </w:rPr>
        <w:t>ome Public Health Services are available directly to individuals, for exa</w:t>
      </w:r>
      <w:r w:rsidR="00DD0D3D" w:rsidRPr="002F6E72">
        <w:rPr>
          <w:rFonts w:ascii="Arial" w:hAnsi="Arial" w:cs="Arial"/>
          <w:color w:val="000000"/>
          <w:lang w:val="en-GB" w:eastAsia="en-GB"/>
        </w:rPr>
        <w:t>mple</w:t>
      </w:r>
      <w:r w:rsidR="00580A98" w:rsidRPr="002F6E72">
        <w:rPr>
          <w:rFonts w:ascii="Arial" w:hAnsi="Arial" w:cs="Arial"/>
          <w:color w:val="000000"/>
          <w:lang w:val="en-GB" w:eastAsia="en-GB"/>
        </w:rPr>
        <w:t xml:space="preserve">, screening programmes.  </w:t>
      </w:r>
    </w:p>
    <w:p w:rsidR="001E4E2C" w:rsidRPr="002F6E72" w:rsidRDefault="00580A98" w:rsidP="002F6E72">
      <w:pPr>
        <w:spacing w:before="120"/>
        <w:ind w:right="5"/>
        <w:rPr>
          <w:rFonts w:ascii="Arial" w:hAnsi="Arial" w:cs="Arial"/>
          <w:color w:val="000000"/>
          <w:u w:val="single"/>
          <w:lang w:eastAsia="en-GB"/>
        </w:rPr>
      </w:pPr>
      <w:r w:rsidRPr="002F6E72">
        <w:rPr>
          <w:rFonts w:ascii="Arial" w:hAnsi="Arial" w:cs="Arial"/>
          <w:color w:val="000000"/>
          <w:lang w:val="en-GB" w:eastAsia="en-GB"/>
        </w:rPr>
        <w:t>Because Public Health Services address the health needs of diverse population groups, to be effective they are usually delivered by way of comprehensive programmes</w:t>
      </w:r>
      <w:r w:rsidR="001E4E2C" w:rsidRPr="002F6E72">
        <w:rPr>
          <w:rFonts w:ascii="Arial" w:hAnsi="Arial" w:cs="Arial"/>
          <w:color w:val="000000"/>
          <w:lang w:val="en-GB" w:eastAsia="en-GB"/>
        </w:rPr>
        <w:t xml:space="preserve"> that</w:t>
      </w:r>
      <w:bookmarkStart w:id="16" w:name="_Toc215319136"/>
      <w:r w:rsidR="008F0157" w:rsidRPr="002F6E72">
        <w:rPr>
          <w:rFonts w:ascii="Arial" w:hAnsi="Arial" w:cs="Arial"/>
          <w:color w:val="000000"/>
          <w:lang w:eastAsia="en-GB"/>
        </w:rPr>
        <w:t xml:space="preserve"> evolve in </w:t>
      </w:r>
      <w:r w:rsidR="008677AF" w:rsidRPr="002F6E72">
        <w:rPr>
          <w:rFonts w:ascii="Arial" w:hAnsi="Arial" w:cs="Arial"/>
          <w:color w:val="000000"/>
          <w:lang w:eastAsia="en-GB"/>
        </w:rPr>
        <w:t xml:space="preserve">response to, and in </w:t>
      </w:r>
      <w:r w:rsidR="00706CFA" w:rsidRPr="002F6E72">
        <w:rPr>
          <w:rFonts w:ascii="Arial" w:hAnsi="Arial" w:cs="Arial"/>
          <w:color w:val="000000"/>
          <w:lang w:eastAsia="en-GB"/>
        </w:rPr>
        <w:t>anticipation of</w:t>
      </w:r>
      <w:r w:rsidR="008677AF" w:rsidRPr="002F6E72">
        <w:rPr>
          <w:rFonts w:ascii="Arial" w:hAnsi="Arial" w:cs="Arial"/>
          <w:color w:val="000000"/>
          <w:lang w:eastAsia="en-GB"/>
        </w:rPr>
        <w:t>,</w:t>
      </w:r>
      <w:r w:rsidR="008F0157" w:rsidRPr="002F6E72">
        <w:rPr>
          <w:rFonts w:ascii="Arial" w:hAnsi="Arial" w:cs="Arial"/>
          <w:color w:val="000000"/>
          <w:lang w:eastAsia="en-GB"/>
        </w:rPr>
        <w:t xml:space="preserve"> changing health needs, priorities, evidence and organisational structures.  C</w:t>
      </w:r>
      <w:proofErr w:type="spellStart"/>
      <w:r w:rsidR="008F0157" w:rsidRPr="002F6E72">
        <w:rPr>
          <w:rFonts w:ascii="Arial" w:hAnsi="Arial" w:cs="Arial"/>
          <w:color w:val="000000"/>
          <w:lang w:val="en-GB" w:eastAsia="en-GB"/>
        </w:rPr>
        <w:t>oordination</w:t>
      </w:r>
      <w:proofErr w:type="spellEnd"/>
      <w:r w:rsidR="008F0157" w:rsidRPr="002F6E72">
        <w:rPr>
          <w:rFonts w:ascii="Arial" w:hAnsi="Arial" w:cs="Arial"/>
          <w:color w:val="000000"/>
          <w:lang w:val="en-GB" w:eastAsia="en-GB"/>
        </w:rPr>
        <w:t xml:space="preserve"> of service planning and delivery </w:t>
      </w:r>
      <w:r w:rsidR="001E4E2C" w:rsidRPr="002F6E72">
        <w:rPr>
          <w:rFonts w:ascii="Arial" w:hAnsi="Arial" w:cs="Arial"/>
          <w:color w:val="000000"/>
          <w:lang w:val="en-GB" w:eastAsia="en-GB"/>
        </w:rPr>
        <w:t xml:space="preserve">is </w:t>
      </w:r>
      <w:r w:rsidR="008F0157" w:rsidRPr="002F6E72">
        <w:rPr>
          <w:rFonts w:ascii="Arial" w:hAnsi="Arial" w:cs="Arial"/>
          <w:color w:val="000000"/>
          <w:lang w:val="en-GB" w:eastAsia="en-GB"/>
        </w:rPr>
        <w:t>therefore</w:t>
      </w:r>
      <w:r w:rsidR="001E4E2C" w:rsidRPr="002F6E72">
        <w:rPr>
          <w:rFonts w:ascii="Arial" w:hAnsi="Arial" w:cs="Arial"/>
          <w:color w:val="000000"/>
          <w:lang w:val="en-GB" w:eastAsia="en-GB"/>
        </w:rPr>
        <w:t xml:space="preserve"> a dynamic process that</w:t>
      </w:r>
      <w:r w:rsidR="008F0157" w:rsidRPr="002F6E72">
        <w:rPr>
          <w:rFonts w:ascii="Arial" w:hAnsi="Arial" w:cs="Arial"/>
          <w:color w:val="000000"/>
          <w:lang w:val="en-GB" w:eastAsia="en-GB"/>
        </w:rPr>
        <w:t xml:space="preserve"> occur</w:t>
      </w:r>
      <w:r w:rsidR="001E4E2C" w:rsidRPr="002F6E72">
        <w:rPr>
          <w:rFonts w:ascii="Arial" w:hAnsi="Arial" w:cs="Arial"/>
          <w:color w:val="000000"/>
          <w:lang w:val="en-GB" w:eastAsia="en-GB"/>
        </w:rPr>
        <w:t>s</w:t>
      </w:r>
      <w:r w:rsidR="008F0157" w:rsidRPr="002F6E72">
        <w:rPr>
          <w:rFonts w:ascii="Arial" w:hAnsi="Arial" w:cs="Arial"/>
          <w:color w:val="000000"/>
          <w:lang w:val="en-GB" w:eastAsia="en-GB"/>
        </w:rPr>
        <w:t xml:space="preserve"> at the local, regional and national levels</w:t>
      </w:r>
      <w:r w:rsidR="001E4E2C" w:rsidRPr="002F6E72">
        <w:rPr>
          <w:rFonts w:ascii="Arial" w:hAnsi="Arial" w:cs="Arial"/>
          <w:color w:val="000000"/>
          <w:lang w:eastAsia="en-GB"/>
        </w:rPr>
        <w:t>.</w:t>
      </w:r>
    </w:p>
    <w:p w:rsidR="008F0157" w:rsidRPr="00393000" w:rsidRDefault="008F0157" w:rsidP="002F6E72">
      <w:pPr>
        <w:pStyle w:val="BodyText"/>
        <w:spacing w:before="120" w:after="0"/>
        <w:ind w:right="5"/>
        <w:rPr>
          <w:rFonts w:cs="Arial"/>
          <w:color w:val="000000"/>
          <w:lang w:val="en-GB" w:eastAsia="en-GB"/>
        </w:rPr>
      </w:pPr>
      <w:r w:rsidRPr="002F6E72">
        <w:rPr>
          <w:rFonts w:cs="Arial"/>
          <w:color w:val="000000"/>
          <w:sz w:val="24"/>
          <w:lang w:val="en-GB" w:eastAsia="en-GB"/>
        </w:rPr>
        <w:t xml:space="preserve">Active </w:t>
      </w:r>
      <w:r w:rsidRPr="002F6E72">
        <w:rPr>
          <w:rFonts w:cs="Arial"/>
          <w:color w:val="000000"/>
          <w:sz w:val="24"/>
          <w:lang w:eastAsia="en-GB"/>
        </w:rPr>
        <w:t>collaboration</w:t>
      </w:r>
      <w:r w:rsidR="008677AF" w:rsidRPr="002F6E72">
        <w:rPr>
          <w:rFonts w:cs="Arial"/>
          <w:color w:val="000000"/>
          <w:sz w:val="24"/>
          <w:lang w:eastAsia="en-GB"/>
        </w:rPr>
        <w:t xml:space="preserve"> by public health providers</w:t>
      </w:r>
      <w:r w:rsidRPr="002F6E72">
        <w:rPr>
          <w:rFonts w:cs="Arial"/>
          <w:color w:val="000000"/>
          <w:sz w:val="24"/>
          <w:lang w:eastAsia="en-GB"/>
        </w:rPr>
        <w:t xml:space="preserve"> with primary and secondary health care providers, NGOs</w:t>
      </w:r>
      <w:r w:rsidR="00394D95" w:rsidRPr="002F6E72">
        <w:rPr>
          <w:rFonts w:cs="Arial"/>
          <w:color w:val="000000"/>
          <w:sz w:val="24"/>
          <w:lang w:eastAsia="en-GB"/>
        </w:rPr>
        <w:t>, health sector Crown entities</w:t>
      </w:r>
      <w:r w:rsidR="008677AF" w:rsidRPr="002F6E72">
        <w:rPr>
          <w:rFonts w:cs="Arial"/>
          <w:color w:val="000000"/>
          <w:sz w:val="24"/>
          <w:lang w:eastAsia="en-GB"/>
        </w:rPr>
        <w:t xml:space="preserve"> and other sectors (</w:t>
      </w:r>
      <w:r w:rsidRPr="002F6E72">
        <w:rPr>
          <w:rFonts w:cs="Arial"/>
          <w:color w:val="000000"/>
          <w:sz w:val="24"/>
          <w:lang w:eastAsia="en-GB"/>
        </w:rPr>
        <w:t xml:space="preserve">including local government, food safety, biosecurity, housing, </w:t>
      </w:r>
      <w:r w:rsidR="00125586" w:rsidRPr="002F6E72">
        <w:rPr>
          <w:rFonts w:cs="Arial"/>
          <w:color w:val="000000"/>
          <w:sz w:val="24"/>
          <w:lang w:eastAsia="en-GB"/>
        </w:rPr>
        <w:t xml:space="preserve">occupational safety and health, </w:t>
      </w:r>
      <w:r w:rsidR="003257C8" w:rsidRPr="002F6E72">
        <w:rPr>
          <w:rFonts w:cs="Arial"/>
          <w:color w:val="000000"/>
          <w:sz w:val="24"/>
          <w:lang w:eastAsia="en-GB"/>
        </w:rPr>
        <w:t>education,</w:t>
      </w:r>
      <w:r w:rsidRPr="002F6E72">
        <w:rPr>
          <w:rFonts w:cs="Arial"/>
          <w:color w:val="000000"/>
          <w:sz w:val="24"/>
          <w:lang w:eastAsia="en-GB"/>
        </w:rPr>
        <w:t xml:space="preserve"> environment</w:t>
      </w:r>
      <w:r w:rsidR="003257C8" w:rsidRPr="002F6E72">
        <w:rPr>
          <w:rFonts w:cs="Arial"/>
          <w:color w:val="000000"/>
          <w:sz w:val="24"/>
          <w:lang w:eastAsia="en-GB"/>
        </w:rPr>
        <w:t xml:space="preserve"> </w:t>
      </w:r>
      <w:proofErr w:type="spellStart"/>
      <w:r w:rsidR="003257C8" w:rsidRPr="002F6E72">
        <w:rPr>
          <w:rFonts w:cs="Arial"/>
          <w:color w:val="000000"/>
          <w:sz w:val="24"/>
          <w:lang w:eastAsia="en-GB"/>
        </w:rPr>
        <w:t>etc</w:t>
      </w:r>
      <w:proofErr w:type="spellEnd"/>
      <w:r w:rsidR="008677AF" w:rsidRPr="002F6E72">
        <w:rPr>
          <w:rFonts w:cs="Arial"/>
          <w:color w:val="000000"/>
          <w:sz w:val="24"/>
          <w:lang w:eastAsia="en-GB"/>
        </w:rPr>
        <w:t>)</w:t>
      </w:r>
      <w:r w:rsidRPr="002F6E72">
        <w:rPr>
          <w:rFonts w:cs="Arial"/>
          <w:color w:val="000000"/>
          <w:sz w:val="24"/>
          <w:lang w:eastAsia="en-GB"/>
        </w:rPr>
        <w:t xml:space="preserve"> is also a necessary feature of effective public health practice.</w:t>
      </w:r>
      <w:r w:rsidR="00CF6B0B" w:rsidRPr="002F6E72">
        <w:rPr>
          <w:rFonts w:cs="Arial"/>
          <w:color w:val="000000"/>
          <w:sz w:val="24"/>
          <w:lang w:eastAsia="en-GB"/>
        </w:rPr>
        <w:t xml:space="preserve">  For this reason, outputs produced by providers for the purposes of </w:t>
      </w:r>
      <w:r w:rsidR="001E4E2C" w:rsidRPr="002F6E72">
        <w:rPr>
          <w:rFonts w:cs="Arial"/>
          <w:color w:val="000000"/>
          <w:sz w:val="24"/>
          <w:lang w:eastAsia="en-GB"/>
        </w:rPr>
        <w:t>this s</w:t>
      </w:r>
      <w:r w:rsidR="00CF6B0B" w:rsidRPr="002F6E72">
        <w:rPr>
          <w:rFonts w:cs="Arial"/>
          <w:color w:val="000000"/>
          <w:sz w:val="24"/>
          <w:lang w:eastAsia="en-GB"/>
        </w:rPr>
        <w:t>pecification include actual service provision</w:t>
      </w:r>
      <w:r w:rsidR="000A7D75" w:rsidRPr="002F6E72">
        <w:rPr>
          <w:rFonts w:cs="Arial"/>
          <w:color w:val="000000"/>
          <w:sz w:val="24"/>
          <w:lang w:eastAsia="en-GB"/>
        </w:rPr>
        <w:t>,</w:t>
      </w:r>
      <w:r w:rsidR="00CF6B0B" w:rsidRPr="002F6E72">
        <w:rPr>
          <w:rFonts w:cs="Arial"/>
          <w:color w:val="000000"/>
          <w:sz w:val="24"/>
          <w:lang w:eastAsia="en-GB"/>
        </w:rPr>
        <w:t xml:space="preserve"> and also outputs produced to inform or influence other agencies and sectors</w:t>
      </w:r>
      <w:r w:rsidR="000A7D75" w:rsidRPr="002F6E72">
        <w:rPr>
          <w:rFonts w:cs="Arial"/>
          <w:color w:val="000000"/>
          <w:sz w:val="24"/>
          <w:lang w:eastAsia="en-GB"/>
        </w:rPr>
        <w:t xml:space="preserve"> with a view to improving public</w:t>
      </w:r>
      <w:r w:rsidR="000A7D75" w:rsidRPr="00DD0D3D">
        <w:rPr>
          <w:rFonts w:cs="Arial"/>
          <w:color w:val="000000"/>
          <w:sz w:val="24"/>
          <w:lang w:eastAsia="en-GB"/>
        </w:rPr>
        <w:t xml:space="preserve"> health outcomes</w:t>
      </w:r>
      <w:r w:rsidR="00CF6B0B">
        <w:rPr>
          <w:rFonts w:cs="Arial"/>
          <w:color w:val="000000"/>
          <w:sz w:val="24"/>
          <w:lang w:val="en-GB" w:eastAsia="en-GB"/>
        </w:rPr>
        <w:t xml:space="preserve">. </w:t>
      </w:r>
    </w:p>
    <w:p w:rsidR="008F0157" w:rsidRPr="00546943" w:rsidRDefault="008F0157" w:rsidP="002F6E72">
      <w:pPr>
        <w:pStyle w:val="ListParagraph"/>
        <w:numPr>
          <w:ilvl w:val="0"/>
          <w:numId w:val="33"/>
        </w:numPr>
        <w:spacing w:before="240" w:after="0"/>
        <w:ind w:right="6" w:hanging="720"/>
        <w:rPr>
          <w:rFonts w:cs="Arial"/>
          <w:b/>
        </w:rPr>
      </w:pPr>
      <w:r w:rsidRPr="00546943">
        <w:rPr>
          <w:rFonts w:cs="Arial"/>
          <w:b/>
        </w:rPr>
        <w:t>Service Objectives</w:t>
      </w:r>
      <w:bookmarkEnd w:id="16"/>
    </w:p>
    <w:p w:rsidR="008F0157" w:rsidRPr="00393000" w:rsidRDefault="00546943" w:rsidP="00D71172">
      <w:pPr>
        <w:spacing w:before="120"/>
        <w:ind w:right="6"/>
        <w:rPr>
          <w:rFonts w:ascii="Arial" w:hAnsi="Arial" w:cs="Arial"/>
          <w:b/>
        </w:rPr>
      </w:pPr>
      <w:r>
        <w:rPr>
          <w:rFonts w:ascii="Arial" w:hAnsi="Arial" w:cs="Arial"/>
          <w:b/>
        </w:rPr>
        <w:t>3</w:t>
      </w:r>
      <w:r w:rsidR="008F0157" w:rsidRPr="00393000">
        <w:rPr>
          <w:rFonts w:ascii="Arial" w:hAnsi="Arial" w:cs="Arial"/>
          <w:b/>
        </w:rPr>
        <w:t>.1</w:t>
      </w:r>
      <w:r w:rsidR="008F0157" w:rsidRPr="00393000">
        <w:rPr>
          <w:rFonts w:ascii="Arial" w:hAnsi="Arial" w:cs="Arial"/>
          <w:b/>
        </w:rPr>
        <w:tab/>
        <w:t>General</w:t>
      </w:r>
    </w:p>
    <w:p w:rsidR="00580A98" w:rsidRPr="00DD0D3D" w:rsidRDefault="00580A98" w:rsidP="00580A98">
      <w:pPr>
        <w:autoSpaceDE w:val="0"/>
        <w:autoSpaceDN w:val="0"/>
        <w:adjustRightInd w:val="0"/>
        <w:spacing w:before="120"/>
        <w:ind w:right="6"/>
        <w:rPr>
          <w:rFonts w:ascii="Arial" w:hAnsi="Arial" w:cs="Arial"/>
          <w:color w:val="000000"/>
          <w:lang w:eastAsia="en-GB"/>
        </w:rPr>
      </w:pPr>
      <w:r w:rsidRPr="00DD0D3D">
        <w:rPr>
          <w:rFonts w:ascii="Arial" w:hAnsi="Arial" w:cs="Arial"/>
          <w:color w:val="000000"/>
          <w:lang w:eastAsia="en-GB"/>
        </w:rPr>
        <w:t xml:space="preserve">The purpose of the New Zealand Public Health and Disability Services Act 2000 is “to achieve for all New Zealanders… the improvement, promotion, and protection of their health.”  In achieving this outcome, the Act also seeks “…to reduce health disparities by improving the health outcomes of </w:t>
      </w:r>
      <w:r w:rsidR="00AB0727" w:rsidRPr="00DD0D3D">
        <w:rPr>
          <w:rFonts w:ascii="Arial" w:hAnsi="Arial" w:cs="Arial"/>
          <w:color w:val="000000"/>
          <w:lang w:eastAsia="en-GB"/>
        </w:rPr>
        <w:t xml:space="preserve">Māori </w:t>
      </w:r>
      <w:r w:rsidRPr="00DD0D3D">
        <w:rPr>
          <w:rFonts w:ascii="Arial" w:hAnsi="Arial" w:cs="Arial"/>
          <w:color w:val="000000"/>
          <w:lang w:eastAsia="en-GB"/>
        </w:rPr>
        <w:t>and other population groups”.</w:t>
      </w:r>
    </w:p>
    <w:p w:rsidR="008F0157" w:rsidRDefault="008F0157" w:rsidP="008F0157">
      <w:pPr>
        <w:spacing w:before="120"/>
        <w:ind w:right="5"/>
        <w:rPr>
          <w:rFonts w:ascii="Arial" w:hAnsi="Arial" w:cs="Arial"/>
          <w:color w:val="000000"/>
          <w:u w:val="single"/>
          <w:lang w:val="en-GB" w:eastAsia="en-GB"/>
        </w:rPr>
      </w:pPr>
      <w:r w:rsidRPr="00DD0D3D">
        <w:rPr>
          <w:rFonts w:ascii="Arial" w:hAnsi="Arial" w:cs="Arial"/>
          <w:color w:val="000000"/>
          <w:lang w:val="en-GB" w:eastAsia="en-GB"/>
        </w:rPr>
        <w:t>A</w:t>
      </w:r>
      <w:r w:rsidR="00580A98" w:rsidRPr="00DD0D3D">
        <w:rPr>
          <w:rFonts w:ascii="Arial" w:hAnsi="Arial" w:cs="Arial"/>
          <w:color w:val="000000"/>
          <w:lang w:val="en-GB" w:eastAsia="en-GB"/>
        </w:rPr>
        <w:t xml:space="preserve">s already </w:t>
      </w:r>
      <w:proofErr w:type="gramStart"/>
      <w:r w:rsidR="00580A98" w:rsidRPr="00DD0D3D">
        <w:rPr>
          <w:rFonts w:ascii="Arial" w:hAnsi="Arial" w:cs="Arial"/>
          <w:color w:val="000000"/>
          <w:lang w:val="en-GB" w:eastAsia="en-GB"/>
        </w:rPr>
        <w:t>noted,</w:t>
      </w:r>
      <w:proofErr w:type="gramEnd"/>
      <w:r w:rsidR="00580A98" w:rsidRPr="00DD0D3D">
        <w:rPr>
          <w:rFonts w:ascii="Arial" w:hAnsi="Arial" w:cs="Arial"/>
          <w:color w:val="000000"/>
          <w:lang w:val="en-GB" w:eastAsia="en-GB"/>
        </w:rPr>
        <w:t xml:space="preserve"> a</w:t>
      </w:r>
      <w:r w:rsidR="00AB0727" w:rsidRPr="00DD0D3D">
        <w:rPr>
          <w:rFonts w:ascii="Arial" w:hAnsi="Arial" w:cs="Arial"/>
          <w:color w:val="000000"/>
          <w:lang w:val="en-GB" w:eastAsia="en-GB"/>
        </w:rPr>
        <w:t xml:space="preserve"> focus on proven preven</w:t>
      </w:r>
      <w:r w:rsidRPr="00DD0D3D">
        <w:rPr>
          <w:rFonts w:ascii="Arial" w:hAnsi="Arial" w:cs="Arial"/>
          <w:color w:val="000000"/>
          <w:lang w:val="en-GB" w:eastAsia="en-GB"/>
        </w:rPr>
        <w:t>tive measures and earlier intervention can result in significant health gains</w:t>
      </w:r>
      <w:r w:rsidRPr="00DD0D3D">
        <w:rPr>
          <w:rStyle w:val="FootnoteReference"/>
          <w:rFonts w:ascii="Arial" w:hAnsi="Arial" w:cs="Arial"/>
          <w:color w:val="000000"/>
          <w:sz w:val="22"/>
          <w:szCs w:val="22"/>
          <w:lang w:val="en-GB" w:eastAsia="en-GB"/>
        </w:rPr>
        <w:footnoteReference w:id="9"/>
      </w:r>
      <w:r w:rsidR="008677AF" w:rsidRPr="00DD0D3D">
        <w:rPr>
          <w:rFonts w:ascii="Arial" w:hAnsi="Arial" w:cs="Arial"/>
          <w:color w:val="000000"/>
          <w:sz w:val="22"/>
          <w:szCs w:val="22"/>
          <w:lang w:val="en-GB" w:eastAsia="en-GB"/>
        </w:rPr>
        <w:t xml:space="preserve"> </w:t>
      </w:r>
      <w:r w:rsidR="008677AF" w:rsidRPr="00DD0D3D">
        <w:rPr>
          <w:rFonts w:ascii="Arial" w:hAnsi="Arial" w:cs="Arial"/>
          <w:color w:val="000000"/>
          <w:lang w:val="en-GB" w:eastAsia="en-GB"/>
        </w:rPr>
        <w:t>and contribute to efficient service delivery</w:t>
      </w:r>
      <w:r w:rsidRPr="00B314DF">
        <w:rPr>
          <w:rFonts w:ascii="Arial" w:hAnsi="Arial" w:cs="Arial"/>
          <w:color w:val="000000"/>
          <w:lang w:val="en-GB" w:eastAsia="en-GB"/>
        </w:rPr>
        <w:t xml:space="preserve">.  </w:t>
      </w:r>
      <w:r w:rsidRPr="00DD0D3D">
        <w:rPr>
          <w:rFonts w:ascii="Arial" w:hAnsi="Arial" w:cs="Arial"/>
          <w:color w:val="000000"/>
          <w:lang w:val="en-GB" w:eastAsia="en-GB"/>
        </w:rPr>
        <w:t>As community health needs and provider capabilities vary around the country</w:t>
      </w:r>
      <w:r w:rsidR="00B41095" w:rsidRPr="00DD0D3D">
        <w:rPr>
          <w:rFonts w:ascii="Arial" w:hAnsi="Arial" w:cs="Arial"/>
          <w:color w:val="000000"/>
          <w:lang w:val="en-GB" w:eastAsia="en-GB"/>
        </w:rPr>
        <w:t>, the Ministry expects Public Health Services to demonstrate</w:t>
      </w:r>
      <w:r w:rsidRPr="00DD0D3D">
        <w:rPr>
          <w:rFonts w:ascii="Arial" w:hAnsi="Arial" w:cs="Arial"/>
          <w:color w:val="000000"/>
          <w:lang w:val="en-GB" w:eastAsia="en-GB"/>
        </w:rPr>
        <w:t>:</w:t>
      </w:r>
    </w:p>
    <w:p w:rsidR="008F0157" w:rsidRPr="00DD0D3D" w:rsidRDefault="008F0157" w:rsidP="002F6E72">
      <w:pPr>
        <w:numPr>
          <w:ilvl w:val="0"/>
          <w:numId w:val="38"/>
        </w:numPr>
        <w:spacing w:before="120"/>
        <w:ind w:left="567" w:right="5" w:hanging="567"/>
        <w:rPr>
          <w:rFonts w:ascii="Arial" w:hAnsi="Arial" w:cs="Arial"/>
          <w:color w:val="000000"/>
          <w:lang w:val="en-GB" w:eastAsia="en-GB"/>
        </w:rPr>
      </w:pPr>
      <w:r w:rsidRPr="00DD0D3D">
        <w:rPr>
          <w:rFonts w:ascii="Arial" w:hAnsi="Arial" w:cs="Arial"/>
          <w:color w:val="000000"/>
          <w:lang w:val="en-GB" w:eastAsia="en-GB"/>
        </w:rPr>
        <w:t xml:space="preserve">national consistency </w:t>
      </w:r>
      <w:r w:rsidR="009E337C" w:rsidRPr="00DD0D3D">
        <w:rPr>
          <w:rFonts w:ascii="Arial" w:hAnsi="Arial" w:cs="Arial"/>
          <w:color w:val="000000"/>
          <w:lang w:val="en-GB" w:eastAsia="en-GB"/>
        </w:rPr>
        <w:t>in the standard, quality of services and improvement activities</w:t>
      </w:r>
      <w:r w:rsidRPr="00DD0D3D">
        <w:rPr>
          <w:rFonts w:ascii="Arial" w:hAnsi="Arial" w:cs="Arial"/>
          <w:color w:val="000000"/>
          <w:lang w:val="en-GB" w:eastAsia="en-GB"/>
        </w:rPr>
        <w:t xml:space="preserve"> while recognising that flexibi</w:t>
      </w:r>
      <w:r w:rsidR="009E337C" w:rsidRPr="00DD0D3D">
        <w:rPr>
          <w:rFonts w:ascii="Arial" w:hAnsi="Arial" w:cs="Arial"/>
          <w:color w:val="000000"/>
          <w:lang w:val="en-GB" w:eastAsia="en-GB"/>
        </w:rPr>
        <w:t xml:space="preserve">lity </w:t>
      </w:r>
      <w:r w:rsidR="00394D95" w:rsidRPr="00DD0D3D">
        <w:rPr>
          <w:rFonts w:ascii="Arial" w:hAnsi="Arial" w:cs="Arial"/>
          <w:color w:val="000000"/>
          <w:lang w:val="en-GB" w:eastAsia="en-GB"/>
        </w:rPr>
        <w:t xml:space="preserve">in delivery </w:t>
      </w:r>
      <w:r w:rsidR="009E337C" w:rsidRPr="00DD0D3D">
        <w:rPr>
          <w:rFonts w:ascii="Arial" w:hAnsi="Arial" w:cs="Arial"/>
          <w:color w:val="000000"/>
          <w:lang w:val="en-GB" w:eastAsia="en-GB"/>
        </w:rPr>
        <w:t>will often be desirable or</w:t>
      </w:r>
      <w:r w:rsidRPr="00DD0D3D">
        <w:rPr>
          <w:rFonts w:ascii="Arial" w:hAnsi="Arial" w:cs="Arial"/>
          <w:color w:val="000000"/>
          <w:lang w:val="en-GB" w:eastAsia="en-GB"/>
        </w:rPr>
        <w:t xml:space="preserve"> necessary at a local level</w:t>
      </w:r>
    </w:p>
    <w:p w:rsidR="00394D95" w:rsidRPr="00DD0D3D" w:rsidRDefault="00546943" w:rsidP="002F6E72">
      <w:pPr>
        <w:numPr>
          <w:ilvl w:val="0"/>
          <w:numId w:val="38"/>
        </w:numPr>
        <w:ind w:left="567" w:right="5" w:hanging="567"/>
        <w:rPr>
          <w:rFonts w:ascii="Arial" w:hAnsi="Arial" w:cs="Arial"/>
          <w:color w:val="000000"/>
          <w:lang w:val="en-GB" w:eastAsia="en-GB"/>
        </w:rPr>
      </w:pPr>
      <w:r w:rsidRPr="00DD0D3D">
        <w:rPr>
          <w:rFonts w:ascii="Arial" w:hAnsi="Arial" w:cs="Arial"/>
          <w:color w:val="000000"/>
          <w:lang w:val="en-GB" w:eastAsia="en-GB"/>
        </w:rPr>
        <w:t xml:space="preserve">services </w:t>
      </w:r>
      <w:r w:rsidR="00394D95" w:rsidRPr="00DD0D3D">
        <w:rPr>
          <w:rFonts w:ascii="Arial" w:hAnsi="Arial" w:cs="Arial"/>
          <w:color w:val="000000"/>
          <w:lang w:val="en-GB" w:eastAsia="en-GB"/>
        </w:rPr>
        <w:t>be</w:t>
      </w:r>
      <w:r w:rsidRPr="00DD0D3D">
        <w:rPr>
          <w:rFonts w:ascii="Arial" w:hAnsi="Arial" w:cs="Arial"/>
          <w:color w:val="000000"/>
          <w:lang w:val="en-GB" w:eastAsia="en-GB"/>
        </w:rPr>
        <w:t>ing</w:t>
      </w:r>
      <w:r w:rsidR="00394D95" w:rsidRPr="00DD0D3D">
        <w:rPr>
          <w:rFonts w:ascii="Arial" w:hAnsi="Arial" w:cs="Arial"/>
          <w:color w:val="000000"/>
          <w:lang w:val="en-GB" w:eastAsia="en-GB"/>
        </w:rPr>
        <w:t xml:space="preserve"> culturally appropriate and responsive to </w:t>
      </w:r>
      <w:r w:rsidR="00580A98" w:rsidRPr="00DD0D3D">
        <w:rPr>
          <w:rFonts w:ascii="Arial" w:hAnsi="Arial" w:cs="Arial"/>
          <w:color w:val="000000"/>
          <w:lang w:val="en-GB" w:eastAsia="en-GB"/>
        </w:rPr>
        <w:t>Māori</w:t>
      </w:r>
    </w:p>
    <w:p w:rsidR="008F0157" w:rsidRPr="00DD0D3D" w:rsidRDefault="008F0157" w:rsidP="002F6E72">
      <w:pPr>
        <w:numPr>
          <w:ilvl w:val="0"/>
          <w:numId w:val="38"/>
        </w:numPr>
        <w:ind w:left="567" w:right="5" w:hanging="567"/>
        <w:rPr>
          <w:rFonts w:ascii="Arial" w:hAnsi="Arial" w:cs="Arial"/>
          <w:color w:val="000000"/>
          <w:lang w:val="en-GB" w:eastAsia="en-GB"/>
        </w:rPr>
      </w:pPr>
      <w:proofErr w:type="gramStart"/>
      <w:r w:rsidRPr="00DD0D3D">
        <w:rPr>
          <w:rFonts w:ascii="Arial" w:hAnsi="Arial" w:cs="Arial"/>
          <w:color w:val="000000"/>
          <w:lang w:val="en-GB" w:eastAsia="en-GB"/>
        </w:rPr>
        <w:lastRenderedPageBreak/>
        <w:t>integration</w:t>
      </w:r>
      <w:proofErr w:type="gramEnd"/>
      <w:r w:rsidRPr="00DD0D3D">
        <w:rPr>
          <w:rFonts w:ascii="Arial" w:hAnsi="Arial" w:cs="Arial"/>
          <w:color w:val="000000"/>
          <w:lang w:val="en-GB" w:eastAsia="en-GB"/>
        </w:rPr>
        <w:t xml:space="preserve"> in the planning and delivery of services, </w:t>
      </w:r>
      <w:r w:rsidR="001E4E2C" w:rsidRPr="00DD0D3D">
        <w:rPr>
          <w:rFonts w:ascii="Arial" w:hAnsi="Arial" w:cs="Arial"/>
          <w:color w:val="000000"/>
          <w:lang w:val="en-GB" w:eastAsia="en-GB"/>
        </w:rPr>
        <w:t>with a particular focus on</w:t>
      </w:r>
      <w:r w:rsidRPr="00DD0D3D">
        <w:rPr>
          <w:rFonts w:ascii="Arial" w:hAnsi="Arial" w:cs="Arial"/>
          <w:color w:val="000000"/>
          <w:lang w:val="en-GB" w:eastAsia="en-GB"/>
        </w:rPr>
        <w:t xml:space="preserve"> “whole of health system” approach</w:t>
      </w:r>
      <w:r w:rsidR="001E4E2C" w:rsidRPr="00DD0D3D">
        <w:rPr>
          <w:rFonts w:ascii="Arial" w:hAnsi="Arial" w:cs="Arial"/>
          <w:color w:val="000000"/>
          <w:lang w:val="en-GB" w:eastAsia="en-GB"/>
        </w:rPr>
        <w:t>es (especially by DHBs)</w:t>
      </w:r>
      <w:r w:rsidRPr="00DD0D3D">
        <w:rPr>
          <w:rFonts w:ascii="Arial" w:hAnsi="Arial" w:cs="Arial"/>
          <w:color w:val="000000"/>
          <w:lang w:val="en-GB" w:eastAsia="en-GB"/>
        </w:rPr>
        <w:t xml:space="preserve">.  The potential for improved health outcomes from system integration occurs across different </w:t>
      </w:r>
      <w:r w:rsidR="001E4E2C" w:rsidRPr="00DD0D3D">
        <w:rPr>
          <w:rFonts w:ascii="Arial" w:hAnsi="Arial" w:cs="Arial"/>
          <w:color w:val="000000"/>
          <w:lang w:val="en-GB" w:eastAsia="en-GB"/>
        </w:rPr>
        <w:t>sectors</w:t>
      </w:r>
      <w:r w:rsidRPr="00DD0D3D">
        <w:rPr>
          <w:rFonts w:ascii="Arial" w:hAnsi="Arial" w:cs="Arial"/>
          <w:color w:val="000000"/>
          <w:lang w:val="en-GB" w:eastAsia="en-GB"/>
        </w:rPr>
        <w:t xml:space="preserve"> </w:t>
      </w:r>
      <w:r w:rsidR="001E4E2C" w:rsidRPr="00DD0D3D">
        <w:rPr>
          <w:rFonts w:ascii="Arial" w:hAnsi="Arial" w:cs="Arial"/>
          <w:color w:val="000000"/>
          <w:lang w:val="en-GB" w:eastAsia="en-GB"/>
        </w:rPr>
        <w:t xml:space="preserve">and </w:t>
      </w:r>
      <w:r w:rsidRPr="00DD0D3D">
        <w:rPr>
          <w:rFonts w:ascii="Arial" w:hAnsi="Arial" w:cs="Arial"/>
          <w:color w:val="000000"/>
          <w:lang w:val="en-GB" w:eastAsia="en-GB"/>
        </w:rPr>
        <w:t>across the continuum of health.</w:t>
      </w:r>
    </w:p>
    <w:p w:rsidR="00764DFF" w:rsidRPr="00DD0D3D" w:rsidRDefault="001E4E2C" w:rsidP="002F6E72">
      <w:pPr>
        <w:spacing w:before="120"/>
        <w:ind w:left="567" w:hanging="567"/>
        <w:rPr>
          <w:rFonts w:ascii="Arial" w:hAnsi="Arial" w:cs="Arial"/>
          <w:color w:val="000000"/>
          <w:lang w:val="en-GB" w:eastAsia="en-GB"/>
        </w:rPr>
      </w:pPr>
      <w:r w:rsidRPr="00DD0D3D">
        <w:rPr>
          <w:rFonts w:ascii="Arial" w:hAnsi="Arial" w:cs="Arial"/>
          <w:color w:val="000000"/>
          <w:lang w:val="en-GB" w:eastAsia="en-GB"/>
        </w:rPr>
        <w:t>The outcomes sought by P</w:t>
      </w:r>
      <w:r w:rsidR="00764DFF" w:rsidRPr="00DD0D3D">
        <w:rPr>
          <w:rFonts w:ascii="Arial" w:hAnsi="Arial" w:cs="Arial"/>
          <w:color w:val="000000"/>
          <w:lang w:val="en-GB" w:eastAsia="en-GB"/>
        </w:rPr>
        <w:t xml:space="preserve">ublic </w:t>
      </w:r>
      <w:r w:rsidRPr="00DD0D3D">
        <w:rPr>
          <w:rFonts w:ascii="Arial" w:hAnsi="Arial" w:cs="Arial"/>
          <w:color w:val="000000"/>
          <w:lang w:val="en-GB" w:eastAsia="en-GB"/>
        </w:rPr>
        <w:t>H</w:t>
      </w:r>
      <w:r w:rsidR="00764DFF" w:rsidRPr="00DD0D3D">
        <w:rPr>
          <w:rFonts w:ascii="Arial" w:hAnsi="Arial" w:cs="Arial"/>
          <w:color w:val="000000"/>
          <w:lang w:val="en-GB" w:eastAsia="en-GB"/>
        </w:rPr>
        <w:t xml:space="preserve">ealth </w:t>
      </w:r>
      <w:r w:rsidRPr="00DD0D3D">
        <w:rPr>
          <w:rFonts w:ascii="Arial" w:hAnsi="Arial" w:cs="Arial"/>
          <w:color w:val="000000"/>
          <w:lang w:val="en-GB" w:eastAsia="en-GB"/>
        </w:rPr>
        <w:t>S</w:t>
      </w:r>
      <w:r w:rsidR="00764DFF" w:rsidRPr="00DD0D3D">
        <w:rPr>
          <w:rFonts w:ascii="Arial" w:hAnsi="Arial" w:cs="Arial"/>
          <w:color w:val="000000"/>
          <w:lang w:val="en-GB" w:eastAsia="en-GB"/>
        </w:rPr>
        <w:t>ervices are:</w:t>
      </w:r>
    </w:p>
    <w:p w:rsidR="00764DFF" w:rsidRPr="00DD0D3D" w:rsidRDefault="00764DFF" w:rsidP="002F6E72">
      <w:pPr>
        <w:numPr>
          <w:ilvl w:val="0"/>
          <w:numId w:val="34"/>
        </w:numPr>
        <w:tabs>
          <w:tab w:val="clear" w:pos="720"/>
        </w:tabs>
        <w:overflowPunct w:val="0"/>
        <w:autoSpaceDE w:val="0"/>
        <w:autoSpaceDN w:val="0"/>
        <w:adjustRightInd w:val="0"/>
        <w:spacing w:before="120"/>
        <w:ind w:left="567" w:hanging="567"/>
        <w:textAlignment w:val="baseline"/>
        <w:rPr>
          <w:rFonts w:ascii="Arial" w:hAnsi="Arial" w:cs="Arial"/>
          <w:color w:val="000000"/>
          <w:lang w:val="en-GB" w:eastAsia="en-GB"/>
        </w:rPr>
      </w:pPr>
      <w:r w:rsidRPr="00DD0D3D">
        <w:rPr>
          <w:rFonts w:ascii="Arial" w:hAnsi="Arial" w:cs="Arial"/>
          <w:color w:val="000000"/>
          <w:lang w:val="en-GB" w:eastAsia="en-GB"/>
        </w:rPr>
        <w:t>a healthier population</w:t>
      </w:r>
    </w:p>
    <w:p w:rsidR="00764DFF" w:rsidRPr="00DD0D3D" w:rsidRDefault="001E4E2C" w:rsidP="002F6E72">
      <w:pPr>
        <w:numPr>
          <w:ilvl w:val="0"/>
          <w:numId w:val="34"/>
        </w:numPr>
        <w:tabs>
          <w:tab w:val="clear" w:pos="720"/>
        </w:tabs>
        <w:overflowPunct w:val="0"/>
        <w:autoSpaceDE w:val="0"/>
        <w:autoSpaceDN w:val="0"/>
        <w:adjustRightInd w:val="0"/>
        <w:ind w:left="567" w:hanging="567"/>
        <w:textAlignment w:val="baseline"/>
        <w:rPr>
          <w:rFonts w:ascii="Arial" w:hAnsi="Arial" w:cs="Arial"/>
          <w:color w:val="000000"/>
          <w:lang w:val="en-GB" w:eastAsia="en-GB"/>
        </w:rPr>
      </w:pPr>
      <w:r w:rsidRPr="00DD0D3D">
        <w:rPr>
          <w:rFonts w:ascii="Arial" w:hAnsi="Arial" w:cs="Arial"/>
          <w:color w:val="000000"/>
          <w:lang w:val="en-GB" w:eastAsia="en-GB"/>
        </w:rPr>
        <w:t xml:space="preserve">a </w:t>
      </w:r>
      <w:r w:rsidR="00764DFF" w:rsidRPr="00DD0D3D">
        <w:rPr>
          <w:rFonts w:ascii="Arial" w:hAnsi="Arial" w:cs="Arial"/>
          <w:color w:val="000000"/>
          <w:lang w:val="en-GB" w:eastAsia="en-GB"/>
        </w:rPr>
        <w:t>reduction of</w:t>
      </w:r>
      <w:r w:rsidR="00AB0727" w:rsidRPr="00DD0D3D">
        <w:rPr>
          <w:rFonts w:ascii="Arial" w:hAnsi="Arial" w:cs="Arial"/>
          <w:color w:val="000000"/>
          <w:lang w:val="en-GB" w:eastAsia="en-GB"/>
        </w:rPr>
        <w:t xml:space="preserve"> inequity in</w:t>
      </w:r>
      <w:r w:rsidR="00764DFF" w:rsidRPr="00DD0D3D">
        <w:rPr>
          <w:rFonts w:ascii="Arial" w:hAnsi="Arial" w:cs="Arial"/>
          <w:color w:val="000000"/>
          <w:lang w:val="en-GB" w:eastAsia="en-GB"/>
        </w:rPr>
        <w:t xml:space="preserve"> health </w:t>
      </w:r>
      <w:r w:rsidRPr="00DD0D3D">
        <w:rPr>
          <w:rFonts w:ascii="Arial" w:hAnsi="Arial" w:cs="Arial"/>
          <w:color w:val="000000"/>
          <w:lang w:val="en-GB" w:eastAsia="en-GB"/>
        </w:rPr>
        <w:t>outcomes</w:t>
      </w:r>
      <w:r w:rsidR="00764DFF" w:rsidRPr="00DD0D3D">
        <w:rPr>
          <w:rFonts w:ascii="Arial" w:hAnsi="Arial" w:cs="Arial"/>
          <w:color w:val="000000"/>
          <w:lang w:val="en-GB" w:eastAsia="en-GB"/>
        </w:rPr>
        <w:t xml:space="preserve"> </w:t>
      </w:r>
    </w:p>
    <w:p w:rsidR="00764DFF" w:rsidRPr="00DD0D3D" w:rsidRDefault="00764DFF" w:rsidP="002F6E72">
      <w:pPr>
        <w:numPr>
          <w:ilvl w:val="0"/>
          <w:numId w:val="34"/>
        </w:numPr>
        <w:tabs>
          <w:tab w:val="clear" w:pos="720"/>
        </w:tabs>
        <w:overflowPunct w:val="0"/>
        <w:autoSpaceDE w:val="0"/>
        <w:autoSpaceDN w:val="0"/>
        <w:adjustRightInd w:val="0"/>
        <w:ind w:left="567" w:hanging="567"/>
        <w:textAlignment w:val="baseline"/>
        <w:rPr>
          <w:rFonts w:ascii="Arial" w:hAnsi="Arial" w:cs="Arial"/>
          <w:color w:val="000000"/>
          <w:lang w:val="en-GB" w:eastAsia="en-GB"/>
        </w:rPr>
      </w:pPr>
      <w:r w:rsidRPr="00DD0D3D">
        <w:rPr>
          <w:rFonts w:ascii="Arial" w:hAnsi="Arial" w:cs="Arial"/>
          <w:color w:val="000000"/>
          <w:lang w:val="en-GB" w:eastAsia="en-GB"/>
        </w:rPr>
        <w:t>improvement</w:t>
      </w:r>
      <w:r w:rsidR="001E4E2C" w:rsidRPr="00DD0D3D">
        <w:rPr>
          <w:rFonts w:ascii="Arial" w:hAnsi="Arial" w:cs="Arial"/>
          <w:color w:val="000000"/>
          <w:lang w:val="en-GB" w:eastAsia="en-GB"/>
        </w:rPr>
        <w:t>s</w:t>
      </w:r>
      <w:r w:rsidRPr="00DD0D3D">
        <w:rPr>
          <w:rFonts w:ascii="Arial" w:hAnsi="Arial" w:cs="Arial"/>
          <w:color w:val="000000"/>
          <w:lang w:val="en-GB" w:eastAsia="en-GB"/>
        </w:rPr>
        <w:t xml:space="preserve"> in Māori health</w:t>
      </w:r>
    </w:p>
    <w:p w:rsidR="00764DFF" w:rsidRPr="00DD0D3D" w:rsidRDefault="00764DFF" w:rsidP="002F6E72">
      <w:pPr>
        <w:numPr>
          <w:ilvl w:val="0"/>
          <w:numId w:val="34"/>
        </w:numPr>
        <w:tabs>
          <w:tab w:val="clear" w:pos="720"/>
        </w:tabs>
        <w:overflowPunct w:val="0"/>
        <w:autoSpaceDE w:val="0"/>
        <w:autoSpaceDN w:val="0"/>
        <w:adjustRightInd w:val="0"/>
        <w:ind w:left="567" w:hanging="567"/>
        <w:textAlignment w:val="baseline"/>
        <w:rPr>
          <w:rFonts w:ascii="Arial" w:hAnsi="Arial" w:cs="Arial"/>
          <w:color w:val="000000"/>
          <w:lang w:val="en-GB" w:eastAsia="en-GB"/>
        </w:rPr>
      </w:pPr>
      <w:r w:rsidRPr="00DD0D3D">
        <w:rPr>
          <w:rFonts w:ascii="Arial" w:hAnsi="Arial" w:cs="Arial"/>
          <w:color w:val="000000"/>
          <w:lang w:val="en-GB" w:eastAsia="en-GB"/>
        </w:rPr>
        <w:t>increased safeguards for the public’s health</w:t>
      </w:r>
    </w:p>
    <w:p w:rsidR="00764DFF" w:rsidRPr="00DD0D3D" w:rsidRDefault="00764DFF" w:rsidP="002F6E72">
      <w:pPr>
        <w:numPr>
          <w:ilvl w:val="0"/>
          <w:numId w:val="34"/>
        </w:numPr>
        <w:tabs>
          <w:tab w:val="clear" w:pos="720"/>
        </w:tabs>
        <w:overflowPunct w:val="0"/>
        <w:autoSpaceDE w:val="0"/>
        <w:autoSpaceDN w:val="0"/>
        <w:adjustRightInd w:val="0"/>
        <w:ind w:left="567" w:hanging="567"/>
        <w:textAlignment w:val="baseline"/>
        <w:rPr>
          <w:rFonts w:ascii="Arial" w:hAnsi="Arial" w:cs="Arial"/>
          <w:color w:val="000000"/>
          <w:lang w:val="en-GB" w:eastAsia="en-GB"/>
        </w:rPr>
      </w:pPr>
      <w:proofErr w:type="gramStart"/>
      <w:r w:rsidRPr="00DD0D3D">
        <w:rPr>
          <w:rFonts w:ascii="Arial" w:hAnsi="Arial" w:cs="Arial"/>
          <w:color w:val="000000"/>
          <w:lang w:val="en-GB" w:eastAsia="en-GB"/>
        </w:rPr>
        <w:t>a</w:t>
      </w:r>
      <w:proofErr w:type="gramEnd"/>
      <w:r w:rsidRPr="00DD0D3D">
        <w:rPr>
          <w:rFonts w:ascii="Arial" w:hAnsi="Arial" w:cs="Arial"/>
          <w:color w:val="000000"/>
          <w:lang w:val="en-GB" w:eastAsia="en-GB"/>
        </w:rPr>
        <w:t xml:space="preserve"> reduced burden of acute and chronic disease.</w:t>
      </w:r>
    </w:p>
    <w:p w:rsidR="008F0157" w:rsidRPr="00393000" w:rsidRDefault="00546943" w:rsidP="002F6E72">
      <w:pPr>
        <w:spacing w:before="120"/>
        <w:ind w:left="57" w:right="6" w:hanging="57"/>
        <w:rPr>
          <w:rFonts w:ascii="Arial" w:hAnsi="Arial" w:cs="Arial"/>
          <w:b/>
        </w:rPr>
      </w:pPr>
      <w:bookmarkStart w:id="17" w:name="_Toc215319140"/>
      <w:r>
        <w:rPr>
          <w:rFonts w:ascii="Arial" w:hAnsi="Arial" w:cs="Arial"/>
          <w:b/>
        </w:rPr>
        <w:t>3</w:t>
      </w:r>
      <w:r w:rsidR="008F0157" w:rsidRPr="00393000">
        <w:rPr>
          <w:rFonts w:ascii="Arial" w:hAnsi="Arial" w:cs="Arial"/>
          <w:b/>
        </w:rPr>
        <w:t>.2</w:t>
      </w:r>
      <w:r w:rsidR="008F0157" w:rsidRPr="00393000">
        <w:rPr>
          <w:rFonts w:ascii="Arial" w:hAnsi="Arial" w:cs="Arial"/>
          <w:b/>
        </w:rPr>
        <w:tab/>
        <w:t>M</w:t>
      </w:r>
      <w:r w:rsidR="008F0157" w:rsidRPr="00393000">
        <w:rPr>
          <w:rFonts w:ascii="Arial" w:hAnsi="Arial" w:cs="Arial"/>
          <w:b/>
          <w:bCs/>
        </w:rPr>
        <w:t>ā</w:t>
      </w:r>
      <w:r w:rsidR="008F0157" w:rsidRPr="00393000">
        <w:rPr>
          <w:rFonts w:ascii="Arial" w:hAnsi="Arial" w:cs="Arial"/>
          <w:b/>
        </w:rPr>
        <w:t>ori Health</w:t>
      </w:r>
    </w:p>
    <w:p w:rsidR="008F0157" w:rsidRPr="00393000" w:rsidRDefault="00580A98" w:rsidP="008F0157">
      <w:pPr>
        <w:spacing w:before="120"/>
        <w:ind w:right="5"/>
        <w:rPr>
          <w:rFonts w:ascii="Arial" w:hAnsi="Arial" w:cs="Arial"/>
        </w:rPr>
      </w:pPr>
      <w:r w:rsidRPr="00DD0D3D">
        <w:rPr>
          <w:rFonts w:ascii="Arial" w:hAnsi="Arial" w:cs="Arial"/>
        </w:rPr>
        <w:t xml:space="preserve">The public health approach to improving Māori health requires both enhancing health outcomes in general terms and attention to the particular areas where </w:t>
      </w:r>
      <w:r w:rsidRPr="00393000">
        <w:rPr>
          <w:rFonts w:ascii="Arial" w:hAnsi="Arial" w:cs="Arial"/>
        </w:rPr>
        <w:t>M</w:t>
      </w:r>
      <w:r w:rsidRPr="00DD0D3D">
        <w:rPr>
          <w:rFonts w:ascii="Arial" w:hAnsi="Arial" w:cs="Arial"/>
        </w:rPr>
        <w:t>ā</w:t>
      </w:r>
      <w:r w:rsidRPr="00393000">
        <w:rPr>
          <w:rFonts w:ascii="Arial" w:hAnsi="Arial" w:cs="Arial"/>
        </w:rPr>
        <w:t>ori</w:t>
      </w:r>
      <w:r w:rsidRPr="00DD0D3D">
        <w:rPr>
          <w:rFonts w:ascii="Arial" w:hAnsi="Arial" w:cs="Arial"/>
        </w:rPr>
        <w:t xml:space="preserve"> </w:t>
      </w:r>
      <w:r w:rsidR="00633B05" w:rsidRPr="00DD0D3D">
        <w:rPr>
          <w:rFonts w:ascii="Arial" w:hAnsi="Arial" w:cs="Arial"/>
        </w:rPr>
        <w:t>have</w:t>
      </w:r>
      <w:r w:rsidRPr="00DD0D3D">
        <w:rPr>
          <w:rFonts w:ascii="Arial" w:hAnsi="Arial" w:cs="Arial"/>
        </w:rPr>
        <w:t xml:space="preserve"> inequitable health outcomes</w:t>
      </w:r>
      <w:r w:rsidR="008F0157" w:rsidRPr="00393000">
        <w:rPr>
          <w:rFonts w:ascii="Arial" w:hAnsi="Arial" w:cs="Arial"/>
        </w:rPr>
        <w:t xml:space="preserve">.  Health providers </w:t>
      </w:r>
      <w:r w:rsidR="008F0157" w:rsidRPr="00DD0D3D">
        <w:rPr>
          <w:rFonts w:ascii="Arial" w:hAnsi="Arial" w:cs="Arial"/>
        </w:rPr>
        <w:t>are expected to</w:t>
      </w:r>
      <w:r w:rsidR="008F0157" w:rsidRPr="00393000">
        <w:rPr>
          <w:rFonts w:ascii="Arial" w:hAnsi="Arial" w:cs="Arial"/>
        </w:rPr>
        <w:t xml:space="preserve"> </w:t>
      </w:r>
      <w:r w:rsidR="003C450E">
        <w:rPr>
          <w:rFonts w:ascii="Arial" w:hAnsi="Arial" w:cs="Arial"/>
        </w:rPr>
        <w:t>p</w:t>
      </w:r>
      <w:r w:rsidR="008F0157" w:rsidRPr="00393000">
        <w:rPr>
          <w:rFonts w:ascii="Arial" w:hAnsi="Arial" w:cs="Arial"/>
        </w:rPr>
        <w:t>rovide health services that will con</w:t>
      </w:r>
      <w:r w:rsidR="00D71172">
        <w:rPr>
          <w:rFonts w:ascii="Arial" w:hAnsi="Arial" w:cs="Arial"/>
        </w:rPr>
        <w:t>tribute to realising this aim.</w:t>
      </w:r>
    </w:p>
    <w:p w:rsidR="008F0157" w:rsidRPr="00393000" w:rsidRDefault="008F0157" w:rsidP="008F0157">
      <w:pPr>
        <w:spacing w:before="120"/>
        <w:ind w:right="5"/>
        <w:rPr>
          <w:rFonts w:ascii="Arial" w:hAnsi="Arial" w:cs="Arial"/>
        </w:rPr>
      </w:pPr>
      <w:r w:rsidRPr="00393000">
        <w:rPr>
          <w:rFonts w:ascii="Arial" w:hAnsi="Arial" w:cs="Arial"/>
        </w:rPr>
        <w:t xml:space="preserve">This may be achieved through mechanisms that </w:t>
      </w:r>
      <w:r w:rsidR="00D82AE1" w:rsidRPr="00DD0D3D">
        <w:rPr>
          <w:rFonts w:ascii="Arial" w:hAnsi="Arial" w:cs="Arial"/>
        </w:rPr>
        <w:t>use appropriate models of health and service delivery and</w:t>
      </w:r>
      <w:r w:rsidR="00D82AE1">
        <w:rPr>
          <w:rFonts w:ascii="Arial" w:hAnsi="Arial" w:cs="Arial"/>
        </w:rPr>
        <w:t xml:space="preserve"> </w:t>
      </w:r>
      <w:r w:rsidRPr="00393000">
        <w:rPr>
          <w:rFonts w:ascii="Arial" w:hAnsi="Arial" w:cs="Arial"/>
        </w:rPr>
        <w:t>facilitate M</w:t>
      </w:r>
      <w:r w:rsidRPr="00DD0D3D">
        <w:rPr>
          <w:rFonts w:ascii="Arial" w:hAnsi="Arial" w:cs="Arial"/>
        </w:rPr>
        <w:t>ā</w:t>
      </w:r>
      <w:r w:rsidR="00D82AE1">
        <w:rPr>
          <w:rFonts w:ascii="Arial" w:hAnsi="Arial" w:cs="Arial"/>
        </w:rPr>
        <w:t>ori access to services.  P</w:t>
      </w:r>
      <w:r w:rsidRPr="00393000">
        <w:rPr>
          <w:rFonts w:ascii="Arial" w:hAnsi="Arial" w:cs="Arial"/>
        </w:rPr>
        <w:t>rovision of appropriate pathways of care might include, but are not limited to:</w:t>
      </w:r>
    </w:p>
    <w:p w:rsidR="008F0157" w:rsidRPr="00393000" w:rsidRDefault="008F0157" w:rsidP="002F6E72">
      <w:pPr>
        <w:numPr>
          <w:ilvl w:val="0"/>
          <w:numId w:val="1"/>
        </w:numPr>
        <w:tabs>
          <w:tab w:val="clear" w:pos="1440"/>
        </w:tabs>
        <w:spacing w:before="120"/>
        <w:ind w:left="570" w:right="5" w:hanging="570"/>
        <w:rPr>
          <w:rFonts w:ascii="Arial" w:hAnsi="Arial" w:cs="Arial"/>
        </w:rPr>
      </w:pPr>
      <w:r w:rsidRPr="00393000">
        <w:rPr>
          <w:rFonts w:ascii="Arial" w:hAnsi="Arial" w:cs="Arial"/>
        </w:rPr>
        <w:t>ensuring that the se</w:t>
      </w:r>
      <w:r w:rsidR="00D82AE1">
        <w:rPr>
          <w:rFonts w:ascii="Arial" w:hAnsi="Arial" w:cs="Arial"/>
        </w:rPr>
        <w:t xml:space="preserve">rvices are, </w:t>
      </w:r>
      <w:r w:rsidR="00D82AE1" w:rsidRPr="00DD0D3D">
        <w:rPr>
          <w:rFonts w:ascii="Arial" w:hAnsi="Arial" w:cs="Arial"/>
        </w:rPr>
        <w:t>and can demonstrate</w:t>
      </w:r>
      <w:r w:rsidR="00D82AE1">
        <w:rPr>
          <w:rFonts w:ascii="Arial" w:hAnsi="Arial" w:cs="Arial"/>
        </w:rPr>
        <w:t>, cultural competence</w:t>
      </w:r>
    </w:p>
    <w:p w:rsidR="008F0157" w:rsidRPr="00393000" w:rsidRDefault="008F0157" w:rsidP="002F6E72">
      <w:pPr>
        <w:numPr>
          <w:ilvl w:val="0"/>
          <w:numId w:val="1"/>
        </w:numPr>
        <w:tabs>
          <w:tab w:val="clear" w:pos="1440"/>
        </w:tabs>
        <w:ind w:left="570" w:right="5" w:hanging="570"/>
        <w:rPr>
          <w:rFonts w:ascii="Arial" w:hAnsi="Arial" w:cs="Arial"/>
        </w:rPr>
      </w:pPr>
      <w:proofErr w:type="gramStart"/>
      <w:r w:rsidRPr="00393000">
        <w:rPr>
          <w:rFonts w:ascii="Arial" w:hAnsi="Arial" w:cs="Arial"/>
        </w:rPr>
        <w:t>that</w:t>
      </w:r>
      <w:proofErr w:type="gramEnd"/>
      <w:r w:rsidRPr="00393000">
        <w:rPr>
          <w:rFonts w:ascii="Arial" w:hAnsi="Arial" w:cs="Arial"/>
        </w:rPr>
        <w:t xml:space="preserve"> services are provided that meet the health needs of M</w:t>
      </w:r>
      <w:r w:rsidRPr="00393000">
        <w:rPr>
          <w:rFonts w:ascii="Arial" w:hAnsi="Arial" w:cs="Arial"/>
          <w:bCs/>
        </w:rPr>
        <w:t>ā</w:t>
      </w:r>
      <w:r w:rsidRPr="00393000">
        <w:rPr>
          <w:rFonts w:ascii="Arial" w:hAnsi="Arial" w:cs="Arial"/>
        </w:rPr>
        <w:t xml:space="preserve">ori. </w:t>
      </w:r>
    </w:p>
    <w:p w:rsidR="008F0157" w:rsidRPr="00393000" w:rsidRDefault="008F0157" w:rsidP="008F0157">
      <w:pPr>
        <w:spacing w:before="120"/>
        <w:ind w:right="5"/>
        <w:rPr>
          <w:rFonts w:ascii="Arial" w:hAnsi="Arial" w:cs="Arial"/>
        </w:rPr>
      </w:pPr>
      <w:r w:rsidRPr="00393000">
        <w:rPr>
          <w:rFonts w:ascii="Arial" w:hAnsi="Arial" w:cs="Arial"/>
        </w:rPr>
        <w:t>It is expected that, where appropriate, there will be M</w:t>
      </w:r>
      <w:r w:rsidRPr="00393000">
        <w:rPr>
          <w:rFonts w:ascii="Arial" w:hAnsi="Arial" w:cs="Arial"/>
          <w:bCs/>
        </w:rPr>
        <w:t>ā</w:t>
      </w:r>
      <w:r w:rsidRPr="00393000">
        <w:rPr>
          <w:rFonts w:ascii="Arial" w:hAnsi="Arial" w:cs="Arial"/>
        </w:rPr>
        <w:t>ori participation in the decision making around, and del</w:t>
      </w:r>
      <w:r>
        <w:rPr>
          <w:rFonts w:ascii="Arial" w:hAnsi="Arial" w:cs="Arial"/>
        </w:rPr>
        <w:t>ivery of,</w:t>
      </w:r>
      <w:r w:rsidRPr="00393000">
        <w:rPr>
          <w:rFonts w:ascii="Arial" w:hAnsi="Arial" w:cs="Arial"/>
        </w:rPr>
        <w:t xml:space="preserve"> service</w:t>
      </w:r>
      <w:r>
        <w:rPr>
          <w:rFonts w:ascii="Arial" w:hAnsi="Arial" w:cs="Arial"/>
        </w:rPr>
        <w:t xml:space="preserve">s that affect </w:t>
      </w:r>
      <w:r w:rsidRPr="00393000">
        <w:rPr>
          <w:rFonts w:ascii="Arial" w:hAnsi="Arial" w:cs="Arial"/>
        </w:rPr>
        <w:t>M</w:t>
      </w:r>
      <w:r w:rsidRPr="00393000">
        <w:rPr>
          <w:rFonts w:ascii="Arial" w:hAnsi="Arial" w:cs="Arial"/>
          <w:bCs/>
        </w:rPr>
        <w:t>ā</w:t>
      </w:r>
      <w:r w:rsidRPr="00393000">
        <w:rPr>
          <w:rFonts w:ascii="Arial" w:hAnsi="Arial" w:cs="Arial"/>
        </w:rPr>
        <w:t>ori</w:t>
      </w:r>
      <w:r>
        <w:rPr>
          <w:rFonts w:ascii="Arial" w:hAnsi="Arial" w:cs="Arial"/>
        </w:rPr>
        <w:t xml:space="preserve"> health outcomes</w:t>
      </w:r>
      <w:r w:rsidRPr="00393000">
        <w:rPr>
          <w:rFonts w:ascii="Arial" w:hAnsi="Arial" w:cs="Arial"/>
        </w:rPr>
        <w:t>.</w:t>
      </w:r>
    </w:p>
    <w:p w:rsidR="008F0157" w:rsidRPr="00DD0D3D" w:rsidRDefault="00546943" w:rsidP="002F6E72">
      <w:pPr>
        <w:spacing w:before="120" w:after="120"/>
        <w:ind w:left="57" w:right="6" w:hanging="57"/>
        <w:rPr>
          <w:rFonts w:ascii="Arial" w:hAnsi="Arial" w:cs="Arial"/>
          <w:b/>
        </w:rPr>
      </w:pPr>
      <w:r w:rsidRPr="00DD0D3D">
        <w:rPr>
          <w:rFonts w:ascii="Arial" w:hAnsi="Arial" w:cs="Arial"/>
          <w:b/>
        </w:rPr>
        <w:t>3</w:t>
      </w:r>
      <w:r w:rsidR="001E4E2C" w:rsidRPr="00DD0D3D">
        <w:rPr>
          <w:rFonts w:ascii="Arial" w:hAnsi="Arial" w:cs="Arial"/>
          <w:b/>
        </w:rPr>
        <w:t>.3</w:t>
      </w:r>
      <w:r w:rsidR="001E4E2C" w:rsidRPr="00DD0D3D">
        <w:rPr>
          <w:rFonts w:ascii="Arial" w:hAnsi="Arial" w:cs="Arial"/>
          <w:b/>
        </w:rPr>
        <w:tab/>
        <w:t>Reducing</w:t>
      </w:r>
      <w:r w:rsidR="008F0157" w:rsidRPr="00DD0D3D">
        <w:rPr>
          <w:rFonts w:ascii="Arial" w:hAnsi="Arial" w:cs="Arial"/>
          <w:b/>
        </w:rPr>
        <w:t xml:space="preserve"> </w:t>
      </w:r>
      <w:r w:rsidR="00AB0727" w:rsidRPr="00DD0D3D">
        <w:rPr>
          <w:rFonts w:ascii="Arial" w:hAnsi="Arial" w:cs="Arial"/>
          <w:b/>
        </w:rPr>
        <w:t>inequity in</w:t>
      </w:r>
      <w:r w:rsidR="001E4E2C" w:rsidRPr="00DD0D3D">
        <w:rPr>
          <w:rFonts w:ascii="Arial" w:hAnsi="Arial" w:cs="Arial"/>
          <w:b/>
        </w:rPr>
        <w:t xml:space="preserve"> health outcomes</w:t>
      </w:r>
    </w:p>
    <w:p w:rsidR="006C1914" w:rsidRPr="00DD0D3D" w:rsidRDefault="00F158DC" w:rsidP="00932C42">
      <w:pPr>
        <w:autoSpaceDE w:val="0"/>
        <w:autoSpaceDN w:val="0"/>
        <w:adjustRightInd w:val="0"/>
        <w:spacing w:before="120"/>
        <w:rPr>
          <w:rFonts w:ascii="Arial" w:hAnsi="Arial" w:cs="Arial"/>
        </w:rPr>
      </w:pPr>
      <w:r>
        <w:rPr>
          <w:rFonts w:ascii="Arial" w:hAnsi="Arial" w:cs="Arial"/>
        </w:rPr>
        <w:t>The World Health Organiz</w:t>
      </w:r>
      <w:r w:rsidR="006C1914" w:rsidRPr="00DD0D3D">
        <w:rPr>
          <w:rFonts w:ascii="Arial" w:hAnsi="Arial" w:cs="Arial"/>
        </w:rPr>
        <w:t xml:space="preserve">ation defines equity as, </w:t>
      </w:r>
      <w:r w:rsidR="006C1914" w:rsidRPr="00DD0D3D">
        <w:rPr>
          <w:rFonts w:ascii="Arial" w:hAnsi="Arial" w:cs="Arial" w:hint="eastAsia"/>
        </w:rPr>
        <w:t>“</w:t>
      </w:r>
      <w:r w:rsidR="006C1914" w:rsidRPr="00DD0D3D">
        <w:rPr>
          <w:rFonts w:ascii="Arial" w:hAnsi="Arial" w:cs="Arial"/>
        </w:rPr>
        <w:t>the absence of avoidable or remediable differences among populations or groups defined socially, economically, demographically or geographically</w:t>
      </w:r>
      <w:r w:rsidR="006C1914" w:rsidRPr="00DD0D3D">
        <w:rPr>
          <w:rFonts w:ascii="Arial" w:hAnsi="Arial" w:cs="Arial" w:hint="eastAsia"/>
        </w:rPr>
        <w:t>”</w:t>
      </w:r>
      <w:r w:rsidR="006C1914" w:rsidRPr="00DD0D3D">
        <w:rPr>
          <w:rFonts w:ascii="Arial" w:hAnsi="Arial" w:cs="Arial"/>
        </w:rPr>
        <w:t>.</w:t>
      </w:r>
    </w:p>
    <w:p w:rsidR="008F0157" w:rsidRPr="00DD0D3D" w:rsidRDefault="008F0157" w:rsidP="00932C42">
      <w:pPr>
        <w:spacing w:before="120"/>
        <w:rPr>
          <w:rFonts w:ascii="Arial" w:hAnsi="Arial" w:cs="Arial"/>
        </w:rPr>
      </w:pPr>
      <w:r w:rsidRPr="00DD0D3D">
        <w:rPr>
          <w:rFonts w:ascii="Arial" w:hAnsi="Arial" w:cs="Arial"/>
        </w:rPr>
        <w:t xml:space="preserve">Both the Ministry and public health providers have an important role in supporting </w:t>
      </w:r>
      <w:proofErr w:type="spellStart"/>
      <w:r w:rsidRPr="00DD0D3D">
        <w:rPr>
          <w:rFonts w:ascii="Arial" w:hAnsi="Arial" w:cs="Arial"/>
        </w:rPr>
        <w:t>intersectoral</w:t>
      </w:r>
      <w:proofErr w:type="spellEnd"/>
      <w:r w:rsidRPr="00DD0D3D">
        <w:rPr>
          <w:rFonts w:ascii="Arial" w:hAnsi="Arial" w:cs="Arial"/>
        </w:rPr>
        <w:t xml:space="preserve"> approaches to address the social determinants of health and a critical role in ensuring health services themselves do not exacerbate </w:t>
      </w:r>
      <w:r w:rsidR="00706CFA" w:rsidRPr="00DD0D3D">
        <w:rPr>
          <w:rFonts w:ascii="Arial" w:hAnsi="Arial" w:cs="Arial"/>
        </w:rPr>
        <w:t xml:space="preserve">inequitable </w:t>
      </w:r>
      <w:r w:rsidRPr="00DD0D3D">
        <w:rPr>
          <w:rFonts w:ascii="Arial" w:hAnsi="Arial" w:cs="Arial"/>
        </w:rPr>
        <w:t xml:space="preserve">disparities in health outcomes between population groups. </w:t>
      </w:r>
      <w:r w:rsidR="0020169D" w:rsidRPr="00DD0D3D">
        <w:rPr>
          <w:rFonts w:ascii="Arial" w:hAnsi="Arial" w:cs="Arial"/>
        </w:rPr>
        <w:t xml:space="preserve"> This means that, to be effective, services mu</w:t>
      </w:r>
      <w:r w:rsidR="00D861A1" w:rsidRPr="00DD0D3D">
        <w:rPr>
          <w:rFonts w:ascii="Arial" w:hAnsi="Arial" w:cs="Arial"/>
        </w:rPr>
        <w:t>st ensure they are accessible</w:t>
      </w:r>
      <w:r w:rsidR="0020169D" w:rsidRPr="00DD0D3D">
        <w:rPr>
          <w:rFonts w:ascii="Arial" w:hAnsi="Arial" w:cs="Arial"/>
        </w:rPr>
        <w:t xml:space="preserve"> and </w:t>
      </w:r>
      <w:r w:rsidR="00D861A1" w:rsidRPr="00DD0D3D">
        <w:rPr>
          <w:rFonts w:ascii="Arial" w:hAnsi="Arial" w:cs="Arial"/>
        </w:rPr>
        <w:t>relevant to</w:t>
      </w:r>
      <w:r w:rsidR="0020169D" w:rsidRPr="00DD0D3D">
        <w:rPr>
          <w:rFonts w:ascii="Arial" w:hAnsi="Arial" w:cs="Arial"/>
        </w:rPr>
        <w:t xml:space="preserve"> all people and groups.</w:t>
      </w:r>
    </w:p>
    <w:p w:rsidR="008F0157" w:rsidRPr="00DD0D3D" w:rsidRDefault="00374F7F" w:rsidP="00932C42">
      <w:pPr>
        <w:spacing w:before="120"/>
        <w:rPr>
          <w:rFonts w:ascii="Arial" w:hAnsi="Arial" w:cs="Arial"/>
        </w:rPr>
      </w:pPr>
      <w:r w:rsidRPr="00DD0D3D">
        <w:rPr>
          <w:rFonts w:ascii="Arial" w:hAnsi="Arial" w:cs="Arial"/>
        </w:rPr>
        <w:t xml:space="preserve">Inequitable health outcomes </w:t>
      </w:r>
      <w:r w:rsidR="008F0157" w:rsidRPr="00DD0D3D">
        <w:rPr>
          <w:rFonts w:ascii="Arial" w:hAnsi="Arial" w:cs="Arial"/>
        </w:rPr>
        <w:t xml:space="preserve">are evident amongst populations with different levels of underlying social advantage/ disadvantage. </w:t>
      </w:r>
      <w:r w:rsidR="002F6E72">
        <w:rPr>
          <w:rFonts w:ascii="Arial" w:hAnsi="Arial" w:cs="Arial"/>
        </w:rPr>
        <w:t xml:space="preserve"> </w:t>
      </w:r>
      <w:r w:rsidR="008F0157" w:rsidRPr="00DD0D3D">
        <w:rPr>
          <w:rFonts w:ascii="Arial" w:hAnsi="Arial" w:cs="Arial"/>
        </w:rPr>
        <w:t xml:space="preserve">This may be on the basis of socioeconomic status, ethnicity, gender, stage of the life course (children/older people), </w:t>
      </w:r>
      <w:r w:rsidR="003257C8" w:rsidRPr="00DD0D3D">
        <w:rPr>
          <w:rFonts w:ascii="Arial" w:hAnsi="Arial" w:cs="Arial"/>
        </w:rPr>
        <w:t>locality</w:t>
      </w:r>
      <w:r w:rsidR="008F0157" w:rsidRPr="00DD0D3D">
        <w:rPr>
          <w:rFonts w:ascii="Arial" w:hAnsi="Arial" w:cs="Arial"/>
        </w:rPr>
        <w:t xml:space="preserve">, or due to discrimination or marginalisation (including on </w:t>
      </w:r>
      <w:r w:rsidR="001E4E2C" w:rsidRPr="00DD0D3D">
        <w:rPr>
          <w:rFonts w:ascii="Arial" w:hAnsi="Arial" w:cs="Arial"/>
        </w:rPr>
        <w:t>the basis of</w:t>
      </w:r>
      <w:r w:rsidR="008F0157" w:rsidRPr="00DD0D3D">
        <w:rPr>
          <w:rFonts w:ascii="Arial" w:hAnsi="Arial" w:cs="Arial"/>
        </w:rPr>
        <w:t xml:space="preserve"> disability, religious affiliation, and sexual orientation or refugee status). </w:t>
      </w:r>
      <w:r w:rsidR="002F6E72">
        <w:rPr>
          <w:rFonts w:ascii="Arial" w:hAnsi="Arial" w:cs="Arial"/>
        </w:rPr>
        <w:t xml:space="preserve"> </w:t>
      </w:r>
      <w:r w:rsidR="008F0157" w:rsidRPr="00DD0D3D">
        <w:rPr>
          <w:rFonts w:ascii="Arial" w:hAnsi="Arial" w:cs="Arial"/>
        </w:rPr>
        <w:t xml:space="preserve">These disparities result in cumulative effects throughout life and across generations. </w:t>
      </w:r>
      <w:r w:rsidR="002F6E72">
        <w:rPr>
          <w:rFonts w:ascii="Arial" w:hAnsi="Arial" w:cs="Arial"/>
        </w:rPr>
        <w:t xml:space="preserve"> </w:t>
      </w:r>
      <w:r w:rsidR="008F0157" w:rsidRPr="00DD0D3D">
        <w:rPr>
          <w:rFonts w:ascii="Arial" w:hAnsi="Arial" w:cs="Arial"/>
        </w:rPr>
        <w:t>The causes of disparities in health outcomes are complex and largely arise from the inequitable distribution of and access to, the wider determinants of health such as i</w:t>
      </w:r>
      <w:r w:rsidR="008677AF" w:rsidRPr="00DD0D3D">
        <w:rPr>
          <w:rFonts w:ascii="Arial" w:hAnsi="Arial" w:cs="Arial"/>
        </w:rPr>
        <w:t>ncome, education, employment,</w:t>
      </w:r>
      <w:r w:rsidR="008F0157" w:rsidRPr="00DD0D3D">
        <w:rPr>
          <w:rFonts w:ascii="Arial" w:hAnsi="Arial" w:cs="Arial"/>
        </w:rPr>
        <w:t xml:space="preserve"> housing and quality health care amongst populations</w:t>
      </w:r>
      <w:r w:rsidR="008F0157" w:rsidRPr="00DD0D3D">
        <w:rPr>
          <w:rStyle w:val="FootnoteReference"/>
          <w:rFonts w:ascii="Arial" w:hAnsi="Arial" w:cs="Arial"/>
          <w:sz w:val="22"/>
          <w:szCs w:val="22"/>
        </w:rPr>
        <w:footnoteReference w:id="10"/>
      </w:r>
      <w:r w:rsidR="008F0157" w:rsidRPr="00DD0D3D">
        <w:rPr>
          <w:rFonts w:ascii="Arial" w:hAnsi="Arial" w:cs="Arial"/>
        </w:rPr>
        <w:t>.</w:t>
      </w:r>
    </w:p>
    <w:p w:rsidR="008F0157" w:rsidRPr="00DD0D3D" w:rsidRDefault="00D82AE1" w:rsidP="00932C42">
      <w:pPr>
        <w:spacing w:before="120"/>
        <w:rPr>
          <w:rFonts w:ascii="Arial" w:hAnsi="Arial" w:cs="Arial"/>
        </w:rPr>
      </w:pPr>
      <w:r w:rsidRPr="00DD0D3D">
        <w:rPr>
          <w:rFonts w:ascii="Arial" w:hAnsi="Arial" w:cs="Arial"/>
        </w:rPr>
        <w:t xml:space="preserve">In New Zealand, the health disparities between </w:t>
      </w:r>
      <w:r w:rsidR="00580A98" w:rsidRPr="00DD0D3D">
        <w:rPr>
          <w:rFonts w:ascii="Arial" w:hAnsi="Arial" w:cs="Arial"/>
        </w:rPr>
        <w:t>M</w:t>
      </w:r>
      <w:r w:rsidR="00580A98" w:rsidRPr="00DD0D3D">
        <w:rPr>
          <w:rFonts w:ascii="Arial" w:hAnsi="Arial" w:cs="Arial"/>
          <w:bCs/>
        </w:rPr>
        <w:t>ā</w:t>
      </w:r>
      <w:r w:rsidR="00580A98" w:rsidRPr="00DD0D3D">
        <w:rPr>
          <w:rFonts w:ascii="Arial" w:hAnsi="Arial" w:cs="Arial"/>
        </w:rPr>
        <w:t xml:space="preserve">ori </w:t>
      </w:r>
      <w:r w:rsidRPr="00DD0D3D">
        <w:rPr>
          <w:rFonts w:ascii="Arial" w:hAnsi="Arial" w:cs="Arial"/>
        </w:rPr>
        <w:t>and non-</w:t>
      </w:r>
      <w:r w:rsidR="00580A98" w:rsidRPr="00DD0D3D">
        <w:rPr>
          <w:rFonts w:ascii="Arial" w:hAnsi="Arial" w:cs="Arial"/>
        </w:rPr>
        <w:t>M</w:t>
      </w:r>
      <w:r w:rsidR="00580A98" w:rsidRPr="00DD0D3D">
        <w:rPr>
          <w:rFonts w:ascii="Arial" w:hAnsi="Arial" w:cs="Arial"/>
          <w:bCs/>
        </w:rPr>
        <w:t>ā</w:t>
      </w:r>
      <w:r w:rsidR="00580A98" w:rsidRPr="00DD0D3D">
        <w:rPr>
          <w:rFonts w:ascii="Arial" w:hAnsi="Arial" w:cs="Arial"/>
        </w:rPr>
        <w:t xml:space="preserve">ori </w:t>
      </w:r>
      <w:r w:rsidRPr="00DD0D3D">
        <w:rPr>
          <w:rFonts w:ascii="Arial" w:hAnsi="Arial" w:cs="Arial"/>
        </w:rPr>
        <w:t xml:space="preserve">are enduring and require direct and ongoing attention.  It is expected that planners and service providers will </w:t>
      </w:r>
      <w:r w:rsidRPr="00DD0D3D">
        <w:rPr>
          <w:rFonts w:ascii="Arial" w:hAnsi="Arial" w:cs="Arial"/>
        </w:rPr>
        <w:lastRenderedPageBreak/>
        <w:t xml:space="preserve">address this issue explicitly.  </w:t>
      </w:r>
      <w:r w:rsidR="008F0157" w:rsidRPr="00DD0D3D">
        <w:rPr>
          <w:rFonts w:ascii="Arial" w:hAnsi="Arial" w:cs="Arial"/>
        </w:rPr>
        <w:t xml:space="preserve">Public health approaches to address health </w:t>
      </w:r>
      <w:r w:rsidR="00706CFA" w:rsidRPr="00DD0D3D">
        <w:rPr>
          <w:rFonts w:ascii="Arial" w:hAnsi="Arial" w:cs="Arial"/>
        </w:rPr>
        <w:t>inequities</w:t>
      </w:r>
      <w:r w:rsidR="00553970" w:rsidRPr="00DD0D3D">
        <w:rPr>
          <w:rFonts w:ascii="Arial" w:hAnsi="Arial" w:cs="Arial"/>
        </w:rPr>
        <w:t xml:space="preserve"> should be aligned with </w:t>
      </w:r>
      <w:r w:rsidR="00553970" w:rsidRPr="00DD0D3D">
        <w:rPr>
          <w:rFonts w:ascii="Arial" w:hAnsi="Arial" w:cs="Arial"/>
          <w:i/>
        </w:rPr>
        <w:t xml:space="preserve">He Korowai </w:t>
      </w:r>
      <w:proofErr w:type="spellStart"/>
      <w:r w:rsidR="00553970" w:rsidRPr="00DD0D3D">
        <w:rPr>
          <w:rFonts w:ascii="Arial" w:hAnsi="Arial" w:cs="Arial"/>
          <w:i/>
        </w:rPr>
        <w:t>Oranga</w:t>
      </w:r>
      <w:proofErr w:type="spellEnd"/>
      <w:r w:rsidR="00553970" w:rsidRPr="00DD0D3D">
        <w:rPr>
          <w:rFonts w:ascii="Arial" w:hAnsi="Arial" w:cs="Arial"/>
          <w:i/>
        </w:rPr>
        <w:t xml:space="preserve"> </w:t>
      </w:r>
      <w:r w:rsidR="00AB0727" w:rsidRPr="00DD0D3D">
        <w:rPr>
          <w:rFonts w:ascii="Arial" w:hAnsi="Arial" w:cs="Arial"/>
          <w:i/>
        </w:rPr>
        <w:t>Māori</w:t>
      </w:r>
      <w:r w:rsidR="00AB0727" w:rsidRPr="00DD0D3D">
        <w:rPr>
          <w:rFonts w:ascii="Arial" w:hAnsi="Arial" w:cs="Arial"/>
        </w:rPr>
        <w:t xml:space="preserve"> </w:t>
      </w:r>
      <w:r w:rsidR="00553970" w:rsidRPr="00DD0D3D">
        <w:rPr>
          <w:rFonts w:ascii="Arial" w:hAnsi="Arial" w:cs="Arial"/>
          <w:i/>
        </w:rPr>
        <w:t>Health Strategy</w:t>
      </w:r>
      <w:r w:rsidR="00553970" w:rsidRPr="00DD0D3D">
        <w:rPr>
          <w:rFonts w:ascii="Arial" w:hAnsi="Arial" w:cs="Arial"/>
        </w:rPr>
        <w:t xml:space="preserve"> (Ministry of Health 2002) and </w:t>
      </w:r>
      <w:r w:rsidR="008F0157" w:rsidRPr="00DD0D3D">
        <w:rPr>
          <w:rFonts w:ascii="Arial" w:hAnsi="Arial" w:cs="Arial"/>
        </w:rPr>
        <w:t xml:space="preserve">include but </w:t>
      </w:r>
      <w:r w:rsidR="00AB0727" w:rsidRPr="00DD0D3D">
        <w:rPr>
          <w:rFonts w:ascii="Arial" w:hAnsi="Arial" w:cs="Arial"/>
        </w:rPr>
        <w:t>not be</w:t>
      </w:r>
      <w:r w:rsidR="008F0157" w:rsidRPr="00DD0D3D">
        <w:rPr>
          <w:rFonts w:ascii="Arial" w:hAnsi="Arial" w:cs="Arial"/>
        </w:rPr>
        <w:t xml:space="preserve"> limited to:</w:t>
      </w:r>
    </w:p>
    <w:p w:rsidR="008F0157" w:rsidRPr="00DD0D3D" w:rsidRDefault="008F0157" w:rsidP="002F6E72">
      <w:pPr>
        <w:pStyle w:val="ListParagraph"/>
        <w:numPr>
          <w:ilvl w:val="0"/>
          <w:numId w:val="12"/>
        </w:numPr>
        <w:ind w:left="567" w:hanging="567"/>
        <w:rPr>
          <w:rFonts w:eastAsia="Times New Roman" w:cs="Arial"/>
          <w:szCs w:val="24"/>
        </w:rPr>
      </w:pPr>
      <w:r w:rsidRPr="00DD0D3D">
        <w:rPr>
          <w:rFonts w:eastAsia="Times New Roman" w:cs="Arial"/>
          <w:szCs w:val="24"/>
        </w:rPr>
        <w:t>the use of health equity</w:t>
      </w:r>
      <w:r w:rsidR="009E337C" w:rsidRPr="00DD0D3D">
        <w:rPr>
          <w:rStyle w:val="FootnoteReference"/>
          <w:rFonts w:eastAsia="Times New Roman" w:cs="Arial"/>
          <w:sz w:val="22"/>
        </w:rPr>
        <w:footnoteReference w:id="11"/>
      </w:r>
      <w:r w:rsidRPr="00DD0D3D">
        <w:rPr>
          <w:rFonts w:eastAsia="Times New Roman" w:cs="Arial"/>
          <w:szCs w:val="24"/>
        </w:rPr>
        <w:t xml:space="preserve"> /</w:t>
      </w:r>
      <w:r w:rsidR="00125586" w:rsidRPr="00DD0D3D">
        <w:rPr>
          <w:rFonts w:eastAsia="Times New Roman" w:cs="Arial"/>
          <w:szCs w:val="24"/>
        </w:rPr>
        <w:t xml:space="preserve"> </w:t>
      </w:r>
      <w:r w:rsidRPr="00DD0D3D">
        <w:rPr>
          <w:rFonts w:eastAsia="Times New Roman" w:cs="Arial"/>
          <w:szCs w:val="24"/>
        </w:rPr>
        <w:t xml:space="preserve">whanau </w:t>
      </w:r>
      <w:proofErr w:type="spellStart"/>
      <w:r w:rsidRPr="00DD0D3D">
        <w:rPr>
          <w:rFonts w:eastAsia="Times New Roman" w:cs="Arial"/>
          <w:szCs w:val="24"/>
        </w:rPr>
        <w:t>ora</w:t>
      </w:r>
      <w:proofErr w:type="spellEnd"/>
      <w:r w:rsidR="00125586" w:rsidRPr="00DD0D3D">
        <w:rPr>
          <w:rFonts w:eastAsia="Times New Roman" w:cs="Arial"/>
          <w:szCs w:val="24"/>
        </w:rPr>
        <w:t xml:space="preserve"> / health impact</w:t>
      </w:r>
      <w:r w:rsidRPr="00DD0D3D">
        <w:rPr>
          <w:rFonts w:eastAsia="Times New Roman" w:cs="Arial"/>
          <w:szCs w:val="24"/>
        </w:rPr>
        <w:t xml:space="preserve"> </w:t>
      </w:r>
      <w:r w:rsidR="00125586" w:rsidRPr="00DD0D3D">
        <w:rPr>
          <w:rFonts w:eastAsia="Times New Roman" w:cs="Arial"/>
          <w:szCs w:val="24"/>
        </w:rPr>
        <w:t xml:space="preserve">assessment </w:t>
      </w:r>
      <w:r w:rsidRPr="00DD0D3D">
        <w:rPr>
          <w:rFonts w:eastAsia="Times New Roman" w:cs="Arial"/>
          <w:szCs w:val="24"/>
        </w:rPr>
        <w:t>tools</w:t>
      </w:r>
      <w:r w:rsidR="00125586" w:rsidRPr="00DD0D3D">
        <w:rPr>
          <w:rFonts w:eastAsia="Times New Roman" w:cs="Arial"/>
          <w:szCs w:val="24"/>
        </w:rPr>
        <w:t>, including engaging relevant stakeholders,</w:t>
      </w:r>
      <w:r w:rsidRPr="00DD0D3D">
        <w:rPr>
          <w:rFonts w:eastAsia="Times New Roman" w:cs="Arial"/>
          <w:szCs w:val="24"/>
        </w:rPr>
        <w:t xml:space="preserve"> to identify the populations experiencing the greatest disadva</w:t>
      </w:r>
      <w:r w:rsidR="00A811A7" w:rsidRPr="00DD0D3D">
        <w:rPr>
          <w:rFonts w:eastAsia="Times New Roman" w:cs="Arial"/>
          <w:szCs w:val="24"/>
        </w:rPr>
        <w:t>ntage,</w:t>
      </w:r>
      <w:r w:rsidR="00125586" w:rsidRPr="00DD0D3D">
        <w:rPr>
          <w:rFonts w:eastAsia="Times New Roman" w:cs="Arial"/>
          <w:szCs w:val="24"/>
        </w:rPr>
        <w:t xml:space="preserve"> and</w:t>
      </w:r>
      <w:r w:rsidR="00A811A7" w:rsidRPr="00DD0D3D">
        <w:rPr>
          <w:rFonts w:eastAsia="Times New Roman" w:cs="Arial"/>
          <w:szCs w:val="24"/>
        </w:rPr>
        <w:t xml:space="preserve"> develop quality services and</w:t>
      </w:r>
      <w:r w:rsidRPr="00DD0D3D">
        <w:rPr>
          <w:rFonts w:eastAsia="Times New Roman" w:cs="Arial"/>
          <w:szCs w:val="24"/>
        </w:rPr>
        <w:t xml:space="preserve"> engage relevant stakeholders</w:t>
      </w:r>
      <w:r w:rsidR="00A811A7" w:rsidRPr="00DD0D3D">
        <w:rPr>
          <w:rFonts w:eastAsia="Times New Roman" w:cs="Arial"/>
          <w:szCs w:val="24"/>
        </w:rPr>
        <w:t xml:space="preserve"> to support coordinated action</w:t>
      </w:r>
    </w:p>
    <w:p w:rsidR="00125586" w:rsidRPr="00DD0D3D" w:rsidRDefault="00125586" w:rsidP="002F6E72">
      <w:pPr>
        <w:pStyle w:val="ListParagraph"/>
        <w:numPr>
          <w:ilvl w:val="0"/>
          <w:numId w:val="12"/>
        </w:numPr>
        <w:ind w:left="567" w:hanging="567"/>
        <w:rPr>
          <w:rFonts w:eastAsia="Times New Roman" w:cs="Arial"/>
          <w:szCs w:val="24"/>
        </w:rPr>
      </w:pPr>
      <w:r w:rsidRPr="00DD0D3D">
        <w:rPr>
          <w:rFonts w:eastAsia="Times New Roman" w:cs="Arial"/>
          <w:szCs w:val="24"/>
        </w:rPr>
        <w:t>influencing the development and implementation of policies and services across sectors, with the intention of minimising health harm and/or maximising health gain</w:t>
      </w:r>
    </w:p>
    <w:p w:rsidR="00A811A7" w:rsidRPr="00DD0D3D" w:rsidRDefault="00A811A7" w:rsidP="002F6E72">
      <w:pPr>
        <w:pStyle w:val="ListParagraph"/>
        <w:numPr>
          <w:ilvl w:val="0"/>
          <w:numId w:val="12"/>
        </w:numPr>
        <w:ind w:left="567" w:hanging="567"/>
        <w:rPr>
          <w:rFonts w:eastAsia="Times New Roman" w:cs="Arial"/>
          <w:szCs w:val="24"/>
        </w:rPr>
      </w:pPr>
      <w:r w:rsidRPr="00DD0D3D">
        <w:rPr>
          <w:rFonts w:eastAsia="Times New Roman" w:cs="Arial"/>
          <w:szCs w:val="24"/>
        </w:rPr>
        <w:t>monitoring and assessing the health impact of all services, policies and interventions on disadvantaged groups</w:t>
      </w:r>
    </w:p>
    <w:p w:rsidR="008F0157" w:rsidRPr="00DD0D3D" w:rsidRDefault="00125586" w:rsidP="002F6E72">
      <w:pPr>
        <w:pStyle w:val="ListParagraph"/>
        <w:numPr>
          <w:ilvl w:val="0"/>
          <w:numId w:val="12"/>
        </w:numPr>
        <w:ind w:left="567" w:hanging="567"/>
        <w:rPr>
          <w:rFonts w:eastAsia="Times New Roman" w:cs="Arial"/>
          <w:szCs w:val="24"/>
        </w:rPr>
      </w:pPr>
      <w:r w:rsidRPr="00DD0D3D">
        <w:rPr>
          <w:rFonts w:eastAsia="Times New Roman" w:cs="Arial"/>
          <w:szCs w:val="24"/>
        </w:rPr>
        <w:t>ensuring Public Health Services</w:t>
      </w:r>
      <w:r w:rsidR="008F0157" w:rsidRPr="00DD0D3D">
        <w:rPr>
          <w:rFonts w:eastAsia="Times New Roman" w:cs="Arial"/>
          <w:szCs w:val="24"/>
        </w:rPr>
        <w:t xml:space="preserve"> are accessible, acceptable and appropriate in the relevant </w:t>
      </w:r>
      <w:r w:rsidR="009E337C" w:rsidRPr="00DD0D3D">
        <w:rPr>
          <w:rFonts w:eastAsia="Times New Roman" w:cs="Arial"/>
          <w:szCs w:val="24"/>
        </w:rPr>
        <w:t>social, cultural and geographic</w:t>
      </w:r>
      <w:r w:rsidR="00A811A7" w:rsidRPr="00DD0D3D">
        <w:rPr>
          <w:rFonts w:eastAsia="Times New Roman" w:cs="Arial"/>
          <w:szCs w:val="24"/>
        </w:rPr>
        <w:t xml:space="preserve"> context</w:t>
      </w:r>
    </w:p>
    <w:p w:rsidR="008F0157" w:rsidRPr="00DD0D3D" w:rsidRDefault="008F0157" w:rsidP="002F6E72">
      <w:pPr>
        <w:pStyle w:val="ListParagraph"/>
        <w:numPr>
          <w:ilvl w:val="0"/>
          <w:numId w:val="12"/>
        </w:numPr>
        <w:ind w:left="567" w:hanging="567"/>
        <w:rPr>
          <w:rFonts w:eastAsia="Times New Roman" w:cs="Arial"/>
          <w:szCs w:val="24"/>
        </w:rPr>
      </w:pPr>
      <w:proofErr w:type="gramStart"/>
      <w:r w:rsidRPr="00DD0D3D">
        <w:rPr>
          <w:rFonts w:eastAsia="Times New Roman" w:cs="Arial"/>
          <w:szCs w:val="24"/>
        </w:rPr>
        <w:t>supporting</w:t>
      </w:r>
      <w:proofErr w:type="gramEnd"/>
      <w:r w:rsidRPr="00DD0D3D">
        <w:rPr>
          <w:rFonts w:eastAsia="Times New Roman" w:cs="Arial"/>
          <w:szCs w:val="24"/>
        </w:rPr>
        <w:t xml:space="preserve"> the participation of communities in the decision making around, and delivery of, services that affect their he</w:t>
      </w:r>
      <w:r w:rsidR="008677AF" w:rsidRPr="00DD0D3D">
        <w:rPr>
          <w:rFonts w:eastAsia="Times New Roman" w:cs="Arial"/>
          <w:szCs w:val="24"/>
        </w:rPr>
        <w:t>alth outcomes</w:t>
      </w:r>
      <w:r w:rsidRPr="00DD0D3D">
        <w:rPr>
          <w:rFonts w:eastAsia="Times New Roman" w:cs="Arial"/>
          <w:szCs w:val="24"/>
        </w:rPr>
        <w:t>.</w:t>
      </w:r>
    </w:p>
    <w:p w:rsidR="008677AF" w:rsidRDefault="008677AF" w:rsidP="00932C42">
      <w:pPr>
        <w:spacing w:before="120"/>
        <w:rPr>
          <w:rFonts w:ascii="Arial" w:hAnsi="Arial" w:cs="Arial"/>
          <w:color w:val="000000"/>
          <w:highlight w:val="yellow"/>
          <w:u w:val="single"/>
          <w:lang w:val="en-GB" w:eastAsia="en-GB"/>
        </w:rPr>
      </w:pPr>
      <w:r w:rsidRPr="00DD0D3D">
        <w:rPr>
          <w:rFonts w:ascii="Arial" w:hAnsi="Arial" w:cs="Arial"/>
          <w:color w:val="000000"/>
          <w:lang w:val="en-GB" w:eastAsia="en-GB"/>
        </w:rPr>
        <w:t>Where appropriate, public health providers should involve other health service</w:t>
      </w:r>
      <w:r w:rsidR="001E4E2C" w:rsidRPr="00DD0D3D">
        <w:rPr>
          <w:rFonts w:ascii="Arial" w:hAnsi="Arial" w:cs="Arial"/>
          <w:color w:val="000000"/>
          <w:lang w:val="en-GB" w:eastAsia="en-GB"/>
        </w:rPr>
        <w:t xml:space="preserve"> provider</w:t>
      </w:r>
      <w:r w:rsidRPr="00DD0D3D">
        <w:rPr>
          <w:rFonts w:ascii="Arial" w:hAnsi="Arial" w:cs="Arial"/>
          <w:color w:val="000000"/>
          <w:lang w:val="en-GB" w:eastAsia="en-GB"/>
        </w:rPr>
        <w:t>s and other sectors in such discussions.</w:t>
      </w:r>
    </w:p>
    <w:p w:rsidR="00B60808" w:rsidRPr="00DD0D3D" w:rsidRDefault="00B60808" w:rsidP="00932C42">
      <w:pPr>
        <w:autoSpaceDE w:val="0"/>
        <w:autoSpaceDN w:val="0"/>
        <w:adjustRightInd w:val="0"/>
        <w:spacing w:before="120"/>
        <w:rPr>
          <w:rFonts w:ascii="Arial" w:hAnsi="Arial" w:cs="Arial"/>
          <w:color w:val="000000"/>
          <w:lang w:val="en-GB" w:eastAsia="en-GB"/>
        </w:rPr>
      </w:pPr>
      <w:r w:rsidRPr="00DD0D3D">
        <w:rPr>
          <w:rFonts w:ascii="Arial" w:hAnsi="Arial" w:cs="Arial"/>
          <w:color w:val="000000"/>
          <w:lang w:val="en-GB" w:eastAsia="en-GB"/>
        </w:rPr>
        <w:t xml:space="preserve">Compared with the total New Zealand population, Pacific peoples </w:t>
      </w:r>
      <w:r w:rsidR="00633B05" w:rsidRPr="00DD0D3D">
        <w:rPr>
          <w:rFonts w:ascii="Arial" w:hAnsi="Arial" w:cs="Arial"/>
          <w:color w:val="000000"/>
          <w:lang w:val="en-GB" w:eastAsia="en-GB"/>
        </w:rPr>
        <w:t xml:space="preserve">also </w:t>
      </w:r>
      <w:r w:rsidRPr="00DD0D3D">
        <w:rPr>
          <w:rFonts w:ascii="Arial" w:hAnsi="Arial" w:cs="Arial"/>
          <w:color w:val="000000"/>
          <w:lang w:val="en-GB" w:eastAsia="en-GB"/>
        </w:rPr>
        <w:t xml:space="preserve">have poorer health status across a variety of measures. </w:t>
      </w:r>
      <w:r w:rsidR="002F6E72">
        <w:rPr>
          <w:rFonts w:ascii="Arial" w:hAnsi="Arial" w:cs="Arial"/>
          <w:color w:val="000000"/>
          <w:lang w:val="en-GB" w:eastAsia="en-GB"/>
        </w:rPr>
        <w:t xml:space="preserve"> </w:t>
      </w:r>
      <w:r w:rsidRPr="00DD0D3D">
        <w:rPr>
          <w:rFonts w:ascii="Arial" w:hAnsi="Arial" w:cs="Arial"/>
          <w:color w:val="000000"/>
          <w:lang w:val="en-GB" w:eastAsia="en-GB"/>
        </w:rPr>
        <w:t>These include child and youth health, risk factors leading to poor health and long-term conditions.</w:t>
      </w:r>
      <w:r w:rsidR="00DD0D3D">
        <w:rPr>
          <w:rFonts w:ascii="Arial" w:hAnsi="Arial" w:cs="Arial"/>
          <w:color w:val="000000"/>
          <w:lang w:val="en-GB" w:eastAsia="en-GB"/>
        </w:rPr>
        <w:t xml:space="preserve">  </w:t>
      </w:r>
      <w:r w:rsidRPr="00DD0D3D">
        <w:rPr>
          <w:rFonts w:ascii="Arial" w:hAnsi="Arial" w:cs="Arial"/>
          <w:color w:val="000000"/>
          <w:lang w:val="en-GB" w:eastAsia="en-GB"/>
        </w:rPr>
        <w:t>The Service must be responsive to Pacific health needs and identified concerns</w:t>
      </w:r>
      <w:r w:rsidR="00DD0D3D">
        <w:rPr>
          <w:rFonts w:ascii="Arial" w:hAnsi="Arial" w:cs="Arial"/>
          <w:color w:val="000000"/>
          <w:lang w:val="en-GB" w:eastAsia="en-GB"/>
        </w:rPr>
        <w:t>,</w:t>
      </w:r>
      <w:r w:rsidRPr="00DD0D3D">
        <w:rPr>
          <w:rFonts w:ascii="Arial" w:hAnsi="Arial" w:cs="Arial"/>
          <w:color w:val="000000"/>
          <w:lang w:val="en-GB" w:eastAsia="en-GB"/>
        </w:rPr>
        <w:t xml:space="preserve"> and should be aligned with </w:t>
      </w:r>
      <w:proofErr w:type="spellStart"/>
      <w:r w:rsidRPr="00DD0D3D">
        <w:rPr>
          <w:rFonts w:ascii="Arial" w:hAnsi="Arial" w:cs="Arial"/>
          <w:i/>
          <w:color w:val="000000"/>
          <w:lang w:val="en-GB" w:eastAsia="en-GB"/>
        </w:rPr>
        <w:t>Ala</w:t>
      </w:r>
      <w:proofErr w:type="spellEnd"/>
      <w:r w:rsidRPr="00DD0D3D">
        <w:rPr>
          <w:rFonts w:ascii="Arial" w:hAnsi="Arial" w:cs="Arial"/>
          <w:i/>
          <w:color w:val="000000"/>
          <w:lang w:val="en-GB" w:eastAsia="en-GB"/>
        </w:rPr>
        <w:t xml:space="preserve"> </w:t>
      </w:r>
      <w:proofErr w:type="spellStart"/>
      <w:r w:rsidRPr="00DD0D3D">
        <w:rPr>
          <w:rFonts w:ascii="Arial" w:hAnsi="Arial" w:cs="Arial"/>
          <w:i/>
          <w:color w:val="000000"/>
          <w:lang w:val="en-GB" w:eastAsia="en-GB"/>
        </w:rPr>
        <w:t>Mo'ui</w:t>
      </w:r>
      <w:proofErr w:type="spellEnd"/>
      <w:r w:rsidRPr="00DD0D3D">
        <w:rPr>
          <w:rFonts w:ascii="Arial" w:hAnsi="Arial" w:cs="Arial"/>
          <w:i/>
          <w:color w:val="000000"/>
          <w:lang w:val="en-GB" w:eastAsia="en-GB"/>
        </w:rPr>
        <w:t>: Pathways to Pacific Health and Wellbeing 2010–2014</w:t>
      </w:r>
      <w:r w:rsidRPr="00DD0D3D">
        <w:rPr>
          <w:rFonts w:ascii="Arial" w:hAnsi="Arial" w:cs="Arial"/>
          <w:color w:val="000000"/>
          <w:lang w:val="en-GB" w:eastAsia="en-GB"/>
        </w:rPr>
        <w:t>.</w:t>
      </w:r>
      <w:r w:rsidR="00CD2594" w:rsidRPr="00DD0D3D">
        <w:rPr>
          <w:rFonts w:ascii="Arial" w:hAnsi="Arial" w:cs="Arial"/>
          <w:color w:val="000000"/>
          <w:lang w:val="en-GB" w:eastAsia="en-GB"/>
        </w:rPr>
        <w:t xml:space="preserve"> </w:t>
      </w:r>
      <w:r w:rsidR="00F158DC">
        <w:rPr>
          <w:rFonts w:ascii="Arial" w:hAnsi="Arial" w:cs="Arial"/>
          <w:color w:val="000000"/>
          <w:lang w:val="en-GB" w:eastAsia="en-GB"/>
        </w:rPr>
        <w:t xml:space="preserve"> </w:t>
      </w:r>
      <w:proofErr w:type="spellStart"/>
      <w:r w:rsidRPr="00DD0D3D">
        <w:rPr>
          <w:rFonts w:ascii="Arial" w:hAnsi="Arial" w:cs="Arial"/>
          <w:color w:val="000000"/>
          <w:lang w:val="en-GB" w:eastAsia="en-GB"/>
        </w:rPr>
        <w:t>Ala</w:t>
      </w:r>
      <w:proofErr w:type="spellEnd"/>
      <w:r w:rsidRPr="00DD0D3D">
        <w:rPr>
          <w:rFonts w:ascii="Arial" w:hAnsi="Arial" w:cs="Arial"/>
          <w:color w:val="000000"/>
          <w:lang w:val="en-GB" w:eastAsia="en-GB"/>
        </w:rPr>
        <w:t xml:space="preserve"> </w:t>
      </w:r>
      <w:proofErr w:type="spellStart"/>
      <w:r w:rsidRPr="00DD0D3D">
        <w:rPr>
          <w:rFonts w:ascii="Arial" w:hAnsi="Arial" w:cs="Arial"/>
          <w:color w:val="000000"/>
          <w:lang w:val="en-GB" w:eastAsia="en-GB"/>
        </w:rPr>
        <w:t>Mo'ui</w:t>
      </w:r>
      <w:proofErr w:type="spellEnd"/>
      <w:r w:rsidRPr="00DD0D3D">
        <w:rPr>
          <w:rFonts w:ascii="Arial" w:hAnsi="Arial" w:cs="Arial"/>
          <w:color w:val="000000"/>
          <w:lang w:val="en-GB" w:eastAsia="en-GB"/>
        </w:rPr>
        <w:t xml:space="preserve"> sets out priority outcomes and actions that will contribute to the Government’s overarching goal that all New Zealanders, including Pacific peoples</w:t>
      </w:r>
      <w:r w:rsidR="003C450E">
        <w:rPr>
          <w:rFonts w:ascii="Arial" w:hAnsi="Arial" w:cs="Arial"/>
          <w:color w:val="000000"/>
          <w:lang w:val="en-GB" w:eastAsia="en-GB"/>
        </w:rPr>
        <w:t>,</w:t>
      </w:r>
      <w:r w:rsidRPr="00DD0D3D">
        <w:rPr>
          <w:rFonts w:ascii="Arial" w:hAnsi="Arial" w:cs="Arial"/>
          <w:color w:val="000000"/>
          <w:lang w:val="en-GB" w:eastAsia="en-GB"/>
        </w:rPr>
        <w:t xml:space="preserve"> achieve better health outcomes.</w:t>
      </w:r>
    </w:p>
    <w:p w:rsidR="008F0157" w:rsidRPr="00393000" w:rsidRDefault="00546943" w:rsidP="002F6E72">
      <w:pPr>
        <w:spacing w:before="240"/>
        <w:ind w:right="6"/>
        <w:rPr>
          <w:rFonts w:ascii="Arial" w:hAnsi="Arial" w:cs="Arial"/>
          <w:b/>
        </w:rPr>
      </w:pPr>
      <w:r>
        <w:rPr>
          <w:rFonts w:ascii="Arial" w:hAnsi="Arial" w:cs="Arial"/>
          <w:b/>
        </w:rPr>
        <w:t>4</w:t>
      </w:r>
      <w:r w:rsidR="008F0157" w:rsidRPr="00393000">
        <w:rPr>
          <w:rFonts w:ascii="Arial" w:hAnsi="Arial" w:cs="Arial"/>
          <w:b/>
        </w:rPr>
        <w:t>.</w:t>
      </w:r>
      <w:r w:rsidR="008F0157" w:rsidRPr="00393000">
        <w:rPr>
          <w:rFonts w:ascii="Arial" w:hAnsi="Arial" w:cs="Arial"/>
          <w:b/>
        </w:rPr>
        <w:tab/>
        <w:t>Service Users</w:t>
      </w:r>
      <w:bookmarkEnd w:id="17"/>
    </w:p>
    <w:p w:rsidR="008F0157" w:rsidRPr="00393000" w:rsidRDefault="00394D95" w:rsidP="008F0157">
      <w:pPr>
        <w:spacing w:before="120"/>
        <w:ind w:right="5"/>
        <w:rPr>
          <w:rFonts w:ascii="Arial" w:hAnsi="Arial" w:cs="Arial"/>
          <w:color w:val="000000"/>
          <w:lang w:val="en-GB" w:eastAsia="en-GB"/>
        </w:rPr>
      </w:pPr>
      <w:r w:rsidRPr="00DD0D3D">
        <w:rPr>
          <w:rFonts w:ascii="Arial" w:hAnsi="Arial" w:cs="Arial"/>
          <w:color w:val="000000"/>
          <w:lang w:val="en-GB" w:eastAsia="en-GB"/>
        </w:rPr>
        <w:t xml:space="preserve">Within </w:t>
      </w:r>
      <w:r w:rsidR="00580A98" w:rsidRPr="00DD0D3D">
        <w:rPr>
          <w:rFonts w:ascii="Arial" w:hAnsi="Arial" w:cs="Arial"/>
          <w:color w:val="000000"/>
          <w:lang w:val="en-GB" w:eastAsia="en-GB"/>
        </w:rPr>
        <w:t>a framework</w:t>
      </w:r>
      <w:r w:rsidRPr="00DD0D3D">
        <w:rPr>
          <w:rFonts w:ascii="Arial" w:hAnsi="Arial" w:cs="Arial"/>
          <w:color w:val="000000"/>
          <w:lang w:val="en-GB" w:eastAsia="en-GB"/>
        </w:rPr>
        <w:t xml:space="preserve"> of universal coverage and a focus on promoting wellbeing</w:t>
      </w:r>
      <w:r w:rsidR="00580A98" w:rsidRPr="00DD0D3D">
        <w:rPr>
          <w:rFonts w:ascii="Arial" w:hAnsi="Arial" w:cs="Arial"/>
          <w:color w:val="000000"/>
          <w:lang w:val="en-GB" w:eastAsia="en-GB"/>
        </w:rPr>
        <w:t xml:space="preserve"> at a population level</w:t>
      </w:r>
      <w:r>
        <w:rPr>
          <w:rFonts w:ascii="Arial" w:hAnsi="Arial" w:cs="Arial"/>
          <w:color w:val="000000"/>
          <w:lang w:val="en-GB" w:eastAsia="en-GB"/>
        </w:rPr>
        <w:t>, s</w:t>
      </w:r>
      <w:r w:rsidR="008F0157" w:rsidRPr="00393000">
        <w:rPr>
          <w:rFonts w:ascii="Arial" w:hAnsi="Arial" w:cs="Arial"/>
          <w:color w:val="000000"/>
          <w:lang w:val="en-GB" w:eastAsia="en-GB"/>
        </w:rPr>
        <w:t>ervice users are defined by the common characteristics of groups known or perceived to be at risk on the basis of sound epidemiological evidence.</w:t>
      </w:r>
      <w:r w:rsidR="00580A98">
        <w:rPr>
          <w:rFonts w:ascii="Arial" w:hAnsi="Arial" w:cs="Arial"/>
          <w:color w:val="000000"/>
          <w:lang w:val="en-GB" w:eastAsia="en-GB"/>
        </w:rPr>
        <w:t xml:space="preserve">  </w:t>
      </w:r>
      <w:r w:rsidR="00580A98" w:rsidRPr="00393000">
        <w:rPr>
          <w:rFonts w:ascii="Arial" w:hAnsi="Arial" w:cs="Arial"/>
          <w:color w:val="000000"/>
          <w:lang w:val="en-GB" w:eastAsia="en-GB"/>
        </w:rPr>
        <w:t xml:space="preserve">Population groups may be differentiated on the basis of locality, ethnicity, age, </w:t>
      </w:r>
      <w:r w:rsidR="00580A98" w:rsidRPr="00A541D6">
        <w:rPr>
          <w:rFonts w:ascii="Arial" w:hAnsi="Arial" w:cs="Arial"/>
          <w:color w:val="000000"/>
          <w:lang w:val="en-GB" w:eastAsia="en-GB"/>
        </w:rPr>
        <w:t>sex</w:t>
      </w:r>
      <w:r w:rsidR="00580A98">
        <w:rPr>
          <w:rFonts w:ascii="Arial" w:hAnsi="Arial" w:cs="Arial"/>
          <w:color w:val="000000"/>
          <w:lang w:val="en-GB" w:eastAsia="en-GB"/>
        </w:rPr>
        <w:t>/</w:t>
      </w:r>
      <w:r w:rsidR="00580A98" w:rsidRPr="00393000">
        <w:rPr>
          <w:rFonts w:ascii="Arial" w:hAnsi="Arial" w:cs="Arial"/>
          <w:color w:val="000000"/>
          <w:lang w:val="en-GB" w:eastAsia="en-GB"/>
        </w:rPr>
        <w:t>gender</w:t>
      </w:r>
      <w:r w:rsidR="00580A98">
        <w:rPr>
          <w:rFonts w:ascii="Arial" w:hAnsi="Arial" w:cs="Arial"/>
          <w:color w:val="000000"/>
          <w:lang w:val="en-GB" w:eastAsia="en-GB"/>
        </w:rPr>
        <w:t xml:space="preserve">, </w:t>
      </w:r>
      <w:r w:rsidR="00580A98" w:rsidRPr="00DD0D3D">
        <w:rPr>
          <w:rFonts w:ascii="Arial" w:hAnsi="Arial" w:cs="Arial"/>
          <w:color w:val="000000"/>
          <w:lang w:val="en-GB" w:eastAsia="en-GB"/>
        </w:rPr>
        <w:t>disability</w:t>
      </w:r>
      <w:r w:rsidR="00580A98">
        <w:rPr>
          <w:rFonts w:ascii="Arial" w:hAnsi="Arial" w:cs="Arial"/>
          <w:color w:val="000000"/>
          <w:lang w:val="en-GB" w:eastAsia="en-GB"/>
        </w:rPr>
        <w:t xml:space="preserve"> </w:t>
      </w:r>
      <w:r w:rsidR="00580A98" w:rsidRPr="00393000">
        <w:rPr>
          <w:rFonts w:ascii="Arial" w:hAnsi="Arial" w:cs="Arial"/>
          <w:color w:val="000000"/>
          <w:lang w:val="en-GB" w:eastAsia="en-GB"/>
        </w:rPr>
        <w:t>or other shared characteristics</w:t>
      </w:r>
      <w:r w:rsidR="00580A98">
        <w:rPr>
          <w:rFonts w:ascii="Arial" w:hAnsi="Arial" w:cs="Arial"/>
          <w:color w:val="000000"/>
          <w:lang w:val="en-GB" w:eastAsia="en-GB"/>
        </w:rPr>
        <w:t>.</w:t>
      </w:r>
      <w:r w:rsidR="008F0157" w:rsidRPr="00393000">
        <w:rPr>
          <w:rFonts w:ascii="Arial" w:hAnsi="Arial" w:cs="Arial"/>
          <w:color w:val="000000"/>
          <w:lang w:val="en-GB" w:eastAsia="en-GB"/>
        </w:rPr>
        <w:t xml:space="preserve">  Because risks to public health are inherent in a wide variety of physical and social environments, affecting population groups differently according to </w:t>
      </w:r>
      <w:r w:rsidR="00580A98">
        <w:rPr>
          <w:rFonts w:ascii="Arial" w:hAnsi="Arial" w:cs="Arial"/>
          <w:color w:val="000000"/>
          <w:lang w:val="en-GB" w:eastAsia="en-GB"/>
        </w:rPr>
        <w:t>context</w:t>
      </w:r>
      <w:r w:rsidR="008F0157" w:rsidRPr="00393000">
        <w:rPr>
          <w:rFonts w:ascii="Arial" w:hAnsi="Arial" w:cs="Arial"/>
          <w:color w:val="000000"/>
          <w:lang w:val="en-GB" w:eastAsia="en-GB"/>
        </w:rPr>
        <w:t xml:space="preserve">, Public Health Services need to be designed and delivered with consideration for the characteristics of </w:t>
      </w:r>
      <w:r w:rsidR="008F0157">
        <w:rPr>
          <w:rFonts w:ascii="Arial" w:hAnsi="Arial" w:cs="Arial"/>
          <w:color w:val="000000"/>
          <w:lang w:val="en-GB" w:eastAsia="en-GB"/>
        </w:rPr>
        <w:t>vulnerable</w:t>
      </w:r>
      <w:r w:rsidR="008F0157" w:rsidRPr="00393000">
        <w:rPr>
          <w:rFonts w:ascii="Arial" w:hAnsi="Arial" w:cs="Arial"/>
          <w:color w:val="000000"/>
          <w:lang w:val="en-GB" w:eastAsia="en-GB"/>
        </w:rPr>
        <w:t xml:space="preserve"> groups and the various </w:t>
      </w:r>
      <w:r w:rsidR="008F0157">
        <w:rPr>
          <w:rFonts w:ascii="Arial" w:hAnsi="Arial" w:cs="Arial"/>
          <w:color w:val="000000"/>
          <w:lang w:val="en-GB" w:eastAsia="en-GB"/>
        </w:rPr>
        <w:t>circumstances in which</w:t>
      </w:r>
      <w:r w:rsidR="008F0157" w:rsidRPr="00393000">
        <w:rPr>
          <w:rFonts w:ascii="Arial" w:hAnsi="Arial" w:cs="Arial"/>
          <w:color w:val="000000"/>
          <w:lang w:val="en-GB" w:eastAsia="en-GB"/>
        </w:rPr>
        <w:t xml:space="preserve"> risks arise. </w:t>
      </w:r>
    </w:p>
    <w:p w:rsidR="008F0157" w:rsidRPr="00393000" w:rsidRDefault="008F0157" w:rsidP="008F0157">
      <w:pPr>
        <w:spacing w:before="120"/>
        <w:ind w:right="5"/>
        <w:rPr>
          <w:rFonts w:ascii="Arial" w:hAnsi="Arial" w:cs="Arial"/>
          <w:color w:val="000000"/>
          <w:lang w:val="en-GB" w:eastAsia="en-GB"/>
        </w:rPr>
      </w:pPr>
      <w:r>
        <w:rPr>
          <w:rFonts w:ascii="Arial" w:hAnsi="Arial" w:cs="Arial"/>
          <w:color w:val="000000"/>
          <w:lang w:val="en-GB" w:eastAsia="en-GB"/>
        </w:rPr>
        <w:t>This</w:t>
      </w:r>
      <w:r w:rsidRPr="00393000">
        <w:rPr>
          <w:rFonts w:ascii="Arial" w:hAnsi="Arial" w:cs="Arial"/>
          <w:color w:val="000000"/>
          <w:lang w:val="en-GB" w:eastAsia="en-GB"/>
        </w:rPr>
        <w:t xml:space="preserve"> means that, to be effective, service</w:t>
      </w:r>
      <w:r w:rsidR="00D06385">
        <w:rPr>
          <w:rFonts w:ascii="Arial" w:hAnsi="Arial" w:cs="Arial"/>
          <w:color w:val="000000"/>
          <w:lang w:val="en-GB" w:eastAsia="en-GB"/>
        </w:rPr>
        <w:t xml:space="preserve"> provider</w:t>
      </w:r>
      <w:r w:rsidRPr="00393000">
        <w:rPr>
          <w:rFonts w:ascii="Arial" w:hAnsi="Arial" w:cs="Arial"/>
          <w:color w:val="000000"/>
          <w:lang w:val="en-GB" w:eastAsia="en-GB"/>
        </w:rPr>
        <w:t>s</w:t>
      </w:r>
      <w:r>
        <w:rPr>
          <w:rFonts w:ascii="Arial" w:hAnsi="Arial" w:cs="Arial"/>
          <w:color w:val="000000"/>
          <w:lang w:val="en-GB" w:eastAsia="en-GB"/>
        </w:rPr>
        <w:t xml:space="preserve"> (for example, </w:t>
      </w:r>
      <w:r w:rsidR="00D06385">
        <w:rPr>
          <w:rFonts w:ascii="Arial" w:hAnsi="Arial" w:cs="Arial"/>
          <w:color w:val="000000"/>
          <w:lang w:val="en-GB" w:eastAsia="en-GB"/>
        </w:rPr>
        <w:t xml:space="preserve">in </w:t>
      </w:r>
      <w:r>
        <w:rPr>
          <w:rFonts w:ascii="Arial" w:hAnsi="Arial" w:cs="Arial"/>
          <w:color w:val="000000"/>
          <w:lang w:val="en-GB" w:eastAsia="en-GB"/>
        </w:rPr>
        <w:t>the promotion</w:t>
      </w:r>
      <w:r w:rsidR="008677AF">
        <w:rPr>
          <w:rFonts w:ascii="Arial" w:hAnsi="Arial" w:cs="Arial"/>
          <w:color w:val="000000"/>
          <w:lang w:val="en-GB" w:eastAsia="en-GB"/>
        </w:rPr>
        <w:t xml:space="preserve"> </w:t>
      </w:r>
      <w:r w:rsidR="008677AF" w:rsidRPr="00DD0D3D">
        <w:rPr>
          <w:rFonts w:ascii="Arial" w:hAnsi="Arial" w:cs="Arial"/>
          <w:color w:val="000000"/>
          <w:lang w:val="en-GB" w:eastAsia="en-GB"/>
        </w:rPr>
        <w:t>and/or maintenance</w:t>
      </w:r>
      <w:r>
        <w:rPr>
          <w:rFonts w:ascii="Arial" w:hAnsi="Arial" w:cs="Arial"/>
          <w:color w:val="000000"/>
          <w:lang w:val="en-GB" w:eastAsia="en-GB"/>
        </w:rPr>
        <w:t xml:space="preserve"> of water fluoridation)</w:t>
      </w:r>
      <w:r w:rsidRPr="00393000">
        <w:rPr>
          <w:rFonts w:ascii="Arial" w:hAnsi="Arial" w:cs="Arial"/>
          <w:color w:val="000000"/>
          <w:lang w:val="en-GB" w:eastAsia="en-GB"/>
        </w:rPr>
        <w:t xml:space="preserve"> must engage with affected groups in ways that are accessible and acceptable in the relevant geographic,</w:t>
      </w:r>
      <w:r w:rsidR="00580A98">
        <w:rPr>
          <w:rFonts w:ascii="Arial" w:hAnsi="Arial" w:cs="Arial"/>
          <w:color w:val="000000"/>
          <w:lang w:val="en-GB" w:eastAsia="en-GB"/>
        </w:rPr>
        <w:t xml:space="preserve"> social and cultural contexts</w:t>
      </w:r>
      <w:r w:rsidRPr="00393000">
        <w:rPr>
          <w:rFonts w:ascii="Arial" w:hAnsi="Arial" w:cs="Arial"/>
          <w:color w:val="000000"/>
          <w:lang w:val="en-GB" w:eastAsia="en-GB"/>
        </w:rPr>
        <w:t>.  Programmes are generally designed</w:t>
      </w:r>
      <w:r w:rsidR="00125586">
        <w:rPr>
          <w:rFonts w:ascii="Arial" w:hAnsi="Arial" w:cs="Arial"/>
          <w:color w:val="000000"/>
          <w:lang w:val="en-GB" w:eastAsia="en-GB"/>
        </w:rPr>
        <w:t xml:space="preserve"> </w:t>
      </w:r>
      <w:r w:rsidR="00125586" w:rsidRPr="00DD0D3D">
        <w:rPr>
          <w:rFonts w:ascii="Arial" w:hAnsi="Arial" w:cs="Arial"/>
          <w:color w:val="000000"/>
          <w:lang w:val="en-GB" w:eastAsia="en-GB"/>
        </w:rPr>
        <w:t>and evaluated</w:t>
      </w:r>
      <w:r w:rsidRPr="00393000">
        <w:rPr>
          <w:rFonts w:ascii="Arial" w:hAnsi="Arial" w:cs="Arial"/>
          <w:color w:val="000000"/>
          <w:lang w:val="en-GB" w:eastAsia="en-GB"/>
        </w:rPr>
        <w:t xml:space="preserve">, and may be delivered, with significant participation from affected groups.  </w:t>
      </w:r>
    </w:p>
    <w:p w:rsidR="00D26301" w:rsidRDefault="008F0157" w:rsidP="003C450E">
      <w:pPr>
        <w:spacing w:before="120"/>
        <w:ind w:right="6"/>
        <w:rPr>
          <w:rFonts w:ascii="Arial" w:hAnsi="Arial" w:cs="Arial"/>
          <w:color w:val="000000"/>
          <w:lang w:val="en-GB" w:eastAsia="en-GB"/>
        </w:rPr>
      </w:pPr>
      <w:r w:rsidRPr="00393000">
        <w:rPr>
          <w:rFonts w:ascii="Arial" w:hAnsi="Arial" w:cs="Arial"/>
          <w:color w:val="000000"/>
          <w:lang w:val="en-GB" w:eastAsia="en-GB"/>
        </w:rPr>
        <w:t>This diversity is</w:t>
      </w:r>
      <w:r w:rsidR="00AB0727">
        <w:rPr>
          <w:rFonts w:ascii="Arial" w:hAnsi="Arial" w:cs="Arial"/>
          <w:color w:val="000000"/>
          <w:lang w:val="en-GB" w:eastAsia="en-GB"/>
        </w:rPr>
        <w:t xml:space="preserve"> especially relevant </w:t>
      </w:r>
      <w:r w:rsidRPr="00393000">
        <w:rPr>
          <w:rFonts w:ascii="Arial" w:hAnsi="Arial" w:cs="Arial"/>
          <w:color w:val="000000"/>
          <w:lang w:val="en-GB" w:eastAsia="en-GB"/>
        </w:rPr>
        <w:t xml:space="preserve">to </w:t>
      </w:r>
      <w:r w:rsidR="001E4E2C">
        <w:rPr>
          <w:rFonts w:ascii="Arial" w:hAnsi="Arial" w:cs="Arial"/>
          <w:color w:val="000000"/>
          <w:lang w:val="en-GB" w:eastAsia="en-GB"/>
        </w:rPr>
        <w:t>improving</w:t>
      </w:r>
      <w:r w:rsidRPr="00393000">
        <w:rPr>
          <w:rFonts w:ascii="Arial" w:hAnsi="Arial" w:cs="Arial"/>
          <w:color w:val="000000"/>
          <w:lang w:val="en-GB" w:eastAsia="en-GB"/>
        </w:rPr>
        <w:t xml:space="preserve"> Māori health and addressing </w:t>
      </w:r>
      <w:r w:rsidR="001E4E2C">
        <w:rPr>
          <w:rFonts w:ascii="Arial" w:hAnsi="Arial" w:cs="Arial"/>
          <w:color w:val="000000"/>
          <w:lang w:val="en-GB" w:eastAsia="en-GB"/>
        </w:rPr>
        <w:t>inequitable</w:t>
      </w:r>
      <w:r w:rsidRPr="00393000">
        <w:rPr>
          <w:rFonts w:ascii="Arial" w:hAnsi="Arial" w:cs="Arial"/>
          <w:color w:val="000000"/>
          <w:lang w:val="en-GB" w:eastAsia="en-GB"/>
        </w:rPr>
        <w:t xml:space="preserve"> health</w:t>
      </w:r>
      <w:r w:rsidR="001E4E2C">
        <w:rPr>
          <w:rFonts w:ascii="Arial" w:hAnsi="Arial" w:cs="Arial"/>
          <w:color w:val="000000"/>
          <w:lang w:val="en-GB" w:eastAsia="en-GB"/>
        </w:rPr>
        <w:t xml:space="preserve"> outcomes</w:t>
      </w:r>
      <w:r w:rsidRPr="00393000">
        <w:rPr>
          <w:rFonts w:ascii="Arial" w:hAnsi="Arial" w:cs="Arial"/>
          <w:color w:val="000000"/>
          <w:lang w:val="en-GB" w:eastAsia="en-GB"/>
        </w:rPr>
        <w:t xml:space="preserve"> between population groups. </w:t>
      </w:r>
    </w:p>
    <w:p w:rsidR="00D26301" w:rsidRDefault="00D26301">
      <w:pPr>
        <w:spacing w:after="200" w:line="276" w:lineRule="auto"/>
        <w:rPr>
          <w:rFonts w:ascii="Arial" w:hAnsi="Arial" w:cs="Arial"/>
          <w:color w:val="000000"/>
          <w:lang w:val="en-GB" w:eastAsia="en-GB"/>
        </w:rPr>
      </w:pPr>
      <w:r>
        <w:rPr>
          <w:rFonts w:ascii="Arial" w:hAnsi="Arial" w:cs="Arial"/>
          <w:color w:val="000000"/>
          <w:lang w:val="en-GB" w:eastAsia="en-GB"/>
        </w:rPr>
        <w:br w:type="page"/>
      </w:r>
    </w:p>
    <w:p w:rsidR="008F0157" w:rsidRPr="00393000" w:rsidRDefault="00546943" w:rsidP="00D26301">
      <w:pPr>
        <w:ind w:left="573" w:right="6" w:hanging="573"/>
        <w:rPr>
          <w:rFonts w:ascii="Arial" w:hAnsi="Arial" w:cs="Arial"/>
          <w:b/>
        </w:rPr>
      </w:pPr>
      <w:bookmarkStart w:id="18" w:name="_Toc215319141"/>
      <w:r>
        <w:rPr>
          <w:rFonts w:ascii="Arial" w:hAnsi="Arial" w:cs="Arial"/>
          <w:b/>
        </w:rPr>
        <w:lastRenderedPageBreak/>
        <w:t>5</w:t>
      </w:r>
      <w:r w:rsidR="008F0157" w:rsidRPr="00393000">
        <w:rPr>
          <w:rFonts w:ascii="Arial" w:hAnsi="Arial" w:cs="Arial"/>
          <w:b/>
        </w:rPr>
        <w:t>.</w:t>
      </w:r>
      <w:r w:rsidR="008F0157" w:rsidRPr="00393000">
        <w:rPr>
          <w:rFonts w:ascii="Arial" w:hAnsi="Arial" w:cs="Arial"/>
          <w:b/>
        </w:rPr>
        <w:tab/>
        <w:t>Access</w:t>
      </w:r>
      <w:bookmarkEnd w:id="18"/>
    </w:p>
    <w:p w:rsidR="008F0157" w:rsidRPr="00393000" w:rsidRDefault="00546943" w:rsidP="002F6E72">
      <w:pPr>
        <w:tabs>
          <w:tab w:val="left" w:pos="-1026"/>
        </w:tabs>
        <w:ind w:right="6"/>
        <w:rPr>
          <w:rFonts w:ascii="Arial" w:hAnsi="Arial" w:cs="Arial"/>
          <w:b/>
        </w:rPr>
      </w:pPr>
      <w:r>
        <w:rPr>
          <w:rFonts w:ascii="Arial" w:hAnsi="Arial" w:cs="Arial"/>
          <w:b/>
        </w:rPr>
        <w:t>5</w:t>
      </w:r>
      <w:r w:rsidR="008F0157" w:rsidRPr="00393000">
        <w:rPr>
          <w:rFonts w:ascii="Arial" w:hAnsi="Arial" w:cs="Arial"/>
          <w:b/>
        </w:rPr>
        <w:t>.1</w:t>
      </w:r>
      <w:r w:rsidR="008F0157" w:rsidRPr="00393000">
        <w:rPr>
          <w:rFonts w:ascii="Arial" w:hAnsi="Arial" w:cs="Arial"/>
          <w:b/>
        </w:rPr>
        <w:tab/>
        <w:t>General</w:t>
      </w:r>
    </w:p>
    <w:p w:rsidR="008F0157" w:rsidRPr="00393000" w:rsidRDefault="00A811A7" w:rsidP="008F0157">
      <w:pPr>
        <w:tabs>
          <w:tab w:val="left" w:pos="-1026"/>
        </w:tabs>
        <w:spacing w:before="120"/>
        <w:ind w:right="6"/>
        <w:rPr>
          <w:rFonts w:ascii="Arial" w:hAnsi="Arial" w:cs="Arial"/>
        </w:rPr>
      </w:pPr>
      <w:r>
        <w:rPr>
          <w:rFonts w:ascii="Arial" w:hAnsi="Arial" w:cs="Arial"/>
        </w:rPr>
        <w:t>Public H</w:t>
      </w:r>
      <w:r w:rsidR="008F0157" w:rsidRPr="00393000">
        <w:rPr>
          <w:rFonts w:ascii="Arial" w:hAnsi="Arial" w:cs="Arial"/>
        </w:rPr>
        <w:t xml:space="preserve">ealth </w:t>
      </w:r>
      <w:r>
        <w:rPr>
          <w:rFonts w:ascii="Arial" w:hAnsi="Arial" w:cs="Arial"/>
        </w:rPr>
        <w:t>S</w:t>
      </w:r>
      <w:r w:rsidR="008F0157" w:rsidRPr="00393000">
        <w:rPr>
          <w:rFonts w:ascii="Arial" w:hAnsi="Arial" w:cs="Arial"/>
        </w:rPr>
        <w:t xml:space="preserve">ervices </w:t>
      </w:r>
      <w:r w:rsidR="008F0157">
        <w:rPr>
          <w:rFonts w:ascii="Arial" w:hAnsi="Arial" w:cs="Arial"/>
        </w:rPr>
        <w:t xml:space="preserve">must </w:t>
      </w:r>
      <w:r w:rsidR="008F0157" w:rsidRPr="00393000">
        <w:rPr>
          <w:rFonts w:ascii="Arial" w:hAnsi="Arial" w:cs="Arial"/>
        </w:rPr>
        <w:t xml:space="preserve">be universally available, accessible, acceptable and of a consistently high quality for the whole population.  </w:t>
      </w:r>
    </w:p>
    <w:p w:rsidR="008F0157" w:rsidRDefault="00A811A7" w:rsidP="00D26301">
      <w:pPr>
        <w:tabs>
          <w:tab w:val="left" w:pos="-1026"/>
        </w:tabs>
        <w:spacing w:before="120"/>
        <w:ind w:right="6"/>
        <w:rPr>
          <w:rFonts w:ascii="Arial" w:hAnsi="Arial" w:cs="Arial"/>
        </w:rPr>
      </w:pPr>
      <w:r>
        <w:rPr>
          <w:rFonts w:ascii="Arial" w:hAnsi="Arial" w:cs="Arial"/>
        </w:rPr>
        <w:t>Public H</w:t>
      </w:r>
      <w:r w:rsidRPr="00393000">
        <w:rPr>
          <w:rFonts w:ascii="Arial" w:hAnsi="Arial" w:cs="Arial"/>
        </w:rPr>
        <w:t xml:space="preserve">ealth </w:t>
      </w:r>
      <w:r>
        <w:rPr>
          <w:rFonts w:ascii="Arial" w:hAnsi="Arial" w:cs="Arial"/>
        </w:rPr>
        <w:t>S</w:t>
      </w:r>
      <w:r w:rsidRPr="00393000">
        <w:rPr>
          <w:rFonts w:ascii="Arial" w:hAnsi="Arial" w:cs="Arial"/>
        </w:rPr>
        <w:t xml:space="preserve">ervices </w:t>
      </w:r>
      <w:r w:rsidR="008F0157" w:rsidRPr="00393000">
        <w:rPr>
          <w:rFonts w:ascii="Arial" w:hAnsi="Arial" w:cs="Arial"/>
        </w:rPr>
        <w:t>are generally provided free of charge to those eligible and are d</w:t>
      </w:r>
      <w:r w:rsidR="008F0157">
        <w:rPr>
          <w:rFonts w:ascii="Arial" w:hAnsi="Arial" w:cs="Arial"/>
        </w:rPr>
        <w:t>esigned to overcome physical,</w:t>
      </w:r>
      <w:r w:rsidR="008F0157" w:rsidRPr="00393000">
        <w:rPr>
          <w:rFonts w:ascii="Arial" w:hAnsi="Arial" w:cs="Arial"/>
        </w:rPr>
        <w:t xml:space="preserve"> cultural</w:t>
      </w:r>
      <w:r>
        <w:rPr>
          <w:rFonts w:ascii="Arial" w:hAnsi="Arial" w:cs="Arial"/>
        </w:rPr>
        <w:t xml:space="preserve">, </w:t>
      </w:r>
      <w:r w:rsidRPr="00DD0D3D">
        <w:rPr>
          <w:rFonts w:ascii="Arial" w:hAnsi="Arial" w:cs="Arial"/>
        </w:rPr>
        <w:t>language</w:t>
      </w:r>
      <w:r w:rsidR="008F0157" w:rsidRPr="00393000">
        <w:rPr>
          <w:rFonts w:ascii="Arial" w:hAnsi="Arial" w:cs="Arial"/>
        </w:rPr>
        <w:t xml:space="preserve"> </w:t>
      </w:r>
      <w:r w:rsidR="008F0157" w:rsidRPr="00DD0D3D">
        <w:rPr>
          <w:rFonts w:ascii="Arial" w:hAnsi="Arial" w:cs="Arial"/>
        </w:rPr>
        <w:t>and other</w:t>
      </w:r>
      <w:r w:rsidR="008F0157">
        <w:rPr>
          <w:rFonts w:ascii="Arial" w:hAnsi="Arial" w:cs="Arial"/>
        </w:rPr>
        <w:t xml:space="preserve"> </w:t>
      </w:r>
      <w:r w:rsidR="008F0157" w:rsidRPr="00393000">
        <w:rPr>
          <w:rFonts w:ascii="Arial" w:hAnsi="Arial" w:cs="Arial"/>
        </w:rPr>
        <w:t>barriers to access</w:t>
      </w:r>
      <w:r w:rsidR="00D861A1">
        <w:rPr>
          <w:rFonts w:ascii="Arial" w:hAnsi="Arial" w:cs="Arial"/>
        </w:rPr>
        <w:t xml:space="preserve">, </w:t>
      </w:r>
      <w:r w:rsidR="00D861A1" w:rsidRPr="00DD0D3D">
        <w:rPr>
          <w:rFonts w:ascii="Arial" w:hAnsi="Arial" w:cs="Arial"/>
        </w:rPr>
        <w:t>within the context of</w:t>
      </w:r>
      <w:r w:rsidR="00D861A1">
        <w:rPr>
          <w:rFonts w:ascii="Arial" w:hAnsi="Arial" w:cs="Arial"/>
        </w:rPr>
        <w:t xml:space="preserve"> r</w:t>
      </w:r>
      <w:r w:rsidR="008F0157" w:rsidRPr="00393000">
        <w:rPr>
          <w:rFonts w:ascii="Arial" w:hAnsi="Arial" w:cs="Arial"/>
        </w:rPr>
        <w:t>esource constraints, population distribution and geographic variables</w:t>
      </w:r>
      <w:r w:rsidR="00580A98">
        <w:rPr>
          <w:rFonts w:ascii="Arial" w:hAnsi="Arial" w:cs="Arial"/>
        </w:rPr>
        <w:t xml:space="preserve">. </w:t>
      </w:r>
    </w:p>
    <w:p w:rsidR="00580A98" w:rsidRPr="00DD0D3D" w:rsidRDefault="00580A98" w:rsidP="00932C42">
      <w:pPr>
        <w:tabs>
          <w:tab w:val="left" w:pos="-1026"/>
        </w:tabs>
        <w:spacing w:before="240"/>
        <w:ind w:right="6"/>
        <w:rPr>
          <w:rFonts w:ascii="Arial" w:hAnsi="Arial" w:cs="Arial"/>
          <w:b/>
        </w:rPr>
      </w:pPr>
      <w:r w:rsidRPr="00DD0D3D">
        <w:rPr>
          <w:rFonts w:ascii="Arial" w:hAnsi="Arial" w:cs="Arial"/>
          <w:b/>
        </w:rPr>
        <w:t>5.2</w:t>
      </w:r>
      <w:r w:rsidRPr="00DD0D3D">
        <w:rPr>
          <w:rFonts w:ascii="Arial" w:hAnsi="Arial" w:cs="Arial"/>
          <w:b/>
        </w:rPr>
        <w:tab/>
        <w:t>Prioritisation</w:t>
      </w:r>
    </w:p>
    <w:p w:rsidR="008F0157" w:rsidRDefault="00A811A7" w:rsidP="008F0157">
      <w:pPr>
        <w:tabs>
          <w:tab w:val="left" w:pos="-1026"/>
        </w:tabs>
        <w:spacing w:before="120"/>
        <w:ind w:right="6"/>
        <w:rPr>
          <w:rFonts w:ascii="Arial" w:hAnsi="Arial" w:cs="Arial"/>
        </w:rPr>
      </w:pPr>
      <w:r>
        <w:rPr>
          <w:rFonts w:ascii="Arial" w:hAnsi="Arial" w:cs="Arial"/>
        </w:rPr>
        <w:t>Public H</w:t>
      </w:r>
      <w:r w:rsidRPr="00393000">
        <w:rPr>
          <w:rFonts w:ascii="Arial" w:hAnsi="Arial" w:cs="Arial"/>
        </w:rPr>
        <w:t xml:space="preserve">ealth </w:t>
      </w:r>
      <w:r>
        <w:rPr>
          <w:rFonts w:ascii="Arial" w:hAnsi="Arial" w:cs="Arial"/>
        </w:rPr>
        <w:t>S</w:t>
      </w:r>
      <w:r w:rsidRPr="00393000">
        <w:rPr>
          <w:rFonts w:ascii="Arial" w:hAnsi="Arial" w:cs="Arial"/>
        </w:rPr>
        <w:t xml:space="preserve">ervices </w:t>
      </w:r>
      <w:r w:rsidR="008F0157" w:rsidRPr="00393000">
        <w:rPr>
          <w:rFonts w:ascii="Arial" w:hAnsi="Arial" w:cs="Arial"/>
        </w:rPr>
        <w:t xml:space="preserve">are prioritised </w:t>
      </w:r>
      <w:r w:rsidR="00D861A1">
        <w:rPr>
          <w:rFonts w:ascii="Arial" w:hAnsi="Arial" w:cs="Arial"/>
        </w:rPr>
        <w:t>for population groups based on</w:t>
      </w:r>
      <w:r w:rsidR="008F0157">
        <w:rPr>
          <w:rFonts w:ascii="Arial" w:hAnsi="Arial" w:cs="Arial"/>
        </w:rPr>
        <w:t xml:space="preserve"> evidence that:</w:t>
      </w:r>
    </w:p>
    <w:p w:rsidR="008F0157" w:rsidRPr="00DD0D3D" w:rsidRDefault="008F0157" w:rsidP="00D26301">
      <w:pPr>
        <w:numPr>
          <w:ilvl w:val="0"/>
          <w:numId w:val="39"/>
        </w:numPr>
        <w:tabs>
          <w:tab w:val="clear" w:pos="720"/>
          <w:tab w:val="num" w:pos="567"/>
        </w:tabs>
        <w:spacing w:before="120"/>
        <w:ind w:left="567" w:hanging="567"/>
        <w:rPr>
          <w:rStyle w:val="Hyperlink"/>
          <w:rFonts w:ascii="Arial" w:hAnsi="Arial" w:cs="Arial"/>
          <w:color w:val="000000"/>
          <w:u w:val="none"/>
        </w:rPr>
      </w:pPr>
      <w:r w:rsidRPr="00DD0D3D">
        <w:rPr>
          <w:rStyle w:val="Hyperlink"/>
          <w:rFonts w:ascii="Arial" w:hAnsi="Arial" w:cs="Arial"/>
          <w:color w:val="000000"/>
          <w:u w:val="none"/>
        </w:rPr>
        <w:t>there is a significant impact on the current and future health status of the total population or priority groups in terms of morbidity, mortality, quality of life, and/or potential years of life lost</w:t>
      </w:r>
    </w:p>
    <w:p w:rsidR="008F0157" w:rsidRPr="00DD0D3D" w:rsidRDefault="008F0157" w:rsidP="00D26301">
      <w:pPr>
        <w:numPr>
          <w:ilvl w:val="0"/>
          <w:numId w:val="39"/>
        </w:numPr>
        <w:tabs>
          <w:tab w:val="clear" w:pos="720"/>
          <w:tab w:val="num" w:pos="567"/>
        </w:tabs>
        <w:ind w:left="567" w:hanging="567"/>
        <w:rPr>
          <w:rStyle w:val="Hyperlink"/>
          <w:rFonts w:ascii="Arial" w:hAnsi="Arial" w:cs="Arial"/>
          <w:color w:val="000000"/>
          <w:u w:val="none"/>
        </w:rPr>
      </w:pPr>
      <w:r w:rsidRPr="00DD0D3D">
        <w:rPr>
          <w:rStyle w:val="Hyperlink"/>
          <w:rFonts w:ascii="Arial" w:hAnsi="Arial" w:cs="Arial"/>
          <w:color w:val="000000"/>
          <w:u w:val="none"/>
        </w:rPr>
        <w:t xml:space="preserve">there are effective population-based methods, to improve, promote or protect health or safety, or prevent disease, in respect of the particular issues; or there are </w:t>
      </w:r>
      <w:r w:rsidR="00D861A1" w:rsidRPr="00DD0D3D">
        <w:rPr>
          <w:rStyle w:val="Hyperlink"/>
          <w:rFonts w:ascii="Arial" w:hAnsi="Arial" w:cs="Arial"/>
          <w:color w:val="000000"/>
          <w:u w:val="none"/>
        </w:rPr>
        <w:t>innovative method</w:t>
      </w:r>
      <w:r w:rsidRPr="00DD0D3D">
        <w:rPr>
          <w:rStyle w:val="Hyperlink"/>
          <w:rFonts w:ascii="Arial" w:hAnsi="Arial" w:cs="Arial"/>
          <w:color w:val="000000"/>
          <w:u w:val="none"/>
        </w:rPr>
        <w:t>s that could be evaluated</w:t>
      </w:r>
    </w:p>
    <w:p w:rsidR="008F0157" w:rsidRPr="00DD0D3D" w:rsidRDefault="00125586" w:rsidP="00D26301">
      <w:pPr>
        <w:numPr>
          <w:ilvl w:val="0"/>
          <w:numId w:val="39"/>
        </w:numPr>
        <w:tabs>
          <w:tab w:val="clear" w:pos="720"/>
          <w:tab w:val="num" w:pos="567"/>
        </w:tabs>
        <w:ind w:left="567" w:hanging="567"/>
        <w:rPr>
          <w:rStyle w:val="Hyperlink"/>
          <w:rFonts w:ascii="Arial" w:hAnsi="Arial" w:cs="Arial"/>
          <w:color w:val="000000"/>
          <w:u w:val="none"/>
        </w:rPr>
      </w:pPr>
      <w:r w:rsidRPr="00DD0D3D">
        <w:rPr>
          <w:rStyle w:val="Hyperlink"/>
          <w:rFonts w:ascii="Arial" w:hAnsi="Arial" w:cs="Arial"/>
          <w:color w:val="000000"/>
          <w:u w:val="none"/>
        </w:rPr>
        <w:t xml:space="preserve">addressing </w:t>
      </w:r>
      <w:r w:rsidR="008F0157" w:rsidRPr="00DD0D3D">
        <w:rPr>
          <w:rStyle w:val="Hyperlink"/>
          <w:rFonts w:ascii="Arial" w:hAnsi="Arial" w:cs="Arial"/>
          <w:color w:val="000000"/>
          <w:u w:val="none"/>
        </w:rPr>
        <w:t xml:space="preserve">the issue will contribute to promoting health status among priority communities such as </w:t>
      </w:r>
      <w:r w:rsidR="00580A98" w:rsidRPr="00DD0D3D">
        <w:rPr>
          <w:rFonts w:ascii="Arial" w:hAnsi="Arial" w:cs="Arial"/>
        </w:rPr>
        <w:t>M</w:t>
      </w:r>
      <w:r w:rsidR="00580A98" w:rsidRPr="00DD0D3D">
        <w:rPr>
          <w:rFonts w:ascii="Arial" w:hAnsi="Arial" w:cs="Arial"/>
          <w:bCs/>
        </w:rPr>
        <w:t>ā</w:t>
      </w:r>
      <w:r w:rsidR="00580A98" w:rsidRPr="00DD0D3D">
        <w:rPr>
          <w:rFonts w:ascii="Arial" w:hAnsi="Arial" w:cs="Arial"/>
        </w:rPr>
        <w:t>ori</w:t>
      </w:r>
      <w:r w:rsidR="00A811A7" w:rsidRPr="00DD0D3D">
        <w:rPr>
          <w:rStyle w:val="Hyperlink"/>
          <w:rFonts w:ascii="Arial" w:hAnsi="Arial" w:cs="Arial"/>
          <w:color w:val="000000"/>
          <w:u w:val="none"/>
        </w:rPr>
        <w:t>,</w:t>
      </w:r>
      <w:r w:rsidR="008F0157" w:rsidRPr="00DD0D3D">
        <w:rPr>
          <w:rStyle w:val="Hyperlink"/>
          <w:rFonts w:ascii="Arial" w:hAnsi="Arial" w:cs="Arial"/>
          <w:color w:val="000000"/>
          <w:u w:val="none"/>
        </w:rPr>
        <w:t xml:space="preserve"> Pacific</w:t>
      </w:r>
      <w:r w:rsidR="00A811A7" w:rsidRPr="00DD0D3D">
        <w:rPr>
          <w:rStyle w:val="Hyperlink"/>
          <w:rFonts w:ascii="Arial" w:hAnsi="Arial" w:cs="Arial"/>
          <w:color w:val="000000"/>
          <w:u w:val="none"/>
        </w:rPr>
        <w:t xml:space="preserve"> and disabled</w:t>
      </w:r>
      <w:r w:rsidR="008F0157" w:rsidRPr="00DD0D3D">
        <w:rPr>
          <w:rStyle w:val="Hyperlink"/>
          <w:rFonts w:ascii="Arial" w:hAnsi="Arial" w:cs="Arial"/>
          <w:color w:val="000000"/>
          <w:u w:val="none"/>
        </w:rPr>
        <w:t xml:space="preserve"> people</w:t>
      </w:r>
    </w:p>
    <w:p w:rsidR="008F0157" w:rsidRPr="00DD0D3D" w:rsidRDefault="00125586" w:rsidP="00D26301">
      <w:pPr>
        <w:numPr>
          <w:ilvl w:val="0"/>
          <w:numId w:val="39"/>
        </w:numPr>
        <w:tabs>
          <w:tab w:val="clear" w:pos="720"/>
          <w:tab w:val="num" w:pos="567"/>
        </w:tabs>
        <w:ind w:left="567" w:hanging="567"/>
        <w:rPr>
          <w:rStyle w:val="Hyperlink"/>
          <w:rFonts w:ascii="Arial" w:hAnsi="Arial" w:cs="Arial"/>
          <w:color w:val="000000"/>
          <w:u w:val="none"/>
        </w:rPr>
      </w:pPr>
      <w:r w:rsidRPr="00DD0D3D">
        <w:rPr>
          <w:rStyle w:val="Hyperlink"/>
          <w:rFonts w:ascii="Arial" w:hAnsi="Arial" w:cs="Arial"/>
          <w:color w:val="000000"/>
          <w:u w:val="none"/>
        </w:rPr>
        <w:t xml:space="preserve">addressing </w:t>
      </w:r>
      <w:r w:rsidR="008F0157" w:rsidRPr="00DD0D3D">
        <w:rPr>
          <w:rStyle w:val="Hyperlink"/>
          <w:rFonts w:ascii="Arial" w:hAnsi="Arial" w:cs="Arial"/>
          <w:color w:val="000000"/>
          <w:u w:val="none"/>
        </w:rPr>
        <w:t>the issue will provide the best health gain in terms of the required resources</w:t>
      </w:r>
    </w:p>
    <w:p w:rsidR="008F0157" w:rsidRPr="00DD0D3D" w:rsidRDefault="008F0157" w:rsidP="00D26301">
      <w:pPr>
        <w:numPr>
          <w:ilvl w:val="0"/>
          <w:numId w:val="39"/>
        </w:numPr>
        <w:tabs>
          <w:tab w:val="clear" w:pos="720"/>
          <w:tab w:val="num" w:pos="567"/>
        </w:tabs>
        <w:ind w:left="567" w:hanging="567"/>
        <w:rPr>
          <w:rStyle w:val="Hyperlink"/>
          <w:rFonts w:ascii="Arial" w:hAnsi="Arial" w:cs="Arial"/>
          <w:color w:val="000000"/>
          <w:u w:val="none"/>
        </w:rPr>
      </w:pPr>
      <w:r w:rsidRPr="00DD0D3D">
        <w:rPr>
          <w:rStyle w:val="Hyperlink"/>
          <w:rFonts w:ascii="Arial" w:hAnsi="Arial" w:cs="Arial"/>
          <w:color w:val="000000"/>
          <w:u w:val="none"/>
        </w:rPr>
        <w:t xml:space="preserve">there is public support for </w:t>
      </w:r>
      <w:r w:rsidR="00125586" w:rsidRPr="00DD0D3D">
        <w:rPr>
          <w:rStyle w:val="Hyperlink"/>
          <w:rFonts w:ascii="Arial" w:hAnsi="Arial" w:cs="Arial"/>
          <w:color w:val="000000"/>
          <w:u w:val="none"/>
        </w:rPr>
        <w:t xml:space="preserve">addressing </w:t>
      </w:r>
      <w:r w:rsidRPr="00DD0D3D">
        <w:rPr>
          <w:rStyle w:val="Hyperlink"/>
          <w:rFonts w:ascii="Arial" w:hAnsi="Arial" w:cs="Arial"/>
          <w:color w:val="000000"/>
          <w:u w:val="none"/>
        </w:rPr>
        <w:t>the issue</w:t>
      </w:r>
      <w:r w:rsidR="008677AF" w:rsidRPr="00DD0D3D">
        <w:rPr>
          <w:rStyle w:val="FootnoteReference"/>
          <w:rFonts w:ascii="Arial" w:hAnsi="Arial" w:cs="Arial"/>
          <w:color w:val="000000"/>
          <w:sz w:val="22"/>
          <w:szCs w:val="22"/>
        </w:rPr>
        <w:footnoteReference w:id="12"/>
      </w:r>
    </w:p>
    <w:p w:rsidR="008F0157" w:rsidRPr="00DD0D3D" w:rsidRDefault="008F0157" w:rsidP="00D26301">
      <w:pPr>
        <w:numPr>
          <w:ilvl w:val="0"/>
          <w:numId w:val="39"/>
        </w:numPr>
        <w:tabs>
          <w:tab w:val="clear" w:pos="720"/>
          <w:tab w:val="num" w:pos="567"/>
        </w:tabs>
        <w:ind w:left="567" w:hanging="567"/>
        <w:rPr>
          <w:rStyle w:val="Hyperlink"/>
          <w:rFonts w:ascii="Arial" w:hAnsi="Arial" w:cs="Arial"/>
          <w:color w:val="000000"/>
          <w:u w:val="none"/>
        </w:rPr>
      </w:pPr>
      <w:r w:rsidRPr="00DD0D3D">
        <w:rPr>
          <w:rStyle w:val="Hyperlink"/>
          <w:rFonts w:ascii="Arial" w:hAnsi="Arial" w:cs="Arial"/>
          <w:color w:val="000000"/>
          <w:u w:val="none"/>
        </w:rPr>
        <w:t>programmes developed to address the issue are sustainable over time and across sectors (or a short-term intervention will give a sustainable benefit)</w:t>
      </w:r>
    </w:p>
    <w:p w:rsidR="008F0157" w:rsidRPr="00DD0D3D" w:rsidRDefault="008F0157" w:rsidP="00D26301">
      <w:pPr>
        <w:numPr>
          <w:ilvl w:val="0"/>
          <w:numId w:val="39"/>
        </w:numPr>
        <w:tabs>
          <w:tab w:val="clear" w:pos="720"/>
          <w:tab w:val="num" w:pos="567"/>
        </w:tabs>
        <w:ind w:left="567" w:hanging="567"/>
        <w:rPr>
          <w:rStyle w:val="Hyperlink"/>
          <w:rFonts w:ascii="Arial" w:hAnsi="Arial" w:cs="Arial"/>
          <w:color w:val="000000"/>
          <w:u w:val="none"/>
        </w:rPr>
      </w:pPr>
      <w:r w:rsidRPr="00DD0D3D">
        <w:rPr>
          <w:rStyle w:val="Hyperlink"/>
          <w:rFonts w:ascii="Arial" w:hAnsi="Arial" w:cs="Arial"/>
          <w:color w:val="000000"/>
          <w:u w:val="none"/>
        </w:rPr>
        <w:t>other sectors of government and the community are engaged in efforts to address the issue, and benefits for all can be gained by shared or complementary work</w:t>
      </w:r>
    </w:p>
    <w:p w:rsidR="008F0157" w:rsidRPr="00DD0D3D" w:rsidRDefault="008F0157" w:rsidP="00D26301">
      <w:pPr>
        <w:numPr>
          <w:ilvl w:val="0"/>
          <w:numId w:val="39"/>
        </w:numPr>
        <w:tabs>
          <w:tab w:val="clear" w:pos="720"/>
          <w:tab w:val="num" w:pos="567"/>
        </w:tabs>
        <w:ind w:left="567" w:hanging="567"/>
        <w:rPr>
          <w:rStyle w:val="Hyperlink"/>
          <w:rFonts w:ascii="Arial" w:hAnsi="Arial" w:cs="Arial"/>
          <w:color w:val="000000"/>
          <w:u w:val="none"/>
        </w:rPr>
      </w:pPr>
      <w:proofErr w:type="gramStart"/>
      <w:r w:rsidRPr="00DD0D3D">
        <w:rPr>
          <w:rStyle w:val="Hyperlink"/>
          <w:rFonts w:ascii="Arial" w:hAnsi="Arial" w:cs="Arial"/>
          <w:color w:val="000000"/>
          <w:u w:val="none"/>
        </w:rPr>
        <w:t>the</w:t>
      </w:r>
      <w:proofErr w:type="gramEnd"/>
      <w:r w:rsidRPr="00DD0D3D">
        <w:rPr>
          <w:rStyle w:val="Hyperlink"/>
          <w:rFonts w:ascii="Arial" w:hAnsi="Arial" w:cs="Arial"/>
          <w:color w:val="000000"/>
          <w:u w:val="none"/>
        </w:rPr>
        <w:t xml:space="preserve"> issue is not currently being addressed</w:t>
      </w:r>
      <w:r w:rsidR="00706CFA" w:rsidRPr="00DD0D3D">
        <w:rPr>
          <w:rStyle w:val="Hyperlink"/>
          <w:rFonts w:ascii="Arial" w:hAnsi="Arial" w:cs="Arial"/>
          <w:color w:val="000000"/>
          <w:u w:val="none"/>
        </w:rPr>
        <w:t xml:space="preserve">, or is only being partially addressed, </w:t>
      </w:r>
      <w:r w:rsidRPr="00DD0D3D">
        <w:rPr>
          <w:rStyle w:val="Hyperlink"/>
          <w:rFonts w:ascii="Arial" w:hAnsi="Arial" w:cs="Arial"/>
          <w:color w:val="000000"/>
          <w:u w:val="none"/>
        </w:rPr>
        <w:t xml:space="preserve">by any other agency or organisation </w:t>
      </w:r>
      <w:proofErr w:type="spellStart"/>
      <w:r w:rsidRPr="00DD0D3D">
        <w:rPr>
          <w:rStyle w:val="Hyperlink"/>
          <w:rFonts w:ascii="Arial" w:hAnsi="Arial" w:cs="Arial"/>
          <w:color w:val="000000"/>
          <w:u w:val="none"/>
        </w:rPr>
        <w:t>ie</w:t>
      </w:r>
      <w:proofErr w:type="spellEnd"/>
      <w:r w:rsidR="00706CFA" w:rsidRPr="00DD0D3D">
        <w:rPr>
          <w:rStyle w:val="Hyperlink"/>
          <w:rFonts w:ascii="Arial" w:hAnsi="Arial" w:cs="Arial"/>
          <w:color w:val="000000"/>
          <w:u w:val="none"/>
        </w:rPr>
        <w:t>,</w:t>
      </w:r>
      <w:r w:rsidRPr="00DD0D3D">
        <w:rPr>
          <w:rStyle w:val="Hyperlink"/>
          <w:rFonts w:ascii="Arial" w:hAnsi="Arial" w:cs="Arial"/>
          <w:color w:val="000000"/>
          <w:u w:val="none"/>
        </w:rPr>
        <w:t xml:space="preserve"> there is a gap.</w:t>
      </w:r>
    </w:p>
    <w:p w:rsidR="008F0157" w:rsidRPr="00DD0D3D" w:rsidRDefault="00D861A1" w:rsidP="00932C42">
      <w:pPr>
        <w:spacing w:before="120"/>
        <w:rPr>
          <w:rStyle w:val="Hyperlink"/>
          <w:rFonts w:ascii="Arial" w:hAnsi="Arial" w:cs="Arial"/>
          <w:color w:val="000000"/>
          <w:u w:val="none"/>
        </w:rPr>
      </w:pPr>
      <w:r w:rsidRPr="00DD0D3D">
        <w:rPr>
          <w:rFonts w:ascii="Arial" w:hAnsi="Arial" w:cs="Arial"/>
        </w:rPr>
        <w:t>Public Health Service</w:t>
      </w:r>
      <w:r w:rsidR="00A811A7" w:rsidRPr="00DD0D3D">
        <w:rPr>
          <w:rFonts w:ascii="Arial" w:hAnsi="Arial" w:cs="Arial"/>
        </w:rPr>
        <w:t xml:space="preserve"> </w:t>
      </w:r>
      <w:r w:rsidR="003257C8" w:rsidRPr="00DD0D3D">
        <w:rPr>
          <w:rStyle w:val="Hyperlink"/>
          <w:rFonts w:ascii="Arial" w:hAnsi="Arial" w:cs="Arial"/>
          <w:color w:val="000000"/>
          <w:u w:val="none"/>
        </w:rPr>
        <w:t>providers</w:t>
      </w:r>
      <w:r w:rsidR="008F0157" w:rsidRPr="00DD0D3D">
        <w:rPr>
          <w:rStyle w:val="Hyperlink"/>
          <w:rFonts w:ascii="Arial" w:hAnsi="Arial" w:cs="Arial"/>
          <w:color w:val="000000"/>
          <w:u w:val="none"/>
        </w:rPr>
        <w:t xml:space="preserve"> should coordinate to plan and deliver integrated services, taking account of local, regional and national priorities.</w:t>
      </w:r>
    </w:p>
    <w:p w:rsidR="008F0157" w:rsidRDefault="00546943" w:rsidP="00D26301">
      <w:pPr>
        <w:tabs>
          <w:tab w:val="num" w:pos="540"/>
        </w:tabs>
        <w:spacing w:before="240" w:after="120"/>
        <w:rPr>
          <w:rFonts w:ascii="Arial" w:hAnsi="Arial" w:cs="Arial"/>
          <w:b/>
        </w:rPr>
      </w:pPr>
      <w:r>
        <w:rPr>
          <w:rFonts w:ascii="Arial" w:hAnsi="Arial" w:cs="Arial"/>
          <w:b/>
        </w:rPr>
        <w:t>5</w:t>
      </w:r>
      <w:r w:rsidR="00580A98">
        <w:rPr>
          <w:rFonts w:ascii="Arial" w:hAnsi="Arial" w:cs="Arial"/>
          <w:b/>
        </w:rPr>
        <w:t>.3</w:t>
      </w:r>
      <w:r w:rsidR="008F0157" w:rsidRPr="00393000">
        <w:rPr>
          <w:rFonts w:ascii="Arial" w:hAnsi="Arial" w:cs="Arial"/>
          <w:b/>
        </w:rPr>
        <w:tab/>
        <w:t>Eligibility</w:t>
      </w:r>
    </w:p>
    <w:p w:rsidR="008F0157" w:rsidRPr="00393000" w:rsidRDefault="008F0157" w:rsidP="008F0157">
      <w:pPr>
        <w:tabs>
          <w:tab w:val="num" w:pos="540"/>
        </w:tabs>
        <w:spacing w:before="120" w:after="120" w:line="276" w:lineRule="auto"/>
        <w:rPr>
          <w:rFonts w:ascii="Arial" w:hAnsi="Arial" w:cs="Arial"/>
        </w:rPr>
      </w:pPr>
      <w:r>
        <w:rPr>
          <w:rFonts w:ascii="Arial" w:hAnsi="Arial" w:cs="Arial"/>
        </w:rPr>
        <w:t>The criteria for e</w:t>
      </w:r>
      <w:r w:rsidRPr="00393000">
        <w:rPr>
          <w:rFonts w:ascii="Arial" w:hAnsi="Arial" w:cs="Arial"/>
        </w:rPr>
        <w:t>ligibility for publicly funded health and di</w:t>
      </w:r>
      <w:r>
        <w:rPr>
          <w:rFonts w:ascii="Arial" w:hAnsi="Arial" w:cs="Arial"/>
        </w:rPr>
        <w:t>sability services are set out in</w:t>
      </w:r>
      <w:r w:rsidR="00CF6B0B">
        <w:rPr>
          <w:rFonts w:ascii="Arial" w:hAnsi="Arial" w:cs="Arial"/>
        </w:rPr>
        <w:t xml:space="preserve"> the</w:t>
      </w:r>
      <w:r w:rsidR="00CF6B0B" w:rsidRPr="00621A56">
        <w:rPr>
          <w:rFonts w:ascii="Arial" w:hAnsi="Arial" w:cs="Arial"/>
          <w:color w:val="000000"/>
          <w:u w:val="single"/>
          <w:lang w:val="en-GB" w:eastAsia="en-GB"/>
        </w:rPr>
        <w:t xml:space="preserve"> </w:t>
      </w:r>
      <w:r w:rsidR="00CF6B0B" w:rsidRPr="00DD0D3D">
        <w:rPr>
          <w:rFonts w:ascii="Arial" w:hAnsi="Arial" w:cs="Arial"/>
          <w:color w:val="000000"/>
          <w:lang w:val="en-GB" w:eastAsia="en-GB"/>
        </w:rPr>
        <w:t xml:space="preserve">Health and Disability Services Eligibility Direction 2011, </w:t>
      </w:r>
      <w:r w:rsidR="00CF6B0B" w:rsidRPr="00393000">
        <w:rPr>
          <w:rFonts w:ascii="Arial" w:hAnsi="Arial" w:cs="Arial"/>
        </w:rPr>
        <w:t>Gazette notice 6367</w:t>
      </w:r>
      <w:r>
        <w:rPr>
          <w:rFonts w:ascii="Arial" w:hAnsi="Arial" w:cs="Arial"/>
        </w:rPr>
        <w:t>.  This is</w:t>
      </w:r>
      <w:r w:rsidR="00CF6B0B">
        <w:rPr>
          <w:rFonts w:ascii="Arial" w:hAnsi="Arial" w:cs="Arial"/>
        </w:rPr>
        <w:t xml:space="preserve"> a Ministerial direction</w:t>
      </w:r>
      <w:r w:rsidRPr="00393000">
        <w:rPr>
          <w:rFonts w:ascii="Arial" w:hAnsi="Arial" w:cs="Arial"/>
        </w:rPr>
        <w:t xml:space="preserve"> under section 32 of the New Zealand Public Health and Disability Act 2000.  </w:t>
      </w:r>
      <w:bookmarkStart w:id="19" w:name="_Toc215318912"/>
      <w:r w:rsidRPr="00393000">
        <w:rPr>
          <w:rFonts w:ascii="Arial" w:hAnsi="Arial" w:cs="Arial"/>
        </w:rPr>
        <w:t>Refer to</w:t>
      </w:r>
      <w:r>
        <w:rPr>
          <w:rFonts w:ascii="Arial" w:hAnsi="Arial" w:cs="Arial"/>
        </w:rPr>
        <w:t xml:space="preserve"> the Ministry’s website: </w:t>
      </w:r>
      <w:r w:rsidRPr="00393000">
        <w:rPr>
          <w:rFonts w:ascii="Arial" w:hAnsi="Arial" w:cs="Arial"/>
        </w:rPr>
        <w:t xml:space="preserve"> http://www.moh.govt.nz/eligibility for </w:t>
      </w:r>
      <w:r w:rsidR="00CF6B0B">
        <w:rPr>
          <w:rFonts w:ascii="Arial" w:hAnsi="Arial" w:cs="Arial"/>
        </w:rPr>
        <w:t>detailed</w:t>
      </w:r>
      <w:r w:rsidRPr="00393000">
        <w:rPr>
          <w:rFonts w:ascii="Arial" w:hAnsi="Arial" w:cs="Arial"/>
        </w:rPr>
        <w:t xml:space="preserve"> </w:t>
      </w:r>
      <w:r>
        <w:rPr>
          <w:rFonts w:ascii="Arial" w:hAnsi="Arial" w:cs="Arial"/>
        </w:rPr>
        <w:t xml:space="preserve">information on </w:t>
      </w:r>
      <w:r w:rsidRPr="00393000">
        <w:rPr>
          <w:rFonts w:ascii="Arial" w:hAnsi="Arial" w:cs="Arial"/>
        </w:rPr>
        <w:t>eligibility</w:t>
      </w:r>
      <w:bookmarkEnd w:id="19"/>
      <w:r w:rsidRPr="00393000">
        <w:rPr>
          <w:rFonts w:ascii="Arial" w:hAnsi="Arial" w:cs="Arial"/>
        </w:rPr>
        <w:t>.</w:t>
      </w:r>
    </w:p>
    <w:p w:rsidR="008F0157" w:rsidRDefault="008F0157" w:rsidP="009E337C">
      <w:pPr>
        <w:autoSpaceDE w:val="0"/>
        <w:autoSpaceDN w:val="0"/>
        <w:adjustRightInd w:val="0"/>
        <w:rPr>
          <w:rFonts w:ascii="Arial" w:hAnsi="Arial" w:cs="Arial"/>
          <w:u w:val="single"/>
        </w:rPr>
      </w:pPr>
      <w:r w:rsidRPr="00B510E5">
        <w:rPr>
          <w:rFonts w:ascii="Arial" w:hAnsi="Arial" w:cs="Arial"/>
        </w:rPr>
        <w:t>Being eligible gives a person a right to be considered for publicly funded health or disability services (</w:t>
      </w:r>
      <w:proofErr w:type="spellStart"/>
      <w:r w:rsidRPr="00B510E5">
        <w:rPr>
          <w:rFonts w:ascii="Arial" w:hAnsi="Arial" w:cs="Arial"/>
        </w:rPr>
        <w:t>ie</w:t>
      </w:r>
      <w:proofErr w:type="spellEnd"/>
      <w:r w:rsidRPr="00B510E5">
        <w:rPr>
          <w:rFonts w:ascii="Arial" w:hAnsi="Arial" w:cs="Arial"/>
        </w:rPr>
        <w:t>, free or subsidised).</w:t>
      </w:r>
      <w:r>
        <w:rPr>
          <w:rFonts w:ascii="Arial" w:hAnsi="Arial" w:cs="Arial"/>
        </w:rPr>
        <w:t xml:space="preserve"> </w:t>
      </w:r>
      <w:r w:rsidRPr="00B510E5">
        <w:rPr>
          <w:rFonts w:ascii="Arial" w:hAnsi="Arial" w:cs="Arial"/>
        </w:rPr>
        <w:t xml:space="preserve"> It is not an entitlement to receive any particular service. </w:t>
      </w:r>
      <w:r w:rsidR="00CF6B0B">
        <w:rPr>
          <w:rFonts w:ascii="Arial" w:hAnsi="Arial" w:cs="Arial"/>
        </w:rPr>
        <w:t xml:space="preserve"> Notwithstanding this, </w:t>
      </w:r>
      <w:r w:rsidR="00CF6B0B" w:rsidRPr="00DD0D3D">
        <w:rPr>
          <w:rFonts w:ascii="Arial" w:hAnsi="Arial" w:cs="Arial"/>
        </w:rPr>
        <w:t>a</w:t>
      </w:r>
      <w:r w:rsidR="00CF6B0B" w:rsidRPr="00DD0D3D">
        <w:rPr>
          <w:rFonts w:ascii="Arial" w:hAnsi="Arial" w:cs="Arial"/>
          <w:color w:val="000000"/>
          <w:lang w:val="en-GB" w:eastAsia="en-GB"/>
        </w:rPr>
        <w:t xml:space="preserve">cute public health risks should be investigated and managed on clinical and epidemiological grounds, irrespective of the nationality or residency status of the persons concerned.  </w:t>
      </w:r>
      <w:r w:rsidR="009E337C" w:rsidRPr="00DD0D3D">
        <w:rPr>
          <w:rFonts w:ascii="Arial" w:hAnsi="Arial" w:cs="Arial"/>
        </w:rPr>
        <w:t xml:space="preserve">For further information see </w:t>
      </w:r>
      <w:r w:rsidR="00CF6B0B" w:rsidRPr="00DD0D3D">
        <w:rPr>
          <w:rFonts w:ascii="Arial" w:hAnsi="Arial" w:cs="Arial"/>
        </w:rPr>
        <w:t xml:space="preserve">also </w:t>
      </w:r>
      <w:r w:rsidR="009E337C" w:rsidRPr="00DD0D3D">
        <w:rPr>
          <w:rFonts w:ascii="Arial" w:hAnsi="Arial" w:cs="Arial"/>
        </w:rPr>
        <w:t xml:space="preserve">Appendix </w:t>
      </w:r>
      <w:r w:rsidR="00546943" w:rsidRPr="00DD0D3D">
        <w:rPr>
          <w:rFonts w:ascii="Arial" w:hAnsi="Arial" w:cs="Arial"/>
        </w:rPr>
        <w:t>One</w:t>
      </w:r>
      <w:r w:rsidR="009E337C" w:rsidRPr="00DD0D3D">
        <w:rPr>
          <w:rFonts w:ascii="Arial" w:hAnsi="Arial" w:cs="Arial"/>
        </w:rPr>
        <w:t>.</w:t>
      </w:r>
    </w:p>
    <w:p w:rsidR="00546943" w:rsidRPr="00393000" w:rsidRDefault="00546943" w:rsidP="003C450E">
      <w:pPr>
        <w:tabs>
          <w:tab w:val="num" w:pos="540"/>
        </w:tabs>
        <w:spacing w:line="276" w:lineRule="auto"/>
        <w:rPr>
          <w:rFonts w:ascii="Arial" w:hAnsi="Arial" w:cs="Arial"/>
          <w:b/>
        </w:rPr>
      </w:pPr>
      <w:r>
        <w:rPr>
          <w:rFonts w:ascii="Arial" w:hAnsi="Arial" w:cs="Arial"/>
          <w:b/>
        </w:rPr>
        <w:lastRenderedPageBreak/>
        <w:t>5</w:t>
      </w:r>
      <w:r w:rsidR="00580A98">
        <w:rPr>
          <w:rFonts w:ascii="Arial" w:hAnsi="Arial" w:cs="Arial"/>
          <w:b/>
        </w:rPr>
        <w:t>.4</w:t>
      </w:r>
      <w:r w:rsidRPr="00546943">
        <w:rPr>
          <w:rFonts w:ascii="Arial" w:hAnsi="Arial" w:cs="Arial"/>
          <w:b/>
        </w:rPr>
        <w:tab/>
      </w:r>
      <w:r w:rsidRPr="00393000">
        <w:rPr>
          <w:rFonts w:ascii="Arial" w:hAnsi="Arial" w:cs="Arial"/>
          <w:b/>
        </w:rPr>
        <w:t>Exclusions</w:t>
      </w:r>
    </w:p>
    <w:p w:rsidR="00546943" w:rsidRDefault="00546943" w:rsidP="003C450E">
      <w:pPr>
        <w:spacing w:before="120"/>
        <w:ind w:right="5"/>
        <w:rPr>
          <w:rFonts w:ascii="Arial" w:hAnsi="Arial" w:cs="Arial"/>
        </w:rPr>
      </w:pPr>
      <w:r w:rsidRPr="00DD0D3D">
        <w:rPr>
          <w:rFonts w:ascii="Arial" w:hAnsi="Arial" w:cs="Arial"/>
        </w:rPr>
        <w:t xml:space="preserve">Food issues (including commercial and non-commercial food safety, quality, labelling, composition, packaging, containers, transportation, importation, </w:t>
      </w:r>
      <w:proofErr w:type="spellStart"/>
      <w:r w:rsidRPr="00DD0D3D">
        <w:rPr>
          <w:rFonts w:ascii="Arial" w:hAnsi="Arial" w:cs="Arial"/>
        </w:rPr>
        <w:t>etc</w:t>
      </w:r>
      <w:proofErr w:type="spellEnd"/>
      <w:r w:rsidRPr="00DD0D3D">
        <w:rPr>
          <w:rFonts w:ascii="Arial" w:hAnsi="Arial" w:cs="Arial"/>
        </w:rPr>
        <w:t>) are the responsibility of the Ministry for Primary Industries and are not (except for the interface with surveillance and the investigation of disease outbreaks and illness) covered by this specification</w:t>
      </w:r>
      <w:r>
        <w:rPr>
          <w:rFonts w:ascii="Arial" w:hAnsi="Arial" w:cs="Arial"/>
        </w:rPr>
        <w:t>.</w:t>
      </w:r>
    </w:p>
    <w:p w:rsidR="003C450E" w:rsidRDefault="00546943" w:rsidP="003C450E">
      <w:pPr>
        <w:spacing w:before="120"/>
        <w:ind w:right="5"/>
        <w:rPr>
          <w:rFonts w:ascii="Arial" w:hAnsi="Arial" w:cs="Arial"/>
        </w:rPr>
      </w:pPr>
      <w:r w:rsidRPr="00DD0D3D">
        <w:rPr>
          <w:rFonts w:ascii="Arial" w:hAnsi="Arial" w:cs="Arial"/>
        </w:rPr>
        <w:t>Similarly, health and safety in workplaces is the responsibility of employers, employees and the Ministry for Business, Innovation and Employment</w:t>
      </w:r>
      <w:r w:rsidRPr="00DD0D3D">
        <w:rPr>
          <w:rStyle w:val="FootnoteReference"/>
          <w:rFonts w:ascii="Arial" w:hAnsi="Arial" w:cs="Arial"/>
          <w:sz w:val="22"/>
          <w:szCs w:val="22"/>
        </w:rPr>
        <w:footnoteReference w:id="13"/>
      </w:r>
      <w:r w:rsidRPr="00CF6B0B">
        <w:rPr>
          <w:rFonts w:ascii="Arial" w:hAnsi="Arial" w:cs="Arial"/>
        </w:rPr>
        <w:t>.</w:t>
      </w:r>
    </w:p>
    <w:p w:rsidR="0096785D" w:rsidRPr="003C450E" w:rsidRDefault="0096785D" w:rsidP="003C450E">
      <w:pPr>
        <w:spacing w:before="120"/>
        <w:ind w:right="5"/>
        <w:rPr>
          <w:rFonts w:ascii="Arial" w:hAnsi="Arial" w:cs="Arial"/>
          <w:color w:val="000000"/>
          <w:lang w:eastAsia="en-GB"/>
        </w:rPr>
      </w:pPr>
      <w:r w:rsidRPr="003C450E">
        <w:rPr>
          <w:rFonts w:ascii="Arial" w:hAnsi="Arial" w:cs="Arial"/>
          <w:color w:val="000000"/>
          <w:lang w:eastAsia="en-GB"/>
        </w:rPr>
        <w:t>Local government also performs a range of functions, both statutory and discretionary, that contribute significantly to public health outcomes.  However, other than the statutory relationships between designated officers and territorial authorities and any services specifically funded by the Ministry, the wider public health role of local government is outside the scope of this service specification.</w:t>
      </w:r>
    </w:p>
    <w:p w:rsidR="00546943" w:rsidRPr="00DD0D3D" w:rsidRDefault="00546943" w:rsidP="003C450E">
      <w:pPr>
        <w:spacing w:before="120"/>
        <w:ind w:right="5"/>
        <w:rPr>
          <w:rFonts w:ascii="Arial" w:hAnsi="Arial" w:cs="Arial"/>
        </w:rPr>
      </w:pPr>
      <w:r w:rsidRPr="00DD0D3D">
        <w:rPr>
          <w:rFonts w:ascii="Arial" w:hAnsi="Arial" w:cs="Arial"/>
        </w:rPr>
        <w:t>In circumstances where the respective public health roles and responsibilities of another provider or agency are not clear, or where it proves difficult to engage with another provider or agency, the service provider must discuss this with the Ministry.</w:t>
      </w:r>
    </w:p>
    <w:p w:rsidR="00546943" w:rsidRPr="00393000" w:rsidRDefault="00546943" w:rsidP="003C450E">
      <w:pPr>
        <w:pStyle w:val="BulletText1"/>
        <w:numPr>
          <w:ilvl w:val="0"/>
          <w:numId w:val="0"/>
        </w:numPr>
        <w:spacing w:before="120"/>
        <w:ind w:right="5"/>
        <w:rPr>
          <w:rFonts w:ascii="Arial" w:hAnsi="Arial" w:cs="Arial"/>
          <w:szCs w:val="24"/>
        </w:rPr>
      </w:pPr>
      <w:r w:rsidRPr="00393000">
        <w:rPr>
          <w:rFonts w:ascii="Arial" w:hAnsi="Arial" w:cs="Arial"/>
          <w:szCs w:val="24"/>
        </w:rPr>
        <w:t>It is important to note the scope for confusion between publi</w:t>
      </w:r>
      <w:r>
        <w:rPr>
          <w:rFonts w:ascii="Arial" w:hAnsi="Arial" w:cs="Arial"/>
          <w:szCs w:val="24"/>
        </w:rPr>
        <w:t>cly funded health services and p</w:t>
      </w:r>
      <w:r w:rsidRPr="00393000">
        <w:rPr>
          <w:rFonts w:ascii="Arial" w:hAnsi="Arial" w:cs="Arial"/>
          <w:szCs w:val="24"/>
        </w:rPr>
        <w:t xml:space="preserve">ublic </w:t>
      </w:r>
      <w:r>
        <w:rPr>
          <w:rFonts w:ascii="Arial" w:hAnsi="Arial" w:cs="Arial"/>
          <w:szCs w:val="24"/>
        </w:rPr>
        <w:t>health s</w:t>
      </w:r>
      <w:r w:rsidRPr="00393000">
        <w:rPr>
          <w:rFonts w:ascii="Arial" w:hAnsi="Arial" w:cs="Arial"/>
          <w:szCs w:val="24"/>
        </w:rPr>
        <w:t>ervices - the latter are a subset of publicly funded health services, but do not generally include diagnostic and personal treatment services such as GP consultations, outpatient and inpatient services, disability support services</w:t>
      </w:r>
      <w:r>
        <w:rPr>
          <w:rFonts w:ascii="Arial" w:hAnsi="Arial" w:cs="Arial"/>
          <w:szCs w:val="24"/>
        </w:rPr>
        <w:t xml:space="preserve"> etc</w:t>
      </w:r>
      <w:r w:rsidRPr="00393000">
        <w:rPr>
          <w:rFonts w:ascii="Arial" w:hAnsi="Arial" w:cs="Arial"/>
          <w:szCs w:val="24"/>
        </w:rPr>
        <w:t xml:space="preserve">.  </w:t>
      </w:r>
    </w:p>
    <w:p w:rsidR="00546943" w:rsidRPr="00393000" w:rsidRDefault="00546943" w:rsidP="003C450E">
      <w:pPr>
        <w:pStyle w:val="BulletText1"/>
        <w:numPr>
          <w:ilvl w:val="0"/>
          <w:numId w:val="0"/>
        </w:numPr>
        <w:spacing w:before="120" w:line="320" w:lineRule="exact"/>
        <w:ind w:right="5"/>
        <w:rPr>
          <w:rFonts w:ascii="Arial" w:hAnsi="Arial" w:cs="Arial"/>
          <w:szCs w:val="24"/>
        </w:rPr>
      </w:pPr>
      <w:r w:rsidRPr="00393000">
        <w:rPr>
          <w:rFonts w:ascii="Arial" w:hAnsi="Arial" w:cs="Arial"/>
          <w:szCs w:val="24"/>
        </w:rPr>
        <w:t>Ther</w:t>
      </w:r>
      <w:r>
        <w:rPr>
          <w:rFonts w:ascii="Arial" w:hAnsi="Arial" w:cs="Arial"/>
          <w:szCs w:val="24"/>
        </w:rPr>
        <w:t xml:space="preserve">e may, however, be an overlap </w:t>
      </w:r>
      <w:proofErr w:type="spellStart"/>
      <w:r>
        <w:rPr>
          <w:rFonts w:ascii="Arial" w:hAnsi="Arial" w:cs="Arial"/>
          <w:szCs w:val="24"/>
        </w:rPr>
        <w:t>e</w:t>
      </w:r>
      <w:r w:rsidRPr="00393000">
        <w:rPr>
          <w:rFonts w:ascii="Arial" w:hAnsi="Arial" w:cs="Arial"/>
          <w:szCs w:val="24"/>
        </w:rPr>
        <w:t>g</w:t>
      </w:r>
      <w:proofErr w:type="spellEnd"/>
      <w:r w:rsidR="003C450E">
        <w:rPr>
          <w:rFonts w:ascii="Arial" w:hAnsi="Arial" w:cs="Arial"/>
          <w:szCs w:val="24"/>
        </w:rPr>
        <w:t>:</w:t>
      </w:r>
    </w:p>
    <w:p w:rsidR="00546943" w:rsidRPr="00393000" w:rsidRDefault="00546943" w:rsidP="00DD0D3D">
      <w:pPr>
        <w:pStyle w:val="BulletText1"/>
        <w:numPr>
          <w:ilvl w:val="0"/>
          <w:numId w:val="5"/>
        </w:numPr>
        <w:tabs>
          <w:tab w:val="clear" w:pos="360"/>
          <w:tab w:val="num" w:pos="570"/>
        </w:tabs>
        <w:spacing w:before="120"/>
        <w:ind w:left="570" w:right="5" w:hanging="570"/>
        <w:rPr>
          <w:rFonts w:ascii="Arial" w:hAnsi="Arial" w:cs="Arial"/>
          <w:szCs w:val="24"/>
        </w:rPr>
      </w:pPr>
      <w:r w:rsidRPr="00393000">
        <w:rPr>
          <w:rFonts w:ascii="Arial" w:hAnsi="Arial" w:cs="Arial"/>
          <w:szCs w:val="24"/>
        </w:rPr>
        <w:t xml:space="preserve">when a patient is seen by their GP or hospital and diagnosed with a notifiable disease, there may then be a need for the public health service to trace contacts of the case, to help prevent further spread </w:t>
      </w:r>
    </w:p>
    <w:p w:rsidR="00546943" w:rsidRPr="00393000" w:rsidRDefault="00546943" w:rsidP="00D71172">
      <w:pPr>
        <w:pStyle w:val="BulletText1"/>
        <w:numPr>
          <w:ilvl w:val="0"/>
          <w:numId w:val="5"/>
        </w:numPr>
        <w:tabs>
          <w:tab w:val="clear" w:pos="360"/>
          <w:tab w:val="num" w:pos="570"/>
        </w:tabs>
        <w:ind w:left="570" w:right="5" w:hanging="570"/>
        <w:rPr>
          <w:rFonts w:ascii="Arial" w:hAnsi="Arial" w:cs="Arial"/>
          <w:szCs w:val="24"/>
        </w:rPr>
      </w:pPr>
      <w:proofErr w:type="gramStart"/>
      <w:r w:rsidRPr="00393000">
        <w:rPr>
          <w:rFonts w:ascii="Arial" w:hAnsi="Arial" w:cs="Arial"/>
          <w:szCs w:val="24"/>
        </w:rPr>
        <w:t>when</w:t>
      </w:r>
      <w:proofErr w:type="gramEnd"/>
      <w:r w:rsidRPr="00393000">
        <w:rPr>
          <w:rFonts w:ascii="Arial" w:hAnsi="Arial" w:cs="Arial"/>
          <w:szCs w:val="24"/>
        </w:rPr>
        <w:t xml:space="preserve"> a clinician refers a patient to a </w:t>
      </w:r>
      <w:r>
        <w:rPr>
          <w:rFonts w:ascii="Arial" w:hAnsi="Arial" w:cs="Arial"/>
        </w:rPr>
        <w:t>Public H</w:t>
      </w:r>
      <w:r w:rsidRPr="00393000">
        <w:rPr>
          <w:rFonts w:ascii="Arial" w:hAnsi="Arial" w:cs="Arial"/>
        </w:rPr>
        <w:t xml:space="preserve">ealth </w:t>
      </w:r>
      <w:r>
        <w:rPr>
          <w:rFonts w:ascii="Arial" w:hAnsi="Arial" w:cs="Arial"/>
        </w:rPr>
        <w:t>Service</w:t>
      </w:r>
      <w:r w:rsidRPr="00393000">
        <w:rPr>
          <w:rFonts w:ascii="Arial" w:hAnsi="Arial" w:cs="Arial"/>
        </w:rPr>
        <w:t xml:space="preserve"> </w:t>
      </w:r>
      <w:r w:rsidRPr="00393000">
        <w:rPr>
          <w:rFonts w:ascii="Arial" w:hAnsi="Arial" w:cs="Arial"/>
          <w:szCs w:val="24"/>
        </w:rPr>
        <w:t>for advice and support to reduce risks such as sm</w:t>
      </w:r>
      <w:r>
        <w:rPr>
          <w:rFonts w:ascii="Arial" w:hAnsi="Arial" w:cs="Arial"/>
          <w:szCs w:val="24"/>
        </w:rPr>
        <w:t>oking cessation or obesity (</w:t>
      </w:r>
      <w:proofErr w:type="spellStart"/>
      <w:r>
        <w:rPr>
          <w:rFonts w:ascii="Arial" w:hAnsi="Arial" w:cs="Arial"/>
          <w:szCs w:val="24"/>
        </w:rPr>
        <w:t>eg</w:t>
      </w:r>
      <w:proofErr w:type="spellEnd"/>
      <w:r>
        <w:rPr>
          <w:rFonts w:ascii="Arial" w:hAnsi="Arial" w:cs="Arial"/>
          <w:szCs w:val="24"/>
        </w:rPr>
        <w:t>,</w:t>
      </w:r>
      <w:r w:rsidRPr="00393000">
        <w:rPr>
          <w:rFonts w:ascii="Arial" w:hAnsi="Arial" w:cs="Arial"/>
          <w:szCs w:val="24"/>
        </w:rPr>
        <w:t xml:space="preserve"> Green Prescription</w:t>
      </w:r>
      <w:r>
        <w:rPr>
          <w:rFonts w:ascii="Arial" w:hAnsi="Arial" w:cs="Arial"/>
          <w:szCs w:val="24"/>
        </w:rPr>
        <w:t>)</w:t>
      </w:r>
      <w:r w:rsidRPr="00393000">
        <w:rPr>
          <w:rFonts w:ascii="Arial" w:hAnsi="Arial" w:cs="Arial"/>
          <w:szCs w:val="24"/>
        </w:rPr>
        <w:t>.</w:t>
      </w:r>
    </w:p>
    <w:p w:rsidR="008F0157" w:rsidRPr="00393000" w:rsidRDefault="00546943" w:rsidP="00D26301">
      <w:pPr>
        <w:spacing w:before="240" w:after="120"/>
        <w:ind w:left="573" w:right="6" w:hanging="573"/>
        <w:rPr>
          <w:rFonts w:ascii="Arial" w:hAnsi="Arial" w:cs="Arial"/>
          <w:b/>
        </w:rPr>
      </w:pPr>
      <w:bookmarkStart w:id="20" w:name="immunisations"/>
      <w:bookmarkStart w:id="21" w:name="_Toc215319145"/>
      <w:bookmarkEnd w:id="20"/>
      <w:r>
        <w:rPr>
          <w:rFonts w:ascii="Arial" w:hAnsi="Arial" w:cs="Arial"/>
          <w:b/>
        </w:rPr>
        <w:t>6</w:t>
      </w:r>
      <w:r w:rsidR="008F0157" w:rsidRPr="00393000">
        <w:rPr>
          <w:rFonts w:ascii="Arial" w:hAnsi="Arial" w:cs="Arial"/>
          <w:b/>
        </w:rPr>
        <w:t>.</w:t>
      </w:r>
      <w:r w:rsidR="008F0157" w:rsidRPr="00393000">
        <w:rPr>
          <w:rFonts w:ascii="Arial" w:hAnsi="Arial" w:cs="Arial"/>
          <w:b/>
        </w:rPr>
        <w:tab/>
        <w:t>Service Components</w:t>
      </w:r>
      <w:bookmarkEnd w:id="21"/>
    </w:p>
    <w:p w:rsidR="00D26301" w:rsidRDefault="008F0157" w:rsidP="001E4E2C">
      <w:pPr>
        <w:pStyle w:val="BodyText"/>
        <w:spacing w:after="0"/>
        <w:ind w:right="5"/>
        <w:rPr>
          <w:rFonts w:cs="Arial"/>
          <w:sz w:val="24"/>
        </w:rPr>
      </w:pPr>
      <w:bookmarkStart w:id="22" w:name="_Toc215319155"/>
      <w:r w:rsidRPr="00393000">
        <w:rPr>
          <w:rFonts w:cs="Arial"/>
          <w:sz w:val="24"/>
        </w:rPr>
        <w:t xml:space="preserve">The </w:t>
      </w:r>
      <w:r w:rsidR="00A811A7">
        <w:rPr>
          <w:rFonts w:cs="Arial"/>
        </w:rPr>
        <w:t>Public H</w:t>
      </w:r>
      <w:r w:rsidR="00A811A7" w:rsidRPr="00393000">
        <w:rPr>
          <w:rFonts w:cs="Arial"/>
        </w:rPr>
        <w:t xml:space="preserve">ealth </w:t>
      </w:r>
      <w:r w:rsidR="00A811A7">
        <w:rPr>
          <w:rFonts w:cs="Arial"/>
        </w:rPr>
        <w:t>S</w:t>
      </w:r>
      <w:r w:rsidR="001E4E2C">
        <w:rPr>
          <w:rFonts w:cs="Arial"/>
        </w:rPr>
        <w:t>ervice</w:t>
      </w:r>
      <w:r w:rsidR="00A811A7" w:rsidRPr="00393000">
        <w:rPr>
          <w:rFonts w:cs="Arial"/>
        </w:rPr>
        <w:t xml:space="preserve"> </w:t>
      </w:r>
      <w:r w:rsidRPr="00393000">
        <w:rPr>
          <w:rFonts w:cs="Arial"/>
          <w:sz w:val="24"/>
        </w:rPr>
        <w:t>components</w:t>
      </w:r>
      <w:r>
        <w:rPr>
          <w:rFonts w:cs="Arial"/>
          <w:sz w:val="24"/>
        </w:rPr>
        <w:t xml:space="preserve"> </w:t>
      </w:r>
      <w:r w:rsidRPr="00244F82">
        <w:rPr>
          <w:rFonts w:cs="Arial"/>
          <w:sz w:val="24"/>
        </w:rPr>
        <w:t xml:space="preserve">comprise </w:t>
      </w:r>
      <w:r w:rsidRPr="00DD0D3D">
        <w:rPr>
          <w:rFonts w:cs="Arial"/>
          <w:sz w:val="24"/>
        </w:rPr>
        <w:t>five core public health functions</w:t>
      </w:r>
      <w:r>
        <w:rPr>
          <w:rFonts w:cs="Arial"/>
          <w:sz w:val="24"/>
        </w:rPr>
        <w:t>, as</w:t>
      </w:r>
      <w:r w:rsidRPr="00393000">
        <w:rPr>
          <w:rFonts w:cs="Arial"/>
          <w:sz w:val="24"/>
        </w:rPr>
        <w:t xml:space="preserve"> </w:t>
      </w:r>
      <w:r>
        <w:rPr>
          <w:rFonts w:cs="Arial"/>
          <w:sz w:val="24"/>
        </w:rPr>
        <w:t>summarised in the table below</w:t>
      </w:r>
      <w:r w:rsidR="001E4E2C" w:rsidRPr="00DD0D3D">
        <w:rPr>
          <w:rStyle w:val="FootnoteReference"/>
          <w:rFonts w:cs="Arial"/>
          <w:sz w:val="22"/>
          <w:szCs w:val="22"/>
        </w:rPr>
        <w:footnoteReference w:id="14"/>
      </w:r>
      <w:r>
        <w:rPr>
          <w:rFonts w:cs="Arial"/>
          <w:sz w:val="24"/>
        </w:rPr>
        <w:t xml:space="preserve">.  Each </w:t>
      </w:r>
      <w:r w:rsidR="00706CFA">
        <w:rPr>
          <w:rFonts w:cs="Arial"/>
          <w:sz w:val="24"/>
        </w:rPr>
        <w:t xml:space="preserve">service </w:t>
      </w:r>
      <w:r w:rsidR="00E3339D">
        <w:rPr>
          <w:rFonts w:cs="Arial"/>
          <w:sz w:val="24"/>
        </w:rPr>
        <w:t>component corresponds to a tier t</w:t>
      </w:r>
      <w:r>
        <w:rPr>
          <w:rFonts w:cs="Arial"/>
          <w:sz w:val="24"/>
        </w:rPr>
        <w:t>wo service specification</w:t>
      </w:r>
      <w:r w:rsidRPr="00DD0D3D">
        <w:rPr>
          <w:rStyle w:val="FootnoteReference"/>
          <w:rFonts w:cs="Arial"/>
          <w:sz w:val="22"/>
          <w:szCs w:val="22"/>
        </w:rPr>
        <w:footnoteReference w:id="15"/>
      </w:r>
      <w:r>
        <w:rPr>
          <w:rFonts w:cs="Arial"/>
          <w:sz w:val="24"/>
        </w:rPr>
        <w:t xml:space="preserve">.  </w:t>
      </w:r>
    </w:p>
    <w:p w:rsidR="001E4E2C" w:rsidRDefault="001E4E2C" w:rsidP="00D26301">
      <w:pPr>
        <w:pStyle w:val="BodyText"/>
        <w:spacing w:before="120" w:after="0"/>
        <w:ind w:right="5"/>
        <w:rPr>
          <w:rFonts w:cs="Arial"/>
          <w:color w:val="000000"/>
          <w:sz w:val="24"/>
          <w:u w:val="single"/>
          <w:lang w:eastAsia="en-GB"/>
        </w:rPr>
      </w:pPr>
      <w:r w:rsidRPr="00DD0D3D">
        <w:rPr>
          <w:rFonts w:cs="Arial"/>
          <w:color w:val="000000"/>
          <w:sz w:val="24"/>
          <w:lang w:eastAsia="en-GB"/>
        </w:rPr>
        <w:t>The Ministry recognises the advantages of combining functions,</w:t>
      </w:r>
      <w:r w:rsidRPr="00706CFA">
        <w:rPr>
          <w:rFonts w:cs="Arial"/>
          <w:color w:val="000000"/>
          <w:sz w:val="24"/>
          <w:u w:val="single"/>
          <w:lang w:eastAsia="en-GB"/>
        </w:rPr>
        <w:t xml:space="preserve"> </w:t>
      </w:r>
      <w:r w:rsidRPr="00DD0D3D">
        <w:rPr>
          <w:rFonts w:cs="Arial"/>
          <w:color w:val="000000"/>
          <w:sz w:val="24"/>
          <w:lang w:eastAsia="en-GB"/>
        </w:rPr>
        <w:t>settings and issues</w:t>
      </w:r>
      <w:r w:rsidR="003C450E">
        <w:rPr>
          <w:rFonts w:cs="Arial"/>
          <w:color w:val="000000"/>
          <w:sz w:val="24"/>
          <w:lang w:eastAsia="en-GB"/>
        </w:rPr>
        <w:t>-</w:t>
      </w:r>
      <w:r w:rsidRPr="00DD0D3D">
        <w:rPr>
          <w:rFonts w:cs="Arial"/>
          <w:color w:val="000000"/>
          <w:sz w:val="24"/>
          <w:lang w:eastAsia="en-GB"/>
        </w:rPr>
        <w:t>based approaches for the integrated provision of comprehensive Public Health Services.</w:t>
      </w:r>
    </w:p>
    <w:p w:rsidR="00D26301" w:rsidRDefault="00D26301">
      <w:pPr>
        <w:spacing w:after="200" w:line="276" w:lineRule="auto"/>
        <w:rPr>
          <w:rFonts w:ascii="Arial" w:hAnsi="Arial" w:cs="Arial"/>
          <w:color w:val="000000"/>
          <w:lang w:eastAsia="en-GB"/>
        </w:rPr>
      </w:pPr>
      <w:r>
        <w:rPr>
          <w:rFonts w:ascii="Arial" w:hAnsi="Arial" w:cs="Arial"/>
          <w:color w:val="000000"/>
          <w:lang w:eastAsia="en-GB"/>
        </w:rPr>
        <w:br w:type="page"/>
      </w:r>
    </w:p>
    <w:p w:rsidR="00E1350B" w:rsidRPr="00E1350B" w:rsidRDefault="00E1350B" w:rsidP="00D26301">
      <w:pPr>
        <w:pStyle w:val="BodyText"/>
        <w:ind w:right="5" w:firstLine="720"/>
        <w:rPr>
          <w:rFonts w:cs="Arial"/>
          <w:color w:val="000000"/>
          <w:sz w:val="24"/>
          <w:lang w:eastAsia="en-GB"/>
        </w:rPr>
      </w:pPr>
      <w:r w:rsidRPr="00E1350B">
        <w:rPr>
          <w:rFonts w:cs="Arial"/>
          <w:color w:val="000000"/>
          <w:sz w:val="24"/>
          <w:lang w:eastAsia="en-GB"/>
        </w:rPr>
        <w:lastRenderedPageBreak/>
        <w:t xml:space="preserve">Table 1:  Tier two </w:t>
      </w:r>
      <w:r>
        <w:rPr>
          <w:rFonts w:cs="Arial"/>
          <w:color w:val="000000"/>
          <w:sz w:val="24"/>
          <w:lang w:eastAsia="en-GB"/>
        </w:rPr>
        <w:t xml:space="preserve">service </w:t>
      </w:r>
      <w:r w:rsidRPr="00E1350B">
        <w:rPr>
          <w:rFonts w:cs="Arial"/>
          <w:color w:val="000000"/>
          <w:sz w:val="24"/>
          <w:lang w:eastAsia="en-GB"/>
        </w:rPr>
        <w:t>specifications based on core public health functions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953"/>
      </w:tblGrid>
      <w:tr w:rsidR="008F0157" w:rsidRPr="00F5381D" w:rsidTr="00D26301">
        <w:trPr>
          <w:tblHeader/>
        </w:trPr>
        <w:tc>
          <w:tcPr>
            <w:tcW w:w="3828" w:type="dxa"/>
            <w:shd w:val="clear" w:color="auto" w:fill="DDD9C3"/>
          </w:tcPr>
          <w:p w:rsidR="008F0157" w:rsidRPr="00695C37" w:rsidRDefault="008F0157" w:rsidP="000B5C25">
            <w:pPr>
              <w:pStyle w:val="smalltext"/>
              <w:spacing w:after="0"/>
              <w:jc w:val="center"/>
              <w:rPr>
                <w:b/>
                <w:sz w:val="24"/>
                <w:szCs w:val="24"/>
                <w:lang w:val="en-US"/>
              </w:rPr>
            </w:pPr>
            <w:r w:rsidRPr="00695C37">
              <w:rPr>
                <w:b/>
                <w:sz w:val="24"/>
                <w:szCs w:val="24"/>
                <w:lang w:val="en-US"/>
              </w:rPr>
              <w:t>Service Components</w:t>
            </w:r>
          </w:p>
          <w:p w:rsidR="008F0157" w:rsidRPr="00695C37" w:rsidRDefault="00E3339D" w:rsidP="00D26301">
            <w:pPr>
              <w:pStyle w:val="smalltext"/>
              <w:spacing w:after="0"/>
              <w:rPr>
                <w:b/>
                <w:i/>
                <w:sz w:val="22"/>
                <w:szCs w:val="22"/>
                <w:lang w:val="en-US"/>
              </w:rPr>
            </w:pPr>
            <w:r>
              <w:rPr>
                <w:b/>
                <w:i/>
                <w:sz w:val="22"/>
                <w:szCs w:val="22"/>
                <w:lang w:val="en-US"/>
              </w:rPr>
              <w:t>(</w:t>
            </w:r>
            <w:proofErr w:type="spellStart"/>
            <w:r>
              <w:rPr>
                <w:b/>
                <w:i/>
                <w:sz w:val="22"/>
                <w:szCs w:val="22"/>
                <w:lang w:val="en-US"/>
              </w:rPr>
              <w:t>ie</w:t>
            </w:r>
            <w:proofErr w:type="spellEnd"/>
            <w:r w:rsidR="00E1350B">
              <w:rPr>
                <w:b/>
                <w:i/>
                <w:sz w:val="22"/>
                <w:szCs w:val="22"/>
                <w:lang w:val="en-US"/>
              </w:rPr>
              <w:t>,</w:t>
            </w:r>
            <w:r>
              <w:rPr>
                <w:b/>
                <w:i/>
                <w:sz w:val="22"/>
                <w:szCs w:val="22"/>
                <w:lang w:val="en-US"/>
              </w:rPr>
              <w:t xml:space="preserve"> t</w:t>
            </w:r>
            <w:r w:rsidR="00E1350B">
              <w:rPr>
                <w:b/>
                <w:i/>
                <w:sz w:val="22"/>
                <w:szCs w:val="22"/>
                <w:lang w:val="en-US"/>
              </w:rPr>
              <w:t>ier two service</w:t>
            </w:r>
            <w:r w:rsidR="008F0157" w:rsidRPr="00695C37">
              <w:rPr>
                <w:b/>
                <w:i/>
                <w:sz w:val="22"/>
                <w:szCs w:val="22"/>
                <w:lang w:val="en-US"/>
              </w:rPr>
              <w:t xml:space="preserve"> specifications)</w:t>
            </w:r>
          </w:p>
        </w:tc>
        <w:tc>
          <w:tcPr>
            <w:tcW w:w="5953" w:type="dxa"/>
            <w:shd w:val="clear" w:color="auto" w:fill="DDD9C3"/>
          </w:tcPr>
          <w:p w:rsidR="008F0157" w:rsidRPr="005831F7" w:rsidRDefault="008F0157" w:rsidP="00D26301">
            <w:pPr>
              <w:pStyle w:val="smalltext"/>
              <w:spacing w:after="0"/>
              <w:jc w:val="center"/>
              <w:rPr>
                <w:b/>
                <w:i/>
                <w:color w:val="F79646"/>
                <w:sz w:val="20"/>
                <w:lang w:val="en-US"/>
              </w:rPr>
            </w:pPr>
            <w:r w:rsidRPr="00D26301">
              <w:rPr>
                <w:b/>
                <w:sz w:val="24"/>
                <w:szCs w:val="24"/>
                <w:lang w:val="en-US"/>
              </w:rPr>
              <w:t>Description</w:t>
            </w:r>
          </w:p>
        </w:tc>
      </w:tr>
      <w:tr w:rsidR="008F0157" w:rsidRPr="00F5381D" w:rsidTr="00D26301">
        <w:tc>
          <w:tcPr>
            <w:tcW w:w="3828" w:type="dxa"/>
            <w:shd w:val="clear" w:color="auto" w:fill="auto"/>
          </w:tcPr>
          <w:p w:rsidR="008F0157" w:rsidRPr="003C450E" w:rsidRDefault="00D26301" w:rsidP="003C450E">
            <w:pPr>
              <w:pStyle w:val="smalltext"/>
              <w:spacing w:before="120" w:after="120"/>
              <w:rPr>
                <w:sz w:val="20"/>
                <w:lang w:eastAsia="en-GB"/>
              </w:rPr>
            </w:pPr>
            <w:r>
              <w:rPr>
                <w:sz w:val="20"/>
                <w:lang w:val="en-US"/>
              </w:rPr>
              <w:t xml:space="preserve">1. </w:t>
            </w:r>
            <w:r w:rsidR="008F0157" w:rsidRPr="00DD0D3D">
              <w:rPr>
                <w:sz w:val="20"/>
                <w:lang w:val="en-US"/>
              </w:rPr>
              <w:t>Health assessment and surveillance</w:t>
            </w:r>
          </w:p>
        </w:tc>
        <w:tc>
          <w:tcPr>
            <w:tcW w:w="5953" w:type="dxa"/>
          </w:tcPr>
          <w:p w:rsidR="008F0157" w:rsidRPr="00DD0D3D" w:rsidRDefault="008F0157" w:rsidP="000B5C25">
            <w:pPr>
              <w:pStyle w:val="a"/>
              <w:tabs>
                <w:tab w:val="left" w:pos="-1440"/>
              </w:tabs>
              <w:spacing w:before="120" w:after="120"/>
              <w:ind w:left="177" w:right="6" w:hanging="1"/>
              <w:rPr>
                <w:rFonts w:ascii="Arial" w:hAnsi="Arial"/>
                <w:snapToGrid/>
                <w:sz w:val="20"/>
                <w:szCs w:val="20"/>
                <w:lang w:val="en-GB" w:eastAsia="en-GB"/>
              </w:rPr>
            </w:pPr>
            <w:r w:rsidRPr="00DD0D3D">
              <w:rPr>
                <w:rFonts w:ascii="Arial" w:hAnsi="Arial"/>
                <w:snapToGrid/>
                <w:sz w:val="20"/>
                <w:szCs w:val="20"/>
                <w:lang w:val="en-GB" w:eastAsia="en-GB"/>
              </w:rPr>
              <w:t>Understanding health status, health determinants and disease distribution</w:t>
            </w:r>
            <w:r w:rsidR="00D861A1" w:rsidRPr="00DD0D3D">
              <w:rPr>
                <w:rFonts w:ascii="Arial" w:hAnsi="Arial"/>
                <w:snapToGrid/>
                <w:sz w:val="20"/>
                <w:szCs w:val="20"/>
                <w:lang w:val="en-GB" w:eastAsia="en-GB"/>
              </w:rPr>
              <w:t xml:space="preserve"> to inform action</w:t>
            </w:r>
          </w:p>
        </w:tc>
      </w:tr>
      <w:tr w:rsidR="008F0157" w:rsidRPr="00F5381D" w:rsidTr="00D26301">
        <w:trPr>
          <w:trHeight w:val="888"/>
        </w:trPr>
        <w:tc>
          <w:tcPr>
            <w:tcW w:w="3828" w:type="dxa"/>
            <w:shd w:val="clear" w:color="auto" w:fill="auto"/>
          </w:tcPr>
          <w:p w:rsidR="008F0157" w:rsidRPr="00DD0D3D" w:rsidRDefault="008F0157" w:rsidP="003C450E">
            <w:pPr>
              <w:pStyle w:val="smalltext"/>
              <w:spacing w:before="120" w:after="0"/>
              <w:rPr>
                <w:sz w:val="20"/>
                <w:lang w:val="en-US"/>
              </w:rPr>
            </w:pPr>
            <w:r w:rsidRPr="00DD0D3D">
              <w:rPr>
                <w:sz w:val="20"/>
                <w:lang w:val="en-US"/>
              </w:rPr>
              <w:t>2. Public health capacity development</w:t>
            </w:r>
          </w:p>
        </w:tc>
        <w:tc>
          <w:tcPr>
            <w:tcW w:w="5953" w:type="dxa"/>
          </w:tcPr>
          <w:p w:rsidR="008F0157" w:rsidRPr="00DD0D3D" w:rsidRDefault="008F0157" w:rsidP="003C450E">
            <w:pPr>
              <w:pStyle w:val="a"/>
              <w:tabs>
                <w:tab w:val="left" w:pos="-1440"/>
                <w:tab w:val="left" w:pos="317"/>
              </w:tabs>
              <w:spacing w:before="120"/>
              <w:ind w:left="204" w:right="6" w:firstLine="0"/>
              <w:rPr>
                <w:rFonts w:ascii="Arial" w:hAnsi="Arial"/>
                <w:snapToGrid/>
                <w:sz w:val="20"/>
                <w:szCs w:val="20"/>
              </w:rPr>
            </w:pPr>
            <w:r w:rsidRPr="00DD0D3D">
              <w:rPr>
                <w:rFonts w:ascii="Arial" w:hAnsi="Arial"/>
                <w:snapToGrid/>
                <w:sz w:val="20"/>
                <w:szCs w:val="20"/>
              </w:rPr>
              <w:t xml:space="preserve">Ensuring services are </w:t>
            </w:r>
            <w:r w:rsidR="00D861A1" w:rsidRPr="00DD0D3D">
              <w:rPr>
                <w:rFonts w:ascii="Arial" w:hAnsi="Arial"/>
                <w:snapToGrid/>
                <w:sz w:val="20"/>
                <w:szCs w:val="20"/>
              </w:rPr>
              <w:t xml:space="preserve">high quality, </w:t>
            </w:r>
            <w:r w:rsidRPr="00DD0D3D">
              <w:rPr>
                <w:rFonts w:ascii="Arial" w:hAnsi="Arial"/>
                <w:snapToGrid/>
                <w:sz w:val="20"/>
                <w:szCs w:val="20"/>
              </w:rPr>
              <w:t>effective, efficient and sustainable</w:t>
            </w:r>
          </w:p>
        </w:tc>
      </w:tr>
      <w:tr w:rsidR="008F0157" w:rsidRPr="00F5381D" w:rsidTr="00D26301">
        <w:trPr>
          <w:trHeight w:val="844"/>
        </w:trPr>
        <w:tc>
          <w:tcPr>
            <w:tcW w:w="3828" w:type="dxa"/>
            <w:shd w:val="clear" w:color="auto" w:fill="auto"/>
          </w:tcPr>
          <w:p w:rsidR="008F0157" w:rsidRPr="00DD0D3D" w:rsidRDefault="008F0157" w:rsidP="003C450E">
            <w:pPr>
              <w:pStyle w:val="smalltext"/>
              <w:spacing w:before="120" w:after="0"/>
              <w:rPr>
                <w:sz w:val="20"/>
                <w:lang w:val="en-US"/>
              </w:rPr>
            </w:pPr>
            <w:r w:rsidRPr="00DD0D3D">
              <w:rPr>
                <w:sz w:val="20"/>
              </w:rPr>
              <w:t>3. Health promotion</w:t>
            </w:r>
          </w:p>
        </w:tc>
        <w:tc>
          <w:tcPr>
            <w:tcW w:w="5953" w:type="dxa"/>
          </w:tcPr>
          <w:p w:rsidR="008F0157" w:rsidRPr="00DD0D3D" w:rsidRDefault="008F0157" w:rsidP="003C450E">
            <w:pPr>
              <w:pStyle w:val="a"/>
              <w:tabs>
                <w:tab w:val="left" w:pos="-1440"/>
              </w:tabs>
              <w:spacing w:before="120"/>
              <w:ind w:left="177" w:right="6" w:hanging="1"/>
              <w:rPr>
                <w:rFonts w:ascii="Arial" w:hAnsi="Arial"/>
                <w:snapToGrid/>
                <w:sz w:val="20"/>
                <w:szCs w:val="20"/>
              </w:rPr>
            </w:pPr>
            <w:r w:rsidRPr="00DD0D3D">
              <w:rPr>
                <w:rFonts w:ascii="Arial" w:hAnsi="Arial"/>
                <w:snapToGrid/>
                <w:sz w:val="20"/>
                <w:szCs w:val="20"/>
              </w:rPr>
              <w:t>Enabling people to increase control over and improve their health</w:t>
            </w:r>
          </w:p>
        </w:tc>
      </w:tr>
      <w:tr w:rsidR="008F0157" w:rsidRPr="00F5381D" w:rsidTr="00D26301">
        <w:tc>
          <w:tcPr>
            <w:tcW w:w="3828" w:type="dxa"/>
            <w:shd w:val="clear" w:color="auto" w:fill="auto"/>
          </w:tcPr>
          <w:p w:rsidR="008F0157" w:rsidRPr="00DD0D3D" w:rsidRDefault="008F0157" w:rsidP="003C450E">
            <w:pPr>
              <w:pStyle w:val="smalltext"/>
              <w:spacing w:before="120" w:after="120"/>
              <w:rPr>
                <w:sz w:val="20"/>
                <w:lang w:val="en-US"/>
              </w:rPr>
            </w:pPr>
            <w:r w:rsidRPr="00DD0D3D">
              <w:rPr>
                <w:sz w:val="20"/>
                <w:lang w:val="en-US"/>
              </w:rPr>
              <w:t>4. Health protection</w:t>
            </w:r>
          </w:p>
        </w:tc>
        <w:tc>
          <w:tcPr>
            <w:tcW w:w="5953" w:type="dxa"/>
          </w:tcPr>
          <w:p w:rsidR="008F0157" w:rsidRPr="00DD0D3D" w:rsidRDefault="008F0157" w:rsidP="000B5C25">
            <w:pPr>
              <w:spacing w:before="120"/>
              <w:ind w:left="176"/>
              <w:jc w:val="both"/>
              <w:rPr>
                <w:rFonts w:ascii="Arial" w:hAnsi="Arial"/>
                <w:sz w:val="20"/>
                <w:szCs w:val="20"/>
                <w:lang w:val="en-US"/>
              </w:rPr>
            </w:pPr>
            <w:r w:rsidRPr="00DD0D3D">
              <w:rPr>
                <w:rFonts w:ascii="Arial" w:hAnsi="Arial"/>
                <w:sz w:val="20"/>
                <w:szCs w:val="20"/>
                <w:lang w:val="en-US"/>
              </w:rPr>
              <w:t>Protecting communities against public health hazards</w:t>
            </w:r>
          </w:p>
        </w:tc>
      </w:tr>
      <w:tr w:rsidR="008F0157" w:rsidRPr="00F5381D" w:rsidTr="00D26301">
        <w:tc>
          <w:tcPr>
            <w:tcW w:w="3828" w:type="dxa"/>
            <w:shd w:val="clear" w:color="auto" w:fill="auto"/>
          </w:tcPr>
          <w:p w:rsidR="008F0157" w:rsidRPr="00DD0D3D" w:rsidRDefault="008F0157" w:rsidP="003C450E">
            <w:pPr>
              <w:pStyle w:val="smalltext"/>
              <w:spacing w:before="120" w:after="120"/>
              <w:rPr>
                <w:sz w:val="20"/>
                <w:lang w:val="en-US"/>
              </w:rPr>
            </w:pPr>
            <w:r w:rsidRPr="00DD0D3D">
              <w:rPr>
                <w:sz w:val="20"/>
                <w:lang w:val="en-US"/>
              </w:rPr>
              <w:t>5. Preventive interventions</w:t>
            </w:r>
          </w:p>
        </w:tc>
        <w:tc>
          <w:tcPr>
            <w:tcW w:w="5953" w:type="dxa"/>
          </w:tcPr>
          <w:p w:rsidR="008F0157" w:rsidRPr="00DD0D3D" w:rsidRDefault="008F0157" w:rsidP="000B5C25">
            <w:pPr>
              <w:pStyle w:val="a"/>
              <w:tabs>
                <w:tab w:val="left" w:pos="-1440"/>
              </w:tabs>
              <w:spacing w:before="120" w:after="120"/>
              <w:ind w:left="177" w:right="6" w:hanging="1"/>
              <w:rPr>
                <w:rFonts w:ascii="Arial" w:hAnsi="Arial"/>
                <w:snapToGrid/>
                <w:sz w:val="20"/>
                <w:szCs w:val="20"/>
              </w:rPr>
            </w:pPr>
            <w:r w:rsidRPr="00DD0D3D">
              <w:rPr>
                <w:rFonts w:ascii="Arial" w:hAnsi="Arial"/>
                <w:snapToGrid/>
                <w:sz w:val="20"/>
                <w:szCs w:val="20"/>
              </w:rPr>
              <w:t xml:space="preserve">Population </w:t>
            </w:r>
            <w:proofErr w:type="spellStart"/>
            <w:r w:rsidRPr="00DD0D3D">
              <w:rPr>
                <w:rFonts w:ascii="Arial" w:hAnsi="Arial"/>
                <w:snapToGrid/>
                <w:sz w:val="20"/>
                <w:szCs w:val="20"/>
              </w:rPr>
              <w:t>programmes</w:t>
            </w:r>
            <w:proofErr w:type="spellEnd"/>
            <w:r w:rsidRPr="00DD0D3D">
              <w:rPr>
                <w:rFonts w:ascii="Arial" w:hAnsi="Arial"/>
                <w:snapToGrid/>
                <w:sz w:val="20"/>
                <w:szCs w:val="20"/>
              </w:rPr>
              <w:t xml:space="preserve"> delivered to individuals</w:t>
            </w:r>
          </w:p>
        </w:tc>
      </w:tr>
    </w:tbl>
    <w:p w:rsidR="008F0157" w:rsidRDefault="008F0157" w:rsidP="00D26301">
      <w:pPr>
        <w:pStyle w:val="BodyText"/>
        <w:spacing w:before="120"/>
        <w:rPr>
          <w:rFonts w:cs="Arial"/>
          <w:sz w:val="24"/>
        </w:rPr>
      </w:pPr>
      <w:r w:rsidRPr="00DD0D3D">
        <w:rPr>
          <w:rFonts w:cs="Arial"/>
          <w:sz w:val="24"/>
        </w:rPr>
        <w:t>Functional s</w:t>
      </w:r>
      <w:r w:rsidR="00706CFA" w:rsidRPr="00DD0D3D">
        <w:rPr>
          <w:rFonts w:cs="Arial"/>
          <w:sz w:val="24"/>
        </w:rPr>
        <w:t>ervice components</w:t>
      </w:r>
      <w:r w:rsidRPr="00DD0D3D">
        <w:rPr>
          <w:rFonts w:cs="Arial"/>
          <w:sz w:val="24"/>
        </w:rPr>
        <w:t xml:space="preserve"> </w:t>
      </w:r>
      <w:r w:rsidR="001E4E2C" w:rsidRPr="00DD0D3D">
        <w:rPr>
          <w:rFonts w:cs="Arial"/>
          <w:sz w:val="24"/>
        </w:rPr>
        <w:t>will</w:t>
      </w:r>
      <w:r w:rsidR="00706CFA" w:rsidRPr="00DD0D3D">
        <w:rPr>
          <w:rFonts w:cs="Arial"/>
          <w:sz w:val="24"/>
        </w:rPr>
        <w:t xml:space="preserve"> form the basis for service purchasing, planning and delivery.  However, p</w:t>
      </w:r>
      <w:r w:rsidRPr="00DD0D3D">
        <w:rPr>
          <w:rFonts w:cs="Arial"/>
          <w:sz w:val="24"/>
        </w:rPr>
        <w:t xml:space="preserve">ublic health functions are rarely </w:t>
      </w:r>
      <w:r w:rsidR="00706CFA" w:rsidRPr="00DD0D3D">
        <w:rPr>
          <w:rFonts w:cs="Arial"/>
          <w:sz w:val="24"/>
        </w:rPr>
        <w:t xml:space="preserve">performed </w:t>
      </w:r>
      <w:r w:rsidRPr="00DD0D3D">
        <w:rPr>
          <w:rFonts w:cs="Arial"/>
          <w:sz w:val="24"/>
        </w:rPr>
        <w:t xml:space="preserve">in isolation and </w:t>
      </w:r>
      <w:r w:rsidR="003D5553" w:rsidRPr="00DD0D3D">
        <w:rPr>
          <w:rFonts w:cs="Arial"/>
          <w:sz w:val="24"/>
        </w:rPr>
        <w:t>effective</w:t>
      </w:r>
      <w:r w:rsidR="00125586" w:rsidRPr="00DD0D3D">
        <w:rPr>
          <w:rFonts w:cs="Arial"/>
          <w:sz w:val="24"/>
        </w:rPr>
        <w:t xml:space="preserve"> Public H</w:t>
      </w:r>
      <w:r w:rsidRPr="00DD0D3D">
        <w:rPr>
          <w:rFonts w:cs="Arial"/>
          <w:sz w:val="24"/>
        </w:rPr>
        <w:t>ealth</w:t>
      </w:r>
      <w:r w:rsidR="00125586" w:rsidRPr="00DD0D3D">
        <w:rPr>
          <w:rFonts w:cs="Arial"/>
          <w:sz w:val="24"/>
        </w:rPr>
        <w:t xml:space="preserve"> Services</w:t>
      </w:r>
      <w:r w:rsidRPr="00DD0D3D">
        <w:rPr>
          <w:rFonts w:cs="Arial"/>
          <w:sz w:val="24"/>
        </w:rPr>
        <w:t xml:space="preserve"> generally</w:t>
      </w:r>
      <w:r w:rsidR="003D5553" w:rsidRPr="00DD0D3D">
        <w:rPr>
          <w:rFonts w:cs="Arial"/>
          <w:sz w:val="24"/>
        </w:rPr>
        <w:t xml:space="preserve"> combine</w:t>
      </w:r>
      <w:r w:rsidRPr="00DD0D3D">
        <w:rPr>
          <w:rFonts w:cs="Arial"/>
          <w:sz w:val="24"/>
        </w:rPr>
        <w:t xml:space="preserve"> a range of complementary functions and </w:t>
      </w:r>
      <w:r w:rsidR="00125586" w:rsidRPr="00DD0D3D">
        <w:rPr>
          <w:rFonts w:cs="Arial"/>
          <w:sz w:val="24"/>
        </w:rPr>
        <w:t xml:space="preserve">associated </w:t>
      </w:r>
      <w:r w:rsidRPr="00DD0D3D">
        <w:rPr>
          <w:rFonts w:cs="Arial"/>
          <w:sz w:val="24"/>
        </w:rPr>
        <w:t xml:space="preserve">activities.  </w:t>
      </w:r>
      <w:r w:rsidRPr="00706CFA">
        <w:rPr>
          <w:rFonts w:cs="Arial"/>
          <w:sz w:val="24"/>
        </w:rPr>
        <w:t>Ple</w:t>
      </w:r>
      <w:r w:rsidR="00CF6B0B">
        <w:rPr>
          <w:rFonts w:cs="Arial"/>
          <w:sz w:val="24"/>
        </w:rPr>
        <w:t>ase refer to the corresponding tier two (and where appropriate, tier t</w:t>
      </w:r>
      <w:r w:rsidRPr="00706CFA">
        <w:rPr>
          <w:rFonts w:cs="Arial"/>
          <w:sz w:val="24"/>
        </w:rPr>
        <w:t>hree) service specifications for full details re</w:t>
      </w:r>
      <w:r w:rsidR="00A811A7">
        <w:rPr>
          <w:rFonts w:cs="Arial"/>
          <w:sz w:val="24"/>
        </w:rPr>
        <w:t>levant to each specific Public H</w:t>
      </w:r>
      <w:r w:rsidRPr="00706CFA">
        <w:rPr>
          <w:rFonts w:cs="Arial"/>
          <w:sz w:val="24"/>
        </w:rPr>
        <w:t xml:space="preserve">ealth </w:t>
      </w:r>
      <w:r w:rsidR="00A811A7">
        <w:rPr>
          <w:rFonts w:cs="Arial"/>
          <w:sz w:val="24"/>
        </w:rPr>
        <w:t>S</w:t>
      </w:r>
      <w:r w:rsidRPr="00706CFA">
        <w:rPr>
          <w:rFonts w:cs="Arial"/>
          <w:sz w:val="24"/>
        </w:rPr>
        <w:t>ervice component.</w:t>
      </w:r>
    </w:p>
    <w:p w:rsidR="003C450E" w:rsidRDefault="00706CFA" w:rsidP="003C450E">
      <w:pPr>
        <w:spacing w:before="120"/>
        <w:ind w:right="5"/>
        <w:rPr>
          <w:rFonts w:ascii="Arial" w:hAnsi="Arial" w:cs="Arial"/>
        </w:rPr>
      </w:pPr>
      <w:r>
        <w:rPr>
          <w:rFonts w:ascii="Arial" w:hAnsi="Arial" w:cs="Arial"/>
        </w:rPr>
        <w:t xml:space="preserve">In providing one or more of the </w:t>
      </w:r>
      <w:r w:rsidRPr="00706CFA">
        <w:rPr>
          <w:rFonts w:ascii="Arial" w:hAnsi="Arial" w:cs="Arial"/>
        </w:rPr>
        <w:t>service components</w:t>
      </w:r>
      <w:r w:rsidRPr="00393000">
        <w:rPr>
          <w:rFonts w:ascii="Arial" w:hAnsi="Arial" w:cs="Arial"/>
        </w:rPr>
        <w:t xml:space="preserve">, and </w:t>
      </w:r>
      <w:r w:rsidRPr="00706CFA">
        <w:rPr>
          <w:rFonts w:ascii="Arial" w:hAnsi="Arial" w:cs="Arial"/>
        </w:rPr>
        <w:t>noting that</w:t>
      </w:r>
      <w:r>
        <w:rPr>
          <w:rFonts w:ascii="Arial" w:hAnsi="Arial" w:cs="Arial"/>
        </w:rPr>
        <w:t xml:space="preserve"> </w:t>
      </w:r>
      <w:r w:rsidRPr="00393000">
        <w:rPr>
          <w:rFonts w:ascii="Arial" w:hAnsi="Arial" w:cs="Arial"/>
        </w:rPr>
        <w:t>reporting and contractual obligations</w:t>
      </w:r>
      <w:r>
        <w:rPr>
          <w:rFonts w:ascii="Arial" w:hAnsi="Arial" w:cs="Arial"/>
        </w:rPr>
        <w:t xml:space="preserve"> may</w:t>
      </w:r>
      <w:r w:rsidRPr="00393000">
        <w:rPr>
          <w:rFonts w:ascii="Arial" w:hAnsi="Arial" w:cs="Arial"/>
        </w:rPr>
        <w:t xml:space="preserve"> also</w:t>
      </w:r>
      <w:r>
        <w:rPr>
          <w:rFonts w:ascii="Arial" w:hAnsi="Arial" w:cs="Arial"/>
        </w:rPr>
        <w:t xml:space="preserve"> be</w:t>
      </w:r>
      <w:r w:rsidRPr="00393000">
        <w:rPr>
          <w:rFonts w:ascii="Arial" w:hAnsi="Arial" w:cs="Arial"/>
        </w:rPr>
        <w:t xml:space="preserve"> linked to these</w:t>
      </w:r>
      <w:r>
        <w:rPr>
          <w:rFonts w:ascii="Arial" w:hAnsi="Arial" w:cs="Arial"/>
        </w:rPr>
        <w:t xml:space="preserve"> </w:t>
      </w:r>
      <w:r w:rsidRPr="00695C37">
        <w:rPr>
          <w:rFonts w:ascii="Arial" w:hAnsi="Arial" w:cs="Arial"/>
        </w:rPr>
        <w:t>components</w:t>
      </w:r>
      <w:r w:rsidRPr="00393000">
        <w:rPr>
          <w:rFonts w:ascii="Arial" w:hAnsi="Arial" w:cs="Arial"/>
        </w:rPr>
        <w:t xml:space="preserve">, </w:t>
      </w:r>
      <w:r w:rsidRPr="00706CFA">
        <w:rPr>
          <w:rFonts w:ascii="Arial" w:hAnsi="Arial" w:cs="Arial"/>
        </w:rPr>
        <w:t xml:space="preserve">providers may configure their services in ways that reflect their own planning, organisational </w:t>
      </w:r>
      <w:r w:rsidRPr="00DD0D3D">
        <w:rPr>
          <w:rFonts w:ascii="Arial" w:hAnsi="Arial" w:cs="Arial"/>
        </w:rPr>
        <w:t>and service delivery</w:t>
      </w:r>
      <w:r w:rsidRPr="00706CFA">
        <w:rPr>
          <w:rFonts w:ascii="Arial" w:hAnsi="Arial" w:cs="Arial"/>
        </w:rPr>
        <w:t xml:space="preserve"> requirements, </w:t>
      </w:r>
      <w:r w:rsidRPr="00DD0D3D">
        <w:rPr>
          <w:rFonts w:ascii="Arial" w:hAnsi="Arial" w:cs="Arial"/>
        </w:rPr>
        <w:t xml:space="preserve">so long as they meet the public health needs of their </w:t>
      </w:r>
      <w:r w:rsidR="003D5553" w:rsidRPr="00DD0D3D">
        <w:rPr>
          <w:rFonts w:ascii="Arial" w:hAnsi="Arial" w:cs="Arial"/>
        </w:rPr>
        <w:t xml:space="preserve">service users / </w:t>
      </w:r>
      <w:r w:rsidRPr="00DD0D3D">
        <w:rPr>
          <w:rFonts w:ascii="Arial" w:hAnsi="Arial" w:cs="Arial"/>
        </w:rPr>
        <w:t>commu</w:t>
      </w:r>
      <w:r w:rsidR="001E4E2C" w:rsidRPr="00DD0D3D">
        <w:rPr>
          <w:rFonts w:ascii="Arial" w:hAnsi="Arial" w:cs="Arial"/>
        </w:rPr>
        <w:t>nities</w:t>
      </w:r>
      <w:r w:rsidRPr="00DD0D3D">
        <w:rPr>
          <w:rFonts w:ascii="Arial" w:hAnsi="Arial" w:cs="Arial"/>
        </w:rPr>
        <w:t>, given the available resources</w:t>
      </w:r>
      <w:r w:rsidRPr="00706CFA">
        <w:rPr>
          <w:rFonts w:ascii="Arial" w:hAnsi="Arial" w:cs="Arial"/>
        </w:rPr>
        <w:t>.</w:t>
      </w:r>
    </w:p>
    <w:p w:rsidR="008F0157" w:rsidRPr="00DD0D3D" w:rsidRDefault="001E4E2C" w:rsidP="003C450E">
      <w:pPr>
        <w:spacing w:before="120"/>
        <w:ind w:right="5"/>
        <w:rPr>
          <w:rFonts w:ascii="Arial" w:hAnsi="Arial" w:cs="Arial"/>
        </w:rPr>
      </w:pPr>
      <w:r w:rsidRPr="00DD0D3D">
        <w:rPr>
          <w:rFonts w:ascii="Arial" w:hAnsi="Arial" w:cs="Arial"/>
        </w:rPr>
        <w:t>With a view to</w:t>
      </w:r>
      <w:r w:rsidR="00B41095" w:rsidRPr="00DD0D3D">
        <w:rPr>
          <w:rFonts w:ascii="Arial" w:hAnsi="Arial" w:cs="Arial"/>
        </w:rPr>
        <w:t xml:space="preserve"> the </w:t>
      </w:r>
      <w:r w:rsidRPr="00DD0D3D">
        <w:rPr>
          <w:rFonts w:ascii="Arial" w:hAnsi="Arial" w:cs="Arial"/>
        </w:rPr>
        <w:t>development of effective and efficient</w:t>
      </w:r>
      <w:r w:rsidR="00B41095" w:rsidRPr="00DD0D3D">
        <w:rPr>
          <w:rFonts w:ascii="Arial" w:hAnsi="Arial" w:cs="Arial"/>
        </w:rPr>
        <w:t xml:space="preserve"> </w:t>
      </w:r>
      <w:r w:rsidRPr="00DD0D3D">
        <w:rPr>
          <w:rFonts w:ascii="Arial" w:hAnsi="Arial" w:cs="Arial"/>
        </w:rPr>
        <w:t>services</w:t>
      </w:r>
      <w:r w:rsidR="00B41095" w:rsidRPr="00DD0D3D">
        <w:rPr>
          <w:rFonts w:ascii="Arial" w:hAnsi="Arial" w:cs="Arial"/>
        </w:rPr>
        <w:t xml:space="preserve">, providers may choose to configure their outputs in line with the following service </w:t>
      </w:r>
      <w:r w:rsidRPr="00DD0D3D">
        <w:rPr>
          <w:rFonts w:ascii="Arial" w:hAnsi="Arial" w:cs="Arial"/>
        </w:rPr>
        <w:t>areas, if this assists them with</w:t>
      </w:r>
      <w:r w:rsidR="00B41095" w:rsidRPr="00DD0D3D">
        <w:rPr>
          <w:rFonts w:ascii="Arial" w:hAnsi="Arial" w:cs="Arial"/>
        </w:rPr>
        <w:t xml:space="preserve"> planning and delivery</w:t>
      </w:r>
      <w:r w:rsidR="008F0157" w:rsidRPr="00DD0D3D">
        <w:rPr>
          <w:rFonts w:ascii="Arial" w:hAnsi="Arial" w:cs="Arial"/>
        </w:rPr>
        <w:t>:</w:t>
      </w:r>
    </w:p>
    <w:p w:rsidR="008F0157" w:rsidRPr="00A541D6" w:rsidRDefault="008F0157" w:rsidP="00D26301">
      <w:pPr>
        <w:numPr>
          <w:ilvl w:val="0"/>
          <w:numId w:val="11"/>
        </w:numPr>
        <w:spacing w:before="120"/>
        <w:ind w:left="567" w:right="6" w:hanging="567"/>
        <w:rPr>
          <w:rFonts w:ascii="Arial" w:hAnsi="Arial" w:cs="Arial"/>
          <w:lang w:val="en-GB"/>
        </w:rPr>
      </w:pPr>
      <w:r w:rsidRPr="00A541D6">
        <w:rPr>
          <w:rFonts w:ascii="Arial" w:hAnsi="Arial" w:cs="Arial"/>
          <w:lang w:val="en-GB"/>
        </w:rPr>
        <w:t>Environmental and border health</w:t>
      </w:r>
    </w:p>
    <w:p w:rsidR="008F0157" w:rsidRPr="00A541D6" w:rsidRDefault="008F0157" w:rsidP="00D26301">
      <w:pPr>
        <w:numPr>
          <w:ilvl w:val="0"/>
          <w:numId w:val="11"/>
        </w:numPr>
        <w:ind w:left="567" w:right="6" w:hanging="567"/>
        <w:rPr>
          <w:rFonts w:ascii="Arial" w:hAnsi="Arial" w:cs="Arial"/>
          <w:lang w:val="en-GB"/>
        </w:rPr>
      </w:pPr>
      <w:r w:rsidRPr="00A541D6">
        <w:rPr>
          <w:rFonts w:ascii="Arial" w:hAnsi="Arial" w:cs="Arial"/>
          <w:lang w:val="en-GB"/>
        </w:rPr>
        <w:t>Communicable disease prevention and control</w:t>
      </w:r>
    </w:p>
    <w:p w:rsidR="008F0157" w:rsidRPr="00A541D6" w:rsidRDefault="008F0157" w:rsidP="00D26301">
      <w:pPr>
        <w:numPr>
          <w:ilvl w:val="0"/>
          <w:numId w:val="11"/>
        </w:numPr>
        <w:ind w:left="567" w:right="6" w:hanging="567"/>
        <w:rPr>
          <w:rFonts w:ascii="Arial" w:hAnsi="Arial" w:cs="Arial"/>
          <w:lang w:val="en-GB"/>
        </w:rPr>
      </w:pPr>
      <w:r w:rsidRPr="00A541D6">
        <w:rPr>
          <w:rFonts w:ascii="Arial" w:hAnsi="Arial" w:cs="Arial"/>
          <w:color w:val="000000"/>
        </w:rPr>
        <w:t>Social Environments and Health Promoting Schools (including health impact assessment)</w:t>
      </w:r>
    </w:p>
    <w:p w:rsidR="008F0157" w:rsidRPr="00A541D6" w:rsidRDefault="008F0157" w:rsidP="00D26301">
      <w:pPr>
        <w:numPr>
          <w:ilvl w:val="0"/>
          <w:numId w:val="11"/>
        </w:numPr>
        <w:ind w:left="567" w:right="6" w:hanging="567"/>
        <w:rPr>
          <w:rFonts w:ascii="Arial" w:hAnsi="Arial" w:cs="Arial"/>
          <w:lang w:val="en-GB"/>
        </w:rPr>
      </w:pPr>
      <w:r w:rsidRPr="00A541D6">
        <w:rPr>
          <w:rFonts w:ascii="Arial" w:hAnsi="Arial" w:cs="Arial"/>
          <w:lang w:val="en-GB"/>
        </w:rPr>
        <w:t xml:space="preserve">Well </w:t>
      </w:r>
      <w:r w:rsidR="00B60808">
        <w:rPr>
          <w:rFonts w:ascii="Arial" w:hAnsi="Arial" w:cs="Arial"/>
          <w:lang w:val="en-GB"/>
        </w:rPr>
        <w:t>C</w:t>
      </w:r>
      <w:r w:rsidR="009E337C" w:rsidRPr="009E337C">
        <w:rPr>
          <w:rFonts w:ascii="Arial" w:hAnsi="Arial" w:cs="Arial"/>
          <w:lang w:val="en-GB"/>
        </w:rPr>
        <w:t>hild</w:t>
      </w:r>
      <w:r w:rsidR="008677AF">
        <w:rPr>
          <w:rFonts w:ascii="Arial" w:hAnsi="Arial" w:cs="Arial"/>
          <w:lang w:val="en-GB"/>
        </w:rPr>
        <w:t xml:space="preserve"> /</w:t>
      </w:r>
      <w:r w:rsidR="009E337C" w:rsidRPr="009E337C">
        <w:rPr>
          <w:rFonts w:ascii="Arial" w:hAnsi="Arial" w:cs="Arial"/>
          <w:lang w:val="en-GB"/>
        </w:rPr>
        <w:t xml:space="preserve"> </w:t>
      </w:r>
      <w:proofErr w:type="spellStart"/>
      <w:r w:rsidR="00B60808" w:rsidRPr="00DD0D3D">
        <w:rPr>
          <w:rFonts w:ascii="Arial" w:hAnsi="Arial" w:cs="Arial"/>
          <w:lang w:val="en-GB"/>
        </w:rPr>
        <w:t>Tamariki</w:t>
      </w:r>
      <w:proofErr w:type="spellEnd"/>
      <w:r w:rsidR="00B60808" w:rsidRPr="00DD0D3D">
        <w:rPr>
          <w:rFonts w:ascii="Arial" w:hAnsi="Arial" w:cs="Arial"/>
          <w:lang w:val="en-GB"/>
        </w:rPr>
        <w:t xml:space="preserve"> </w:t>
      </w:r>
      <w:proofErr w:type="spellStart"/>
      <w:r w:rsidR="00B60808" w:rsidRPr="00DD0D3D">
        <w:rPr>
          <w:rFonts w:ascii="Arial" w:hAnsi="Arial" w:cs="Arial"/>
          <w:lang w:val="en-GB"/>
        </w:rPr>
        <w:t>O</w:t>
      </w:r>
      <w:r w:rsidR="009E337C" w:rsidRPr="00DD0D3D">
        <w:rPr>
          <w:rFonts w:ascii="Arial" w:hAnsi="Arial" w:cs="Arial"/>
          <w:lang w:val="en-GB"/>
        </w:rPr>
        <w:t>ra</w:t>
      </w:r>
      <w:proofErr w:type="spellEnd"/>
      <w:r w:rsidR="00B60808">
        <w:rPr>
          <w:rFonts w:ascii="Arial" w:hAnsi="Arial" w:cs="Arial"/>
          <w:lang w:val="en-GB"/>
        </w:rPr>
        <w:t xml:space="preserve"> P</w:t>
      </w:r>
      <w:r w:rsidR="009E337C" w:rsidRPr="009E337C">
        <w:rPr>
          <w:rFonts w:ascii="Arial" w:hAnsi="Arial" w:cs="Arial"/>
          <w:lang w:val="en-GB"/>
        </w:rPr>
        <w:t>romotion</w:t>
      </w:r>
    </w:p>
    <w:p w:rsidR="008F0157" w:rsidRPr="00A541D6" w:rsidRDefault="008F0157" w:rsidP="00D26301">
      <w:pPr>
        <w:numPr>
          <w:ilvl w:val="0"/>
          <w:numId w:val="11"/>
        </w:numPr>
        <w:ind w:left="567" w:right="6" w:hanging="567"/>
        <w:rPr>
          <w:rFonts w:ascii="Arial" w:hAnsi="Arial" w:cs="Arial"/>
          <w:lang w:val="en-GB"/>
        </w:rPr>
      </w:pPr>
      <w:r w:rsidRPr="00A541D6">
        <w:rPr>
          <w:rFonts w:ascii="Arial" w:hAnsi="Arial" w:cs="Arial"/>
          <w:lang w:val="en-GB"/>
        </w:rPr>
        <w:t>National screening programmes</w:t>
      </w:r>
    </w:p>
    <w:p w:rsidR="008F0157" w:rsidRPr="00A541D6" w:rsidRDefault="008F0157" w:rsidP="00D26301">
      <w:pPr>
        <w:numPr>
          <w:ilvl w:val="0"/>
          <w:numId w:val="11"/>
        </w:numPr>
        <w:ind w:left="567" w:right="6" w:hanging="567"/>
        <w:rPr>
          <w:rFonts w:ascii="Arial" w:hAnsi="Arial" w:cs="Arial"/>
          <w:lang w:val="en-GB"/>
        </w:rPr>
      </w:pPr>
      <w:r w:rsidRPr="00A541D6">
        <w:rPr>
          <w:rFonts w:ascii="Arial" w:hAnsi="Arial" w:cs="Arial"/>
          <w:lang w:val="en-GB"/>
        </w:rPr>
        <w:t>Prevention of alcohol and drug-related harm</w:t>
      </w:r>
    </w:p>
    <w:p w:rsidR="008F0157" w:rsidRPr="00A541D6" w:rsidRDefault="008F0157" w:rsidP="00D26301">
      <w:pPr>
        <w:numPr>
          <w:ilvl w:val="0"/>
          <w:numId w:val="11"/>
        </w:numPr>
        <w:ind w:left="567" w:right="6" w:hanging="567"/>
        <w:rPr>
          <w:rFonts w:ascii="Arial" w:hAnsi="Arial" w:cs="Arial"/>
          <w:lang w:val="en-GB"/>
        </w:rPr>
      </w:pPr>
      <w:r w:rsidRPr="00A541D6">
        <w:rPr>
          <w:rFonts w:ascii="Arial" w:hAnsi="Arial" w:cs="Arial"/>
          <w:lang w:val="en-GB"/>
        </w:rPr>
        <w:t>Tobacco control</w:t>
      </w:r>
    </w:p>
    <w:p w:rsidR="008F0157" w:rsidRPr="00A541D6" w:rsidRDefault="008F0157" w:rsidP="00D26301">
      <w:pPr>
        <w:numPr>
          <w:ilvl w:val="0"/>
          <w:numId w:val="11"/>
        </w:numPr>
        <w:ind w:left="567" w:right="6" w:hanging="567"/>
        <w:rPr>
          <w:rFonts w:ascii="Arial" w:hAnsi="Arial" w:cs="Arial"/>
          <w:lang w:val="en-GB"/>
        </w:rPr>
      </w:pPr>
      <w:r w:rsidRPr="00A541D6">
        <w:rPr>
          <w:rFonts w:ascii="Arial" w:hAnsi="Arial" w:cs="Arial"/>
          <w:lang w:val="en-GB"/>
        </w:rPr>
        <w:t>Healthy physical activity and nutrition</w:t>
      </w:r>
    </w:p>
    <w:p w:rsidR="008F0157" w:rsidRPr="00A541D6" w:rsidRDefault="008F0157" w:rsidP="00D26301">
      <w:pPr>
        <w:numPr>
          <w:ilvl w:val="0"/>
          <w:numId w:val="11"/>
        </w:numPr>
        <w:ind w:left="567" w:right="6" w:hanging="567"/>
        <w:rPr>
          <w:rFonts w:ascii="Arial" w:hAnsi="Arial" w:cs="Arial"/>
          <w:lang w:val="en-GB"/>
        </w:rPr>
      </w:pPr>
      <w:r w:rsidRPr="00A541D6">
        <w:rPr>
          <w:rFonts w:ascii="Arial" w:hAnsi="Arial" w:cs="Arial"/>
          <w:lang w:val="en-GB"/>
        </w:rPr>
        <w:t xml:space="preserve">Sexual </w:t>
      </w:r>
      <w:r w:rsidR="008677AF" w:rsidRPr="00DD0D3D">
        <w:rPr>
          <w:rFonts w:ascii="Arial" w:hAnsi="Arial" w:cs="Arial"/>
          <w:lang w:val="en-GB"/>
        </w:rPr>
        <w:t>and reproductive</w:t>
      </w:r>
      <w:r w:rsidR="008677AF">
        <w:rPr>
          <w:rFonts w:ascii="Arial" w:hAnsi="Arial" w:cs="Arial"/>
          <w:lang w:val="en-GB"/>
        </w:rPr>
        <w:t xml:space="preserve"> </w:t>
      </w:r>
      <w:r w:rsidRPr="00A541D6">
        <w:rPr>
          <w:rFonts w:ascii="Arial" w:hAnsi="Arial" w:cs="Arial"/>
          <w:lang w:val="en-GB"/>
        </w:rPr>
        <w:t>health promotion</w:t>
      </w:r>
    </w:p>
    <w:p w:rsidR="008F0157" w:rsidRPr="00A541D6" w:rsidRDefault="008F0157" w:rsidP="00D26301">
      <w:pPr>
        <w:numPr>
          <w:ilvl w:val="0"/>
          <w:numId w:val="11"/>
        </w:numPr>
        <w:ind w:left="567" w:right="6" w:hanging="567"/>
        <w:rPr>
          <w:rFonts w:ascii="Arial" w:hAnsi="Arial" w:cs="Arial"/>
          <w:lang w:val="en-GB"/>
        </w:rPr>
      </w:pPr>
      <w:r w:rsidRPr="00A541D6">
        <w:rPr>
          <w:rFonts w:ascii="Arial" w:hAnsi="Arial" w:cs="Arial"/>
          <w:lang w:val="en-GB"/>
        </w:rPr>
        <w:t>Mental health promotion</w:t>
      </w:r>
    </w:p>
    <w:p w:rsidR="008F0157" w:rsidRPr="00A541D6" w:rsidRDefault="008F0157" w:rsidP="00D26301">
      <w:pPr>
        <w:numPr>
          <w:ilvl w:val="0"/>
          <w:numId w:val="11"/>
        </w:numPr>
        <w:ind w:left="567" w:right="6" w:hanging="567"/>
        <w:rPr>
          <w:rFonts w:ascii="Arial" w:hAnsi="Arial" w:cs="Arial"/>
          <w:lang w:val="en-GB"/>
        </w:rPr>
      </w:pPr>
      <w:r w:rsidRPr="00A541D6">
        <w:rPr>
          <w:rFonts w:ascii="Arial" w:hAnsi="Arial" w:cs="Arial"/>
          <w:lang w:val="en-GB"/>
        </w:rPr>
        <w:t>Injury prevention</w:t>
      </w:r>
    </w:p>
    <w:p w:rsidR="008F0157" w:rsidRPr="00A541D6" w:rsidRDefault="008F0157" w:rsidP="00D26301">
      <w:pPr>
        <w:numPr>
          <w:ilvl w:val="0"/>
          <w:numId w:val="11"/>
        </w:numPr>
        <w:ind w:left="567" w:right="6" w:hanging="567"/>
        <w:rPr>
          <w:rFonts w:ascii="Arial" w:hAnsi="Arial" w:cs="Arial"/>
          <w:lang w:val="en-GB"/>
        </w:rPr>
      </w:pPr>
      <w:r w:rsidRPr="00A541D6">
        <w:rPr>
          <w:rFonts w:ascii="Arial" w:hAnsi="Arial" w:cs="Arial"/>
          <w:lang w:val="en-GB"/>
        </w:rPr>
        <w:t>Preventing and minimising gambling harm</w:t>
      </w:r>
    </w:p>
    <w:p w:rsidR="008F0157" w:rsidRDefault="008F0157" w:rsidP="00D26301">
      <w:pPr>
        <w:numPr>
          <w:ilvl w:val="0"/>
          <w:numId w:val="11"/>
        </w:numPr>
        <w:ind w:left="567" w:right="6" w:hanging="567"/>
        <w:rPr>
          <w:rFonts w:ascii="Arial" w:hAnsi="Arial" w:cs="Arial"/>
          <w:lang w:val="en-GB"/>
        </w:rPr>
      </w:pPr>
      <w:r w:rsidRPr="00A541D6">
        <w:rPr>
          <w:rFonts w:ascii="Arial" w:hAnsi="Arial" w:cs="Arial"/>
          <w:lang w:val="en-GB"/>
        </w:rPr>
        <w:t>Public health infrastructure services</w:t>
      </w:r>
    </w:p>
    <w:p w:rsidR="00594A30" w:rsidRPr="00DD0D3D" w:rsidRDefault="00594A30" w:rsidP="008F0157">
      <w:pPr>
        <w:spacing w:before="240" w:after="120"/>
        <w:ind w:right="6"/>
        <w:rPr>
          <w:rFonts w:ascii="Arial" w:hAnsi="Arial" w:cs="Arial"/>
        </w:rPr>
      </w:pPr>
      <w:r w:rsidRPr="00DD0D3D">
        <w:rPr>
          <w:rFonts w:ascii="Arial" w:hAnsi="Arial" w:cs="Arial"/>
        </w:rPr>
        <w:t>Providers of public health services must meet all relevant statutory responsibilities.</w:t>
      </w:r>
    </w:p>
    <w:p w:rsidR="00D26301" w:rsidRDefault="00D26301">
      <w:pPr>
        <w:spacing w:after="200" w:line="276" w:lineRule="auto"/>
        <w:rPr>
          <w:rFonts w:ascii="Arial" w:hAnsi="Arial" w:cs="Arial"/>
          <w:b/>
        </w:rPr>
      </w:pPr>
      <w:r>
        <w:rPr>
          <w:rFonts w:ascii="Arial" w:hAnsi="Arial" w:cs="Arial"/>
          <w:b/>
        </w:rPr>
        <w:br w:type="page"/>
      </w:r>
    </w:p>
    <w:p w:rsidR="008F0157" w:rsidRPr="00393000" w:rsidRDefault="00546943" w:rsidP="003C450E">
      <w:pPr>
        <w:spacing w:after="120"/>
        <w:ind w:right="6"/>
        <w:rPr>
          <w:rFonts w:ascii="Arial" w:hAnsi="Arial" w:cs="Arial"/>
          <w:b/>
        </w:rPr>
      </w:pPr>
      <w:r>
        <w:rPr>
          <w:rFonts w:ascii="Arial" w:hAnsi="Arial" w:cs="Arial"/>
          <w:b/>
        </w:rPr>
        <w:lastRenderedPageBreak/>
        <w:t>7</w:t>
      </w:r>
      <w:r w:rsidR="008F0157" w:rsidRPr="00393000">
        <w:rPr>
          <w:rFonts w:ascii="Arial" w:hAnsi="Arial" w:cs="Arial"/>
          <w:b/>
        </w:rPr>
        <w:t>.</w:t>
      </w:r>
      <w:r w:rsidR="008F0157" w:rsidRPr="00393000">
        <w:rPr>
          <w:rFonts w:ascii="Arial" w:hAnsi="Arial" w:cs="Arial"/>
          <w:b/>
        </w:rPr>
        <w:tab/>
        <w:t>Service Linkages</w:t>
      </w:r>
      <w:bookmarkEnd w:id="22"/>
    </w:p>
    <w:p w:rsidR="008F0157" w:rsidRPr="00393000" w:rsidRDefault="008F0157" w:rsidP="008F0157">
      <w:pPr>
        <w:spacing w:before="120" w:after="120"/>
        <w:ind w:right="5"/>
        <w:rPr>
          <w:rFonts w:ascii="Arial" w:hAnsi="Arial" w:cs="Arial"/>
        </w:rPr>
      </w:pPr>
      <w:bookmarkStart w:id="23" w:name="_Toc215319158"/>
      <w:r w:rsidRPr="00DD0D3D">
        <w:rPr>
          <w:rFonts w:ascii="Arial" w:hAnsi="Arial" w:cs="Arial"/>
        </w:rPr>
        <w:t>There are linkages between this S</w:t>
      </w:r>
      <w:r w:rsidR="00E3339D" w:rsidRPr="00DD0D3D">
        <w:rPr>
          <w:rFonts w:ascii="Arial" w:hAnsi="Arial" w:cs="Arial"/>
        </w:rPr>
        <w:t>ervice Specification and other t</w:t>
      </w:r>
      <w:r w:rsidRPr="00DD0D3D">
        <w:rPr>
          <w:rFonts w:ascii="Arial" w:hAnsi="Arial" w:cs="Arial"/>
        </w:rPr>
        <w:t xml:space="preserve">ier </w:t>
      </w:r>
      <w:r w:rsidR="00E3339D" w:rsidRPr="00DD0D3D">
        <w:rPr>
          <w:rFonts w:ascii="Arial" w:hAnsi="Arial" w:cs="Arial"/>
        </w:rPr>
        <w:t>o</w:t>
      </w:r>
      <w:r w:rsidRPr="00DD0D3D">
        <w:rPr>
          <w:rFonts w:ascii="Arial" w:hAnsi="Arial" w:cs="Arial"/>
        </w:rPr>
        <w:t xml:space="preserve">ne </w:t>
      </w:r>
      <w:r w:rsidR="00E3339D" w:rsidRPr="00DD0D3D">
        <w:rPr>
          <w:rFonts w:ascii="Arial" w:hAnsi="Arial" w:cs="Arial"/>
        </w:rPr>
        <w:t>service s</w:t>
      </w:r>
      <w:r w:rsidRPr="00DD0D3D">
        <w:rPr>
          <w:rFonts w:ascii="Arial" w:hAnsi="Arial" w:cs="Arial"/>
        </w:rPr>
        <w:t xml:space="preserve">pecifications, for example Smoking Cessation.  There </w:t>
      </w:r>
      <w:r w:rsidR="00E3339D" w:rsidRPr="00DD0D3D">
        <w:rPr>
          <w:rFonts w:ascii="Arial" w:hAnsi="Arial" w:cs="Arial"/>
        </w:rPr>
        <w:t>are also linkages between this s</w:t>
      </w:r>
      <w:r w:rsidRPr="00DD0D3D">
        <w:rPr>
          <w:rFonts w:ascii="Arial" w:hAnsi="Arial" w:cs="Arial"/>
        </w:rPr>
        <w:t xml:space="preserve">ervice </w:t>
      </w:r>
      <w:r w:rsidR="00E3339D" w:rsidRPr="00DD0D3D">
        <w:rPr>
          <w:rFonts w:ascii="Arial" w:hAnsi="Arial" w:cs="Arial"/>
        </w:rPr>
        <w:t>s</w:t>
      </w:r>
      <w:r w:rsidRPr="00DD0D3D">
        <w:rPr>
          <w:rFonts w:ascii="Arial" w:hAnsi="Arial" w:cs="Arial"/>
        </w:rPr>
        <w:t>pecification and other services, providers and sectors.</w:t>
      </w:r>
      <w:r>
        <w:rPr>
          <w:rFonts w:ascii="Arial" w:hAnsi="Arial" w:cs="Arial"/>
        </w:rPr>
        <w:t xml:space="preserve">  </w:t>
      </w:r>
      <w:r w:rsidRPr="00DD0D3D">
        <w:rPr>
          <w:rFonts w:ascii="Arial" w:hAnsi="Arial" w:cs="Arial"/>
        </w:rPr>
        <w:t>Such</w:t>
      </w:r>
      <w:r>
        <w:rPr>
          <w:rFonts w:ascii="Arial" w:hAnsi="Arial" w:cs="Arial"/>
        </w:rPr>
        <w:t xml:space="preserve"> l</w:t>
      </w:r>
      <w:r w:rsidRPr="00393000">
        <w:rPr>
          <w:rFonts w:ascii="Arial" w:hAnsi="Arial" w:cs="Arial"/>
        </w:rPr>
        <w:t>inkages include, but are not limited to</w:t>
      </w:r>
      <w:r>
        <w:rPr>
          <w:rFonts w:ascii="Arial" w:hAnsi="Arial" w:cs="Arial"/>
        </w:rPr>
        <w:t>,</w:t>
      </w:r>
      <w:r w:rsidRPr="00393000">
        <w:rPr>
          <w:rFonts w:ascii="Arial" w:hAnsi="Arial" w:cs="Arial"/>
        </w:rPr>
        <w:t xml:space="preserve"> the following:</w:t>
      </w:r>
      <w:bookmarkEnd w:id="23"/>
    </w:p>
    <w:tbl>
      <w:tblPr>
        <w:tblW w:w="1014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7"/>
        <w:gridCol w:w="3456"/>
        <w:gridCol w:w="5073"/>
      </w:tblGrid>
      <w:tr w:rsidR="008F0157" w:rsidRPr="00F5381D" w:rsidTr="00D26301">
        <w:trPr>
          <w:tblHeader/>
        </w:trPr>
        <w:tc>
          <w:tcPr>
            <w:tcW w:w="1617" w:type="dxa"/>
            <w:shd w:val="clear" w:color="auto" w:fill="E6E6E6"/>
          </w:tcPr>
          <w:p w:rsidR="008F0157" w:rsidRPr="00F5381D" w:rsidRDefault="008F0157" w:rsidP="000B5C25">
            <w:pPr>
              <w:spacing w:before="120" w:after="120"/>
              <w:ind w:left="62" w:right="6"/>
              <w:rPr>
                <w:rFonts w:ascii="Arial" w:hAnsi="Arial" w:cs="Arial"/>
                <w:b/>
              </w:rPr>
            </w:pPr>
            <w:r w:rsidRPr="00F5381D">
              <w:rPr>
                <w:rFonts w:ascii="Arial" w:hAnsi="Arial" w:cs="Arial"/>
                <w:b/>
              </w:rPr>
              <w:t>Sector</w:t>
            </w:r>
          </w:p>
        </w:tc>
        <w:tc>
          <w:tcPr>
            <w:tcW w:w="3456" w:type="dxa"/>
            <w:shd w:val="clear" w:color="auto" w:fill="E6E6E6"/>
          </w:tcPr>
          <w:p w:rsidR="008F0157" w:rsidRPr="00F5381D" w:rsidRDefault="008F0157" w:rsidP="000B5C25">
            <w:pPr>
              <w:spacing w:before="120" w:after="120"/>
              <w:ind w:left="62" w:right="6"/>
              <w:rPr>
                <w:rFonts w:ascii="Arial" w:hAnsi="Arial" w:cs="Arial"/>
                <w:b/>
              </w:rPr>
            </w:pPr>
            <w:r w:rsidRPr="00F5381D">
              <w:rPr>
                <w:rFonts w:ascii="Arial" w:hAnsi="Arial" w:cs="Arial"/>
                <w:b/>
              </w:rPr>
              <w:t>Nature of linkage(s)</w:t>
            </w:r>
          </w:p>
        </w:tc>
        <w:tc>
          <w:tcPr>
            <w:tcW w:w="5073" w:type="dxa"/>
            <w:shd w:val="clear" w:color="auto" w:fill="E6E6E6"/>
          </w:tcPr>
          <w:p w:rsidR="008F0157" w:rsidRPr="00F5381D" w:rsidRDefault="008F0157" w:rsidP="000B5C25">
            <w:pPr>
              <w:spacing w:before="120" w:after="120"/>
              <w:ind w:left="62" w:right="6"/>
              <w:rPr>
                <w:rFonts w:ascii="Arial" w:hAnsi="Arial" w:cs="Arial"/>
                <w:b/>
              </w:rPr>
            </w:pPr>
            <w:r w:rsidRPr="00F5381D">
              <w:rPr>
                <w:rFonts w:ascii="Arial" w:hAnsi="Arial" w:cs="Arial"/>
                <w:b/>
              </w:rPr>
              <w:t>Public Health Provider Accountabilities</w:t>
            </w:r>
          </w:p>
        </w:tc>
      </w:tr>
      <w:tr w:rsidR="00394D95" w:rsidRPr="00F5381D" w:rsidTr="00D26301">
        <w:tc>
          <w:tcPr>
            <w:tcW w:w="1617" w:type="dxa"/>
            <w:shd w:val="clear" w:color="auto" w:fill="auto"/>
          </w:tcPr>
          <w:p w:rsidR="00394D95" w:rsidRPr="00E3339D" w:rsidRDefault="0052687A" w:rsidP="00580AE0">
            <w:pPr>
              <w:spacing w:before="120"/>
              <w:ind w:left="63" w:right="5"/>
              <w:rPr>
                <w:rFonts w:ascii="Arial" w:hAnsi="Arial" w:cs="Arial"/>
                <w:sz w:val="22"/>
                <w:szCs w:val="22"/>
              </w:rPr>
            </w:pPr>
            <w:r>
              <w:rPr>
                <w:rFonts w:ascii="Arial" w:hAnsi="Arial" w:cs="Arial"/>
                <w:sz w:val="22"/>
                <w:szCs w:val="22"/>
              </w:rPr>
              <w:t>H</w:t>
            </w:r>
            <w:r w:rsidR="00394D95" w:rsidRPr="00DD0D3D">
              <w:rPr>
                <w:rFonts w:ascii="Arial" w:hAnsi="Arial" w:cs="Arial"/>
                <w:sz w:val="22"/>
                <w:szCs w:val="22"/>
              </w:rPr>
              <w:t>ealth care providers</w:t>
            </w:r>
          </w:p>
        </w:tc>
        <w:tc>
          <w:tcPr>
            <w:tcW w:w="3456" w:type="dxa"/>
            <w:shd w:val="clear" w:color="auto" w:fill="auto"/>
          </w:tcPr>
          <w:p w:rsidR="00394D95" w:rsidRPr="00E3339D" w:rsidRDefault="00394D95" w:rsidP="00DD0D3D">
            <w:pPr>
              <w:pStyle w:val="ListParagraph"/>
              <w:numPr>
                <w:ilvl w:val="0"/>
                <w:numId w:val="15"/>
              </w:numPr>
              <w:spacing w:before="120"/>
              <w:ind w:left="478" w:right="5"/>
              <w:rPr>
                <w:rFonts w:cs="Arial"/>
                <w:sz w:val="22"/>
              </w:rPr>
            </w:pPr>
            <w:r w:rsidRPr="00E3339D">
              <w:rPr>
                <w:rFonts w:cs="Arial"/>
                <w:sz w:val="22"/>
              </w:rPr>
              <w:t>Planning, funding and service delivery</w:t>
            </w:r>
          </w:p>
          <w:p w:rsidR="00394D95" w:rsidRPr="00E3339D" w:rsidRDefault="00394D95" w:rsidP="00DD0D3D">
            <w:pPr>
              <w:pStyle w:val="ListParagraph"/>
              <w:numPr>
                <w:ilvl w:val="0"/>
                <w:numId w:val="15"/>
              </w:numPr>
              <w:spacing w:before="120"/>
              <w:ind w:left="478" w:right="5"/>
              <w:rPr>
                <w:rFonts w:cs="Arial"/>
                <w:sz w:val="22"/>
              </w:rPr>
            </w:pPr>
            <w:r w:rsidRPr="00E3339D">
              <w:rPr>
                <w:rFonts w:cs="Arial"/>
                <w:sz w:val="22"/>
              </w:rPr>
              <w:t>Formal agreements (</w:t>
            </w:r>
            <w:proofErr w:type="spellStart"/>
            <w:r w:rsidRPr="00E3339D">
              <w:rPr>
                <w:rFonts w:cs="Arial"/>
                <w:sz w:val="22"/>
              </w:rPr>
              <w:t>eg</w:t>
            </w:r>
            <w:proofErr w:type="spellEnd"/>
            <w:r w:rsidRPr="00E3339D">
              <w:rPr>
                <w:rFonts w:cs="Arial"/>
                <w:sz w:val="22"/>
              </w:rPr>
              <w:t xml:space="preserve"> contract, Memorandum of Understanding (</w:t>
            </w:r>
            <w:proofErr w:type="spellStart"/>
            <w:r w:rsidRPr="00E3339D">
              <w:rPr>
                <w:rFonts w:cs="Arial"/>
                <w:sz w:val="22"/>
              </w:rPr>
              <w:t>MoU</w:t>
            </w:r>
            <w:proofErr w:type="spellEnd"/>
            <w:r w:rsidRPr="00E3339D">
              <w:rPr>
                <w:rFonts w:cs="Arial"/>
                <w:sz w:val="22"/>
              </w:rPr>
              <w:t>)</w:t>
            </w:r>
            <w:r w:rsidR="00CD2594">
              <w:rPr>
                <w:rFonts w:cs="Arial"/>
                <w:sz w:val="22"/>
              </w:rPr>
              <w:t xml:space="preserve">, </w:t>
            </w:r>
            <w:r w:rsidR="00CD2594" w:rsidRPr="00DD0D3D">
              <w:rPr>
                <w:rFonts w:cs="Arial"/>
                <w:sz w:val="22"/>
              </w:rPr>
              <w:t>alliance agreements</w:t>
            </w:r>
            <w:r w:rsidRPr="00CD2594">
              <w:rPr>
                <w:rFonts w:cs="Arial"/>
                <w:color w:val="FF0000"/>
                <w:sz w:val="22"/>
              </w:rPr>
              <w:t xml:space="preserve"> </w:t>
            </w:r>
            <w:r w:rsidRPr="00E3339D">
              <w:rPr>
                <w:rFonts w:cs="Arial"/>
                <w:sz w:val="22"/>
              </w:rPr>
              <w:t>between health service providers to achieve shared outcomes</w:t>
            </w:r>
          </w:p>
          <w:p w:rsidR="00394D95" w:rsidRPr="00E3339D" w:rsidRDefault="00DD0D3D" w:rsidP="00DD0D3D">
            <w:pPr>
              <w:pStyle w:val="ListParagraph"/>
              <w:numPr>
                <w:ilvl w:val="0"/>
                <w:numId w:val="15"/>
              </w:numPr>
              <w:spacing w:before="120"/>
              <w:ind w:left="478" w:right="5"/>
              <w:rPr>
                <w:rFonts w:cs="Arial"/>
                <w:sz w:val="22"/>
              </w:rPr>
            </w:pPr>
            <w:r w:rsidRPr="00DD0D3D">
              <w:rPr>
                <w:rFonts w:cs="Arial"/>
                <w:sz w:val="22"/>
              </w:rPr>
              <w:t>C</w:t>
            </w:r>
            <w:r w:rsidR="00394D95" w:rsidRPr="00E3339D">
              <w:rPr>
                <w:rFonts w:cs="Arial"/>
                <w:sz w:val="22"/>
              </w:rPr>
              <w:t xml:space="preserve">ommunication, coordination and collaboration on an </w:t>
            </w:r>
            <w:r w:rsidR="00394D95" w:rsidRPr="00E3339D">
              <w:rPr>
                <w:rFonts w:cs="Arial"/>
                <w:i/>
                <w:sz w:val="22"/>
              </w:rPr>
              <w:t>ad hoc</w:t>
            </w:r>
            <w:r w:rsidR="00394D95" w:rsidRPr="00E3339D">
              <w:rPr>
                <w:rFonts w:cs="Arial"/>
                <w:sz w:val="22"/>
              </w:rPr>
              <w:t xml:space="preserve"> basis</w:t>
            </w:r>
          </w:p>
        </w:tc>
        <w:tc>
          <w:tcPr>
            <w:tcW w:w="5073" w:type="dxa"/>
            <w:shd w:val="clear" w:color="auto" w:fill="auto"/>
          </w:tcPr>
          <w:p w:rsidR="008677AF" w:rsidRPr="00DD0D3D" w:rsidRDefault="00394D95" w:rsidP="00DD0D3D">
            <w:pPr>
              <w:pStyle w:val="ListParagraph"/>
              <w:numPr>
                <w:ilvl w:val="0"/>
                <w:numId w:val="16"/>
              </w:numPr>
              <w:spacing w:before="120"/>
              <w:ind w:left="405"/>
              <w:rPr>
                <w:rFonts w:cs="Arial"/>
                <w:bCs/>
                <w:sz w:val="22"/>
              </w:rPr>
            </w:pPr>
            <w:r w:rsidRPr="00DD0D3D">
              <w:rPr>
                <w:rFonts w:cs="Arial"/>
                <w:bCs/>
                <w:sz w:val="22"/>
              </w:rPr>
              <w:t>Effective communication and support in achieving shared objectives</w:t>
            </w:r>
          </w:p>
          <w:p w:rsidR="00394D95" w:rsidRPr="00DD0D3D" w:rsidRDefault="00D861A1" w:rsidP="00DD0D3D">
            <w:pPr>
              <w:pStyle w:val="ListParagraph"/>
              <w:numPr>
                <w:ilvl w:val="0"/>
                <w:numId w:val="16"/>
              </w:numPr>
              <w:spacing w:before="120"/>
              <w:ind w:left="405"/>
              <w:rPr>
                <w:rFonts w:cs="Arial"/>
                <w:bCs/>
                <w:sz w:val="22"/>
              </w:rPr>
            </w:pPr>
            <w:r w:rsidRPr="00DD0D3D">
              <w:rPr>
                <w:rFonts w:cs="Arial"/>
                <w:bCs/>
                <w:sz w:val="22"/>
              </w:rPr>
              <w:t>In conjunction with</w:t>
            </w:r>
            <w:r w:rsidR="008677AF" w:rsidRPr="00DD0D3D">
              <w:rPr>
                <w:rFonts w:cs="Arial"/>
                <w:bCs/>
                <w:sz w:val="22"/>
              </w:rPr>
              <w:t xml:space="preserve"> DHB planning and funding teams</w:t>
            </w:r>
            <w:r w:rsidR="008677AF" w:rsidRPr="00E3339D">
              <w:rPr>
                <w:rFonts w:cs="Arial"/>
                <w:bCs/>
                <w:sz w:val="22"/>
              </w:rPr>
              <w:t>, i</w:t>
            </w:r>
            <w:r w:rsidR="00394D95" w:rsidRPr="00E3339D">
              <w:rPr>
                <w:rFonts w:cs="Arial"/>
                <w:bCs/>
                <w:sz w:val="22"/>
              </w:rPr>
              <w:t xml:space="preserve">mprove the planning, funding and implementation of public health programmes, especially </w:t>
            </w:r>
            <w:r w:rsidR="00394D95" w:rsidRPr="00DD0D3D">
              <w:rPr>
                <w:rFonts w:cs="Arial"/>
                <w:bCs/>
                <w:sz w:val="22"/>
              </w:rPr>
              <w:t>to promote collaboration</w:t>
            </w:r>
            <w:r w:rsidR="00DD0D3D" w:rsidRPr="00DD0D3D">
              <w:rPr>
                <w:rFonts w:cs="Arial"/>
                <w:bCs/>
                <w:sz w:val="22"/>
              </w:rPr>
              <w:t>,</w:t>
            </w:r>
            <w:r w:rsidR="00394D95" w:rsidRPr="00E3339D">
              <w:rPr>
                <w:rFonts w:cs="Arial"/>
                <w:bCs/>
                <w:sz w:val="22"/>
              </w:rPr>
              <w:t xml:space="preserve"> consistent messages and reduce service gaps and duplication</w:t>
            </w:r>
          </w:p>
          <w:p w:rsidR="00394D95" w:rsidRPr="00DD0D3D" w:rsidRDefault="00394D95" w:rsidP="00DD0D3D">
            <w:pPr>
              <w:pStyle w:val="ListParagraph"/>
              <w:numPr>
                <w:ilvl w:val="0"/>
                <w:numId w:val="16"/>
              </w:numPr>
              <w:spacing w:before="120"/>
              <w:ind w:left="405"/>
              <w:rPr>
                <w:rFonts w:cs="Arial"/>
                <w:bCs/>
                <w:sz w:val="22"/>
              </w:rPr>
            </w:pPr>
            <w:r w:rsidRPr="00E3339D">
              <w:rPr>
                <w:rFonts w:cs="Arial"/>
                <w:bCs/>
                <w:sz w:val="22"/>
              </w:rPr>
              <w:t>Inform the planning</w:t>
            </w:r>
            <w:r w:rsidR="00D82AE1" w:rsidRPr="00E3339D">
              <w:rPr>
                <w:rFonts w:cs="Arial"/>
                <w:bCs/>
                <w:sz w:val="22"/>
              </w:rPr>
              <w:t xml:space="preserve"> </w:t>
            </w:r>
            <w:r w:rsidR="00D82AE1" w:rsidRPr="00DD0D3D">
              <w:rPr>
                <w:rFonts w:cs="Arial"/>
                <w:bCs/>
                <w:sz w:val="22"/>
              </w:rPr>
              <w:t>(including DHB regional plans</w:t>
            </w:r>
            <w:r w:rsidR="00D82AE1" w:rsidRPr="00E3339D">
              <w:rPr>
                <w:rFonts w:cs="Arial"/>
                <w:bCs/>
                <w:sz w:val="22"/>
              </w:rPr>
              <w:t>)</w:t>
            </w:r>
            <w:r w:rsidRPr="00E3339D">
              <w:rPr>
                <w:rFonts w:cs="Arial"/>
                <w:bCs/>
                <w:sz w:val="22"/>
              </w:rPr>
              <w:t xml:space="preserve">, funding and implementation of all DHB </w:t>
            </w:r>
            <w:r w:rsidR="00594A30" w:rsidRPr="00DD0D3D">
              <w:rPr>
                <w:rFonts w:cs="Arial"/>
                <w:bCs/>
                <w:sz w:val="22"/>
              </w:rPr>
              <w:t>services and</w:t>
            </w:r>
            <w:r w:rsidR="00594A30">
              <w:rPr>
                <w:rFonts w:cs="Arial"/>
                <w:bCs/>
                <w:sz w:val="22"/>
              </w:rPr>
              <w:t xml:space="preserve"> </w:t>
            </w:r>
            <w:r w:rsidRPr="00E3339D">
              <w:rPr>
                <w:rFonts w:cs="Arial"/>
                <w:bCs/>
                <w:sz w:val="22"/>
              </w:rPr>
              <w:t>programmes (not just public health programmes) to reduce health inequities</w:t>
            </w:r>
          </w:p>
          <w:p w:rsidR="00394D95" w:rsidRPr="00DD0D3D" w:rsidRDefault="00D861A1" w:rsidP="00DD0D3D">
            <w:pPr>
              <w:pStyle w:val="ListParagraph"/>
              <w:numPr>
                <w:ilvl w:val="0"/>
                <w:numId w:val="16"/>
              </w:numPr>
              <w:spacing w:before="120"/>
              <w:ind w:left="405"/>
              <w:rPr>
                <w:rFonts w:cs="Arial"/>
                <w:bCs/>
                <w:sz w:val="22"/>
              </w:rPr>
            </w:pPr>
            <w:r w:rsidRPr="00DD0D3D">
              <w:rPr>
                <w:rFonts w:cs="Arial"/>
                <w:bCs/>
                <w:sz w:val="22"/>
              </w:rPr>
              <w:t>Develop</w:t>
            </w:r>
            <w:r w:rsidR="00394D95" w:rsidRPr="00DD0D3D">
              <w:rPr>
                <w:rFonts w:cs="Arial"/>
                <w:bCs/>
                <w:sz w:val="22"/>
              </w:rPr>
              <w:t xml:space="preserve"> DHB-endorsed position statements on priority public health issues</w:t>
            </w:r>
          </w:p>
          <w:p w:rsidR="00394D95" w:rsidRPr="00E3339D" w:rsidRDefault="00394D95" w:rsidP="00DD0D3D">
            <w:pPr>
              <w:pStyle w:val="ListParagraph"/>
              <w:numPr>
                <w:ilvl w:val="0"/>
                <w:numId w:val="16"/>
              </w:numPr>
              <w:spacing w:before="120"/>
              <w:ind w:left="405"/>
              <w:rPr>
                <w:rFonts w:cs="Arial"/>
                <w:bCs/>
                <w:sz w:val="22"/>
              </w:rPr>
            </w:pPr>
            <w:r w:rsidRPr="00E3339D">
              <w:rPr>
                <w:rFonts w:cs="Arial"/>
                <w:bCs/>
                <w:sz w:val="22"/>
              </w:rPr>
              <w:t>Promote public health action i</w:t>
            </w:r>
            <w:r w:rsidR="00D82AE1" w:rsidRPr="00E3339D">
              <w:rPr>
                <w:rFonts w:cs="Arial"/>
                <w:bCs/>
                <w:sz w:val="22"/>
              </w:rPr>
              <w:t>n personal health settings (</w:t>
            </w:r>
            <w:proofErr w:type="spellStart"/>
            <w:r w:rsidR="00D82AE1" w:rsidRPr="00E3339D">
              <w:rPr>
                <w:rFonts w:cs="Arial"/>
                <w:bCs/>
                <w:sz w:val="22"/>
              </w:rPr>
              <w:t>eg</w:t>
            </w:r>
            <w:proofErr w:type="spellEnd"/>
            <w:r w:rsidR="00D82AE1" w:rsidRPr="00E3339D">
              <w:rPr>
                <w:rFonts w:cs="Arial"/>
                <w:bCs/>
                <w:sz w:val="22"/>
              </w:rPr>
              <w:t>,</w:t>
            </w:r>
            <w:r w:rsidRPr="00E3339D">
              <w:rPr>
                <w:rFonts w:cs="Arial"/>
                <w:bCs/>
                <w:sz w:val="22"/>
              </w:rPr>
              <w:t xml:space="preserve"> early interventions)</w:t>
            </w:r>
          </w:p>
          <w:p w:rsidR="00D82AE1" w:rsidRPr="00DD0D3D" w:rsidRDefault="00394D95" w:rsidP="00DD0D3D">
            <w:pPr>
              <w:pStyle w:val="ListParagraph"/>
              <w:numPr>
                <w:ilvl w:val="0"/>
                <w:numId w:val="16"/>
              </w:numPr>
              <w:spacing w:before="120"/>
              <w:ind w:left="405"/>
              <w:rPr>
                <w:rFonts w:cs="Arial"/>
                <w:bCs/>
                <w:sz w:val="22"/>
              </w:rPr>
            </w:pPr>
            <w:r w:rsidRPr="00E3339D">
              <w:rPr>
                <w:rFonts w:cs="Arial"/>
                <w:bCs/>
                <w:sz w:val="22"/>
              </w:rPr>
              <w:t>Promote a coherent continuum of services between determinants of health, primary prevention and personal health care</w:t>
            </w:r>
            <w:r w:rsidRPr="00DD0D3D">
              <w:rPr>
                <w:rFonts w:cs="Arial"/>
                <w:bCs/>
                <w:sz w:val="22"/>
              </w:rPr>
              <w:t xml:space="preserve">, particularly through </w:t>
            </w:r>
            <w:r w:rsidRPr="00E3339D">
              <w:rPr>
                <w:rFonts w:cs="Arial"/>
                <w:bCs/>
                <w:sz w:val="22"/>
              </w:rPr>
              <w:t xml:space="preserve">information management </w:t>
            </w:r>
            <w:r w:rsidRPr="00DD0D3D">
              <w:rPr>
                <w:rFonts w:cs="Arial"/>
                <w:bCs/>
                <w:sz w:val="22"/>
              </w:rPr>
              <w:t>and 24/7 accessibility of services, such as helplines and e-therapy, where appropriate</w:t>
            </w:r>
          </w:p>
          <w:p w:rsidR="00394D95" w:rsidRPr="00E3339D" w:rsidRDefault="00D82AE1" w:rsidP="003C450E">
            <w:pPr>
              <w:pStyle w:val="ListParagraph"/>
              <w:numPr>
                <w:ilvl w:val="0"/>
                <w:numId w:val="16"/>
              </w:numPr>
              <w:spacing w:before="120"/>
              <w:ind w:left="405"/>
              <w:rPr>
                <w:rFonts w:cs="Arial"/>
                <w:sz w:val="22"/>
              </w:rPr>
            </w:pPr>
            <w:r w:rsidRPr="00DD0D3D">
              <w:rPr>
                <w:rFonts w:cs="Arial"/>
                <w:bCs/>
                <w:sz w:val="22"/>
              </w:rPr>
              <w:t xml:space="preserve">Include iwi or other appropriate </w:t>
            </w:r>
            <w:r w:rsidR="00CD2594" w:rsidRPr="00DD0D3D">
              <w:rPr>
                <w:rFonts w:cs="Arial"/>
                <w:bCs/>
                <w:sz w:val="22"/>
              </w:rPr>
              <w:t xml:space="preserve">Māori </w:t>
            </w:r>
            <w:r w:rsidRPr="00DD0D3D">
              <w:rPr>
                <w:rFonts w:cs="Arial"/>
                <w:bCs/>
                <w:sz w:val="22"/>
              </w:rPr>
              <w:t>representation on governance bodies</w:t>
            </w:r>
          </w:p>
        </w:tc>
      </w:tr>
      <w:tr w:rsidR="00394D95" w:rsidRPr="00F5381D" w:rsidTr="00D26301">
        <w:tc>
          <w:tcPr>
            <w:tcW w:w="1617" w:type="dxa"/>
            <w:shd w:val="clear" w:color="auto" w:fill="auto"/>
          </w:tcPr>
          <w:p w:rsidR="00394D95" w:rsidRPr="00DD0D3D" w:rsidRDefault="00394D95" w:rsidP="00580AE0">
            <w:pPr>
              <w:spacing w:before="120"/>
              <w:ind w:left="63" w:right="5"/>
              <w:rPr>
                <w:rFonts w:ascii="Arial" w:eastAsia="Calibri" w:hAnsi="Arial" w:cs="Arial"/>
                <w:bCs/>
                <w:sz w:val="22"/>
                <w:szCs w:val="22"/>
              </w:rPr>
            </w:pPr>
            <w:r w:rsidRPr="00DD0D3D">
              <w:rPr>
                <w:rFonts w:ascii="Arial" w:eastAsia="Calibri" w:hAnsi="Arial" w:cs="Arial"/>
                <w:bCs/>
                <w:sz w:val="22"/>
                <w:szCs w:val="22"/>
              </w:rPr>
              <w:t>Neighbouring public health units</w:t>
            </w:r>
          </w:p>
        </w:tc>
        <w:tc>
          <w:tcPr>
            <w:tcW w:w="3456" w:type="dxa"/>
            <w:shd w:val="clear" w:color="auto" w:fill="auto"/>
          </w:tcPr>
          <w:p w:rsidR="00394D95" w:rsidRPr="00DD0D3D" w:rsidRDefault="00394D95" w:rsidP="00CF6B0B">
            <w:pPr>
              <w:spacing w:before="120"/>
              <w:ind w:right="5"/>
              <w:rPr>
                <w:rFonts w:ascii="Arial" w:eastAsia="Calibri" w:hAnsi="Arial" w:cs="Arial"/>
                <w:bCs/>
                <w:sz w:val="22"/>
                <w:szCs w:val="22"/>
              </w:rPr>
            </w:pPr>
            <w:r w:rsidRPr="00DD0D3D">
              <w:rPr>
                <w:rFonts w:ascii="Arial" w:eastAsia="Calibri" w:hAnsi="Arial" w:cs="Arial"/>
                <w:bCs/>
                <w:sz w:val="22"/>
                <w:szCs w:val="22"/>
              </w:rPr>
              <w:t>Mutual interest in regional coordi</w:t>
            </w:r>
            <w:r w:rsidR="00D82AE1" w:rsidRPr="00DD0D3D">
              <w:rPr>
                <w:rFonts w:ascii="Arial" w:eastAsia="Calibri" w:hAnsi="Arial" w:cs="Arial"/>
                <w:bCs/>
                <w:sz w:val="22"/>
                <w:szCs w:val="22"/>
              </w:rPr>
              <w:t>na</w:t>
            </w:r>
            <w:r w:rsidRPr="00DD0D3D">
              <w:rPr>
                <w:rFonts w:ascii="Arial" w:eastAsia="Calibri" w:hAnsi="Arial" w:cs="Arial"/>
                <w:bCs/>
                <w:sz w:val="22"/>
                <w:szCs w:val="22"/>
              </w:rPr>
              <w:t>tion</w:t>
            </w:r>
          </w:p>
        </w:tc>
        <w:tc>
          <w:tcPr>
            <w:tcW w:w="5073" w:type="dxa"/>
            <w:shd w:val="clear" w:color="auto" w:fill="auto"/>
          </w:tcPr>
          <w:p w:rsidR="00394D95" w:rsidRPr="00DD0D3D" w:rsidRDefault="00D861A1" w:rsidP="00CF6B0B">
            <w:pPr>
              <w:ind w:left="405"/>
              <w:rPr>
                <w:rFonts w:ascii="Arial" w:eastAsia="Calibri" w:hAnsi="Arial" w:cs="Arial"/>
                <w:bCs/>
                <w:sz w:val="22"/>
                <w:szCs w:val="22"/>
              </w:rPr>
            </w:pPr>
            <w:r w:rsidRPr="00DD0D3D">
              <w:rPr>
                <w:rFonts w:ascii="Arial" w:eastAsia="Calibri" w:hAnsi="Arial" w:cs="Arial"/>
                <w:bCs/>
                <w:sz w:val="22"/>
                <w:szCs w:val="22"/>
              </w:rPr>
              <w:t>Develop</w:t>
            </w:r>
            <w:r w:rsidR="00394D95" w:rsidRPr="00DD0D3D">
              <w:rPr>
                <w:rFonts w:ascii="Arial" w:eastAsia="Calibri" w:hAnsi="Arial" w:cs="Arial"/>
                <w:bCs/>
                <w:sz w:val="22"/>
                <w:szCs w:val="22"/>
              </w:rPr>
              <w:t xml:space="preserve"> regional approach</w:t>
            </w:r>
            <w:r w:rsidRPr="00DD0D3D">
              <w:rPr>
                <w:rFonts w:ascii="Arial" w:eastAsia="Calibri" w:hAnsi="Arial" w:cs="Arial"/>
                <w:bCs/>
                <w:sz w:val="22"/>
                <w:szCs w:val="22"/>
              </w:rPr>
              <w:t>es</w:t>
            </w:r>
            <w:r w:rsidR="00394D95" w:rsidRPr="00DD0D3D">
              <w:rPr>
                <w:rFonts w:ascii="Arial" w:eastAsia="Calibri" w:hAnsi="Arial" w:cs="Arial"/>
                <w:bCs/>
                <w:sz w:val="22"/>
                <w:szCs w:val="22"/>
              </w:rPr>
              <w:t xml:space="preserve"> to Public Health Service planning and delivery </w:t>
            </w:r>
          </w:p>
        </w:tc>
      </w:tr>
      <w:tr w:rsidR="00394D95" w:rsidRPr="00F5381D" w:rsidTr="00D26301">
        <w:tc>
          <w:tcPr>
            <w:tcW w:w="1617" w:type="dxa"/>
            <w:shd w:val="clear" w:color="auto" w:fill="auto"/>
          </w:tcPr>
          <w:p w:rsidR="00394D95" w:rsidRPr="00DD0D3D" w:rsidRDefault="00394D95" w:rsidP="00580AE0">
            <w:pPr>
              <w:spacing w:before="120"/>
              <w:ind w:left="63" w:right="5"/>
              <w:rPr>
                <w:rFonts w:ascii="Arial" w:eastAsia="Calibri" w:hAnsi="Arial" w:cs="Arial"/>
                <w:bCs/>
                <w:sz w:val="22"/>
                <w:szCs w:val="22"/>
              </w:rPr>
            </w:pPr>
            <w:r w:rsidRPr="00DD0D3D">
              <w:rPr>
                <w:rFonts w:ascii="Arial" w:eastAsia="Calibri" w:hAnsi="Arial" w:cs="Arial"/>
                <w:bCs/>
                <w:sz w:val="22"/>
                <w:szCs w:val="22"/>
              </w:rPr>
              <w:t>Health Promotion Agency</w:t>
            </w:r>
          </w:p>
        </w:tc>
        <w:tc>
          <w:tcPr>
            <w:tcW w:w="3456" w:type="dxa"/>
            <w:shd w:val="clear" w:color="auto" w:fill="auto"/>
          </w:tcPr>
          <w:p w:rsidR="00394D95" w:rsidRPr="00DD0D3D" w:rsidRDefault="00394D95" w:rsidP="00394D95">
            <w:pPr>
              <w:spacing w:before="120"/>
              <w:ind w:left="63" w:right="6"/>
              <w:rPr>
                <w:rFonts w:ascii="Arial" w:eastAsia="Calibri" w:hAnsi="Arial" w:cs="Arial"/>
                <w:bCs/>
                <w:sz w:val="22"/>
                <w:szCs w:val="22"/>
              </w:rPr>
            </w:pPr>
            <w:r w:rsidRPr="00DD0D3D">
              <w:rPr>
                <w:rFonts w:ascii="Arial" w:eastAsia="Calibri" w:hAnsi="Arial" w:cs="Arial"/>
                <w:bCs/>
                <w:sz w:val="22"/>
                <w:szCs w:val="22"/>
              </w:rPr>
              <w:t>Parallel responsibilities for:</w:t>
            </w:r>
          </w:p>
          <w:p w:rsidR="00394D95" w:rsidRPr="00DD0D3D" w:rsidRDefault="00394D95" w:rsidP="00DD0D3D">
            <w:pPr>
              <w:pStyle w:val="ListParagraph"/>
              <w:numPr>
                <w:ilvl w:val="0"/>
                <w:numId w:val="17"/>
              </w:numPr>
              <w:spacing w:before="120"/>
              <w:ind w:left="336" w:right="6"/>
              <w:rPr>
                <w:rFonts w:cs="Arial"/>
                <w:bCs/>
                <w:sz w:val="22"/>
              </w:rPr>
            </w:pPr>
            <w:r w:rsidRPr="00DD0D3D">
              <w:rPr>
                <w:rFonts w:cs="Arial"/>
                <w:bCs/>
                <w:sz w:val="22"/>
              </w:rPr>
              <w:t>promoting health and wellbeing and encouraging healthy lifestyles</w:t>
            </w:r>
          </w:p>
          <w:p w:rsidR="00394D95" w:rsidRPr="00DD0D3D" w:rsidRDefault="00CD2594" w:rsidP="00DD0D3D">
            <w:pPr>
              <w:pStyle w:val="ListParagraph"/>
              <w:numPr>
                <w:ilvl w:val="0"/>
                <w:numId w:val="17"/>
              </w:numPr>
              <w:spacing w:before="120"/>
              <w:ind w:left="336" w:right="6"/>
              <w:rPr>
                <w:rFonts w:cs="Arial"/>
                <w:bCs/>
                <w:sz w:val="22"/>
              </w:rPr>
            </w:pPr>
            <w:r w:rsidRPr="00DD0D3D">
              <w:rPr>
                <w:rFonts w:cs="Arial"/>
                <w:bCs/>
                <w:sz w:val="22"/>
              </w:rPr>
              <w:t>p</w:t>
            </w:r>
            <w:r w:rsidR="00394D95" w:rsidRPr="00DD0D3D">
              <w:rPr>
                <w:rFonts w:cs="Arial"/>
                <w:bCs/>
                <w:sz w:val="22"/>
              </w:rPr>
              <w:t>reventing disease, illness and injury</w:t>
            </w:r>
          </w:p>
          <w:p w:rsidR="00394D95" w:rsidRPr="00DD0D3D" w:rsidRDefault="00394D95" w:rsidP="00DD0D3D">
            <w:pPr>
              <w:pStyle w:val="ListParagraph"/>
              <w:numPr>
                <w:ilvl w:val="0"/>
                <w:numId w:val="17"/>
              </w:numPr>
              <w:spacing w:before="120"/>
              <w:ind w:left="336" w:right="6"/>
              <w:rPr>
                <w:rFonts w:cs="Arial"/>
                <w:bCs/>
                <w:sz w:val="22"/>
              </w:rPr>
            </w:pPr>
            <w:r w:rsidRPr="00DD0D3D">
              <w:rPr>
                <w:rFonts w:cs="Arial"/>
                <w:bCs/>
                <w:sz w:val="22"/>
              </w:rPr>
              <w:t>enabling environments that support health and wellbeing and healthy lifestyles</w:t>
            </w:r>
          </w:p>
          <w:p w:rsidR="00394D95" w:rsidRPr="00DD0D3D" w:rsidRDefault="00394D95" w:rsidP="00DD0D3D">
            <w:pPr>
              <w:pStyle w:val="ListParagraph"/>
              <w:numPr>
                <w:ilvl w:val="0"/>
                <w:numId w:val="17"/>
              </w:numPr>
              <w:spacing w:before="120"/>
              <w:ind w:left="336" w:right="6"/>
              <w:rPr>
                <w:rFonts w:cs="Arial"/>
                <w:bCs/>
                <w:sz w:val="22"/>
              </w:rPr>
            </w:pPr>
            <w:r w:rsidRPr="00DD0D3D">
              <w:rPr>
                <w:rFonts w:cs="Arial"/>
                <w:bCs/>
                <w:sz w:val="22"/>
              </w:rPr>
              <w:t>reducing personal, social and economic harm, including advice and research on alcohol-related issues</w:t>
            </w:r>
          </w:p>
        </w:tc>
        <w:tc>
          <w:tcPr>
            <w:tcW w:w="5073" w:type="dxa"/>
            <w:shd w:val="clear" w:color="auto" w:fill="auto"/>
          </w:tcPr>
          <w:p w:rsidR="00394D95" w:rsidRPr="00DD0D3D" w:rsidRDefault="00394D95" w:rsidP="00DD0D3D">
            <w:pPr>
              <w:pStyle w:val="ListParagraph"/>
              <w:numPr>
                <w:ilvl w:val="0"/>
                <w:numId w:val="18"/>
              </w:numPr>
              <w:spacing w:before="120"/>
              <w:ind w:left="405" w:right="5"/>
              <w:rPr>
                <w:rFonts w:cs="Arial"/>
                <w:bCs/>
                <w:sz w:val="22"/>
              </w:rPr>
            </w:pPr>
            <w:r w:rsidRPr="00DD0D3D">
              <w:rPr>
                <w:rFonts w:cs="Arial"/>
                <w:bCs/>
                <w:sz w:val="22"/>
              </w:rPr>
              <w:t>Effective coordination and collaboration in achieving shared public health outcomes</w:t>
            </w:r>
          </w:p>
          <w:p w:rsidR="00394D95" w:rsidRPr="00DD0D3D" w:rsidRDefault="00394D95" w:rsidP="00DD0D3D">
            <w:pPr>
              <w:pStyle w:val="ListParagraph"/>
              <w:numPr>
                <w:ilvl w:val="0"/>
                <w:numId w:val="18"/>
              </w:numPr>
              <w:spacing w:before="120"/>
              <w:ind w:left="405" w:right="5"/>
              <w:rPr>
                <w:rFonts w:cs="Arial"/>
                <w:bCs/>
                <w:sz w:val="22"/>
              </w:rPr>
            </w:pPr>
            <w:r w:rsidRPr="00DD0D3D">
              <w:rPr>
                <w:rFonts w:cs="Arial"/>
                <w:bCs/>
                <w:sz w:val="22"/>
              </w:rPr>
              <w:t>Improve the planning, coordination and delivery of public health programmes (especially health promotion) to promote collaboration, consistent messages, and to reduce service gaps and duplication</w:t>
            </w:r>
          </w:p>
          <w:p w:rsidR="00394D95" w:rsidRPr="00DD0D3D" w:rsidRDefault="00394D95" w:rsidP="00DD0D3D">
            <w:pPr>
              <w:pStyle w:val="ListParagraph"/>
              <w:numPr>
                <w:ilvl w:val="0"/>
                <w:numId w:val="18"/>
              </w:numPr>
              <w:spacing w:before="120"/>
              <w:ind w:left="405" w:right="5"/>
              <w:rPr>
                <w:rFonts w:cs="Arial"/>
                <w:bCs/>
                <w:sz w:val="22"/>
              </w:rPr>
            </w:pPr>
            <w:r w:rsidRPr="00DD0D3D">
              <w:rPr>
                <w:rFonts w:cs="Arial"/>
                <w:bCs/>
                <w:sz w:val="22"/>
              </w:rPr>
              <w:t>Co</w:t>
            </w:r>
            <w:r w:rsidR="00DD0D3D">
              <w:rPr>
                <w:rFonts w:cs="Arial"/>
                <w:bCs/>
                <w:sz w:val="22"/>
              </w:rPr>
              <w:t>ntribute as required to fulfil g</w:t>
            </w:r>
            <w:r w:rsidRPr="00DD0D3D">
              <w:rPr>
                <w:rFonts w:cs="Arial"/>
                <w:bCs/>
                <w:sz w:val="22"/>
              </w:rPr>
              <w:t>overnment requirements for a whole of government response to public health issues</w:t>
            </w:r>
          </w:p>
          <w:p w:rsidR="00394D95" w:rsidRPr="00DD0D3D" w:rsidRDefault="00394D95" w:rsidP="00394D95">
            <w:pPr>
              <w:rPr>
                <w:rFonts w:ascii="Arial" w:eastAsia="Calibri" w:hAnsi="Arial" w:cs="Arial"/>
                <w:bCs/>
                <w:sz w:val="22"/>
                <w:szCs w:val="22"/>
              </w:rPr>
            </w:pPr>
          </w:p>
        </w:tc>
      </w:tr>
      <w:tr w:rsidR="008F0157" w:rsidRPr="00F5381D" w:rsidTr="00D26301">
        <w:tc>
          <w:tcPr>
            <w:tcW w:w="1617" w:type="dxa"/>
            <w:shd w:val="clear" w:color="auto" w:fill="auto"/>
          </w:tcPr>
          <w:p w:rsidR="008F0157" w:rsidRPr="00DD0D3D" w:rsidRDefault="008F0157" w:rsidP="000B5C25">
            <w:pPr>
              <w:spacing w:before="120"/>
              <w:ind w:left="63" w:right="6"/>
              <w:rPr>
                <w:rFonts w:ascii="Arial" w:eastAsia="Calibri" w:hAnsi="Arial" w:cs="Arial"/>
                <w:sz w:val="22"/>
                <w:szCs w:val="22"/>
              </w:rPr>
            </w:pPr>
            <w:r w:rsidRPr="00DD0D3D">
              <w:rPr>
                <w:rFonts w:ascii="Arial" w:eastAsia="Calibri" w:hAnsi="Arial" w:cs="Arial"/>
                <w:sz w:val="22"/>
                <w:szCs w:val="22"/>
              </w:rPr>
              <w:t xml:space="preserve">Local government (including </w:t>
            </w:r>
            <w:r w:rsidRPr="00DD0D3D">
              <w:rPr>
                <w:rFonts w:ascii="Arial" w:eastAsia="Calibri" w:hAnsi="Arial" w:cs="Arial"/>
                <w:sz w:val="22"/>
                <w:szCs w:val="22"/>
              </w:rPr>
              <w:lastRenderedPageBreak/>
              <w:t>regional councils</w:t>
            </w:r>
            <w:r w:rsidR="001E4E2C" w:rsidRPr="00DD0D3D">
              <w:rPr>
                <w:rFonts w:ascii="Arial" w:eastAsia="Calibri" w:hAnsi="Arial" w:cs="Arial"/>
                <w:sz w:val="22"/>
                <w:szCs w:val="22"/>
              </w:rPr>
              <w:t xml:space="preserve"> where appropriate</w:t>
            </w:r>
            <w:r w:rsidRPr="00DD0D3D">
              <w:rPr>
                <w:rFonts w:ascii="Arial" w:eastAsia="Calibri" w:hAnsi="Arial" w:cs="Arial"/>
                <w:sz w:val="22"/>
                <w:szCs w:val="22"/>
              </w:rPr>
              <w:t>)</w:t>
            </w:r>
          </w:p>
        </w:tc>
        <w:tc>
          <w:tcPr>
            <w:tcW w:w="3456" w:type="dxa"/>
            <w:shd w:val="clear" w:color="auto" w:fill="auto"/>
          </w:tcPr>
          <w:p w:rsidR="008F0157" w:rsidRPr="00DD0D3D" w:rsidRDefault="008F0157" w:rsidP="000B5C25">
            <w:pPr>
              <w:spacing w:before="120"/>
              <w:ind w:left="63" w:right="6"/>
              <w:rPr>
                <w:rFonts w:ascii="Arial" w:eastAsia="Calibri" w:hAnsi="Arial" w:cs="Arial"/>
                <w:sz w:val="22"/>
                <w:szCs w:val="22"/>
              </w:rPr>
            </w:pPr>
            <w:r w:rsidRPr="00DD0D3D">
              <w:rPr>
                <w:rFonts w:ascii="Arial" w:eastAsia="Calibri" w:hAnsi="Arial" w:cs="Arial"/>
                <w:sz w:val="22"/>
                <w:szCs w:val="22"/>
              </w:rPr>
              <w:lastRenderedPageBreak/>
              <w:t>Parallel responsibilities for</w:t>
            </w:r>
            <w:r w:rsidR="003F715A" w:rsidRPr="00DD0D3D">
              <w:rPr>
                <w:rFonts w:ascii="Arial" w:eastAsia="Calibri" w:hAnsi="Arial" w:cs="Arial"/>
                <w:sz w:val="22"/>
                <w:szCs w:val="22"/>
              </w:rPr>
              <w:t xml:space="preserve"> or interests in</w:t>
            </w:r>
            <w:r w:rsidRPr="00DD0D3D">
              <w:rPr>
                <w:rFonts w:ascii="Arial" w:eastAsia="Calibri" w:hAnsi="Arial" w:cs="Arial"/>
                <w:sz w:val="22"/>
                <w:szCs w:val="22"/>
              </w:rPr>
              <w:t>:</w:t>
            </w:r>
          </w:p>
          <w:p w:rsidR="008F0157" w:rsidRPr="00E3339D" w:rsidRDefault="008F0157" w:rsidP="00DD0D3D">
            <w:pPr>
              <w:pStyle w:val="ListParagraph"/>
              <w:numPr>
                <w:ilvl w:val="0"/>
                <w:numId w:val="19"/>
              </w:numPr>
              <w:spacing w:before="120"/>
              <w:ind w:left="478" w:right="6" w:hanging="283"/>
              <w:rPr>
                <w:rFonts w:cs="Arial"/>
                <w:sz w:val="22"/>
              </w:rPr>
            </w:pPr>
            <w:r w:rsidRPr="00E3339D">
              <w:rPr>
                <w:rFonts w:cs="Arial"/>
                <w:sz w:val="22"/>
              </w:rPr>
              <w:lastRenderedPageBreak/>
              <w:t xml:space="preserve">environmental health, including air and water quality </w:t>
            </w:r>
          </w:p>
          <w:p w:rsidR="008F0157" w:rsidRPr="00E3339D" w:rsidRDefault="008F0157" w:rsidP="00DD0D3D">
            <w:pPr>
              <w:pStyle w:val="ListParagraph"/>
              <w:numPr>
                <w:ilvl w:val="0"/>
                <w:numId w:val="19"/>
              </w:numPr>
              <w:spacing w:before="120"/>
              <w:ind w:left="478" w:right="6" w:hanging="283"/>
              <w:rPr>
                <w:rFonts w:cs="Arial"/>
                <w:sz w:val="22"/>
              </w:rPr>
            </w:pPr>
            <w:r w:rsidRPr="00E3339D">
              <w:rPr>
                <w:rFonts w:cs="Arial"/>
                <w:sz w:val="22"/>
              </w:rPr>
              <w:t>built environment</w:t>
            </w:r>
          </w:p>
          <w:p w:rsidR="008F0157" w:rsidRPr="00E3339D" w:rsidRDefault="008F0157" w:rsidP="00DD0D3D">
            <w:pPr>
              <w:pStyle w:val="ListParagraph"/>
              <w:numPr>
                <w:ilvl w:val="0"/>
                <w:numId w:val="19"/>
              </w:numPr>
              <w:spacing w:before="120"/>
              <w:ind w:left="478" w:right="6" w:hanging="283"/>
              <w:rPr>
                <w:rFonts w:cs="Arial"/>
                <w:sz w:val="22"/>
              </w:rPr>
            </w:pPr>
            <w:r w:rsidRPr="00E3339D">
              <w:rPr>
                <w:rFonts w:cs="Arial"/>
                <w:sz w:val="22"/>
              </w:rPr>
              <w:t>resource management</w:t>
            </w:r>
          </w:p>
          <w:p w:rsidR="008F0157" w:rsidRPr="00E3339D" w:rsidRDefault="008F0157" w:rsidP="00DD0D3D">
            <w:pPr>
              <w:pStyle w:val="ListParagraph"/>
              <w:numPr>
                <w:ilvl w:val="0"/>
                <w:numId w:val="19"/>
              </w:numPr>
              <w:spacing w:before="120"/>
              <w:ind w:left="478" w:right="6" w:hanging="283"/>
              <w:rPr>
                <w:rFonts w:cs="Arial"/>
                <w:sz w:val="22"/>
              </w:rPr>
            </w:pPr>
            <w:r w:rsidRPr="00E3339D">
              <w:rPr>
                <w:rFonts w:cs="Arial"/>
                <w:sz w:val="22"/>
              </w:rPr>
              <w:t>emergency management</w:t>
            </w:r>
          </w:p>
          <w:p w:rsidR="008F0157" w:rsidRPr="00E3339D" w:rsidRDefault="008F0157" w:rsidP="00DD0D3D">
            <w:pPr>
              <w:pStyle w:val="ListParagraph"/>
              <w:numPr>
                <w:ilvl w:val="0"/>
                <w:numId w:val="19"/>
              </w:numPr>
              <w:spacing w:before="120"/>
              <w:ind w:left="478" w:right="6" w:hanging="283"/>
              <w:rPr>
                <w:rFonts w:cs="Arial"/>
                <w:sz w:val="22"/>
              </w:rPr>
            </w:pPr>
            <w:r w:rsidRPr="00E3339D">
              <w:rPr>
                <w:rFonts w:cs="Arial"/>
                <w:sz w:val="22"/>
              </w:rPr>
              <w:t>community safety</w:t>
            </w:r>
          </w:p>
          <w:p w:rsidR="009E337C" w:rsidRPr="00DD0D3D" w:rsidRDefault="009E337C" w:rsidP="00DD0D3D">
            <w:pPr>
              <w:pStyle w:val="ListParagraph"/>
              <w:numPr>
                <w:ilvl w:val="0"/>
                <w:numId w:val="19"/>
              </w:numPr>
              <w:spacing w:before="120"/>
              <w:ind w:left="478" w:right="6" w:hanging="283"/>
              <w:rPr>
                <w:rFonts w:cs="Arial"/>
                <w:sz w:val="22"/>
              </w:rPr>
            </w:pPr>
            <w:r w:rsidRPr="00DD0D3D">
              <w:rPr>
                <w:rFonts w:cs="Arial"/>
                <w:sz w:val="22"/>
              </w:rPr>
              <w:t>water safety</w:t>
            </w:r>
          </w:p>
          <w:p w:rsidR="008F0157" w:rsidRPr="00E3339D" w:rsidRDefault="008F0157" w:rsidP="003C450E">
            <w:pPr>
              <w:pStyle w:val="ListParagraph"/>
              <w:numPr>
                <w:ilvl w:val="0"/>
                <w:numId w:val="19"/>
              </w:numPr>
              <w:spacing w:before="120"/>
              <w:ind w:left="478" w:right="6" w:hanging="283"/>
              <w:rPr>
                <w:rFonts w:cs="Arial"/>
                <w:sz w:val="22"/>
              </w:rPr>
            </w:pPr>
            <w:r w:rsidRPr="00E3339D">
              <w:rPr>
                <w:rFonts w:cs="Arial"/>
                <w:sz w:val="22"/>
              </w:rPr>
              <w:t>transport</w:t>
            </w:r>
          </w:p>
        </w:tc>
        <w:tc>
          <w:tcPr>
            <w:tcW w:w="5073" w:type="dxa"/>
            <w:shd w:val="clear" w:color="auto" w:fill="auto"/>
          </w:tcPr>
          <w:p w:rsidR="008F0157" w:rsidRPr="00E3339D" w:rsidRDefault="008F0157" w:rsidP="00DD0D3D">
            <w:pPr>
              <w:pStyle w:val="ListParagraph"/>
              <w:numPr>
                <w:ilvl w:val="0"/>
                <w:numId w:val="20"/>
              </w:numPr>
              <w:spacing w:before="120"/>
              <w:ind w:left="405" w:right="5"/>
              <w:rPr>
                <w:rFonts w:cs="Arial"/>
                <w:sz w:val="22"/>
              </w:rPr>
            </w:pPr>
            <w:r w:rsidRPr="00E3339D">
              <w:rPr>
                <w:rFonts w:cs="Arial"/>
                <w:sz w:val="22"/>
              </w:rPr>
              <w:lastRenderedPageBreak/>
              <w:t xml:space="preserve">Situational preparedness for emergencies and untoward events, including surveillance, </w:t>
            </w:r>
            <w:r w:rsidRPr="00DD0D3D">
              <w:rPr>
                <w:rFonts w:cs="Arial"/>
                <w:sz w:val="22"/>
              </w:rPr>
              <w:t>risk assessment</w:t>
            </w:r>
            <w:r w:rsidRPr="00E3339D">
              <w:rPr>
                <w:rFonts w:cs="Arial"/>
                <w:sz w:val="22"/>
              </w:rPr>
              <w:t xml:space="preserve"> and surge capacity</w:t>
            </w:r>
          </w:p>
          <w:p w:rsidR="008F0157" w:rsidRPr="00E3339D" w:rsidRDefault="008F0157" w:rsidP="00DD0D3D">
            <w:pPr>
              <w:pStyle w:val="ListParagraph"/>
              <w:numPr>
                <w:ilvl w:val="0"/>
                <w:numId w:val="20"/>
              </w:numPr>
              <w:spacing w:before="120"/>
              <w:ind w:left="405" w:right="5"/>
              <w:rPr>
                <w:rFonts w:cs="Arial"/>
                <w:sz w:val="22"/>
              </w:rPr>
            </w:pPr>
            <w:r w:rsidRPr="00E3339D">
              <w:rPr>
                <w:rFonts w:cs="Arial"/>
                <w:sz w:val="22"/>
              </w:rPr>
              <w:lastRenderedPageBreak/>
              <w:t>Oversight role of the Medical Officer of Health in relation to a number of the environmental health functions of territorial authorities under the Health Act 1956, including drinking water (</w:t>
            </w:r>
            <w:r w:rsidRPr="00DD0D3D">
              <w:rPr>
                <w:rFonts w:cs="Arial"/>
                <w:sz w:val="22"/>
              </w:rPr>
              <w:t>refer 8.2</w:t>
            </w:r>
            <w:r w:rsidRPr="00E3339D">
              <w:rPr>
                <w:rFonts w:cs="Arial"/>
                <w:sz w:val="22"/>
              </w:rPr>
              <w:t>)</w:t>
            </w:r>
          </w:p>
          <w:p w:rsidR="008F0157" w:rsidRPr="00E3339D" w:rsidRDefault="008F0157" w:rsidP="00DD0D3D">
            <w:pPr>
              <w:pStyle w:val="ListParagraph"/>
              <w:numPr>
                <w:ilvl w:val="0"/>
                <w:numId w:val="20"/>
              </w:numPr>
              <w:spacing w:before="120"/>
              <w:ind w:left="405" w:right="5"/>
              <w:rPr>
                <w:rFonts w:cs="Arial"/>
                <w:sz w:val="22"/>
              </w:rPr>
            </w:pPr>
            <w:r w:rsidRPr="00E3339D">
              <w:rPr>
                <w:rFonts w:cs="Arial"/>
                <w:sz w:val="22"/>
              </w:rPr>
              <w:t>Active participation of public health services in the public processes for planning and resource consents under the Resource Management Act 1991 and the Local Government Act 2002</w:t>
            </w:r>
          </w:p>
          <w:p w:rsidR="008F0157" w:rsidRPr="00DD0D3D" w:rsidRDefault="008F0157" w:rsidP="00DD0D3D">
            <w:pPr>
              <w:pStyle w:val="ListParagraph"/>
              <w:numPr>
                <w:ilvl w:val="0"/>
                <w:numId w:val="20"/>
              </w:numPr>
              <w:spacing w:before="120"/>
              <w:ind w:left="405" w:right="5"/>
              <w:rPr>
                <w:rFonts w:cs="Arial"/>
                <w:sz w:val="22"/>
              </w:rPr>
            </w:pPr>
            <w:r w:rsidRPr="00DD0D3D">
              <w:rPr>
                <w:rFonts w:cs="Arial"/>
                <w:sz w:val="22"/>
              </w:rPr>
              <w:t>Engag</w:t>
            </w:r>
            <w:r w:rsidR="003C450E">
              <w:rPr>
                <w:rFonts w:cs="Arial"/>
                <w:sz w:val="22"/>
              </w:rPr>
              <w:t>ing</w:t>
            </w:r>
            <w:r w:rsidRPr="00DD0D3D">
              <w:rPr>
                <w:rFonts w:cs="Arial"/>
                <w:sz w:val="22"/>
              </w:rPr>
              <w:t xml:space="preserve"> with</w:t>
            </w:r>
            <w:r w:rsidR="001E4E2C" w:rsidRPr="00DD0D3D">
              <w:rPr>
                <w:rFonts w:cs="Arial"/>
                <w:sz w:val="22"/>
              </w:rPr>
              <w:t xml:space="preserve"> council</w:t>
            </w:r>
            <w:r w:rsidRPr="00DD0D3D">
              <w:rPr>
                <w:rFonts w:cs="Arial"/>
                <w:sz w:val="22"/>
              </w:rPr>
              <w:t>s to help inform their assessments of water and other sanitary services as required under s.125 of the Local Government Act 2002</w:t>
            </w:r>
          </w:p>
          <w:p w:rsidR="00B60808" w:rsidRPr="00DD0D3D" w:rsidRDefault="00CD2594" w:rsidP="00DD0D3D">
            <w:pPr>
              <w:pStyle w:val="ListParagraph"/>
              <w:numPr>
                <w:ilvl w:val="0"/>
                <w:numId w:val="20"/>
              </w:numPr>
              <w:spacing w:before="120"/>
              <w:ind w:left="405" w:right="5"/>
              <w:rPr>
                <w:rFonts w:cs="Arial"/>
                <w:sz w:val="22"/>
              </w:rPr>
            </w:pPr>
            <w:r w:rsidRPr="00DD0D3D">
              <w:rPr>
                <w:rFonts w:cs="Arial"/>
                <w:sz w:val="22"/>
              </w:rPr>
              <w:t>E</w:t>
            </w:r>
            <w:r w:rsidR="00B60808" w:rsidRPr="00DD0D3D">
              <w:rPr>
                <w:rFonts w:cs="Arial"/>
                <w:sz w:val="22"/>
              </w:rPr>
              <w:t>ngag</w:t>
            </w:r>
            <w:r w:rsidR="003C450E">
              <w:rPr>
                <w:rFonts w:cs="Arial"/>
                <w:sz w:val="22"/>
              </w:rPr>
              <w:t>ing</w:t>
            </w:r>
            <w:r w:rsidR="00B60808" w:rsidRPr="00DD0D3D">
              <w:rPr>
                <w:rFonts w:cs="Arial"/>
                <w:sz w:val="22"/>
              </w:rPr>
              <w:t xml:space="preserve"> with councils to promote water fluoridation as a safe, effective mechanism to reduce the burden of dental decay</w:t>
            </w:r>
          </w:p>
          <w:p w:rsidR="008F0157" w:rsidRPr="00E3339D" w:rsidRDefault="008F0157" w:rsidP="00DD0D3D">
            <w:pPr>
              <w:pStyle w:val="ListParagraph"/>
              <w:numPr>
                <w:ilvl w:val="0"/>
                <w:numId w:val="20"/>
              </w:numPr>
              <w:spacing w:before="120"/>
              <w:ind w:left="405" w:right="5"/>
              <w:rPr>
                <w:rFonts w:cs="Arial"/>
                <w:sz w:val="22"/>
              </w:rPr>
            </w:pPr>
            <w:r w:rsidRPr="00E3339D">
              <w:rPr>
                <w:rFonts w:cs="Arial"/>
                <w:sz w:val="22"/>
              </w:rPr>
              <w:t xml:space="preserve">Planning for public health emergencies is coordinated with local government roles under the Civil Defence Emergency Management Act 2002 </w:t>
            </w:r>
            <w:r w:rsidR="00CF6B0B" w:rsidRPr="00DD0D3D">
              <w:rPr>
                <w:rFonts w:cs="Arial"/>
                <w:sz w:val="22"/>
              </w:rPr>
              <w:t>as provided for in the National Health Emergency Plan</w:t>
            </w:r>
          </w:p>
          <w:p w:rsidR="008F0157" w:rsidRPr="00E3339D" w:rsidRDefault="008F0157" w:rsidP="00DD0D3D">
            <w:pPr>
              <w:pStyle w:val="ListParagraph"/>
              <w:numPr>
                <w:ilvl w:val="0"/>
                <w:numId w:val="20"/>
              </w:numPr>
              <w:spacing w:before="120"/>
              <w:ind w:left="405" w:right="5"/>
              <w:rPr>
                <w:rFonts w:cs="Arial"/>
                <w:sz w:val="22"/>
              </w:rPr>
            </w:pPr>
            <w:r w:rsidRPr="00E3339D">
              <w:rPr>
                <w:rFonts w:cs="Arial"/>
                <w:sz w:val="22"/>
              </w:rPr>
              <w:t>Public health service activities in relation to the built environment are coordinated with territorial authority functions under the Building Act 2004</w:t>
            </w:r>
          </w:p>
          <w:p w:rsidR="008F0157" w:rsidRPr="00E3339D" w:rsidRDefault="00D861A1" w:rsidP="00DD0D3D">
            <w:pPr>
              <w:pStyle w:val="ListParagraph"/>
              <w:numPr>
                <w:ilvl w:val="0"/>
                <w:numId w:val="20"/>
              </w:numPr>
              <w:spacing w:before="120"/>
              <w:ind w:left="405" w:right="5"/>
              <w:rPr>
                <w:rFonts w:cs="Arial"/>
                <w:sz w:val="22"/>
              </w:rPr>
            </w:pPr>
            <w:r>
              <w:rPr>
                <w:rFonts w:cs="Arial"/>
                <w:sz w:val="22"/>
              </w:rPr>
              <w:t>Promot</w:t>
            </w:r>
            <w:r w:rsidR="003C450E">
              <w:rPr>
                <w:rFonts w:cs="Arial"/>
                <w:sz w:val="22"/>
              </w:rPr>
              <w:t>ing</w:t>
            </w:r>
            <w:r w:rsidR="008F0157" w:rsidRPr="00E3339D">
              <w:rPr>
                <w:rFonts w:cs="Arial"/>
                <w:sz w:val="22"/>
              </w:rPr>
              <w:t xml:space="preserve"> use of Health Impact Assessment for policy and programme development</w:t>
            </w:r>
          </w:p>
          <w:p w:rsidR="008F0157" w:rsidRPr="00E3339D" w:rsidRDefault="008F0157" w:rsidP="00DD0D3D">
            <w:pPr>
              <w:pStyle w:val="ListParagraph"/>
              <w:numPr>
                <w:ilvl w:val="0"/>
                <w:numId w:val="20"/>
              </w:numPr>
              <w:spacing w:before="120"/>
              <w:ind w:left="405" w:right="5"/>
              <w:rPr>
                <w:rFonts w:cs="Arial"/>
                <w:sz w:val="22"/>
              </w:rPr>
            </w:pPr>
            <w:r w:rsidRPr="00E3339D">
              <w:rPr>
                <w:rFonts w:cs="Arial"/>
                <w:sz w:val="22"/>
              </w:rPr>
              <w:t xml:space="preserve">Promotion of </w:t>
            </w:r>
            <w:r w:rsidR="00CF6B0B" w:rsidRPr="00E3339D">
              <w:rPr>
                <w:rFonts w:cs="Arial"/>
                <w:sz w:val="22"/>
              </w:rPr>
              <w:t xml:space="preserve">sustainable, </w:t>
            </w:r>
            <w:r w:rsidR="00CF6B0B" w:rsidRPr="00DD0D3D">
              <w:rPr>
                <w:rFonts w:cs="Arial"/>
                <w:sz w:val="22"/>
              </w:rPr>
              <w:t>resilient</w:t>
            </w:r>
            <w:r w:rsidR="00CF6B0B" w:rsidRPr="00E3339D">
              <w:rPr>
                <w:rFonts w:cs="Arial"/>
                <w:sz w:val="22"/>
              </w:rPr>
              <w:t xml:space="preserve"> socially inclusive and</w:t>
            </w:r>
            <w:r w:rsidR="00706CFA" w:rsidRPr="00E3339D">
              <w:rPr>
                <w:rFonts w:cs="Arial"/>
                <w:sz w:val="22"/>
              </w:rPr>
              <w:t xml:space="preserve"> healthy </w:t>
            </w:r>
            <w:r w:rsidRPr="00E3339D">
              <w:rPr>
                <w:rFonts w:cs="Arial"/>
                <w:sz w:val="22"/>
              </w:rPr>
              <w:t>communities through good urban design</w:t>
            </w:r>
          </w:p>
          <w:p w:rsidR="008F0157" w:rsidRPr="00E3339D" w:rsidRDefault="008F0157" w:rsidP="00DD0D3D">
            <w:pPr>
              <w:pStyle w:val="ListParagraph"/>
              <w:numPr>
                <w:ilvl w:val="0"/>
                <w:numId w:val="20"/>
              </w:numPr>
              <w:spacing w:before="120"/>
              <w:ind w:left="405" w:right="5"/>
              <w:rPr>
                <w:rFonts w:cs="Arial"/>
                <w:sz w:val="22"/>
              </w:rPr>
            </w:pPr>
            <w:r w:rsidRPr="00DD0D3D">
              <w:rPr>
                <w:rFonts w:cs="Arial"/>
                <w:sz w:val="22"/>
              </w:rPr>
              <w:t>C</w:t>
            </w:r>
            <w:r w:rsidR="00D861A1" w:rsidRPr="00DD0D3D">
              <w:rPr>
                <w:rFonts w:cs="Arial"/>
                <w:sz w:val="22"/>
              </w:rPr>
              <w:t>ontribut</w:t>
            </w:r>
            <w:r w:rsidR="003C450E">
              <w:rPr>
                <w:rFonts w:cs="Arial"/>
                <w:sz w:val="22"/>
              </w:rPr>
              <w:t>ing</w:t>
            </w:r>
            <w:r w:rsidR="00D861A1" w:rsidRPr="00DD0D3D">
              <w:rPr>
                <w:rFonts w:cs="Arial"/>
                <w:sz w:val="22"/>
              </w:rPr>
              <w:t xml:space="preserve"> to Local Alcohol Policies</w:t>
            </w:r>
            <w:r w:rsidR="00394D95" w:rsidRPr="00DD0D3D">
              <w:rPr>
                <w:rFonts w:cs="Arial"/>
                <w:sz w:val="22"/>
              </w:rPr>
              <w:t xml:space="preserve"> and</w:t>
            </w:r>
            <w:r w:rsidR="00394D95" w:rsidRPr="00E3339D">
              <w:rPr>
                <w:rFonts w:cs="Arial"/>
                <w:sz w:val="22"/>
              </w:rPr>
              <w:t xml:space="preserve"> collaborat</w:t>
            </w:r>
            <w:r w:rsidR="003C450E">
              <w:rPr>
                <w:rFonts w:cs="Arial"/>
                <w:sz w:val="22"/>
              </w:rPr>
              <w:t>ing</w:t>
            </w:r>
            <w:r w:rsidRPr="00E3339D">
              <w:rPr>
                <w:rFonts w:cs="Arial"/>
                <w:sz w:val="22"/>
              </w:rPr>
              <w:t xml:space="preserve"> with Police and Liquor Licensing authorities to reduce harm associated with alcohol</w:t>
            </w:r>
          </w:p>
          <w:p w:rsidR="008F0157" w:rsidRPr="00E3339D" w:rsidRDefault="008F0157" w:rsidP="003C450E">
            <w:pPr>
              <w:pStyle w:val="ListParagraph"/>
              <w:numPr>
                <w:ilvl w:val="0"/>
                <w:numId w:val="20"/>
              </w:numPr>
              <w:spacing w:before="120"/>
              <w:ind w:left="405" w:right="5"/>
              <w:rPr>
                <w:rFonts w:cs="Arial"/>
                <w:sz w:val="22"/>
              </w:rPr>
            </w:pPr>
            <w:r w:rsidRPr="00E3339D">
              <w:rPr>
                <w:rFonts w:cs="Arial"/>
                <w:sz w:val="22"/>
              </w:rPr>
              <w:t>P</w:t>
            </w:r>
            <w:r w:rsidR="00D861A1">
              <w:rPr>
                <w:rFonts w:cs="Arial"/>
                <w:sz w:val="22"/>
              </w:rPr>
              <w:t>rovid</w:t>
            </w:r>
            <w:r w:rsidR="003C450E">
              <w:rPr>
                <w:rFonts w:cs="Arial"/>
                <w:sz w:val="22"/>
              </w:rPr>
              <w:t>ing</w:t>
            </w:r>
            <w:r w:rsidR="00D861A1">
              <w:rPr>
                <w:rFonts w:cs="Arial"/>
                <w:sz w:val="22"/>
              </w:rPr>
              <w:t xml:space="preserve"> p</w:t>
            </w:r>
            <w:r w:rsidRPr="00E3339D">
              <w:rPr>
                <w:rFonts w:cs="Arial"/>
                <w:sz w:val="22"/>
              </w:rPr>
              <w:t>ublic health input to Regional Transport Committees and their strategic planning and road programme development (refer Land Transport Management Act 2003)</w:t>
            </w:r>
          </w:p>
        </w:tc>
      </w:tr>
      <w:tr w:rsidR="008F0157" w:rsidRPr="00F5381D" w:rsidTr="00D26301">
        <w:tc>
          <w:tcPr>
            <w:tcW w:w="1617" w:type="dxa"/>
            <w:shd w:val="clear" w:color="auto" w:fill="auto"/>
          </w:tcPr>
          <w:p w:rsidR="008F0157" w:rsidRPr="00DD0D3D" w:rsidRDefault="008F0157" w:rsidP="000B5C25">
            <w:pPr>
              <w:spacing w:before="120"/>
              <w:ind w:right="6"/>
              <w:rPr>
                <w:rFonts w:ascii="Arial" w:eastAsia="Calibri" w:hAnsi="Arial" w:cs="Arial"/>
                <w:sz w:val="22"/>
                <w:szCs w:val="22"/>
              </w:rPr>
            </w:pPr>
            <w:r w:rsidRPr="00DD0D3D">
              <w:rPr>
                <w:rFonts w:ascii="Arial" w:eastAsia="Calibri" w:hAnsi="Arial" w:cs="Arial"/>
                <w:sz w:val="22"/>
                <w:szCs w:val="22"/>
              </w:rPr>
              <w:lastRenderedPageBreak/>
              <w:t>Food Safety (Ministry for Primary Industries)</w:t>
            </w:r>
          </w:p>
        </w:tc>
        <w:tc>
          <w:tcPr>
            <w:tcW w:w="3456" w:type="dxa"/>
            <w:shd w:val="clear" w:color="auto" w:fill="auto"/>
          </w:tcPr>
          <w:p w:rsidR="00394D95" w:rsidRPr="00DD0D3D" w:rsidRDefault="008F0157" w:rsidP="00DD0D3D">
            <w:pPr>
              <w:pStyle w:val="ListParagraph"/>
              <w:numPr>
                <w:ilvl w:val="0"/>
                <w:numId w:val="21"/>
              </w:numPr>
              <w:spacing w:before="120"/>
              <w:ind w:left="336" w:right="6"/>
              <w:rPr>
                <w:rFonts w:cs="Arial"/>
                <w:sz w:val="22"/>
              </w:rPr>
            </w:pPr>
            <w:r w:rsidRPr="00E3339D">
              <w:rPr>
                <w:rFonts w:cs="Arial"/>
                <w:sz w:val="22"/>
              </w:rPr>
              <w:t xml:space="preserve">Interface with </w:t>
            </w:r>
            <w:r w:rsidR="001E4E2C" w:rsidRPr="00DD0D3D">
              <w:rPr>
                <w:rFonts w:cs="Arial"/>
                <w:sz w:val="22"/>
              </w:rPr>
              <w:t xml:space="preserve">any food issues, </w:t>
            </w:r>
            <w:r w:rsidRPr="00DD0D3D">
              <w:rPr>
                <w:rFonts w:cs="Arial"/>
                <w:sz w:val="22"/>
              </w:rPr>
              <w:t>including food safety, f</w:t>
            </w:r>
            <w:r w:rsidR="00394D95" w:rsidRPr="00DD0D3D">
              <w:rPr>
                <w:rFonts w:cs="Arial"/>
                <w:sz w:val="22"/>
              </w:rPr>
              <w:t xml:space="preserve">ood composition, food premises and </w:t>
            </w:r>
            <w:r w:rsidRPr="00DD0D3D">
              <w:rPr>
                <w:rFonts w:cs="Arial"/>
                <w:sz w:val="22"/>
              </w:rPr>
              <w:t>food sources</w:t>
            </w:r>
            <w:r w:rsidR="00394D95" w:rsidRPr="00DD0D3D">
              <w:rPr>
                <w:rFonts w:cs="Arial"/>
                <w:sz w:val="22"/>
              </w:rPr>
              <w:t xml:space="preserve"> (</w:t>
            </w:r>
            <w:r w:rsidRPr="00E3339D">
              <w:rPr>
                <w:rFonts w:cs="Arial"/>
                <w:sz w:val="22"/>
              </w:rPr>
              <w:t xml:space="preserve">commercial </w:t>
            </w:r>
            <w:r w:rsidRPr="00DD0D3D">
              <w:rPr>
                <w:rFonts w:cs="Arial"/>
                <w:sz w:val="22"/>
              </w:rPr>
              <w:t>and non-commercial</w:t>
            </w:r>
            <w:r w:rsidR="00394D95" w:rsidRPr="00DD0D3D">
              <w:rPr>
                <w:rFonts w:cs="Arial"/>
                <w:sz w:val="22"/>
              </w:rPr>
              <w:t>)</w:t>
            </w:r>
            <w:r w:rsidRPr="00E3339D">
              <w:rPr>
                <w:rFonts w:cs="Arial"/>
                <w:sz w:val="22"/>
              </w:rPr>
              <w:t xml:space="preserve"> </w:t>
            </w:r>
            <w:r w:rsidR="00394D95" w:rsidRPr="00DD0D3D">
              <w:rPr>
                <w:rFonts w:cs="Arial"/>
                <w:sz w:val="22"/>
              </w:rPr>
              <w:t xml:space="preserve">identified through communicable disease </w:t>
            </w:r>
            <w:r w:rsidR="00CD2594" w:rsidRPr="00DD0D3D">
              <w:rPr>
                <w:rFonts w:cs="Arial"/>
                <w:sz w:val="22"/>
              </w:rPr>
              <w:t>surveillance  and outbreak investigation</w:t>
            </w:r>
            <w:r w:rsidR="008677AF" w:rsidRPr="00DD0D3D">
              <w:rPr>
                <w:rFonts w:cs="Arial"/>
                <w:sz w:val="22"/>
              </w:rPr>
              <w:t>,</w:t>
            </w:r>
            <w:r w:rsidR="00394D95" w:rsidRPr="00DD0D3D">
              <w:rPr>
                <w:rFonts w:cs="Arial"/>
                <w:sz w:val="22"/>
              </w:rPr>
              <w:t xml:space="preserve"> and other surveillance activity in the community</w:t>
            </w:r>
          </w:p>
          <w:p w:rsidR="008F0157" w:rsidRPr="00DD0D3D" w:rsidRDefault="00394D95" w:rsidP="00D26301">
            <w:pPr>
              <w:pStyle w:val="ListParagraph"/>
              <w:numPr>
                <w:ilvl w:val="0"/>
                <w:numId w:val="21"/>
              </w:numPr>
              <w:spacing w:before="120"/>
              <w:ind w:left="336" w:right="6"/>
              <w:rPr>
                <w:rFonts w:cs="Arial"/>
                <w:sz w:val="22"/>
              </w:rPr>
            </w:pPr>
            <w:r w:rsidRPr="00E3339D">
              <w:rPr>
                <w:rFonts w:cs="Arial"/>
                <w:sz w:val="22"/>
              </w:rPr>
              <w:t>M</w:t>
            </w:r>
            <w:r w:rsidR="008F0157" w:rsidRPr="00E3339D">
              <w:rPr>
                <w:rFonts w:cs="Arial"/>
                <w:sz w:val="22"/>
              </w:rPr>
              <w:t>anagement of food borne illness in the community</w:t>
            </w:r>
            <w:r w:rsidRPr="00E3339D">
              <w:rPr>
                <w:rFonts w:cs="Arial"/>
                <w:sz w:val="22"/>
              </w:rPr>
              <w:t xml:space="preserve">  </w:t>
            </w:r>
          </w:p>
        </w:tc>
        <w:tc>
          <w:tcPr>
            <w:tcW w:w="5073" w:type="dxa"/>
            <w:shd w:val="clear" w:color="auto" w:fill="auto"/>
          </w:tcPr>
          <w:p w:rsidR="008F0157" w:rsidRPr="00E3339D" w:rsidRDefault="00394D95" w:rsidP="00DD0D3D">
            <w:pPr>
              <w:pStyle w:val="ListParagraph"/>
              <w:numPr>
                <w:ilvl w:val="0"/>
                <w:numId w:val="22"/>
              </w:numPr>
              <w:spacing w:before="120"/>
              <w:ind w:left="405" w:right="6"/>
              <w:rPr>
                <w:rFonts w:cs="Arial"/>
                <w:sz w:val="22"/>
              </w:rPr>
            </w:pPr>
            <w:r w:rsidRPr="00E3339D">
              <w:rPr>
                <w:rFonts w:cs="Arial"/>
                <w:sz w:val="22"/>
              </w:rPr>
              <w:t>Monitoring,</w:t>
            </w:r>
            <w:r w:rsidR="008F0157" w:rsidRPr="00E3339D">
              <w:rPr>
                <w:rFonts w:cs="Arial"/>
                <w:sz w:val="22"/>
              </w:rPr>
              <w:t xml:space="preserve"> surveillance </w:t>
            </w:r>
            <w:r w:rsidRPr="00DD0D3D">
              <w:rPr>
                <w:rFonts w:cs="Arial"/>
                <w:sz w:val="22"/>
              </w:rPr>
              <w:t>and information sharing</w:t>
            </w:r>
          </w:p>
          <w:p w:rsidR="008F0157" w:rsidRPr="00E3339D" w:rsidRDefault="008F0157" w:rsidP="00DD0D3D">
            <w:pPr>
              <w:pStyle w:val="ListParagraph"/>
              <w:numPr>
                <w:ilvl w:val="0"/>
                <w:numId w:val="22"/>
              </w:numPr>
              <w:spacing w:before="120"/>
              <w:ind w:left="405" w:right="6"/>
              <w:rPr>
                <w:rFonts w:cs="Arial"/>
                <w:sz w:val="22"/>
              </w:rPr>
            </w:pPr>
            <w:r w:rsidRPr="00E3339D">
              <w:rPr>
                <w:rFonts w:cs="Arial"/>
                <w:sz w:val="22"/>
              </w:rPr>
              <w:t xml:space="preserve">Incident and emergency response </w:t>
            </w:r>
          </w:p>
          <w:p w:rsidR="008F0157" w:rsidRPr="00E3339D" w:rsidRDefault="003D5553" w:rsidP="003C450E">
            <w:pPr>
              <w:pStyle w:val="ListParagraph"/>
              <w:numPr>
                <w:ilvl w:val="0"/>
                <w:numId w:val="22"/>
              </w:numPr>
              <w:spacing w:before="120"/>
              <w:ind w:left="405" w:right="6"/>
              <w:rPr>
                <w:rFonts w:cs="Arial"/>
                <w:sz w:val="22"/>
              </w:rPr>
            </w:pPr>
            <w:r w:rsidRPr="00DD0D3D">
              <w:rPr>
                <w:rFonts w:cs="Arial"/>
                <w:sz w:val="22"/>
              </w:rPr>
              <w:t>L</w:t>
            </w:r>
            <w:r w:rsidR="008F0157" w:rsidRPr="00DD0D3D">
              <w:rPr>
                <w:rFonts w:cs="Arial"/>
                <w:sz w:val="22"/>
              </w:rPr>
              <w:t>iaison re</w:t>
            </w:r>
            <w:r w:rsidR="008F0157" w:rsidRPr="00E3339D">
              <w:rPr>
                <w:rFonts w:cs="Arial"/>
                <w:sz w:val="22"/>
              </w:rPr>
              <w:t xml:space="preserve"> food withdrawals and recalls</w:t>
            </w:r>
            <w:r w:rsidR="00D71172">
              <w:rPr>
                <w:rFonts w:cs="Arial"/>
                <w:sz w:val="22"/>
              </w:rPr>
              <w:t>.</w:t>
            </w:r>
          </w:p>
        </w:tc>
      </w:tr>
      <w:tr w:rsidR="008F0157" w:rsidRPr="00F5381D" w:rsidTr="00D26301">
        <w:tc>
          <w:tcPr>
            <w:tcW w:w="1617" w:type="dxa"/>
            <w:shd w:val="clear" w:color="auto" w:fill="auto"/>
          </w:tcPr>
          <w:p w:rsidR="008F0157" w:rsidRPr="00E3339D" w:rsidRDefault="008F0157" w:rsidP="001E4E2C">
            <w:pPr>
              <w:spacing w:before="120"/>
              <w:ind w:right="5"/>
              <w:rPr>
                <w:rFonts w:ascii="Arial" w:hAnsi="Arial" w:cs="Arial"/>
                <w:sz w:val="22"/>
                <w:szCs w:val="22"/>
              </w:rPr>
            </w:pPr>
            <w:r w:rsidRPr="00E3339D">
              <w:rPr>
                <w:rFonts w:ascii="Arial" w:hAnsi="Arial" w:cs="Arial"/>
                <w:sz w:val="22"/>
                <w:szCs w:val="22"/>
              </w:rPr>
              <w:lastRenderedPageBreak/>
              <w:t xml:space="preserve">Hazardous substances and the Environmental </w:t>
            </w:r>
            <w:r w:rsidRPr="00DD0D3D">
              <w:rPr>
                <w:rFonts w:ascii="Arial" w:hAnsi="Arial" w:cs="Arial"/>
                <w:sz w:val="22"/>
                <w:szCs w:val="22"/>
              </w:rPr>
              <w:t>Protection Authority</w:t>
            </w:r>
          </w:p>
        </w:tc>
        <w:tc>
          <w:tcPr>
            <w:tcW w:w="3456" w:type="dxa"/>
            <w:shd w:val="clear" w:color="auto" w:fill="auto"/>
          </w:tcPr>
          <w:p w:rsidR="008F0157" w:rsidRPr="00E3339D" w:rsidRDefault="008F0157" w:rsidP="003C450E">
            <w:pPr>
              <w:spacing w:before="120"/>
              <w:ind w:left="90" w:right="5"/>
              <w:rPr>
                <w:rFonts w:ascii="Arial" w:hAnsi="Arial" w:cs="Arial"/>
                <w:sz w:val="22"/>
                <w:szCs w:val="22"/>
              </w:rPr>
            </w:pPr>
            <w:r w:rsidRPr="00E3339D">
              <w:rPr>
                <w:rFonts w:ascii="Arial" w:hAnsi="Arial" w:cs="Arial"/>
                <w:sz w:val="22"/>
                <w:szCs w:val="22"/>
              </w:rPr>
              <w:t>Responsibilities under section 98 of the Hazardous Substances and New Organisms (HSNO) Act 1996 for enforcement in specified locations or circumstances</w:t>
            </w:r>
          </w:p>
        </w:tc>
        <w:tc>
          <w:tcPr>
            <w:tcW w:w="5073" w:type="dxa"/>
            <w:shd w:val="clear" w:color="auto" w:fill="auto"/>
          </w:tcPr>
          <w:p w:rsidR="008F0157" w:rsidRPr="00E3339D" w:rsidRDefault="008F0157" w:rsidP="00CF6B0B">
            <w:pPr>
              <w:spacing w:before="120"/>
              <w:ind w:left="6" w:right="5"/>
              <w:rPr>
                <w:rFonts w:ascii="Arial" w:hAnsi="Arial" w:cs="Arial"/>
                <w:sz w:val="22"/>
                <w:szCs w:val="22"/>
              </w:rPr>
            </w:pPr>
            <w:r w:rsidRPr="00E3339D">
              <w:rPr>
                <w:rFonts w:ascii="Arial" w:hAnsi="Arial" w:cs="Arial"/>
                <w:sz w:val="22"/>
                <w:szCs w:val="22"/>
              </w:rPr>
              <w:t>Where public health may be at risk, Public Health Unit HSNO enforcement officers may (depending on the circumstances):</w:t>
            </w:r>
          </w:p>
          <w:p w:rsidR="008F0157" w:rsidRPr="00E3339D" w:rsidRDefault="008F0157" w:rsidP="00DD0D3D">
            <w:pPr>
              <w:numPr>
                <w:ilvl w:val="0"/>
                <w:numId w:val="23"/>
              </w:numPr>
              <w:spacing w:before="120"/>
              <w:ind w:right="5"/>
              <w:rPr>
                <w:rFonts w:ascii="Arial" w:hAnsi="Arial" w:cs="Arial"/>
                <w:sz w:val="22"/>
                <w:szCs w:val="22"/>
              </w:rPr>
            </w:pPr>
            <w:r w:rsidRPr="00E3339D">
              <w:rPr>
                <w:rFonts w:ascii="Arial" w:hAnsi="Arial" w:cs="Arial"/>
                <w:sz w:val="22"/>
                <w:szCs w:val="22"/>
              </w:rPr>
              <w:t>provide information and advice to another agency or the public</w:t>
            </w:r>
          </w:p>
          <w:p w:rsidR="008F0157" w:rsidRPr="00E3339D" w:rsidRDefault="008F0157" w:rsidP="00DD0D3D">
            <w:pPr>
              <w:numPr>
                <w:ilvl w:val="0"/>
                <w:numId w:val="23"/>
              </w:numPr>
              <w:spacing w:before="120"/>
              <w:ind w:right="5"/>
              <w:rPr>
                <w:rFonts w:ascii="Arial" w:hAnsi="Arial" w:cs="Arial"/>
                <w:sz w:val="22"/>
                <w:szCs w:val="22"/>
              </w:rPr>
            </w:pPr>
            <w:r w:rsidRPr="00E3339D">
              <w:rPr>
                <w:rFonts w:ascii="Arial" w:hAnsi="Arial" w:cs="Arial"/>
                <w:sz w:val="22"/>
                <w:szCs w:val="22"/>
              </w:rPr>
              <w:t>provide active support, or</w:t>
            </w:r>
          </w:p>
          <w:p w:rsidR="008F0157" w:rsidRPr="00E3339D" w:rsidRDefault="008F0157" w:rsidP="003C450E">
            <w:pPr>
              <w:numPr>
                <w:ilvl w:val="0"/>
                <w:numId w:val="23"/>
              </w:numPr>
              <w:spacing w:before="120"/>
              <w:ind w:right="5"/>
              <w:rPr>
                <w:rFonts w:ascii="Arial" w:hAnsi="Arial" w:cs="Arial"/>
                <w:sz w:val="22"/>
                <w:szCs w:val="22"/>
              </w:rPr>
            </w:pPr>
            <w:r w:rsidRPr="00E3339D">
              <w:rPr>
                <w:rFonts w:ascii="Arial" w:hAnsi="Arial" w:cs="Arial"/>
                <w:sz w:val="22"/>
                <w:szCs w:val="22"/>
              </w:rPr>
              <w:t>where appropriate, take action to protect public health</w:t>
            </w:r>
          </w:p>
        </w:tc>
      </w:tr>
      <w:tr w:rsidR="008F0157" w:rsidRPr="00F5381D" w:rsidTr="00D26301">
        <w:tc>
          <w:tcPr>
            <w:tcW w:w="1617" w:type="dxa"/>
            <w:shd w:val="clear" w:color="auto" w:fill="auto"/>
          </w:tcPr>
          <w:p w:rsidR="008F0157" w:rsidRPr="00E3339D" w:rsidRDefault="008F0157" w:rsidP="000B5C25">
            <w:pPr>
              <w:spacing w:before="120"/>
              <w:ind w:left="6" w:right="6"/>
              <w:rPr>
                <w:rFonts w:ascii="Arial" w:hAnsi="Arial" w:cs="Arial"/>
                <w:sz w:val="22"/>
                <w:szCs w:val="22"/>
              </w:rPr>
            </w:pPr>
            <w:r w:rsidRPr="00E3339D">
              <w:rPr>
                <w:rFonts w:ascii="Arial" w:hAnsi="Arial" w:cs="Arial"/>
                <w:sz w:val="22"/>
                <w:szCs w:val="22"/>
              </w:rPr>
              <w:t xml:space="preserve">Iwi, </w:t>
            </w:r>
            <w:proofErr w:type="spellStart"/>
            <w:r w:rsidRPr="00E3339D">
              <w:rPr>
                <w:rFonts w:ascii="Arial" w:hAnsi="Arial" w:cs="Arial"/>
                <w:sz w:val="22"/>
                <w:szCs w:val="22"/>
              </w:rPr>
              <w:t>hapu</w:t>
            </w:r>
            <w:proofErr w:type="spellEnd"/>
            <w:r w:rsidRPr="00E3339D">
              <w:rPr>
                <w:rFonts w:ascii="Arial" w:hAnsi="Arial" w:cs="Arial"/>
                <w:sz w:val="22"/>
                <w:szCs w:val="22"/>
              </w:rPr>
              <w:t xml:space="preserve"> and other Māori agencies</w:t>
            </w:r>
          </w:p>
        </w:tc>
        <w:tc>
          <w:tcPr>
            <w:tcW w:w="3456" w:type="dxa"/>
            <w:shd w:val="clear" w:color="auto" w:fill="auto"/>
          </w:tcPr>
          <w:p w:rsidR="008F0157" w:rsidRPr="00E3339D" w:rsidRDefault="008F0157" w:rsidP="00DD0D3D">
            <w:pPr>
              <w:pStyle w:val="ListParagraph"/>
              <w:numPr>
                <w:ilvl w:val="0"/>
                <w:numId w:val="24"/>
              </w:numPr>
              <w:spacing w:before="120"/>
              <w:ind w:left="336" w:right="6"/>
              <w:rPr>
                <w:rFonts w:cs="Arial"/>
                <w:sz w:val="22"/>
              </w:rPr>
            </w:pPr>
            <w:r w:rsidRPr="00E3339D">
              <w:rPr>
                <w:rFonts w:cs="Arial"/>
                <w:sz w:val="22"/>
              </w:rPr>
              <w:t xml:space="preserve">Coordination </w:t>
            </w:r>
            <w:r w:rsidRPr="00E3339D">
              <w:rPr>
                <w:rFonts w:cs="Arial"/>
                <w:bCs/>
                <w:sz w:val="22"/>
              </w:rPr>
              <w:t>in achieving public health outcomes</w:t>
            </w:r>
          </w:p>
          <w:p w:rsidR="008F0157" w:rsidRPr="00E3339D" w:rsidRDefault="008F0157" w:rsidP="00DD0D3D">
            <w:pPr>
              <w:pStyle w:val="ListParagraph"/>
              <w:numPr>
                <w:ilvl w:val="0"/>
                <w:numId w:val="24"/>
              </w:numPr>
              <w:spacing w:before="120"/>
              <w:ind w:left="336" w:right="6"/>
              <w:rPr>
                <w:rFonts w:cs="Arial"/>
                <w:sz w:val="22"/>
              </w:rPr>
            </w:pPr>
            <w:r w:rsidRPr="00E3339D">
              <w:rPr>
                <w:rFonts w:cs="Arial"/>
                <w:bCs/>
                <w:sz w:val="22"/>
              </w:rPr>
              <w:t>F</w:t>
            </w:r>
            <w:r w:rsidRPr="00E3339D">
              <w:rPr>
                <w:rFonts w:cs="Arial"/>
                <w:sz w:val="22"/>
              </w:rPr>
              <w:t>ormal agreements (</w:t>
            </w:r>
            <w:proofErr w:type="spellStart"/>
            <w:r w:rsidRPr="00E3339D">
              <w:rPr>
                <w:rFonts w:cs="Arial"/>
                <w:sz w:val="22"/>
              </w:rPr>
              <w:t>eg</w:t>
            </w:r>
            <w:proofErr w:type="spellEnd"/>
            <w:r w:rsidRPr="00E3339D">
              <w:rPr>
                <w:rFonts w:cs="Arial"/>
                <w:sz w:val="22"/>
              </w:rPr>
              <w:t xml:space="preserve"> contract, </w:t>
            </w:r>
            <w:proofErr w:type="spellStart"/>
            <w:r w:rsidRPr="00E3339D">
              <w:rPr>
                <w:rFonts w:cs="Arial"/>
                <w:sz w:val="22"/>
              </w:rPr>
              <w:t>MoU</w:t>
            </w:r>
            <w:proofErr w:type="spellEnd"/>
            <w:r w:rsidRPr="00E3339D">
              <w:rPr>
                <w:rFonts w:cs="Arial"/>
                <w:sz w:val="22"/>
              </w:rPr>
              <w:t>) between health service providers to achieve shared outcomes</w:t>
            </w:r>
          </w:p>
          <w:p w:rsidR="008F0157" w:rsidRPr="00E3339D" w:rsidRDefault="008F0157" w:rsidP="003C450E">
            <w:pPr>
              <w:pStyle w:val="ListParagraph"/>
              <w:numPr>
                <w:ilvl w:val="0"/>
                <w:numId w:val="24"/>
              </w:numPr>
              <w:spacing w:before="120"/>
              <w:ind w:left="336" w:right="6"/>
              <w:rPr>
                <w:rFonts w:cs="Arial"/>
                <w:sz w:val="22"/>
              </w:rPr>
            </w:pPr>
            <w:r w:rsidRPr="00E3339D">
              <w:rPr>
                <w:rFonts w:cs="Arial"/>
                <w:sz w:val="22"/>
              </w:rPr>
              <w:t xml:space="preserve">Informal coordination and collaboration on an </w:t>
            </w:r>
            <w:r w:rsidRPr="00E3339D">
              <w:rPr>
                <w:rFonts w:cs="Arial"/>
                <w:i/>
                <w:sz w:val="22"/>
              </w:rPr>
              <w:t>ad hoc</w:t>
            </w:r>
            <w:r w:rsidRPr="00E3339D">
              <w:rPr>
                <w:rFonts w:cs="Arial"/>
                <w:sz w:val="22"/>
              </w:rPr>
              <w:t xml:space="preserve"> basis</w:t>
            </w:r>
          </w:p>
        </w:tc>
        <w:tc>
          <w:tcPr>
            <w:tcW w:w="5073" w:type="dxa"/>
            <w:shd w:val="clear" w:color="auto" w:fill="auto"/>
          </w:tcPr>
          <w:p w:rsidR="008F0157" w:rsidRPr="00E3339D" w:rsidRDefault="008F0157" w:rsidP="00DD0D3D">
            <w:pPr>
              <w:pStyle w:val="ListParagraph"/>
              <w:numPr>
                <w:ilvl w:val="0"/>
                <w:numId w:val="25"/>
              </w:numPr>
              <w:spacing w:before="120"/>
              <w:ind w:left="405" w:right="6"/>
              <w:rPr>
                <w:rFonts w:cs="Arial"/>
                <w:sz w:val="22"/>
              </w:rPr>
            </w:pPr>
            <w:r w:rsidRPr="00E3339D">
              <w:rPr>
                <w:rFonts w:cs="Arial"/>
                <w:sz w:val="22"/>
              </w:rPr>
              <w:t xml:space="preserve">Improve the planning, coordination and delivery of public health programmes (especially health promotion) </w:t>
            </w:r>
            <w:r w:rsidR="00394D95" w:rsidRPr="00E3339D">
              <w:rPr>
                <w:rFonts w:cs="Arial"/>
                <w:sz w:val="22"/>
              </w:rPr>
              <w:t>to</w:t>
            </w:r>
            <w:r w:rsidR="00394D95" w:rsidRPr="00DD0D3D">
              <w:rPr>
                <w:rFonts w:cs="Arial"/>
                <w:sz w:val="22"/>
              </w:rPr>
              <w:t xml:space="preserve"> promote collaboration and assist </w:t>
            </w:r>
            <w:r w:rsidRPr="00E3339D">
              <w:rPr>
                <w:rFonts w:cs="Arial"/>
                <w:sz w:val="22"/>
              </w:rPr>
              <w:t>services</w:t>
            </w:r>
            <w:r w:rsidR="00394D95" w:rsidRPr="00E3339D">
              <w:rPr>
                <w:rFonts w:cs="Arial"/>
                <w:sz w:val="22"/>
              </w:rPr>
              <w:t xml:space="preserve"> to</w:t>
            </w:r>
            <w:r w:rsidRPr="00E3339D">
              <w:rPr>
                <w:rFonts w:cs="Arial"/>
                <w:sz w:val="22"/>
              </w:rPr>
              <w:t xml:space="preserve"> improve Māor</w:t>
            </w:r>
            <w:r w:rsidR="001E4E2C">
              <w:rPr>
                <w:rFonts w:cs="Arial"/>
                <w:sz w:val="22"/>
              </w:rPr>
              <w:t>i health and reduce inequitable</w:t>
            </w:r>
            <w:r w:rsidRPr="00E3339D">
              <w:rPr>
                <w:rFonts w:cs="Arial"/>
                <w:sz w:val="22"/>
              </w:rPr>
              <w:t xml:space="preserve"> </w:t>
            </w:r>
            <w:r w:rsidR="00D82AE1" w:rsidRPr="00E3339D">
              <w:rPr>
                <w:rFonts w:cs="Arial"/>
                <w:sz w:val="22"/>
              </w:rPr>
              <w:t>health outcomes</w:t>
            </w:r>
          </w:p>
          <w:p w:rsidR="008F0157" w:rsidRPr="00E3339D" w:rsidRDefault="008F0157" w:rsidP="00DD0D3D">
            <w:pPr>
              <w:pStyle w:val="ListParagraph"/>
              <w:numPr>
                <w:ilvl w:val="0"/>
                <w:numId w:val="25"/>
              </w:numPr>
              <w:spacing w:before="120"/>
              <w:ind w:left="405" w:right="6"/>
              <w:rPr>
                <w:rFonts w:cs="Arial"/>
                <w:sz w:val="22"/>
              </w:rPr>
            </w:pPr>
            <w:r w:rsidRPr="00E3339D">
              <w:rPr>
                <w:rFonts w:cs="Arial"/>
                <w:sz w:val="22"/>
              </w:rPr>
              <w:t>Promote understanding of Māori models of health and Ministry strategies</w:t>
            </w:r>
            <w:r w:rsidR="00D82AE1" w:rsidRPr="00E3339D">
              <w:rPr>
                <w:rFonts w:cs="Arial"/>
                <w:sz w:val="22"/>
              </w:rPr>
              <w:t xml:space="preserve"> (</w:t>
            </w:r>
            <w:proofErr w:type="spellStart"/>
            <w:r w:rsidR="00D82AE1" w:rsidRPr="00DD0D3D">
              <w:rPr>
                <w:rFonts w:cs="Arial"/>
                <w:sz w:val="22"/>
              </w:rPr>
              <w:t>eg</w:t>
            </w:r>
            <w:proofErr w:type="spellEnd"/>
            <w:r w:rsidR="00D82AE1" w:rsidRPr="00DD0D3D">
              <w:rPr>
                <w:rFonts w:cs="Arial"/>
                <w:i/>
                <w:sz w:val="22"/>
              </w:rPr>
              <w:t xml:space="preserve">, He Korowai </w:t>
            </w:r>
            <w:proofErr w:type="spellStart"/>
            <w:r w:rsidR="00D82AE1" w:rsidRPr="00DD0D3D">
              <w:rPr>
                <w:rFonts w:cs="Arial"/>
                <w:i/>
                <w:sz w:val="22"/>
              </w:rPr>
              <w:t>Oranga</w:t>
            </w:r>
            <w:proofErr w:type="spellEnd"/>
            <w:r w:rsidR="00D82AE1" w:rsidRPr="00E3339D">
              <w:rPr>
                <w:rFonts w:cs="Arial"/>
                <w:sz w:val="22"/>
              </w:rPr>
              <w:t>) to address Māori health needs</w:t>
            </w:r>
          </w:p>
          <w:p w:rsidR="00D82AE1" w:rsidRPr="00DD0D3D" w:rsidRDefault="00D82AE1" w:rsidP="00DD0D3D">
            <w:pPr>
              <w:pStyle w:val="ListParagraph"/>
              <w:numPr>
                <w:ilvl w:val="0"/>
                <w:numId w:val="25"/>
              </w:numPr>
              <w:spacing w:before="120"/>
              <w:ind w:left="405" w:right="6"/>
              <w:rPr>
                <w:rFonts w:cs="Arial"/>
                <w:sz w:val="22"/>
              </w:rPr>
            </w:pPr>
            <w:r w:rsidRPr="00DD0D3D">
              <w:rPr>
                <w:rFonts w:cs="Arial"/>
                <w:sz w:val="22"/>
              </w:rPr>
              <w:t>Engage with local (</w:t>
            </w:r>
            <w:proofErr w:type="spellStart"/>
            <w:r w:rsidRPr="00DD0D3D">
              <w:rPr>
                <w:rFonts w:cs="Arial"/>
                <w:sz w:val="22"/>
              </w:rPr>
              <w:t>mana</w:t>
            </w:r>
            <w:proofErr w:type="spellEnd"/>
            <w:r w:rsidRPr="00DD0D3D">
              <w:rPr>
                <w:rFonts w:cs="Arial"/>
                <w:sz w:val="22"/>
              </w:rPr>
              <w:t xml:space="preserve"> whenua) </w:t>
            </w:r>
            <w:r w:rsidR="00CD2594" w:rsidRPr="00DD0D3D">
              <w:rPr>
                <w:rFonts w:cs="Arial"/>
                <w:bCs/>
                <w:sz w:val="22"/>
              </w:rPr>
              <w:t xml:space="preserve">Māori </w:t>
            </w:r>
            <w:r w:rsidRPr="00DD0D3D">
              <w:rPr>
                <w:rFonts w:cs="Arial"/>
                <w:sz w:val="22"/>
              </w:rPr>
              <w:t xml:space="preserve">during decision making, programme design and implementation, to ensure that planning, coordination and delivery of public health programmes is specific and appropriate to </w:t>
            </w:r>
            <w:proofErr w:type="spellStart"/>
            <w:r w:rsidR="00CD2594" w:rsidRPr="00DD0D3D">
              <w:rPr>
                <w:rFonts w:cs="Arial"/>
                <w:bCs/>
                <w:sz w:val="22"/>
              </w:rPr>
              <w:t>whānau</w:t>
            </w:r>
            <w:proofErr w:type="spellEnd"/>
            <w:r w:rsidRPr="00DD0D3D">
              <w:rPr>
                <w:rFonts w:cs="Arial"/>
                <w:sz w:val="22"/>
              </w:rPr>
              <w:t xml:space="preserve">, </w:t>
            </w:r>
            <w:proofErr w:type="spellStart"/>
            <w:r w:rsidRPr="00DD0D3D">
              <w:rPr>
                <w:rFonts w:cs="Arial"/>
                <w:sz w:val="22"/>
              </w:rPr>
              <w:t>hapu</w:t>
            </w:r>
            <w:proofErr w:type="spellEnd"/>
            <w:r w:rsidRPr="00DD0D3D">
              <w:rPr>
                <w:rFonts w:cs="Arial"/>
                <w:sz w:val="22"/>
              </w:rPr>
              <w:t xml:space="preserve"> and iwi within the service areas</w:t>
            </w:r>
          </w:p>
          <w:p w:rsidR="008F0157" w:rsidRPr="003C450E" w:rsidRDefault="008F0157" w:rsidP="003C450E">
            <w:pPr>
              <w:pStyle w:val="ListParagraph"/>
              <w:numPr>
                <w:ilvl w:val="0"/>
                <w:numId w:val="25"/>
              </w:numPr>
              <w:spacing w:before="120"/>
              <w:ind w:left="405" w:right="6"/>
              <w:rPr>
                <w:rFonts w:cs="Arial"/>
                <w:sz w:val="22"/>
              </w:rPr>
            </w:pPr>
            <w:r w:rsidRPr="00E3339D">
              <w:rPr>
                <w:rFonts w:cs="Arial"/>
                <w:sz w:val="22"/>
              </w:rPr>
              <w:t xml:space="preserve">Promote application of the </w:t>
            </w:r>
            <w:proofErr w:type="spellStart"/>
            <w:r w:rsidRPr="00E3339D">
              <w:rPr>
                <w:rFonts w:cs="Arial"/>
                <w:sz w:val="22"/>
              </w:rPr>
              <w:t>Whānau</w:t>
            </w:r>
            <w:proofErr w:type="spellEnd"/>
            <w:r w:rsidRPr="00E3339D">
              <w:rPr>
                <w:rFonts w:cs="Arial"/>
                <w:sz w:val="22"/>
              </w:rPr>
              <w:t xml:space="preserve"> </w:t>
            </w:r>
            <w:proofErr w:type="spellStart"/>
            <w:r w:rsidRPr="00E3339D">
              <w:rPr>
                <w:rFonts w:cs="Arial"/>
                <w:sz w:val="22"/>
              </w:rPr>
              <w:t>Ora</w:t>
            </w:r>
            <w:proofErr w:type="spellEnd"/>
            <w:r w:rsidRPr="00E3339D">
              <w:rPr>
                <w:rFonts w:cs="Arial"/>
                <w:sz w:val="22"/>
              </w:rPr>
              <w:t xml:space="preserve"> planning tool to address Māori health needs </w:t>
            </w:r>
          </w:p>
        </w:tc>
      </w:tr>
      <w:tr w:rsidR="008F0157" w:rsidRPr="00F5381D" w:rsidTr="00D26301">
        <w:tc>
          <w:tcPr>
            <w:tcW w:w="1617" w:type="dxa"/>
            <w:shd w:val="clear" w:color="auto" w:fill="auto"/>
          </w:tcPr>
          <w:p w:rsidR="008F0157" w:rsidRPr="00E3339D" w:rsidRDefault="008F0157" w:rsidP="000B5C25">
            <w:pPr>
              <w:spacing w:before="120"/>
              <w:ind w:right="6"/>
              <w:rPr>
                <w:rFonts w:ascii="Arial" w:hAnsi="Arial" w:cs="Arial"/>
                <w:sz w:val="22"/>
                <w:szCs w:val="22"/>
              </w:rPr>
            </w:pPr>
            <w:r w:rsidRPr="00E3339D">
              <w:rPr>
                <w:rFonts w:ascii="Arial" w:hAnsi="Arial" w:cs="Arial"/>
                <w:sz w:val="22"/>
                <w:szCs w:val="22"/>
              </w:rPr>
              <w:t>Non-Government Organisations  (NGOs), including bodies representing ethnic minorities</w:t>
            </w:r>
          </w:p>
        </w:tc>
        <w:tc>
          <w:tcPr>
            <w:tcW w:w="3456" w:type="dxa"/>
            <w:shd w:val="clear" w:color="auto" w:fill="auto"/>
          </w:tcPr>
          <w:p w:rsidR="008F0157" w:rsidRPr="00E3339D" w:rsidRDefault="008F0157" w:rsidP="00DD0D3D">
            <w:pPr>
              <w:pStyle w:val="ListParagraph"/>
              <w:numPr>
                <w:ilvl w:val="0"/>
                <w:numId w:val="26"/>
              </w:numPr>
              <w:spacing w:before="120"/>
              <w:ind w:left="336" w:right="6"/>
              <w:rPr>
                <w:rFonts w:cs="Arial"/>
                <w:bCs/>
                <w:sz w:val="22"/>
              </w:rPr>
            </w:pPr>
            <w:r w:rsidRPr="00E3339D">
              <w:rPr>
                <w:rFonts w:cs="Arial"/>
                <w:sz w:val="22"/>
              </w:rPr>
              <w:t xml:space="preserve">Coordination </w:t>
            </w:r>
            <w:r w:rsidRPr="00E3339D">
              <w:rPr>
                <w:rFonts w:cs="Arial"/>
                <w:bCs/>
                <w:sz w:val="22"/>
              </w:rPr>
              <w:t>in achieving public health outcomes and contributing to social cohesion</w:t>
            </w:r>
          </w:p>
          <w:p w:rsidR="008F0157" w:rsidRPr="00DD0D3D" w:rsidRDefault="008F0157" w:rsidP="00DD0D3D">
            <w:pPr>
              <w:pStyle w:val="ListParagraph"/>
              <w:numPr>
                <w:ilvl w:val="0"/>
                <w:numId w:val="26"/>
              </w:numPr>
              <w:spacing w:before="120"/>
              <w:ind w:left="336" w:right="6"/>
              <w:rPr>
                <w:rFonts w:cs="Arial"/>
                <w:sz w:val="22"/>
              </w:rPr>
            </w:pPr>
            <w:r w:rsidRPr="00DD0D3D">
              <w:rPr>
                <w:rFonts w:cs="Arial"/>
                <w:sz w:val="22"/>
              </w:rPr>
              <w:t xml:space="preserve">The relationship accord </w:t>
            </w:r>
            <w:r w:rsidRPr="00DD0D3D">
              <w:rPr>
                <w:rFonts w:cs="Arial"/>
                <w:i/>
                <w:sz w:val="22"/>
              </w:rPr>
              <w:t xml:space="preserve">Kia </w:t>
            </w:r>
            <w:proofErr w:type="spellStart"/>
            <w:r w:rsidRPr="00DD0D3D">
              <w:rPr>
                <w:rFonts w:cs="Arial"/>
                <w:i/>
                <w:sz w:val="22"/>
              </w:rPr>
              <w:t>Tutahi</w:t>
            </w:r>
            <w:proofErr w:type="spellEnd"/>
            <w:r w:rsidRPr="00DD0D3D">
              <w:rPr>
                <w:rFonts w:cs="Arial"/>
                <w:i/>
                <w:sz w:val="22"/>
              </w:rPr>
              <w:t xml:space="preserve"> standing together</w:t>
            </w:r>
            <w:r w:rsidRPr="00DD0D3D">
              <w:rPr>
                <w:rFonts w:cs="Arial"/>
                <w:bCs/>
                <w:sz w:val="22"/>
              </w:rPr>
              <w:t xml:space="preserve"> </w:t>
            </w:r>
          </w:p>
        </w:tc>
        <w:tc>
          <w:tcPr>
            <w:tcW w:w="5073" w:type="dxa"/>
            <w:shd w:val="clear" w:color="auto" w:fill="auto"/>
          </w:tcPr>
          <w:p w:rsidR="008F0157" w:rsidRPr="00DD0D3D" w:rsidRDefault="008F0157" w:rsidP="00DD0D3D">
            <w:pPr>
              <w:pStyle w:val="ListParagraph"/>
              <w:numPr>
                <w:ilvl w:val="0"/>
                <w:numId w:val="27"/>
              </w:numPr>
              <w:spacing w:before="120"/>
              <w:ind w:left="405" w:right="6"/>
              <w:rPr>
                <w:rFonts w:cs="Arial"/>
                <w:sz w:val="22"/>
              </w:rPr>
            </w:pPr>
            <w:r w:rsidRPr="00DD0D3D">
              <w:rPr>
                <w:rFonts w:cs="Arial"/>
                <w:sz w:val="22"/>
              </w:rPr>
              <w:t>Effective communication and support in achieving shared objectives</w:t>
            </w:r>
          </w:p>
          <w:p w:rsidR="008F0157" w:rsidRPr="00E3339D" w:rsidRDefault="008F0157" w:rsidP="00DD0D3D">
            <w:pPr>
              <w:pStyle w:val="ListParagraph"/>
              <w:numPr>
                <w:ilvl w:val="0"/>
                <w:numId w:val="27"/>
              </w:numPr>
              <w:spacing w:before="120"/>
              <w:ind w:left="405" w:right="6"/>
              <w:rPr>
                <w:rFonts w:cs="Arial"/>
                <w:sz w:val="22"/>
              </w:rPr>
            </w:pPr>
            <w:r w:rsidRPr="00E3339D">
              <w:rPr>
                <w:rFonts w:cs="Arial"/>
                <w:sz w:val="22"/>
              </w:rPr>
              <w:t>Improv</w:t>
            </w:r>
            <w:r w:rsidR="003C450E">
              <w:rPr>
                <w:rFonts w:cs="Arial"/>
                <w:sz w:val="22"/>
              </w:rPr>
              <w:t>ing</w:t>
            </w:r>
            <w:r w:rsidRPr="00E3339D">
              <w:rPr>
                <w:rFonts w:cs="Arial"/>
                <w:sz w:val="22"/>
              </w:rPr>
              <w:t xml:space="preserve"> the planning, coordination and delivery of public health programmes (especially health promotion) </w:t>
            </w:r>
            <w:r w:rsidR="00394D95" w:rsidRPr="00E3339D">
              <w:rPr>
                <w:rFonts w:cs="Arial"/>
                <w:sz w:val="22"/>
              </w:rPr>
              <w:t>to</w:t>
            </w:r>
            <w:r w:rsidR="00394D95" w:rsidRPr="00DD0D3D">
              <w:rPr>
                <w:rFonts w:cs="Arial"/>
                <w:sz w:val="22"/>
              </w:rPr>
              <w:t xml:space="preserve"> promote collaboration</w:t>
            </w:r>
            <w:r w:rsidR="00394D95" w:rsidRPr="00E3339D">
              <w:rPr>
                <w:rFonts w:cs="Arial"/>
                <w:sz w:val="22"/>
              </w:rPr>
              <w:t xml:space="preserve">, </w:t>
            </w:r>
            <w:r w:rsidRPr="00E3339D">
              <w:rPr>
                <w:rFonts w:cs="Arial"/>
                <w:sz w:val="22"/>
              </w:rPr>
              <w:t>consistent messages, reduction of service gaps and duplication</w:t>
            </w:r>
            <w:r w:rsidR="00CD2594">
              <w:rPr>
                <w:rFonts w:cs="Arial"/>
                <w:sz w:val="22"/>
              </w:rPr>
              <w:t>,</w:t>
            </w:r>
            <w:r w:rsidRPr="00E3339D">
              <w:rPr>
                <w:rFonts w:cs="Arial"/>
                <w:sz w:val="22"/>
              </w:rPr>
              <w:t xml:space="preserve"> and reduction of inequalities in health</w:t>
            </w:r>
          </w:p>
          <w:p w:rsidR="008F0157" w:rsidRPr="00E3339D" w:rsidRDefault="001E4E2C" w:rsidP="003C450E">
            <w:pPr>
              <w:pStyle w:val="ListParagraph"/>
              <w:numPr>
                <w:ilvl w:val="0"/>
                <w:numId w:val="27"/>
              </w:numPr>
              <w:spacing w:before="120"/>
              <w:ind w:left="405" w:right="6"/>
              <w:rPr>
                <w:rFonts w:cs="Arial"/>
                <w:sz w:val="22"/>
              </w:rPr>
            </w:pPr>
            <w:r w:rsidRPr="00DD0D3D">
              <w:rPr>
                <w:rFonts w:cs="Arial"/>
                <w:sz w:val="22"/>
              </w:rPr>
              <w:t>P</w:t>
            </w:r>
            <w:r w:rsidR="00546943" w:rsidRPr="00DD0D3D">
              <w:rPr>
                <w:rFonts w:cs="Arial"/>
                <w:sz w:val="22"/>
              </w:rPr>
              <w:t>romot</w:t>
            </w:r>
            <w:r w:rsidR="003C450E">
              <w:rPr>
                <w:rFonts w:cs="Arial"/>
                <w:sz w:val="22"/>
              </w:rPr>
              <w:t>ing</w:t>
            </w:r>
            <w:r w:rsidR="00546943" w:rsidRPr="00E3339D">
              <w:rPr>
                <w:rFonts w:cs="Arial"/>
                <w:sz w:val="22"/>
              </w:rPr>
              <w:t xml:space="preserve"> </w:t>
            </w:r>
            <w:r w:rsidR="008F0157" w:rsidRPr="00E3339D">
              <w:rPr>
                <w:rFonts w:cs="Arial"/>
                <w:sz w:val="22"/>
              </w:rPr>
              <w:t>community engagement in programme design and implementation</w:t>
            </w:r>
          </w:p>
        </w:tc>
      </w:tr>
      <w:tr w:rsidR="008F0157" w:rsidRPr="00F5381D" w:rsidTr="00D26301">
        <w:tc>
          <w:tcPr>
            <w:tcW w:w="1617" w:type="dxa"/>
            <w:shd w:val="clear" w:color="auto" w:fill="auto"/>
          </w:tcPr>
          <w:p w:rsidR="008F0157" w:rsidRPr="00E3339D" w:rsidRDefault="008F0157" w:rsidP="000B5C25">
            <w:pPr>
              <w:spacing w:before="120"/>
              <w:ind w:right="6"/>
              <w:rPr>
                <w:rFonts w:ascii="Arial" w:hAnsi="Arial" w:cs="Arial"/>
                <w:sz w:val="22"/>
                <w:szCs w:val="22"/>
              </w:rPr>
            </w:pPr>
            <w:r w:rsidRPr="00E3339D">
              <w:rPr>
                <w:rFonts w:ascii="Arial" w:hAnsi="Arial" w:cs="Arial"/>
                <w:sz w:val="22"/>
                <w:szCs w:val="22"/>
              </w:rPr>
              <w:t>Other government agencies</w:t>
            </w:r>
          </w:p>
        </w:tc>
        <w:tc>
          <w:tcPr>
            <w:tcW w:w="3456" w:type="dxa"/>
            <w:shd w:val="clear" w:color="auto" w:fill="auto"/>
          </w:tcPr>
          <w:p w:rsidR="008F0157" w:rsidRPr="00E3339D" w:rsidRDefault="008F0157" w:rsidP="00DD0D3D">
            <w:pPr>
              <w:pStyle w:val="ListParagraph"/>
              <w:numPr>
                <w:ilvl w:val="0"/>
                <w:numId w:val="28"/>
              </w:numPr>
              <w:spacing w:before="120"/>
              <w:ind w:left="478" w:right="6"/>
              <w:rPr>
                <w:rFonts w:cs="Arial"/>
                <w:sz w:val="22"/>
              </w:rPr>
            </w:pPr>
            <w:r w:rsidRPr="00E3339D">
              <w:rPr>
                <w:rFonts w:cs="Arial"/>
                <w:sz w:val="22"/>
              </w:rPr>
              <w:t xml:space="preserve">Coordination as negotiated by </w:t>
            </w:r>
            <w:proofErr w:type="spellStart"/>
            <w:r w:rsidRPr="00E3339D">
              <w:rPr>
                <w:rFonts w:cs="Arial"/>
                <w:sz w:val="22"/>
              </w:rPr>
              <w:t>MoU</w:t>
            </w:r>
            <w:proofErr w:type="spellEnd"/>
            <w:r w:rsidRPr="00E3339D">
              <w:rPr>
                <w:rFonts w:cs="Arial"/>
                <w:sz w:val="22"/>
              </w:rPr>
              <w:t xml:space="preserve">, contract or other form of agreement, or on an </w:t>
            </w:r>
            <w:r w:rsidRPr="00E3339D">
              <w:rPr>
                <w:rFonts w:cs="Arial"/>
                <w:i/>
                <w:sz w:val="22"/>
              </w:rPr>
              <w:t>ad hoc</w:t>
            </w:r>
            <w:r w:rsidRPr="00E3339D">
              <w:rPr>
                <w:rFonts w:cs="Arial"/>
                <w:sz w:val="22"/>
              </w:rPr>
              <w:t xml:space="preserve"> basis.</w:t>
            </w:r>
          </w:p>
          <w:p w:rsidR="008F0157" w:rsidRPr="00DD0D3D" w:rsidRDefault="008F0157" w:rsidP="00DD0D3D">
            <w:pPr>
              <w:pStyle w:val="ListParagraph"/>
              <w:numPr>
                <w:ilvl w:val="0"/>
                <w:numId w:val="28"/>
              </w:numPr>
              <w:spacing w:before="120"/>
              <w:ind w:left="478" w:right="6"/>
              <w:rPr>
                <w:rFonts w:cs="Arial"/>
                <w:sz w:val="22"/>
              </w:rPr>
            </w:pPr>
            <w:r w:rsidRPr="00DD0D3D">
              <w:rPr>
                <w:rFonts w:cs="Arial"/>
                <w:sz w:val="22"/>
              </w:rPr>
              <w:t xml:space="preserve">The relationship accord </w:t>
            </w:r>
            <w:r w:rsidRPr="00DD0D3D">
              <w:rPr>
                <w:rFonts w:cs="Arial"/>
                <w:i/>
                <w:sz w:val="22"/>
              </w:rPr>
              <w:t xml:space="preserve">Kia </w:t>
            </w:r>
            <w:proofErr w:type="spellStart"/>
            <w:r w:rsidRPr="00DD0D3D">
              <w:rPr>
                <w:rFonts w:cs="Arial"/>
                <w:i/>
                <w:sz w:val="22"/>
              </w:rPr>
              <w:t>Tutahi</w:t>
            </w:r>
            <w:proofErr w:type="spellEnd"/>
            <w:r w:rsidRPr="00DD0D3D">
              <w:rPr>
                <w:rFonts w:cs="Arial"/>
                <w:i/>
                <w:sz w:val="22"/>
              </w:rPr>
              <w:t xml:space="preserve"> standing together</w:t>
            </w:r>
          </w:p>
        </w:tc>
        <w:tc>
          <w:tcPr>
            <w:tcW w:w="5073" w:type="dxa"/>
            <w:shd w:val="clear" w:color="auto" w:fill="auto"/>
          </w:tcPr>
          <w:p w:rsidR="008F0157" w:rsidRPr="00E3339D" w:rsidRDefault="008F0157" w:rsidP="00DD0D3D">
            <w:pPr>
              <w:pStyle w:val="ListParagraph"/>
              <w:numPr>
                <w:ilvl w:val="0"/>
                <w:numId w:val="29"/>
              </w:numPr>
              <w:spacing w:before="120"/>
              <w:ind w:left="405" w:right="6"/>
              <w:rPr>
                <w:rFonts w:cs="Arial"/>
                <w:sz w:val="22"/>
              </w:rPr>
            </w:pPr>
            <w:r w:rsidRPr="00E3339D">
              <w:rPr>
                <w:rFonts w:cs="Arial"/>
                <w:sz w:val="22"/>
              </w:rPr>
              <w:t>Effective communication and support in achieving shared objectives</w:t>
            </w:r>
          </w:p>
          <w:p w:rsidR="008F0157" w:rsidRPr="00E3339D" w:rsidRDefault="008F0157" w:rsidP="00DD0D3D">
            <w:pPr>
              <w:pStyle w:val="ListParagraph"/>
              <w:numPr>
                <w:ilvl w:val="0"/>
                <w:numId w:val="29"/>
              </w:numPr>
              <w:spacing w:before="120"/>
              <w:ind w:left="405" w:right="6"/>
              <w:rPr>
                <w:rFonts w:cs="Arial"/>
                <w:sz w:val="22"/>
              </w:rPr>
            </w:pPr>
            <w:r w:rsidRPr="00E3339D">
              <w:rPr>
                <w:rFonts w:cs="Arial"/>
                <w:sz w:val="22"/>
              </w:rPr>
              <w:t>Improv</w:t>
            </w:r>
            <w:r w:rsidR="003C450E">
              <w:rPr>
                <w:rFonts w:cs="Arial"/>
                <w:sz w:val="22"/>
              </w:rPr>
              <w:t>ing</w:t>
            </w:r>
            <w:r w:rsidRPr="00E3339D">
              <w:rPr>
                <w:rFonts w:cs="Arial"/>
                <w:sz w:val="22"/>
              </w:rPr>
              <w:t xml:space="preserve"> the planning, coordination and delivery of public health programmes (especially health promotion) to</w:t>
            </w:r>
            <w:r w:rsidRPr="00DD0D3D">
              <w:rPr>
                <w:rFonts w:cs="Arial"/>
                <w:sz w:val="22"/>
              </w:rPr>
              <w:t xml:space="preserve"> </w:t>
            </w:r>
            <w:r w:rsidR="00394D95" w:rsidRPr="00DD0D3D">
              <w:rPr>
                <w:rFonts w:cs="Arial"/>
                <w:sz w:val="22"/>
              </w:rPr>
              <w:t>promote collaboration</w:t>
            </w:r>
            <w:r w:rsidR="00DD0D3D">
              <w:rPr>
                <w:rFonts w:cs="Arial"/>
                <w:sz w:val="22"/>
              </w:rPr>
              <w:t>,</w:t>
            </w:r>
            <w:r w:rsidRPr="00E3339D">
              <w:rPr>
                <w:rFonts w:cs="Arial"/>
                <w:sz w:val="22"/>
              </w:rPr>
              <w:t xml:space="preserve"> consistent messages, and to reduce service gaps and duplication</w:t>
            </w:r>
          </w:p>
          <w:p w:rsidR="008F0157" w:rsidRPr="00E3339D" w:rsidRDefault="003C450E" w:rsidP="003C450E">
            <w:pPr>
              <w:pStyle w:val="ListParagraph"/>
              <w:numPr>
                <w:ilvl w:val="0"/>
                <w:numId w:val="29"/>
              </w:numPr>
              <w:spacing w:before="120"/>
              <w:ind w:left="405" w:right="6"/>
              <w:rPr>
                <w:rFonts w:cs="Arial"/>
                <w:sz w:val="22"/>
              </w:rPr>
            </w:pPr>
            <w:r>
              <w:rPr>
                <w:rFonts w:cs="Arial"/>
                <w:sz w:val="22"/>
              </w:rPr>
              <w:t>Contributing</w:t>
            </w:r>
            <w:r w:rsidR="008F0157" w:rsidRPr="00E3339D">
              <w:rPr>
                <w:rFonts w:cs="Arial"/>
                <w:sz w:val="22"/>
              </w:rPr>
              <w:t xml:space="preserve"> as required to fulfil Government requirements for a whole of government response to designated issues</w:t>
            </w:r>
          </w:p>
        </w:tc>
      </w:tr>
      <w:tr w:rsidR="008F0157" w:rsidRPr="00F5381D" w:rsidTr="00D26301">
        <w:tc>
          <w:tcPr>
            <w:tcW w:w="1617" w:type="dxa"/>
            <w:shd w:val="clear" w:color="auto" w:fill="auto"/>
          </w:tcPr>
          <w:p w:rsidR="008F0157" w:rsidRPr="00E3339D" w:rsidRDefault="008F0157" w:rsidP="000B5C25">
            <w:pPr>
              <w:spacing w:before="120"/>
              <w:ind w:right="6"/>
              <w:rPr>
                <w:rFonts w:ascii="Arial" w:hAnsi="Arial" w:cs="Arial"/>
                <w:sz w:val="22"/>
                <w:szCs w:val="22"/>
              </w:rPr>
            </w:pPr>
            <w:r w:rsidRPr="00E3339D">
              <w:rPr>
                <w:rFonts w:ascii="Arial" w:hAnsi="Arial" w:cs="Arial"/>
                <w:sz w:val="22"/>
                <w:szCs w:val="22"/>
              </w:rPr>
              <w:t>Private Sector</w:t>
            </w:r>
          </w:p>
        </w:tc>
        <w:tc>
          <w:tcPr>
            <w:tcW w:w="3456" w:type="dxa"/>
            <w:shd w:val="clear" w:color="auto" w:fill="auto"/>
          </w:tcPr>
          <w:p w:rsidR="008F0157" w:rsidRPr="00E3339D" w:rsidRDefault="008F0157" w:rsidP="00DD0D3D">
            <w:pPr>
              <w:pStyle w:val="ListParagraph"/>
              <w:numPr>
                <w:ilvl w:val="0"/>
                <w:numId w:val="32"/>
              </w:numPr>
              <w:spacing w:before="120"/>
              <w:ind w:left="478" w:right="6" w:hanging="425"/>
              <w:rPr>
                <w:rFonts w:cs="Arial"/>
                <w:bCs/>
                <w:sz w:val="22"/>
              </w:rPr>
            </w:pPr>
            <w:r w:rsidRPr="00E3339D">
              <w:rPr>
                <w:rFonts w:cs="Arial"/>
                <w:sz w:val="22"/>
              </w:rPr>
              <w:t xml:space="preserve">Voluntary </w:t>
            </w:r>
            <w:r w:rsidR="00546943" w:rsidRPr="00E3339D">
              <w:rPr>
                <w:rFonts w:cs="Arial"/>
                <w:sz w:val="22"/>
              </w:rPr>
              <w:t>measures</w:t>
            </w:r>
            <w:r w:rsidRPr="00E3339D">
              <w:rPr>
                <w:rFonts w:cs="Arial"/>
                <w:sz w:val="22"/>
              </w:rPr>
              <w:t xml:space="preserve"> </w:t>
            </w:r>
            <w:r w:rsidR="00546943" w:rsidRPr="00E3339D">
              <w:rPr>
                <w:rFonts w:cs="Arial"/>
                <w:bCs/>
                <w:sz w:val="22"/>
              </w:rPr>
              <w:t>to improve</w:t>
            </w:r>
            <w:r w:rsidRPr="00E3339D">
              <w:rPr>
                <w:rFonts w:cs="Arial"/>
                <w:bCs/>
                <w:sz w:val="22"/>
              </w:rPr>
              <w:t xml:space="preserve"> public health </w:t>
            </w:r>
            <w:r w:rsidRPr="00E3339D">
              <w:rPr>
                <w:rFonts w:cs="Arial"/>
                <w:bCs/>
                <w:sz w:val="22"/>
              </w:rPr>
              <w:lastRenderedPageBreak/>
              <w:t>outcomes</w:t>
            </w:r>
          </w:p>
          <w:p w:rsidR="00546943" w:rsidRPr="00DD0D3D" w:rsidRDefault="00546943" w:rsidP="003C450E">
            <w:pPr>
              <w:pStyle w:val="ListParagraph"/>
              <w:numPr>
                <w:ilvl w:val="0"/>
                <w:numId w:val="32"/>
              </w:numPr>
              <w:spacing w:before="120"/>
              <w:ind w:left="478" w:right="6" w:hanging="425"/>
              <w:rPr>
                <w:rFonts w:cs="Arial"/>
                <w:sz w:val="22"/>
              </w:rPr>
            </w:pPr>
            <w:r w:rsidRPr="00DD0D3D">
              <w:rPr>
                <w:rFonts w:cs="Arial"/>
                <w:sz w:val="22"/>
              </w:rPr>
              <w:t>Shared interest in reducing costs of ill health</w:t>
            </w:r>
          </w:p>
        </w:tc>
        <w:tc>
          <w:tcPr>
            <w:tcW w:w="5073" w:type="dxa"/>
            <w:shd w:val="clear" w:color="auto" w:fill="auto"/>
          </w:tcPr>
          <w:p w:rsidR="008F0157" w:rsidRPr="00E3339D" w:rsidRDefault="008F0157" w:rsidP="003C450E">
            <w:pPr>
              <w:spacing w:before="120"/>
              <w:ind w:left="405" w:right="6"/>
              <w:rPr>
                <w:rFonts w:ascii="Arial" w:hAnsi="Arial" w:cs="Arial"/>
                <w:sz w:val="22"/>
                <w:szCs w:val="22"/>
              </w:rPr>
            </w:pPr>
            <w:r w:rsidRPr="00E3339D">
              <w:rPr>
                <w:rFonts w:ascii="Arial" w:hAnsi="Arial" w:cs="Arial"/>
                <w:sz w:val="22"/>
                <w:szCs w:val="22"/>
              </w:rPr>
              <w:lastRenderedPageBreak/>
              <w:t>Effective communication and collaboration to achieve shared objectives</w:t>
            </w:r>
          </w:p>
        </w:tc>
      </w:tr>
      <w:tr w:rsidR="008F0157" w:rsidRPr="00F5381D" w:rsidTr="00D26301">
        <w:tc>
          <w:tcPr>
            <w:tcW w:w="1617" w:type="dxa"/>
            <w:shd w:val="clear" w:color="auto" w:fill="auto"/>
          </w:tcPr>
          <w:p w:rsidR="008F0157" w:rsidRPr="00DD0D3D" w:rsidRDefault="008F0157" w:rsidP="000B5C25">
            <w:pPr>
              <w:spacing w:before="120"/>
              <w:ind w:right="6"/>
              <w:rPr>
                <w:rFonts w:ascii="Arial" w:hAnsi="Arial" w:cs="Arial"/>
                <w:sz w:val="22"/>
                <w:szCs w:val="22"/>
              </w:rPr>
            </w:pPr>
            <w:r w:rsidRPr="00DD0D3D">
              <w:rPr>
                <w:rFonts w:ascii="Arial" w:hAnsi="Arial" w:cs="Arial"/>
                <w:sz w:val="22"/>
                <w:szCs w:val="22"/>
              </w:rPr>
              <w:lastRenderedPageBreak/>
              <w:t>Universities and research institutions</w:t>
            </w:r>
          </w:p>
        </w:tc>
        <w:tc>
          <w:tcPr>
            <w:tcW w:w="3456" w:type="dxa"/>
            <w:shd w:val="clear" w:color="auto" w:fill="auto"/>
          </w:tcPr>
          <w:p w:rsidR="008F0157" w:rsidRPr="00DD0D3D" w:rsidRDefault="008F0157" w:rsidP="000B5C25">
            <w:pPr>
              <w:spacing w:before="120"/>
              <w:ind w:left="90" w:right="6"/>
              <w:rPr>
                <w:rFonts w:ascii="Arial" w:hAnsi="Arial" w:cs="Arial"/>
                <w:sz w:val="22"/>
                <w:szCs w:val="22"/>
              </w:rPr>
            </w:pPr>
            <w:r w:rsidRPr="00DD0D3D">
              <w:rPr>
                <w:rFonts w:ascii="Arial" w:hAnsi="Arial" w:cs="Arial"/>
                <w:sz w:val="22"/>
                <w:szCs w:val="22"/>
              </w:rPr>
              <w:t>Common interest in strengthening and disseminating the evidence base for public health</w:t>
            </w:r>
          </w:p>
        </w:tc>
        <w:tc>
          <w:tcPr>
            <w:tcW w:w="5073" w:type="dxa"/>
            <w:shd w:val="clear" w:color="auto" w:fill="auto"/>
          </w:tcPr>
          <w:p w:rsidR="008F0157" w:rsidRPr="00DD0D3D" w:rsidRDefault="008F0157" w:rsidP="00DD0D3D">
            <w:pPr>
              <w:pStyle w:val="ListParagraph"/>
              <w:numPr>
                <w:ilvl w:val="0"/>
                <w:numId w:val="30"/>
              </w:numPr>
              <w:spacing w:before="120"/>
              <w:ind w:left="405" w:right="6"/>
              <w:rPr>
                <w:rFonts w:cs="Arial"/>
                <w:sz w:val="22"/>
              </w:rPr>
            </w:pPr>
            <w:r w:rsidRPr="00DD0D3D">
              <w:rPr>
                <w:rFonts w:cs="Arial"/>
                <w:sz w:val="22"/>
              </w:rPr>
              <w:t>Remain well informed of emerging evidence base and good practice</w:t>
            </w:r>
          </w:p>
          <w:p w:rsidR="008F0157" w:rsidRPr="00DD0D3D" w:rsidRDefault="008F0157" w:rsidP="00DD0D3D">
            <w:pPr>
              <w:pStyle w:val="ListParagraph"/>
              <w:numPr>
                <w:ilvl w:val="0"/>
                <w:numId w:val="30"/>
              </w:numPr>
              <w:spacing w:before="120"/>
              <w:ind w:left="405" w:right="6"/>
              <w:rPr>
                <w:rFonts w:cs="Arial"/>
                <w:sz w:val="22"/>
              </w:rPr>
            </w:pPr>
            <w:r w:rsidRPr="00DD0D3D">
              <w:rPr>
                <w:rFonts w:cs="Arial"/>
                <w:sz w:val="22"/>
              </w:rPr>
              <w:t>Access services/expertise as appropriate for workforce develop</w:t>
            </w:r>
            <w:r w:rsidR="00553970" w:rsidRPr="00DD0D3D">
              <w:rPr>
                <w:rFonts w:cs="Arial"/>
                <w:sz w:val="22"/>
              </w:rPr>
              <w:t>ment</w:t>
            </w:r>
            <w:r w:rsidRPr="00DD0D3D">
              <w:rPr>
                <w:rFonts w:cs="Arial"/>
                <w:sz w:val="22"/>
              </w:rPr>
              <w:t xml:space="preserve"> purposes</w:t>
            </w:r>
          </w:p>
        </w:tc>
      </w:tr>
    </w:tbl>
    <w:p w:rsidR="008F0157" w:rsidRPr="00546943" w:rsidRDefault="00546943" w:rsidP="00D26301">
      <w:pPr>
        <w:spacing w:before="240" w:after="120"/>
        <w:ind w:left="567" w:right="6" w:hanging="567"/>
        <w:rPr>
          <w:rFonts w:ascii="Arial" w:hAnsi="Arial" w:cs="Arial"/>
        </w:rPr>
      </w:pPr>
      <w:bookmarkStart w:id="24" w:name="_Toc215319162"/>
      <w:r>
        <w:rPr>
          <w:rFonts w:ascii="Arial" w:hAnsi="Arial" w:cs="Arial"/>
          <w:b/>
        </w:rPr>
        <w:t>8</w:t>
      </w:r>
      <w:r w:rsidR="008F0157" w:rsidRPr="00393000">
        <w:rPr>
          <w:rFonts w:ascii="Arial" w:hAnsi="Arial" w:cs="Arial"/>
          <w:b/>
        </w:rPr>
        <w:t>.</w:t>
      </w:r>
      <w:r w:rsidR="008F0157" w:rsidRPr="00393000">
        <w:rPr>
          <w:rFonts w:ascii="Arial" w:hAnsi="Arial" w:cs="Arial"/>
          <w:b/>
        </w:rPr>
        <w:tab/>
      </w:r>
      <w:bookmarkStart w:id="25" w:name="_Toc215319164"/>
      <w:bookmarkEnd w:id="24"/>
      <w:r w:rsidR="008F0157" w:rsidRPr="00393000">
        <w:rPr>
          <w:rFonts w:ascii="Arial" w:hAnsi="Arial" w:cs="Arial"/>
          <w:b/>
        </w:rPr>
        <w:t>Quality Requirements</w:t>
      </w:r>
      <w:bookmarkEnd w:id="25"/>
    </w:p>
    <w:p w:rsidR="008F0157" w:rsidRPr="00546943" w:rsidRDefault="00546943" w:rsidP="00BA1056">
      <w:pPr>
        <w:ind w:right="6"/>
        <w:rPr>
          <w:rFonts w:cs="Arial"/>
        </w:rPr>
      </w:pPr>
      <w:bookmarkStart w:id="26" w:name="_Toc215319166"/>
      <w:bookmarkStart w:id="27" w:name="_Toc215319165"/>
      <w:r w:rsidRPr="00546943">
        <w:rPr>
          <w:rFonts w:ascii="Arial" w:hAnsi="Arial" w:cs="Arial"/>
          <w:b/>
        </w:rPr>
        <w:t>8.1</w:t>
      </w:r>
      <w:r w:rsidR="00D26301">
        <w:rPr>
          <w:rFonts w:ascii="Arial" w:hAnsi="Arial" w:cs="Arial"/>
          <w:b/>
        </w:rPr>
        <w:tab/>
      </w:r>
      <w:r w:rsidR="008F0157" w:rsidRPr="00546943">
        <w:rPr>
          <w:rFonts w:ascii="Arial" w:hAnsi="Arial" w:cs="Arial"/>
          <w:b/>
        </w:rPr>
        <w:t>General</w:t>
      </w:r>
      <w:bookmarkEnd w:id="26"/>
    </w:p>
    <w:p w:rsidR="008F0157" w:rsidRPr="00393000" w:rsidRDefault="008F0157" w:rsidP="008F0157">
      <w:pPr>
        <w:spacing w:before="120"/>
        <w:ind w:right="5"/>
        <w:rPr>
          <w:rFonts w:ascii="Arial" w:hAnsi="Arial" w:cs="Arial"/>
        </w:rPr>
      </w:pPr>
      <w:r w:rsidRPr="00393000">
        <w:rPr>
          <w:rFonts w:ascii="Arial" w:hAnsi="Arial" w:cs="Arial"/>
        </w:rPr>
        <w:t>The Service must comply with the Provider Quality Standards described in the Operational Policy Framework or, as applicable, Crown Funding Agreement Variations, contracts or service level agreements.</w:t>
      </w:r>
      <w:bookmarkEnd w:id="27"/>
    </w:p>
    <w:p w:rsidR="008F0157" w:rsidRPr="00393000" w:rsidRDefault="001E4E2C" w:rsidP="003C450E">
      <w:pPr>
        <w:spacing w:before="240" w:after="60"/>
        <w:ind w:left="57" w:right="6"/>
        <w:rPr>
          <w:rFonts w:ascii="Arial" w:hAnsi="Arial" w:cs="Arial"/>
          <w:b/>
        </w:rPr>
      </w:pPr>
      <w:r>
        <w:rPr>
          <w:rFonts w:ascii="Arial" w:hAnsi="Arial" w:cs="Arial"/>
          <w:b/>
        </w:rPr>
        <w:t>8</w:t>
      </w:r>
      <w:r w:rsidR="008F0157" w:rsidRPr="00393000">
        <w:rPr>
          <w:rFonts w:ascii="Arial" w:hAnsi="Arial" w:cs="Arial"/>
          <w:b/>
        </w:rPr>
        <w:t>.2</w:t>
      </w:r>
      <w:r w:rsidR="008F0157" w:rsidRPr="00393000">
        <w:rPr>
          <w:rFonts w:ascii="Arial" w:hAnsi="Arial" w:cs="Arial"/>
          <w:b/>
        </w:rPr>
        <w:tab/>
        <w:t>Public Hea</w:t>
      </w:r>
      <w:r w:rsidR="008677AF">
        <w:rPr>
          <w:rFonts w:ascii="Arial" w:hAnsi="Arial" w:cs="Arial"/>
          <w:b/>
        </w:rPr>
        <w:t>l</w:t>
      </w:r>
      <w:r w:rsidR="008F0157" w:rsidRPr="00393000">
        <w:rPr>
          <w:rFonts w:ascii="Arial" w:hAnsi="Arial" w:cs="Arial"/>
          <w:b/>
        </w:rPr>
        <w:t>th Legislation</w:t>
      </w:r>
    </w:p>
    <w:p w:rsidR="008F0157" w:rsidRPr="00393000" w:rsidRDefault="008F0157" w:rsidP="001E4E2C">
      <w:pPr>
        <w:spacing w:before="120"/>
        <w:ind w:right="5"/>
        <w:rPr>
          <w:rFonts w:ascii="Arial" w:hAnsi="Arial" w:cs="Arial"/>
        </w:rPr>
      </w:pPr>
      <w:r w:rsidRPr="00393000">
        <w:rPr>
          <w:rFonts w:ascii="Arial" w:hAnsi="Arial" w:cs="Arial"/>
        </w:rPr>
        <w:t xml:space="preserve">Generic requirements </w:t>
      </w:r>
      <w:r w:rsidR="00E3339D">
        <w:rPr>
          <w:rFonts w:ascii="Arial" w:hAnsi="Arial" w:cs="Arial"/>
        </w:rPr>
        <w:t xml:space="preserve">and specific reporting requirements </w:t>
      </w:r>
      <w:r w:rsidRPr="00393000">
        <w:rPr>
          <w:rFonts w:ascii="Arial" w:hAnsi="Arial" w:cs="Arial"/>
        </w:rPr>
        <w:t xml:space="preserve">for </w:t>
      </w:r>
      <w:r w:rsidRPr="00DD0D3D">
        <w:rPr>
          <w:rFonts w:ascii="Arial" w:hAnsi="Arial" w:cs="Arial"/>
        </w:rPr>
        <w:t>providers of</w:t>
      </w:r>
      <w:r>
        <w:rPr>
          <w:rFonts w:ascii="Arial" w:hAnsi="Arial" w:cs="Arial"/>
        </w:rPr>
        <w:t xml:space="preserve"> </w:t>
      </w:r>
      <w:r w:rsidRPr="00393000">
        <w:rPr>
          <w:rFonts w:ascii="Arial" w:hAnsi="Arial" w:cs="Arial"/>
        </w:rPr>
        <w:t>regulato</w:t>
      </w:r>
      <w:r w:rsidR="00E3339D">
        <w:rPr>
          <w:rFonts w:ascii="Arial" w:hAnsi="Arial" w:cs="Arial"/>
        </w:rPr>
        <w:t>ry P</w:t>
      </w:r>
      <w:r w:rsidRPr="00393000">
        <w:rPr>
          <w:rFonts w:ascii="Arial" w:hAnsi="Arial" w:cs="Arial"/>
        </w:rPr>
        <w:t xml:space="preserve">ublic </w:t>
      </w:r>
      <w:r w:rsidR="00E3339D">
        <w:rPr>
          <w:rFonts w:ascii="Arial" w:hAnsi="Arial" w:cs="Arial"/>
        </w:rPr>
        <w:t>H</w:t>
      </w:r>
      <w:r w:rsidRPr="00393000">
        <w:rPr>
          <w:rFonts w:ascii="Arial" w:hAnsi="Arial" w:cs="Arial"/>
        </w:rPr>
        <w:t xml:space="preserve">ealth </w:t>
      </w:r>
      <w:r w:rsidR="00E3339D">
        <w:rPr>
          <w:rFonts w:ascii="Arial" w:hAnsi="Arial" w:cs="Arial"/>
        </w:rPr>
        <w:t>S</w:t>
      </w:r>
      <w:r w:rsidR="001E4E2C">
        <w:rPr>
          <w:rFonts w:ascii="Arial" w:hAnsi="Arial" w:cs="Arial"/>
        </w:rPr>
        <w:t>ervices are specified in</w:t>
      </w:r>
      <w:r w:rsidR="008677AF" w:rsidRPr="00DD0D3D">
        <w:rPr>
          <w:rFonts w:ascii="Arial" w:hAnsi="Arial" w:cs="Arial"/>
        </w:rPr>
        <w:t xml:space="preserve"> </w:t>
      </w:r>
      <w:r w:rsidR="00E3339D" w:rsidRPr="00DD0D3D">
        <w:rPr>
          <w:rFonts w:ascii="Arial" w:hAnsi="Arial" w:cs="Arial"/>
        </w:rPr>
        <w:t>the t</w:t>
      </w:r>
      <w:r w:rsidR="008677AF" w:rsidRPr="00DD0D3D">
        <w:rPr>
          <w:rFonts w:ascii="Arial" w:hAnsi="Arial" w:cs="Arial"/>
        </w:rPr>
        <w:t xml:space="preserve">ier </w:t>
      </w:r>
      <w:r w:rsidR="00E3339D" w:rsidRPr="00DD0D3D">
        <w:rPr>
          <w:rFonts w:ascii="Arial" w:hAnsi="Arial" w:cs="Arial"/>
        </w:rPr>
        <w:t>t</w:t>
      </w:r>
      <w:r w:rsidR="008677AF" w:rsidRPr="00DD0D3D">
        <w:rPr>
          <w:rFonts w:ascii="Arial" w:hAnsi="Arial" w:cs="Arial"/>
        </w:rPr>
        <w:t xml:space="preserve">wo </w:t>
      </w:r>
      <w:proofErr w:type="gramStart"/>
      <w:r w:rsidR="00E3339D" w:rsidRPr="00DD0D3D">
        <w:rPr>
          <w:rFonts w:ascii="Arial" w:hAnsi="Arial" w:cs="Arial"/>
        </w:rPr>
        <w:t>s</w:t>
      </w:r>
      <w:r w:rsidR="008677AF" w:rsidRPr="00DD0D3D">
        <w:rPr>
          <w:rFonts w:ascii="Arial" w:hAnsi="Arial" w:cs="Arial"/>
        </w:rPr>
        <w:t>pecification</w:t>
      </w:r>
      <w:proofErr w:type="gramEnd"/>
      <w:r w:rsidR="008677AF" w:rsidRPr="00DD0D3D">
        <w:rPr>
          <w:rFonts w:ascii="Arial" w:hAnsi="Arial" w:cs="Arial"/>
        </w:rPr>
        <w:t xml:space="preserve"> for Health Protection</w:t>
      </w:r>
      <w:r w:rsidRPr="00393000">
        <w:rPr>
          <w:rFonts w:ascii="Arial" w:hAnsi="Arial" w:cs="Arial"/>
        </w:rPr>
        <w:t>.</w:t>
      </w:r>
    </w:p>
    <w:p w:rsidR="008F0157" w:rsidRPr="00393000" w:rsidRDefault="008F0157" w:rsidP="001E4E2C">
      <w:pPr>
        <w:tabs>
          <w:tab w:val="left" w:pos="3135"/>
        </w:tabs>
        <w:spacing w:before="120"/>
        <w:ind w:right="5"/>
        <w:rPr>
          <w:rFonts w:ascii="Arial" w:hAnsi="Arial" w:cs="Arial"/>
        </w:rPr>
      </w:pPr>
      <w:r w:rsidRPr="00393000">
        <w:rPr>
          <w:rFonts w:ascii="Arial" w:hAnsi="Arial" w:cs="Arial"/>
        </w:rPr>
        <w:t xml:space="preserve">Acts administered by the Ministry (including regulations made under these Acts as appropriate) for which the Ministry has policy and primary implementation responsibility are listed </w:t>
      </w:r>
      <w:r w:rsidR="00BF7155">
        <w:rPr>
          <w:rFonts w:ascii="Arial" w:hAnsi="Arial" w:cs="Arial"/>
        </w:rPr>
        <w:t>in Appendix Two.</w:t>
      </w:r>
    </w:p>
    <w:p w:rsidR="008F0157" w:rsidRDefault="008F0157" w:rsidP="00BF7155">
      <w:pPr>
        <w:spacing w:before="120"/>
        <w:ind w:right="5"/>
        <w:rPr>
          <w:rFonts w:ascii="Arial" w:hAnsi="Arial" w:cs="Arial"/>
        </w:rPr>
      </w:pPr>
      <w:r w:rsidRPr="00393000">
        <w:rPr>
          <w:rFonts w:ascii="Arial" w:hAnsi="Arial" w:cs="Arial"/>
        </w:rPr>
        <w:t>Acts administered by other departments but for which providers of public health regulatory services may have certain implementation and /</w:t>
      </w:r>
      <w:r w:rsidR="00BF7155">
        <w:rPr>
          <w:rFonts w:ascii="Arial" w:hAnsi="Arial" w:cs="Arial"/>
        </w:rPr>
        <w:t>or enforcement responsibilities are also listed in Appendix Two.</w:t>
      </w:r>
    </w:p>
    <w:p w:rsidR="008F0157" w:rsidRPr="00393000" w:rsidRDefault="00546943" w:rsidP="003C450E">
      <w:pPr>
        <w:spacing w:before="240" w:after="60"/>
        <w:ind w:right="6"/>
        <w:rPr>
          <w:rFonts w:ascii="Arial" w:hAnsi="Arial" w:cs="Arial"/>
          <w:b/>
        </w:rPr>
      </w:pPr>
      <w:r>
        <w:rPr>
          <w:rFonts w:ascii="Arial" w:hAnsi="Arial" w:cs="Arial"/>
          <w:b/>
        </w:rPr>
        <w:t>8</w:t>
      </w:r>
      <w:r w:rsidR="008F0157" w:rsidRPr="00393000">
        <w:rPr>
          <w:rFonts w:ascii="Arial" w:hAnsi="Arial" w:cs="Arial"/>
          <w:b/>
        </w:rPr>
        <w:t>.3</w:t>
      </w:r>
      <w:r w:rsidR="008F0157" w:rsidRPr="00393000">
        <w:rPr>
          <w:rFonts w:ascii="Arial" w:hAnsi="Arial" w:cs="Arial"/>
          <w:b/>
        </w:rPr>
        <w:tab/>
        <w:t>International Obligations</w:t>
      </w:r>
    </w:p>
    <w:p w:rsidR="00B41095" w:rsidRDefault="008F0157" w:rsidP="003C450E">
      <w:pPr>
        <w:pStyle w:val="BodyText"/>
        <w:spacing w:before="120" w:after="0"/>
        <w:ind w:right="5"/>
        <w:rPr>
          <w:rFonts w:cs="Arial"/>
          <w:color w:val="000000"/>
          <w:sz w:val="24"/>
          <w:u w:val="single"/>
          <w:lang w:val="en-GB" w:eastAsia="en-GB"/>
        </w:rPr>
      </w:pPr>
      <w:r>
        <w:rPr>
          <w:rFonts w:cs="Arial"/>
          <w:bCs/>
        </w:rPr>
        <w:t>New Zealand</w:t>
      </w:r>
      <w:r w:rsidRPr="00393000">
        <w:rPr>
          <w:rFonts w:cs="Arial"/>
          <w:bCs/>
        </w:rPr>
        <w:t xml:space="preserve"> is subject to a variety of international </w:t>
      </w:r>
      <w:r w:rsidR="009E337C">
        <w:rPr>
          <w:rFonts w:cs="Arial"/>
          <w:bCs/>
        </w:rPr>
        <w:t>agreements</w:t>
      </w:r>
      <w:r w:rsidRPr="00393000">
        <w:rPr>
          <w:rFonts w:cs="Arial"/>
          <w:bCs/>
        </w:rPr>
        <w:t xml:space="preserve"> that are relevant to public health, for example, the</w:t>
      </w:r>
      <w:r w:rsidR="009E337C">
        <w:rPr>
          <w:rFonts w:cs="Arial"/>
          <w:bCs/>
        </w:rPr>
        <w:t xml:space="preserve"> </w:t>
      </w:r>
      <w:r w:rsidR="009E337C" w:rsidRPr="00DD0D3D">
        <w:rPr>
          <w:rFonts w:cs="Arial"/>
          <w:bCs/>
        </w:rPr>
        <w:t>United Nations Conventio</w:t>
      </w:r>
      <w:r w:rsidR="00B41095" w:rsidRPr="00DD0D3D">
        <w:rPr>
          <w:rFonts w:cs="Arial"/>
          <w:bCs/>
        </w:rPr>
        <w:t>n on the Rights of the Child,</w:t>
      </w:r>
      <w:r w:rsidR="009E337C">
        <w:rPr>
          <w:rFonts w:cs="Arial"/>
          <w:bCs/>
        </w:rPr>
        <w:t xml:space="preserve"> the</w:t>
      </w:r>
      <w:r w:rsidRPr="00393000">
        <w:rPr>
          <w:rFonts w:cs="Arial"/>
          <w:bCs/>
        </w:rPr>
        <w:t xml:space="preserve"> International Code of Marke</w:t>
      </w:r>
      <w:r w:rsidR="00B41095">
        <w:rPr>
          <w:rFonts w:cs="Arial"/>
          <w:bCs/>
        </w:rPr>
        <w:t xml:space="preserve">ting of Breast-Milk Substitutes </w:t>
      </w:r>
      <w:r w:rsidR="00B41095" w:rsidRPr="00DD0D3D">
        <w:rPr>
          <w:rFonts w:cs="Arial"/>
          <w:bCs/>
        </w:rPr>
        <w:t xml:space="preserve">and </w:t>
      </w:r>
      <w:r w:rsidR="00B41095" w:rsidRPr="00DD0D3D">
        <w:rPr>
          <w:rFonts w:cs="Arial"/>
          <w:color w:val="000000"/>
          <w:sz w:val="22"/>
          <w:szCs w:val="22"/>
          <w:lang w:val="en-GB" w:eastAsia="en-GB"/>
        </w:rPr>
        <w:t>article 12 of the International Covenant on Economic, Social and Cultural Rights</w:t>
      </w:r>
      <w:r w:rsidR="00B41095" w:rsidRPr="00DD0D3D">
        <w:rPr>
          <w:sz w:val="22"/>
          <w:szCs w:val="22"/>
          <w:vertAlign w:val="superscript"/>
        </w:rPr>
        <w:footnoteReference w:id="16"/>
      </w:r>
      <w:r w:rsidR="00B41095" w:rsidRPr="00DD0D3D">
        <w:rPr>
          <w:rFonts w:cs="Arial"/>
          <w:color w:val="000000"/>
          <w:sz w:val="22"/>
          <w:szCs w:val="22"/>
          <w:vertAlign w:val="superscript"/>
          <w:lang w:val="en-GB" w:eastAsia="en-GB"/>
        </w:rPr>
        <w:t xml:space="preserve"> </w:t>
      </w:r>
      <w:r w:rsidR="00DD0D3D">
        <w:rPr>
          <w:rFonts w:cs="Arial"/>
          <w:color w:val="000000"/>
          <w:sz w:val="22"/>
          <w:szCs w:val="22"/>
          <w:vertAlign w:val="superscript"/>
          <w:lang w:val="en-GB" w:eastAsia="en-GB"/>
        </w:rPr>
        <w:t xml:space="preserve"> </w:t>
      </w:r>
      <w:r w:rsidR="00B41095" w:rsidRPr="00DD0D3D">
        <w:rPr>
          <w:rFonts w:cs="Arial"/>
          <w:color w:val="000000"/>
          <w:sz w:val="22"/>
          <w:szCs w:val="22"/>
          <w:lang w:val="en-GB" w:eastAsia="en-GB"/>
        </w:rPr>
        <w:t>(as interpreted by the United Nations Economic and Social Council in its General Comment No. 14</w:t>
      </w:r>
      <w:r w:rsidR="00DD0D3D">
        <w:rPr>
          <w:rFonts w:cs="Arial"/>
          <w:color w:val="000000"/>
          <w:sz w:val="22"/>
          <w:szCs w:val="22"/>
          <w:lang w:val="en-GB" w:eastAsia="en-GB"/>
        </w:rPr>
        <w:t>,</w:t>
      </w:r>
      <w:r w:rsidR="00B41095" w:rsidRPr="00DD0D3D">
        <w:rPr>
          <w:rFonts w:cs="Arial"/>
          <w:color w:val="000000"/>
          <w:sz w:val="22"/>
          <w:szCs w:val="22"/>
          <w:lang w:val="en-GB" w:eastAsia="en-GB"/>
        </w:rPr>
        <w:t xml:space="preserve"> which </w:t>
      </w:r>
      <w:r w:rsidR="00B41095" w:rsidRPr="00DD0D3D">
        <w:rPr>
          <w:rFonts w:cs="Arial"/>
          <w:color w:val="000000"/>
          <w:sz w:val="22"/>
          <w:szCs w:val="22"/>
          <w:lang w:val="en-US"/>
        </w:rPr>
        <w:t xml:space="preserve">defines the essential elements of the right to health, depending on conditions prevailing in a particular State, </w:t>
      </w:r>
      <w:r w:rsidR="003C450E">
        <w:rPr>
          <w:rFonts w:cs="Arial"/>
          <w:color w:val="000000"/>
          <w:sz w:val="22"/>
          <w:szCs w:val="22"/>
          <w:lang w:val="en-US"/>
        </w:rPr>
        <w:t xml:space="preserve">such </w:t>
      </w:r>
      <w:r w:rsidR="00B41095" w:rsidRPr="00DD0D3D">
        <w:rPr>
          <w:rFonts w:cs="Arial"/>
          <w:color w:val="000000"/>
          <w:sz w:val="22"/>
          <w:szCs w:val="22"/>
          <w:lang w:val="en-US"/>
        </w:rPr>
        <w:t>as the availability, accessibility, acceptability and quality of services</w:t>
      </w:r>
      <w:r w:rsidR="00B41095" w:rsidRPr="009E337C">
        <w:rPr>
          <w:vertAlign w:val="superscript"/>
        </w:rPr>
        <w:footnoteReference w:id="17"/>
      </w:r>
      <w:r w:rsidR="00B41095" w:rsidRPr="00DD0D3D">
        <w:rPr>
          <w:rFonts w:cs="Arial"/>
          <w:color w:val="000000"/>
          <w:sz w:val="24"/>
          <w:lang w:val="en-GB" w:eastAsia="en-GB"/>
        </w:rPr>
        <w:t>).</w:t>
      </w:r>
    </w:p>
    <w:p w:rsidR="008F0157" w:rsidRPr="00393000" w:rsidRDefault="009E337C" w:rsidP="008F0157">
      <w:pPr>
        <w:spacing w:before="120" w:after="60"/>
        <w:ind w:right="6"/>
        <w:rPr>
          <w:rFonts w:ascii="Arial" w:hAnsi="Arial" w:cs="Arial"/>
          <w:bCs/>
        </w:rPr>
      </w:pPr>
      <w:r w:rsidRPr="00DD0D3D">
        <w:rPr>
          <w:rFonts w:ascii="Arial" w:hAnsi="Arial" w:cs="Arial"/>
          <w:bCs/>
        </w:rPr>
        <w:t xml:space="preserve">For the purposes of this </w:t>
      </w:r>
      <w:r w:rsidR="00E3339D" w:rsidRPr="00DD0D3D">
        <w:rPr>
          <w:rFonts w:ascii="Arial" w:hAnsi="Arial" w:cs="Arial"/>
          <w:bCs/>
        </w:rPr>
        <w:t>s</w:t>
      </w:r>
      <w:r w:rsidRPr="00DD0D3D">
        <w:rPr>
          <w:rFonts w:ascii="Arial" w:hAnsi="Arial" w:cs="Arial"/>
          <w:bCs/>
        </w:rPr>
        <w:t>pecification</w:t>
      </w:r>
      <w:r>
        <w:rPr>
          <w:rFonts w:ascii="Arial" w:hAnsi="Arial" w:cs="Arial"/>
          <w:bCs/>
        </w:rPr>
        <w:t>, t</w:t>
      </w:r>
      <w:r w:rsidR="008F0157" w:rsidRPr="00393000">
        <w:rPr>
          <w:rFonts w:ascii="Arial" w:hAnsi="Arial" w:cs="Arial"/>
          <w:bCs/>
        </w:rPr>
        <w:t>he two principal international agreements are:</w:t>
      </w:r>
    </w:p>
    <w:p w:rsidR="008F0157" w:rsidRPr="003C450E" w:rsidRDefault="00546943" w:rsidP="00BA1056">
      <w:pPr>
        <w:spacing w:before="120"/>
        <w:ind w:right="6"/>
        <w:rPr>
          <w:rFonts w:ascii="Arial" w:hAnsi="Arial" w:cs="Arial"/>
          <w:b/>
          <w:i/>
          <w:sz w:val="22"/>
          <w:szCs w:val="22"/>
        </w:rPr>
      </w:pPr>
      <w:r w:rsidRPr="003C450E">
        <w:rPr>
          <w:rFonts w:ascii="Arial" w:hAnsi="Arial" w:cs="Arial"/>
          <w:b/>
          <w:i/>
          <w:sz w:val="22"/>
          <w:szCs w:val="22"/>
        </w:rPr>
        <w:t>8</w:t>
      </w:r>
      <w:r w:rsidR="008F0157" w:rsidRPr="003C450E">
        <w:rPr>
          <w:rFonts w:ascii="Arial" w:hAnsi="Arial" w:cs="Arial"/>
          <w:b/>
          <w:i/>
          <w:sz w:val="22"/>
          <w:szCs w:val="22"/>
        </w:rPr>
        <w:t>.3.1</w:t>
      </w:r>
      <w:r w:rsidR="008F0157" w:rsidRPr="003C450E">
        <w:rPr>
          <w:rFonts w:ascii="Arial" w:hAnsi="Arial" w:cs="Arial"/>
          <w:b/>
          <w:i/>
          <w:sz w:val="22"/>
          <w:szCs w:val="22"/>
        </w:rPr>
        <w:tab/>
        <w:t>International Health Regulations (IHR) 2005</w:t>
      </w:r>
    </w:p>
    <w:p w:rsidR="008F0157" w:rsidRPr="00393000" w:rsidRDefault="008F0157" w:rsidP="00BA1056">
      <w:pPr>
        <w:autoSpaceDE w:val="0"/>
        <w:autoSpaceDN w:val="0"/>
        <w:adjustRightInd w:val="0"/>
        <w:spacing w:before="120" w:line="240" w:lineRule="atLeast"/>
        <w:ind w:left="57" w:right="5"/>
        <w:rPr>
          <w:rFonts w:ascii="Arial" w:hAnsi="Arial" w:cs="Arial"/>
          <w:color w:val="000000"/>
          <w:lang w:val="en-US"/>
        </w:rPr>
      </w:pPr>
      <w:r w:rsidRPr="00393000">
        <w:rPr>
          <w:rFonts w:ascii="Arial" w:hAnsi="Arial" w:cs="Arial"/>
          <w:lang w:val="en-US"/>
        </w:rPr>
        <w:t xml:space="preserve">The IHR 2005 is a treaty </w:t>
      </w:r>
      <w:r>
        <w:rPr>
          <w:rFonts w:ascii="Arial" w:hAnsi="Arial" w:cs="Arial"/>
          <w:lang w:val="en-US"/>
        </w:rPr>
        <w:t>adopted by the World Health Assembly in May 2005.  This treaty</w:t>
      </w:r>
      <w:r w:rsidRPr="00393000">
        <w:rPr>
          <w:rFonts w:ascii="Arial" w:hAnsi="Arial" w:cs="Arial"/>
          <w:lang w:val="en-US"/>
        </w:rPr>
        <w:t xml:space="preserve"> inform</w:t>
      </w:r>
      <w:r>
        <w:rPr>
          <w:rFonts w:ascii="Arial" w:hAnsi="Arial" w:cs="Arial"/>
          <w:lang w:val="en-US"/>
        </w:rPr>
        <w:t>s</w:t>
      </w:r>
      <w:r w:rsidRPr="00393000">
        <w:rPr>
          <w:rFonts w:ascii="Arial" w:hAnsi="Arial" w:cs="Arial"/>
          <w:lang w:val="en-US"/>
        </w:rPr>
        <w:t xml:space="preserve"> the implementation of a range of public health functions, and key provisions are reflected in N</w:t>
      </w:r>
      <w:r>
        <w:rPr>
          <w:rFonts w:ascii="Arial" w:hAnsi="Arial" w:cs="Arial"/>
          <w:lang w:val="en-US"/>
        </w:rPr>
        <w:t xml:space="preserve">ew </w:t>
      </w:r>
      <w:r w:rsidRPr="00393000">
        <w:rPr>
          <w:rFonts w:ascii="Arial" w:hAnsi="Arial" w:cs="Arial"/>
          <w:lang w:val="en-US"/>
        </w:rPr>
        <w:t>Z</w:t>
      </w:r>
      <w:r>
        <w:rPr>
          <w:rFonts w:ascii="Arial" w:hAnsi="Arial" w:cs="Arial"/>
          <w:lang w:val="en-US"/>
        </w:rPr>
        <w:t>ealand</w:t>
      </w:r>
      <w:r w:rsidRPr="00393000">
        <w:rPr>
          <w:rFonts w:ascii="Arial" w:hAnsi="Arial" w:cs="Arial"/>
          <w:lang w:val="en-US"/>
        </w:rPr>
        <w:t xml:space="preserve"> law.  The </w:t>
      </w:r>
      <w:r w:rsidRPr="00393000">
        <w:rPr>
          <w:rFonts w:ascii="Arial" w:hAnsi="Arial" w:cs="Arial"/>
          <w:color w:val="000000"/>
          <w:lang w:val="en-US"/>
        </w:rPr>
        <w:t xml:space="preserve">IHR 2005, which entered into force in June 2007, take </w:t>
      </w:r>
      <w:r w:rsidRPr="00393000">
        <w:rPr>
          <w:rFonts w:ascii="Arial" w:hAnsi="Arial" w:cs="Arial"/>
          <w:color w:val="000000"/>
          <w:lang w:val="en-US"/>
        </w:rPr>
        <w:lastRenderedPageBreak/>
        <w:t>an all-risks approach to the management of global threats to public health, although in practice, the primary focus remains on communicable disease.</w:t>
      </w:r>
    </w:p>
    <w:p w:rsidR="008F0157" w:rsidRPr="00393000" w:rsidRDefault="008F0157" w:rsidP="008F0157">
      <w:pPr>
        <w:autoSpaceDE w:val="0"/>
        <w:autoSpaceDN w:val="0"/>
        <w:adjustRightInd w:val="0"/>
        <w:spacing w:before="120" w:line="240" w:lineRule="atLeast"/>
        <w:ind w:left="57" w:right="5"/>
        <w:rPr>
          <w:rFonts w:ascii="Arial" w:hAnsi="Arial" w:cs="Arial"/>
          <w:color w:val="000000"/>
          <w:lang w:val="en-US"/>
        </w:rPr>
      </w:pPr>
      <w:r w:rsidRPr="00393000">
        <w:rPr>
          <w:rFonts w:ascii="Arial" w:hAnsi="Arial" w:cs="Arial"/>
          <w:color w:val="000000"/>
          <w:lang w:val="en-US"/>
        </w:rPr>
        <w:t>Under the IHR 2005, N</w:t>
      </w:r>
      <w:r>
        <w:rPr>
          <w:rFonts w:ascii="Arial" w:hAnsi="Arial" w:cs="Arial"/>
          <w:color w:val="000000"/>
          <w:lang w:val="en-US"/>
        </w:rPr>
        <w:t xml:space="preserve">ew </w:t>
      </w:r>
      <w:r w:rsidRPr="00393000">
        <w:rPr>
          <w:rFonts w:ascii="Arial" w:hAnsi="Arial" w:cs="Arial"/>
          <w:color w:val="000000"/>
          <w:lang w:val="en-US"/>
        </w:rPr>
        <w:t>Z</w:t>
      </w:r>
      <w:r>
        <w:rPr>
          <w:rFonts w:ascii="Arial" w:hAnsi="Arial" w:cs="Arial"/>
          <w:color w:val="000000"/>
          <w:lang w:val="en-US"/>
        </w:rPr>
        <w:t>ealand</w:t>
      </w:r>
      <w:r w:rsidRPr="00393000">
        <w:rPr>
          <w:rFonts w:ascii="Arial" w:hAnsi="Arial" w:cs="Arial"/>
          <w:color w:val="000000"/>
          <w:lang w:val="en-US"/>
        </w:rPr>
        <w:t xml:space="preserve"> must:</w:t>
      </w:r>
    </w:p>
    <w:p w:rsidR="008F0157" w:rsidRPr="00393000" w:rsidRDefault="008F0157" w:rsidP="00D71172">
      <w:pPr>
        <w:numPr>
          <w:ilvl w:val="0"/>
          <w:numId w:val="13"/>
        </w:numPr>
        <w:tabs>
          <w:tab w:val="clear" w:pos="777"/>
          <w:tab w:val="num" w:pos="567"/>
        </w:tabs>
        <w:autoSpaceDE w:val="0"/>
        <w:autoSpaceDN w:val="0"/>
        <w:adjustRightInd w:val="0"/>
        <w:spacing w:before="120"/>
        <w:ind w:left="567" w:right="5" w:hanging="567"/>
        <w:rPr>
          <w:rFonts w:ascii="Arial" w:hAnsi="Arial" w:cs="Arial"/>
          <w:color w:val="000000"/>
          <w:lang w:val="en-US"/>
        </w:rPr>
      </w:pPr>
      <w:proofErr w:type="gramStart"/>
      <w:r w:rsidRPr="00393000">
        <w:rPr>
          <w:rFonts w:ascii="Arial" w:hAnsi="Arial" w:cs="Arial"/>
          <w:color w:val="000000"/>
          <w:lang w:val="en-US"/>
        </w:rPr>
        <w:t>develop</w:t>
      </w:r>
      <w:proofErr w:type="gramEnd"/>
      <w:r w:rsidRPr="00393000">
        <w:rPr>
          <w:rFonts w:ascii="Arial" w:hAnsi="Arial" w:cs="Arial"/>
          <w:color w:val="000000"/>
          <w:lang w:val="en-US"/>
        </w:rPr>
        <w:t xml:space="preserve"> and maintain the capacities to detect, investigate, manage and report all potentially serious disease related events.  These capacities must be in place locally/regionally, nationally and at the border</w:t>
      </w:r>
    </w:p>
    <w:p w:rsidR="008F0157" w:rsidRPr="00393000" w:rsidRDefault="008F0157" w:rsidP="00D71172">
      <w:pPr>
        <w:numPr>
          <w:ilvl w:val="0"/>
          <w:numId w:val="13"/>
        </w:numPr>
        <w:tabs>
          <w:tab w:val="clear" w:pos="777"/>
          <w:tab w:val="num" w:pos="567"/>
        </w:tabs>
        <w:autoSpaceDE w:val="0"/>
        <w:autoSpaceDN w:val="0"/>
        <w:adjustRightInd w:val="0"/>
        <w:spacing w:before="120"/>
        <w:ind w:left="567" w:right="6" w:hanging="567"/>
        <w:rPr>
          <w:rFonts w:ascii="Arial" w:hAnsi="Arial" w:cs="Arial"/>
          <w:color w:val="000000"/>
          <w:lang w:val="en-US"/>
        </w:rPr>
      </w:pPr>
      <w:proofErr w:type="gramStart"/>
      <w:r w:rsidRPr="00393000">
        <w:rPr>
          <w:rFonts w:ascii="Arial" w:hAnsi="Arial" w:cs="Arial"/>
          <w:color w:val="000000"/>
          <w:lang w:val="en-US"/>
        </w:rPr>
        <w:t>establish</w:t>
      </w:r>
      <w:proofErr w:type="gramEnd"/>
      <w:r w:rsidRPr="00393000">
        <w:rPr>
          <w:rFonts w:ascii="Arial" w:hAnsi="Arial" w:cs="Arial"/>
          <w:color w:val="000000"/>
          <w:lang w:val="en-US"/>
        </w:rPr>
        <w:t xml:space="preserve"> a National IHR Focal Point (NFP) to provide a single point of contact between NZ and WHO.  The NFP performs a whole-of-health-sector, whole of government information collation and dissemination function.  The NFP role is performed by the Office of the Director of Public Health in the Ministry</w:t>
      </w:r>
      <w:r>
        <w:rPr>
          <w:rFonts w:ascii="Arial" w:hAnsi="Arial" w:cs="Arial"/>
          <w:color w:val="000000"/>
          <w:lang w:val="en-US"/>
        </w:rPr>
        <w:t xml:space="preserve"> of Health</w:t>
      </w:r>
    </w:p>
    <w:p w:rsidR="008F0157" w:rsidRPr="00393000" w:rsidRDefault="008F0157" w:rsidP="00D71172">
      <w:pPr>
        <w:numPr>
          <w:ilvl w:val="0"/>
          <w:numId w:val="13"/>
        </w:numPr>
        <w:tabs>
          <w:tab w:val="num" w:pos="567"/>
        </w:tabs>
        <w:autoSpaceDE w:val="0"/>
        <w:autoSpaceDN w:val="0"/>
        <w:adjustRightInd w:val="0"/>
        <w:spacing w:before="120"/>
        <w:ind w:left="567" w:right="6" w:hanging="567"/>
        <w:rPr>
          <w:rFonts w:ascii="Arial" w:hAnsi="Arial" w:cs="Arial"/>
          <w:color w:val="000000"/>
          <w:lang w:val="en-US"/>
        </w:rPr>
      </w:pPr>
      <w:proofErr w:type="gramStart"/>
      <w:r w:rsidRPr="00393000">
        <w:rPr>
          <w:rFonts w:ascii="Arial" w:hAnsi="Arial" w:cs="Arial"/>
          <w:color w:val="000000"/>
          <w:lang w:val="en-US"/>
        </w:rPr>
        <w:t>through</w:t>
      </w:r>
      <w:proofErr w:type="gramEnd"/>
      <w:r w:rsidRPr="00393000">
        <w:rPr>
          <w:rFonts w:ascii="Arial" w:hAnsi="Arial" w:cs="Arial"/>
          <w:color w:val="000000"/>
          <w:lang w:val="en-US"/>
        </w:rPr>
        <w:t xml:space="preserve"> the Ministry, receive and rapidly assess the significance of, reports of potentially serious public health events to determine whether or not they </w:t>
      </w:r>
      <w:r>
        <w:rPr>
          <w:rFonts w:ascii="Arial" w:hAnsi="Arial" w:cs="Arial"/>
          <w:color w:val="000000"/>
          <w:lang w:val="en-US"/>
        </w:rPr>
        <w:t>must</w:t>
      </w:r>
      <w:r w:rsidRPr="00393000">
        <w:rPr>
          <w:rFonts w:ascii="Arial" w:hAnsi="Arial" w:cs="Arial"/>
          <w:color w:val="000000"/>
          <w:lang w:val="en-US"/>
        </w:rPr>
        <w:t xml:space="preserve"> be urgently reported to WHO by the NFP.  This includes the use of the Decision Instrument as provided</w:t>
      </w:r>
      <w:r>
        <w:rPr>
          <w:rFonts w:ascii="Arial" w:hAnsi="Arial" w:cs="Arial"/>
          <w:color w:val="000000"/>
          <w:lang w:val="en-US"/>
        </w:rPr>
        <w:t xml:space="preserve"> for in Annex 2 of the IHR 2005</w:t>
      </w:r>
    </w:p>
    <w:p w:rsidR="008F0157" w:rsidRPr="00393000" w:rsidRDefault="008F0157" w:rsidP="00D71172">
      <w:pPr>
        <w:numPr>
          <w:ilvl w:val="0"/>
          <w:numId w:val="13"/>
        </w:numPr>
        <w:tabs>
          <w:tab w:val="num" w:pos="567"/>
        </w:tabs>
        <w:autoSpaceDE w:val="0"/>
        <w:autoSpaceDN w:val="0"/>
        <w:adjustRightInd w:val="0"/>
        <w:spacing w:before="120"/>
        <w:ind w:left="567" w:right="5" w:hanging="567"/>
        <w:rPr>
          <w:rFonts w:ascii="Arial" w:hAnsi="Arial" w:cs="Arial"/>
          <w:color w:val="000000"/>
          <w:lang w:val="en-US"/>
        </w:rPr>
      </w:pPr>
      <w:r w:rsidRPr="00393000">
        <w:rPr>
          <w:rFonts w:ascii="Arial" w:hAnsi="Arial" w:cs="Arial"/>
          <w:color w:val="000000"/>
          <w:lang w:val="en-US"/>
        </w:rPr>
        <w:t>within 72 hours of receipt of information by the Ministry, the NFP must notify WHO of events involving even only a single case of smallpox, poliomyelitis, SARS and human influenza caused by a new subtype</w:t>
      </w:r>
    </w:p>
    <w:p w:rsidR="008F0157" w:rsidRPr="00393000" w:rsidRDefault="008F0157" w:rsidP="00D71172">
      <w:pPr>
        <w:numPr>
          <w:ilvl w:val="0"/>
          <w:numId w:val="13"/>
        </w:numPr>
        <w:tabs>
          <w:tab w:val="num" w:pos="567"/>
        </w:tabs>
        <w:autoSpaceDE w:val="0"/>
        <w:autoSpaceDN w:val="0"/>
        <w:adjustRightInd w:val="0"/>
        <w:spacing w:before="120" w:line="240" w:lineRule="atLeast"/>
        <w:ind w:left="567" w:right="6" w:hanging="567"/>
        <w:rPr>
          <w:rFonts w:ascii="Arial" w:hAnsi="Arial" w:cs="Arial"/>
          <w:color w:val="000000"/>
          <w:lang w:val="en-US"/>
        </w:rPr>
      </w:pPr>
      <w:r w:rsidRPr="00393000">
        <w:rPr>
          <w:rFonts w:ascii="Arial" w:hAnsi="Arial" w:cs="Arial"/>
          <w:color w:val="000000"/>
          <w:lang w:val="en-US"/>
        </w:rPr>
        <w:t xml:space="preserve">within 48 hours of receipt of information by the Ministry of </w:t>
      </w:r>
      <w:r w:rsidRPr="00393000">
        <w:rPr>
          <w:rFonts w:ascii="Arial" w:hAnsi="Arial" w:cs="Arial"/>
          <w:i/>
          <w:color w:val="000000"/>
          <w:lang w:val="en-US"/>
        </w:rPr>
        <w:t>any</w:t>
      </w:r>
      <w:r w:rsidRPr="00393000">
        <w:rPr>
          <w:rFonts w:ascii="Arial" w:hAnsi="Arial" w:cs="Arial"/>
          <w:color w:val="000000"/>
          <w:lang w:val="en-US"/>
        </w:rPr>
        <w:t xml:space="preserve"> event involving cholera, pneumonic plague, yellow fever, viral </w:t>
      </w:r>
      <w:proofErr w:type="spellStart"/>
      <w:r w:rsidRPr="00393000">
        <w:rPr>
          <w:rFonts w:ascii="Arial" w:hAnsi="Arial" w:cs="Arial"/>
          <w:color w:val="000000"/>
          <w:lang w:val="en-US"/>
        </w:rPr>
        <w:t>haemorrhagic</w:t>
      </w:r>
      <w:proofErr w:type="spellEnd"/>
      <w:r w:rsidRPr="00393000">
        <w:rPr>
          <w:rFonts w:ascii="Arial" w:hAnsi="Arial" w:cs="Arial"/>
          <w:color w:val="000000"/>
          <w:lang w:val="en-US"/>
        </w:rPr>
        <w:t xml:space="preserve"> fevers, west </w:t>
      </w:r>
      <w:proofErr w:type="spellStart"/>
      <w:r w:rsidRPr="00393000">
        <w:rPr>
          <w:rFonts w:ascii="Arial" w:hAnsi="Arial" w:cs="Arial"/>
          <w:color w:val="000000"/>
          <w:lang w:val="en-US"/>
        </w:rPr>
        <w:t>nile</w:t>
      </w:r>
      <w:proofErr w:type="spellEnd"/>
      <w:r w:rsidRPr="00393000">
        <w:rPr>
          <w:rFonts w:ascii="Arial" w:hAnsi="Arial" w:cs="Arial"/>
          <w:color w:val="000000"/>
          <w:lang w:val="en-US"/>
        </w:rPr>
        <w:t xml:space="preserve"> fever or </w:t>
      </w:r>
      <w:r w:rsidRPr="00393000">
        <w:rPr>
          <w:rFonts w:ascii="Arial" w:hAnsi="Arial" w:cs="Arial"/>
          <w:i/>
          <w:iCs/>
          <w:color w:val="000000"/>
          <w:lang w:val="en-US"/>
        </w:rPr>
        <w:t xml:space="preserve">any </w:t>
      </w:r>
      <w:r w:rsidRPr="00393000">
        <w:rPr>
          <w:rFonts w:ascii="Arial" w:hAnsi="Arial" w:cs="Arial"/>
          <w:color w:val="000000"/>
          <w:lang w:val="en-US"/>
        </w:rPr>
        <w:t>unusual or potentially serious public health event, the Ministry must assess the event using the Decision Instrument, and, where notification is required, notify WHO within a further 24 hours.</w:t>
      </w:r>
    </w:p>
    <w:p w:rsidR="008F0157" w:rsidRPr="00393000" w:rsidRDefault="008F0157" w:rsidP="008F0157">
      <w:pPr>
        <w:tabs>
          <w:tab w:val="left" w:pos="567"/>
        </w:tabs>
        <w:autoSpaceDE w:val="0"/>
        <w:autoSpaceDN w:val="0"/>
        <w:adjustRightInd w:val="0"/>
        <w:spacing w:before="120" w:line="240" w:lineRule="atLeast"/>
        <w:ind w:right="5"/>
        <w:rPr>
          <w:rFonts w:ascii="Arial" w:hAnsi="Arial" w:cs="Arial"/>
          <w:color w:val="000000"/>
          <w:lang w:val="en-US"/>
        </w:rPr>
      </w:pPr>
      <w:r w:rsidRPr="00393000">
        <w:rPr>
          <w:rFonts w:ascii="Arial" w:hAnsi="Arial" w:cs="Arial"/>
          <w:color w:val="000000"/>
          <w:lang w:val="en-US"/>
        </w:rPr>
        <w:t xml:space="preserve">Designated Officers and Public Health Units play a vital role in ensuring that the above obligations are met, and in particular </w:t>
      </w:r>
      <w:r>
        <w:rPr>
          <w:rFonts w:ascii="Arial" w:hAnsi="Arial" w:cs="Arial"/>
          <w:color w:val="000000"/>
          <w:lang w:val="en-US"/>
        </w:rPr>
        <w:t>must</w:t>
      </w:r>
      <w:r w:rsidRPr="00393000">
        <w:rPr>
          <w:rFonts w:ascii="Arial" w:hAnsi="Arial" w:cs="Arial"/>
          <w:color w:val="000000"/>
          <w:lang w:val="en-US"/>
        </w:rPr>
        <w:t xml:space="preserve"> maintain close communication with the Ministry to ensur</w:t>
      </w:r>
      <w:r w:rsidR="009E337C">
        <w:rPr>
          <w:rFonts w:ascii="Arial" w:hAnsi="Arial" w:cs="Arial"/>
          <w:color w:val="000000"/>
          <w:lang w:val="en-US"/>
        </w:rPr>
        <w:t>e that the requirements under (</w:t>
      </w:r>
      <w:proofErr w:type="spellStart"/>
      <w:r w:rsidR="009E337C">
        <w:rPr>
          <w:rFonts w:ascii="Arial" w:hAnsi="Arial" w:cs="Arial"/>
          <w:color w:val="000000"/>
          <w:lang w:val="en-US"/>
        </w:rPr>
        <w:t>i</w:t>
      </w:r>
      <w:proofErr w:type="spellEnd"/>
      <w:r w:rsidR="009E337C">
        <w:rPr>
          <w:rFonts w:ascii="Arial" w:hAnsi="Arial" w:cs="Arial"/>
          <w:color w:val="000000"/>
          <w:lang w:val="en-US"/>
        </w:rPr>
        <w:t>), (</w:t>
      </w:r>
      <w:proofErr w:type="gramStart"/>
      <w:r w:rsidR="009E337C">
        <w:rPr>
          <w:rFonts w:ascii="Arial" w:hAnsi="Arial" w:cs="Arial"/>
          <w:color w:val="000000"/>
          <w:lang w:val="en-US"/>
        </w:rPr>
        <w:t>iv</w:t>
      </w:r>
      <w:proofErr w:type="gramEnd"/>
      <w:r w:rsidR="009E337C">
        <w:rPr>
          <w:rFonts w:ascii="Arial" w:hAnsi="Arial" w:cs="Arial"/>
          <w:color w:val="000000"/>
          <w:lang w:val="en-US"/>
        </w:rPr>
        <w:t>) and (v</w:t>
      </w:r>
      <w:r w:rsidRPr="00393000">
        <w:rPr>
          <w:rFonts w:ascii="Arial" w:hAnsi="Arial" w:cs="Arial"/>
          <w:color w:val="000000"/>
          <w:lang w:val="en-US"/>
        </w:rPr>
        <w:t>) above are able to be discharged in a timely manner</w:t>
      </w:r>
      <w:r w:rsidRPr="00DD0D3D">
        <w:rPr>
          <w:rFonts w:ascii="Arial" w:hAnsi="Arial" w:cs="Arial"/>
          <w:color w:val="000000"/>
          <w:lang w:val="en-US"/>
        </w:rPr>
        <w:t xml:space="preserve">.  Public Health Units are </w:t>
      </w:r>
      <w:r w:rsidR="00546943" w:rsidRPr="00DD0D3D">
        <w:rPr>
          <w:rFonts w:ascii="Arial" w:hAnsi="Arial" w:cs="Arial"/>
          <w:color w:val="000000"/>
          <w:lang w:val="en-US"/>
        </w:rPr>
        <w:t>the</w:t>
      </w:r>
      <w:r w:rsidRPr="00DD0D3D">
        <w:rPr>
          <w:rFonts w:ascii="Arial" w:hAnsi="Arial" w:cs="Arial"/>
          <w:color w:val="000000"/>
          <w:lang w:val="en-US"/>
        </w:rPr>
        <w:t xml:space="preserve"> 'competent authorities' for the purposes of the IHR 2005.</w:t>
      </w:r>
    </w:p>
    <w:p w:rsidR="008F0157" w:rsidRPr="003C450E" w:rsidRDefault="00546943" w:rsidP="00D71172">
      <w:pPr>
        <w:tabs>
          <w:tab w:val="left" w:pos="567"/>
        </w:tabs>
        <w:autoSpaceDE w:val="0"/>
        <w:autoSpaceDN w:val="0"/>
        <w:adjustRightInd w:val="0"/>
        <w:spacing w:before="120" w:line="240" w:lineRule="atLeast"/>
        <w:ind w:right="5"/>
        <w:rPr>
          <w:rFonts w:ascii="Arial" w:hAnsi="Arial" w:cs="Arial"/>
          <w:b/>
          <w:bCs/>
          <w:i/>
          <w:color w:val="000000"/>
          <w:sz w:val="22"/>
          <w:szCs w:val="22"/>
          <w:lang w:val="en-US"/>
        </w:rPr>
      </w:pPr>
      <w:r w:rsidRPr="003C450E">
        <w:rPr>
          <w:rFonts w:ascii="Arial" w:hAnsi="Arial" w:cs="Arial"/>
          <w:b/>
          <w:bCs/>
          <w:i/>
          <w:color w:val="000000"/>
          <w:sz w:val="22"/>
          <w:szCs w:val="22"/>
          <w:lang w:val="en-US"/>
        </w:rPr>
        <w:t>8</w:t>
      </w:r>
      <w:r w:rsidR="008F0157" w:rsidRPr="003C450E">
        <w:rPr>
          <w:rFonts w:ascii="Arial" w:hAnsi="Arial" w:cs="Arial"/>
          <w:b/>
          <w:bCs/>
          <w:i/>
          <w:color w:val="000000"/>
          <w:sz w:val="22"/>
          <w:szCs w:val="22"/>
          <w:lang w:val="en-US"/>
        </w:rPr>
        <w:t>.3.2</w:t>
      </w:r>
      <w:r w:rsidR="008F0157" w:rsidRPr="003C450E">
        <w:rPr>
          <w:rFonts w:ascii="Arial" w:hAnsi="Arial" w:cs="Arial"/>
          <w:b/>
          <w:bCs/>
          <w:i/>
          <w:color w:val="000000"/>
          <w:sz w:val="22"/>
          <w:szCs w:val="22"/>
          <w:lang w:val="en-US"/>
        </w:rPr>
        <w:tab/>
      </w:r>
      <w:r w:rsidR="008F0157" w:rsidRPr="003C450E">
        <w:rPr>
          <w:rFonts w:ascii="Arial" w:hAnsi="Arial" w:cs="Arial"/>
          <w:b/>
          <w:bCs/>
          <w:i/>
          <w:color w:val="000000"/>
          <w:sz w:val="22"/>
          <w:szCs w:val="22"/>
          <w:lang w:val="en-US"/>
        </w:rPr>
        <w:tab/>
        <w:t>Framework Convention on Tobacco Control</w:t>
      </w:r>
    </w:p>
    <w:p w:rsidR="008F0157" w:rsidRPr="00393000" w:rsidRDefault="008F0157" w:rsidP="00D71172">
      <w:pPr>
        <w:tabs>
          <w:tab w:val="left" w:pos="567"/>
        </w:tabs>
        <w:autoSpaceDE w:val="0"/>
        <w:autoSpaceDN w:val="0"/>
        <w:adjustRightInd w:val="0"/>
        <w:spacing w:before="120" w:line="240" w:lineRule="atLeast"/>
        <w:ind w:right="5"/>
        <w:rPr>
          <w:rFonts w:ascii="Arial" w:hAnsi="Arial" w:cs="Arial"/>
          <w:color w:val="000000"/>
          <w:lang w:val="en-US"/>
        </w:rPr>
      </w:pPr>
      <w:r w:rsidRPr="00393000">
        <w:rPr>
          <w:rFonts w:ascii="Arial" w:hAnsi="Arial" w:cs="Arial"/>
          <w:color w:val="000000"/>
          <w:lang w:val="en-US"/>
        </w:rPr>
        <w:t>The Framework Convention on Tobacco Control is a treaty under the auspices of WHO to which some 160 countries are a party.  The text was adopted by the World Health Assembly in May 2003 and it entered into force on 28 February 2005.  N</w:t>
      </w:r>
      <w:r w:rsidR="00DD0D3D">
        <w:rPr>
          <w:rFonts w:ascii="Arial" w:hAnsi="Arial" w:cs="Arial"/>
          <w:color w:val="000000"/>
          <w:lang w:val="en-US"/>
        </w:rPr>
        <w:t xml:space="preserve">ew </w:t>
      </w:r>
      <w:r w:rsidRPr="00393000">
        <w:rPr>
          <w:rFonts w:ascii="Arial" w:hAnsi="Arial" w:cs="Arial"/>
          <w:color w:val="000000"/>
          <w:lang w:val="en-US"/>
        </w:rPr>
        <w:t>Z</w:t>
      </w:r>
      <w:r w:rsidR="00DD0D3D">
        <w:rPr>
          <w:rFonts w:ascii="Arial" w:hAnsi="Arial" w:cs="Arial"/>
          <w:color w:val="000000"/>
          <w:lang w:val="en-US"/>
        </w:rPr>
        <w:t>ealand</w:t>
      </w:r>
      <w:r w:rsidRPr="00393000">
        <w:rPr>
          <w:rFonts w:ascii="Arial" w:hAnsi="Arial" w:cs="Arial"/>
          <w:color w:val="000000"/>
          <w:lang w:val="en-US"/>
        </w:rPr>
        <w:t xml:space="preserve"> ratified the treaty </w:t>
      </w:r>
      <w:r w:rsidR="003C450E">
        <w:rPr>
          <w:rFonts w:ascii="Arial" w:hAnsi="Arial" w:cs="Arial"/>
          <w:color w:val="000000"/>
          <w:lang w:val="en-US"/>
        </w:rPr>
        <w:t xml:space="preserve">in </w:t>
      </w:r>
      <w:r w:rsidRPr="00393000">
        <w:rPr>
          <w:rFonts w:ascii="Arial" w:hAnsi="Arial" w:cs="Arial"/>
          <w:color w:val="000000"/>
          <w:lang w:val="en-US"/>
        </w:rPr>
        <w:t>January 2005.  The Convention governs the advertising, pricing, taxation, packaging and labeling of tobacco products.</w:t>
      </w:r>
    </w:p>
    <w:p w:rsidR="008F0157" w:rsidRPr="00546943" w:rsidRDefault="00546943" w:rsidP="003C450E">
      <w:pPr>
        <w:spacing w:before="240" w:after="60"/>
        <w:ind w:right="6"/>
        <w:rPr>
          <w:rFonts w:ascii="Arial" w:hAnsi="Arial" w:cs="Arial"/>
          <w:b/>
          <w:bCs/>
          <w:color w:val="000000"/>
          <w:lang w:val="en-US"/>
        </w:rPr>
      </w:pPr>
      <w:r w:rsidRPr="00546943">
        <w:rPr>
          <w:rFonts w:ascii="Arial" w:hAnsi="Arial" w:cs="Arial"/>
          <w:b/>
          <w:bCs/>
          <w:color w:val="000000"/>
          <w:lang w:val="en-US"/>
        </w:rPr>
        <w:t>8.4</w:t>
      </w:r>
      <w:r w:rsidR="00BA1056">
        <w:rPr>
          <w:rFonts w:ascii="Arial" w:hAnsi="Arial" w:cs="Arial"/>
          <w:b/>
          <w:bCs/>
          <w:color w:val="000000"/>
          <w:lang w:val="en-US"/>
        </w:rPr>
        <w:tab/>
      </w:r>
      <w:r w:rsidR="008F0157" w:rsidRPr="00546943">
        <w:rPr>
          <w:rFonts w:ascii="Arial" w:hAnsi="Arial" w:cs="Arial"/>
          <w:b/>
          <w:bCs/>
          <w:color w:val="000000"/>
          <w:lang w:val="en-US"/>
        </w:rPr>
        <w:t>Guidance Material</w:t>
      </w:r>
    </w:p>
    <w:p w:rsidR="00546943" w:rsidRPr="00DD0D3D" w:rsidRDefault="003D5553" w:rsidP="008F0157">
      <w:pPr>
        <w:spacing w:before="120" w:after="120"/>
        <w:ind w:right="5"/>
        <w:rPr>
          <w:rFonts w:ascii="Arial" w:hAnsi="Arial" w:cs="Arial"/>
          <w:color w:val="000000"/>
          <w:lang w:val="en-US"/>
        </w:rPr>
      </w:pPr>
      <w:r w:rsidRPr="00DD0D3D">
        <w:rPr>
          <w:rFonts w:ascii="Arial" w:hAnsi="Arial" w:cs="Arial"/>
          <w:color w:val="000000"/>
          <w:lang w:val="en-US"/>
        </w:rPr>
        <w:t>Providers of Public Health S</w:t>
      </w:r>
      <w:r w:rsidR="00546943" w:rsidRPr="00DD0D3D">
        <w:rPr>
          <w:rFonts w:ascii="Arial" w:hAnsi="Arial" w:cs="Arial"/>
          <w:color w:val="000000"/>
          <w:lang w:val="en-US"/>
        </w:rPr>
        <w:t>ervices are encouraged to refer to:</w:t>
      </w:r>
    </w:p>
    <w:p w:rsidR="00546943" w:rsidRPr="00DD0D3D" w:rsidRDefault="00546943" w:rsidP="00BA1056">
      <w:pPr>
        <w:pStyle w:val="ListParagraph"/>
        <w:numPr>
          <w:ilvl w:val="0"/>
          <w:numId w:val="40"/>
        </w:numPr>
        <w:spacing w:before="120"/>
        <w:ind w:left="567" w:right="5" w:hanging="567"/>
        <w:rPr>
          <w:rFonts w:cs="Arial"/>
          <w:bCs/>
        </w:rPr>
      </w:pPr>
      <w:r w:rsidRPr="00DD0D3D">
        <w:rPr>
          <w:rFonts w:cs="Arial"/>
          <w:bCs/>
          <w:i/>
        </w:rPr>
        <w:t>The New Zealand Health Strategy</w:t>
      </w:r>
      <w:r w:rsidR="00DD0D3D" w:rsidRPr="00DD0D3D">
        <w:rPr>
          <w:rFonts w:cs="Arial"/>
          <w:bCs/>
          <w:i/>
        </w:rPr>
        <w:t>,</w:t>
      </w:r>
      <w:r w:rsidRPr="00DD0D3D">
        <w:rPr>
          <w:rFonts w:cs="Arial"/>
          <w:bCs/>
        </w:rPr>
        <w:t xml:space="preserve"> Minister of Health, December 2000 (mandated under the NZPH&amp;D Act 2000)</w:t>
      </w:r>
    </w:p>
    <w:p w:rsidR="00546943" w:rsidRPr="00DD0D3D" w:rsidRDefault="00546943" w:rsidP="00BA1056">
      <w:pPr>
        <w:pStyle w:val="ListParagraph"/>
        <w:numPr>
          <w:ilvl w:val="0"/>
          <w:numId w:val="40"/>
        </w:numPr>
        <w:spacing w:before="120"/>
        <w:ind w:left="567" w:right="5" w:hanging="567"/>
        <w:rPr>
          <w:rFonts w:cs="Arial"/>
          <w:bCs/>
        </w:rPr>
      </w:pPr>
      <w:r w:rsidRPr="00DD0D3D">
        <w:rPr>
          <w:rFonts w:cs="Arial"/>
          <w:bCs/>
          <w:i/>
        </w:rPr>
        <w:t>Achieving Health for All People</w:t>
      </w:r>
      <w:r w:rsidR="00DD0D3D" w:rsidRPr="00DD0D3D">
        <w:rPr>
          <w:rFonts w:cs="Arial"/>
          <w:bCs/>
          <w:i/>
        </w:rPr>
        <w:t>,</w:t>
      </w:r>
      <w:r w:rsidRPr="00DD0D3D">
        <w:rPr>
          <w:rFonts w:cs="Arial"/>
          <w:bCs/>
        </w:rPr>
        <w:t xml:space="preserve"> Ministry of Health 2003</w:t>
      </w:r>
    </w:p>
    <w:p w:rsidR="00546943" w:rsidRPr="00DD0D3D" w:rsidRDefault="00546943" w:rsidP="00BA1056">
      <w:pPr>
        <w:pStyle w:val="ListParagraph"/>
        <w:numPr>
          <w:ilvl w:val="0"/>
          <w:numId w:val="40"/>
        </w:numPr>
        <w:spacing w:before="120"/>
        <w:ind w:left="567" w:right="5" w:hanging="567"/>
        <w:rPr>
          <w:rFonts w:cs="Arial"/>
          <w:bCs/>
        </w:rPr>
      </w:pPr>
      <w:proofErr w:type="spellStart"/>
      <w:r w:rsidRPr="00DD0D3D">
        <w:rPr>
          <w:rFonts w:cs="Arial"/>
          <w:bCs/>
          <w:i/>
        </w:rPr>
        <w:t>Te</w:t>
      </w:r>
      <w:proofErr w:type="spellEnd"/>
      <w:r w:rsidRPr="00DD0D3D">
        <w:rPr>
          <w:rFonts w:cs="Arial"/>
          <w:bCs/>
          <w:i/>
        </w:rPr>
        <w:t xml:space="preserve"> </w:t>
      </w:r>
      <w:proofErr w:type="spellStart"/>
      <w:r w:rsidRPr="00DD0D3D">
        <w:rPr>
          <w:rFonts w:cs="Arial"/>
          <w:bCs/>
          <w:i/>
        </w:rPr>
        <w:t>Uru</w:t>
      </w:r>
      <w:proofErr w:type="spellEnd"/>
      <w:r w:rsidRPr="00DD0D3D">
        <w:rPr>
          <w:rFonts w:cs="Arial"/>
          <w:bCs/>
          <w:i/>
        </w:rPr>
        <w:t xml:space="preserve"> Kahikatea The Public Health Workforce Development Plan 2007 – 2016</w:t>
      </w:r>
      <w:r w:rsidR="00DD0D3D" w:rsidRPr="00DD0D3D">
        <w:rPr>
          <w:rFonts w:cs="Arial"/>
          <w:bCs/>
          <w:i/>
        </w:rPr>
        <w:t>,</w:t>
      </w:r>
      <w:r w:rsidRPr="00DD0D3D">
        <w:rPr>
          <w:rFonts w:cs="Arial"/>
          <w:bCs/>
        </w:rPr>
        <w:t xml:space="preserve">  Ministry of Health, 2007</w:t>
      </w:r>
    </w:p>
    <w:p w:rsidR="00546943" w:rsidRPr="00DD0D3D" w:rsidRDefault="00546943" w:rsidP="00BA1056">
      <w:pPr>
        <w:pStyle w:val="ListParagraph"/>
        <w:numPr>
          <w:ilvl w:val="0"/>
          <w:numId w:val="40"/>
        </w:numPr>
        <w:spacing w:before="120"/>
        <w:ind w:left="567" w:right="5" w:hanging="567"/>
        <w:rPr>
          <w:rFonts w:cs="Arial"/>
          <w:bCs/>
        </w:rPr>
      </w:pPr>
      <w:r w:rsidRPr="00DD0D3D">
        <w:rPr>
          <w:rFonts w:cs="Arial"/>
          <w:bCs/>
          <w:i/>
        </w:rPr>
        <w:t>The Social, Cultural and Economic Determinants of Health in New Zealand:  Action to Improve Health</w:t>
      </w:r>
      <w:r w:rsidR="00DD0D3D" w:rsidRPr="00DD0D3D">
        <w:rPr>
          <w:rFonts w:cs="Arial"/>
          <w:bCs/>
          <w:i/>
        </w:rPr>
        <w:t>,</w:t>
      </w:r>
      <w:r w:rsidRPr="00DD0D3D">
        <w:rPr>
          <w:rFonts w:cs="Arial"/>
          <w:bCs/>
        </w:rPr>
        <w:t xml:space="preserve">  National Health Committee, 1998</w:t>
      </w:r>
    </w:p>
    <w:p w:rsidR="00546943" w:rsidRPr="00DD0D3D" w:rsidRDefault="00D861A1" w:rsidP="00BA1056">
      <w:pPr>
        <w:pStyle w:val="ListParagraph"/>
        <w:numPr>
          <w:ilvl w:val="0"/>
          <w:numId w:val="40"/>
        </w:numPr>
        <w:spacing w:before="120"/>
        <w:ind w:left="567" w:right="5" w:hanging="567"/>
        <w:rPr>
          <w:rFonts w:cs="Arial"/>
          <w:bCs/>
        </w:rPr>
      </w:pPr>
      <w:r w:rsidRPr="00DD0D3D">
        <w:rPr>
          <w:rFonts w:cs="Arial"/>
          <w:bCs/>
          <w:i/>
        </w:rPr>
        <w:t>R</w:t>
      </w:r>
      <w:r w:rsidR="00546943" w:rsidRPr="00DD0D3D">
        <w:rPr>
          <w:rFonts w:cs="Arial"/>
          <w:bCs/>
          <w:i/>
        </w:rPr>
        <w:t>e-thinking urban environments and health</w:t>
      </w:r>
      <w:r w:rsidR="00DD0D3D" w:rsidRPr="00DD0D3D">
        <w:rPr>
          <w:rFonts w:cs="Arial"/>
          <w:bCs/>
          <w:i/>
        </w:rPr>
        <w:t>,</w:t>
      </w:r>
      <w:r w:rsidR="00546943" w:rsidRPr="00DD0D3D">
        <w:rPr>
          <w:rFonts w:cs="Arial"/>
          <w:bCs/>
        </w:rPr>
        <w:t xml:space="preserve"> Public Health Advisory Committee, 2008</w:t>
      </w:r>
    </w:p>
    <w:p w:rsidR="00546943" w:rsidRPr="00DD0D3D" w:rsidRDefault="00546943" w:rsidP="00BA1056">
      <w:pPr>
        <w:pStyle w:val="ListParagraph"/>
        <w:numPr>
          <w:ilvl w:val="0"/>
          <w:numId w:val="40"/>
        </w:numPr>
        <w:spacing w:before="120"/>
        <w:ind w:left="567" w:right="5" w:hanging="567"/>
        <w:rPr>
          <w:rFonts w:cs="Arial"/>
          <w:bCs/>
        </w:rPr>
      </w:pPr>
      <w:r w:rsidRPr="00DD0D3D">
        <w:rPr>
          <w:rFonts w:cs="Arial"/>
          <w:bCs/>
          <w:i/>
        </w:rPr>
        <w:lastRenderedPageBreak/>
        <w:t>A Health Equity Assessment Tool (Equity Lens) for Tackling Inequalities in Health</w:t>
      </w:r>
      <w:r w:rsidR="00DD0D3D" w:rsidRPr="00DD0D3D">
        <w:rPr>
          <w:rFonts w:cs="Arial"/>
          <w:bCs/>
          <w:i/>
        </w:rPr>
        <w:t>,</w:t>
      </w:r>
      <w:r w:rsidRPr="00DD0D3D">
        <w:rPr>
          <w:rFonts w:cs="Arial"/>
          <w:bCs/>
        </w:rPr>
        <w:t xml:space="preserve">  Ministry of Health, 2004</w:t>
      </w:r>
    </w:p>
    <w:p w:rsidR="00546943" w:rsidRPr="00DD0D3D" w:rsidRDefault="00546943" w:rsidP="00BA1056">
      <w:pPr>
        <w:pStyle w:val="ListParagraph"/>
        <w:numPr>
          <w:ilvl w:val="0"/>
          <w:numId w:val="40"/>
        </w:numPr>
        <w:spacing w:before="120"/>
        <w:ind w:left="567" w:right="5" w:hanging="567"/>
        <w:rPr>
          <w:rFonts w:cs="Arial"/>
          <w:bCs/>
        </w:rPr>
      </w:pPr>
      <w:r w:rsidRPr="00DD0D3D">
        <w:rPr>
          <w:rFonts w:cs="Arial"/>
          <w:bCs/>
          <w:i/>
        </w:rPr>
        <w:t>A Guide to Health Impact Assessment: A Policy tool for New Zealand</w:t>
      </w:r>
      <w:r w:rsidR="00DD0D3D" w:rsidRPr="00DD0D3D">
        <w:rPr>
          <w:rFonts w:cs="Arial"/>
          <w:bCs/>
          <w:i/>
        </w:rPr>
        <w:t>,</w:t>
      </w:r>
      <w:r w:rsidRPr="00DD0D3D">
        <w:rPr>
          <w:rFonts w:cs="Arial"/>
          <w:bCs/>
        </w:rPr>
        <w:t xml:space="preserve"> Public Health Advisory Committee, 2005</w:t>
      </w:r>
      <w:r w:rsidR="003C450E">
        <w:rPr>
          <w:rFonts w:cs="Arial"/>
          <w:bCs/>
        </w:rPr>
        <w:t>.</w:t>
      </w:r>
    </w:p>
    <w:p w:rsidR="008F0157" w:rsidRPr="00DD0D3D" w:rsidRDefault="008F0157" w:rsidP="008F0157">
      <w:pPr>
        <w:spacing w:before="120" w:after="120"/>
        <w:ind w:right="5"/>
        <w:rPr>
          <w:rFonts w:ascii="Arial" w:hAnsi="Arial" w:cs="Arial"/>
        </w:rPr>
      </w:pPr>
      <w:r w:rsidRPr="00DD0D3D">
        <w:rPr>
          <w:rFonts w:ascii="Arial" w:hAnsi="Arial" w:cs="Arial"/>
        </w:rPr>
        <w:t xml:space="preserve">Providers may </w:t>
      </w:r>
      <w:r w:rsidR="00546943" w:rsidRPr="00DD0D3D">
        <w:rPr>
          <w:rFonts w:ascii="Arial" w:hAnsi="Arial" w:cs="Arial"/>
        </w:rPr>
        <w:t xml:space="preserve">also </w:t>
      </w:r>
      <w:r w:rsidRPr="00DD0D3D">
        <w:rPr>
          <w:rFonts w:ascii="Arial" w:hAnsi="Arial" w:cs="Arial"/>
        </w:rPr>
        <w:t xml:space="preserve">wish to refer to </w:t>
      </w:r>
      <w:r w:rsidRPr="00DD0D3D">
        <w:rPr>
          <w:rFonts w:ascii="Arial" w:hAnsi="Arial" w:cs="Arial"/>
          <w:i/>
        </w:rPr>
        <w:t xml:space="preserve">Core Public Health Functions, </w:t>
      </w:r>
      <w:r w:rsidRPr="00DD0D3D">
        <w:rPr>
          <w:rFonts w:ascii="Arial" w:hAnsi="Arial" w:cs="Arial"/>
        </w:rPr>
        <w:t>a report of the New Zealand Public Health Clinical Network, issued 30 September 2011</w:t>
      </w:r>
      <w:r w:rsidRPr="00DD0D3D">
        <w:rPr>
          <w:rStyle w:val="FootnoteReference"/>
          <w:rFonts w:ascii="Arial" w:hAnsi="Arial" w:cs="Arial"/>
          <w:sz w:val="22"/>
          <w:szCs w:val="22"/>
        </w:rPr>
        <w:footnoteReference w:id="18"/>
      </w:r>
      <w:r w:rsidRPr="00DD0D3D">
        <w:rPr>
          <w:rFonts w:ascii="Arial" w:hAnsi="Arial" w:cs="Arial"/>
        </w:rPr>
        <w:t>.</w:t>
      </w:r>
    </w:p>
    <w:p w:rsidR="008F0157" w:rsidRPr="00393000" w:rsidRDefault="00546943" w:rsidP="003C450E">
      <w:pPr>
        <w:tabs>
          <w:tab w:val="left" w:pos="567"/>
        </w:tabs>
        <w:spacing w:before="240" w:after="60"/>
        <w:ind w:left="57" w:right="6" w:hanging="57"/>
        <w:rPr>
          <w:rFonts w:ascii="Arial" w:hAnsi="Arial" w:cs="Arial"/>
        </w:rPr>
      </w:pPr>
      <w:r>
        <w:rPr>
          <w:rFonts w:ascii="Arial" w:hAnsi="Arial" w:cs="Arial"/>
          <w:b/>
        </w:rPr>
        <w:t>8</w:t>
      </w:r>
      <w:r w:rsidR="008F0157" w:rsidRPr="00393000">
        <w:rPr>
          <w:rFonts w:ascii="Arial" w:hAnsi="Arial" w:cs="Arial"/>
          <w:b/>
        </w:rPr>
        <w:t>.5</w:t>
      </w:r>
      <w:r w:rsidR="008F0157" w:rsidRPr="00393000">
        <w:rPr>
          <w:rFonts w:ascii="Arial" w:hAnsi="Arial" w:cs="Arial"/>
        </w:rPr>
        <w:t xml:space="preserve"> </w:t>
      </w:r>
      <w:r w:rsidR="008F0157" w:rsidRPr="00393000">
        <w:rPr>
          <w:rFonts w:ascii="Arial" w:hAnsi="Arial" w:cs="Arial"/>
        </w:rPr>
        <w:tab/>
      </w:r>
      <w:r w:rsidR="008F0157" w:rsidRPr="00393000">
        <w:rPr>
          <w:rFonts w:ascii="Arial" w:hAnsi="Arial" w:cs="Arial"/>
          <w:b/>
        </w:rPr>
        <w:t>Political Neutrality</w:t>
      </w:r>
    </w:p>
    <w:p w:rsidR="008F0157" w:rsidRDefault="008F0157" w:rsidP="008F0157">
      <w:pPr>
        <w:autoSpaceDE w:val="0"/>
        <w:autoSpaceDN w:val="0"/>
        <w:adjustRightInd w:val="0"/>
        <w:spacing w:before="120"/>
        <w:rPr>
          <w:rFonts w:ascii="Arial" w:hAnsi="Arial" w:cs="Arial"/>
          <w:color w:val="000000"/>
          <w:lang w:val="en-GB" w:eastAsia="en-GB"/>
        </w:rPr>
      </w:pPr>
      <w:r w:rsidRPr="00393000">
        <w:rPr>
          <w:rFonts w:ascii="Arial" w:hAnsi="Arial" w:cs="Arial"/>
          <w:color w:val="000000"/>
          <w:lang w:val="en-GB" w:eastAsia="en-GB"/>
        </w:rPr>
        <w:t xml:space="preserve">Parties to </w:t>
      </w:r>
      <w:r w:rsidR="00A811A7">
        <w:rPr>
          <w:rFonts w:ascii="Arial" w:hAnsi="Arial" w:cs="Arial"/>
        </w:rPr>
        <w:t>Public H</w:t>
      </w:r>
      <w:r w:rsidR="00A811A7" w:rsidRPr="00393000">
        <w:rPr>
          <w:rFonts w:ascii="Arial" w:hAnsi="Arial" w:cs="Arial"/>
        </w:rPr>
        <w:t xml:space="preserve">ealth </w:t>
      </w:r>
      <w:r w:rsidR="00A811A7">
        <w:rPr>
          <w:rFonts w:ascii="Arial" w:hAnsi="Arial" w:cs="Arial"/>
        </w:rPr>
        <w:t>Service</w:t>
      </w:r>
      <w:r w:rsidR="00A811A7" w:rsidRPr="00393000">
        <w:rPr>
          <w:rFonts w:ascii="Arial" w:hAnsi="Arial" w:cs="Arial"/>
        </w:rPr>
        <w:t xml:space="preserve"> </w:t>
      </w:r>
      <w:r w:rsidRPr="00393000">
        <w:rPr>
          <w:rFonts w:ascii="Arial" w:hAnsi="Arial" w:cs="Arial"/>
          <w:color w:val="000000"/>
          <w:lang w:val="en-GB" w:eastAsia="en-GB"/>
        </w:rPr>
        <w:t>contracts acknowledge that they must comply with the conventions relating to the political neutrality of the state service, and agree that they will deliver the agreed services in a manner that is consistent with, and maintains,</w:t>
      </w:r>
      <w:r w:rsidR="00D861A1">
        <w:rPr>
          <w:rFonts w:ascii="Arial" w:hAnsi="Arial" w:cs="Arial"/>
          <w:color w:val="000000"/>
          <w:lang w:val="en-GB" w:eastAsia="en-GB"/>
        </w:rPr>
        <w:t xml:space="preserve"> </w:t>
      </w:r>
      <w:proofErr w:type="spellStart"/>
      <w:r w:rsidR="00D861A1" w:rsidRPr="00DD0D3D">
        <w:rPr>
          <w:rFonts w:ascii="Arial" w:hAnsi="Arial" w:cs="Arial"/>
          <w:color w:val="000000"/>
          <w:lang w:val="en-GB" w:eastAsia="en-GB"/>
        </w:rPr>
        <w:t>their</w:t>
      </w:r>
      <w:proofErr w:type="spellEnd"/>
      <w:r w:rsidR="00D861A1" w:rsidRPr="00DD0D3D">
        <w:rPr>
          <w:rFonts w:ascii="Arial" w:hAnsi="Arial" w:cs="Arial"/>
          <w:color w:val="000000"/>
          <w:lang w:val="en-GB" w:eastAsia="en-GB"/>
        </w:rPr>
        <w:t xml:space="preserve"> and</w:t>
      </w:r>
      <w:r w:rsidRPr="00393000">
        <w:rPr>
          <w:rFonts w:ascii="Arial" w:hAnsi="Arial" w:cs="Arial"/>
          <w:color w:val="000000"/>
          <w:lang w:val="en-GB" w:eastAsia="en-GB"/>
        </w:rPr>
        <w:t xml:space="preserve"> the Ministry’s actual and perceived political neutrality.</w:t>
      </w:r>
      <w:r>
        <w:rPr>
          <w:rFonts w:ascii="Arial" w:hAnsi="Arial" w:cs="Arial"/>
          <w:color w:val="000000"/>
          <w:lang w:val="en-GB" w:eastAsia="en-GB"/>
        </w:rPr>
        <w:t xml:space="preserve">  </w:t>
      </w:r>
      <w:r w:rsidRPr="00DD0D3D">
        <w:rPr>
          <w:rFonts w:ascii="Arial" w:hAnsi="Arial" w:cs="Arial"/>
          <w:color w:val="000000"/>
          <w:lang w:val="en-GB" w:eastAsia="en-GB"/>
        </w:rPr>
        <w:t xml:space="preserve">Please refer to the </w:t>
      </w:r>
      <w:r w:rsidRPr="00DD0D3D">
        <w:rPr>
          <w:rFonts w:ascii="Arial" w:hAnsi="Arial" w:cs="Arial"/>
          <w:i/>
          <w:color w:val="000000"/>
          <w:lang w:val="en-GB" w:eastAsia="en-GB"/>
        </w:rPr>
        <w:t>Standards of Integrity and Conduct</w:t>
      </w:r>
      <w:r w:rsidRPr="00DD0D3D">
        <w:rPr>
          <w:rFonts w:ascii="Arial" w:hAnsi="Arial" w:cs="Arial"/>
          <w:color w:val="000000"/>
          <w:lang w:val="en-GB" w:eastAsia="en-GB"/>
        </w:rPr>
        <w:t>, issued by the State Services Commissioner</w:t>
      </w:r>
      <w:r w:rsidRPr="00DD0D3D">
        <w:rPr>
          <w:rStyle w:val="FootnoteReference"/>
          <w:rFonts w:ascii="Arial" w:hAnsi="Arial" w:cs="Arial"/>
          <w:color w:val="000000"/>
          <w:sz w:val="22"/>
          <w:szCs w:val="22"/>
          <w:lang w:val="en-GB" w:eastAsia="en-GB"/>
        </w:rPr>
        <w:footnoteReference w:id="19"/>
      </w:r>
      <w:r>
        <w:rPr>
          <w:rFonts w:ascii="Arial" w:hAnsi="Arial" w:cs="Arial"/>
          <w:color w:val="000000"/>
          <w:lang w:val="en-GB" w:eastAsia="en-GB"/>
        </w:rPr>
        <w:t>.</w:t>
      </w:r>
    </w:p>
    <w:p w:rsidR="00CF6B0B" w:rsidRPr="00393000" w:rsidRDefault="00CF6B0B" w:rsidP="008F0157">
      <w:pPr>
        <w:autoSpaceDE w:val="0"/>
        <w:autoSpaceDN w:val="0"/>
        <w:adjustRightInd w:val="0"/>
        <w:spacing w:before="120"/>
        <w:rPr>
          <w:rFonts w:ascii="Arial" w:hAnsi="Arial" w:cs="Arial"/>
          <w:color w:val="000000"/>
          <w:lang w:val="en-GB" w:eastAsia="en-GB"/>
        </w:rPr>
      </w:pPr>
      <w:r w:rsidRPr="00DD0D3D">
        <w:rPr>
          <w:rFonts w:ascii="Arial" w:hAnsi="Arial" w:cs="Arial"/>
          <w:color w:val="000000"/>
          <w:lang w:val="en-GB" w:eastAsia="en-GB"/>
        </w:rPr>
        <w:t>Where a provider which is part of the wider state sector (</w:t>
      </w:r>
      <w:proofErr w:type="spellStart"/>
      <w:r w:rsidRPr="00DD0D3D">
        <w:rPr>
          <w:rFonts w:ascii="Arial" w:hAnsi="Arial" w:cs="Arial"/>
          <w:color w:val="000000"/>
          <w:lang w:val="en-GB" w:eastAsia="en-GB"/>
        </w:rPr>
        <w:t>eg</w:t>
      </w:r>
      <w:proofErr w:type="spellEnd"/>
      <w:r w:rsidRPr="00DD0D3D">
        <w:rPr>
          <w:rFonts w:ascii="Arial" w:hAnsi="Arial" w:cs="Arial"/>
          <w:color w:val="000000"/>
          <w:lang w:val="en-GB" w:eastAsia="en-GB"/>
        </w:rPr>
        <w:t xml:space="preserve">, a Crown entity such as a DHB) </w:t>
      </w:r>
      <w:r w:rsidR="00546943" w:rsidRPr="00DD0D3D">
        <w:rPr>
          <w:rFonts w:ascii="Arial" w:hAnsi="Arial" w:cs="Arial"/>
          <w:color w:val="000000"/>
          <w:lang w:val="en-GB" w:eastAsia="en-GB"/>
        </w:rPr>
        <w:t>makes a submission to a p</w:t>
      </w:r>
      <w:r w:rsidRPr="00DD0D3D">
        <w:rPr>
          <w:rFonts w:ascii="Arial" w:hAnsi="Arial" w:cs="Arial"/>
          <w:color w:val="000000"/>
          <w:lang w:val="en-GB" w:eastAsia="en-GB"/>
        </w:rPr>
        <w:t xml:space="preserve">arliamentary select committee on a matter within the scope of this specification, the provider should secure their own organisation's approval at the </w:t>
      </w:r>
      <w:r w:rsidR="00CD2594" w:rsidRPr="00DD0D3D">
        <w:rPr>
          <w:rFonts w:ascii="Arial" w:hAnsi="Arial" w:cs="Arial"/>
          <w:color w:val="000000"/>
          <w:lang w:val="en-GB" w:eastAsia="en-GB"/>
        </w:rPr>
        <w:t xml:space="preserve">appropriate level </w:t>
      </w:r>
      <w:proofErr w:type="spellStart"/>
      <w:r w:rsidR="00CD2594" w:rsidRPr="00DD0D3D">
        <w:rPr>
          <w:rFonts w:ascii="Arial" w:hAnsi="Arial" w:cs="Arial"/>
          <w:color w:val="000000"/>
          <w:lang w:val="en-GB" w:eastAsia="en-GB"/>
        </w:rPr>
        <w:t>eg</w:t>
      </w:r>
      <w:proofErr w:type="spellEnd"/>
      <w:r w:rsidR="00CD2594" w:rsidRPr="00DD0D3D">
        <w:rPr>
          <w:rFonts w:ascii="Arial" w:hAnsi="Arial" w:cs="Arial"/>
          <w:color w:val="000000"/>
          <w:lang w:val="en-GB" w:eastAsia="en-GB"/>
        </w:rPr>
        <w:t>,</w:t>
      </w:r>
      <w:r w:rsidRPr="00DD0D3D">
        <w:rPr>
          <w:rFonts w:ascii="Arial" w:hAnsi="Arial" w:cs="Arial"/>
          <w:color w:val="000000"/>
          <w:lang w:val="en-GB" w:eastAsia="en-GB"/>
        </w:rPr>
        <w:t xml:space="preserve"> CEO, board or equivalent, and</w:t>
      </w:r>
      <w:r w:rsidR="00DD0D3D">
        <w:rPr>
          <w:rFonts w:ascii="Arial" w:hAnsi="Arial" w:cs="Arial"/>
          <w:color w:val="000000"/>
          <w:lang w:val="en-GB" w:eastAsia="en-GB"/>
        </w:rPr>
        <w:t>,</w:t>
      </w:r>
      <w:r w:rsidRPr="00DD0D3D">
        <w:rPr>
          <w:rFonts w:ascii="Arial" w:hAnsi="Arial" w:cs="Arial"/>
          <w:color w:val="000000"/>
          <w:lang w:val="en-GB" w:eastAsia="en-GB"/>
        </w:rPr>
        <w:t xml:space="preserve"> give advance warning of their submission to the office of the Minister of Health</w:t>
      </w:r>
      <w:r>
        <w:rPr>
          <w:rFonts w:ascii="Arial" w:hAnsi="Arial" w:cs="Arial"/>
          <w:color w:val="000000"/>
          <w:lang w:val="en-GB" w:eastAsia="en-GB"/>
        </w:rPr>
        <w:t>.</w:t>
      </w:r>
    </w:p>
    <w:p w:rsidR="008F0157" w:rsidRPr="00393000" w:rsidRDefault="008F0157" w:rsidP="008F0157">
      <w:pPr>
        <w:autoSpaceDE w:val="0"/>
        <w:autoSpaceDN w:val="0"/>
        <w:adjustRightInd w:val="0"/>
        <w:spacing w:before="120"/>
        <w:rPr>
          <w:rFonts w:ascii="Arial" w:hAnsi="Arial" w:cs="Arial"/>
          <w:color w:val="000000"/>
          <w:lang w:val="en-GB" w:eastAsia="en-GB"/>
        </w:rPr>
      </w:pPr>
      <w:r w:rsidRPr="00393000">
        <w:rPr>
          <w:rFonts w:ascii="Arial" w:hAnsi="Arial" w:cs="Arial"/>
          <w:color w:val="000000"/>
          <w:lang w:val="en-GB" w:eastAsia="en-GB"/>
        </w:rPr>
        <w:t>The Ministry acknowledges that a provider’s obligation to perform the agreed services does not limit its ability to carry out any other activities.  However, the provider must ensure that its other activities outside the services contracted for are clearly separate from</w:t>
      </w:r>
      <w:r w:rsidR="00CF6B0B">
        <w:rPr>
          <w:rFonts w:ascii="Arial" w:hAnsi="Arial" w:cs="Arial"/>
          <w:color w:val="000000"/>
          <w:lang w:val="en-GB" w:eastAsia="en-GB"/>
        </w:rPr>
        <w:t>,</w:t>
      </w:r>
      <w:r w:rsidRPr="00393000">
        <w:rPr>
          <w:rFonts w:ascii="Arial" w:hAnsi="Arial" w:cs="Arial"/>
          <w:color w:val="000000"/>
          <w:lang w:val="en-GB" w:eastAsia="en-GB"/>
        </w:rPr>
        <w:t xml:space="preserve"> independent of</w:t>
      </w:r>
      <w:r w:rsidR="003C450E">
        <w:rPr>
          <w:rFonts w:ascii="Arial" w:hAnsi="Arial" w:cs="Arial"/>
          <w:color w:val="000000"/>
          <w:lang w:val="en-GB" w:eastAsia="en-GB"/>
        </w:rPr>
        <w:t>,</w:t>
      </w:r>
      <w:r w:rsidRPr="00393000">
        <w:rPr>
          <w:rFonts w:ascii="Arial" w:hAnsi="Arial" w:cs="Arial"/>
          <w:color w:val="000000"/>
          <w:lang w:val="en-GB" w:eastAsia="en-GB"/>
        </w:rPr>
        <w:t xml:space="preserve"> </w:t>
      </w:r>
      <w:r w:rsidR="00CF6B0B" w:rsidRPr="00DD0D3D">
        <w:rPr>
          <w:rFonts w:ascii="Arial" w:hAnsi="Arial" w:cs="Arial"/>
          <w:color w:val="000000"/>
          <w:lang w:val="en-GB" w:eastAsia="en-GB"/>
        </w:rPr>
        <w:t>and not in conflict with</w:t>
      </w:r>
      <w:r w:rsidR="00CF6B0B">
        <w:rPr>
          <w:rFonts w:ascii="Arial" w:hAnsi="Arial" w:cs="Arial"/>
          <w:color w:val="000000"/>
          <w:lang w:val="en-GB" w:eastAsia="en-GB"/>
        </w:rPr>
        <w:t xml:space="preserve">, </w:t>
      </w:r>
      <w:r w:rsidRPr="00393000">
        <w:rPr>
          <w:rFonts w:ascii="Arial" w:hAnsi="Arial" w:cs="Arial"/>
          <w:color w:val="000000"/>
          <w:lang w:val="en-GB" w:eastAsia="en-GB"/>
        </w:rPr>
        <w:t xml:space="preserve">the contracted services.  </w:t>
      </w:r>
    </w:p>
    <w:p w:rsidR="008F0157" w:rsidRPr="00393000" w:rsidRDefault="00546943" w:rsidP="00BA1056">
      <w:pPr>
        <w:tabs>
          <w:tab w:val="left" w:pos="567"/>
        </w:tabs>
        <w:spacing w:before="240" w:after="120" w:line="320" w:lineRule="exact"/>
        <w:ind w:left="629" w:right="6" w:hanging="629"/>
        <w:rPr>
          <w:rFonts w:ascii="Arial" w:hAnsi="Arial" w:cs="Arial"/>
          <w:b/>
        </w:rPr>
      </w:pPr>
      <w:r>
        <w:rPr>
          <w:rFonts w:ascii="Arial" w:hAnsi="Arial" w:cs="Arial"/>
          <w:b/>
        </w:rPr>
        <w:t>9</w:t>
      </w:r>
      <w:r w:rsidR="008F0157" w:rsidRPr="00393000">
        <w:rPr>
          <w:rFonts w:ascii="Arial" w:hAnsi="Arial" w:cs="Arial"/>
          <w:b/>
        </w:rPr>
        <w:t>.</w:t>
      </w:r>
      <w:r w:rsidR="008F0157" w:rsidRPr="00393000">
        <w:rPr>
          <w:rFonts w:ascii="Arial" w:hAnsi="Arial" w:cs="Arial"/>
          <w:b/>
        </w:rPr>
        <w:tab/>
        <w:t>Purchase Units and Reporting Requirements</w:t>
      </w:r>
    </w:p>
    <w:p w:rsidR="008F0157" w:rsidRPr="00393000" w:rsidRDefault="008F0157" w:rsidP="003C450E">
      <w:pPr>
        <w:spacing w:before="120" w:after="120"/>
        <w:rPr>
          <w:rFonts w:ascii="Arial" w:hAnsi="Arial" w:cs="Arial"/>
        </w:rPr>
      </w:pPr>
      <w:bookmarkStart w:id="28" w:name="_Toc215319051"/>
      <w:r w:rsidRPr="00DD0D3D">
        <w:rPr>
          <w:rFonts w:ascii="Arial" w:hAnsi="Arial" w:cs="Arial"/>
        </w:rPr>
        <w:t>The Public Health Service Purchase Unit Codes are</w:t>
      </w:r>
      <w:r w:rsidR="00546943" w:rsidRPr="00DD0D3D">
        <w:rPr>
          <w:rFonts w:ascii="Arial" w:hAnsi="Arial" w:cs="Arial"/>
        </w:rPr>
        <w:t xml:space="preserve"> part of a classification system used to measure, quantify, value and monitor the delivery of a service</w:t>
      </w:r>
      <w:r w:rsidR="00546943">
        <w:rPr>
          <w:rFonts w:ascii="Arial" w:hAnsi="Arial" w:cs="Arial"/>
        </w:rPr>
        <w:t>.  These codes are</w:t>
      </w:r>
      <w:r w:rsidRPr="00393000">
        <w:rPr>
          <w:rFonts w:ascii="Arial" w:hAnsi="Arial" w:cs="Arial"/>
        </w:rPr>
        <w:t xml:space="preserve"> found in the joint DHB Ministry Nationwide Service Framework Purchase Unit Data Dictionary on </w:t>
      </w:r>
      <w:hyperlink r:id="rId10" w:history="1">
        <w:r w:rsidR="00D71172" w:rsidRPr="00D71172">
          <w:rPr>
            <w:rStyle w:val="Hyperlink"/>
            <w:rFonts w:ascii="Arial" w:hAnsi="Arial" w:cs="Arial"/>
          </w:rPr>
          <w:t>http://www.nsfl.health.govt.nz/apps/nsfl.nsf/pagesmh/463</w:t>
        </w:r>
      </w:hyperlink>
      <w:r w:rsidRPr="00D71172">
        <w:rPr>
          <w:rFonts w:ascii="Arial" w:hAnsi="Arial" w:cs="Arial"/>
        </w:rPr>
        <w:t>.</w:t>
      </w:r>
      <w:r w:rsidRPr="00393000">
        <w:rPr>
          <w:rFonts w:ascii="Arial" w:hAnsi="Arial" w:cs="Arial"/>
        </w:rPr>
        <w:t xml:space="preserve">  They are reviewed, agreed and updated annually.</w:t>
      </w:r>
      <w:bookmarkStart w:id="29" w:name="_GoBack"/>
      <w:bookmarkEnd w:id="29"/>
    </w:p>
    <w:bookmarkEnd w:id="28"/>
    <w:p w:rsidR="008F0157" w:rsidRPr="00393000" w:rsidRDefault="008F0157" w:rsidP="003C450E">
      <w:pPr>
        <w:spacing w:before="120" w:after="120"/>
        <w:rPr>
          <w:rFonts w:ascii="Arial" w:hAnsi="Arial" w:cs="Arial"/>
        </w:rPr>
      </w:pPr>
      <w:r>
        <w:rPr>
          <w:rFonts w:ascii="Arial" w:hAnsi="Arial" w:cs="Arial"/>
        </w:rPr>
        <w:t xml:space="preserve">Purchase Units for </w:t>
      </w:r>
      <w:r w:rsidR="00A811A7">
        <w:rPr>
          <w:rFonts w:ascii="Arial" w:hAnsi="Arial" w:cs="Arial"/>
        </w:rPr>
        <w:t>Public H</w:t>
      </w:r>
      <w:r w:rsidR="00A811A7" w:rsidRPr="00393000">
        <w:rPr>
          <w:rFonts w:ascii="Arial" w:hAnsi="Arial" w:cs="Arial"/>
        </w:rPr>
        <w:t xml:space="preserve">ealth </w:t>
      </w:r>
      <w:r w:rsidR="00A811A7">
        <w:rPr>
          <w:rFonts w:ascii="Arial" w:hAnsi="Arial" w:cs="Arial"/>
        </w:rPr>
        <w:t>S</w:t>
      </w:r>
      <w:r w:rsidR="00A811A7" w:rsidRPr="00393000">
        <w:rPr>
          <w:rFonts w:ascii="Arial" w:hAnsi="Arial" w:cs="Arial"/>
        </w:rPr>
        <w:t xml:space="preserve">ervices </w:t>
      </w:r>
      <w:r w:rsidRPr="00393000">
        <w:rPr>
          <w:rFonts w:ascii="Arial" w:hAnsi="Arial" w:cs="Arial"/>
        </w:rPr>
        <w:t xml:space="preserve">are included in the tier two and </w:t>
      </w:r>
      <w:r w:rsidR="00546943">
        <w:rPr>
          <w:rFonts w:ascii="Arial" w:hAnsi="Arial" w:cs="Arial"/>
        </w:rPr>
        <w:t xml:space="preserve">tier </w:t>
      </w:r>
      <w:r w:rsidRPr="00393000">
        <w:rPr>
          <w:rFonts w:ascii="Arial" w:hAnsi="Arial" w:cs="Arial"/>
        </w:rPr>
        <w:t xml:space="preserve">three service specifications. </w:t>
      </w:r>
    </w:p>
    <w:p w:rsidR="0083058B" w:rsidRDefault="00546943" w:rsidP="003C450E">
      <w:pPr>
        <w:tabs>
          <w:tab w:val="left" w:pos="567"/>
        </w:tabs>
        <w:spacing w:before="240" w:after="120"/>
        <w:ind w:right="5"/>
        <w:rPr>
          <w:rFonts w:ascii="Arial" w:hAnsi="Arial" w:cs="Arial"/>
          <w:b/>
        </w:rPr>
      </w:pPr>
      <w:r>
        <w:rPr>
          <w:rFonts w:ascii="Arial" w:hAnsi="Arial" w:cs="Arial"/>
          <w:b/>
        </w:rPr>
        <w:t>9</w:t>
      </w:r>
      <w:r w:rsidR="008F0157" w:rsidRPr="00393000">
        <w:rPr>
          <w:rFonts w:ascii="Arial" w:hAnsi="Arial" w:cs="Arial"/>
          <w:b/>
        </w:rPr>
        <w:t>.1</w:t>
      </w:r>
      <w:r w:rsidR="008F0157" w:rsidRPr="00393000">
        <w:rPr>
          <w:rFonts w:ascii="Arial" w:hAnsi="Arial" w:cs="Arial"/>
          <w:b/>
        </w:rPr>
        <w:tab/>
        <w:t>Reporting Requirements</w:t>
      </w:r>
    </w:p>
    <w:p w:rsidR="0083058B" w:rsidRPr="00DD0D3D" w:rsidRDefault="0083058B" w:rsidP="008F0157">
      <w:pPr>
        <w:tabs>
          <w:tab w:val="left" w:pos="567"/>
        </w:tabs>
        <w:spacing w:before="120" w:after="120"/>
        <w:ind w:right="5"/>
        <w:rPr>
          <w:rFonts w:ascii="Arial" w:hAnsi="Arial" w:cs="Arial"/>
          <w:b/>
        </w:rPr>
      </w:pPr>
      <w:r w:rsidRPr="00DD0D3D">
        <w:rPr>
          <w:rFonts w:ascii="Arial" w:eastAsiaTheme="minorHAnsi" w:hAnsi="Arial" w:cs="Arial"/>
          <w:color w:val="000000"/>
        </w:rPr>
        <w:t xml:space="preserve">Specific reporting requirements apply at </w:t>
      </w:r>
      <w:r w:rsidR="00E3339D" w:rsidRPr="00DD0D3D">
        <w:rPr>
          <w:rFonts w:ascii="Arial" w:eastAsiaTheme="minorHAnsi" w:hAnsi="Arial" w:cs="Arial"/>
          <w:color w:val="000000"/>
        </w:rPr>
        <w:t>t</w:t>
      </w:r>
      <w:r w:rsidRPr="00DD0D3D">
        <w:rPr>
          <w:rFonts w:ascii="Arial" w:eastAsiaTheme="minorHAnsi" w:hAnsi="Arial" w:cs="Arial"/>
          <w:color w:val="000000"/>
        </w:rPr>
        <w:t xml:space="preserve">ier </w:t>
      </w:r>
      <w:r w:rsidR="00E3339D" w:rsidRPr="00DD0D3D">
        <w:rPr>
          <w:rFonts w:ascii="Arial" w:eastAsiaTheme="minorHAnsi" w:hAnsi="Arial" w:cs="Arial"/>
          <w:color w:val="000000"/>
        </w:rPr>
        <w:t>t</w:t>
      </w:r>
      <w:r w:rsidRPr="00DD0D3D">
        <w:rPr>
          <w:rFonts w:ascii="Arial" w:eastAsiaTheme="minorHAnsi" w:hAnsi="Arial" w:cs="Arial"/>
          <w:color w:val="000000"/>
        </w:rPr>
        <w:t xml:space="preserve">wo and their </w:t>
      </w:r>
      <w:r w:rsidR="00DD0D3D" w:rsidRPr="00DD0D3D">
        <w:rPr>
          <w:rFonts w:ascii="Arial" w:eastAsiaTheme="minorHAnsi" w:hAnsi="Arial" w:cs="Arial"/>
          <w:color w:val="000000"/>
        </w:rPr>
        <w:t xml:space="preserve">associated </w:t>
      </w:r>
      <w:r w:rsidR="00E3339D" w:rsidRPr="00DD0D3D">
        <w:rPr>
          <w:rFonts w:ascii="Arial" w:eastAsiaTheme="minorHAnsi" w:hAnsi="Arial" w:cs="Arial"/>
          <w:color w:val="000000"/>
        </w:rPr>
        <w:t>t</w:t>
      </w:r>
      <w:r w:rsidRPr="00DD0D3D">
        <w:rPr>
          <w:rFonts w:ascii="Arial" w:eastAsiaTheme="minorHAnsi" w:hAnsi="Arial" w:cs="Arial"/>
          <w:color w:val="000000"/>
        </w:rPr>
        <w:t xml:space="preserve">ier </w:t>
      </w:r>
      <w:r w:rsidR="00E3339D" w:rsidRPr="00DD0D3D">
        <w:rPr>
          <w:rFonts w:ascii="Arial" w:eastAsiaTheme="minorHAnsi" w:hAnsi="Arial" w:cs="Arial"/>
          <w:color w:val="000000"/>
        </w:rPr>
        <w:t>t</w:t>
      </w:r>
      <w:r w:rsidRPr="00DD0D3D">
        <w:rPr>
          <w:rFonts w:ascii="Arial" w:eastAsiaTheme="minorHAnsi" w:hAnsi="Arial" w:cs="Arial"/>
          <w:color w:val="000000"/>
        </w:rPr>
        <w:t>hree service specifications as appropriate.</w:t>
      </w:r>
    </w:p>
    <w:p w:rsidR="008F0157" w:rsidRPr="00393000" w:rsidRDefault="00546943" w:rsidP="003C450E">
      <w:pPr>
        <w:tabs>
          <w:tab w:val="left" w:pos="855"/>
        </w:tabs>
        <w:spacing w:before="240" w:after="120"/>
        <w:ind w:right="5"/>
        <w:rPr>
          <w:rFonts w:ascii="Arial" w:hAnsi="Arial" w:cs="Arial"/>
          <w:b/>
        </w:rPr>
      </w:pPr>
      <w:r>
        <w:rPr>
          <w:rFonts w:ascii="Arial" w:hAnsi="Arial" w:cs="Arial"/>
          <w:b/>
        </w:rPr>
        <w:t>9.2</w:t>
      </w:r>
      <w:r w:rsidR="008F0157" w:rsidRPr="00393000">
        <w:rPr>
          <w:rFonts w:ascii="Arial" w:hAnsi="Arial" w:cs="Arial"/>
          <w:b/>
        </w:rPr>
        <w:tab/>
        <w:t>Service Specific Requirements</w:t>
      </w:r>
    </w:p>
    <w:p w:rsidR="008F0157" w:rsidRPr="00393000" w:rsidRDefault="00A811A7" w:rsidP="008F0157">
      <w:pPr>
        <w:spacing w:before="120" w:after="120"/>
        <w:ind w:right="5"/>
        <w:rPr>
          <w:rFonts w:ascii="Arial" w:hAnsi="Arial" w:cs="Arial"/>
        </w:rPr>
      </w:pPr>
      <w:r>
        <w:rPr>
          <w:rFonts w:ascii="Arial" w:hAnsi="Arial" w:cs="Arial"/>
        </w:rPr>
        <w:t>Public H</w:t>
      </w:r>
      <w:r w:rsidR="008F0157" w:rsidRPr="00393000">
        <w:rPr>
          <w:rFonts w:ascii="Arial" w:hAnsi="Arial" w:cs="Arial"/>
        </w:rPr>
        <w:t xml:space="preserve">ealth </w:t>
      </w:r>
      <w:r>
        <w:rPr>
          <w:rFonts w:ascii="Arial" w:hAnsi="Arial" w:cs="Arial"/>
        </w:rPr>
        <w:t>S</w:t>
      </w:r>
      <w:r w:rsidR="008F0157" w:rsidRPr="00393000">
        <w:rPr>
          <w:rFonts w:ascii="Arial" w:hAnsi="Arial" w:cs="Arial"/>
        </w:rPr>
        <w:t>ervices reporting requirements are as per indiv</w:t>
      </w:r>
      <w:r w:rsidR="008F0157">
        <w:rPr>
          <w:rFonts w:ascii="Arial" w:hAnsi="Arial" w:cs="Arial"/>
        </w:rPr>
        <w:t>i</w:t>
      </w:r>
      <w:r w:rsidR="00E3339D">
        <w:rPr>
          <w:rFonts w:ascii="Arial" w:hAnsi="Arial" w:cs="Arial"/>
        </w:rPr>
        <w:t>dual contracts with providers</w:t>
      </w:r>
      <w:r w:rsidR="009E337C">
        <w:rPr>
          <w:rFonts w:ascii="Arial" w:hAnsi="Arial" w:cs="Arial"/>
        </w:rPr>
        <w:t>.</w:t>
      </w:r>
      <w:r w:rsidR="008F0157">
        <w:rPr>
          <w:rFonts w:ascii="Arial" w:hAnsi="Arial" w:cs="Arial"/>
          <w:lang w:val="en-US"/>
        </w:rPr>
        <w:t xml:space="preserve">  </w:t>
      </w:r>
      <w:r w:rsidR="008F0157" w:rsidRPr="00393000">
        <w:rPr>
          <w:rFonts w:ascii="Arial" w:hAnsi="Arial" w:cs="Arial"/>
          <w:lang w:val="en-US"/>
        </w:rPr>
        <w:t>Service providers must comply with the requirements of national data collections where they are available.</w:t>
      </w:r>
      <w:r w:rsidR="008F0157" w:rsidRPr="00393000">
        <w:rPr>
          <w:rFonts w:ascii="Arial" w:hAnsi="Arial" w:cs="Arial"/>
        </w:rPr>
        <w:t xml:space="preserve"> </w:t>
      </w:r>
    </w:p>
    <w:p w:rsidR="008F0157" w:rsidRPr="00393000" w:rsidRDefault="008F0157" w:rsidP="008F0157">
      <w:pPr>
        <w:ind w:right="5"/>
        <w:rPr>
          <w:rFonts w:ascii="Arial" w:hAnsi="Arial" w:cs="Arial"/>
        </w:rPr>
      </w:pPr>
      <w:r w:rsidRPr="00393000">
        <w:rPr>
          <w:rFonts w:ascii="Arial" w:hAnsi="Arial" w:cs="Arial"/>
        </w:rPr>
        <w:t>In addition to the information and reporting require</w:t>
      </w:r>
      <w:r w:rsidR="008677AF">
        <w:rPr>
          <w:rFonts w:ascii="Arial" w:hAnsi="Arial" w:cs="Arial"/>
        </w:rPr>
        <w:t xml:space="preserve">ments identified in </w:t>
      </w:r>
      <w:r w:rsidR="00E3339D">
        <w:rPr>
          <w:rFonts w:ascii="Arial" w:hAnsi="Arial" w:cs="Arial"/>
        </w:rPr>
        <w:t>specifications for</w:t>
      </w:r>
      <w:r w:rsidR="008677AF">
        <w:rPr>
          <w:rFonts w:ascii="Arial" w:hAnsi="Arial" w:cs="Arial"/>
        </w:rPr>
        <w:t xml:space="preserve"> Public H</w:t>
      </w:r>
      <w:r w:rsidRPr="00393000">
        <w:rPr>
          <w:rFonts w:ascii="Arial" w:hAnsi="Arial" w:cs="Arial"/>
        </w:rPr>
        <w:t xml:space="preserve">ealth </w:t>
      </w:r>
      <w:r w:rsidR="00E3339D">
        <w:rPr>
          <w:rFonts w:ascii="Arial" w:hAnsi="Arial" w:cs="Arial"/>
        </w:rPr>
        <w:t>Services,</w:t>
      </w:r>
      <w:r w:rsidRPr="00393000">
        <w:rPr>
          <w:rFonts w:ascii="Arial" w:hAnsi="Arial" w:cs="Arial"/>
        </w:rPr>
        <w:t xml:space="preserve"> service providers </w:t>
      </w:r>
      <w:r>
        <w:rPr>
          <w:rFonts w:ascii="Arial" w:hAnsi="Arial" w:cs="Arial"/>
        </w:rPr>
        <w:t>must</w:t>
      </w:r>
      <w:r w:rsidRPr="00393000">
        <w:rPr>
          <w:rFonts w:ascii="Arial" w:hAnsi="Arial" w:cs="Arial"/>
        </w:rPr>
        <w:t xml:space="preserve"> use their best endeavours to comply with any reasonable request for information from the Ministry.</w:t>
      </w:r>
    </w:p>
    <w:p w:rsidR="009E337C" w:rsidRPr="00BA1056" w:rsidRDefault="008F0157" w:rsidP="00BA1056">
      <w:pPr>
        <w:spacing w:before="120"/>
        <w:ind w:left="57" w:right="5"/>
        <w:jc w:val="center"/>
        <w:rPr>
          <w:b/>
        </w:rPr>
      </w:pPr>
      <w:r w:rsidRPr="00BA1056">
        <w:rPr>
          <w:rFonts w:ascii="Arial" w:hAnsi="Arial" w:cs="Arial"/>
          <w:b/>
        </w:rPr>
        <w:lastRenderedPageBreak/>
        <w:t>Appendix One</w:t>
      </w:r>
      <w:r w:rsidR="00BA1056" w:rsidRPr="00BA1056">
        <w:rPr>
          <w:rFonts w:ascii="Arial" w:hAnsi="Arial" w:cs="Arial"/>
          <w:b/>
        </w:rPr>
        <w:t xml:space="preserve">: </w:t>
      </w:r>
      <w:r w:rsidR="009E337C" w:rsidRPr="00BA1056">
        <w:rPr>
          <w:rFonts w:ascii="Arial" w:hAnsi="Arial" w:cs="Arial"/>
          <w:b/>
        </w:rPr>
        <w:t>Eligibility for publicly funded health and disability services</w:t>
      </w:r>
    </w:p>
    <w:p w:rsidR="009E337C" w:rsidRPr="003D5553" w:rsidRDefault="009E337C" w:rsidP="00BA1056">
      <w:pPr>
        <w:autoSpaceDE w:val="0"/>
        <w:autoSpaceDN w:val="0"/>
        <w:adjustRightInd w:val="0"/>
        <w:spacing w:before="120"/>
        <w:rPr>
          <w:rFonts w:ascii="Arial" w:hAnsi="Arial" w:cs="Arial"/>
          <w:color w:val="000000"/>
          <w:sz w:val="22"/>
          <w:szCs w:val="22"/>
          <w:u w:val="single"/>
          <w:lang w:val="en-GB" w:eastAsia="en-GB"/>
        </w:rPr>
      </w:pPr>
      <w:r w:rsidRPr="003D5553">
        <w:rPr>
          <w:rFonts w:ascii="Arial" w:hAnsi="Arial" w:cs="Arial"/>
          <w:sz w:val="22"/>
          <w:szCs w:val="22"/>
        </w:rPr>
        <w:t>Individuals need to meet certain clinical and other assessment criteria to receive many services.</w:t>
      </w:r>
    </w:p>
    <w:p w:rsidR="009E337C" w:rsidRPr="00DD0D3D" w:rsidRDefault="009E337C" w:rsidP="009E337C">
      <w:pPr>
        <w:tabs>
          <w:tab w:val="num" w:pos="540"/>
        </w:tabs>
        <w:spacing w:before="120" w:after="120" w:line="276" w:lineRule="auto"/>
        <w:rPr>
          <w:rFonts w:ascii="Arial" w:hAnsi="Arial" w:cs="Arial"/>
          <w:sz w:val="22"/>
          <w:szCs w:val="22"/>
        </w:rPr>
      </w:pPr>
      <w:r w:rsidRPr="00DD0D3D">
        <w:rPr>
          <w:rFonts w:ascii="Arial" w:hAnsi="Arial" w:cs="Arial"/>
          <w:sz w:val="22"/>
          <w:szCs w:val="22"/>
        </w:rPr>
        <w:t>Eligible people include the following:</w:t>
      </w:r>
    </w:p>
    <w:p w:rsidR="009E337C" w:rsidRPr="00DD0D3D" w:rsidRDefault="009E337C" w:rsidP="00BA1056">
      <w:pPr>
        <w:numPr>
          <w:ilvl w:val="0"/>
          <w:numId w:val="7"/>
        </w:numPr>
        <w:tabs>
          <w:tab w:val="clear" w:pos="720"/>
          <w:tab w:val="num" w:pos="567"/>
        </w:tabs>
        <w:autoSpaceDE w:val="0"/>
        <w:autoSpaceDN w:val="0"/>
        <w:adjustRightInd w:val="0"/>
        <w:ind w:hanging="720"/>
        <w:jc w:val="both"/>
        <w:rPr>
          <w:rFonts w:ascii="Arial" w:hAnsi="Arial" w:cs="Arial"/>
          <w:color w:val="000000"/>
          <w:sz w:val="22"/>
          <w:szCs w:val="22"/>
          <w:lang w:val="en-GB" w:eastAsia="en-GB"/>
        </w:rPr>
      </w:pPr>
      <w:r w:rsidRPr="00DD0D3D">
        <w:rPr>
          <w:rFonts w:ascii="Arial" w:hAnsi="Arial" w:cs="Arial"/>
          <w:color w:val="000000"/>
          <w:sz w:val="22"/>
          <w:szCs w:val="22"/>
          <w:lang w:val="en-GB" w:eastAsia="en-GB"/>
        </w:rPr>
        <w:t>New Zealand citizens and residents (sections B2 and B3 of the Direction)</w:t>
      </w:r>
    </w:p>
    <w:p w:rsidR="009E337C" w:rsidRPr="00DD0D3D" w:rsidRDefault="009E337C" w:rsidP="00BA1056">
      <w:pPr>
        <w:numPr>
          <w:ilvl w:val="0"/>
          <w:numId w:val="7"/>
        </w:numPr>
        <w:tabs>
          <w:tab w:val="clear" w:pos="720"/>
          <w:tab w:val="num" w:pos="567"/>
        </w:tabs>
        <w:autoSpaceDE w:val="0"/>
        <w:autoSpaceDN w:val="0"/>
        <w:adjustRightInd w:val="0"/>
        <w:ind w:hanging="720"/>
        <w:jc w:val="both"/>
        <w:rPr>
          <w:rFonts w:ascii="Arial" w:hAnsi="Arial" w:cs="Arial"/>
          <w:color w:val="000000"/>
          <w:sz w:val="22"/>
          <w:szCs w:val="22"/>
          <w:lang w:val="en-GB" w:eastAsia="en-GB"/>
        </w:rPr>
      </w:pPr>
      <w:r w:rsidRPr="00DD0D3D">
        <w:rPr>
          <w:rFonts w:ascii="Arial" w:hAnsi="Arial" w:cs="Arial"/>
          <w:color w:val="000000"/>
          <w:sz w:val="22"/>
          <w:szCs w:val="22"/>
          <w:lang w:val="en-GB" w:eastAsia="en-GB"/>
        </w:rPr>
        <w:t>Holders of work visas valid for two years or more (section B5)</w:t>
      </w:r>
    </w:p>
    <w:p w:rsidR="009E337C" w:rsidRPr="00DD0D3D" w:rsidRDefault="009E337C" w:rsidP="00BA1056">
      <w:pPr>
        <w:numPr>
          <w:ilvl w:val="0"/>
          <w:numId w:val="7"/>
        </w:numPr>
        <w:tabs>
          <w:tab w:val="clear" w:pos="720"/>
          <w:tab w:val="num" w:pos="567"/>
        </w:tabs>
        <w:autoSpaceDE w:val="0"/>
        <w:autoSpaceDN w:val="0"/>
        <w:adjustRightInd w:val="0"/>
        <w:ind w:hanging="720"/>
        <w:jc w:val="both"/>
        <w:rPr>
          <w:rFonts w:ascii="Arial" w:hAnsi="Arial" w:cs="Arial"/>
          <w:color w:val="000000"/>
          <w:sz w:val="22"/>
          <w:szCs w:val="22"/>
          <w:lang w:val="en-GB" w:eastAsia="en-GB"/>
        </w:rPr>
      </w:pPr>
      <w:r w:rsidRPr="00DD0D3D">
        <w:rPr>
          <w:rFonts w:ascii="Arial" w:hAnsi="Arial" w:cs="Arial"/>
          <w:color w:val="000000"/>
          <w:sz w:val="22"/>
          <w:szCs w:val="22"/>
          <w:lang w:val="en-GB" w:eastAsia="en-GB"/>
        </w:rPr>
        <w:t>Australian citizens and permanent residents who have been or intend to stay in New Zealand for at least two consecutive years (sections B6 and B7)</w:t>
      </w:r>
    </w:p>
    <w:p w:rsidR="009E337C" w:rsidRPr="00DD0D3D" w:rsidRDefault="009E337C" w:rsidP="00BA1056">
      <w:pPr>
        <w:numPr>
          <w:ilvl w:val="0"/>
          <w:numId w:val="7"/>
        </w:numPr>
        <w:tabs>
          <w:tab w:val="clear" w:pos="720"/>
          <w:tab w:val="num" w:pos="567"/>
        </w:tabs>
        <w:autoSpaceDE w:val="0"/>
        <w:autoSpaceDN w:val="0"/>
        <w:adjustRightInd w:val="0"/>
        <w:ind w:hanging="720"/>
        <w:jc w:val="both"/>
        <w:rPr>
          <w:rFonts w:ascii="Arial" w:hAnsi="Arial" w:cs="Arial"/>
          <w:color w:val="000000"/>
          <w:sz w:val="22"/>
          <w:szCs w:val="22"/>
          <w:lang w:val="en-GB" w:eastAsia="en-GB"/>
        </w:rPr>
      </w:pPr>
      <w:r w:rsidRPr="00DD0D3D">
        <w:rPr>
          <w:rFonts w:ascii="Arial" w:hAnsi="Arial" w:cs="Arial"/>
          <w:color w:val="000000"/>
          <w:sz w:val="22"/>
          <w:szCs w:val="22"/>
          <w:lang w:val="en-GB" w:eastAsia="en-GB"/>
        </w:rPr>
        <w:t>Refugee applicants (section B10)</w:t>
      </w:r>
    </w:p>
    <w:p w:rsidR="009E337C" w:rsidRPr="00DD0D3D" w:rsidRDefault="009E337C" w:rsidP="00BA1056">
      <w:pPr>
        <w:numPr>
          <w:ilvl w:val="0"/>
          <w:numId w:val="7"/>
        </w:numPr>
        <w:tabs>
          <w:tab w:val="clear" w:pos="720"/>
          <w:tab w:val="num" w:pos="567"/>
        </w:tabs>
        <w:autoSpaceDE w:val="0"/>
        <w:autoSpaceDN w:val="0"/>
        <w:adjustRightInd w:val="0"/>
        <w:ind w:hanging="720"/>
        <w:jc w:val="both"/>
        <w:rPr>
          <w:rFonts w:ascii="Arial" w:hAnsi="Arial" w:cs="Arial"/>
          <w:color w:val="000000"/>
          <w:sz w:val="22"/>
          <w:szCs w:val="22"/>
          <w:lang w:val="en-GB" w:eastAsia="en-GB"/>
        </w:rPr>
      </w:pPr>
      <w:r w:rsidRPr="00DD0D3D">
        <w:rPr>
          <w:rFonts w:ascii="Arial" w:hAnsi="Arial" w:cs="Arial"/>
          <w:color w:val="000000"/>
          <w:sz w:val="22"/>
          <w:szCs w:val="22"/>
          <w:lang w:val="en-GB" w:eastAsia="en-GB"/>
        </w:rPr>
        <w:t>Protected persons (section B11)</w:t>
      </w:r>
    </w:p>
    <w:p w:rsidR="009E337C" w:rsidRPr="00DD0D3D" w:rsidRDefault="009E337C" w:rsidP="00BA1056">
      <w:pPr>
        <w:numPr>
          <w:ilvl w:val="0"/>
          <w:numId w:val="7"/>
        </w:numPr>
        <w:tabs>
          <w:tab w:val="clear" w:pos="720"/>
          <w:tab w:val="num" w:pos="567"/>
        </w:tabs>
        <w:autoSpaceDE w:val="0"/>
        <w:autoSpaceDN w:val="0"/>
        <w:adjustRightInd w:val="0"/>
        <w:ind w:hanging="720"/>
        <w:jc w:val="both"/>
        <w:rPr>
          <w:rFonts w:ascii="Arial" w:hAnsi="Arial" w:cs="Arial"/>
          <w:color w:val="000000"/>
          <w:sz w:val="22"/>
          <w:szCs w:val="22"/>
          <w:lang w:val="en-GB" w:eastAsia="en-GB"/>
        </w:rPr>
      </w:pPr>
      <w:r w:rsidRPr="00DD0D3D">
        <w:rPr>
          <w:rFonts w:ascii="Arial" w:hAnsi="Arial" w:cs="Arial"/>
          <w:color w:val="000000"/>
          <w:sz w:val="22"/>
          <w:szCs w:val="22"/>
          <w:lang w:val="en-GB" w:eastAsia="en-GB"/>
        </w:rPr>
        <w:t>Victims of people trafficking offences (section B12)</w:t>
      </w:r>
    </w:p>
    <w:p w:rsidR="009E337C" w:rsidRPr="00DD0D3D" w:rsidRDefault="009E337C" w:rsidP="00BA1056">
      <w:pPr>
        <w:numPr>
          <w:ilvl w:val="0"/>
          <w:numId w:val="7"/>
        </w:numPr>
        <w:tabs>
          <w:tab w:val="clear" w:pos="720"/>
          <w:tab w:val="num" w:pos="567"/>
        </w:tabs>
        <w:autoSpaceDE w:val="0"/>
        <w:autoSpaceDN w:val="0"/>
        <w:adjustRightInd w:val="0"/>
        <w:ind w:hanging="720"/>
        <w:jc w:val="both"/>
        <w:rPr>
          <w:rFonts w:ascii="Arial" w:hAnsi="Arial" w:cs="Arial"/>
          <w:color w:val="000000"/>
          <w:sz w:val="22"/>
          <w:szCs w:val="22"/>
          <w:lang w:val="en-GB" w:eastAsia="en-GB"/>
        </w:rPr>
      </w:pPr>
      <w:r w:rsidRPr="00DD0D3D">
        <w:rPr>
          <w:rFonts w:ascii="Arial" w:hAnsi="Arial" w:cs="Arial"/>
          <w:color w:val="000000"/>
          <w:sz w:val="22"/>
          <w:szCs w:val="22"/>
          <w:lang w:val="en-GB" w:eastAsia="en-GB"/>
        </w:rPr>
        <w:t>Certain students, for example those on Commonwealth Scholarships (sections B13, B14 and B15)</w:t>
      </w:r>
    </w:p>
    <w:p w:rsidR="009E337C" w:rsidRPr="00DD0D3D" w:rsidRDefault="009E337C" w:rsidP="00BA1056">
      <w:pPr>
        <w:numPr>
          <w:ilvl w:val="0"/>
          <w:numId w:val="7"/>
        </w:numPr>
        <w:tabs>
          <w:tab w:val="clear" w:pos="720"/>
          <w:tab w:val="num" w:pos="567"/>
        </w:tabs>
        <w:autoSpaceDE w:val="0"/>
        <w:autoSpaceDN w:val="0"/>
        <w:adjustRightInd w:val="0"/>
        <w:ind w:hanging="720"/>
        <w:jc w:val="both"/>
        <w:rPr>
          <w:rFonts w:ascii="Arial" w:hAnsi="Arial" w:cs="Arial"/>
          <w:color w:val="000000"/>
          <w:sz w:val="22"/>
          <w:szCs w:val="22"/>
          <w:lang w:val="en-GB" w:eastAsia="en-GB"/>
        </w:rPr>
      </w:pPr>
      <w:r w:rsidRPr="00DD0D3D">
        <w:rPr>
          <w:rFonts w:ascii="Arial" w:hAnsi="Arial" w:cs="Arial"/>
          <w:color w:val="000000"/>
          <w:sz w:val="22"/>
          <w:szCs w:val="22"/>
          <w:lang w:val="en-GB" w:eastAsia="en-GB"/>
        </w:rPr>
        <w:t>The dependents of eligible people who are under 18 (section B16).</w:t>
      </w:r>
    </w:p>
    <w:p w:rsidR="009E337C" w:rsidRPr="00DD0D3D" w:rsidRDefault="009E337C" w:rsidP="00D17514">
      <w:pPr>
        <w:autoSpaceDE w:val="0"/>
        <w:autoSpaceDN w:val="0"/>
        <w:adjustRightInd w:val="0"/>
        <w:spacing w:before="120"/>
        <w:jc w:val="both"/>
        <w:rPr>
          <w:rFonts w:ascii="Arial" w:hAnsi="Arial" w:cs="Arial"/>
          <w:color w:val="000000"/>
          <w:sz w:val="22"/>
          <w:szCs w:val="22"/>
          <w:lang w:val="en-GB" w:eastAsia="en-GB"/>
        </w:rPr>
      </w:pPr>
      <w:r w:rsidRPr="00DD0D3D">
        <w:rPr>
          <w:rFonts w:ascii="Arial" w:hAnsi="Arial" w:cs="Arial"/>
          <w:color w:val="000000"/>
          <w:sz w:val="22"/>
          <w:szCs w:val="22"/>
          <w:lang w:val="en-GB" w:eastAsia="en-GB"/>
        </w:rPr>
        <w:t>All children are eligible for Well</w:t>
      </w:r>
      <w:r w:rsidR="00BA1056">
        <w:rPr>
          <w:rFonts w:ascii="Arial" w:hAnsi="Arial" w:cs="Arial"/>
          <w:color w:val="000000"/>
          <w:sz w:val="22"/>
          <w:szCs w:val="22"/>
          <w:lang w:val="en-GB" w:eastAsia="en-GB"/>
        </w:rPr>
        <w:t xml:space="preserve"> </w:t>
      </w:r>
      <w:r w:rsidRPr="00DD0D3D">
        <w:rPr>
          <w:rFonts w:ascii="Arial" w:hAnsi="Arial" w:cs="Arial"/>
          <w:color w:val="000000"/>
          <w:sz w:val="22"/>
          <w:szCs w:val="22"/>
          <w:lang w:val="en-GB" w:eastAsia="en-GB"/>
        </w:rPr>
        <w:t>Child services and for vaccinations listed on the Immunisation Schedule.</w:t>
      </w:r>
    </w:p>
    <w:p w:rsidR="009E337C" w:rsidRPr="00DD0D3D" w:rsidRDefault="009E337C" w:rsidP="000028DC">
      <w:pPr>
        <w:spacing w:before="240"/>
        <w:ind w:right="6"/>
        <w:rPr>
          <w:rFonts w:ascii="Arial" w:hAnsi="Arial" w:cs="Arial"/>
          <w:sz w:val="22"/>
          <w:szCs w:val="22"/>
        </w:rPr>
      </w:pPr>
      <w:r w:rsidRPr="00DD0D3D">
        <w:rPr>
          <w:rFonts w:ascii="Arial" w:hAnsi="Arial" w:cs="Arial"/>
          <w:sz w:val="22"/>
          <w:szCs w:val="22"/>
        </w:rPr>
        <w:t>Publicly funded services are also offered to otherwise ineligible people in the following situations:</w:t>
      </w:r>
      <w:bookmarkStart w:id="30" w:name="hiv"/>
      <w:bookmarkEnd w:id="30"/>
    </w:p>
    <w:p w:rsidR="009E337C" w:rsidRPr="00BA1056" w:rsidRDefault="009E337C" w:rsidP="00BA1056">
      <w:pPr>
        <w:pStyle w:val="ListParagraph"/>
        <w:numPr>
          <w:ilvl w:val="0"/>
          <w:numId w:val="41"/>
        </w:numPr>
        <w:autoSpaceDE w:val="0"/>
        <w:autoSpaceDN w:val="0"/>
        <w:adjustRightInd w:val="0"/>
        <w:spacing w:before="120"/>
        <w:rPr>
          <w:rFonts w:cs="Arial"/>
          <w:color w:val="000000"/>
          <w:sz w:val="22"/>
          <w:lang w:val="en-GB" w:eastAsia="en-GB"/>
        </w:rPr>
      </w:pPr>
      <w:r w:rsidRPr="00BA1056">
        <w:rPr>
          <w:rFonts w:cs="Arial"/>
          <w:color w:val="000000"/>
          <w:sz w:val="22"/>
          <w:lang w:val="en-GB" w:eastAsia="en-GB"/>
        </w:rPr>
        <w:t>partners of New Zealand Aid Programme students (section B20)</w:t>
      </w:r>
    </w:p>
    <w:p w:rsidR="009E337C" w:rsidRPr="00BA1056" w:rsidRDefault="009E337C" w:rsidP="00BA1056">
      <w:pPr>
        <w:pStyle w:val="ListParagraph"/>
        <w:numPr>
          <w:ilvl w:val="0"/>
          <w:numId w:val="41"/>
        </w:numPr>
        <w:autoSpaceDE w:val="0"/>
        <w:autoSpaceDN w:val="0"/>
        <w:adjustRightInd w:val="0"/>
        <w:spacing w:before="120"/>
        <w:rPr>
          <w:rFonts w:cs="Arial"/>
          <w:color w:val="000000"/>
          <w:sz w:val="22"/>
          <w:lang w:val="en-GB" w:eastAsia="en-GB"/>
        </w:rPr>
      </w:pPr>
      <w:r w:rsidRPr="00BA1056">
        <w:rPr>
          <w:rFonts w:cs="Arial"/>
          <w:color w:val="000000"/>
          <w:sz w:val="22"/>
          <w:lang w:val="en-GB" w:eastAsia="en-GB"/>
        </w:rPr>
        <w:t>pregnant women who require maternity-related services if either their partner is eligible or the unborn child (when it is born) will be a New Zealand citizen (section B21)</w:t>
      </w:r>
    </w:p>
    <w:p w:rsidR="009E337C" w:rsidRPr="00BA1056" w:rsidRDefault="009E337C" w:rsidP="00BA1056">
      <w:pPr>
        <w:pStyle w:val="ListParagraph"/>
        <w:numPr>
          <w:ilvl w:val="0"/>
          <w:numId w:val="41"/>
        </w:numPr>
        <w:autoSpaceDE w:val="0"/>
        <w:autoSpaceDN w:val="0"/>
        <w:adjustRightInd w:val="0"/>
        <w:spacing w:before="120"/>
        <w:rPr>
          <w:rFonts w:cs="Arial"/>
          <w:color w:val="000000"/>
          <w:sz w:val="22"/>
          <w:lang w:val="en-GB" w:eastAsia="en-GB"/>
        </w:rPr>
      </w:pPr>
      <w:r w:rsidRPr="00BA1056">
        <w:rPr>
          <w:rFonts w:cs="Arial"/>
          <w:color w:val="000000"/>
          <w:sz w:val="22"/>
          <w:lang w:val="en-GB" w:eastAsia="en-GB"/>
        </w:rPr>
        <w:t>pregnant women who require services to prevent transmission of HIV to their unborn child (section B22)</w:t>
      </w:r>
    </w:p>
    <w:p w:rsidR="009E337C" w:rsidRPr="00BA1056" w:rsidRDefault="009E337C" w:rsidP="00BA1056">
      <w:pPr>
        <w:pStyle w:val="ListParagraph"/>
        <w:numPr>
          <w:ilvl w:val="0"/>
          <w:numId w:val="41"/>
        </w:numPr>
        <w:autoSpaceDE w:val="0"/>
        <w:autoSpaceDN w:val="0"/>
        <w:adjustRightInd w:val="0"/>
        <w:spacing w:before="120"/>
        <w:rPr>
          <w:rFonts w:cs="Arial"/>
          <w:sz w:val="22"/>
        </w:rPr>
      </w:pPr>
      <w:r w:rsidRPr="00BA1056">
        <w:rPr>
          <w:rFonts w:cs="Arial"/>
          <w:sz w:val="22"/>
        </w:rPr>
        <w:t xml:space="preserve">any person suspected of having a scheduled infectious disease or </w:t>
      </w:r>
      <w:proofErr w:type="spellStart"/>
      <w:r w:rsidRPr="00BA1056">
        <w:rPr>
          <w:rFonts w:cs="Arial"/>
          <w:sz w:val="22"/>
        </w:rPr>
        <w:t>quarantinable</w:t>
      </w:r>
      <w:proofErr w:type="spellEnd"/>
      <w:r w:rsidRPr="00BA1056">
        <w:rPr>
          <w:rFonts w:cs="Arial"/>
          <w:sz w:val="22"/>
        </w:rPr>
        <w:t xml:space="preserve"> disease (as defined under the Health Act 1956), and who may be infectious and so pose a </w:t>
      </w:r>
      <w:r w:rsidR="00DD0D3D" w:rsidRPr="00BA1056">
        <w:rPr>
          <w:rFonts w:cs="Arial"/>
          <w:sz w:val="22"/>
        </w:rPr>
        <w:t xml:space="preserve">risk to others, is eligible for </w:t>
      </w:r>
      <w:r w:rsidR="00125586" w:rsidRPr="00BA1056">
        <w:rPr>
          <w:rFonts w:cs="Arial"/>
          <w:sz w:val="22"/>
        </w:rPr>
        <w:t>the following</w:t>
      </w:r>
      <w:r w:rsidRPr="00BA1056">
        <w:rPr>
          <w:rFonts w:cs="Arial"/>
          <w:sz w:val="22"/>
        </w:rPr>
        <w:t xml:space="preserve"> publicly funded</w:t>
      </w:r>
      <w:r w:rsidR="00125586" w:rsidRPr="00BA1056">
        <w:rPr>
          <w:rFonts w:cs="Arial"/>
          <w:sz w:val="22"/>
        </w:rPr>
        <w:t xml:space="preserve"> services</w:t>
      </w:r>
      <w:r w:rsidRPr="00BA1056">
        <w:rPr>
          <w:rFonts w:cs="Arial"/>
          <w:sz w:val="22"/>
        </w:rPr>
        <w:t xml:space="preserve"> (section B23):</w:t>
      </w:r>
    </w:p>
    <w:p w:rsidR="009E337C" w:rsidRPr="003D5553" w:rsidRDefault="009E337C" w:rsidP="00DD0D3D">
      <w:pPr>
        <w:numPr>
          <w:ilvl w:val="0"/>
          <w:numId w:val="4"/>
        </w:numPr>
        <w:spacing w:before="120"/>
        <w:ind w:left="1440" w:hanging="720"/>
        <w:rPr>
          <w:rFonts w:ascii="Arial" w:hAnsi="Arial" w:cs="Arial"/>
          <w:sz w:val="22"/>
          <w:szCs w:val="22"/>
        </w:rPr>
      </w:pPr>
      <w:r w:rsidRPr="00DD0D3D">
        <w:rPr>
          <w:rFonts w:ascii="Arial" w:hAnsi="Arial" w:cs="Arial"/>
          <w:color w:val="000000"/>
          <w:sz w:val="22"/>
          <w:szCs w:val="22"/>
          <w:lang w:val="en-GB" w:eastAsia="en-GB"/>
        </w:rPr>
        <w:t>public health surveillance</w:t>
      </w:r>
    </w:p>
    <w:p w:rsidR="009E337C" w:rsidRPr="003D5553" w:rsidRDefault="009E337C" w:rsidP="00DD0D3D">
      <w:pPr>
        <w:numPr>
          <w:ilvl w:val="0"/>
          <w:numId w:val="4"/>
        </w:numPr>
        <w:spacing w:before="120"/>
        <w:ind w:left="1440" w:hanging="720"/>
        <w:rPr>
          <w:rFonts w:ascii="Arial" w:hAnsi="Arial" w:cs="Arial"/>
          <w:sz w:val="22"/>
          <w:szCs w:val="22"/>
        </w:rPr>
      </w:pPr>
      <w:r w:rsidRPr="003D5553">
        <w:rPr>
          <w:rFonts w:ascii="Arial" w:hAnsi="Arial" w:cs="Arial"/>
          <w:sz w:val="22"/>
          <w:szCs w:val="22"/>
        </w:rPr>
        <w:t xml:space="preserve">diagnostic and other tests relevant to the disease </w:t>
      </w:r>
    </w:p>
    <w:p w:rsidR="009E337C" w:rsidRPr="003D5553" w:rsidRDefault="009E337C" w:rsidP="00DD0D3D">
      <w:pPr>
        <w:numPr>
          <w:ilvl w:val="0"/>
          <w:numId w:val="4"/>
        </w:numPr>
        <w:spacing w:before="120"/>
        <w:ind w:left="1440" w:hanging="720"/>
        <w:rPr>
          <w:rFonts w:ascii="Arial" w:hAnsi="Arial" w:cs="Arial"/>
          <w:sz w:val="22"/>
          <w:szCs w:val="22"/>
        </w:rPr>
      </w:pPr>
      <w:r w:rsidRPr="003D5553">
        <w:rPr>
          <w:rFonts w:ascii="Arial" w:hAnsi="Arial" w:cs="Arial"/>
          <w:sz w:val="22"/>
          <w:szCs w:val="22"/>
        </w:rPr>
        <w:t xml:space="preserve">inpatient or outpatient care for the disease, including medications, so as to effectively deal with the risk of the disease spreading </w:t>
      </w:r>
    </w:p>
    <w:p w:rsidR="009E337C" w:rsidRPr="003D5553" w:rsidRDefault="009E337C" w:rsidP="00DD0D3D">
      <w:pPr>
        <w:numPr>
          <w:ilvl w:val="0"/>
          <w:numId w:val="4"/>
        </w:numPr>
        <w:spacing w:before="120"/>
        <w:ind w:left="1440" w:hanging="720"/>
        <w:rPr>
          <w:rFonts w:ascii="Arial" w:hAnsi="Arial" w:cs="Arial"/>
          <w:sz w:val="22"/>
          <w:szCs w:val="22"/>
        </w:rPr>
      </w:pPr>
      <w:proofErr w:type="gramStart"/>
      <w:r w:rsidRPr="003D5553">
        <w:rPr>
          <w:rFonts w:ascii="Arial" w:hAnsi="Arial" w:cs="Arial"/>
          <w:sz w:val="22"/>
          <w:szCs w:val="22"/>
        </w:rPr>
        <w:t>other</w:t>
      </w:r>
      <w:proofErr w:type="gramEnd"/>
      <w:r w:rsidRPr="003D5553">
        <w:rPr>
          <w:rFonts w:ascii="Arial" w:hAnsi="Arial" w:cs="Arial"/>
          <w:sz w:val="22"/>
          <w:szCs w:val="22"/>
        </w:rPr>
        <w:t xml:space="preserve"> follow up, such as contact tracing or counselling, where this is relevant to the management of the risk of the disease spreading.</w:t>
      </w:r>
    </w:p>
    <w:p w:rsidR="009E337C" w:rsidRPr="003D5553" w:rsidRDefault="009E337C" w:rsidP="00CF6B0B">
      <w:pPr>
        <w:spacing w:before="120"/>
        <w:ind w:left="709" w:right="6"/>
        <w:rPr>
          <w:rFonts w:ascii="Arial" w:hAnsi="Arial" w:cs="Arial"/>
          <w:sz w:val="22"/>
          <w:szCs w:val="22"/>
        </w:rPr>
      </w:pPr>
      <w:r w:rsidRPr="003D5553">
        <w:rPr>
          <w:rFonts w:ascii="Arial" w:hAnsi="Arial" w:cs="Arial"/>
          <w:sz w:val="22"/>
          <w:szCs w:val="22"/>
        </w:rPr>
        <w:t>If there is doubt about whether these provisions apply in a particular case, it should be determined on the judgment of the Medical Officer of Health.</w:t>
      </w:r>
    </w:p>
    <w:p w:rsidR="009E337C" w:rsidRPr="003D5553" w:rsidRDefault="009E337C" w:rsidP="00BA1056">
      <w:pPr>
        <w:pStyle w:val="BodyText3"/>
        <w:numPr>
          <w:ilvl w:val="0"/>
          <w:numId w:val="41"/>
        </w:numPr>
        <w:spacing w:before="120" w:after="60"/>
        <w:ind w:right="5"/>
        <w:rPr>
          <w:rFonts w:ascii="Arial" w:hAnsi="Arial" w:cs="Arial"/>
          <w:sz w:val="22"/>
          <w:szCs w:val="22"/>
        </w:rPr>
      </w:pPr>
      <w:r w:rsidRPr="003D5553">
        <w:rPr>
          <w:rFonts w:ascii="Arial" w:hAnsi="Arial" w:cs="Arial"/>
          <w:sz w:val="22"/>
          <w:szCs w:val="22"/>
        </w:rPr>
        <w:t>if they are receiving, or eligible to receive, compulsory services under the following legislation (sections B23 and B25):</w:t>
      </w:r>
    </w:p>
    <w:p w:rsidR="009E337C" w:rsidRPr="003D5553" w:rsidRDefault="009E337C" w:rsidP="00DD0D3D">
      <w:pPr>
        <w:numPr>
          <w:ilvl w:val="0"/>
          <w:numId w:val="3"/>
        </w:numPr>
        <w:tabs>
          <w:tab w:val="clear" w:pos="360"/>
        </w:tabs>
        <w:ind w:left="1418" w:right="6" w:hanging="570"/>
        <w:rPr>
          <w:rFonts w:ascii="Arial" w:hAnsi="Arial" w:cs="Arial"/>
          <w:sz w:val="22"/>
          <w:szCs w:val="22"/>
        </w:rPr>
      </w:pPr>
      <w:r w:rsidRPr="003D5553">
        <w:rPr>
          <w:rFonts w:ascii="Arial" w:hAnsi="Arial" w:cs="Arial"/>
          <w:sz w:val="22"/>
          <w:szCs w:val="22"/>
        </w:rPr>
        <w:t xml:space="preserve">Tuberculosis Act 1948, or </w:t>
      </w:r>
    </w:p>
    <w:p w:rsidR="009E337C" w:rsidRPr="003D5553" w:rsidRDefault="009E337C" w:rsidP="00DD0D3D">
      <w:pPr>
        <w:numPr>
          <w:ilvl w:val="0"/>
          <w:numId w:val="3"/>
        </w:numPr>
        <w:tabs>
          <w:tab w:val="clear" w:pos="360"/>
        </w:tabs>
        <w:ind w:left="1418" w:right="6" w:hanging="570"/>
        <w:rPr>
          <w:rFonts w:ascii="Arial" w:hAnsi="Arial" w:cs="Arial"/>
          <w:sz w:val="22"/>
          <w:szCs w:val="22"/>
        </w:rPr>
      </w:pPr>
      <w:r w:rsidRPr="003D5553">
        <w:rPr>
          <w:rFonts w:ascii="Arial" w:hAnsi="Arial" w:cs="Arial"/>
          <w:sz w:val="22"/>
          <w:szCs w:val="22"/>
        </w:rPr>
        <w:t xml:space="preserve">Health Act 1956, or </w:t>
      </w:r>
    </w:p>
    <w:p w:rsidR="009E337C" w:rsidRPr="003D5553" w:rsidRDefault="009E337C" w:rsidP="00DD0D3D">
      <w:pPr>
        <w:numPr>
          <w:ilvl w:val="0"/>
          <w:numId w:val="3"/>
        </w:numPr>
        <w:tabs>
          <w:tab w:val="clear" w:pos="360"/>
        </w:tabs>
        <w:ind w:left="1418" w:right="6" w:hanging="570"/>
        <w:rPr>
          <w:rFonts w:ascii="Arial" w:hAnsi="Arial" w:cs="Arial"/>
          <w:sz w:val="22"/>
          <w:szCs w:val="22"/>
        </w:rPr>
      </w:pPr>
      <w:r w:rsidRPr="003D5553">
        <w:rPr>
          <w:rFonts w:ascii="Arial" w:hAnsi="Arial" w:cs="Arial"/>
          <w:sz w:val="22"/>
          <w:szCs w:val="22"/>
        </w:rPr>
        <w:t xml:space="preserve">Alcoholism and Drug Addiction Act 1966, or </w:t>
      </w:r>
    </w:p>
    <w:p w:rsidR="009E337C" w:rsidRPr="003D5553" w:rsidRDefault="009E337C" w:rsidP="00DD0D3D">
      <w:pPr>
        <w:numPr>
          <w:ilvl w:val="0"/>
          <w:numId w:val="3"/>
        </w:numPr>
        <w:tabs>
          <w:tab w:val="clear" w:pos="360"/>
        </w:tabs>
        <w:ind w:left="1418" w:right="6" w:hanging="570"/>
        <w:rPr>
          <w:rFonts w:ascii="Arial" w:hAnsi="Arial" w:cs="Arial"/>
          <w:sz w:val="22"/>
          <w:szCs w:val="22"/>
        </w:rPr>
      </w:pPr>
      <w:r w:rsidRPr="003D5553">
        <w:rPr>
          <w:rFonts w:ascii="Arial" w:hAnsi="Arial" w:cs="Arial"/>
          <w:sz w:val="22"/>
          <w:szCs w:val="22"/>
        </w:rPr>
        <w:t>Criminal Procedure (Mentally Impaired Persons) Act 2003, or</w:t>
      </w:r>
    </w:p>
    <w:p w:rsidR="009E337C" w:rsidRPr="003D5553" w:rsidRDefault="009E337C" w:rsidP="00DD0D3D">
      <w:pPr>
        <w:numPr>
          <w:ilvl w:val="0"/>
          <w:numId w:val="3"/>
        </w:numPr>
        <w:tabs>
          <w:tab w:val="clear" w:pos="360"/>
        </w:tabs>
        <w:ind w:left="1418" w:right="6" w:hanging="570"/>
        <w:rPr>
          <w:rFonts w:ascii="Arial" w:hAnsi="Arial" w:cs="Arial"/>
          <w:sz w:val="22"/>
          <w:szCs w:val="22"/>
        </w:rPr>
      </w:pPr>
      <w:r w:rsidRPr="003D5553">
        <w:rPr>
          <w:rFonts w:ascii="Arial" w:hAnsi="Arial" w:cs="Arial"/>
          <w:sz w:val="22"/>
          <w:szCs w:val="22"/>
        </w:rPr>
        <w:t>Mental Health (Compulsory Assessment and Treatment) Act 1992, or</w:t>
      </w:r>
    </w:p>
    <w:p w:rsidR="009E337C" w:rsidRPr="003D5553" w:rsidRDefault="009E337C" w:rsidP="00DD0D3D">
      <w:pPr>
        <w:numPr>
          <w:ilvl w:val="0"/>
          <w:numId w:val="3"/>
        </w:numPr>
        <w:tabs>
          <w:tab w:val="clear" w:pos="360"/>
        </w:tabs>
        <w:ind w:left="1418" w:right="6" w:hanging="570"/>
        <w:rPr>
          <w:rFonts w:ascii="Arial" w:hAnsi="Arial" w:cs="Arial"/>
          <w:sz w:val="22"/>
          <w:szCs w:val="22"/>
        </w:rPr>
      </w:pPr>
      <w:r w:rsidRPr="003D5553">
        <w:rPr>
          <w:rFonts w:ascii="Arial" w:hAnsi="Arial" w:cs="Arial"/>
          <w:sz w:val="22"/>
          <w:szCs w:val="22"/>
        </w:rPr>
        <w:t>Intellectual Disability (Compulsory Care and Rehabilitation) Act 2003</w:t>
      </w:r>
    </w:p>
    <w:p w:rsidR="009E337C" w:rsidRPr="003D5553" w:rsidRDefault="009E337C" w:rsidP="00DD0D3D">
      <w:pPr>
        <w:numPr>
          <w:ilvl w:val="0"/>
          <w:numId w:val="3"/>
        </w:numPr>
        <w:tabs>
          <w:tab w:val="clear" w:pos="360"/>
        </w:tabs>
        <w:ind w:left="1418" w:right="6" w:hanging="570"/>
        <w:rPr>
          <w:rFonts w:ascii="Arial" w:hAnsi="Arial" w:cs="Arial"/>
          <w:sz w:val="22"/>
          <w:szCs w:val="22"/>
        </w:rPr>
      </w:pPr>
      <w:proofErr w:type="gramStart"/>
      <w:r w:rsidRPr="003D5553">
        <w:rPr>
          <w:rFonts w:ascii="Arial" w:hAnsi="Arial" w:cs="Arial"/>
          <w:sz w:val="22"/>
          <w:szCs w:val="22"/>
        </w:rPr>
        <w:t>any</w:t>
      </w:r>
      <w:proofErr w:type="gramEnd"/>
      <w:r w:rsidRPr="003D5553">
        <w:rPr>
          <w:rFonts w:ascii="Arial" w:hAnsi="Arial" w:cs="Arial"/>
          <w:sz w:val="22"/>
          <w:szCs w:val="22"/>
        </w:rPr>
        <w:t xml:space="preserve"> Regulations made under any of these Acts.</w:t>
      </w:r>
    </w:p>
    <w:p w:rsidR="00BA1056" w:rsidRDefault="00BA1056">
      <w:pPr>
        <w:spacing w:after="200" w:line="276" w:lineRule="auto"/>
      </w:pPr>
      <w:r>
        <w:br w:type="page"/>
      </w:r>
    </w:p>
    <w:p w:rsidR="00BF7155" w:rsidRPr="00BA1056" w:rsidRDefault="00BF7155" w:rsidP="00BA1056">
      <w:pPr>
        <w:spacing w:before="120"/>
        <w:ind w:left="57" w:right="5"/>
        <w:jc w:val="center"/>
        <w:rPr>
          <w:b/>
        </w:rPr>
      </w:pPr>
      <w:r w:rsidRPr="00BA1056">
        <w:rPr>
          <w:rFonts w:ascii="Arial" w:hAnsi="Arial" w:cs="Arial"/>
          <w:b/>
        </w:rPr>
        <w:lastRenderedPageBreak/>
        <w:t>Appendix Two</w:t>
      </w:r>
      <w:r w:rsidR="00BA1056" w:rsidRPr="00BA1056">
        <w:rPr>
          <w:rFonts w:ascii="Arial" w:hAnsi="Arial" w:cs="Arial"/>
          <w:b/>
        </w:rPr>
        <w:t xml:space="preserve">: </w:t>
      </w:r>
      <w:r w:rsidRPr="00BA1056">
        <w:rPr>
          <w:rFonts w:ascii="Arial" w:hAnsi="Arial" w:cs="Arial"/>
          <w:b/>
        </w:rPr>
        <w:t>Legislation administered and / or implemented by the health sector</w:t>
      </w:r>
    </w:p>
    <w:p w:rsidR="00BF7155" w:rsidRPr="00393000" w:rsidRDefault="00BF7155" w:rsidP="00BF7155">
      <w:pPr>
        <w:tabs>
          <w:tab w:val="left" w:pos="3135"/>
        </w:tabs>
        <w:spacing w:before="120"/>
        <w:ind w:right="5"/>
        <w:rPr>
          <w:rFonts w:ascii="Arial" w:hAnsi="Arial" w:cs="Arial"/>
        </w:rPr>
      </w:pPr>
      <w:r w:rsidRPr="00393000">
        <w:rPr>
          <w:rFonts w:ascii="Arial" w:hAnsi="Arial" w:cs="Arial"/>
        </w:rPr>
        <w:t>Acts administered by the Ministry</w:t>
      </w:r>
      <w:r>
        <w:rPr>
          <w:rFonts w:ascii="Arial" w:hAnsi="Arial" w:cs="Arial"/>
        </w:rPr>
        <w:t xml:space="preserve"> of Health</w:t>
      </w:r>
      <w:r w:rsidRPr="00393000">
        <w:rPr>
          <w:rFonts w:ascii="Arial" w:hAnsi="Arial" w:cs="Arial"/>
        </w:rPr>
        <w:t xml:space="preserve"> (including regulations made under these Acts as appropriate) for which the Ministry has policy and primary implementation</w:t>
      </w:r>
      <w:r>
        <w:rPr>
          <w:rFonts w:ascii="Arial" w:hAnsi="Arial" w:cs="Arial"/>
        </w:rPr>
        <w:t xml:space="preserve"> responsibility are as follows</w:t>
      </w:r>
      <w:r w:rsidRPr="00393000">
        <w:rPr>
          <w:rFonts w:ascii="Arial" w:hAnsi="Arial" w:cs="Arial"/>
        </w:rPr>
        <w:t>:</w:t>
      </w:r>
    </w:p>
    <w:p w:rsidR="00DD0D3D" w:rsidRPr="001E4E2C" w:rsidRDefault="00DD0D3D" w:rsidP="00BA1056">
      <w:pPr>
        <w:pStyle w:val="ListParagraph"/>
        <w:numPr>
          <w:ilvl w:val="0"/>
          <w:numId w:val="35"/>
        </w:numPr>
        <w:spacing w:before="120"/>
        <w:ind w:left="567" w:right="5" w:hanging="567"/>
        <w:rPr>
          <w:rFonts w:cs="Arial"/>
        </w:rPr>
      </w:pPr>
      <w:r w:rsidRPr="001E4E2C">
        <w:rPr>
          <w:rFonts w:cs="Arial"/>
        </w:rPr>
        <w:t>Burial and Cremation Act 1964</w:t>
      </w:r>
    </w:p>
    <w:p w:rsidR="00DD0D3D" w:rsidRDefault="00DD0D3D" w:rsidP="00BA1056">
      <w:pPr>
        <w:pStyle w:val="ListParagraph"/>
        <w:numPr>
          <w:ilvl w:val="0"/>
          <w:numId w:val="35"/>
        </w:numPr>
        <w:spacing w:before="120"/>
        <w:ind w:left="567" w:right="5" w:hanging="567"/>
        <w:rPr>
          <w:rFonts w:cs="Arial"/>
        </w:rPr>
      </w:pPr>
      <w:r w:rsidRPr="001E4E2C">
        <w:rPr>
          <w:rFonts w:cs="Arial"/>
        </w:rPr>
        <w:t>Epidemic Preparedness Act 2006</w:t>
      </w:r>
    </w:p>
    <w:p w:rsidR="00BF7155" w:rsidRPr="001E4E2C" w:rsidRDefault="00BF7155" w:rsidP="00BA1056">
      <w:pPr>
        <w:pStyle w:val="ListParagraph"/>
        <w:numPr>
          <w:ilvl w:val="0"/>
          <w:numId w:val="35"/>
        </w:numPr>
        <w:spacing w:before="120"/>
        <w:ind w:left="567" w:right="5" w:hanging="567"/>
        <w:rPr>
          <w:rFonts w:cs="Arial"/>
        </w:rPr>
      </w:pPr>
      <w:r w:rsidRPr="001E4E2C">
        <w:rPr>
          <w:rFonts w:cs="Arial"/>
        </w:rPr>
        <w:t>Health Act 1956 (</w:t>
      </w:r>
      <w:r w:rsidRPr="001E4E2C">
        <w:rPr>
          <w:rFonts w:cs="Arial"/>
          <w:i/>
        </w:rPr>
        <w:t>note the Public Health Bill, if enacted in its current form, will replace most of the Health Act</w:t>
      </w:r>
      <w:r w:rsidRPr="001E4E2C">
        <w:rPr>
          <w:rFonts w:cs="Arial"/>
        </w:rPr>
        <w:t>)</w:t>
      </w:r>
    </w:p>
    <w:p w:rsidR="00DD0D3D" w:rsidRDefault="00DD0D3D" w:rsidP="00BA1056">
      <w:pPr>
        <w:pStyle w:val="ListParagraph"/>
        <w:numPr>
          <w:ilvl w:val="0"/>
          <w:numId w:val="35"/>
        </w:numPr>
        <w:spacing w:before="120"/>
        <w:ind w:left="567" w:right="5" w:hanging="567"/>
        <w:rPr>
          <w:rFonts w:cs="Arial"/>
        </w:rPr>
      </w:pPr>
      <w:r w:rsidRPr="001E4E2C">
        <w:rPr>
          <w:rFonts w:cs="Arial"/>
        </w:rPr>
        <w:t>Misuse of Drugs Act 1975</w:t>
      </w:r>
    </w:p>
    <w:p w:rsidR="00DD0D3D" w:rsidRPr="001E4E2C" w:rsidRDefault="00DD0D3D" w:rsidP="00BA1056">
      <w:pPr>
        <w:pStyle w:val="ListParagraph"/>
        <w:numPr>
          <w:ilvl w:val="0"/>
          <w:numId w:val="35"/>
        </w:numPr>
        <w:spacing w:before="120"/>
        <w:ind w:left="567" w:right="5" w:hanging="567"/>
        <w:rPr>
          <w:rFonts w:cs="Arial"/>
        </w:rPr>
      </w:pPr>
      <w:r>
        <w:rPr>
          <w:rFonts w:cs="Arial"/>
        </w:rPr>
        <w:t xml:space="preserve">Psychoactive Substances Act </w:t>
      </w:r>
      <w:r w:rsidR="000028DC">
        <w:rPr>
          <w:rFonts w:cs="Arial"/>
        </w:rPr>
        <w:t xml:space="preserve"> </w:t>
      </w:r>
      <w:r>
        <w:rPr>
          <w:rFonts w:cs="Arial"/>
        </w:rPr>
        <w:t>2013</w:t>
      </w:r>
    </w:p>
    <w:p w:rsidR="00DD0D3D" w:rsidRPr="001E4E2C" w:rsidRDefault="00DD0D3D" w:rsidP="00BA1056">
      <w:pPr>
        <w:pStyle w:val="ListParagraph"/>
        <w:numPr>
          <w:ilvl w:val="0"/>
          <w:numId w:val="35"/>
        </w:numPr>
        <w:spacing w:before="120"/>
        <w:ind w:left="567" w:right="5" w:hanging="567"/>
        <w:rPr>
          <w:rFonts w:cs="Arial"/>
        </w:rPr>
      </w:pPr>
      <w:r w:rsidRPr="001E4E2C">
        <w:rPr>
          <w:rFonts w:cs="Arial"/>
        </w:rPr>
        <w:t>Radiation Protection Act 1965</w:t>
      </w:r>
    </w:p>
    <w:p w:rsidR="00DD0D3D" w:rsidRPr="00DD0D3D" w:rsidRDefault="00DD0D3D" w:rsidP="00BA1056">
      <w:pPr>
        <w:pStyle w:val="ListParagraph"/>
        <w:numPr>
          <w:ilvl w:val="0"/>
          <w:numId w:val="35"/>
        </w:numPr>
        <w:spacing w:before="120"/>
        <w:ind w:left="567" w:right="5" w:hanging="567"/>
        <w:rPr>
          <w:rFonts w:cs="Arial"/>
        </w:rPr>
      </w:pPr>
      <w:r w:rsidRPr="001E4E2C">
        <w:rPr>
          <w:rFonts w:cs="Arial"/>
        </w:rPr>
        <w:t>Smoke-free Environments Act 1990</w:t>
      </w:r>
    </w:p>
    <w:p w:rsidR="00BF7155" w:rsidRPr="00DD0D3D" w:rsidRDefault="00BF7155" w:rsidP="00BA1056">
      <w:pPr>
        <w:pStyle w:val="ListParagraph"/>
        <w:numPr>
          <w:ilvl w:val="0"/>
          <w:numId w:val="35"/>
        </w:numPr>
        <w:spacing w:before="120"/>
        <w:ind w:left="567" w:right="5" w:hanging="567"/>
        <w:rPr>
          <w:rFonts w:cs="Arial"/>
        </w:rPr>
      </w:pPr>
      <w:r w:rsidRPr="001E4E2C">
        <w:rPr>
          <w:rFonts w:cs="Arial"/>
        </w:rPr>
        <w:t>Tuberculosis Act 1948 (</w:t>
      </w:r>
      <w:r w:rsidRPr="001E4E2C">
        <w:rPr>
          <w:rFonts w:cs="Arial"/>
          <w:i/>
        </w:rPr>
        <w:t>note the Public Health Bill, if enacted in its current form, will repeal the Tuberculosis Act</w:t>
      </w:r>
      <w:r w:rsidR="00DD0D3D">
        <w:rPr>
          <w:rFonts w:cs="Arial"/>
        </w:rPr>
        <w:t>)</w:t>
      </w:r>
      <w:r w:rsidR="00DD0D3D" w:rsidRPr="00DD0D3D">
        <w:rPr>
          <w:rFonts w:cs="Arial"/>
        </w:rPr>
        <w:t>.</w:t>
      </w:r>
    </w:p>
    <w:p w:rsidR="00BF7155" w:rsidRPr="00393000" w:rsidRDefault="00BF7155" w:rsidP="00BF7155">
      <w:pPr>
        <w:spacing w:before="120"/>
        <w:ind w:right="5"/>
        <w:rPr>
          <w:rFonts w:ascii="Arial" w:hAnsi="Arial" w:cs="Arial"/>
        </w:rPr>
      </w:pPr>
      <w:r w:rsidRPr="00393000">
        <w:rPr>
          <w:rFonts w:ascii="Arial" w:hAnsi="Arial" w:cs="Arial"/>
        </w:rPr>
        <w:t>Acts administered by other departments but for which providers of public health regulatory services may have certain implementation and /or enforcement responsibilities</w:t>
      </w:r>
      <w:r>
        <w:rPr>
          <w:rFonts w:ascii="Arial" w:hAnsi="Arial" w:cs="Arial"/>
        </w:rPr>
        <w:t xml:space="preserve"> include</w:t>
      </w:r>
      <w:r w:rsidRPr="00393000">
        <w:rPr>
          <w:rFonts w:ascii="Arial" w:hAnsi="Arial" w:cs="Arial"/>
        </w:rPr>
        <w:t>:</w:t>
      </w:r>
    </w:p>
    <w:p w:rsidR="00BF7155" w:rsidRPr="001E4E2C" w:rsidRDefault="00BF7155" w:rsidP="00BA1056">
      <w:pPr>
        <w:pStyle w:val="ListParagraph"/>
        <w:numPr>
          <w:ilvl w:val="0"/>
          <w:numId w:val="36"/>
        </w:numPr>
        <w:spacing w:before="120"/>
        <w:ind w:left="567" w:right="6" w:hanging="567"/>
        <w:rPr>
          <w:rFonts w:cs="Arial"/>
        </w:rPr>
      </w:pPr>
      <w:r w:rsidRPr="001E4E2C">
        <w:rPr>
          <w:rFonts w:cs="Arial"/>
        </w:rPr>
        <w:t>Biosecurity Act 1993</w:t>
      </w:r>
    </w:p>
    <w:p w:rsidR="00BF7155" w:rsidRPr="001E4E2C" w:rsidRDefault="00BF7155" w:rsidP="00BA1056">
      <w:pPr>
        <w:pStyle w:val="ListParagraph"/>
        <w:numPr>
          <w:ilvl w:val="0"/>
          <w:numId w:val="36"/>
        </w:numPr>
        <w:spacing w:before="120"/>
        <w:ind w:left="567" w:right="6" w:hanging="567"/>
        <w:rPr>
          <w:rFonts w:cs="Arial"/>
        </w:rPr>
      </w:pPr>
      <w:r w:rsidRPr="001E4E2C">
        <w:rPr>
          <w:rFonts w:cs="Arial"/>
        </w:rPr>
        <w:t>Building Act 2004</w:t>
      </w:r>
    </w:p>
    <w:p w:rsidR="00BF7155" w:rsidRPr="001E4E2C" w:rsidRDefault="00BF7155" w:rsidP="00BA1056">
      <w:pPr>
        <w:pStyle w:val="ListParagraph"/>
        <w:numPr>
          <w:ilvl w:val="0"/>
          <w:numId w:val="36"/>
        </w:numPr>
        <w:spacing w:before="120"/>
        <w:ind w:left="567" w:right="6" w:hanging="567"/>
        <w:rPr>
          <w:rFonts w:cs="Arial"/>
        </w:rPr>
      </w:pPr>
      <w:r w:rsidRPr="001E4E2C">
        <w:rPr>
          <w:rFonts w:cs="Arial"/>
        </w:rPr>
        <w:t>Civil Defence Emergency Management Act 2002</w:t>
      </w:r>
    </w:p>
    <w:p w:rsidR="00BF7155" w:rsidRPr="001E4E2C" w:rsidRDefault="00BF7155" w:rsidP="00BA1056">
      <w:pPr>
        <w:pStyle w:val="ListParagraph"/>
        <w:numPr>
          <w:ilvl w:val="0"/>
          <w:numId w:val="36"/>
        </w:numPr>
        <w:spacing w:before="120"/>
        <w:ind w:left="567" w:right="6" w:hanging="567"/>
        <w:rPr>
          <w:rFonts w:cs="Arial"/>
        </w:rPr>
      </w:pPr>
      <w:r w:rsidRPr="001E4E2C">
        <w:rPr>
          <w:rFonts w:cs="Arial"/>
        </w:rPr>
        <w:t>Education (Early Childhood Services) Regulations 2008</w:t>
      </w:r>
    </w:p>
    <w:p w:rsidR="00BF7155" w:rsidRPr="001E4E2C" w:rsidRDefault="00BF7155" w:rsidP="00BA1056">
      <w:pPr>
        <w:pStyle w:val="ListParagraph"/>
        <w:numPr>
          <w:ilvl w:val="0"/>
          <w:numId w:val="36"/>
        </w:numPr>
        <w:spacing w:before="120"/>
        <w:ind w:left="567" w:right="6" w:hanging="567"/>
        <w:rPr>
          <w:rFonts w:cs="Arial"/>
        </w:rPr>
      </w:pPr>
      <w:r w:rsidRPr="001E4E2C">
        <w:rPr>
          <w:rFonts w:cs="Arial"/>
        </w:rPr>
        <w:t>Hazardous Substances and New Organisms Act 1996</w:t>
      </w:r>
    </w:p>
    <w:p w:rsidR="00BF7155" w:rsidRPr="001E4E2C" w:rsidRDefault="00BF7155" w:rsidP="00BA1056">
      <w:pPr>
        <w:pStyle w:val="ListParagraph"/>
        <w:numPr>
          <w:ilvl w:val="0"/>
          <w:numId w:val="36"/>
        </w:numPr>
        <w:spacing w:before="120"/>
        <w:ind w:left="567" w:right="6" w:hanging="567"/>
        <w:rPr>
          <w:rFonts w:cs="Arial"/>
        </w:rPr>
      </w:pPr>
      <w:r w:rsidRPr="001E4E2C">
        <w:rPr>
          <w:rFonts w:cs="Arial"/>
        </w:rPr>
        <w:t>Local Government Act 2002</w:t>
      </w:r>
    </w:p>
    <w:p w:rsidR="00BF7155" w:rsidRPr="001E4E2C" w:rsidRDefault="00BF7155" w:rsidP="00BA1056">
      <w:pPr>
        <w:pStyle w:val="ListParagraph"/>
        <w:numPr>
          <w:ilvl w:val="0"/>
          <w:numId w:val="36"/>
        </w:numPr>
        <w:spacing w:before="120"/>
        <w:ind w:left="567" w:right="6" w:hanging="567"/>
        <w:rPr>
          <w:rFonts w:cs="Arial"/>
        </w:rPr>
      </w:pPr>
      <w:r w:rsidRPr="001E4E2C">
        <w:rPr>
          <w:rFonts w:cs="Arial"/>
        </w:rPr>
        <w:t>Prostitution Reform Act 2003</w:t>
      </w:r>
    </w:p>
    <w:p w:rsidR="00BF7155" w:rsidRPr="00DD0D3D" w:rsidRDefault="00BF7155" w:rsidP="00BA1056">
      <w:pPr>
        <w:pStyle w:val="ListParagraph"/>
        <w:numPr>
          <w:ilvl w:val="0"/>
          <w:numId w:val="36"/>
        </w:numPr>
        <w:spacing w:before="120"/>
        <w:ind w:left="567" w:right="6" w:hanging="567"/>
        <w:rPr>
          <w:rFonts w:cs="Arial"/>
        </w:rPr>
      </w:pPr>
      <w:r w:rsidRPr="00DD0D3D">
        <w:rPr>
          <w:rFonts w:cs="Arial"/>
        </w:rPr>
        <w:t>Sale and Supply of Alcohol Act 2012</w:t>
      </w:r>
    </w:p>
    <w:p w:rsidR="00BF7155" w:rsidRPr="00DD0D3D" w:rsidRDefault="00BF7155" w:rsidP="00BA1056">
      <w:pPr>
        <w:pStyle w:val="ListParagraph"/>
        <w:numPr>
          <w:ilvl w:val="0"/>
          <w:numId w:val="36"/>
        </w:numPr>
        <w:spacing w:before="120"/>
        <w:ind w:left="567" w:right="6" w:hanging="567"/>
        <w:rPr>
          <w:rFonts w:cs="Arial"/>
        </w:rPr>
      </w:pPr>
      <w:r w:rsidRPr="00DD0D3D">
        <w:rPr>
          <w:rFonts w:cs="Arial"/>
        </w:rPr>
        <w:t>Waste Minimisation Act 2008</w:t>
      </w:r>
      <w:r w:rsidR="00DD0D3D">
        <w:rPr>
          <w:rFonts w:cs="Arial"/>
        </w:rPr>
        <w:t>.</w:t>
      </w:r>
    </w:p>
    <w:p w:rsidR="00BF7155" w:rsidRDefault="00BF7155"/>
    <w:sectPr w:rsidR="00BF7155" w:rsidSect="00D26301">
      <w:footerReference w:type="even" r:id="rId11"/>
      <w:footerReference w:type="default" r:id="rId12"/>
      <w:pgSz w:w="11906" w:h="16838"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D3E" w:rsidRDefault="007D2D3E" w:rsidP="008F0157">
      <w:r>
        <w:separator/>
      </w:r>
    </w:p>
  </w:endnote>
  <w:endnote w:type="continuationSeparator" w:id="0">
    <w:p w:rsidR="007D2D3E" w:rsidRDefault="007D2D3E" w:rsidP="008F0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äori">
    <w:charset w:val="00"/>
    <w:family w:val="swiss"/>
    <w:pitch w:val="variable"/>
    <w:sig w:usb0="00000003" w:usb1="00000000" w:usb2="00000000" w:usb3="00000000" w:csb0="00000001" w:csb1="00000000"/>
  </w:font>
  <w:font w:name="Times New Roman Mäori">
    <w:altName w:val="Times New Roman"/>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76" w:rsidRDefault="007011B8" w:rsidP="00531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6876" w:rsidRDefault="00D71172" w:rsidP="005310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76" w:rsidRDefault="007011B8" w:rsidP="00531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1172">
      <w:rPr>
        <w:rStyle w:val="PageNumber"/>
        <w:noProof/>
      </w:rPr>
      <w:t>17</w:t>
    </w:r>
    <w:r>
      <w:rPr>
        <w:rStyle w:val="PageNumber"/>
      </w:rPr>
      <w:fldChar w:fldCharType="end"/>
    </w:r>
  </w:p>
  <w:p w:rsidR="00C201CB" w:rsidRDefault="007011B8" w:rsidP="00DD0D3D">
    <w:pPr>
      <w:pStyle w:val="Footer"/>
      <w:pBdr>
        <w:top w:val="single" w:sz="4" w:space="1" w:color="auto"/>
      </w:pBdr>
      <w:ind w:right="360"/>
      <w:jc w:val="left"/>
      <w:rPr>
        <w:rFonts w:ascii="Arial" w:hAnsi="Arial" w:cs="Arial"/>
        <w:sz w:val="20"/>
      </w:rPr>
    </w:pPr>
    <w:r w:rsidRPr="00B478EA">
      <w:rPr>
        <w:rFonts w:ascii="Arial" w:hAnsi="Arial" w:cs="Arial"/>
        <w:sz w:val="20"/>
      </w:rPr>
      <w:t>Public Health Service</w:t>
    </w:r>
    <w:r>
      <w:rPr>
        <w:rFonts w:ascii="Arial" w:hAnsi="Arial" w:cs="Arial"/>
        <w:sz w:val="20"/>
      </w:rPr>
      <w:t>s</w:t>
    </w:r>
    <w:r w:rsidRPr="00B478EA">
      <w:rPr>
        <w:rFonts w:ascii="Arial" w:hAnsi="Arial" w:cs="Arial"/>
        <w:sz w:val="20"/>
      </w:rPr>
      <w:t xml:space="preserve"> tier one service specification</w:t>
    </w:r>
    <w:r w:rsidR="001E4E2C">
      <w:rPr>
        <w:rFonts w:ascii="Arial" w:hAnsi="Arial" w:cs="Arial"/>
        <w:sz w:val="20"/>
      </w:rPr>
      <w:t xml:space="preserve">, </w:t>
    </w:r>
    <w:r w:rsidR="0052687A">
      <w:rPr>
        <w:rFonts w:ascii="Arial" w:hAnsi="Arial" w:cs="Arial"/>
        <w:sz w:val="20"/>
      </w:rPr>
      <w:t>February 2014</w:t>
    </w:r>
    <w:r w:rsidR="00DD0D3D">
      <w:rPr>
        <w:rFonts w:ascii="Arial" w:hAnsi="Arial" w:cs="Arial"/>
        <w:sz w:val="20"/>
      </w:rPr>
      <w:t xml:space="preserve"> </w:t>
    </w:r>
  </w:p>
  <w:p w:rsidR="003A6876" w:rsidRPr="00B478EA" w:rsidRDefault="007011B8" w:rsidP="00DD0D3D">
    <w:pPr>
      <w:pStyle w:val="Footer"/>
      <w:pBdr>
        <w:top w:val="single" w:sz="4" w:space="1" w:color="auto"/>
      </w:pBdr>
      <w:ind w:right="360"/>
      <w:jc w:val="left"/>
      <w:rPr>
        <w:rFonts w:ascii="Arial" w:hAnsi="Arial" w:cs="Arial"/>
        <w:sz w:val="20"/>
      </w:rPr>
    </w:pPr>
    <w:r w:rsidRPr="00B478EA">
      <w:rPr>
        <w:rFonts w:ascii="Arial" w:hAnsi="Arial" w:cs="Arial"/>
        <w:sz w:val="20"/>
      </w:rPr>
      <w:t>Nationwide Service Framework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D3E" w:rsidRDefault="007D2D3E" w:rsidP="008F0157">
      <w:r>
        <w:separator/>
      </w:r>
    </w:p>
  </w:footnote>
  <w:footnote w:type="continuationSeparator" w:id="0">
    <w:p w:rsidR="007D2D3E" w:rsidRDefault="007D2D3E" w:rsidP="008F0157">
      <w:r>
        <w:continuationSeparator/>
      </w:r>
    </w:p>
  </w:footnote>
  <w:footnote w:id="1">
    <w:p w:rsidR="00546943" w:rsidRPr="002F6E72" w:rsidRDefault="00546943">
      <w:pPr>
        <w:pStyle w:val="FootnoteText"/>
        <w:rPr>
          <w:rFonts w:ascii="Arial" w:hAnsi="Arial" w:cs="Arial"/>
        </w:rPr>
      </w:pPr>
      <w:r>
        <w:rPr>
          <w:rStyle w:val="FootnoteReference"/>
        </w:rPr>
        <w:footnoteRef/>
      </w:r>
      <w:r>
        <w:t xml:space="preserve"> </w:t>
      </w:r>
      <w:r w:rsidRPr="002F6E72">
        <w:rPr>
          <w:rFonts w:ascii="Arial" w:hAnsi="Arial" w:cs="Arial"/>
        </w:rPr>
        <w:t xml:space="preserve">Acheson D, </w:t>
      </w:r>
      <w:r w:rsidRPr="002F6E72">
        <w:rPr>
          <w:rFonts w:ascii="Arial" w:hAnsi="Arial" w:cs="Arial"/>
          <w:i/>
        </w:rPr>
        <w:t>Committee of Inquiry into the Future Development of Public Health Function</w:t>
      </w:r>
      <w:r w:rsidRPr="002F6E72">
        <w:rPr>
          <w:rFonts w:ascii="Arial" w:hAnsi="Arial" w:cs="Arial"/>
        </w:rPr>
        <w:t>, HMSO, London 1988.</w:t>
      </w:r>
    </w:p>
  </w:footnote>
  <w:footnote w:id="2">
    <w:p w:rsidR="008F0157" w:rsidRPr="002F6E72" w:rsidRDefault="008F0157" w:rsidP="008F0157">
      <w:pPr>
        <w:pStyle w:val="FootnoteText"/>
        <w:rPr>
          <w:rFonts w:ascii="Arial" w:hAnsi="Arial" w:cs="Arial"/>
        </w:rPr>
      </w:pPr>
      <w:r w:rsidRPr="002F6E72">
        <w:rPr>
          <w:rStyle w:val="FootnoteReference"/>
          <w:rFonts w:ascii="Arial" w:hAnsi="Arial" w:cs="Arial"/>
        </w:rPr>
        <w:footnoteRef/>
      </w:r>
      <w:r w:rsidRPr="002F6E72">
        <w:rPr>
          <w:rFonts w:ascii="Arial" w:hAnsi="Arial" w:cs="Arial"/>
        </w:rPr>
        <w:t xml:space="preserve"> </w:t>
      </w:r>
      <w:r w:rsidRPr="002F6E72">
        <w:rPr>
          <w:rFonts w:ascii="Arial" w:hAnsi="Arial" w:cs="Arial"/>
          <w:i/>
        </w:rPr>
        <w:t>Health is Everybody’s Business</w:t>
      </w:r>
      <w:r w:rsidRPr="002F6E72">
        <w:rPr>
          <w:rFonts w:ascii="Arial" w:hAnsi="Arial" w:cs="Arial"/>
        </w:rPr>
        <w:t>, Public Health Advisory Committee, 2006.</w:t>
      </w:r>
    </w:p>
  </w:footnote>
  <w:footnote w:id="3">
    <w:p w:rsidR="008F0157" w:rsidRPr="00DD0D3D" w:rsidRDefault="008F0157" w:rsidP="008F0157">
      <w:pPr>
        <w:pStyle w:val="FootnoteText"/>
        <w:rPr>
          <w:rFonts w:ascii="Times New Roman" w:hAnsi="Times New Roman"/>
        </w:rPr>
      </w:pPr>
      <w:r w:rsidRPr="002F6E72">
        <w:rPr>
          <w:rStyle w:val="FootnoteReference"/>
          <w:rFonts w:ascii="Arial" w:hAnsi="Arial" w:cs="Arial"/>
        </w:rPr>
        <w:footnoteRef/>
      </w:r>
      <w:r w:rsidRPr="002F6E72">
        <w:rPr>
          <w:rFonts w:ascii="Arial" w:hAnsi="Arial" w:cs="Arial"/>
        </w:rPr>
        <w:t xml:space="preserve"> New Zealand Health Strategy 2000</w:t>
      </w:r>
      <w:r w:rsidRPr="00DD0D3D">
        <w:rPr>
          <w:rFonts w:ascii="Times New Roman" w:hAnsi="Times New Roman"/>
        </w:rPr>
        <w:t xml:space="preserve"> </w:t>
      </w:r>
    </w:p>
  </w:footnote>
  <w:footnote w:id="4">
    <w:p w:rsidR="00594A30" w:rsidRPr="00DD0D3D" w:rsidRDefault="00594A30">
      <w:pPr>
        <w:pStyle w:val="FootnoteText"/>
        <w:rPr>
          <w:rFonts w:ascii="Times New Roman" w:hAnsi="Times New Roman"/>
        </w:rPr>
      </w:pPr>
      <w:r w:rsidRPr="00DD0D3D">
        <w:rPr>
          <w:rStyle w:val="FootnoteReference"/>
          <w:rFonts w:ascii="Times New Roman" w:hAnsi="Times New Roman"/>
        </w:rPr>
        <w:footnoteRef/>
      </w:r>
      <w:r w:rsidRPr="00DD0D3D">
        <w:rPr>
          <w:rFonts w:ascii="Times New Roman" w:hAnsi="Times New Roman"/>
        </w:rPr>
        <w:t xml:space="preserve"> </w:t>
      </w:r>
      <w:proofErr w:type="gramStart"/>
      <w:r w:rsidRPr="00C201CB">
        <w:rPr>
          <w:rFonts w:ascii="Arial" w:hAnsi="Arial" w:cs="Arial"/>
          <w:color w:val="000000"/>
          <w:lang w:eastAsia="en-GB"/>
        </w:rPr>
        <w:t xml:space="preserve">District Health Boards (DHBs), DHB-based public health units, non-governmental organisations (NGOs), </w:t>
      </w:r>
      <w:r w:rsidRPr="00C201CB">
        <w:rPr>
          <w:rFonts w:ascii="Arial" w:hAnsi="Arial" w:cs="Arial"/>
        </w:rPr>
        <w:t>M</w:t>
      </w:r>
      <w:r w:rsidRPr="00C201CB">
        <w:rPr>
          <w:rFonts w:ascii="Arial" w:hAnsi="Arial" w:cs="Arial"/>
          <w:bCs/>
        </w:rPr>
        <w:t>ā</w:t>
      </w:r>
      <w:r w:rsidRPr="00C201CB">
        <w:rPr>
          <w:rFonts w:ascii="Arial" w:hAnsi="Arial" w:cs="Arial"/>
        </w:rPr>
        <w:t>ori</w:t>
      </w:r>
      <w:r w:rsidRPr="00C201CB">
        <w:rPr>
          <w:rFonts w:ascii="Arial" w:hAnsi="Arial" w:cs="Arial"/>
          <w:color w:val="000000"/>
          <w:lang w:eastAsia="en-GB"/>
        </w:rPr>
        <w:t xml:space="preserve"> health providers, Crown entities, primary health care providers and local government.</w:t>
      </w:r>
      <w:proofErr w:type="gramEnd"/>
    </w:p>
  </w:footnote>
  <w:footnote w:id="5">
    <w:p w:rsidR="00546943" w:rsidRPr="00C201CB" w:rsidRDefault="00546943" w:rsidP="00546943">
      <w:pPr>
        <w:pStyle w:val="FootnoteText"/>
        <w:rPr>
          <w:rFonts w:ascii="Arial" w:hAnsi="Arial" w:cs="Arial"/>
        </w:rPr>
      </w:pPr>
      <w:r>
        <w:rPr>
          <w:rStyle w:val="FootnoteReference"/>
        </w:rPr>
        <w:footnoteRef/>
      </w:r>
      <w:r>
        <w:t xml:space="preserve"> </w:t>
      </w:r>
      <w:r w:rsidRPr="00C201CB">
        <w:rPr>
          <w:rFonts w:ascii="Arial" w:hAnsi="Arial" w:cs="Arial"/>
          <w:i/>
        </w:rPr>
        <w:t xml:space="preserve">Kia </w:t>
      </w:r>
      <w:proofErr w:type="spellStart"/>
      <w:r w:rsidRPr="00C201CB">
        <w:rPr>
          <w:rFonts w:ascii="Arial" w:hAnsi="Arial" w:cs="Arial"/>
          <w:i/>
        </w:rPr>
        <w:t>Tutahi</w:t>
      </w:r>
      <w:proofErr w:type="spellEnd"/>
      <w:r w:rsidRPr="00C201CB">
        <w:rPr>
          <w:rFonts w:ascii="Arial" w:hAnsi="Arial" w:cs="Arial"/>
          <w:i/>
        </w:rPr>
        <w:t xml:space="preserve"> standing together: </w:t>
      </w:r>
      <w:r w:rsidRPr="00C201CB">
        <w:rPr>
          <w:rFonts w:ascii="Arial" w:hAnsi="Arial" w:cs="Arial"/>
        </w:rPr>
        <w:t xml:space="preserve">The relationship accord between the communities of </w:t>
      </w:r>
      <w:proofErr w:type="spellStart"/>
      <w:r w:rsidRPr="00C201CB">
        <w:rPr>
          <w:rFonts w:ascii="Arial" w:hAnsi="Arial" w:cs="Arial"/>
        </w:rPr>
        <w:t>Aotearoa</w:t>
      </w:r>
      <w:proofErr w:type="spellEnd"/>
      <w:r w:rsidRPr="00C201CB">
        <w:rPr>
          <w:rFonts w:ascii="Arial" w:hAnsi="Arial" w:cs="Arial"/>
        </w:rPr>
        <w:t xml:space="preserve"> New Zealand and the Government of New Zealand.</w:t>
      </w:r>
    </w:p>
  </w:footnote>
  <w:footnote w:id="6">
    <w:p w:rsidR="00546943" w:rsidRDefault="00546943" w:rsidP="00546943">
      <w:pPr>
        <w:pStyle w:val="FootnoteText"/>
      </w:pPr>
      <w:r w:rsidRPr="00C201CB">
        <w:rPr>
          <w:rStyle w:val="FootnoteReference"/>
          <w:rFonts w:ascii="Arial" w:hAnsi="Arial" w:cs="Arial"/>
        </w:rPr>
        <w:footnoteRef/>
      </w:r>
      <w:r w:rsidRPr="00C201CB">
        <w:rPr>
          <w:rFonts w:ascii="Arial" w:hAnsi="Arial" w:cs="Arial"/>
        </w:rPr>
        <w:t xml:space="preserve"> </w:t>
      </w:r>
      <w:r w:rsidRPr="00C201CB">
        <w:rPr>
          <w:rFonts w:ascii="Arial" w:hAnsi="Arial" w:cs="Arial"/>
          <w:i/>
        </w:rPr>
        <w:t>Ottawa Charter</w:t>
      </w:r>
      <w:r w:rsidRPr="00C201CB">
        <w:rPr>
          <w:rFonts w:ascii="Arial" w:hAnsi="Arial" w:cs="Arial"/>
        </w:rPr>
        <w:t xml:space="preserve">, </w:t>
      </w:r>
      <w:r w:rsidR="003D5553" w:rsidRPr="00C201CB">
        <w:rPr>
          <w:rFonts w:ascii="Arial" w:hAnsi="Arial" w:cs="Arial"/>
        </w:rPr>
        <w:t>World Health Organisation,</w:t>
      </w:r>
      <w:r w:rsidRPr="00C201CB">
        <w:rPr>
          <w:rFonts w:ascii="Arial" w:hAnsi="Arial" w:cs="Arial"/>
        </w:rPr>
        <w:t xml:space="preserve"> 1986</w:t>
      </w:r>
    </w:p>
  </w:footnote>
  <w:footnote w:id="7">
    <w:p w:rsidR="004A5719" w:rsidRPr="002F6E72" w:rsidRDefault="004A5719" w:rsidP="004F56CE">
      <w:pPr>
        <w:pStyle w:val="FootnoteText"/>
        <w:rPr>
          <w:rFonts w:ascii="Arial" w:hAnsi="Arial" w:cs="Arial"/>
        </w:rPr>
      </w:pPr>
      <w:r>
        <w:rPr>
          <w:rStyle w:val="FootnoteReference"/>
        </w:rPr>
        <w:footnoteRef/>
      </w:r>
      <w:r w:rsidR="004F56CE">
        <w:t xml:space="preserve"> </w:t>
      </w:r>
      <w:r w:rsidR="004F56CE" w:rsidRPr="002F6E72">
        <w:rPr>
          <w:rFonts w:ascii="Arial" w:hAnsi="Arial" w:cs="Arial"/>
        </w:rPr>
        <w:t>Health service utilisation and health outcomes vary between population g</w:t>
      </w:r>
      <w:r w:rsidR="00374F7F" w:rsidRPr="002F6E72">
        <w:rPr>
          <w:rFonts w:ascii="Arial" w:hAnsi="Arial" w:cs="Arial"/>
        </w:rPr>
        <w:t>roups for many reasons.  W</w:t>
      </w:r>
      <w:r w:rsidR="004F56CE" w:rsidRPr="002F6E72">
        <w:rPr>
          <w:rFonts w:ascii="Arial" w:hAnsi="Arial" w:cs="Arial"/>
        </w:rPr>
        <w:t xml:space="preserve">here population groups experience disproportionately worse (or better) health outcomes as a result of structural, systematic or otherwise unfair exposure to the factors that promote or reduce their chances of good health, </w:t>
      </w:r>
      <w:r w:rsidR="00374F7F" w:rsidRPr="002F6E72">
        <w:rPr>
          <w:rFonts w:ascii="Arial" w:hAnsi="Arial" w:cs="Arial"/>
        </w:rPr>
        <w:t>such</w:t>
      </w:r>
      <w:r w:rsidR="004F56CE" w:rsidRPr="002F6E72">
        <w:rPr>
          <w:rFonts w:ascii="Arial" w:hAnsi="Arial" w:cs="Arial"/>
        </w:rPr>
        <w:t xml:space="preserve"> inequitable disparities should be addressed through the organised efforts of society, either directly by public health services, </w:t>
      </w:r>
      <w:r w:rsidR="00546943" w:rsidRPr="002F6E72">
        <w:rPr>
          <w:rFonts w:ascii="Arial" w:hAnsi="Arial" w:cs="Arial"/>
        </w:rPr>
        <w:t xml:space="preserve">or by such services acting as an agent </w:t>
      </w:r>
      <w:r w:rsidR="004F56CE" w:rsidRPr="002F6E72">
        <w:rPr>
          <w:rFonts w:ascii="Arial" w:hAnsi="Arial" w:cs="Arial"/>
        </w:rPr>
        <w:t>for positive change in their interactions with other providers and sectors by improving the health of specific population groups and the population overall</w:t>
      </w:r>
      <w:r w:rsidRPr="002F6E72">
        <w:rPr>
          <w:rFonts w:ascii="Arial" w:hAnsi="Arial" w:cs="Arial"/>
        </w:rPr>
        <w:t>.</w:t>
      </w:r>
      <w:r w:rsidR="00546943" w:rsidRPr="002F6E72">
        <w:rPr>
          <w:rFonts w:ascii="Arial" w:hAnsi="Arial" w:cs="Arial"/>
        </w:rPr>
        <w:t xml:space="preserve">  See also section 3</w:t>
      </w:r>
      <w:r w:rsidR="00374F7F" w:rsidRPr="002F6E72">
        <w:rPr>
          <w:rFonts w:ascii="Arial" w:hAnsi="Arial" w:cs="Arial"/>
        </w:rPr>
        <w:t>.3</w:t>
      </w:r>
    </w:p>
  </w:footnote>
  <w:footnote w:id="8">
    <w:p w:rsidR="008F0157" w:rsidRPr="002F6E72" w:rsidRDefault="008F0157" w:rsidP="008F0157">
      <w:pPr>
        <w:pStyle w:val="FootnoteText"/>
        <w:rPr>
          <w:rFonts w:ascii="Arial" w:hAnsi="Arial" w:cs="Arial"/>
        </w:rPr>
      </w:pPr>
      <w:r w:rsidRPr="002F6E72">
        <w:rPr>
          <w:rStyle w:val="FootnoteReference"/>
          <w:rFonts w:ascii="Arial" w:hAnsi="Arial" w:cs="Arial"/>
        </w:rPr>
        <w:footnoteRef/>
      </w:r>
      <w:r w:rsidRPr="002F6E72">
        <w:rPr>
          <w:rFonts w:ascii="Arial" w:hAnsi="Arial" w:cs="Arial"/>
        </w:rPr>
        <w:t xml:space="preserve"> Adapted from the NZ Public Health &amp; Disability Act 2000</w:t>
      </w:r>
    </w:p>
  </w:footnote>
  <w:footnote w:id="9">
    <w:p w:rsidR="008F0157" w:rsidRDefault="008F0157" w:rsidP="008F0157">
      <w:pPr>
        <w:pStyle w:val="FootnoteText"/>
      </w:pPr>
      <w:r w:rsidRPr="002F6E72">
        <w:rPr>
          <w:rStyle w:val="FootnoteReference"/>
          <w:rFonts w:ascii="Arial" w:hAnsi="Arial" w:cs="Arial"/>
        </w:rPr>
        <w:footnoteRef/>
      </w:r>
      <w:r w:rsidRPr="002F6E72">
        <w:rPr>
          <w:rFonts w:ascii="Arial" w:hAnsi="Arial" w:cs="Arial"/>
        </w:rPr>
        <w:t xml:space="preserve"> Statement of Intent:  2012/13 to 2014/15 Ministry of Health, May 2012</w:t>
      </w:r>
    </w:p>
  </w:footnote>
  <w:footnote w:id="10">
    <w:p w:rsidR="008F0157" w:rsidRPr="002F6E72" w:rsidRDefault="008F0157" w:rsidP="002F6E72">
      <w:pPr>
        <w:rPr>
          <w:rFonts w:ascii="Arial" w:hAnsi="Arial" w:cs="Arial"/>
        </w:rPr>
      </w:pPr>
      <w:r>
        <w:rPr>
          <w:rStyle w:val="FootnoteReference"/>
        </w:rPr>
        <w:footnoteRef/>
      </w:r>
      <w:r>
        <w:t xml:space="preserve"> </w:t>
      </w:r>
      <w:r w:rsidRPr="002F6E72">
        <w:rPr>
          <w:rFonts w:ascii="Arial" w:hAnsi="Arial" w:cs="Arial"/>
          <w:i/>
          <w:sz w:val="20"/>
          <w:szCs w:val="20"/>
        </w:rPr>
        <w:t xml:space="preserve">A Guide to Health Impact Assessment: A Policy tool for New Zealand, </w:t>
      </w:r>
      <w:r w:rsidRPr="002F6E72">
        <w:rPr>
          <w:rFonts w:ascii="Arial" w:hAnsi="Arial" w:cs="Arial"/>
          <w:sz w:val="20"/>
          <w:szCs w:val="20"/>
        </w:rPr>
        <w:t xml:space="preserve">Public Health Advisory Committee 2005. </w:t>
      </w:r>
    </w:p>
  </w:footnote>
  <w:footnote w:id="11">
    <w:p w:rsidR="009E337C" w:rsidRDefault="009E337C">
      <w:pPr>
        <w:pStyle w:val="FootnoteText"/>
      </w:pPr>
      <w:r w:rsidRPr="002F6E72">
        <w:rPr>
          <w:rStyle w:val="FootnoteReference"/>
          <w:rFonts w:ascii="Arial" w:hAnsi="Arial" w:cs="Arial"/>
        </w:rPr>
        <w:footnoteRef/>
      </w:r>
      <w:r w:rsidRPr="002F6E72">
        <w:rPr>
          <w:rFonts w:ascii="Arial" w:hAnsi="Arial" w:cs="Arial"/>
        </w:rPr>
        <w:t xml:space="preserve">  </w:t>
      </w:r>
      <w:r w:rsidRPr="002F6E72">
        <w:rPr>
          <w:rFonts w:ascii="Arial" w:hAnsi="Arial" w:cs="Arial"/>
          <w:i/>
        </w:rPr>
        <w:t>A Health Equity Assessment Tool (Equity Lens) for Tackling Inequalities in Health,</w:t>
      </w:r>
      <w:r w:rsidRPr="002F6E72">
        <w:rPr>
          <w:rFonts w:ascii="Arial" w:hAnsi="Arial" w:cs="Arial"/>
        </w:rPr>
        <w:t xml:space="preserve"> Ministry of Health, May 2004</w:t>
      </w:r>
    </w:p>
  </w:footnote>
  <w:footnote w:id="12">
    <w:p w:rsidR="008677AF" w:rsidRDefault="008677AF">
      <w:pPr>
        <w:pStyle w:val="FootnoteText"/>
      </w:pPr>
      <w:r w:rsidRPr="00DD0D3D">
        <w:rPr>
          <w:rStyle w:val="FootnoteReference"/>
        </w:rPr>
        <w:footnoteRef/>
      </w:r>
      <w:r w:rsidRPr="00DD0D3D">
        <w:t xml:space="preserve"> </w:t>
      </w:r>
      <w:r w:rsidRPr="00D26301">
        <w:rPr>
          <w:rFonts w:ascii="Arial" w:hAnsi="Arial" w:cs="Arial"/>
        </w:rPr>
        <w:t xml:space="preserve">This criterion recognises that sometimes the degree of public support is a consideration.  For example:  (a) where all other </w:t>
      </w:r>
      <w:r w:rsidR="00546943" w:rsidRPr="00D26301">
        <w:rPr>
          <w:rFonts w:ascii="Arial" w:hAnsi="Arial" w:cs="Arial"/>
        </w:rPr>
        <w:t>factors</w:t>
      </w:r>
      <w:r w:rsidRPr="00D26301">
        <w:rPr>
          <w:rFonts w:ascii="Arial" w:hAnsi="Arial" w:cs="Arial"/>
        </w:rPr>
        <w:t xml:space="preserve"> are equal, then it may appropriate to prioritise services for which there is community support or (b) if all other </w:t>
      </w:r>
      <w:r w:rsidR="00546943" w:rsidRPr="00D26301">
        <w:rPr>
          <w:rFonts w:ascii="Arial" w:hAnsi="Arial" w:cs="Arial"/>
        </w:rPr>
        <w:t>factors</w:t>
      </w:r>
      <w:r w:rsidRPr="00D26301">
        <w:rPr>
          <w:rFonts w:ascii="Arial" w:hAnsi="Arial" w:cs="Arial"/>
        </w:rPr>
        <w:t xml:space="preserve"> are nearly equal, but there is overwhelming public support for one option, then it may get precedence.  This is about acknowledging the importance of community support, being receptive to legitimate community expectations and recognising that community support for a service can increase its effectiveness and efficiency.</w:t>
      </w:r>
    </w:p>
  </w:footnote>
  <w:footnote w:id="13">
    <w:p w:rsidR="00546943" w:rsidRPr="00D26301" w:rsidRDefault="00546943" w:rsidP="00546943">
      <w:pPr>
        <w:pStyle w:val="FootnoteText"/>
        <w:rPr>
          <w:rFonts w:ascii="Arial" w:hAnsi="Arial" w:cs="Arial"/>
        </w:rPr>
      </w:pPr>
      <w:r>
        <w:rPr>
          <w:rStyle w:val="FootnoteReference"/>
        </w:rPr>
        <w:footnoteRef/>
      </w:r>
      <w:r>
        <w:t xml:space="preserve"> </w:t>
      </w:r>
      <w:r w:rsidRPr="00D26301">
        <w:rPr>
          <w:rFonts w:ascii="Arial" w:hAnsi="Arial" w:cs="Arial"/>
        </w:rPr>
        <w:t xml:space="preserve">NB as at </w:t>
      </w:r>
      <w:r w:rsidR="00582EC6" w:rsidRPr="00D26301">
        <w:rPr>
          <w:rFonts w:ascii="Arial" w:hAnsi="Arial" w:cs="Arial"/>
        </w:rPr>
        <w:t>November</w:t>
      </w:r>
      <w:r w:rsidRPr="00D26301">
        <w:rPr>
          <w:rFonts w:ascii="Arial" w:hAnsi="Arial" w:cs="Arial"/>
        </w:rPr>
        <w:t xml:space="preserve"> 2013, </w:t>
      </w:r>
      <w:proofErr w:type="gramStart"/>
      <w:r w:rsidR="001E4E2C" w:rsidRPr="00D26301">
        <w:rPr>
          <w:rFonts w:ascii="Arial" w:hAnsi="Arial" w:cs="Arial"/>
        </w:rPr>
        <w:t>The</w:t>
      </w:r>
      <w:proofErr w:type="gramEnd"/>
      <w:r w:rsidR="001E4E2C" w:rsidRPr="00D26301">
        <w:rPr>
          <w:rFonts w:ascii="Arial" w:hAnsi="Arial" w:cs="Arial"/>
        </w:rPr>
        <w:t xml:space="preserve"> government plans to establish </w:t>
      </w:r>
      <w:r w:rsidRPr="00D26301">
        <w:rPr>
          <w:rFonts w:ascii="Arial" w:hAnsi="Arial" w:cs="Arial"/>
        </w:rPr>
        <w:t>a new standalone workplace health and safety regul</w:t>
      </w:r>
      <w:r w:rsidR="001E4E2C" w:rsidRPr="00D26301">
        <w:rPr>
          <w:rFonts w:ascii="Arial" w:hAnsi="Arial" w:cs="Arial"/>
        </w:rPr>
        <w:t>atory agency</w:t>
      </w:r>
      <w:r w:rsidR="00582EC6" w:rsidRPr="00D26301">
        <w:rPr>
          <w:rFonts w:ascii="Arial" w:hAnsi="Arial" w:cs="Arial"/>
        </w:rPr>
        <w:t xml:space="preserve"> called </w:t>
      </w:r>
      <w:proofErr w:type="spellStart"/>
      <w:r w:rsidR="00582EC6" w:rsidRPr="00D26301">
        <w:rPr>
          <w:rFonts w:ascii="Arial" w:hAnsi="Arial" w:cs="Arial"/>
          <w:b/>
        </w:rPr>
        <w:t>WorkSafe</w:t>
      </w:r>
      <w:proofErr w:type="spellEnd"/>
      <w:r w:rsidR="00582EC6" w:rsidRPr="00D26301">
        <w:rPr>
          <w:rFonts w:ascii="Arial" w:hAnsi="Arial" w:cs="Arial"/>
          <w:b/>
        </w:rPr>
        <w:t xml:space="preserve"> New Zealand</w:t>
      </w:r>
      <w:r w:rsidR="00582EC6" w:rsidRPr="00D26301">
        <w:rPr>
          <w:rFonts w:ascii="Arial" w:hAnsi="Arial" w:cs="Arial"/>
        </w:rPr>
        <w:t>.  This new agency is scheduled to become operational in December 2013</w:t>
      </w:r>
      <w:r w:rsidRPr="00D26301">
        <w:rPr>
          <w:rFonts w:ascii="Arial" w:hAnsi="Arial" w:cs="Arial"/>
        </w:rPr>
        <w:t>.</w:t>
      </w:r>
    </w:p>
  </w:footnote>
  <w:footnote w:id="14">
    <w:p w:rsidR="001E4E2C" w:rsidRPr="00D26301" w:rsidRDefault="001E4E2C">
      <w:pPr>
        <w:pStyle w:val="FootnoteText"/>
        <w:rPr>
          <w:rFonts w:ascii="Arial" w:hAnsi="Arial" w:cs="Arial"/>
        </w:rPr>
      </w:pPr>
      <w:r w:rsidRPr="00D26301">
        <w:rPr>
          <w:rStyle w:val="FootnoteReference"/>
          <w:rFonts w:ascii="Arial" w:hAnsi="Arial" w:cs="Arial"/>
        </w:rPr>
        <w:footnoteRef/>
      </w:r>
      <w:r w:rsidRPr="00D26301">
        <w:rPr>
          <w:rFonts w:ascii="Arial" w:hAnsi="Arial" w:cs="Arial"/>
        </w:rPr>
        <w:t xml:space="preserve"> The core functions approach was developed by the Public Health Clinical Network, based on models developed by WHO and other international sources, see also section 8.4</w:t>
      </w:r>
    </w:p>
  </w:footnote>
  <w:footnote w:id="15">
    <w:p w:rsidR="008F0157" w:rsidRDefault="008F0157" w:rsidP="008F0157">
      <w:pPr>
        <w:pStyle w:val="FootnoteText"/>
      </w:pPr>
      <w:r w:rsidRPr="00D26301">
        <w:rPr>
          <w:rStyle w:val="FootnoteReference"/>
          <w:rFonts w:ascii="Arial" w:hAnsi="Arial" w:cs="Arial"/>
        </w:rPr>
        <w:footnoteRef/>
      </w:r>
      <w:r w:rsidRPr="00D26301">
        <w:rPr>
          <w:rFonts w:ascii="Arial" w:hAnsi="Arial" w:cs="Arial"/>
        </w:rPr>
        <w:t xml:space="preserve"> </w:t>
      </w:r>
      <w:r w:rsidR="00E3339D" w:rsidRPr="00D26301">
        <w:rPr>
          <w:rFonts w:ascii="Arial" w:hAnsi="Arial" w:cs="Arial"/>
        </w:rPr>
        <w:t>For an interim period, this t</w:t>
      </w:r>
      <w:r w:rsidRPr="00D26301">
        <w:rPr>
          <w:rFonts w:ascii="Arial" w:hAnsi="Arial" w:cs="Arial"/>
        </w:rPr>
        <w:t xml:space="preserve">ier </w:t>
      </w:r>
      <w:r w:rsidR="00E3339D" w:rsidRPr="00D26301">
        <w:rPr>
          <w:rFonts w:ascii="Arial" w:hAnsi="Arial" w:cs="Arial"/>
        </w:rPr>
        <w:t>o</w:t>
      </w:r>
      <w:r w:rsidRPr="00D26301">
        <w:rPr>
          <w:rFonts w:ascii="Arial" w:hAnsi="Arial" w:cs="Arial"/>
        </w:rPr>
        <w:t>ne Specification is likely to a</w:t>
      </w:r>
      <w:r w:rsidR="00E3339D" w:rsidRPr="00D26301">
        <w:rPr>
          <w:rFonts w:ascii="Arial" w:hAnsi="Arial" w:cs="Arial"/>
        </w:rPr>
        <w:t>pply to the 13, service-based, tier t</w:t>
      </w:r>
      <w:r w:rsidRPr="00D26301">
        <w:rPr>
          <w:rFonts w:ascii="Arial" w:hAnsi="Arial" w:cs="Arial"/>
        </w:rPr>
        <w:t>wo specifications promulgated circa 2010 and 2011</w:t>
      </w:r>
      <w:r w:rsidR="00E3339D" w:rsidRPr="00D26301">
        <w:rPr>
          <w:rFonts w:ascii="Arial" w:hAnsi="Arial" w:cs="Arial"/>
        </w:rPr>
        <w:t>.  Revised, functions-based, t</w:t>
      </w:r>
      <w:r w:rsidRPr="00D26301">
        <w:rPr>
          <w:rFonts w:ascii="Arial" w:hAnsi="Arial" w:cs="Arial"/>
        </w:rPr>
        <w:t xml:space="preserve">ier </w:t>
      </w:r>
      <w:r w:rsidR="00E3339D" w:rsidRPr="00D26301">
        <w:rPr>
          <w:rFonts w:ascii="Arial" w:hAnsi="Arial" w:cs="Arial"/>
        </w:rPr>
        <w:t>t</w:t>
      </w:r>
      <w:r w:rsidRPr="00D26301">
        <w:rPr>
          <w:rFonts w:ascii="Arial" w:hAnsi="Arial" w:cs="Arial"/>
        </w:rPr>
        <w:t xml:space="preserve">wo specifications are </w:t>
      </w:r>
      <w:r w:rsidR="00DD0D3D" w:rsidRPr="00D26301">
        <w:rPr>
          <w:rFonts w:ascii="Arial" w:hAnsi="Arial" w:cs="Arial"/>
        </w:rPr>
        <w:t>expected to be in place for 2015/16</w:t>
      </w:r>
      <w:r w:rsidRPr="00D26301">
        <w:rPr>
          <w:rFonts w:ascii="Arial" w:hAnsi="Arial" w:cs="Arial"/>
        </w:rPr>
        <w:t>.</w:t>
      </w:r>
    </w:p>
  </w:footnote>
  <w:footnote w:id="16">
    <w:p w:rsidR="00B41095" w:rsidRPr="00BA1056" w:rsidRDefault="00B41095" w:rsidP="00BA1056">
      <w:pPr>
        <w:pStyle w:val="FootnoteText"/>
        <w:jc w:val="left"/>
        <w:rPr>
          <w:rFonts w:ascii="Arial" w:hAnsi="Arial" w:cs="Arial"/>
        </w:rPr>
      </w:pPr>
      <w:r>
        <w:rPr>
          <w:rStyle w:val="FootnoteReference"/>
        </w:rPr>
        <w:footnoteRef/>
      </w:r>
      <w:r>
        <w:t xml:space="preserve"> </w:t>
      </w:r>
      <w:r w:rsidRPr="00BA1056">
        <w:rPr>
          <w:rFonts w:ascii="Arial" w:eastAsiaTheme="minorHAnsi" w:hAnsi="Arial" w:cs="Arial"/>
          <w:color w:val="000000"/>
        </w:rPr>
        <w:t xml:space="preserve">UN General Assembly, </w:t>
      </w:r>
      <w:r w:rsidRPr="00BA1056">
        <w:rPr>
          <w:rFonts w:ascii="Arial" w:eastAsiaTheme="minorHAnsi" w:hAnsi="Arial" w:cs="Arial"/>
          <w:i/>
          <w:iCs/>
          <w:color w:val="000000"/>
        </w:rPr>
        <w:t>International Covenant on Economic, Social and Cultural Rights</w:t>
      </w:r>
      <w:r w:rsidRPr="00BA1056">
        <w:rPr>
          <w:rFonts w:ascii="Arial" w:eastAsiaTheme="minorHAnsi" w:hAnsi="Arial" w:cs="Arial"/>
          <w:color w:val="000000"/>
        </w:rPr>
        <w:t>, 16 December 1966, United Nations, Treaty Series, vol. 993, p. 3, available at: http://www.unhcr.org/refworld/docid/3ae6b36c0.html [accessed 4 February 2013]</w:t>
      </w:r>
    </w:p>
  </w:footnote>
  <w:footnote w:id="17">
    <w:p w:rsidR="00B41095" w:rsidRDefault="00B41095" w:rsidP="00BA1056">
      <w:pPr>
        <w:pStyle w:val="FootnoteText"/>
        <w:jc w:val="left"/>
      </w:pPr>
      <w:r w:rsidRPr="00BA1056">
        <w:rPr>
          <w:rStyle w:val="FootnoteReference"/>
          <w:rFonts w:ascii="Arial" w:hAnsi="Arial" w:cs="Arial"/>
        </w:rPr>
        <w:footnoteRef/>
      </w:r>
      <w:r w:rsidRPr="00BA1056">
        <w:rPr>
          <w:rFonts w:ascii="Arial" w:hAnsi="Arial" w:cs="Arial"/>
        </w:rPr>
        <w:t xml:space="preserve"> United Nations Economic and Social Council </w:t>
      </w:r>
      <w:r w:rsidRPr="00BA1056">
        <w:rPr>
          <w:rFonts w:ascii="Arial" w:hAnsi="Arial" w:cs="Arial"/>
          <w:i/>
        </w:rPr>
        <w:t>Substantive issues arising in the implementation of the International Covenant on economic, Social and Cultural rights: General Comment No. 14</w:t>
      </w:r>
      <w:r w:rsidRPr="00BA1056">
        <w:rPr>
          <w:rFonts w:ascii="Arial" w:hAnsi="Arial" w:cs="Arial"/>
        </w:rPr>
        <w:t xml:space="preserve"> (2000) E/C.12/2000/4</w:t>
      </w:r>
      <w:r>
        <w:rPr>
          <w:rFonts w:ascii="Arial Mäori" w:eastAsiaTheme="minorHAnsi" w:hAnsi="Arial Mäori" w:cs="Arial Mäori"/>
          <w:color w:val="000000"/>
        </w:rPr>
        <w:t xml:space="preserve">  </w:t>
      </w:r>
    </w:p>
  </w:footnote>
  <w:footnote w:id="18">
    <w:p w:rsidR="008F0157" w:rsidRPr="00BA1056" w:rsidRDefault="008F0157" w:rsidP="008F0157">
      <w:pPr>
        <w:pStyle w:val="FootnoteText"/>
        <w:jc w:val="left"/>
        <w:rPr>
          <w:rFonts w:ascii="Arial" w:hAnsi="Arial" w:cs="Arial"/>
        </w:rPr>
      </w:pPr>
      <w:r>
        <w:rPr>
          <w:rStyle w:val="FootnoteReference"/>
        </w:rPr>
        <w:footnoteRef/>
      </w:r>
      <w:r>
        <w:t xml:space="preserve"> </w:t>
      </w:r>
      <w:r w:rsidRPr="00BA1056">
        <w:rPr>
          <w:rFonts w:ascii="Arial" w:hAnsi="Arial" w:cs="Arial"/>
        </w:rPr>
        <w:t xml:space="preserve">Please note </w:t>
      </w:r>
      <w:r w:rsidR="00DD0D3D" w:rsidRPr="00BA1056">
        <w:rPr>
          <w:rFonts w:ascii="Arial" w:hAnsi="Arial" w:cs="Arial"/>
        </w:rPr>
        <w:t>this is not a Ministry</w:t>
      </w:r>
      <w:r w:rsidRPr="00BA1056">
        <w:rPr>
          <w:rFonts w:ascii="Arial" w:hAnsi="Arial" w:cs="Arial"/>
        </w:rPr>
        <w:t xml:space="preserve"> document, but is available on: http://www.populationhealth.org.nz/publications.aspx</w:t>
      </w:r>
    </w:p>
  </w:footnote>
  <w:footnote w:id="19">
    <w:p w:rsidR="008F0157" w:rsidRDefault="008F0157" w:rsidP="008F0157">
      <w:pPr>
        <w:pStyle w:val="FootnoteText"/>
      </w:pPr>
      <w:r w:rsidRPr="00BA1056">
        <w:rPr>
          <w:rStyle w:val="FootnoteReference"/>
          <w:rFonts w:ascii="Arial" w:hAnsi="Arial" w:cs="Arial"/>
        </w:rPr>
        <w:footnoteRef/>
      </w:r>
      <w:r w:rsidRPr="00BA1056">
        <w:rPr>
          <w:rFonts w:ascii="Arial" w:hAnsi="Arial" w:cs="Arial"/>
        </w:rPr>
        <w:t xml:space="preserve"> Code issued under the State Sector Act 1988, available on the SSC website.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AA2"/>
    <w:multiLevelType w:val="hybridMultilevel"/>
    <w:tmpl w:val="D812DEFE"/>
    <w:lvl w:ilvl="0" w:tplc="0409000F">
      <w:start w:val="1"/>
      <w:numFmt w:val="decimal"/>
      <w:pStyle w:val="BulletText1"/>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6363C1"/>
    <w:multiLevelType w:val="hybridMultilevel"/>
    <w:tmpl w:val="40B0147A"/>
    <w:lvl w:ilvl="0" w:tplc="B7F24DA2">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9E305BF"/>
    <w:multiLevelType w:val="hybridMultilevel"/>
    <w:tmpl w:val="2290327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0A4814E3"/>
    <w:multiLevelType w:val="hybridMultilevel"/>
    <w:tmpl w:val="0840C576"/>
    <w:lvl w:ilvl="0" w:tplc="B7F24DA2">
      <w:start w:val="1"/>
      <w:numFmt w:val="lowerRoman"/>
      <w:lvlText w:val="%1."/>
      <w:lvlJc w:val="left"/>
      <w:pPr>
        <w:ind w:left="810" w:hanging="360"/>
      </w:pPr>
      <w:rPr>
        <w:rFonts w:hint="default"/>
      </w:rPr>
    </w:lvl>
    <w:lvl w:ilvl="1" w:tplc="14090019" w:tentative="1">
      <w:start w:val="1"/>
      <w:numFmt w:val="lowerLetter"/>
      <w:lvlText w:val="%2."/>
      <w:lvlJc w:val="left"/>
      <w:pPr>
        <w:ind w:left="1530" w:hanging="360"/>
      </w:pPr>
    </w:lvl>
    <w:lvl w:ilvl="2" w:tplc="1409001B" w:tentative="1">
      <w:start w:val="1"/>
      <w:numFmt w:val="lowerRoman"/>
      <w:lvlText w:val="%3."/>
      <w:lvlJc w:val="right"/>
      <w:pPr>
        <w:ind w:left="2250" w:hanging="180"/>
      </w:pPr>
    </w:lvl>
    <w:lvl w:ilvl="3" w:tplc="1409000F" w:tentative="1">
      <w:start w:val="1"/>
      <w:numFmt w:val="decimal"/>
      <w:lvlText w:val="%4."/>
      <w:lvlJc w:val="left"/>
      <w:pPr>
        <w:ind w:left="2970" w:hanging="360"/>
      </w:pPr>
    </w:lvl>
    <w:lvl w:ilvl="4" w:tplc="14090019" w:tentative="1">
      <w:start w:val="1"/>
      <w:numFmt w:val="lowerLetter"/>
      <w:lvlText w:val="%5."/>
      <w:lvlJc w:val="left"/>
      <w:pPr>
        <w:ind w:left="3690" w:hanging="360"/>
      </w:pPr>
    </w:lvl>
    <w:lvl w:ilvl="5" w:tplc="1409001B" w:tentative="1">
      <w:start w:val="1"/>
      <w:numFmt w:val="lowerRoman"/>
      <w:lvlText w:val="%6."/>
      <w:lvlJc w:val="right"/>
      <w:pPr>
        <w:ind w:left="4410" w:hanging="180"/>
      </w:pPr>
    </w:lvl>
    <w:lvl w:ilvl="6" w:tplc="1409000F" w:tentative="1">
      <w:start w:val="1"/>
      <w:numFmt w:val="decimal"/>
      <w:lvlText w:val="%7."/>
      <w:lvlJc w:val="left"/>
      <w:pPr>
        <w:ind w:left="5130" w:hanging="360"/>
      </w:pPr>
    </w:lvl>
    <w:lvl w:ilvl="7" w:tplc="14090019" w:tentative="1">
      <w:start w:val="1"/>
      <w:numFmt w:val="lowerLetter"/>
      <w:lvlText w:val="%8."/>
      <w:lvlJc w:val="left"/>
      <w:pPr>
        <w:ind w:left="5850" w:hanging="360"/>
      </w:pPr>
    </w:lvl>
    <w:lvl w:ilvl="8" w:tplc="1409001B" w:tentative="1">
      <w:start w:val="1"/>
      <w:numFmt w:val="lowerRoman"/>
      <w:lvlText w:val="%9."/>
      <w:lvlJc w:val="right"/>
      <w:pPr>
        <w:ind w:left="6570" w:hanging="180"/>
      </w:pPr>
    </w:lvl>
  </w:abstractNum>
  <w:abstractNum w:abstractNumId="4">
    <w:nsid w:val="144E3986"/>
    <w:multiLevelType w:val="hybridMultilevel"/>
    <w:tmpl w:val="13EA7AF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5046329"/>
    <w:multiLevelType w:val="hybridMultilevel"/>
    <w:tmpl w:val="51F8300A"/>
    <w:lvl w:ilvl="0" w:tplc="0809000F">
      <w:start w:val="1"/>
      <w:numFmt w:val="decimal"/>
      <w:lvlText w:val="%1."/>
      <w:lvlJc w:val="left"/>
      <w:pPr>
        <w:tabs>
          <w:tab w:val="num" w:pos="720"/>
        </w:tabs>
        <w:ind w:left="720" w:hanging="360"/>
      </w:pPr>
    </w:lvl>
    <w:lvl w:ilvl="1" w:tplc="5282C346">
      <w:start w:val="1"/>
      <w:numFmt w:val="decimal"/>
      <w:lvlText w:val="(%2)"/>
      <w:lvlJc w:val="left"/>
      <w:pPr>
        <w:tabs>
          <w:tab w:val="num" w:pos="1440"/>
        </w:tabs>
        <w:ind w:left="1440" w:hanging="360"/>
      </w:pPr>
      <w:rPr>
        <w:rFonts w:hint="default"/>
        <w:color w:val="auto"/>
        <w:sz w:val="24"/>
        <w:u w:val="no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8FF1EB1"/>
    <w:multiLevelType w:val="hybridMultilevel"/>
    <w:tmpl w:val="4622047E"/>
    <w:lvl w:ilvl="0" w:tplc="B7F24DA2">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1BC91A78"/>
    <w:multiLevelType w:val="hybridMultilevel"/>
    <w:tmpl w:val="C2584FA6"/>
    <w:lvl w:ilvl="0" w:tplc="F72847C4">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21D053CC"/>
    <w:multiLevelType w:val="hybridMultilevel"/>
    <w:tmpl w:val="E46476A8"/>
    <w:lvl w:ilvl="0" w:tplc="B7F24DA2">
      <w:start w:val="1"/>
      <w:numFmt w:val="lowerRoman"/>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394069"/>
    <w:multiLevelType w:val="hybridMultilevel"/>
    <w:tmpl w:val="7F9C2CA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2548624B"/>
    <w:multiLevelType w:val="hybridMultilevel"/>
    <w:tmpl w:val="6A5834C0"/>
    <w:lvl w:ilvl="0" w:tplc="14090019">
      <w:start w:val="1"/>
      <w:numFmt w:val="lowerLetter"/>
      <w:lvlText w:val="%1."/>
      <w:lvlJc w:val="left"/>
      <w:pPr>
        <w:tabs>
          <w:tab w:val="num" w:pos="858"/>
        </w:tabs>
        <w:ind w:left="858" w:hanging="360"/>
      </w:pPr>
      <w:rPr>
        <w:rFonts w:hint="default"/>
      </w:rPr>
    </w:lvl>
    <w:lvl w:ilvl="1" w:tplc="04090003">
      <w:start w:val="1"/>
      <w:numFmt w:val="bullet"/>
      <w:lvlText w:val="o"/>
      <w:lvlJc w:val="left"/>
      <w:pPr>
        <w:tabs>
          <w:tab w:val="num" w:pos="1578"/>
        </w:tabs>
        <w:ind w:left="1578" w:hanging="360"/>
      </w:pPr>
      <w:rPr>
        <w:rFonts w:ascii="Courier New" w:hAnsi="Courier New" w:cs="Arial" w:hint="default"/>
      </w:rPr>
    </w:lvl>
    <w:lvl w:ilvl="2" w:tplc="04090005" w:tentative="1">
      <w:start w:val="1"/>
      <w:numFmt w:val="bullet"/>
      <w:lvlText w:val=""/>
      <w:lvlJc w:val="left"/>
      <w:pPr>
        <w:tabs>
          <w:tab w:val="num" w:pos="2298"/>
        </w:tabs>
        <w:ind w:left="2298" w:hanging="360"/>
      </w:pPr>
      <w:rPr>
        <w:rFonts w:ascii="Wingdings" w:hAnsi="Wingdings" w:hint="default"/>
      </w:rPr>
    </w:lvl>
    <w:lvl w:ilvl="3" w:tplc="04090001" w:tentative="1">
      <w:start w:val="1"/>
      <w:numFmt w:val="bullet"/>
      <w:lvlText w:val=""/>
      <w:lvlJc w:val="left"/>
      <w:pPr>
        <w:tabs>
          <w:tab w:val="num" w:pos="3018"/>
        </w:tabs>
        <w:ind w:left="3018" w:hanging="360"/>
      </w:pPr>
      <w:rPr>
        <w:rFonts w:ascii="Symbol" w:hAnsi="Symbol" w:hint="default"/>
      </w:rPr>
    </w:lvl>
    <w:lvl w:ilvl="4" w:tplc="04090003" w:tentative="1">
      <w:start w:val="1"/>
      <w:numFmt w:val="bullet"/>
      <w:lvlText w:val="o"/>
      <w:lvlJc w:val="left"/>
      <w:pPr>
        <w:tabs>
          <w:tab w:val="num" w:pos="3738"/>
        </w:tabs>
        <w:ind w:left="3738" w:hanging="360"/>
      </w:pPr>
      <w:rPr>
        <w:rFonts w:ascii="Courier New" w:hAnsi="Courier New" w:cs="Arial" w:hint="default"/>
      </w:rPr>
    </w:lvl>
    <w:lvl w:ilvl="5" w:tplc="04090005" w:tentative="1">
      <w:start w:val="1"/>
      <w:numFmt w:val="bullet"/>
      <w:lvlText w:val=""/>
      <w:lvlJc w:val="left"/>
      <w:pPr>
        <w:tabs>
          <w:tab w:val="num" w:pos="4458"/>
        </w:tabs>
        <w:ind w:left="4458" w:hanging="360"/>
      </w:pPr>
      <w:rPr>
        <w:rFonts w:ascii="Wingdings" w:hAnsi="Wingdings" w:hint="default"/>
      </w:rPr>
    </w:lvl>
    <w:lvl w:ilvl="6" w:tplc="04090001" w:tentative="1">
      <w:start w:val="1"/>
      <w:numFmt w:val="bullet"/>
      <w:lvlText w:val=""/>
      <w:lvlJc w:val="left"/>
      <w:pPr>
        <w:tabs>
          <w:tab w:val="num" w:pos="5178"/>
        </w:tabs>
        <w:ind w:left="5178" w:hanging="360"/>
      </w:pPr>
      <w:rPr>
        <w:rFonts w:ascii="Symbol" w:hAnsi="Symbol" w:hint="default"/>
      </w:rPr>
    </w:lvl>
    <w:lvl w:ilvl="7" w:tplc="04090003" w:tentative="1">
      <w:start w:val="1"/>
      <w:numFmt w:val="bullet"/>
      <w:lvlText w:val="o"/>
      <w:lvlJc w:val="left"/>
      <w:pPr>
        <w:tabs>
          <w:tab w:val="num" w:pos="5898"/>
        </w:tabs>
        <w:ind w:left="5898" w:hanging="360"/>
      </w:pPr>
      <w:rPr>
        <w:rFonts w:ascii="Courier New" w:hAnsi="Courier New" w:cs="Arial" w:hint="default"/>
      </w:rPr>
    </w:lvl>
    <w:lvl w:ilvl="8" w:tplc="04090005" w:tentative="1">
      <w:start w:val="1"/>
      <w:numFmt w:val="bullet"/>
      <w:lvlText w:val=""/>
      <w:lvlJc w:val="left"/>
      <w:pPr>
        <w:tabs>
          <w:tab w:val="num" w:pos="6618"/>
        </w:tabs>
        <w:ind w:left="6618" w:hanging="360"/>
      </w:pPr>
      <w:rPr>
        <w:rFonts w:ascii="Wingdings" w:hAnsi="Wingdings" w:hint="default"/>
      </w:rPr>
    </w:lvl>
  </w:abstractNum>
  <w:abstractNum w:abstractNumId="11">
    <w:nsid w:val="261811E7"/>
    <w:multiLevelType w:val="hybridMultilevel"/>
    <w:tmpl w:val="F482E270"/>
    <w:lvl w:ilvl="0" w:tplc="B7F24DA2">
      <w:start w:val="1"/>
      <w:numFmt w:val="lowerRoman"/>
      <w:lvlText w:val="%1."/>
      <w:lvlJc w:val="left"/>
      <w:pPr>
        <w:tabs>
          <w:tab w:val="num" w:pos="777"/>
        </w:tabs>
        <w:ind w:left="777" w:hanging="360"/>
      </w:pPr>
      <w:rPr>
        <w:rFonts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12">
    <w:nsid w:val="27CC6E81"/>
    <w:multiLevelType w:val="hybridMultilevel"/>
    <w:tmpl w:val="38A462A4"/>
    <w:lvl w:ilvl="0" w:tplc="04090001">
      <w:start w:val="1"/>
      <w:numFmt w:val="bullet"/>
      <w:lvlText w:val=""/>
      <w:lvlJc w:val="left"/>
      <w:pPr>
        <w:tabs>
          <w:tab w:val="num" w:pos="1440"/>
        </w:tabs>
        <w:ind w:left="1440" w:hanging="360"/>
      </w:pPr>
      <w:rPr>
        <w:rFonts w:ascii="Symbol" w:hAnsi="Symbol" w:hint="default"/>
        <w:color w:val="auto"/>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3">
    <w:nsid w:val="2E220B13"/>
    <w:multiLevelType w:val="hybridMultilevel"/>
    <w:tmpl w:val="244E0DF6"/>
    <w:lvl w:ilvl="0" w:tplc="B7F24DA2">
      <w:start w:val="1"/>
      <w:numFmt w:val="lowerRoman"/>
      <w:lvlText w:val="%1."/>
      <w:lvlJc w:val="left"/>
      <w:pPr>
        <w:ind w:left="783" w:hanging="360"/>
      </w:pPr>
      <w:rPr>
        <w:rFonts w:hint="default"/>
      </w:rPr>
    </w:lvl>
    <w:lvl w:ilvl="1" w:tplc="14090019" w:tentative="1">
      <w:start w:val="1"/>
      <w:numFmt w:val="lowerLetter"/>
      <w:lvlText w:val="%2."/>
      <w:lvlJc w:val="left"/>
      <w:pPr>
        <w:ind w:left="1503" w:hanging="360"/>
      </w:pPr>
    </w:lvl>
    <w:lvl w:ilvl="2" w:tplc="1409001B" w:tentative="1">
      <w:start w:val="1"/>
      <w:numFmt w:val="lowerRoman"/>
      <w:lvlText w:val="%3."/>
      <w:lvlJc w:val="right"/>
      <w:pPr>
        <w:ind w:left="2223" w:hanging="180"/>
      </w:pPr>
    </w:lvl>
    <w:lvl w:ilvl="3" w:tplc="1409000F" w:tentative="1">
      <w:start w:val="1"/>
      <w:numFmt w:val="decimal"/>
      <w:lvlText w:val="%4."/>
      <w:lvlJc w:val="left"/>
      <w:pPr>
        <w:ind w:left="2943" w:hanging="360"/>
      </w:pPr>
    </w:lvl>
    <w:lvl w:ilvl="4" w:tplc="14090019" w:tentative="1">
      <w:start w:val="1"/>
      <w:numFmt w:val="lowerLetter"/>
      <w:lvlText w:val="%5."/>
      <w:lvlJc w:val="left"/>
      <w:pPr>
        <w:ind w:left="3663" w:hanging="360"/>
      </w:pPr>
    </w:lvl>
    <w:lvl w:ilvl="5" w:tplc="1409001B" w:tentative="1">
      <w:start w:val="1"/>
      <w:numFmt w:val="lowerRoman"/>
      <w:lvlText w:val="%6."/>
      <w:lvlJc w:val="right"/>
      <w:pPr>
        <w:ind w:left="4383" w:hanging="180"/>
      </w:pPr>
    </w:lvl>
    <w:lvl w:ilvl="6" w:tplc="1409000F" w:tentative="1">
      <w:start w:val="1"/>
      <w:numFmt w:val="decimal"/>
      <w:lvlText w:val="%7."/>
      <w:lvlJc w:val="left"/>
      <w:pPr>
        <w:ind w:left="5103" w:hanging="360"/>
      </w:pPr>
    </w:lvl>
    <w:lvl w:ilvl="7" w:tplc="14090019" w:tentative="1">
      <w:start w:val="1"/>
      <w:numFmt w:val="lowerLetter"/>
      <w:lvlText w:val="%8."/>
      <w:lvlJc w:val="left"/>
      <w:pPr>
        <w:ind w:left="5823" w:hanging="360"/>
      </w:pPr>
    </w:lvl>
    <w:lvl w:ilvl="8" w:tplc="1409001B" w:tentative="1">
      <w:start w:val="1"/>
      <w:numFmt w:val="lowerRoman"/>
      <w:lvlText w:val="%9."/>
      <w:lvlJc w:val="right"/>
      <w:pPr>
        <w:ind w:left="6543" w:hanging="180"/>
      </w:pPr>
    </w:lvl>
  </w:abstractNum>
  <w:abstractNum w:abstractNumId="14">
    <w:nsid w:val="2E7A40B5"/>
    <w:multiLevelType w:val="hybridMultilevel"/>
    <w:tmpl w:val="1E6A1EFE"/>
    <w:lvl w:ilvl="0" w:tplc="B7F24DA2">
      <w:start w:val="1"/>
      <w:numFmt w:val="lowerRoman"/>
      <w:lvlText w:val="%1."/>
      <w:lvlJc w:val="left"/>
      <w:pPr>
        <w:ind w:left="783" w:hanging="360"/>
      </w:pPr>
      <w:rPr>
        <w:rFonts w:hint="default"/>
      </w:rPr>
    </w:lvl>
    <w:lvl w:ilvl="1" w:tplc="14090019" w:tentative="1">
      <w:start w:val="1"/>
      <w:numFmt w:val="lowerLetter"/>
      <w:lvlText w:val="%2."/>
      <w:lvlJc w:val="left"/>
      <w:pPr>
        <w:ind w:left="1503" w:hanging="360"/>
      </w:pPr>
    </w:lvl>
    <w:lvl w:ilvl="2" w:tplc="1409001B" w:tentative="1">
      <w:start w:val="1"/>
      <w:numFmt w:val="lowerRoman"/>
      <w:lvlText w:val="%3."/>
      <w:lvlJc w:val="right"/>
      <w:pPr>
        <w:ind w:left="2223" w:hanging="180"/>
      </w:pPr>
    </w:lvl>
    <w:lvl w:ilvl="3" w:tplc="1409000F" w:tentative="1">
      <w:start w:val="1"/>
      <w:numFmt w:val="decimal"/>
      <w:lvlText w:val="%4."/>
      <w:lvlJc w:val="left"/>
      <w:pPr>
        <w:ind w:left="2943" w:hanging="360"/>
      </w:pPr>
    </w:lvl>
    <w:lvl w:ilvl="4" w:tplc="14090019" w:tentative="1">
      <w:start w:val="1"/>
      <w:numFmt w:val="lowerLetter"/>
      <w:lvlText w:val="%5."/>
      <w:lvlJc w:val="left"/>
      <w:pPr>
        <w:ind w:left="3663" w:hanging="360"/>
      </w:pPr>
    </w:lvl>
    <w:lvl w:ilvl="5" w:tplc="1409001B" w:tentative="1">
      <w:start w:val="1"/>
      <w:numFmt w:val="lowerRoman"/>
      <w:lvlText w:val="%6."/>
      <w:lvlJc w:val="right"/>
      <w:pPr>
        <w:ind w:left="4383" w:hanging="180"/>
      </w:pPr>
    </w:lvl>
    <w:lvl w:ilvl="6" w:tplc="1409000F" w:tentative="1">
      <w:start w:val="1"/>
      <w:numFmt w:val="decimal"/>
      <w:lvlText w:val="%7."/>
      <w:lvlJc w:val="left"/>
      <w:pPr>
        <w:ind w:left="5103" w:hanging="360"/>
      </w:pPr>
    </w:lvl>
    <w:lvl w:ilvl="7" w:tplc="14090019" w:tentative="1">
      <w:start w:val="1"/>
      <w:numFmt w:val="lowerLetter"/>
      <w:lvlText w:val="%8."/>
      <w:lvlJc w:val="left"/>
      <w:pPr>
        <w:ind w:left="5823" w:hanging="360"/>
      </w:pPr>
    </w:lvl>
    <w:lvl w:ilvl="8" w:tplc="1409001B" w:tentative="1">
      <w:start w:val="1"/>
      <w:numFmt w:val="lowerRoman"/>
      <w:lvlText w:val="%9."/>
      <w:lvlJc w:val="right"/>
      <w:pPr>
        <w:ind w:left="6543" w:hanging="180"/>
      </w:pPr>
    </w:lvl>
  </w:abstractNum>
  <w:abstractNum w:abstractNumId="15">
    <w:nsid w:val="32D839AC"/>
    <w:multiLevelType w:val="hybridMultilevel"/>
    <w:tmpl w:val="80F6FB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4FE3886"/>
    <w:multiLevelType w:val="hybridMultilevel"/>
    <w:tmpl w:val="37F65B8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84E5383"/>
    <w:multiLevelType w:val="hybridMultilevel"/>
    <w:tmpl w:val="31B0861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45017347"/>
    <w:multiLevelType w:val="hybridMultilevel"/>
    <w:tmpl w:val="8AE03298"/>
    <w:lvl w:ilvl="0" w:tplc="B7F24DA2">
      <w:start w:val="1"/>
      <w:numFmt w:val="lowerRoman"/>
      <w:lvlText w:val="%1."/>
      <w:lvlJc w:val="left"/>
      <w:pPr>
        <w:ind w:left="773" w:hanging="360"/>
      </w:pPr>
      <w:rPr>
        <w:rFonts w:hint="default"/>
      </w:rPr>
    </w:lvl>
    <w:lvl w:ilvl="1" w:tplc="14090019" w:tentative="1">
      <w:start w:val="1"/>
      <w:numFmt w:val="lowerLetter"/>
      <w:lvlText w:val="%2."/>
      <w:lvlJc w:val="left"/>
      <w:pPr>
        <w:ind w:left="1493" w:hanging="360"/>
      </w:pPr>
    </w:lvl>
    <w:lvl w:ilvl="2" w:tplc="1409001B" w:tentative="1">
      <w:start w:val="1"/>
      <w:numFmt w:val="lowerRoman"/>
      <w:lvlText w:val="%3."/>
      <w:lvlJc w:val="right"/>
      <w:pPr>
        <w:ind w:left="2213" w:hanging="180"/>
      </w:pPr>
    </w:lvl>
    <w:lvl w:ilvl="3" w:tplc="1409000F" w:tentative="1">
      <w:start w:val="1"/>
      <w:numFmt w:val="decimal"/>
      <w:lvlText w:val="%4."/>
      <w:lvlJc w:val="left"/>
      <w:pPr>
        <w:ind w:left="2933" w:hanging="360"/>
      </w:pPr>
    </w:lvl>
    <w:lvl w:ilvl="4" w:tplc="14090019" w:tentative="1">
      <w:start w:val="1"/>
      <w:numFmt w:val="lowerLetter"/>
      <w:lvlText w:val="%5."/>
      <w:lvlJc w:val="left"/>
      <w:pPr>
        <w:ind w:left="3653" w:hanging="360"/>
      </w:pPr>
    </w:lvl>
    <w:lvl w:ilvl="5" w:tplc="1409001B" w:tentative="1">
      <w:start w:val="1"/>
      <w:numFmt w:val="lowerRoman"/>
      <w:lvlText w:val="%6."/>
      <w:lvlJc w:val="right"/>
      <w:pPr>
        <w:ind w:left="4373" w:hanging="180"/>
      </w:pPr>
    </w:lvl>
    <w:lvl w:ilvl="6" w:tplc="1409000F" w:tentative="1">
      <w:start w:val="1"/>
      <w:numFmt w:val="decimal"/>
      <w:lvlText w:val="%7."/>
      <w:lvlJc w:val="left"/>
      <w:pPr>
        <w:ind w:left="5093" w:hanging="360"/>
      </w:pPr>
    </w:lvl>
    <w:lvl w:ilvl="7" w:tplc="14090019" w:tentative="1">
      <w:start w:val="1"/>
      <w:numFmt w:val="lowerLetter"/>
      <w:lvlText w:val="%8."/>
      <w:lvlJc w:val="left"/>
      <w:pPr>
        <w:ind w:left="5813" w:hanging="360"/>
      </w:pPr>
    </w:lvl>
    <w:lvl w:ilvl="8" w:tplc="1409001B" w:tentative="1">
      <w:start w:val="1"/>
      <w:numFmt w:val="lowerRoman"/>
      <w:lvlText w:val="%9."/>
      <w:lvlJc w:val="right"/>
      <w:pPr>
        <w:ind w:left="6533" w:hanging="180"/>
      </w:pPr>
    </w:lvl>
  </w:abstractNum>
  <w:abstractNum w:abstractNumId="19">
    <w:nsid w:val="450F0B47"/>
    <w:multiLevelType w:val="hybridMultilevel"/>
    <w:tmpl w:val="A036D2E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452E4922"/>
    <w:multiLevelType w:val="hybridMultilevel"/>
    <w:tmpl w:val="DA466440"/>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nsid w:val="4EEB61BE"/>
    <w:multiLevelType w:val="hybridMultilevel"/>
    <w:tmpl w:val="E43C5DE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0B504B3"/>
    <w:multiLevelType w:val="hybridMultilevel"/>
    <w:tmpl w:val="D91E001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52DE5F22"/>
    <w:multiLevelType w:val="hybridMultilevel"/>
    <w:tmpl w:val="BEC07544"/>
    <w:lvl w:ilvl="0" w:tplc="14090019">
      <w:start w:val="1"/>
      <w:numFmt w:val="lowerLetter"/>
      <w:lvlText w:val="%1."/>
      <w:lvlJc w:val="left"/>
      <w:pPr>
        <w:ind w:left="726" w:hanging="360"/>
      </w:pPr>
    </w:lvl>
    <w:lvl w:ilvl="1" w:tplc="14090019" w:tentative="1">
      <w:start w:val="1"/>
      <w:numFmt w:val="lowerLetter"/>
      <w:lvlText w:val="%2."/>
      <w:lvlJc w:val="left"/>
      <w:pPr>
        <w:ind w:left="1446" w:hanging="360"/>
      </w:pPr>
    </w:lvl>
    <w:lvl w:ilvl="2" w:tplc="1409001B" w:tentative="1">
      <w:start w:val="1"/>
      <w:numFmt w:val="lowerRoman"/>
      <w:lvlText w:val="%3."/>
      <w:lvlJc w:val="right"/>
      <w:pPr>
        <w:ind w:left="2166" w:hanging="180"/>
      </w:pPr>
    </w:lvl>
    <w:lvl w:ilvl="3" w:tplc="1409000F" w:tentative="1">
      <w:start w:val="1"/>
      <w:numFmt w:val="decimal"/>
      <w:lvlText w:val="%4."/>
      <w:lvlJc w:val="left"/>
      <w:pPr>
        <w:ind w:left="2886" w:hanging="360"/>
      </w:pPr>
    </w:lvl>
    <w:lvl w:ilvl="4" w:tplc="14090019" w:tentative="1">
      <w:start w:val="1"/>
      <w:numFmt w:val="lowerLetter"/>
      <w:lvlText w:val="%5."/>
      <w:lvlJc w:val="left"/>
      <w:pPr>
        <w:ind w:left="3606" w:hanging="360"/>
      </w:pPr>
    </w:lvl>
    <w:lvl w:ilvl="5" w:tplc="1409001B" w:tentative="1">
      <w:start w:val="1"/>
      <w:numFmt w:val="lowerRoman"/>
      <w:lvlText w:val="%6."/>
      <w:lvlJc w:val="right"/>
      <w:pPr>
        <w:ind w:left="4326" w:hanging="180"/>
      </w:pPr>
    </w:lvl>
    <w:lvl w:ilvl="6" w:tplc="1409000F" w:tentative="1">
      <w:start w:val="1"/>
      <w:numFmt w:val="decimal"/>
      <w:lvlText w:val="%7."/>
      <w:lvlJc w:val="left"/>
      <w:pPr>
        <w:ind w:left="5046" w:hanging="360"/>
      </w:pPr>
    </w:lvl>
    <w:lvl w:ilvl="7" w:tplc="14090019" w:tentative="1">
      <w:start w:val="1"/>
      <w:numFmt w:val="lowerLetter"/>
      <w:lvlText w:val="%8."/>
      <w:lvlJc w:val="left"/>
      <w:pPr>
        <w:ind w:left="5766" w:hanging="360"/>
      </w:pPr>
    </w:lvl>
    <w:lvl w:ilvl="8" w:tplc="1409001B" w:tentative="1">
      <w:start w:val="1"/>
      <w:numFmt w:val="lowerRoman"/>
      <w:lvlText w:val="%9."/>
      <w:lvlJc w:val="right"/>
      <w:pPr>
        <w:ind w:left="6486" w:hanging="180"/>
      </w:pPr>
    </w:lvl>
  </w:abstractNum>
  <w:abstractNum w:abstractNumId="24">
    <w:nsid w:val="532913A3"/>
    <w:multiLevelType w:val="hybridMultilevel"/>
    <w:tmpl w:val="0DD88BCA"/>
    <w:lvl w:ilvl="0" w:tplc="B7F24DA2">
      <w:start w:val="1"/>
      <w:numFmt w:val="lowerRoman"/>
      <w:lvlText w:val="%1."/>
      <w:lvlJc w:val="left"/>
      <w:pPr>
        <w:ind w:left="810" w:hanging="360"/>
      </w:pPr>
      <w:rPr>
        <w:rFonts w:hint="default"/>
      </w:rPr>
    </w:lvl>
    <w:lvl w:ilvl="1" w:tplc="14090019" w:tentative="1">
      <w:start w:val="1"/>
      <w:numFmt w:val="lowerLetter"/>
      <w:lvlText w:val="%2."/>
      <w:lvlJc w:val="left"/>
      <w:pPr>
        <w:ind w:left="1530" w:hanging="360"/>
      </w:pPr>
    </w:lvl>
    <w:lvl w:ilvl="2" w:tplc="1409001B" w:tentative="1">
      <w:start w:val="1"/>
      <w:numFmt w:val="lowerRoman"/>
      <w:lvlText w:val="%3."/>
      <w:lvlJc w:val="right"/>
      <w:pPr>
        <w:ind w:left="2250" w:hanging="180"/>
      </w:pPr>
    </w:lvl>
    <w:lvl w:ilvl="3" w:tplc="1409000F" w:tentative="1">
      <w:start w:val="1"/>
      <w:numFmt w:val="decimal"/>
      <w:lvlText w:val="%4."/>
      <w:lvlJc w:val="left"/>
      <w:pPr>
        <w:ind w:left="2970" w:hanging="360"/>
      </w:pPr>
    </w:lvl>
    <w:lvl w:ilvl="4" w:tplc="14090019" w:tentative="1">
      <w:start w:val="1"/>
      <w:numFmt w:val="lowerLetter"/>
      <w:lvlText w:val="%5."/>
      <w:lvlJc w:val="left"/>
      <w:pPr>
        <w:ind w:left="3690" w:hanging="360"/>
      </w:pPr>
    </w:lvl>
    <w:lvl w:ilvl="5" w:tplc="1409001B" w:tentative="1">
      <w:start w:val="1"/>
      <w:numFmt w:val="lowerRoman"/>
      <w:lvlText w:val="%6."/>
      <w:lvlJc w:val="right"/>
      <w:pPr>
        <w:ind w:left="4410" w:hanging="180"/>
      </w:pPr>
    </w:lvl>
    <w:lvl w:ilvl="6" w:tplc="1409000F" w:tentative="1">
      <w:start w:val="1"/>
      <w:numFmt w:val="decimal"/>
      <w:lvlText w:val="%7."/>
      <w:lvlJc w:val="left"/>
      <w:pPr>
        <w:ind w:left="5130" w:hanging="360"/>
      </w:pPr>
    </w:lvl>
    <w:lvl w:ilvl="7" w:tplc="14090019" w:tentative="1">
      <w:start w:val="1"/>
      <w:numFmt w:val="lowerLetter"/>
      <w:lvlText w:val="%8."/>
      <w:lvlJc w:val="left"/>
      <w:pPr>
        <w:ind w:left="5850" w:hanging="360"/>
      </w:pPr>
    </w:lvl>
    <w:lvl w:ilvl="8" w:tplc="1409001B" w:tentative="1">
      <w:start w:val="1"/>
      <w:numFmt w:val="lowerRoman"/>
      <w:lvlText w:val="%9."/>
      <w:lvlJc w:val="right"/>
      <w:pPr>
        <w:ind w:left="6570" w:hanging="180"/>
      </w:pPr>
    </w:lvl>
  </w:abstractNum>
  <w:abstractNum w:abstractNumId="25">
    <w:nsid w:val="53B75E37"/>
    <w:multiLevelType w:val="hybridMultilevel"/>
    <w:tmpl w:val="5AFC0F32"/>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5B3D789C"/>
    <w:multiLevelType w:val="hybridMultilevel"/>
    <w:tmpl w:val="8730B95E"/>
    <w:lvl w:ilvl="0" w:tplc="64C08B9C">
      <w:start w:val="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5BCD0601"/>
    <w:multiLevelType w:val="hybridMultilevel"/>
    <w:tmpl w:val="03F0790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5DCF0602"/>
    <w:multiLevelType w:val="hybridMultilevel"/>
    <w:tmpl w:val="39A60FEE"/>
    <w:lvl w:ilvl="0" w:tplc="14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5F2A22E5"/>
    <w:multiLevelType w:val="hybridMultilevel"/>
    <w:tmpl w:val="D34A559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nsid w:val="5FC26BCD"/>
    <w:multiLevelType w:val="hybridMultilevel"/>
    <w:tmpl w:val="D1241284"/>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63493EDD"/>
    <w:multiLevelType w:val="hybridMultilevel"/>
    <w:tmpl w:val="F1109FF6"/>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32">
    <w:nsid w:val="67DF1055"/>
    <w:multiLevelType w:val="hybridMultilevel"/>
    <w:tmpl w:val="979A5768"/>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nsid w:val="69396F34"/>
    <w:multiLevelType w:val="hybridMultilevel"/>
    <w:tmpl w:val="D0F251FA"/>
    <w:lvl w:ilvl="0" w:tplc="14090019">
      <w:start w:val="1"/>
      <w:numFmt w:val="lowerLetter"/>
      <w:lvlText w:val="%1."/>
      <w:lvlJc w:val="left"/>
      <w:pPr>
        <w:ind w:left="744" w:hanging="360"/>
      </w:pPr>
    </w:lvl>
    <w:lvl w:ilvl="1" w:tplc="14090019" w:tentative="1">
      <w:start w:val="1"/>
      <w:numFmt w:val="lowerLetter"/>
      <w:lvlText w:val="%2."/>
      <w:lvlJc w:val="left"/>
      <w:pPr>
        <w:ind w:left="1464" w:hanging="360"/>
      </w:pPr>
    </w:lvl>
    <w:lvl w:ilvl="2" w:tplc="1409001B" w:tentative="1">
      <w:start w:val="1"/>
      <w:numFmt w:val="lowerRoman"/>
      <w:lvlText w:val="%3."/>
      <w:lvlJc w:val="right"/>
      <w:pPr>
        <w:ind w:left="2184" w:hanging="180"/>
      </w:pPr>
    </w:lvl>
    <w:lvl w:ilvl="3" w:tplc="1409000F" w:tentative="1">
      <w:start w:val="1"/>
      <w:numFmt w:val="decimal"/>
      <w:lvlText w:val="%4."/>
      <w:lvlJc w:val="left"/>
      <w:pPr>
        <w:ind w:left="2904" w:hanging="360"/>
      </w:pPr>
    </w:lvl>
    <w:lvl w:ilvl="4" w:tplc="14090019" w:tentative="1">
      <w:start w:val="1"/>
      <w:numFmt w:val="lowerLetter"/>
      <w:lvlText w:val="%5."/>
      <w:lvlJc w:val="left"/>
      <w:pPr>
        <w:ind w:left="3624" w:hanging="360"/>
      </w:pPr>
    </w:lvl>
    <w:lvl w:ilvl="5" w:tplc="1409001B" w:tentative="1">
      <w:start w:val="1"/>
      <w:numFmt w:val="lowerRoman"/>
      <w:lvlText w:val="%6."/>
      <w:lvlJc w:val="right"/>
      <w:pPr>
        <w:ind w:left="4344" w:hanging="180"/>
      </w:pPr>
    </w:lvl>
    <w:lvl w:ilvl="6" w:tplc="1409000F" w:tentative="1">
      <w:start w:val="1"/>
      <w:numFmt w:val="decimal"/>
      <w:lvlText w:val="%7."/>
      <w:lvlJc w:val="left"/>
      <w:pPr>
        <w:ind w:left="5064" w:hanging="360"/>
      </w:pPr>
    </w:lvl>
    <w:lvl w:ilvl="7" w:tplc="14090019" w:tentative="1">
      <w:start w:val="1"/>
      <w:numFmt w:val="lowerLetter"/>
      <w:lvlText w:val="%8."/>
      <w:lvlJc w:val="left"/>
      <w:pPr>
        <w:ind w:left="5784" w:hanging="360"/>
      </w:pPr>
    </w:lvl>
    <w:lvl w:ilvl="8" w:tplc="1409001B" w:tentative="1">
      <w:start w:val="1"/>
      <w:numFmt w:val="lowerRoman"/>
      <w:lvlText w:val="%9."/>
      <w:lvlJc w:val="right"/>
      <w:pPr>
        <w:ind w:left="6504" w:hanging="180"/>
      </w:pPr>
    </w:lvl>
  </w:abstractNum>
  <w:abstractNum w:abstractNumId="34">
    <w:nsid w:val="6AF452EE"/>
    <w:multiLevelType w:val="hybridMultilevel"/>
    <w:tmpl w:val="6610D812"/>
    <w:lvl w:ilvl="0" w:tplc="31CA92C6">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CC51FEC"/>
    <w:multiLevelType w:val="hybridMultilevel"/>
    <w:tmpl w:val="CA32749C"/>
    <w:lvl w:ilvl="0" w:tplc="1409000F">
      <w:start w:val="1"/>
      <w:numFmt w:val="decimal"/>
      <w:lvlText w:val="%1."/>
      <w:lvlJc w:val="left"/>
      <w:pPr>
        <w:ind w:left="306" w:hanging="360"/>
      </w:pPr>
    </w:lvl>
    <w:lvl w:ilvl="1" w:tplc="14090019" w:tentative="1">
      <w:start w:val="1"/>
      <w:numFmt w:val="lowerLetter"/>
      <w:lvlText w:val="%2."/>
      <w:lvlJc w:val="left"/>
      <w:pPr>
        <w:ind w:left="1026" w:hanging="360"/>
      </w:pPr>
    </w:lvl>
    <w:lvl w:ilvl="2" w:tplc="1409001B" w:tentative="1">
      <w:start w:val="1"/>
      <w:numFmt w:val="lowerRoman"/>
      <w:lvlText w:val="%3."/>
      <w:lvlJc w:val="right"/>
      <w:pPr>
        <w:ind w:left="1746" w:hanging="180"/>
      </w:pPr>
    </w:lvl>
    <w:lvl w:ilvl="3" w:tplc="1409000F" w:tentative="1">
      <w:start w:val="1"/>
      <w:numFmt w:val="decimal"/>
      <w:lvlText w:val="%4."/>
      <w:lvlJc w:val="left"/>
      <w:pPr>
        <w:ind w:left="2466" w:hanging="360"/>
      </w:pPr>
    </w:lvl>
    <w:lvl w:ilvl="4" w:tplc="14090019" w:tentative="1">
      <w:start w:val="1"/>
      <w:numFmt w:val="lowerLetter"/>
      <w:lvlText w:val="%5."/>
      <w:lvlJc w:val="left"/>
      <w:pPr>
        <w:ind w:left="3186" w:hanging="360"/>
      </w:pPr>
    </w:lvl>
    <w:lvl w:ilvl="5" w:tplc="1409001B" w:tentative="1">
      <w:start w:val="1"/>
      <w:numFmt w:val="lowerRoman"/>
      <w:lvlText w:val="%6."/>
      <w:lvlJc w:val="right"/>
      <w:pPr>
        <w:ind w:left="3906" w:hanging="180"/>
      </w:pPr>
    </w:lvl>
    <w:lvl w:ilvl="6" w:tplc="1409000F" w:tentative="1">
      <w:start w:val="1"/>
      <w:numFmt w:val="decimal"/>
      <w:lvlText w:val="%7."/>
      <w:lvlJc w:val="left"/>
      <w:pPr>
        <w:ind w:left="4626" w:hanging="360"/>
      </w:pPr>
    </w:lvl>
    <w:lvl w:ilvl="7" w:tplc="14090019" w:tentative="1">
      <w:start w:val="1"/>
      <w:numFmt w:val="lowerLetter"/>
      <w:lvlText w:val="%8."/>
      <w:lvlJc w:val="left"/>
      <w:pPr>
        <w:ind w:left="5346" w:hanging="360"/>
      </w:pPr>
    </w:lvl>
    <w:lvl w:ilvl="8" w:tplc="1409001B" w:tentative="1">
      <w:start w:val="1"/>
      <w:numFmt w:val="lowerRoman"/>
      <w:lvlText w:val="%9."/>
      <w:lvlJc w:val="right"/>
      <w:pPr>
        <w:ind w:left="6066" w:hanging="180"/>
      </w:pPr>
    </w:lvl>
  </w:abstractNum>
  <w:abstractNum w:abstractNumId="36">
    <w:nsid w:val="70134D5D"/>
    <w:multiLevelType w:val="hybridMultilevel"/>
    <w:tmpl w:val="664E511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nsid w:val="70B76A52"/>
    <w:multiLevelType w:val="hybridMultilevel"/>
    <w:tmpl w:val="4E20A134"/>
    <w:lvl w:ilvl="0" w:tplc="B7F24DA2">
      <w:start w:val="1"/>
      <w:numFmt w:val="lowerRoman"/>
      <w:lvlText w:val="%1."/>
      <w:lvlJc w:val="left"/>
      <w:pPr>
        <w:ind w:left="915" w:hanging="360"/>
      </w:pPr>
      <w:rPr>
        <w:rFonts w:hint="default"/>
      </w:rPr>
    </w:lvl>
    <w:lvl w:ilvl="1" w:tplc="14090019" w:tentative="1">
      <w:start w:val="1"/>
      <w:numFmt w:val="lowerLetter"/>
      <w:lvlText w:val="%2."/>
      <w:lvlJc w:val="left"/>
      <w:pPr>
        <w:ind w:left="1635" w:hanging="360"/>
      </w:pPr>
    </w:lvl>
    <w:lvl w:ilvl="2" w:tplc="1409001B" w:tentative="1">
      <w:start w:val="1"/>
      <w:numFmt w:val="lowerRoman"/>
      <w:lvlText w:val="%3."/>
      <w:lvlJc w:val="right"/>
      <w:pPr>
        <w:ind w:left="2355" w:hanging="180"/>
      </w:pPr>
    </w:lvl>
    <w:lvl w:ilvl="3" w:tplc="1409000F" w:tentative="1">
      <w:start w:val="1"/>
      <w:numFmt w:val="decimal"/>
      <w:lvlText w:val="%4."/>
      <w:lvlJc w:val="left"/>
      <w:pPr>
        <w:ind w:left="3075" w:hanging="360"/>
      </w:pPr>
    </w:lvl>
    <w:lvl w:ilvl="4" w:tplc="14090019" w:tentative="1">
      <w:start w:val="1"/>
      <w:numFmt w:val="lowerLetter"/>
      <w:lvlText w:val="%5."/>
      <w:lvlJc w:val="left"/>
      <w:pPr>
        <w:ind w:left="3795" w:hanging="360"/>
      </w:pPr>
    </w:lvl>
    <w:lvl w:ilvl="5" w:tplc="1409001B" w:tentative="1">
      <w:start w:val="1"/>
      <w:numFmt w:val="lowerRoman"/>
      <w:lvlText w:val="%6."/>
      <w:lvlJc w:val="right"/>
      <w:pPr>
        <w:ind w:left="4515" w:hanging="180"/>
      </w:pPr>
    </w:lvl>
    <w:lvl w:ilvl="6" w:tplc="1409000F" w:tentative="1">
      <w:start w:val="1"/>
      <w:numFmt w:val="decimal"/>
      <w:lvlText w:val="%7."/>
      <w:lvlJc w:val="left"/>
      <w:pPr>
        <w:ind w:left="5235" w:hanging="360"/>
      </w:pPr>
    </w:lvl>
    <w:lvl w:ilvl="7" w:tplc="14090019" w:tentative="1">
      <w:start w:val="1"/>
      <w:numFmt w:val="lowerLetter"/>
      <w:lvlText w:val="%8."/>
      <w:lvlJc w:val="left"/>
      <w:pPr>
        <w:ind w:left="5955" w:hanging="360"/>
      </w:pPr>
    </w:lvl>
    <w:lvl w:ilvl="8" w:tplc="1409001B" w:tentative="1">
      <w:start w:val="1"/>
      <w:numFmt w:val="lowerRoman"/>
      <w:lvlText w:val="%9."/>
      <w:lvlJc w:val="right"/>
      <w:pPr>
        <w:ind w:left="6675" w:hanging="180"/>
      </w:pPr>
    </w:lvl>
  </w:abstractNum>
  <w:abstractNum w:abstractNumId="38">
    <w:nsid w:val="70DA18DA"/>
    <w:multiLevelType w:val="hybridMultilevel"/>
    <w:tmpl w:val="4A02C6C6"/>
    <w:lvl w:ilvl="0" w:tplc="14090019">
      <w:start w:val="1"/>
      <w:numFmt w:val="lowerLetter"/>
      <w:lvlText w:val="%1."/>
      <w:lvlJc w:val="left"/>
      <w:pPr>
        <w:ind w:left="744" w:hanging="360"/>
      </w:pPr>
    </w:lvl>
    <w:lvl w:ilvl="1" w:tplc="14090019" w:tentative="1">
      <w:start w:val="1"/>
      <w:numFmt w:val="lowerLetter"/>
      <w:lvlText w:val="%2."/>
      <w:lvlJc w:val="left"/>
      <w:pPr>
        <w:ind w:left="1464" w:hanging="360"/>
      </w:pPr>
    </w:lvl>
    <w:lvl w:ilvl="2" w:tplc="1409001B" w:tentative="1">
      <w:start w:val="1"/>
      <w:numFmt w:val="lowerRoman"/>
      <w:lvlText w:val="%3."/>
      <w:lvlJc w:val="right"/>
      <w:pPr>
        <w:ind w:left="2184" w:hanging="180"/>
      </w:pPr>
    </w:lvl>
    <w:lvl w:ilvl="3" w:tplc="1409000F" w:tentative="1">
      <w:start w:val="1"/>
      <w:numFmt w:val="decimal"/>
      <w:lvlText w:val="%4."/>
      <w:lvlJc w:val="left"/>
      <w:pPr>
        <w:ind w:left="2904" w:hanging="360"/>
      </w:pPr>
    </w:lvl>
    <w:lvl w:ilvl="4" w:tplc="14090019" w:tentative="1">
      <w:start w:val="1"/>
      <w:numFmt w:val="lowerLetter"/>
      <w:lvlText w:val="%5."/>
      <w:lvlJc w:val="left"/>
      <w:pPr>
        <w:ind w:left="3624" w:hanging="360"/>
      </w:pPr>
    </w:lvl>
    <w:lvl w:ilvl="5" w:tplc="1409001B" w:tentative="1">
      <w:start w:val="1"/>
      <w:numFmt w:val="lowerRoman"/>
      <w:lvlText w:val="%6."/>
      <w:lvlJc w:val="right"/>
      <w:pPr>
        <w:ind w:left="4344" w:hanging="180"/>
      </w:pPr>
    </w:lvl>
    <w:lvl w:ilvl="6" w:tplc="1409000F" w:tentative="1">
      <w:start w:val="1"/>
      <w:numFmt w:val="decimal"/>
      <w:lvlText w:val="%7."/>
      <w:lvlJc w:val="left"/>
      <w:pPr>
        <w:ind w:left="5064" w:hanging="360"/>
      </w:pPr>
    </w:lvl>
    <w:lvl w:ilvl="7" w:tplc="14090019" w:tentative="1">
      <w:start w:val="1"/>
      <w:numFmt w:val="lowerLetter"/>
      <w:lvlText w:val="%8."/>
      <w:lvlJc w:val="left"/>
      <w:pPr>
        <w:ind w:left="5784" w:hanging="360"/>
      </w:pPr>
    </w:lvl>
    <w:lvl w:ilvl="8" w:tplc="1409001B" w:tentative="1">
      <w:start w:val="1"/>
      <w:numFmt w:val="lowerRoman"/>
      <w:lvlText w:val="%9."/>
      <w:lvlJc w:val="right"/>
      <w:pPr>
        <w:ind w:left="6504" w:hanging="180"/>
      </w:pPr>
    </w:lvl>
  </w:abstractNum>
  <w:abstractNum w:abstractNumId="39">
    <w:nsid w:val="7402510F"/>
    <w:multiLevelType w:val="hybridMultilevel"/>
    <w:tmpl w:val="DF8A5E04"/>
    <w:lvl w:ilvl="0" w:tplc="1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554"/>
        </w:tabs>
        <w:ind w:left="1554" w:hanging="360"/>
      </w:pPr>
      <w:rPr>
        <w:rFonts w:ascii="Courier New" w:hAnsi="Courier New" w:cs="Arial"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Arial"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Arial"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40">
    <w:nsid w:val="758661DC"/>
    <w:multiLevelType w:val="hybridMultilevel"/>
    <w:tmpl w:val="576C1F66"/>
    <w:lvl w:ilvl="0" w:tplc="14090019">
      <w:start w:val="1"/>
      <w:numFmt w:val="lowerLetter"/>
      <w:lvlText w:val="%1."/>
      <w:lvlJc w:val="left"/>
      <w:pPr>
        <w:ind w:left="720" w:hanging="360"/>
      </w:pPr>
    </w:lvl>
    <w:lvl w:ilvl="1" w:tplc="FC4EBEF2">
      <w:start w:val="1"/>
      <w:numFmt w:val="decimal"/>
      <w:lvlText w:val="(%2)"/>
      <w:lvlJc w:val="left"/>
      <w:pPr>
        <w:ind w:left="1785" w:hanging="705"/>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2"/>
  </w:num>
  <w:num w:numId="2">
    <w:abstractNumId w:val="0"/>
  </w:num>
  <w:num w:numId="3">
    <w:abstractNumId w:val="31"/>
  </w:num>
  <w:num w:numId="4">
    <w:abstractNumId w:val="34"/>
  </w:num>
  <w:num w:numId="5">
    <w:abstractNumId w:val="39"/>
  </w:num>
  <w:num w:numId="6">
    <w:abstractNumId w:val="21"/>
  </w:num>
  <w:num w:numId="7">
    <w:abstractNumId w:val="5"/>
  </w:num>
  <w:num w:numId="8">
    <w:abstractNumId w:val="4"/>
  </w:num>
  <w:num w:numId="9">
    <w:abstractNumId w:val="26"/>
  </w:num>
  <w:num w:numId="10">
    <w:abstractNumId w:val="22"/>
  </w:num>
  <w:num w:numId="11">
    <w:abstractNumId w:val="9"/>
  </w:num>
  <w:num w:numId="12">
    <w:abstractNumId w:val="2"/>
  </w:num>
  <w:num w:numId="13">
    <w:abstractNumId w:val="11"/>
  </w:num>
  <w:num w:numId="14">
    <w:abstractNumId w:val="8"/>
  </w:num>
  <w:num w:numId="15">
    <w:abstractNumId w:val="6"/>
  </w:num>
  <w:num w:numId="16">
    <w:abstractNumId w:val="32"/>
  </w:num>
  <w:num w:numId="17">
    <w:abstractNumId w:val="14"/>
  </w:num>
  <w:num w:numId="18">
    <w:abstractNumId w:val="38"/>
  </w:num>
  <w:num w:numId="19">
    <w:abstractNumId w:val="13"/>
  </w:num>
  <w:num w:numId="20">
    <w:abstractNumId w:val="33"/>
  </w:num>
  <w:num w:numId="21">
    <w:abstractNumId w:val="18"/>
  </w:num>
  <w:num w:numId="22">
    <w:abstractNumId w:val="23"/>
  </w:num>
  <w:num w:numId="23">
    <w:abstractNumId w:val="10"/>
  </w:num>
  <w:num w:numId="24">
    <w:abstractNumId w:val="1"/>
  </w:num>
  <w:num w:numId="25">
    <w:abstractNumId w:val="25"/>
  </w:num>
  <w:num w:numId="26">
    <w:abstractNumId w:val="24"/>
  </w:num>
  <w:num w:numId="27">
    <w:abstractNumId w:val="17"/>
  </w:num>
  <w:num w:numId="28">
    <w:abstractNumId w:val="37"/>
  </w:num>
  <w:num w:numId="29">
    <w:abstractNumId w:val="40"/>
  </w:num>
  <w:num w:numId="30">
    <w:abstractNumId w:val="30"/>
  </w:num>
  <w:num w:numId="31">
    <w:abstractNumId w:val="35"/>
  </w:num>
  <w:num w:numId="32">
    <w:abstractNumId w:val="3"/>
  </w:num>
  <w:num w:numId="33">
    <w:abstractNumId w:val="7"/>
  </w:num>
  <w:num w:numId="34">
    <w:abstractNumId w:val="16"/>
  </w:num>
  <w:num w:numId="35">
    <w:abstractNumId w:val="27"/>
  </w:num>
  <w:num w:numId="36">
    <w:abstractNumId w:val="29"/>
  </w:num>
  <w:num w:numId="37">
    <w:abstractNumId w:val="19"/>
  </w:num>
  <w:num w:numId="38">
    <w:abstractNumId w:val="15"/>
  </w:num>
  <w:num w:numId="39">
    <w:abstractNumId w:val="28"/>
  </w:num>
  <w:num w:numId="40">
    <w:abstractNumId w:val="36"/>
  </w:num>
  <w:num w:numId="41">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9FE"/>
    <w:rsid w:val="000028DC"/>
    <w:rsid w:val="0003006A"/>
    <w:rsid w:val="0006202D"/>
    <w:rsid w:val="00080A94"/>
    <w:rsid w:val="000A7D75"/>
    <w:rsid w:val="0010073E"/>
    <w:rsid w:val="00125586"/>
    <w:rsid w:val="00143F4F"/>
    <w:rsid w:val="001457F5"/>
    <w:rsid w:val="00146690"/>
    <w:rsid w:val="00147C21"/>
    <w:rsid w:val="00153F89"/>
    <w:rsid w:val="00161273"/>
    <w:rsid w:val="001C255A"/>
    <w:rsid w:val="001E4E2C"/>
    <w:rsid w:val="0020169D"/>
    <w:rsid w:val="00252786"/>
    <w:rsid w:val="002656C4"/>
    <w:rsid w:val="002F1C8A"/>
    <w:rsid w:val="002F441E"/>
    <w:rsid w:val="002F6E72"/>
    <w:rsid w:val="00302559"/>
    <w:rsid w:val="003257C8"/>
    <w:rsid w:val="003613F8"/>
    <w:rsid w:val="00374F7F"/>
    <w:rsid w:val="00394D95"/>
    <w:rsid w:val="003C450E"/>
    <w:rsid w:val="003D5553"/>
    <w:rsid w:val="003D77B8"/>
    <w:rsid w:val="003F715A"/>
    <w:rsid w:val="004031CE"/>
    <w:rsid w:val="00447983"/>
    <w:rsid w:val="00460FDC"/>
    <w:rsid w:val="00480A4D"/>
    <w:rsid w:val="00495F75"/>
    <w:rsid w:val="004A5719"/>
    <w:rsid w:val="004F56CE"/>
    <w:rsid w:val="0052687A"/>
    <w:rsid w:val="00546943"/>
    <w:rsid w:val="00553970"/>
    <w:rsid w:val="00580A98"/>
    <w:rsid w:val="00582EC6"/>
    <w:rsid w:val="00594A30"/>
    <w:rsid w:val="005A3B0A"/>
    <w:rsid w:val="00604A0E"/>
    <w:rsid w:val="00607F54"/>
    <w:rsid w:val="00633B05"/>
    <w:rsid w:val="00634814"/>
    <w:rsid w:val="0065409E"/>
    <w:rsid w:val="006A1757"/>
    <w:rsid w:val="006A1B26"/>
    <w:rsid w:val="006C1914"/>
    <w:rsid w:val="006D5768"/>
    <w:rsid w:val="006F56E8"/>
    <w:rsid w:val="007011B8"/>
    <w:rsid w:val="00706CFA"/>
    <w:rsid w:val="007139EC"/>
    <w:rsid w:val="0071527E"/>
    <w:rsid w:val="007555DD"/>
    <w:rsid w:val="00764DFF"/>
    <w:rsid w:val="00780555"/>
    <w:rsid w:val="007B6119"/>
    <w:rsid w:val="007D2D3E"/>
    <w:rsid w:val="007E7084"/>
    <w:rsid w:val="007F2DA8"/>
    <w:rsid w:val="0083058B"/>
    <w:rsid w:val="00835F83"/>
    <w:rsid w:val="0086604B"/>
    <w:rsid w:val="008677AF"/>
    <w:rsid w:val="0087202E"/>
    <w:rsid w:val="00887A56"/>
    <w:rsid w:val="008A5655"/>
    <w:rsid w:val="008B495E"/>
    <w:rsid w:val="008B7938"/>
    <w:rsid w:val="008F0157"/>
    <w:rsid w:val="009138C8"/>
    <w:rsid w:val="00932C42"/>
    <w:rsid w:val="009338A5"/>
    <w:rsid w:val="009433FD"/>
    <w:rsid w:val="00950548"/>
    <w:rsid w:val="0096785D"/>
    <w:rsid w:val="009866FE"/>
    <w:rsid w:val="00996DD0"/>
    <w:rsid w:val="009A67B7"/>
    <w:rsid w:val="009E337C"/>
    <w:rsid w:val="00A24D34"/>
    <w:rsid w:val="00A811A7"/>
    <w:rsid w:val="00A8231A"/>
    <w:rsid w:val="00A8256E"/>
    <w:rsid w:val="00AA369A"/>
    <w:rsid w:val="00AA7E28"/>
    <w:rsid w:val="00AB0727"/>
    <w:rsid w:val="00AF3065"/>
    <w:rsid w:val="00B41095"/>
    <w:rsid w:val="00B55F46"/>
    <w:rsid w:val="00B60808"/>
    <w:rsid w:val="00BA1056"/>
    <w:rsid w:val="00BE5405"/>
    <w:rsid w:val="00BF7155"/>
    <w:rsid w:val="00C104EC"/>
    <w:rsid w:val="00C201CB"/>
    <w:rsid w:val="00C67367"/>
    <w:rsid w:val="00CC1404"/>
    <w:rsid w:val="00CD2594"/>
    <w:rsid w:val="00CF6B0B"/>
    <w:rsid w:val="00D06385"/>
    <w:rsid w:val="00D1073C"/>
    <w:rsid w:val="00D17514"/>
    <w:rsid w:val="00D26301"/>
    <w:rsid w:val="00D71172"/>
    <w:rsid w:val="00D82AE1"/>
    <w:rsid w:val="00D861A1"/>
    <w:rsid w:val="00DD0D3D"/>
    <w:rsid w:val="00DD69A8"/>
    <w:rsid w:val="00DE55E6"/>
    <w:rsid w:val="00E134DD"/>
    <w:rsid w:val="00E1350B"/>
    <w:rsid w:val="00E3339D"/>
    <w:rsid w:val="00E85B8C"/>
    <w:rsid w:val="00EA3E84"/>
    <w:rsid w:val="00F07145"/>
    <w:rsid w:val="00F158DC"/>
    <w:rsid w:val="00F209FE"/>
    <w:rsid w:val="00F747E8"/>
    <w:rsid w:val="00F74F8C"/>
    <w:rsid w:val="00F75036"/>
    <w:rsid w:val="00FB16E6"/>
    <w:rsid w:val="00FC7CC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155"/>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qFormat/>
    <w:rsid w:val="008F0157"/>
    <w:pPr>
      <w:keepNext/>
      <w:spacing w:before="240" w:after="60"/>
      <w:jc w:val="both"/>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157"/>
    <w:rPr>
      <w:rFonts w:eastAsia="Times New Roman" w:cs="Arial"/>
      <w:b/>
      <w:bCs/>
      <w:kern w:val="32"/>
      <w:sz w:val="32"/>
      <w:szCs w:val="32"/>
    </w:rPr>
  </w:style>
  <w:style w:type="paragraph" w:customStyle="1" w:styleId="MoHHeading1">
    <w:name w:val="MoH Heading1"/>
    <w:basedOn w:val="Normal"/>
    <w:rsid w:val="008F0157"/>
    <w:rPr>
      <w:rFonts w:ascii="Arial Mäori" w:hAnsi="Arial Mäori"/>
      <w:b/>
      <w:caps/>
    </w:rPr>
  </w:style>
  <w:style w:type="paragraph" w:customStyle="1" w:styleId="MoHHeading3">
    <w:name w:val="MoH Heading3"/>
    <w:basedOn w:val="Normal"/>
    <w:rsid w:val="008F0157"/>
    <w:rPr>
      <w:rFonts w:ascii="Arial Mäori" w:hAnsi="Arial Mäori"/>
      <w:b/>
      <w:i/>
    </w:rPr>
  </w:style>
  <w:style w:type="paragraph" w:styleId="Footer">
    <w:name w:val="footer"/>
    <w:basedOn w:val="Normal"/>
    <w:link w:val="FooterChar"/>
    <w:rsid w:val="008F0157"/>
    <w:pPr>
      <w:tabs>
        <w:tab w:val="center" w:pos="4153"/>
        <w:tab w:val="right" w:pos="8306"/>
      </w:tabs>
      <w:jc w:val="both"/>
    </w:pPr>
    <w:rPr>
      <w:rFonts w:ascii="Times New Roman Mäori" w:hAnsi="Times New Roman Mäori"/>
    </w:rPr>
  </w:style>
  <w:style w:type="character" w:customStyle="1" w:styleId="FooterChar">
    <w:name w:val="Footer Char"/>
    <w:basedOn w:val="DefaultParagraphFont"/>
    <w:link w:val="Footer"/>
    <w:rsid w:val="008F0157"/>
    <w:rPr>
      <w:rFonts w:ascii="Times New Roman Mäori" w:eastAsia="Times New Roman" w:hAnsi="Times New Roman Mäori" w:cs="Times New Roman"/>
      <w:szCs w:val="24"/>
    </w:rPr>
  </w:style>
  <w:style w:type="character" w:styleId="PageNumber">
    <w:name w:val="page number"/>
    <w:basedOn w:val="DefaultParagraphFont"/>
    <w:rsid w:val="008F0157"/>
  </w:style>
  <w:style w:type="paragraph" w:styleId="FootnoteText">
    <w:name w:val="footnote text"/>
    <w:basedOn w:val="Normal"/>
    <w:link w:val="FootnoteTextChar"/>
    <w:semiHidden/>
    <w:rsid w:val="008F0157"/>
    <w:pPr>
      <w:jc w:val="both"/>
    </w:pPr>
    <w:rPr>
      <w:rFonts w:ascii="Times New Roman Mäori" w:hAnsi="Times New Roman Mäori"/>
      <w:sz w:val="20"/>
      <w:szCs w:val="20"/>
    </w:rPr>
  </w:style>
  <w:style w:type="character" w:customStyle="1" w:styleId="FootnoteTextChar">
    <w:name w:val="Footnote Text Char"/>
    <w:basedOn w:val="DefaultParagraphFont"/>
    <w:link w:val="FootnoteText"/>
    <w:semiHidden/>
    <w:rsid w:val="008F0157"/>
    <w:rPr>
      <w:rFonts w:ascii="Times New Roman Mäori" w:eastAsia="Times New Roman" w:hAnsi="Times New Roman Mäori" w:cs="Times New Roman"/>
      <w:sz w:val="20"/>
      <w:szCs w:val="20"/>
    </w:rPr>
  </w:style>
  <w:style w:type="paragraph" w:styleId="BodyText">
    <w:name w:val="Body Text"/>
    <w:basedOn w:val="Normal"/>
    <w:link w:val="BodyTextChar"/>
    <w:rsid w:val="008F0157"/>
    <w:pPr>
      <w:spacing w:after="120"/>
    </w:pPr>
    <w:rPr>
      <w:rFonts w:ascii="Arial" w:hAnsi="Arial"/>
      <w:sz w:val="23"/>
    </w:rPr>
  </w:style>
  <w:style w:type="character" w:customStyle="1" w:styleId="BodyTextChar">
    <w:name w:val="Body Text Char"/>
    <w:basedOn w:val="DefaultParagraphFont"/>
    <w:link w:val="BodyText"/>
    <w:rsid w:val="008F0157"/>
    <w:rPr>
      <w:rFonts w:eastAsia="Times New Roman" w:cs="Times New Roman"/>
      <w:sz w:val="23"/>
      <w:szCs w:val="24"/>
    </w:rPr>
  </w:style>
  <w:style w:type="paragraph" w:customStyle="1" w:styleId="a">
    <w:name w:val="_"/>
    <w:basedOn w:val="Normal"/>
    <w:rsid w:val="008F0157"/>
    <w:pPr>
      <w:widowControl w:val="0"/>
      <w:ind w:left="720" w:hanging="720"/>
    </w:pPr>
    <w:rPr>
      <w:snapToGrid w:val="0"/>
      <w:lang w:val="en-US"/>
    </w:rPr>
  </w:style>
  <w:style w:type="paragraph" w:styleId="BodyTextIndent">
    <w:name w:val="Body Text Indent"/>
    <w:basedOn w:val="Normal"/>
    <w:link w:val="BodyTextIndentChar"/>
    <w:rsid w:val="008F0157"/>
    <w:pPr>
      <w:spacing w:line="360" w:lineRule="auto"/>
      <w:ind w:left="720" w:hanging="720"/>
      <w:jc w:val="both"/>
    </w:pPr>
    <w:rPr>
      <w:rFonts w:ascii="Arial Mäori" w:hAnsi="Arial Mäori"/>
    </w:rPr>
  </w:style>
  <w:style w:type="character" w:customStyle="1" w:styleId="BodyTextIndentChar">
    <w:name w:val="Body Text Indent Char"/>
    <w:basedOn w:val="DefaultParagraphFont"/>
    <w:link w:val="BodyTextIndent"/>
    <w:rsid w:val="008F0157"/>
    <w:rPr>
      <w:rFonts w:ascii="Arial Mäori" w:eastAsia="Times New Roman" w:hAnsi="Arial Mäori" w:cs="Times New Roman"/>
      <w:szCs w:val="24"/>
    </w:rPr>
  </w:style>
  <w:style w:type="paragraph" w:customStyle="1" w:styleId="SSHeading1">
    <w:name w:val="SSHeading1"/>
    <w:basedOn w:val="Normal"/>
    <w:next w:val="BodyText"/>
    <w:autoRedefine/>
    <w:rsid w:val="008F0157"/>
    <w:pPr>
      <w:tabs>
        <w:tab w:val="left" w:pos="912"/>
      </w:tabs>
      <w:spacing w:before="120"/>
      <w:ind w:left="912" w:right="5" w:hanging="912"/>
    </w:pPr>
    <w:rPr>
      <w:rFonts w:ascii="Arial" w:hAnsi="Arial" w:cs="Arial"/>
    </w:rPr>
  </w:style>
  <w:style w:type="paragraph" w:customStyle="1" w:styleId="BulletText1">
    <w:name w:val="Bullet Text 1"/>
    <w:basedOn w:val="Normal"/>
    <w:rsid w:val="008F0157"/>
    <w:pPr>
      <w:numPr>
        <w:numId w:val="2"/>
      </w:numPr>
    </w:pPr>
    <w:rPr>
      <w:szCs w:val="20"/>
    </w:rPr>
  </w:style>
  <w:style w:type="paragraph" w:customStyle="1" w:styleId="CharCharCharChar">
    <w:name w:val="Char Char Char Char"/>
    <w:basedOn w:val="Normal"/>
    <w:rsid w:val="008F0157"/>
    <w:pPr>
      <w:spacing w:after="160" w:line="240" w:lineRule="exact"/>
    </w:pPr>
    <w:rPr>
      <w:rFonts w:ascii="Arial" w:hAnsi="Arial"/>
      <w:sz w:val="20"/>
      <w:szCs w:val="20"/>
      <w:lang w:val="en-US"/>
    </w:rPr>
  </w:style>
  <w:style w:type="character" w:styleId="FootnoteReference">
    <w:name w:val="footnote reference"/>
    <w:semiHidden/>
    <w:rsid w:val="008F0157"/>
    <w:rPr>
      <w:vertAlign w:val="superscript"/>
    </w:rPr>
  </w:style>
  <w:style w:type="table" w:styleId="TableGrid">
    <w:name w:val="Table Grid"/>
    <w:basedOn w:val="TableNormal"/>
    <w:rsid w:val="008F0157"/>
    <w:pPr>
      <w:spacing w:after="0" w:line="240"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rsid w:val="008F0157"/>
    <w:pPr>
      <w:spacing w:before="60" w:after="60"/>
    </w:pPr>
    <w:rPr>
      <w:rFonts w:ascii="Arial Narrow" w:eastAsia="Arial Narrow" w:hAnsi="Arial Narrow" w:cs="Arial Narrow"/>
      <w:sz w:val="18"/>
      <w:szCs w:val="20"/>
      <w:lang w:eastAsia="en-NZ"/>
    </w:rPr>
  </w:style>
  <w:style w:type="paragraph" w:styleId="BodyText3">
    <w:name w:val="Body Text 3"/>
    <w:basedOn w:val="Normal"/>
    <w:link w:val="BodyText3Char"/>
    <w:rsid w:val="008F0157"/>
    <w:pPr>
      <w:spacing w:after="120"/>
    </w:pPr>
    <w:rPr>
      <w:sz w:val="16"/>
      <w:szCs w:val="16"/>
    </w:rPr>
  </w:style>
  <w:style w:type="character" w:customStyle="1" w:styleId="BodyText3Char">
    <w:name w:val="Body Text 3 Char"/>
    <w:basedOn w:val="DefaultParagraphFont"/>
    <w:link w:val="BodyText3"/>
    <w:rsid w:val="008F0157"/>
    <w:rPr>
      <w:rFonts w:ascii="Times New Roman" w:eastAsia="Times New Roman" w:hAnsi="Times New Roman" w:cs="Times New Roman"/>
      <w:sz w:val="16"/>
      <w:szCs w:val="16"/>
    </w:rPr>
  </w:style>
  <w:style w:type="character" w:styleId="Hyperlink">
    <w:name w:val="Hyperlink"/>
    <w:rsid w:val="008F0157"/>
    <w:rPr>
      <w:color w:val="0000FF"/>
      <w:u w:val="single"/>
    </w:rPr>
  </w:style>
  <w:style w:type="paragraph" w:styleId="Header">
    <w:name w:val="header"/>
    <w:basedOn w:val="Normal"/>
    <w:link w:val="HeaderChar"/>
    <w:rsid w:val="008F0157"/>
    <w:pPr>
      <w:tabs>
        <w:tab w:val="center" w:pos="4153"/>
        <w:tab w:val="right" w:pos="8306"/>
      </w:tabs>
    </w:pPr>
  </w:style>
  <w:style w:type="character" w:customStyle="1" w:styleId="HeaderChar">
    <w:name w:val="Header Char"/>
    <w:basedOn w:val="DefaultParagraphFont"/>
    <w:link w:val="Header"/>
    <w:rsid w:val="008F0157"/>
    <w:rPr>
      <w:rFonts w:ascii="Times New Roman" w:eastAsia="Times New Roman" w:hAnsi="Times New Roman" w:cs="Times New Roman"/>
      <w:szCs w:val="24"/>
    </w:rPr>
  </w:style>
  <w:style w:type="paragraph" w:customStyle="1" w:styleId="smalltext">
    <w:name w:val="small text"/>
    <w:basedOn w:val="Normal"/>
    <w:rsid w:val="008F0157"/>
    <w:pPr>
      <w:overflowPunct w:val="0"/>
      <w:autoSpaceDE w:val="0"/>
      <w:autoSpaceDN w:val="0"/>
      <w:adjustRightInd w:val="0"/>
      <w:spacing w:after="60"/>
      <w:textAlignment w:val="baseline"/>
    </w:pPr>
    <w:rPr>
      <w:rFonts w:ascii="Arial" w:hAnsi="Arial"/>
      <w:sz w:val="16"/>
      <w:szCs w:val="20"/>
      <w:lang w:val="en-GB"/>
    </w:rPr>
  </w:style>
  <w:style w:type="paragraph" w:styleId="ListNumber">
    <w:name w:val="List Number"/>
    <w:basedOn w:val="Normal"/>
    <w:rsid w:val="008F0157"/>
    <w:pPr>
      <w:overflowPunct w:val="0"/>
      <w:autoSpaceDE w:val="0"/>
      <w:autoSpaceDN w:val="0"/>
      <w:adjustRightInd w:val="0"/>
      <w:spacing w:after="60"/>
      <w:textAlignment w:val="baseline"/>
    </w:pPr>
    <w:rPr>
      <w:szCs w:val="20"/>
      <w:lang w:val="en-GB"/>
    </w:rPr>
  </w:style>
  <w:style w:type="paragraph" w:styleId="BalloonText">
    <w:name w:val="Balloon Text"/>
    <w:basedOn w:val="Normal"/>
    <w:link w:val="BalloonTextChar"/>
    <w:semiHidden/>
    <w:rsid w:val="008F0157"/>
    <w:rPr>
      <w:rFonts w:ascii="Tahoma" w:hAnsi="Tahoma" w:cs="Tahoma"/>
      <w:sz w:val="16"/>
      <w:szCs w:val="16"/>
    </w:rPr>
  </w:style>
  <w:style w:type="character" w:customStyle="1" w:styleId="BalloonTextChar">
    <w:name w:val="Balloon Text Char"/>
    <w:basedOn w:val="DefaultParagraphFont"/>
    <w:link w:val="BalloonText"/>
    <w:semiHidden/>
    <w:rsid w:val="008F0157"/>
    <w:rPr>
      <w:rFonts w:ascii="Tahoma" w:eastAsia="Times New Roman" w:hAnsi="Tahoma" w:cs="Tahoma"/>
      <w:sz w:val="16"/>
      <w:szCs w:val="16"/>
    </w:rPr>
  </w:style>
  <w:style w:type="paragraph" w:styleId="BodyTextIndent3">
    <w:name w:val="Body Text Indent 3"/>
    <w:basedOn w:val="Normal"/>
    <w:link w:val="BodyTextIndent3Char"/>
    <w:rsid w:val="008F0157"/>
    <w:pPr>
      <w:spacing w:after="120"/>
      <w:ind w:left="283"/>
    </w:pPr>
    <w:rPr>
      <w:sz w:val="16"/>
      <w:szCs w:val="16"/>
    </w:rPr>
  </w:style>
  <w:style w:type="character" w:customStyle="1" w:styleId="BodyTextIndent3Char">
    <w:name w:val="Body Text Indent 3 Char"/>
    <w:basedOn w:val="DefaultParagraphFont"/>
    <w:link w:val="BodyTextIndent3"/>
    <w:rsid w:val="008F0157"/>
    <w:rPr>
      <w:rFonts w:ascii="Times New Roman" w:eastAsia="Times New Roman" w:hAnsi="Times New Roman" w:cs="Times New Roman"/>
      <w:sz w:val="16"/>
      <w:szCs w:val="16"/>
    </w:rPr>
  </w:style>
  <w:style w:type="paragraph" w:styleId="ListParagraph">
    <w:name w:val="List Paragraph"/>
    <w:basedOn w:val="Normal"/>
    <w:uiPriority w:val="34"/>
    <w:qFormat/>
    <w:rsid w:val="008F0157"/>
    <w:pPr>
      <w:spacing w:after="120"/>
      <w:ind w:left="720"/>
      <w:contextualSpacing/>
    </w:pPr>
    <w:rPr>
      <w:rFonts w:ascii="Arial" w:eastAsia="Calibri" w:hAnsi="Arial"/>
      <w:szCs w:val="22"/>
    </w:rPr>
  </w:style>
  <w:style w:type="character" w:styleId="CommentReference">
    <w:name w:val="annotation reference"/>
    <w:basedOn w:val="DefaultParagraphFont"/>
    <w:uiPriority w:val="99"/>
    <w:semiHidden/>
    <w:unhideWhenUsed/>
    <w:rsid w:val="009E337C"/>
    <w:rPr>
      <w:sz w:val="16"/>
      <w:szCs w:val="16"/>
    </w:rPr>
  </w:style>
  <w:style w:type="paragraph" w:styleId="CommentText">
    <w:name w:val="annotation text"/>
    <w:basedOn w:val="Normal"/>
    <w:link w:val="CommentTextChar"/>
    <w:uiPriority w:val="99"/>
    <w:semiHidden/>
    <w:unhideWhenUsed/>
    <w:rsid w:val="009E337C"/>
    <w:rPr>
      <w:sz w:val="20"/>
      <w:szCs w:val="20"/>
    </w:rPr>
  </w:style>
  <w:style w:type="character" w:customStyle="1" w:styleId="CommentTextChar">
    <w:name w:val="Comment Text Char"/>
    <w:basedOn w:val="DefaultParagraphFont"/>
    <w:link w:val="CommentText"/>
    <w:uiPriority w:val="99"/>
    <w:semiHidden/>
    <w:rsid w:val="009E33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337C"/>
    <w:rPr>
      <w:b/>
      <w:bCs/>
    </w:rPr>
  </w:style>
  <w:style w:type="character" w:customStyle="1" w:styleId="CommentSubjectChar">
    <w:name w:val="Comment Subject Char"/>
    <w:basedOn w:val="CommentTextChar"/>
    <w:link w:val="CommentSubject"/>
    <w:uiPriority w:val="99"/>
    <w:semiHidden/>
    <w:rsid w:val="009E337C"/>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155"/>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qFormat/>
    <w:rsid w:val="008F0157"/>
    <w:pPr>
      <w:keepNext/>
      <w:spacing w:before="240" w:after="60"/>
      <w:jc w:val="both"/>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157"/>
    <w:rPr>
      <w:rFonts w:eastAsia="Times New Roman" w:cs="Arial"/>
      <w:b/>
      <w:bCs/>
      <w:kern w:val="32"/>
      <w:sz w:val="32"/>
      <w:szCs w:val="32"/>
    </w:rPr>
  </w:style>
  <w:style w:type="paragraph" w:customStyle="1" w:styleId="MoHHeading1">
    <w:name w:val="MoH Heading1"/>
    <w:basedOn w:val="Normal"/>
    <w:rsid w:val="008F0157"/>
    <w:rPr>
      <w:rFonts w:ascii="Arial Mäori" w:hAnsi="Arial Mäori"/>
      <w:b/>
      <w:caps/>
    </w:rPr>
  </w:style>
  <w:style w:type="paragraph" w:customStyle="1" w:styleId="MoHHeading3">
    <w:name w:val="MoH Heading3"/>
    <w:basedOn w:val="Normal"/>
    <w:rsid w:val="008F0157"/>
    <w:rPr>
      <w:rFonts w:ascii="Arial Mäori" w:hAnsi="Arial Mäori"/>
      <w:b/>
      <w:i/>
    </w:rPr>
  </w:style>
  <w:style w:type="paragraph" w:styleId="Footer">
    <w:name w:val="footer"/>
    <w:basedOn w:val="Normal"/>
    <w:link w:val="FooterChar"/>
    <w:rsid w:val="008F0157"/>
    <w:pPr>
      <w:tabs>
        <w:tab w:val="center" w:pos="4153"/>
        <w:tab w:val="right" w:pos="8306"/>
      </w:tabs>
      <w:jc w:val="both"/>
    </w:pPr>
    <w:rPr>
      <w:rFonts w:ascii="Times New Roman Mäori" w:hAnsi="Times New Roman Mäori"/>
    </w:rPr>
  </w:style>
  <w:style w:type="character" w:customStyle="1" w:styleId="FooterChar">
    <w:name w:val="Footer Char"/>
    <w:basedOn w:val="DefaultParagraphFont"/>
    <w:link w:val="Footer"/>
    <w:rsid w:val="008F0157"/>
    <w:rPr>
      <w:rFonts w:ascii="Times New Roman Mäori" w:eastAsia="Times New Roman" w:hAnsi="Times New Roman Mäori" w:cs="Times New Roman"/>
      <w:szCs w:val="24"/>
    </w:rPr>
  </w:style>
  <w:style w:type="character" w:styleId="PageNumber">
    <w:name w:val="page number"/>
    <w:basedOn w:val="DefaultParagraphFont"/>
    <w:rsid w:val="008F0157"/>
  </w:style>
  <w:style w:type="paragraph" w:styleId="FootnoteText">
    <w:name w:val="footnote text"/>
    <w:basedOn w:val="Normal"/>
    <w:link w:val="FootnoteTextChar"/>
    <w:semiHidden/>
    <w:rsid w:val="008F0157"/>
    <w:pPr>
      <w:jc w:val="both"/>
    </w:pPr>
    <w:rPr>
      <w:rFonts w:ascii="Times New Roman Mäori" w:hAnsi="Times New Roman Mäori"/>
      <w:sz w:val="20"/>
      <w:szCs w:val="20"/>
    </w:rPr>
  </w:style>
  <w:style w:type="character" w:customStyle="1" w:styleId="FootnoteTextChar">
    <w:name w:val="Footnote Text Char"/>
    <w:basedOn w:val="DefaultParagraphFont"/>
    <w:link w:val="FootnoteText"/>
    <w:semiHidden/>
    <w:rsid w:val="008F0157"/>
    <w:rPr>
      <w:rFonts w:ascii="Times New Roman Mäori" w:eastAsia="Times New Roman" w:hAnsi="Times New Roman Mäori" w:cs="Times New Roman"/>
      <w:sz w:val="20"/>
      <w:szCs w:val="20"/>
    </w:rPr>
  </w:style>
  <w:style w:type="paragraph" w:styleId="BodyText">
    <w:name w:val="Body Text"/>
    <w:basedOn w:val="Normal"/>
    <w:link w:val="BodyTextChar"/>
    <w:rsid w:val="008F0157"/>
    <w:pPr>
      <w:spacing w:after="120"/>
    </w:pPr>
    <w:rPr>
      <w:rFonts w:ascii="Arial" w:hAnsi="Arial"/>
      <w:sz w:val="23"/>
    </w:rPr>
  </w:style>
  <w:style w:type="character" w:customStyle="1" w:styleId="BodyTextChar">
    <w:name w:val="Body Text Char"/>
    <w:basedOn w:val="DefaultParagraphFont"/>
    <w:link w:val="BodyText"/>
    <w:rsid w:val="008F0157"/>
    <w:rPr>
      <w:rFonts w:eastAsia="Times New Roman" w:cs="Times New Roman"/>
      <w:sz w:val="23"/>
      <w:szCs w:val="24"/>
    </w:rPr>
  </w:style>
  <w:style w:type="paragraph" w:customStyle="1" w:styleId="a">
    <w:name w:val="_"/>
    <w:basedOn w:val="Normal"/>
    <w:rsid w:val="008F0157"/>
    <w:pPr>
      <w:widowControl w:val="0"/>
      <w:ind w:left="720" w:hanging="720"/>
    </w:pPr>
    <w:rPr>
      <w:snapToGrid w:val="0"/>
      <w:lang w:val="en-US"/>
    </w:rPr>
  </w:style>
  <w:style w:type="paragraph" w:styleId="BodyTextIndent">
    <w:name w:val="Body Text Indent"/>
    <w:basedOn w:val="Normal"/>
    <w:link w:val="BodyTextIndentChar"/>
    <w:rsid w:val="008F0157"/>
    <w:pPr>
      <w:spacing w:line="360" w:lineRule="auto"/>
      <w:ind w:left="720" w:hanging="720"/>
      <w:jc w:val="both"/>
    </w:pPr>
    <w:rPr>
      <w:rFonts w:ascii="Arial Mäori" w:hAnsi="Arial Mäori"/>
    </w:rPr>
  </w:style>
  <w:style w:type="character" w:customStyle="1" w:styleId="BodyTextIndentChar">
    <w:name w:val="Body Text Indent Char"/>
    <w:basedOn w:val="DefaultParagraphFont"/>
    <w:link w:val="BodyTextIndent"/>
    <w:rsid w:val="008F0157"/>
    <w:rPr>
      <w:rFonts w:ascii="Arial Mäori" w:eastAsia="Times New Roman" w:hAnsi="Arial Mäori" w:cs="Times New Roman"/>
      <w:szCs w:val="24"/>
    </w:rPr>
  </w:style>
  <w:style w:type="paragraph" w:customStyle="1" w:styleId="SSHeading1">
    <w:name w:val="SSHeading1"/>
    <w:basedOn w:val="Normal"/>
    <w:next w:val="BodyText"/>
    <w:autoRedefine/>
    <w:rsid w:val="008F0157"/>
    <w:pPr>
      <w:tabs>
        <w:tab w:val="left" w:pos="912"/>
      </w:tabs>
      <w:spacing w:before="120"/>
      <w:ind w:left="912" w:right="5" w:hanging="912"/>
    </w:pPr>
    <w:rPr>
      <w:rFonts w:ascii="Arial" w:hAnsi="Arial" w:cs="Arial"/>
    </w:rPr>
  </w:style>
  <w:style w:type="paragraph" w:customStyle="1" w:styleId="BulletText1">
    <w:name w:val="Bullet Text 1"/>
    <w:basedOn w:val="Normal"/>
    <w:rsid w:val="008F0157"/>
    <w:pPr>
      <w:numPr>
        <w:numId w:val="2"/>
      </w:numPr>
    </w:pPr>
    <w:rPr>
      <w:szCs w:val="20"/>
    </w:rPr>
  </w:style>
  <w:style w:type="paragraph" w:customStyle="1" w:styleId="CharCharCharChar">
    <w:name w:val="Char Char Char Char"/>
    <w:basedOn w:val="Normal"/>
    <w:rsid w:val="008F0157"/>
    <w:pPr>
      <w:spacing w:after="160" w:line="240" w:lineRule="exact"/>
    </w:pPr>
    <w:rPr>
      <w:rFonts w:ascii="Arial" w:hAnsi="Arial"/>
      <w:sz w:val="20"/>
      <w:szCs w:val="20"/>
      <w:lang w:val="en-US"/>
    </w:rPr>
  </w:style>
  <w:style w:type="character" w:styleId="FootnoteReference">
    <w:name w:val="footnote reference"/>
    <w:semiHidden/>
    <w:rsid w:val="008F0157"/>
    <w:rPr>
      <w:vertAlign w:val="superscript"/>
    </w:rPr>
  </w:style>
  <w:style w:type="table" w:styleId="TableGrid">
    <w:name w:val="Table Grid"/>
    <w:basedOn w:val="TableNormal"/>
    <w:rsid w:val="008F0157"/>
    <w:pPr>
      <w:spacing w:after="0" w:line="240"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rsid w:val="008F0157"/>
    <w:pPr>
      <w:spacing w:before="60" w:after="60"/>
    </w:pPr>
    <w:rPr>
      <w:rFonts w:ascii="Arial Narrow" w:eastAsia="Arial Narrow" w:hAnsi="Arial Narrow" w:cs="Arial Narrow"/>
      <w:sz w:val="18"/>
      <w:szCs w:val="20"/>
      <w:lang w:eastAsia="en-NZ"/>
    </w:rPr>
  </w:style>
  <w:style w:type="paragraph" w:styleId="BodyText3">
    <w:name w:val="Body Text 3"/>
    <w:basedOn w:val="Normal"/>
    <w:link w:val="BodyText3Char"/>
    <w:rsid w:val="008F0157"/>
    <w:pPr>
      <w:spacing w:after="120"/>
    </w:pPr>
    <w:rPr>
      <w:sz w:val="16"/>
      <w:szCs w:val="16"/>
    </w:rPr>
  </w:style>
  <w:style w:type="character" w:customStyle="1" w:styleId="BodyText3Char">
    <w:name w:val="Body Text 3 Char"/>
    <w:basedOn w:val="DefaultParagraphFont"/>
    <w:link w:val="BodyText3"/>
    <w:rsid w:val="008F0157"/>
    <w:rPr>
      <w:rFonts w:ascii="Times New Roman" w:eastAsia="Times New Roman" w:hAnsi="Times New Roman" w:cs="Times New Roman"/>
      <w:sz w:val="16"/>
      <w:szCs w:val="16"/>
    </w:rPr>
  </w:style>
  <w:style w:type="character" w:styleId="Hyperlink">
    <w:name w:val="Hyperlink"/>
    <w:rsid w:val="008F0157"/>
    <w:rPr>
      <w:color w:val="0000FF"/>
      <w:u w:val="single"/>
    </w:rPr>
  </w:style>
  <w:style w:type="paragraph" w:styleId="Header">
    <w:name w:val="header"/>
    <w:basedOn w:val="Normal"/>
    <w:link w:val="HeaderChar"/>
    <w:rsid w:val="008F0157"/>
    <w:pPr>
      <w:tabs>
        <w:tab w:val="center" w:pos="4153"/>
        <w:tab w:val="right" w:pos="8306"/>
      </w:tabs>
    </w:pPr>
  </w:style>
  <w:style w:type="character" w:customStyle="1" w:styleId="HeaderChar">
    <w:name w:val="Header Char"/>
    <w:basedOn w:val="DefaultParagraphFont"/>
    <w:link w:val="Header"/>
    <w:rsid w:val="008F0157"/>
    <w:rPr>
      <w:rFonts w:ascii="Times New Roman" w:eastAsia="Times New Roman" w:hAnsi="Times New Roman" w:cs="Times New Roman"/>
      <w:szCs w:val="24"/>
    </w:rPr>
  </w:style>
  <w:style w:type="paragraph" w:customStyle="1" w:styleId="smalltext">
    <w:name w:val="small text"/>
    <w:basedOn w:val="Normal"/>
    <w:rsid w:val="008F0157"/>
    <w:pPr>
      <w:overflowPunct w:val="0"/>
      <w:autoSpaceDE w:val="0"/>
      <w:autoSpaceDN w:val="0"/>
      <w:adjustRightInd w:val="0"/>
      <w:spacing w:after="60"/>
      <w:textAlignment w:val="baseline"/>
    </w:pPr>
    <w:rPr>
      <w:rFonts w:ascii="Arial" w:hAnsi="Arial"/>
      <w:sz w:val="16"/>
      <w:szCs w:val="20"/>
      <w:lang w:val="en-GB"/>
    </w:rPr>
  </w:style>
  <w:style w:type="paragraph" w:styleId="ListNumber">
    <w:name w:val="List Number"/>
    <w:basedOn w:val="Normal"/>
    <w:rsid w:val="008F0157"/>
    <w:pPr>
      <w:overflowPunct w:val="0"/>
      <w:autoSpaceDE w:val="0"/>
      <w:autoSpaceDN w:val="0"/>
      <w:adjustRightInd w:val="0"/>
      <w:spacing w:after="60"/>
      <w:textAlignment w:val="baseline"/>
    </w:pPr>
    <w:rPr>
      <w:szCs w:val="20"/>
      <w:lang w:val="en-GB"/>
    </w:rPr>
  </w:style>
  <w:style w:type="paragraph" w:styleId="BalloonText">
    <w:name w:val="Balloon Text"/>
    <w:basedOn w:val="Normal"/>
    <w:link w:val="BalloonTextChar"/>
    <w:semiHidden/>
    <w:rsid w:val="008F0157"/>
    <w:rPr>
      <w:rFonts w:ascii="Tahoma" w:hAnsi="Tahoma" w:cs="Tahoma"/>
      <w:sz w:val="16"/>
      <w:szCs w:val="16"/>
    </w:rPr>
  </w:style>
  <w:style w:type="character" w:customStyle="1" w:styleId="BalloonTextChar">
    <w:name w:val="Balloon Text Char"/>
    <w:basedOn w:val="DefaultParagraphFont"/>
    <w:link w:val="BalloonText"/>
    <w:semiHidden/>
    <w:rsid w:val="008F0157"/>
    <w:rPr>
      <w:rFonts w:ascii="Tahoma" w:eastAsia="Times New Roman" w:hAnsi="Tahoma" w:cs="Tahoma"/>
      <w:sz w:val="16"/>
      <w:szCs w:val="16"/>
    </w:rPr>
  </w:style>
  <w:style w:type="paragraph" w:styleId="BodyTextIndent3">
    <w:name w:val="Body Text Indent 3"/>
    <w:basedOn w:val="Normal"/>
    <w:link w:val="BodyTextIndent3Char"/>
    <w:rsid w:val="008F0157"/>
    <w:pPr>
      <w:spacing w:after="120"/>
      <w:ind w:left="283"/>
    </w:pPr>
    <w:rPr>
      <w:sz w:val="16"/>
      <w:szCs w:val="16"/>
    </w:rPr>
  </w:style>
  <w:style w:type="character" w:customStyle="1" w:styleId="BodyTextIndent3Char">
    <w:name w:val="Body Text Indent 3 Char"/>
    <w:basedOn w:val="DefaultParagraphFont"/>
    <w:link w:val="BodyTextIndent3"/>
    <w:rsid w:val="008F0157"/>
    <w:rPr>
      <w:rFonts w:ascii="Times New Roman" w:eastAsia="Times New Roman" w:hAnsi="Times New Roman" w:cs="Times New Roman"/>
      <w:sz w:val="16"/>
      <w:szCs w:val="16"/>
    </w:rPr>
  </w:style>
  <w:style w:type="paragraph" w:styleId="ListParagraph">
    <w:name w:val="List Paragraph"/>
    <w:basedOn w:val="Normal"/>
    <w:uiPriority w:val="34"/>
    <w:qFormat/>
    <w:rsid w:val="008F0157"/>
    <w:pPr>
      <w:spacing w:after="120"/>
      <w:ind w:left="720"/>
      <w:contextualSpacing/>
    </w:pPr>
    <w:rPr>
      <w:rFonts w:ascii="Arial" w:eastAsia="Calibri" w:hAnsi="Arial"/>
      <w:szCs w:val="22"/>
    </w:rPr>
  </w:style>
  <w:style w:type="character" w:styleId="CommentReference">
    <w:name w:val="annotation reference"/>
    <w:basedOn w:val="DefaultParagraphFont"/>
    <w:uiPriority w:val="99"/>
    <w:semiHidden/>
    <w:unhideWhenUsed/>
    <w:rsid w:val="009E337C"/>
    <w:rPr>
      <w:sz w:val="16"/>
      <w:szCs w:val="16"/>
    </w:rPr>
  </w:style>
  <w:style w:type="paragraph" w:styleId="CommentText">
    <w:name w:val="annotation text"/>
    <w:basedOn w:val="Normal"/>
    <w:link w:val="CommentTextChar"/>
    <w:uiPriority w:val="99"/>
    <w:semiHidden/>
    <w:unhideWhenUsed/>
    <w:rsid w:val="009E337C"/>
    <w:rPr>
      <w:sz w:val="20"/>
      <w:szCs w:val="20"/>
    </w:rPr>
  </w:style>
  <w:style w:type="character" w:customStyle="1" w:styleId="CommentTextChar">
    <w:name w:val="Comment Text Char"/>
    <w:basedOn w:val="DefaultParagraphFont"/>
    <w:link w:val="CommentText"/>
    <w:uiPriority w:val="99"/>
    <w:semiHidden/>
    <w:rsid w:val="009E33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337C"/>
    <w:rPr>
      <w:b/>
      <w:bCs/>
    </w:rPr>
  </w:style>
  <w:style w:type="character" w:customStyle="1" w:styleId="CommentSubjectChar">
    <w:name w:val="Comment Subject Char"/>
    <w:basedOn w:val="CommentTextChar"/>
    <w:link w:val="CommentSubject"/>
    <w:uiPriority w:val="99"/>
    <w:semiHidden/>
    <w:rsid w:val="009E337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3357">
      <w:bodyDiv w:val="1"/>
      <w:marLeft w:val="0"/>
      <w:marRight w:val="0"/>
      <w:marTop w:val="0"/>
      <w:marBottom w:val="0"/>
      <w:divBdr>
        <w:top w:val="none" w:sz="0" w:space="0" w:color="auto"/>
        <w:left w:val="none" w:sz="0" w:space="0" w:color="auto"/>
        <w:bottom w:val="none" w:sz="0" w:space="0" w:color="auto"/>
        <w:right w:val="none" w:sz="0" w:space="0" w:color="auto"/>
      </w:divBdr>
    </w:div>
    <w:div w:id="129059076">
      <w:bodyDiv w:val="1"/>
      <w:marLeft w:val="0"/>
      <w:marRight w:val="0"/>
      <w:marTop w:val="0"/>
      <w:marBottom w:val="0"/>
      <w:divBdr>
        <w:top w:val="none" w:sz="0" w:space="0" w:color="auto"/>
        <w:left w:val="none" w:sz="0" w:space="0" w:color="auto"/>
        <w:bottom w:val="none" w:sz="0" w:space="0" w:color="auto"/>
        <w:right w:val="none" w:sz="0" w:space="0" w:color="auto"/>
      </w:divBdr>
    </w:div>
    <w:div w:id="377630687">
      <w:bodyDiv w:val="1"/>
      <w:marLeft w:val="0"/>
      <w:marRight w:val="0"/>
      <w:marTop w:val="0"/>
      <w:marBottom w:val="0"/>
      <w:divBdr>
        <w:top w:val="none" w:sz="0" w:space="0" w:color="auto"/>
        <w:left w:val="none" w:sz="0" w:space="0" w:color="auto"/>
        <w:bottom w:val="none" w:sz="0" w:space="0" w:color="auto"/>
        <w:right w:val="none" w:sz="0" w:space="0" w:color="auto"/>
      </w:divBdr>
    </w:div>
    <w:div w:id="443041001">
      <w:bodyDiv w:val="1"/>
      <w:marLeft w:val="0"/>
      <w:marRight w:val="0"/>
      <w:marTop w:val="0"/>
      <w:marBottom w:val="0"/>
      <w:divBdr>
        <w:top w:val="none" w:sz="0" w:space="0" w:color="auto"/>
        <w:left w:val="none" w:sz="0" w:space="0" w:color="auto"/>
        <w:bottom w:val="none" w:sz="0" w:space="0" w:color="auto"/>
        <w:right w:val="none" w:sz="0" w:space="0" w:color="auto"/>
      </w:divBdr>
    </w:div>
    <w:div w:id="1165978655">
      <w:bodyDiv w:val="1"/>
      <w:marLeft w:val="0"/>
      <w:marRight w:val="0"/>
      <w:marTop w:val="0"/>
      <w:marBottom w:val="0"/>
      <w:divBdr>
        <w:top w:val="none" w:sz="0" w:space="0" w:color="auto"/>
        <w:left w:val="none" w:sz="0" w:space="0" w:color="auto"/>
        <w:bottom w:val="none" w:sz="0" w:space="0" w:color="auto"/>
        <w:right w:val="none" w:sz="0" w:space="0" w:color="auto"/>
      </w:divBdr>
    </w:div>
    <w:div w:id="1185169872">
      <w:bodyDiv w:val="1"/>
      <w:marLeft w:val="0"/>
      <w:marRight w:val="0"/>
      <w:marTop w:val="0"/>
      <w:marBottom w:val="0"/>
      <w:divBdr>
        <w:top w:val="none" w:sz="0" w:space="0" w:color="auto"/>
        <w:left w:val="none" w:sz="0" w:space="0" w:color="auto"/>
        <w:bottom w:val="none" w:sz="0" w:space="0" w:color="auto"/>
        <w:right w:val="none" w:sz="0" w:space="0" w:color="auto"/>
      </w:divBdr>
    </w:div>
    <w:div w:id="1268076087">
      <w:bodyDiv w:val="1"/>
      <w:marLeft w:val="0"/>
      <w:marRight w:val="0"/>
      <w:marTop w:val="0"/>
      <w:marBottom w:val="0"/>
      <w:divBdr>
        <w:top w:val="none" w:sz="0" w:space="0" w:color="auto"/>
        <w:left w:val="none" w:sz="0" w:space="0" w:color="auto"/>
        <w:bottom w:val="none" w:sz="0" w:space="0" w:color="auto"/>
        <w:right w:val="none" w:sz="0" w:space="0" w:color="auto"/>
      </w:divBdr>
    </w:div>
    <w:div w:id="1318074048">
      <w:bodyDiv w:val="1"/>
      <w:marLeft w:val="0"/>
      <w:marRight w:val="0"/>
      <w:marTop w:val="0"/>
      <w:marBottom w:val="0"/>
      <w:divBdr>
        <w:top w:val="none" w:sz="0" w:space="0" w:color="auto"/>
        <w:left w:val="none" w:sz="0" w:space="0" w:color="auto"/>
        <w:bottom w:val="none" w:sz="0" w:space="0" w:color="auto"/>
        <w:right w:val="none" w:sz="0" w:space="0" w:color="auto"/>
      </w:divBdr>
    </w:div>
    <w:div w:id="1364011932">
      <w:bodyDiv w:val="1"/>
      <w:marLeft w:val="0"/>
      <w:marRight w:val="0"/>
      <w:marTop w:val="0"/>
      <w:marBottom w:val="0"/>
      <w:divBdr>
        <w:top w:val="none" w:sz="0" w:space="0" w:color="auto"/>
        <w:left w:val="none" w:sz="0" w:space="0" w:color="auto"/>
        <w:bottom w:val="none" w:sz="0" w:space="0" w:color="auto"/>
        <w:right w:val="none" w:sz="0" w:space="0" w:color="auto"/>
      </w:divBdr>
    </w:div>
    <w:div w:id="1389188837">
      <w:bodyDiv w:val="1"/>
      <w:marLeft w:val="0"/>
      <w:marRight w:val="0"/>
      <w:marTop w:val="0"/>
      <w:marBottom w:val="0"/>
      <w:divBdr>
        <w:top w:val="none" w:sz="0" w:space="0" w:color="auto"/>
        <w:left w:val="none" w:sz="0" w:space="0" w:color="auto"/>
        <w:bottom w:val="none" w:sz="0" w:space="0" w:color="auto"/>
        <w:right w:val="none" w:sz="0" w:space="0" w:color="auto"/>
      </w:divBdr>
    </w:div>
    <w:div w:id="1496653658">
      <w:bodyDiv w:val="1"/>
      <w:marLeft w:val="0"/>
      <w:marRight w:val="0"/>
      <w:marTop w:val="0"/>
      <w:marBottom w:val="0"/>
      <w:divBdr>
        <w:top w:val="none" w:sz="0" w:space="0" w:color="auto"/>
        <w:left w:val="none" w:sz="0" w:space="0" w:color="auto"/>
        <w:bottom w:val="none" w:sz="0" w:space="0" w:color="auto"/>
        <w:right w:val="none" w:sz="0" w:space="0" w:color="auto"/>
      </w:divBdr>
    </w:div>
    <w:div w:id="212507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sfl.health.govt.nz/apps/nsfl.nsf/pagesmh/463"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4690A-BFEA-4F9E-80C0-BF262B5BD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17</Pages>
  <Words>6190</Words>
  <Characters>35289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dc:creator>
  <cp:lastModifiedBy>Ministry of Health</cp:lastModifiedBy>
  <cp:revision>5</cp:revision>
  <cp:lastPrinted>2013-11-25T02:57:00Z</cp:lastPrinted>
  <dcterms:created xsi:type="dcterms:W3CDTF">2014-02-17T21:08:00Z</dcterms:created>
  <dcterms:modified xsi:type="dcterms:W3CDTF">2014-02-17T22:11:00Z</dcterms:modified>
</cp:coreProperties>
</file>