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850"/>
        <w:gridCol w:w="3086"/>
        <w:gridCol w:w="3252"/>
      </w:tblGrid>
      <w:tr w:rsidR="00290937" w:rsidRPr="00C73B3D" w:rsidTr="00D87853">
        <w:trPr>
          <w:cantSplit/>
        </w:trPr>
        <w:tc>
          <w:tcPr>
            <w:tcW w:w="3850" w:type="dxa"/>
            <w:vAlign w:val="center"/>
          </w:tcPr>
          <w:p w:rsidR="00290937" w:rsidRPr="00C73B3D" w:rsidRDefault="009930E7" w:rsidP="00290937">
            <w:pPr>
              <w:rPr>
                <w:rFonts w:ascii="Arial" w:hAnsi="Arial" w:cs="Arial"/>
                <w:bCs/>
                <w:sz w:val="34"/>
                <w:szCs w:val="34"/>
              </w:rPr>
            </w:pPr>
            <w:r w:rsidRPr="00C73B3D">
              <w:rPr>
                <w:rFonts w:ascii="Arial" w:hAnsi="Arial"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115F694C" wp14:editId="14574022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gridSpan w:val="2"/>
            <w:vAlign w:val="center"/>
          </w:tcPr>
          <w:p w:rsidR="00290937" w:rsidRPr="006A6CAF" w:rsidRDefault="00414984" w:rsidP="00290937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6A6CAF">
              <w:rPr>
                <w:rFonts w:ascii="Arial" w:hAnsi="Arial" w:cs="Arial"/>
                <w:b/>
                <w:sz w:val="36"/>
                <w:szCs w:val="36"/>
              </w:rPr>
              <w:t>All District Health Boards</w:t>
            </w:r>
          </w:p>
          <w:p w:rsidR="00290937" w:rsidRPr="00C73B3D" w:rsidRDefault="00290937" w:rsidP="00290937">
            <w:pPr>
              <w:jc w:val="right"/>
              <w:rPr>
                <w:rFonts w:ascii="Arial" w:hAnsi="Arial" w:cs="Arial"/>
                <w:bCs/>
                <w:sz w:val="34"/>
                <w:szCs w:val="34"/>
              </w:rPr>
            </w:pPr>
          </w:p>
        </w:tc>
      </w:tr>
      <w:tr w:rsidR="00290937" w:rsidRPr="00C73B3D" w:rsidTr="00D87853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692009" w:rsidRPr="00C73B3D" w:rsidRDefault="00692009" w:rsidP="006A6CAF">
            <w:pPr>
              <w:spacing w:before="168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INFANT, CHILD, ADOLESCENT </w:t>
            </w:r>
            <w:smartTag w:uri="urn:schemas-microsoft-com:office:smarttags" w:element="stockticker">
              <w:r w:rsidRPr="00C73B3D">
                <w:rPr>
                  <w:rFonts w:ascii="Arial" w:hAnsi="Arial" w:cs="Arial"/>
                  <w:b/>
                  <w:sz w:val="36"/>
                  <w:szCs w:val="36"/>
                </w:rPr>
                <w:t>AND</w:t>
              </w:r>
            </w:smartTag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 YOUTH SERVICES- </w:t>
            </w:r>
          </w:p>
          <w:p w:rsidR="00290937" w:rsidRPr="00C73B3D" w:rsidRDefault="00290937" w:rsidP="001F34A5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NEEDS ASSESSMENT </w:t>
            </w:r>
            <w:smartTag w:uri="urn:schemas-microsoft-com:office:smarttags" w:element="stockticker">
              <w:r w:rsidR="001F34A5" w:rsidRPr="00C73B3D">
                <w:rPr>
                  <w:rFonts w:ascii="Arial" w:hAnsi="Arial" w:cs="Arial"/>
                  <w:b/>
                  <w:sz w:val="36"/>
                  <w:szCs w:val="36"/>
                </w:rPr>
                <w:t>AND</w:t>
              </w:r>
            </w:smartTag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 SERVICE COORDINATION</w:t>
            </w:r>
          </w:p>
          <w:p w:rsidR="00414984" w:rsidRPr="00C73B3D" w:rsidRDefault="00414984" w:rsidP="001F34A5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MENTAL HEALTH </w:t>
            </w:r>
            <w:smartTag w:uri="urn:schemas-microsoft-com:office:smarttags" w:element="stockticker">
              <w:r w:rsidRPr="00C73B3D">
                <w:rPr>
                  <w:rFonts w:ascii="Arial" w:hAnsi="Arial" w:cs="Arial"/>
                  <w:b/>
                  <w:sz w:val="36"/>
                  <w:szCs w:val="36"/>
                </w:rPr>
                <w:t>AND</w:t>
              </w:r>
            </w:smartTag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 ADDICTION SERVICES</w:t>
            </w:r>
          </w:p>
          <w:p w:rsidR="00290937" w:rsidRPr="00C73B3D" w:rsidRDefault="00290937" w:rsidP="001F34A5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smartTag w:uri="urn:schemas-microsoft-com:office:smarttags" w:element="stockticker">
              <w:r w:rsidRPr="00C73B3D">
                <w:rPr>
                  <w:rFonts w:ascii="Arial" w:hAnsi="Arial" w:cs="Arial"/>
                  <w:b/>
                  <w:sz w:val="36"/>
                  <w:szCs w:val="36"/>
                </w:rPr>
                <w:t>TIER</w:t>
              </w:r>
            </w:smartTag>
            <w:r w:rsidRPr="00C73B3D">
              <w:rPr>
                <w:rFonts w:ascii="Arial" w:hAnsi="Arial" w:cs="Arial"/>
                <w:b/>
                <w:sz w:val="36"/>
                <w:szCs w:val="36"/>
              </w:rPr>
              <w:t xml:space="preserve"> THREE </w:t>
            </w:r>
          </w:p>
          <w:p w:rsidR="00290937" w:rsidRPr="00C73B3D" w:rsidRDefault="00290937" w:rsidP="006A6CAF">
            <w:pPr>
              <w:spacing w:before="120" w:after="7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3B3D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  <w:p w:rsidR="00290937" w:rsidRPr="00C73B3D" w:rsidRDefault="00290937" w:rsidP="002909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6CAF" w:rsidRPr="00C73B3D" w:rsidTr="00D87853">
        <w:trPr>
          <w:trHeight w:val="2012"/>
        </w:trPr>
        <w:tc>
          <w:tcPr>
            <w:tcW w:w="6936" w:type="dxa"/>
            <w:gridSpan w:val="2"/>
          </w:tcPr>
          <w:p w:rsidR="006A6CAF" w:rsidRPr="00D87853" w:rsidRDefault="006A6CAF" w:rsidP="006A6CAF">
            <w:pPr>
              <w:spacing w:before="240" w:after="240"/>
              <w:rPr>
                <w:rFonts w:ascii="Arial" w:hAnsi="Arial" w:cs="Arial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 w:rsidRPr="00D87853">
              <w:rPr>
                <w:rFonts w:ascii="Arial" w:hAnsi="Arial" w:cs="Arial"/>
                <w:b/>
                <w:sz w:val="32"/>
                <w:szCs w:val="32"/>
              </w:rPr>
              <w:t>STATUS:</w:t>
            </w:r>
            <w:r w:rsidRPr="00D87853">
              <w:rPr>
                <w:rFonts w:ascii="Arial" w:hAnsi="Arial" w:cs="Arial"/>
                <w:b/>
              </w:rPr>
              <w:t xml:space="preserve"> These service specifications may be amended to meet local agreement needs.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252" w:type="dxa"/>
          </w:tcPr>
          <w:p w:rsidR="006A6CAF" w:rsidRPr="00D87853" w:rsidRDefault="006A6CAF" w:rsidP="006A6CAF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bookmarkStart w:id="8" w:name="_Toc206389499"/>
            <w:bookmarkStart w:id="9" w:name="_Toc215319108"/>
            <w:r w:rsidRPr="00D87853">
              <w:rPr>
                <w:rFonts w:ascii="Arial" w:hAnsi="Arial"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290937" w:rsidRPr="00C73B3D" w:rsidTr="00D87853">
        <w:trPr>
          <w:trHeight w:val="297"/>
        </w:trPr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90937" w:rsidRPr="006A6CAF" w:rsidRDefault="00290937" w:rsidP="0029093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A6CAF">
              <w:rPr>
                <w:rFonts w:ascii="Arial" w:hAnsi="Arial" w:cs="Arial"/>
                <w:b/>
                <w:sz w:val="32"/>
                <w:szCs w:val="32"/>
              </w:rPr>
              <w:t>Review History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90937" w:rsidRPr="006A6CAF" w:rsidRDefault="00290937" w:rsidP="0029093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A6CAF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</w:tr>
      <w:tr w:rsidR="00290937" w:rsidRPr="00C73B3D" w:rsidTr="00D87853"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37" w:rsidRPr="00C73B3D" w:rsidRDefault="00290937" w:rsidP="00290937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73B3D">
              <w:rPr>
                <w:rFonts w:ascii="Arial" w:hAnsi="Arial" w:cs="Arial"/>
                <w:sz w:val="28"/>
                <w:szCs w:val="28"/>
              </w:rPr>
              <w:t>Published on NSFL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937" w:rsidRPr="006A6CAF" w:rsidRDefault="00290937" w:rsidP="0029093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A6CAF">
              <w:rPr>
                <w:rFonts w:ascii="Arial" w:hAnsi="Arial" w:cs="Arial"/>
                <w:b/>
                <w:sz w:val="32"/>
                <w:szCs w:val="32"/>
              </w:rPr>
              <w:t>June 2009</w:t>
            </w:r>
          </w:p>
        </w:tc>
      </w:tr>
      <w:tr w:rsidR="00414984" w:rsidRPr="00C73B3D" w:rsidTr="00D87853">
        <w:tc>
          <w:tcPr>
            <w:tcW w:w="6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984" w:rsidRPr="00D87853" w:rsidRDefault="00414984" w:rsidP="00D87853">
            <w:pPr>
              <w:spacing w:before="120" w:after="120"/>
              <w:rPr>
                <w:rFonts w:ascii="Arial" w:hAnsi="Arial" w:cs="Arial"/>
              </w:rPr>
            </w:pPr>
            <w:r w:rsidRPr="00D87853">
              <w:rPr>
                <w:rFonts w:ascii="Arial" w:hAnsi="Arial" w:cs="Arial"/>
                <w:b/>
              </w:rPr>
              <w:t>Amend</w:t>
            </w:r>
            <w:r w:rsidR="00D87853" w:rsidRPr="00D87853">
              <w:rPr>
                <w:rFonts w:ascii="Arial" w:hAnsi="Arial" w:cs="Arial"/>
                <w:b/>
              </w:rPr>
              <w:t>ed</w:t>
            </w:r>
            <w:r w:rsidR="00544533">
              <w:rPr>
                <w:rFonts w:ascii="Arial" w:hAnsi="Arial" w:cs="Arial"/>
              </w:rPr>
              <w:t>:</w:t>
            </w:r>
            <w:r w:rsidRPr="00D87853">
              <w:rPr>
                <w:rFonts w:ascii="Arial" w:hAnsi="Arial" w:cs="Arial"/>
              </w:rPr>
              <w:t xml:space="preserve"> clarified reporting requirements, completed PU table. Corrected title, edited for consistency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984" w:rsidRPr="006A6CAF" w:rsidRDefault="00414984" w:rsidP="0029093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A6CAF">
              <w:rPr>
                <w:rFonts w:ascii="Arial" w:hAnsi="Arial" w:cs="Arial"/>
                <w:b/>
                <w:sz w:val="32"/>
                <w:szCs w:val="32"/>
              </w:rPr>
              <w:t>March 2013</w:t>
            </w:r>
          </w:p>
        </w:tc>
      </w:tr>
      <w:tr w:rsidR="002F0487" w:rsidRPr="00C73B3D" w:rsidTr="00D87853">
        <w:tc>
          <w:tcPr>
            <w:tcW w:w="6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487" w:rsidRPr="00C73B3D" w:rsidRDefault="00D87853" w:rsidP="00D8785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31ABC">
              <w:rPr>
                <w:rFonts w:ascii="Arial" w:hAnsi="Arial" w:cs="Arial"/>
                <w:b/>
              </w:rPr>
              <w:t>Amend</w:t>
            </w:r>
            <w:r>
              <w:rPr>
                <w:rFonts w:ascii="Arial" w:hAnsi="Arial" w:cs="Arial"/>
                <w:b/>
              </w:rPr>
              <w:t>ed</w:t>
            </w:r>
            <w:r w:rsidR="002F0487" w:rsidRPr="006746EF">
              <w:rPr>
                <w:rFonts w:ascii="Arial" w:hAnsi="Arial" w:cs="Arial"/>
              </w:rPr>
              <w:t>: added MHA</w:t>
            </w:r>
            <w:r w:rsidR="002F0487">
              <w:rPr>
                <w:rFonts w:ascii="Arial" w:hAnsi="Arial" w:cs="Arial"/>
              </w:rPr>
              <w:t>51</w:t>
            </w:r>
            <w:r w:rsidR="002F0487" w:rsidRPr="006746EF">
              <w:rPr>
                <w:rFonts w:ascii="Arial" w:hAnsi="Arial" w:cs="Arial"/>
              </w:rPr>
              <w:t xml:space="preserve">S purchase unit code, removed standard provider </w:t>
            </w:r>
            <w:r w:rsidR="002F0487">
              <w:rPr>
                <w:rFonts w:ascii="Arial" w:hAnsi="Arial" w:cs="Arial"/>
              </w:rPr>
              <w:t>m</w:t>
            </w:r>
            <w:r w:rsidR="002F0487" w:rsidRPr="006746EF">
              <w:rPr>
                <w:rFonts w:ascii="Arial" w:hAnsi="Arial" w:cs="Arial"/>
              </w:rPr>
              <w:t>onitoring reporting</w:t>
            </w:r>
            <w:r w:rsidR="002F0487">
              <w:rPr>
                <w:rFonts w:ascii="Arial" w:hAnsi="Arial" w:cs="Arial"/>
              </w:rPr>
              <w:t xml:space="preserve"> tables</w:t>
            </w:r>
            <w:r w:rsidR="002F0487" w:rsidRPr="006746EF">
              <w:rPr>
                <w:rFonts w:ascii="Arial" w:hAnsi="Arial" w:cs="Arial"/>
              </w:rPr>
              <w:t>.</w:t>
            </w:r>
            <w:r w:rsidR="002F0487">
              <w:rPr>
                <w:rFonts w:ascii="Arial" w:hAnsi="Arial" w:cs="Arial"/>
              </w:rPr>
              <w:t xml:space="preserve"> Minor editing.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487" w:rsidRPr="00973086" w:rsidRDefault="006A6CAF" w:rsidP="002F048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973086">
              <w:rPr>
                <w:rFonts w:ascii="Arial" w:hAnsi="Arial" w:cs="Arial"/>
                <w:b/>
                <w:sz w:val="32"/>
                <w:szCs w:val="32"/>
              </w:rPr>
              <w:t>April 2017</w:t>
            </w:r>
          </w:p>
        </w:tc>
      </w:tr>
      <w:tr w:rsidR="002F0487" w:rsidRPr="00C73B3D" w:rsidTr="00D87853">
        <w:tc>
          <w:tcPr>
            <w:tcW w:w="6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487" w:rsidRPr="006A6CAF" w:rsidRDefault="002F0487" w:rsidP="002F0487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6A6CAF">
              <w:rPr>
                <w:rFonts w:ascii="Arial" w:hAnsi="Arial" w:cs="Arial"/>
                <w:sz w:val="32"/>
                <w:szCs w:val="32"/>
              </w:rPr>
              <w:t>Consideration for next Service Specification Review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487" w:rsidRPr="00973086" w:rsidRDefault="002F0487" w:rsidP="002F048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973086">
              <w:rPr>
                <w:rFonts w:ascii="Arial" w:hAnsi="Arial" w:cs="Arial"/>
                <w:b/>
                <w:sz w:val="32"/>
                <w:szCs w:val="32"/>
              </w:rPr>
              <w:t>Within five years</w:t>
            </w:r>
          </w:p>
        </w:tc>
      </w:tr>
    </w:tbl>
    <w:p w:rsidR="00414984" w:rsidRPr="00C73B3D" w:rsidRDefault="00414984" w:rsidP="00414984">
      <w:pPr>
        <w:spacing w:before="120"/>
        <w:rPr>
          <w:rFonts w:ascii="Arial" w:hAnsi="Arial" w:cs="Arial"/>
          <w:lang w:val="en-GB" w:eastAsia="en-GB"/>
        </w:rPr>
      </w:pPr>
      <w:bookmarkStart w:id="10" w:name="_Toc215319119"/>
      <w:r w:rsidRPr="00C73B3D">
        <w:rPr>
          <w:rFonts w:ascii="Arial" w:hAnsi="Arial" w:cs="Arial"/>
          <w:b/>
          <w:lang w:val="en-GB" w:eastAsia="en-GB"/>
        </w:rPr>
        <w:t>Note:</w:t>
      </w:r>
      <w:r w:rsidRPr="00C73B3D">
        <w:rPr>
          <w:rFonts w:ascii="Arial" w:hAnsi="Arial" w:cs="Arial"/>
          <w:lang w:val="en-GB" w:eastAsia="en-GB"/>
        </w:rPr>
        <w:t xml:space="preserve"> Contact the Service Specification Programme Manager, </w:t>
      </w:r>
      <w:r w:rsidR="002F0487">
        <w:rPr>
          <w:rFonts w:ascii="Arial" w:hAnsi="Arial" w:cs="Arial"/>
          <w:lang w:val="en-GB" w:eastAsia="en-GB"/>
        </w:rPr>
        <w:t>Service Commissioning</w:t>
      </w:r>
      <w:r w:rsidRPr="00C73B3D">
        <w:rPr>
          <w:rFonts w:ascii="Arial" w:hAnsi="Arial" w:cs="Arial"/>
          <w:lang w:val="en-GB" w:eastAsia="en-GB"/>
        </w:rPr>
        <w:t xml:space="preserve">, Ministry of Health to discuss proposed amendments to the service specifications and guidance in developing new or updating and revising existing service specifications. </w:t>
      </w:r>
    </w:p>
    <w:p w:rsidR="00290937" w:rsidRPr="00C73B3D" w:rsidRDefault="00414984" w:rsidP="00290937">
      <w:pPr>
        <w:spacing w:before="120"/>
        <w:rPr>
          <w:rFonts w:ascii="Arial" w:hAnsi="Arial" w:cs="Arial"/>
        </w:rPr>
      </w:pPr>
      <w:r w:rsidRPr="00C73B3D">
        <w:rPr>
          <w:rFonts w:ascii="Arial" w:hAnsi="Arial" w:cs="Arial"/>
          <w:lang w:val="en-GB" w:eastAsia="en-GB"/>
        </w:rPr>
        <w:t xml:space="preserve">Nationwide Service Framework Library web site </w:t>
      </w:r>
      <w:hyperlink r:id="rId8" w:history="1">
        <w:r w:rsidRPr="00C73B3D">
          <w:rPr>
            <w:rFonts w:ascii="Arial" w:hAnsi="Arial" w:cs="Arial"/>
            <w:color w:val="0000FF"/>
            <w:u w:val="single"/>
            <w:lang w:val="en-GB" w:eastAsia="en-GB"/>
          </w:rPr>
          <w:t>http://www.nsfl.health.govt.nz/</w:t>
        </w:r>
      </w:hyperlink>
      <w:r w:rsidRPr="00C73B3D">
        <w:rPr>
          <w:rFonts w:ascii="Arial" w:hAnsi="Arial" w:cs="Arial"/>
          <w:lang w:val="en-GB" w:eastAsia="en-GB"/>
        </w:rPr>
        <w:t xml:space="preserve"> </w:t>
      </w:r>
      <w:bookmarkEnd w:id="10"/>
    </w:p>
    <w:p w:rsidR="00692009" w:rsidRPr="00C73B3D" w:rsidRDefault="00290937" w:rsidP="0069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7"/>
        <w:jc w:val="center"/>
        <w:rPr>
          <w:rFonts w:ascii="Arial" w:hAnsi="Arial" w:cs="Arial"/>
        </w:rPr>
      </w:pPr>
      <w:r w:rsidRPr="00C73B3D">
        <w:rPr>
          <w:rFonts w:ascii="Arial" w:hAnsi="Arial" w:cs="Arial"/>
        </w:rPr>
        <w:br w:type="page"/>
      </w:r>
      <w:r w:rsidR="00692009" w:rsidRPr="00C73B3D">
        <w:rPr>
          <w:rFonts w:ascii="Arial" w:hAnsi="Arial" w:cs="Arial"/>
          <w:b/>
          <w:caps/>
          <w:color w:val="000000"/>
        </w:rPr>
        <w:lastRenderedPageBreak/>
        <w:t xml:space="preserve">INFANT, CHILD, ADOLESCENT </w:t>
      </w:r>
      <w:smartTag w:uri="urn:schemas-microsoft-com:office:smarttags" w:element="stockticker">
        <w:r w:rsidR="00692009" w:rsidRPr="00C73B3D">
          <w:rPr>
            <w:rFonts w:ascii="Arial" w:hAnsi="Arial" w:cs="Arial"/>
            <w:b/>
            <w:caps/>
            <w:color w:val="000000"/>
          </w:rPr>
          <w:t>AND</w:t>
        </w:r>
      </w:smartTag>
      <w:r w:rsidR="00692009" w:rsidRPr="00C73B3D">
        <w:rPr>
          <w:rFonts w:ascii="Arial" w:hAnsi="Arial" w:cs="Arial"/>
          <w:b/>
          <w:caps/>
          <w:color w:val="000000"/>
        </w:rPr>
        <w:t xml:space="preserve"> YOUTH SERVICES -</w:t>
      </w:r>
    </w:p>
    <w:p w:rsidR="00290937" w:rsidRPr="00C73B3D" w:rsidRDefault="00290937" w:rsidP="0067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ascii="Arial" w:hAnsi="Arial" w:cs="Arial"/>
          <w:b/>
          <w:caps/>
          <w:color w:val="000000"/>
        </w:rPr>
      </w:pPr>
      <w:r w:rsidRPr="00C73B3D">
        <w:rPr>
          <w:rFonts w:ascii="Arial" w:hAnsi="Arial" w:cs="Arial"/>
          <w:b/>
          <w:caps/>
          <w:color w:val="000000"/>
        </w:rPr>
        <w:t xml:space="preserve">needs assessment </w:t>
      </w:r>
      <w:smartTag w:uri="urn:schemas-microsoft-com:office:smarttags" w:element="stockticker">
        <w:r w:rsidRPr="00C73B3D">
          <w:rPr>
            <w:rFonts w:ascii="Arial" w:hAnsi="Arial" w:cs="Arial"/>
            <w:b/>
            <w:caps/>
            <w:color w:val="000000"/>
          </w:rPr>
          <w:t>and</w:t>
        </w:r>
      </w:smartTag>
      <w:r w:rsidRPr="00C73B3D">
        <w:rPr>
          <w:rFonts w:ascii="Arial" w:hAnsi="Arial" w:cs="Arial"/>
          <w:b/>
          <w:caps/>
          <w:color w:val="000000"/>
        </w:rPr>
        <w:t xml:space="preserve"> service coordination</w:t>
      </w:r>
    </w:p>
    <w:p w:rsidR="00414984" w:rsidRPr="00C73B3D" w:rsidRDefault="00414984" w:rsidP="0067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ascii="Arial" w:hAnsi="Arial" w:cs="Arial"/>
          <w:b/>
          <w:caps/>
          <w:color w:val="000000"/>
        </w:rPr>
      </w:pPr>
      <w:r w:rsidRPr="00C73B3D">
        <w:rPr>
          <w:rFonts w:ascii="Arial" w:hAnsi="Arial" w:cs="Arial"/>
          <w:b/>
        </w:rPr>
        <w:t xml:space="preserve">MENTAL HEALTH </w:t>
      </w:r>
      <w:smartTag w:uri="urn:schemas-microsoft-com:office:smarttags" w:element="stockticker">
        <w:r w:rsidRPr="00C73B3D">
          <w:rPr>
            <w:rFonts w:ascii="Arial" w:hAnsi="Arial" w:cs="Arial"/>
            <w:b/>
          </w:rPr>
          <w:t>AND</w:t>
        </w:r>
      </w:smartTag>
      <w:r w:rsidRPr="00C73B3D">
        <w:rPr>
          <w:rFonts w:ascii="Arial" w:hAnsi="Arial" w:cs="Arial"/>
          <w:b/>
        </w:rPr>
        <w:t xml:space="preserve"> ADDICTION SERVICES-</w:t>
      </w:r>
    </w:p>
    <w:p w:rsidR="00290937" w:rsidRPr="00C73B3D" w:rsidRDefault="00290937" w:rsidP="0067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smartTag w:uri="urn:schemas-microsoft-com:office:smarttags" w:element="stockticker">
        <w:r w:rsidRPr="00C73B3D">
          <w:rPr>
            <w:rFonts w:ascii="Arial" w:hAnsi="Arial" w:cs="Arial"/>
            <w:b/>
          </w:rPr>
          <w:t>TIER</w:t>
        </w:r>
      </w:smartTag>
      <w:r w:rsidRPr="00C73B3D">
        <w:rPr>
          <w:rFonts w:ascii="Arial" w:hAnsi="Arial" w:cs="Arial"/>
          <w:b/>
        </w:rPr>
        <w:t xml:space="preserve"> THREE</w:t>
      </w:r>
      <w:r w:rsidR="006657BC">
        <w:rPr>
          <w:rFonts w:ascii="Arial" w:hAnsi="Arial" w:cs="Arial"/>
          <w:b/>
        </w:rPr>
        <w:t xml:space="preserve"> </w:t>
      </w:r>
      <w:r w:rsidRPr="00C73B3D">
        <w:rPr>
          <w:rFonts w:ascii="Arial" w:hAnsi="Arial" w:cs="Arial"/>
          <w:b/>
        </w:rPr>
        <w:t>SERVICE SPECIFICATION</w:t>
      </w:r>
    </w:p>
    <w:p w:rsidR="00290937" w:rsidRPr="00C73B3D" w:rsidRDefault="00290937" w:rsidP="0054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</w:rPr>
      </w:pPr>
      <w:smartTag w:uri="urn:schemas-microsoft-com:office:smarttags" w:element="stockticker">
        <w:r w:rsidRPr="00C73B3D">
          <w:rPr>
            <w:rFonts w:ascii="Arial" w:hAnsi="Arial" w:cs="Arial"/>
            <w:b/>
          </w:rPr>
          <w:t>MHI</w:t>
        </w:r>
      </w:smartTag>
      <w:r w:rsidRPr="00C73B3D">
        <w:rPr>
          <w:rFonts w:ascii="Arial" w:hAnsi="Arial" w:cs="Arial"/>
          <w:b/>
        </w:rPr>
        <w:t xml:space="preserve">51A, </w:t>
      </w:r>
      <w:smartTag w:uri="urn:schemas-microsoft-com:office:smarttags" w:element="stockticker">
        <w:r w:rsidRPr="00C73B3D">
          <w:rPr>
            <w:rFonts w:ascii="Arial" w:hAnsi="Arial" w:cs="Arial"/>
            <w:b/>
          </w:rPr>
          <w:t>MHI</w:t>
        </w:r>
      </w:smartTag>
      <w:r w:rsidRPr="00C73B3D">
        <w:rPr>
          <w:rFonts w:ascii="Arial" w:hAnsi="Arial" w:cs="Arial"/>
          <w:b/>
        </w:rPr>
        <w:t xml:space="preserve">51B, </w:t>
      </w:r>
      <w:smartTag w:uri="urn:schemas-microsoft-com:office:smarttags" w:element="stockticker">
        <w:r w:rsidRPr="00C73B3D">
          <w:rPr>
            <w:rFonts w:ascii="Arial" w:hAnsi="Arial" w:cs="Arial"/>
            <w:b/>
          </w:rPr>
          <w:t>MHI</w:t>
        </w:r>
      </w:smartTag>
      <w:r w:rsidRPr="00C73B3D">
        <w:rPr>
          <w:rFonts w:ascii="Arial" w:hAnsi="Arial" w:cs="Arial"/>
          <w:b/>
        </w:rPr>
        <w:t xml:space="preserve">51C, </w:t>
      </w:r>
      <w:smartTag w:uri="urn:schemas-microsoft-com:office:smarttags" w:element="stockticker">
        <w:r w:rsidRPr="00C73B3D">
          <w:rPr>
            <w:rFonts w:ascii="Arial" w:hAnsi="Arial" w:cs="Arial"/>
            <w:b/>
          </w:rPr>
          <w:t>MHI</w:t>
        </w:r>
      </w:smartTag>
      <w:r w:rsidRPr="00C73B3D">
        <w:rPr>
          <w:rFonts w:ascii="Arial" w:hAnsi="Arial" w:cs="Arial"/>
          <w:b/>
        </w:rPr>
        <w:t>51D</w:t>
      </w:r>
      <w:r w:rsidR="002F0487">
        <w:rPr>
          <w:rFonts w:ascii="Arial" w:hAnsi="Arial" w:cs="Arial"/>
          <w:b/>
        </w:rPr>
        <w:t>, MHI51S</w:t>
      </w:r>
    </w:p>
    <w:p w:rsidR="00290937" w:rsidRPr="00C73B3D" w:rsidRDefault="00290937" w:rsidP="00290937">
      <w:pPr>
        <w:spacing w:before="12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This tier three service specification for Needs Assessment and Service Coordination for Infant, Child, Adolescent and Youth (the Service) </w:t>
      </w:r>
      <w:r w:rsidR="006A6CAF" w:rsidRPr="008314D9">
        <w:rPr>
          <w:rFonts w:ascii="Arial" w:hAnsi="Arial" w:cs="Arial"/>
        </w:rPr>
        <w:t>must be used in conjunction with</w:t>
      </w:r>
      <w:r w:rsidR="006A6CAF" w:rsidRPr="00C73B3D" w:rsidDel="006A6CAF">
        <w:rPr>
          <w:rFonts w:ascii="Arial" w:hAnsi="Arial" w:cs="Arial"/>
        </w:rPr>
        <w:t xml:space="preserve"> </w:t>
      </w:r>
      <w:r w:rsidRPr="00C73B3D">
        <w:rPr>
          <w:rFonts w:ascii="Arial" w:hAnsi="Arial" w:cs="Arial"/>
        </w:rPr>
        <w:t xml:space="preserve">tier one Mental Health and Addiction Services and tier two Infant, Child, Adolescent and Youth service specifications. </w:t>
      </w:r>
    </w:p>
    <w:p w:rsidR="00290937" w:rsidRPr="00C73B3D" w:rsidRDefault="00290937" w:rsidP="00290937">
      <w:pPr>
        <w:spacing w:before="240" w:after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1.</w:t>
      </w:r>
      <w:r w:rsidRPr="00C73B3D">
        <w:rPr>
          <w:rFonts w:ascii="Arial" w:hAnsi="Arial" w:cs="Arial"/>
          <w:b/>
        </w:rPr>
        <w:tab/>
        <w:t>Service Definition</w:t>
      </w:r>
      <w:bookmarkStart w:id="11" w:name="_GoBack"/>
      <w:bookmarkEnd w:id="11"/>
    </w:p>
    <w:p w:rsidR="00290937" w:rsidRPr="00C73B3D" w:rsidRDefault="00290937" w:rsidP="0029093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The Service will work with the infant, child, adolescent or youth, their family/wh</w:t>
      </w:r>
      <w:r w:rsidRPr="00C73B3D">
        <w:rPr>
          <w:rFonts w:ascii="Arial" w:hAnsi="Arial" w:cs="Arial"/>
        </w:rPr>
        <w:t>ā</w:t>
      </w:r>
      <w:r w:rsidRPr="00C73B3D">
        <w:rPr>
          <w:rFonts w:ascii="Arial" w:hAnsi="Arial" w:cs="Arial"/>
          <w:color w:val="000000"/>
        </w:rPr>
        <w:t>nau and significant others, to assess their needs and plan and co-ordinate appropriate services.</w:t>
      </w:r>
    </w:p>
    <w:p w:rsidR="00290937" w:rsidRPr="00C73B3D" w:rsidRDefault="00290937" w:rsidP="002D1FF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12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Needs assessments are undertaken to identify individual strengths and supports/activities required that are likely to lead to resilience and recovery outcomes for the individual and their family/wh</w:t>
      </w:r>
      <w:r w:rsidRPr="00C73B3D">
        <w:rPr>
          <w:rFonts w:ascii="Arial" w:hAnsi="Arial" w:cs="Arial"/>
        </w:rPr>
        <w:t>ā</w:t>
      </w:r>
      <w:r w:rsidRPr="00C73B3D">
        <w:rPr>
          <w:rFonts w:ascii="Arial" w:hAnsi="Arial" w:cs="Arial"/>
          <w:color w:val="000000"/>
        </w:rPr>
        <w:t xml:space="preserve">nau. </w:t>
      </w:r>
    </w:p>
    <w:p w:rsidR="00290937" w:rsidRPr="00C73B3D" w:rsidRDefault="00290937" w:rsidP="00290937">
      <w:pPr>
        <w:spacing w:before="240" w:after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2.</w:t>
      </w:r>
      <w:r w:rsidRPr="00C73B3D">
        <w:rPr>
          <w:rFonts w:ascii="Arial" w:hAnsi="Arial" w:cs="Arial"/>
          <w:b/>
        </w:rPr>
        <w:tab/>
        <w:t>Service Objectives</w:t>
      </w:r>
    </w:p>
    <w:p w:rsidR="00384AD0" w:rsidRPr="00384AD0" w:rsidRDefault="00384AD0" w:rsidP="0029093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ascii="Arial" w:hAnsi="Arial" w:cs="Arial"/>
          <w:b/>
          <w:color w:val="000000"/>
        </w:rPr>
      </w:pPr>
      <w:r w:rsidRPr="00384AD0">
        <w:rPr>
          <w:rFonts w:ascii="Arial" w:hAnsi="Arial" w:cs="Arial"/>
          <w:b/>
          <w:color w:val="000000"/>
        </w:rPr>
        <w:t>2.1</w:t>
      </w:r>
      <w:r w:rsidRPr="00384AD0">
        <w:rPr>
          <w:rFonts w:ascii="Arial" w:hAnsi="Arial" w:cs="Arial"/>
          <w:b/>
          <w:color w:val="000000"/>
        </w:rPr>
        <w:tab/>
        <w:t>General</w:t>
      </w:r>
    </w:p>
    <w:p w:rsidR="00290937" w:rsidRPr="00C73B3D" w:rsidRDefault="00290937" w:rsidP="00384AD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 xml:space="preserve">To facilitate the access of infants, children, adolescent and youth to a range of community-based resilience, recovery and support services. Access to those services is facilitated through the processes of comprehensive support needs assessment and prioritisation according to identified needs in a timely fashion. </w:t>
      </w:r>
    </w:p>
    <w:p w:rsidR="00290937" w:rsidRPr="00C73B3D" w:rsidRDefault="00290937" w:rsidP="00290937">
      <w:pPr>
        <w:spacing w:before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2.2</w:t>
      </w:r>
      <w:r w:rsidRPr="00C73B3D">
        <w:rPr>
          <w:rFonts w:ascii="Arial" w:hAnsi="Arial" w:cs="Arial"/>
          <w:b/>
        </w:rPr>
        <w:tab/>
        <w:t>Māori Health</w:t>
      </w:r>
    </w:p>
    <w:p w:rsidR="001F34A5" w:rsidRPr="00C73B3D" w:rsidRDefault="001F34A5" w:rsidP="001F34A5">
      <w:pPr>
        <w:spacing w:before="120" w:after="6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Refer to tier one Mental Health and Addiction Services service specification.</w:t>
      </w:r>
    </w:p>
    <w:p w:rsidR="00290937" w:rsidRPr="00C73B3D" w:rsidRDefault="00290937" w:rsidP="00290937">
      <w:pPr>
        <w:spacing w:before="240" w:after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3.</w:t>
      </w:r>
      <w:r w:rsidRPr="00C73B3D">
        <w:rPr>
          <w:rFonts w:ascii="Arial" w:hAnsi="Arial" w:cs="Arial"/>
          <w:b/>
        </w:rPr>
        <w:tab/>
      </w:r>
      <w:r w:rsidR="00496091">
        <w:rPr>
          <w:rFonts w:ascii="Arial" w:hAnsi="Arial" w:cs="Arial"/>
          <w:b/>
        </w:rPr>
        <w:t>Service User</w:t>
      </w:r>
      <w:r w:rsidR="00414984" w:rsidRPr="00C73B3D">
        <w:rPr>
          <w:rFonts w:ascii="Arial" w:hAnsi="Arial" w:cs="Arial"/>
          <w:b/>
        </w:rPr>
        <w:t>s</w:t>
      </w:r>
    </w:p>
    <w:p w:rsidR="00290937" w:rsidRPr="00C73B3D" w:rsidRDefault="00290937" w:rsidP="00290937">
      <w:pPr>
        <w:spacing w:before="12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The </w:t>
      </w:r>
      <w:r w:rsidR="00496091">
        <w:rPr>
          <w:rFonts w:ascii="Arial" w:hAnsi="Arial" w:cs="Arial"/>
        </w:rPr>
        <w:t>Service User</w:t>
      </w:r>
      <w:r w:rsidR="00414984" w:rsidRPr="00C73B3D">
        <w:rPr>
          <w:rFonts w:ascii="Arial" w:hAnsi="Arial" w:cs="Arial"/>
        </w:rPr>
        <w:t>s</w:t>
      </w:r>
      <w:r w:rsidRPr="00C73B3D">
        <w:rPr>
          <w:rFonts w:ascii="Arial" w:hAnsi="Arial" w:cs="Arial"/>
        </w:rPr>
        <w:t xml:space="preserve"> are eligible infants, children, adolescents and youth.</w:t>
      </w:r>
    </w:p>
    <w:p w:rsidR="00290937" w:rsidRPr="00C73B3D" w:rsidRDefault="00290937" w:rsidP="00290937">
      <w:pPr>
        <w:spacing w:before="24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4.</w:t>
      </w:r>
      <w:r w:rsidRPr="00C73B3D">
        <w:rPr>
          <w:rFonts w:ascii="Arial" w:hAnsi="Arial" w:cs="Arial"/>
          <w:b/>
        </w:rPr>
        <w:tab/>
        <w:t>Access</w:t>
      </w:r>
    </w:p>
    <w:p w:rsidR="00290937" w:rsidRPr="00C73B3D" w:rsidRDefault="00290937" w:rsidP="00290937">
      <w:pPr>
        <w:spacing w:before="120" w:after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4.1</w:t>
      </w:r>
      <w:r w:rsidRPr="00C73B3D">
        <w:rPr>
          <w:rFonts w:ascii="Arial" w:hAnsi="Arial" w:cs="Arial"/>
          <w:b/>
        </w:rPr>
        <w:tab/>
        <w:t xml:space="preserve">Entry and Exit Criteria </w:t>
      </w:r>
    </w:p>
    <w:p w:rsidR="00290937" w:rsidRPr="00C73B3D" w:rsidRDefault="00290937" w:rsidP="00290937">
      <w:pPr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Needs assessment/service co-ordination services may provide the above services to people with addictions in addition to those people with severe mental health problems, according to local requirements/agreements between funders and service providers.</w:t>
      </w:r>
    </w:p>
    <w:p w:rsidR="00290937" w:rsidRPr="00C73B3D" w:rsidRDefault="00290937" w:rsidP="00290937">
      <w:pPr>
        <w:spacing w:before="24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5.</w:t>
      </w:r>
      <w:r w:rsidRPr="00C73B3D">
        <w:rPr>
          <w:rFonts w:ascii="Arial" w:hAnsi="Arial" w:cs="Arial"/>
          <w:b/>
        </w:rPr>
        <w:tab/>
        <w:t>Service Components</w:t>
      </w:r>
    </w:p>
    <w:p w:rsidR="00290937" w:rsidRPr="00C73B3D" w:rsidRDefault="00290937" w:rsidP="00290937">
      <w:pPr>
        <w:spacing w:before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5.1</w:t>
      </w:r>
      <w:r w:rsidRPr="00C73B3D">
        <w:rPr>
          <w:rFonts w:ascii="Arial" w:hAnsi="Arial" w:cs="Arial"/>
          <w:b/>
        </w:rPr>
        <w:tab/>
        <w:t>Processes</w:t>
      </w:r>
    </w:p>
    <w:p w:rsidR="00290937" w:rsidRPr="00C73B3D" w:rsidRDefault="00290937" w:rsidP="00290937">
      <w:pPr>
        <w:spacing w:before="120"/>
        <w:rPr>
          <w:rFonts w:ascii="Arial" w:hAnsi="Arial" w:cs="Arial"/>
        </w:rPr>
      </w:pPr>
      <w:r w:rsidRPr="00C73B3D">
        <w:rPr>
          <w:rFonts w:ascii="Arial" w:hAnsi="Arial" w:cs="Arial"/>
        </w:rPr>
        <w:t>The following processes apply but are not limited to: needs assessment, service planning, and co-ordination.</w:t>
      </w:r>
    </w:p>
    <w:p w:rsidR="00290937" w:rsidRPr="00C73B3D" w:rsidRDefault="00290937" w:rsidP="0029093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b/>
          <w:color w:val="000000"/>
        </w:rPr>
      </w:pPr>
      <w:r w:rsidRPr="00C73B3D">
        <w:rPr>
          <w:rFonts w:ascii="Arial" w:hAnsi="Arial" w:cs="Arial"/>
          <w:b/>
          <w:color w:val="000000"/>
        </w:rPr>
        <w:t xml:space="preserve">Needs assessment: </w:t>
      </w:r>
    </w:p>
    <w:p w:rsidR="00290937" w:rsidRPr="00C73B3D" w:rsidRDefault="00290937" w:rsidP="00C73B3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The assessment process meets the requirement of the Standards for Needs Assessment and Service Co-ordination (Ministry of Health 1994) and utilises a recognised best practice assessment tool.  The assessment process includes: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 xml:space="preserve">identification and prioritisation of </w:t>
      </w:r>
      <w:r w:rsidR="00496091">
        <w:rPr>
          <w:rFonts w:ascii="Arial" w:hAnsi="Arial" w:cs="Arial"/>
          <w:color w:val="000000"/>
        </w:rPr>
        <w:t>Service User</w:t>
      </w:r>
      <w:r w:rsidRPr="00C73B3D">
        <w:rPr>
          <w:rFonts w:ascii="Arial" w:hAnsi="Arial" w:cs="Arial"/>
          <w:color w:val="000000"/>
        </w:rPr>
        <w:t xml:space="preserve"> needs both support and </w:t>
      </w:r>
      <w:r w:rsidRPr="00C73B3D">
        <w:rPr>
          <w:rFonts w:ascii="Arial" w:hAnsi="Arial" w:cs="Arial"/>
          <w:color w:val="000000"/>
        </w:rPr>
        <w:lastRenderedPageBreak/>
        <w:t>developmental needs within the context of their family/wh</w:t>
      </w:r>
      <w:r w:rsidRPr="00C73B3D">
        <w:rPr>
          <w:rFonts w:ascii="Arial" w:hAnsi="Arial" w:cs="Arial"/>
        </w:rPr>
        <w:t>ā</w:t>
      </w:r>
      <w:r w:rsidRPr="00C73B3D">
        <w:rPr>
          <w:rFonts w:ascii="Arial" w:hAnsi="Arial" w:cs="Arial"/>
          <w:color w:val="000000"/>
        </w:rPr>
        <w:t xml:space="preserve">nau 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gathering of the essential information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independent advocacy, where required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attention to any immediate needs that may interfere with the person’s ability to participate in a support needs assessment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attention to cultural needs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attention to infant, child, adolescent or youth educational requirements and/or employment concerns within the family/whānau context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attention to infant, child, adolescent or youth housing, social, recreational and financial concerns within the family/whānau context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 xml:space="preserve">further specialist, cultural and/or clinical assessments as determined by the infant, child, adolescent or youth’s need </w:t>
      </w:r>
    </w:p>
    <w:p w:rsidR="00290937" w:rsidRPr="00C73B3D" w:rsidRDefault="00290937" w:rsidP="00496091">
      <w:pPr>
        <w:widowControl w:val="0"/>
        <w:numPr>
          <w:ilvl w:val="0"/>
          <w:numId w:val="1"/>
        </w:numPr>
        <w:spacing w:before="120"/>
        <w:ind w:left="1134" w:hanging="567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recognition and attention to support needs even when there is no obvious service response available.</w:t>
      </w:r>
    </w:p>
    <w:p w:rsidR="00290937" w:rsidRPr="00C73B3D" w:rsidRDefault="00290937" w:rsidP="00C73B3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Needs assessments are then repeated and updated at not greater than six monthly intervals as circumstances change.</w:t>
      </w:r>
    </w:p>
    <w:p w:rsidR="00290937" w:rsidRPr="00C73B3D" w:rsidRDefault="00290937" w:rsidP="00C73B3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 xml:space="preserve">Family/whānau are engaged, where possible, in the assessment process.  Where a </w:t>
      </w:r>
      <w:r w:rsidR="00496091">
        <w:rPr>
          <w:rFonts w:ascii="Arial" w:hAnsi="Arial" w:cs="Arial"/>
          <w:color w:val="000000"/>
        </w:rPr>
        <w:t>Service User</w:t>
      </w:r>
      <w:r w:rsidRPr="00C73B3D">
        <w:rPr>
          <w:rFonts w:ascii="Arial" w:hAnsi="Arial" w:cs="Arial"/>
          <w:color w:val="000000"/>
        </w:rPr>
        <w:t xml:space="preserve"> is Māori, assessment will include a cultural needs assessment with their wh</w:t>
      </w:r>
      <w:r w:rsidRPr="00C73B3D">
        <w:rPr>
          <w:rFonts w:ascii="Arial" w:hAnsi="Arial" w:cs="Arial"/>
        </w:rPr>
        <w:t>ā</w:t>
      </w:r>
      <w:r w:rsidRPr="00C73B3D">
        <w:rPr>
          <w:rFonts w:ascii="Arial" w:hAnsi="Arial" w:cs="Arial"/>
          <w:color w:val="000000"/>
        </w:rPr>
        <w:t>nau present (in accordance with principles of informed consent) in the assessment process.  The infant, child, adolescent or youth’s preference within a family/whānau context in relation to access to Māori health and social service options will be identified as appropriate during the needs assessment process.  Such access will be facilitated as required.</w:t>
      </w:r>
    </w:p>
    <w:p w:rsidR="00290937" w:rsidRPr="00C73B3D" w:rsidRDefault="00290937" w:rsidP="0029093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b/>
          <w:color w:val="000000"/>
        </w:rPr>
      </w:pPr>
      <w:r w:rsidRPr="00C73B3D">
        <w:rPr>
          <w:rFonts w:ascii="Arial" w:hAnsi="Arial" w:cs="Arial"/>
          <w:b/>
          <w:color w:val="000000"/>
        </w:rPr>
        <w:t>Service Planning:</w:t>
      </w:r>
    </w:p>
    <w:p w:rsidR="00290937" w:rsidRPr="00C73B3D" w:rsidRDefault="00290937" w:rsidP="00C73B3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This includes:</w:t>
      </w:r>
    </w:p>
    <w:p w:rsidR="00290937" w:rsidRPr="00C73B3D" w:rsidRDefault="00290937" w:rsidP="00C73B3D">
      <w:pPr>
        <w:numPr>
          <w:ilvl w:val="0"/>
          <w:numId w:val="3"/>
        </w:numPr>
        <w:tabs>
          <w:tab w:val="clear" w:pos="720"/>
          <w:tab w:val="num" w:pos="1079"/>
        </w:tabs>
        <w:spacing w:before="120"/>
        <w:ind w:left="1078" w:hanging="539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accessing an up-to-date directory on mental health/community services </w:t>
      </w:r>
    </w:p>
    <w:p w:rsidR="00290937" w:rsidRPr="00C73B3D" w:rsidRDefault="00290937" w:rsidP="00C73B3D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1079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identification of current services involved in meeting aspects of the </w:t>
      </w:r>
      <w:r w:rsidR="00496091">
        <w:rPr>
          <w:rFonts w:ascii="Arial" w:hAnsi="Arial" w:cs="Arial"/>
        </w:rPr>
        <w:t>Service User</w:t>
      </w:r>
      <w:r w:rsidRPr="00C73B3D">
        <w:rPr>
          <w:rFonts w:ascii="Arial" w:hAnsi="Arial" w:cs="Arial"/>
        </w:rPr>
        <w:t>’s needs and remaining unmet needs</w:t>
      </w:r>
    </w:p>
    <w:p w:rsidR="00290937" w:rsidRPr="00C73B3D" w:rsidRDefault="00290937" w:rsidP="00C73B3D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1079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identification of the </w:t>
      </w:r>
      <w:r w:rsidR="00496091">
        <w:rPr>
          <w:rFonts w:ascii="Arial" w:hAnsi="Arial" w:cs="Arial"/>
        </w:rPr>
        <w:t>Service User</w:t>
      </w:r>
      <w:r w:rsidRPr="00C73B3D">
        <w:rPr>
          <w:rFonts w:ascii="Arial" w:hAnsi="Arial" w:cs="Arial"/>
        </w:rPr>
        <w:t>’s own and natural supports</w:t>
      </w:r>
    </w:p>
    <w:p w:rsidR="00290937" w:rsidRPr="00C73B3D" w:rsidRDefault="00290937" w:rsidP="00C73B3D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1079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identification of </w:t>
      </w:r>
      <w:r w:rsidR="00496091">
        <w:rPr>
          <w:rFonts w:ascii="Arial" w:hAnsi="Arial" w:cs="Arial"/>
        </w:rPr>
        <w:t>Service User</w:t>
      </w:r>
      <w:r w:rsidRPr="00C73B3D">
        <w:rPr>
          <w:rFonts w:ascii="Arial" w:hAnsi="Arial" w:cs="Arial"/>
        </w:rPr>
        <w:t xml:space="preserve">’s priorities and preference for service provision </w:t>
      </w:r>
    </w:p>
    <w:p w:rsidR="00290937" w:rsidRPr="00C73B3D" w:rsidRDefault="00290937" w:rsidP="00C73B3D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1079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>identification and documentation of actions that are necessary to address those unmet needs and to achieve agreed goals</w:t>
      </w:r>
    </w:p>
    <w:p w:rsidR="00290937" w:rsidRPr="00C73B3D" w:rsidRDefault="00290937" w:rsidP="00C73B3D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1079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ensuring </w:t>
      </w:r>
      <w:r w:rsidR="00496091">
        <w:rPr>
          <w:rFonts w:ascii="Arial" w:hAnsi="Arial" w:cs="Arial"/>
        </w:rPr>
        <w:t>Service User</w:t>
      </w:r>
      <w:r w:rsidR="00414984" w:rsidRPr="00C73B3D">
        <w:rPr>
          <w:rFonts w:ascii="Arial" w:hAnsi="Arial" w:cs="Arial"/>
        </w:rPr>
        <w:t>s</w:t>
      </w:r>
      <w:r w:rsidRPr="00C73B3D">
        <w:rPr>
          <w:rFonts w:ascii="Arial" w:hAnsi="Arial" w:cs="Arial"/>
        </w:rPr>
        <w:t xml:space="preserve"> make connections with identified services. </w:t>
      </w:r>
    </w:p>
    <w:p w:rsidR="00290937" w:rsidRPr="00C73B3D" w:rsidRDefault="00290937" w:rsidP="00C73B3D">
      <w:pPr>
        <w:spacing w:before="120"/>
        <w:ind w:left="539"/>
        <w:rPr>
          <w:rFonts w:ascii="Arial" w:hAnsi="Arial" w:cs="Arial"/>
        </w:rPr>
      </w:pPr>
      <w:r w:rsidRPr="00C73B3D">
        <w:rPr>
          <w:rFonts w:ascii="Arial" w:hAnsi="Arial" w:cs="Arial"/>
        </w:rPr>
        <w:t>When needs cannot be met from publicly funded services, referrals will be made to a range of other community-based services as appropriate in accordance with the assessment.</w:t>
      </w:r>
    </w:p>
    <w:p w:rsidR="00290937" w:rsidRPr="00C73B3D" w:rsidRDefault="00290937" w:rsidP="00C73B3D">
      <w:pPr>
        <w:spacing w:before="120"/>
        <w:ind w:left="539"/>
        <w:rPr>
          <w:rFonts w:ascii="Arial" w:hAnsi="Arial" w:cs="Arial"/>
        </w:rPr>
      </w:pPr>
      <w:r w:rsidRPr="00C73B3D">
        <w:rPr>
          <w:rFonts w:ascii="Arial" w:hAnsi="Arial" w:cs="Arial"/>
        </w:rPr>
        <w:t>There will be monitoring of service provision, fine tuning and change of services to suit changing situations.</w:t>
      </w:r>
    </w:p>
    <w:p w:rsidR="00290937" w:rsidRPr="00C73B3D" w:rsidRDefault="00290937" w:rsidP="00C73B3D">
      <w:pPr>
        <w:spacing w:before="120"/>
        <w:ind w:left="539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A formal review of service suitability will be undertaken at not more than six monthly intervals. </w:t>
      </w:r>
    </w:p>
    <w:p w:rsidR="00290937" w:rsidRPr="00C73B3D" w:rsidRDefault="00677652" w:rsidP="00052C9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ascii="Arial" w:hAnsi="Arial" w:cs="Arial"/>
          <w:b/>
          <w:color w:val="000000"/>
        </w:rPr>
      </w:pPr>
      <w:r w:rsidRPr="00C73B3D">
        <w:rPr>
          <w:rFonts w:ascii="Arial" w:hAnsi="Arial" w:cs="Arial"/>
          <w:b/>
          <w:color w:val="000000"/>
        </w:rPr>
        <w:br w:type="page"/>
      </w:r>
      <w:r w:rsidR="00290937" w:rsidRPr="00C73B3D">
        <w:rPr>
          <w:rFonts w:ascii="Arial" w:hAnsi="Arial" w:cs="Arial"/>
          <w:b/>
          <w:color w:val="000000"/>
        </w:rPr>
        <w:lastRenderedPageBreak/>
        <w:t xml:space="preserve">Co-ordination: </w:t>
      </w:r>
    </w:p>
    <w:p w:rsidR="00290937" w:rsidRPr="00C73B3D" w:rsidRDefault="00290937" w:rsidP="00C73B3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This includes:</w:t>
      </w:r>
    </w:p>
    <w:p w:rsidR="00290937" w:rsidRPr="00C73B3D" w:rsidRDefault="00290937" w:rsidP="00C73B3D">
      <w:pPr>
        <w:widowControl w:val="0"/>
        <w:numPr>
          <w:ilvl w:val="0"/>
          <w:numId w:val="1"/>
        </w:numPr>
        <w:tabs>
          <w:tab w:val="num" w:pos="1080"/>
        </w:tabs>
        <w:spacing w:before="120"/>
        <w:ind w:left="108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facilitating access to community mental health and disability support services (where needed) that will enable people with mental illnesses to lead their lives as independently and productively as possible</w:t>
      </w:r>
    </w:p>
    <w:p w:rsidR="00290937" w:rsidRPr="00C73B3D" w:rsidRDefault="00290937" w:rsidP="00C73B3D">
      <w:pPr>
        <w:widowControl w:val="0"/>
        <w:numPr>
          <w:ilvl w:val="0"/>
          <w:numId w:val="1"/>
        </w:numPr>
        <w:tabs>
          <w:tab w:val="num" w:pos="540"/>
        </w:tabs>
        <w:spacing w:before="120"/>
        <w:ind w:left="108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developing practical service and support options to address identified infant, child, adolescent or youth needs, utilising public, private and voluntary services</w:t>
      </w:r>
    </w:p>
    <w:p w:rsidR="00290937" w:rsidRPr="00C73B3D" w:rsidRDefault="00290937" w:rsidP="00C73B3D">
      <w:pPr>
        <w:widowControl w:val="0"/>
        <w:numPr>
          <w:ilvl w:val="0"/>
          <w:numId w:val="1"/>
        </w:numPr>
        <w:tabs>
          <w:tab w:val="num" w:pos="540"/>
        </w:tabs>
        <w:spacing w:before="120"/>
        <w:ind w:left="108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prioritising the needs of the infant, child, adolescent or youth and management of demand for available services by determining the relative priority between those accessing services</w:t>
      </w:r>
    </w:p>
    <w:p w:rsidR="00290937" w:rsidRPr="00C73B3D" w:rsidRDefault="00290937" w:rsidP="00C73B3D">
      <w:pPr>
        <w:widowControl w:val="0"/>
        <w:numPr>
          <w:ilvl w:val="0"/>
          <w:numId w:val="1"/>
        </w:numPr>
        <w:tabs>
          <w:tab w:val="num" w:pos="540"/>
        </w:tabs>
        <w:spacing w:before="120"/>
        <w:ind w:left="108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developing a service or ‘lifestyle’ plan</w:t>
      </w:r>
    </w:p>
    <w:p w:rsidR="00290937" w:rsidRPr="00C73B3D" w:rsidRDefault="00290937" w:rsidP="00C73B3D">
      <w:pPr>
        <w:widowControl w:val="0"/>
        <w:numPr>
          <w:ilvl w:val="0"/>
          <w:numId w:val="1"/>
        </w:numPr>
        <w:tabs>
          <w:tab w:val="num" w:pos="540"/>
        </w:tabs>
        <w:spacing w:before="120"/>
        <w:ind w:left="108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matching available resources with needs</w:t>
      </w:r>
    </w:p>
    <w:p w:rsidR="00290937" w:rsidRPr="00C73B3D" w:rsidRDefault="00290937" w:rsidP="00C73B3D">
      <w:pPr>
        <w:widowControl w:val="0"/>
        <w:numPr>
          <w:ilvl w:val="0"/>
          <w:numId w:val="1"/>
        </w:numPr>
        <w:tabs>
          <w:tab w:val="num" w:pos="540"/>
        </w:tabs>
        <w:spacing w:before="120"/>
        <w:ind w:left="108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managing an allocation for carer relief or home support</w:t>
      </w:r>
    </w:p>
    <w:p w:rsidR="00290937" w:rsidRPr="00C73B3D" w:rsidRDefault="00290937" w:rsidP="00C73B3D">
      <w:pPr>
        <w:numPr>
          <w:ilvl w:val="0"/>
          <w:numId w:val="1"/>
        </w:numPr>
        <w:tabs>
          <w:tab w:val="num" w:pos="540"/>
        </w:tabs>
        <w:spacing w:before="120"/>
        <w:ind w:left="1079" w:hanging="539"/>
        <w:rPr>
          <w:rFonts w:ascii="Arial" w:hAnsi="Arial" w:cs="Arial"/>
        </w:rPr>
      </w:pPr>
      <w:r w:rsidRPr="00C73B3D">
        <w:rPr>
          <w:rFonts w:ascii="Arial" w:hAnsi="Arial" w:cs="Arial"/>
          <w:color w:val="000000"/>
        </w:rPr>
        <w:t>access management to support services in accommodation settings</w:t>
      </w:r>
      <w:r w:rsidR="00677652" w:rsidRPr="00C73B3D">
        <w:rPr>
          <w:rFonts w:ascii="Arial" w:hAnsi="Arial" w:cs="Arial"/>
          <w:color w:val="000000"/>
        </w:rPr>
        <w:t>.</w:t>
      </w:r>
    </w:p>
    <w:p w:rsidR="00290937" w:rsidRPr="00C73B3D" w:rsidRDefault="00290937" w:rsidP="00290937">
      <w:pPr>
        <w:spacing w:before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5.2</w:t>
      </w:r>
      <w:r w:rsidRPr="00C73B3D">
        <w:rPr>
          <w:rFonts w:ascii="Arial" w:hAnsi="Arial" w:cs="Arial"/>
          <w:b/>
        </w:rPr>
        <w:tab/>
        <w:t>Settings</w:t>
      </w:r>
    </w:p>
    <w:p w:rsidR="002F0487" w:rsidRPr="002E705D" w:rsidRDefault="002F0487" w:rsidP="002F0487">
      <w:pPr>
        <w:spacing w:before="120"/>
        <w:rPr>
          <w:rFonts w:ascii="Arial" w:hAnsi="Arial" w:cs="Arial"/>
        </w:rPr>
      </w:pPr>
      <w:r w:rsidRPr="002E705D">
        <w:rPr>
          <w:rFonts w:ascii="Arial" w:hAnsi="Arial" w:cs="Arial"/>
        </w:rPr>
        <w:t xml:space="preserve">The Service is provided in a community based setting. </w:t>
      </w:r>
    </w:p>
    <w:p w:rsidR="00290937" w:rsidRPr="00C73B3D" w:rsidRDefault="00290937" w:rsidP="00290937">
      <w:pPr>
        <w:spacing w:before="12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5.3</w:t>
      </w:r>
      <w:r w:rsidRPr="00C73B3D">
        <w:rPr>
          <w:rFonts w:ascii="Arial" w:hAnsi="Arial" w:cs="Arial"/>
          <w:b/>
        </w:rPr>
        <w:tab/>
        <w:t>Key Inputs</w:t>
      </w:r>
    </w:p>
    <w:p w:rsidR="00290937" w:rsidRPr="00C73B3D" w:rsidRDefault="00290937" w:rsidP="00290937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>Services will be provided by:</w:t>
      </w:r>
    </w:p>
    <w:p w:rsidR="00290937" w:rsidRPr="00C73B3D" w:rsidRDefault="00290937" w:rsidP="00290937">
      <w:pPr>
        <w:numPr>
          <w:ilvl w:val="0"/>
          <w:numId w:val="4"/>
        </w:numPr>
        <w:tabs>
          <w:tab w:val="clear" w:pos="1080"/>
          <w:tab w:val="num" w:pos="540"/>
        </w:tabs>
        <w:spacing w:before="120"/>
        <w:ind w:left="540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health professionals regulated by the Health Practitioners Competence Assurance Act 2003 </w:t>
      </w:r>
    </w:p>
    <w:p w:rsidR="00290937" w:rsidRPr="00C73B3D" w:rsidRDefault="00290937" w:rsidP="00290937">
      <w:pPr>
        <w:numPr>
          <w:ilvl w:val="0"/>
          <w:numId w:val="4"/>
        </w:numPr>
        <w:tabs>
          <w:tab w:val="clear" w:pos="1080"/>
          <w:tab w:val="num" w:pos="540"/>
        </w:tabs>
        <w:spacing w:before="120"/>
        <w:ind w:left="540" w:hanging="54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people regulated by a health or social service professional body, people who interact with </w:t>
      </w:r>
      <w:r w:rsidR="00496091">
        <w:rPr>
          <w:rFonts w:ascii="Arial" w:hAnsi="Arial" w:cs="Arial"/>
        </w:rPr>
        <w:t>Service User</w:t>
      </w:r>
      <w:r w:rsidR="00414984" w:rsidRPr="00C73B3D">
        <w:rPr>
          <w:rFonts w:ascii="Arial" w:hAnsi="Arial" w:cs="Arial"/>
        </w:rPr>
        <w:t>s</w:t>
      </w:r>
      <w:r w:rsidRPr="00C73B3D">
        <w:rPr>
          <w:rFonts w:ascii="Arial" w:hAnsi="Arial" w:cs="Arial"/>
        </w:rPr>
        <w:t xml:space="preserve"> and who are not subjected to regulatory requirements under legislation or by any other means</w:t>
      </w:r>
    </w:p>
    <w:p w:rsidR="00290937" w:rsidRPr="00C73B3D" w:rsidRDefault="00290937" w:rsidP="00290937">
      <w:pPr>
        <w:numPr>
          <w:ilvl w:val="0"/>
          <w:numId w:val="4"/>
        </w:numPr>
        <w:tabs>
          <w:tab w:val="clear" w:pos="1080"/>
          <w:tab w:val="num" w:pos="540"/>
        </w:tabs>
        <w:spacing w:before="120"/>
        <w:ind w:left="540" w:hanging="540"/>
        <w:rPr>
          <w:rFonts w:ascii="Arial" w:hAnsi="Arial" w:cs="Arial"/>
          <w:color w:val="000000"/>
        </w:rPr>
      </w:pPr>
      <w:r w:rsidRPr="00C73B3D">
        <w:rPr>
          <w:rFonts w:ascii="Arial" w:hAnsi="Arial" w:cs="Arial"/>
          <w:color w:val="000000"/>
        </w:rPr>
        <w:t xml:space="preserve">staff with qualifications in assessing, planning and co-ordination, </w:t>
      </w:r>
      <w:r w:rsidR="00496091">
        <w:rPr>
          <w:rFonts w:ascii="Arial" w:hAnsi="Arial" w:cs="Arial"/>
          <w:color w:val="000000"/>
        </w:rPr>
        <w:t>Service User</w:t>
      </w:r>
      <w:r w:rsidR="00414984" w:rsidRPr="00C73B3D">
        <w:rPr>
          <w:rFonts w:ascii="Arial" w:hAnsi="Arial" w:cs="Arial"/>
          <w:color w:val="000000"/>
        </w:rPr>
        <w:t>s</w:t>
      </w:r>
      <w:r w:rsidRPr="00C73B3D">
        <w:rPr>
          <w:rFonts w:ascii="Arial" w:hAnsi="Arial" w:cs="Arial"/>
          <w:color w:val="000000"/>
        </w:rPr>
        <w:t xml:space="preserve">, people with experience of disability, cultural workers and health professionals. </w:t>
      </w:r>
    </w:p>
    <w:p w:rsidR="00290937" w:rsidRPr="00C73B3D" w:rsidRDefault="00290937" w:rsidP="00290937">
      <w:pPr>
        <w:spacing w:before="120"/>
        <w:rPr>
          <w:rFonts w:ascii="Arial" w:hAnsi="Arial" w:cs="Arial"/>
        </w:rPr>
      </w:pPr>
      <w:r w:rsidRPr="00C73B3D">
        <w:rPr>
          <w:rFonts w:ascii="Arial" w:hAnsi="Arial" w:cs="Arial"/>
          <w:color w:val="000000"/>
        </w:rPr>
        <w:t xml:space="preserve">Staff will have at least two years of working in the mental health sector, with an understanding around how to establish the correct service delivery for </w:t>
      </w:r>
      <w:r w:rsidR="00496091">
        <w:rPr>
          <w:rFonts w:ascii="Arial" w:hAnsi="Arial" w:cs="Arial"/>
          <w:color w:val="000000"/>
        </w:rPr>
        <w:t>Service User</w:t>
      </w:r>
      <w:r w:rsidR="00414984" w:rsidRPr="00C73B3D">
        <w:rPr>
          <w:rFonts w:ascii="Arial" w:hAnsi="Arial" w:cs="Arial"/>
          <w:color w:val="000000"/>
        </w:rPr>
        <w:t>s</w:t>
      </w:r>
      <w:r w:rsidRPr="00C73B3D">
        <w:rPr>
          <w:rFonts w:ascii="Arial" w:hAnsi="Arial" w:cs="Arial"/>
          <w:color w:val="000000"/>
        </w:rPr>
        <w:t xml:space="preserve"> and the extent and limitations on what service providers can offer at a local level</w:t>
      </w:r>
      <w:r w:rsidR="00677652" w:rsidRPr="00C73B3D">
        <w:rPr>
          <w:rFonts w:ascii="Arial" w:hAnsi="Arial" w:cs="Arial"/>
          <w:color w:val="000000"/>
        </w:rPr>
        <w:t>.</w:t>
      </w:r>
    </w:p>
    <w:p w:rsidR="00290937" w:rsidRPr="00C73B3D" w:rsidRDefault="00290937" w:rsidP="00290937">
      <w:pPr>
        <w:spacing w:before="240"/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t>6.</w:t>
      </w:r>
      <w:r w:rsidRPr="00C73B3D">
        <w:rPr>
          <w:rFonts w:ascii="Arial" w:hAnsi="Arial" w:cs="Arial"/>
          <w:b/>
        </w:rPr>
        <w:tab/>
        <w:t>Service Linkages</w:t>
      </w:r>
    </w:p>
    <w:p w:rsidR="00290937" w:rsidRPr="00C73B3D" w:rsidRDefault="00290937" w:rsidP="00290937">
      <w:pPr>
        <w:spacing w:before="120" w:after="120"/>
        <w:rPr>
          <w:rFonts w:ascii="Arial" w:hAnsi="Arial" w:cs="Arial"/>
        </w:rPr>
      </w:pPr>
      <w:r w:rsidRPr="00C73B3D">
        <w:rPr>
          <w:rFonts w:ascii="Arial" w:hAnsi="Arial" w:cs="Arial"/>
        </w:rPr>
        <w:t xml:space="preserve">Linkages include, but are not limited to the following described in tier one Mental Health and Addiction Specialist Services and tier two Infant, Child, Adolescent and Youth service specifications. </w:t>
      </w:r>
    </w:p>
    <w:p w:rsidR="00290937" w:rsidRPr="00C73B3D" w:rsidRDefault="00677652" w:rsidP="00414984">
      <w:pPr>
        <w:rPr>
          <w:rFonts w:ascii="Arial" w:hAnsi="Arial" w:cs="Arial"/>
          <w:b/>
        </w:rPr>
      </w:pPr>
      <w:r w:rsidRPr="00C73B3D">
        <w:rPr>
          <w:rFonts w:ascii="Arial" w:hAnsi="Arial" w:cs="Arial"/>
          <w:b/>
        </w:rPr>
        <w:br w:type="page"/>
      </w:r>
      <w:r w:rsidR="00052C93">
        <w:rPr>
          <w:rFonts w:ascii="Arial" w:hAnsi="Arial" w:cs="Arial"/>
          <w:b/>
        </w:rPr>
        <w:lastRenderedPageBreak/>
        <w:t>7</w:t>
      </w:r>
      <w:r w:rsidR="00290937" w:rsidRPr="00C73B3D">
        <w:rPr>
          <w:rFonts w:ascii="Arial" w:hAnsi="Arial" w:cs="Arial"/>
          <w:b/>
        </w:rPr>
        <w:t>.</w:t>
      </w:r>
      <w:r w:rsidR="00290937" w:rsidRPr="00C73B3D">
        <w:rPr>
          <w:rFonts w:ascii="Arial" w:hAnsi="Arial" w:cs="Arial"/>
          <w:b/>
        </w:rPr>
        <w:tab/>
        <w:t>Purchase Units and Reporting Requirements</w:t>
      </w:r>
    </w:p>
    <w:p w:rsidR="00290937" w:rsidRPr="00C73B3D" w:rsidRDefault="00052C93" w:rsidP="0029093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14984" w:rsidRPr="00C73B3D">
        <w:rPr>
          <w:rFonts w:ascii="Arial" w:hAnsi="Arial" w:cs="Arial"/>
          <w:b/>
        </w:rPr>
        <w:t>.1</w:t>
      </w:r>
      <w:r w:rsidR="00414984" w:rsidRPr="00C73B3D">
        <w:rPr>
          <w:rFonts w:ascii="Arial" w:hAnsi="Arial" w:cs="Arial"/>
          <w:b/>
        </w:rPr>
        <w:tab/>
      </w:r>
      <w:r w:rsidR="00290937" w:rsidRPr="00C73B3D">
        <w:rPr>
          <w:rFonts w:ascii="Arial" w:hAnsi="Arial" w:cs="Arial"/>
        </w:rPr>
        <w:t xml:space="preserve">Purchase </w:t>
      </w:r>
      <w:r w:rsidR="002F0487" w:rsidRPr="00C73B3D">
        <w:rPr>
          <w:rFonts w:ascii="Arial" w:hAnsi="Arial" w:cs="Arial"/>
        </w:rPr>
        <w:t>Unit</w:t>
      </w:r>
      <w:r w:rsidR="002F0487">
        <w:rPr>
          <w:rFonts w:ascii="Arial" w:hAnsi="Arial" w:cs="Arial"/>
        </w:rPr>
        <w:t xml:space="preserve"> (PU) Codes</w:t>
      </w:r>
      <w:r w:rsidR="002F0487" w:rsidRPr="00C73B3D">
        <w:rPr>
          <w:rFonts w:ascii="Arial" w:hAnsi="Arial" w:cs="Arial"/>
        </w:rPr>
        <w:t xml:space="preserve"> </w:t>
      </w:r>
      <w:r w:rsidR="00290937" w:rsidRPr="00C73B3D">
        <w:rPr>
          <w:rFonts w:ascii="Arial" w:hAnsi="Arial" w:cs="Arial"/>
        </w:rPr>
        <w:t xml:space="preserve">are defined in the DHB and Ministry’s Nationwide Service Framework Purchase Unit Data Dictionary.  The following </w:t>
      </w:r>
      <w:r w:rsidR="002F0487">
        <w:rPr>
          <w:rFonts w:ascii="Arial" w:hAnsi="Arial" w:cs="Arial"/>
        </w:rPr>
        <w:t>codes</w:t>
      </w:r>
      <w:r w:rsidR="00290937" w:rsidRPr="00C73B3D">
        <w:rPr>
          <w:rFonts w:ascii="Arial" w:hAnsi="Arial" w:cs="Arial"/>
        </w:rPr>
        <w:t xml:space="preserve"> apply to this Service.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1610"/>
        <w:gridCol w:w="5910"/>
        <w:gridCol w:w="1235"/>
      </w:tblGrid>
      <w:tr w:rsidR="002F0487" w:rsidRPr="00C73B3D" w:rsidTr="002F0487">
        <w:trPr>
          <w:cantSplit/>
          <w:trHeight w:val="795"/>
          <w:tblHeader/>
        </w:trPr>
        <w:tc>
          <w:tcPr>
            <w:tcW w:w="504" w:type="pct"/>
            <w:shd w:val="clear" w:color="auto" w:fill="D9D9D9"/>
          </w:tcPr>
          <w:p w:rsidR="002F0487" w:rsidRPr="00384AD0" w:rsidRDefault="002F0487" w:rsidP="0029093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84AD0">
              <w:rPr>
                <w:rFonts w:ascii="Arial" w:hAnsi="Arial" w:cs="Arial"/>
                <w:b/>
                <w:sz w:val="20"/>
                <w:szCs w:val="20"/>
              </w:rPr>
              <w:t>PU Code</w:t>
            </w:r>
          </w:p>
        </w:tc>
        <w:tc>
          <w:tcPr>
            <w:tcW w:w="827" w:type="pct"/>
            <w:shd w:val="clear" w:color="auto" w:fill="D9D9D9"/>
          </w:tcPr>
          <w:p w:rsidR="002F0487" w:rsidRPr="00384AD0" w:rsidRDefault="002F0487" w:rsidP="0029093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84AD0">
              <w:rPr>
                <w:rFonts w:ascii="Arial" w:hAnsi="Arial" w:cs="Arial"/>
                <w:b/>
                <w:sz w:val="20"/>
                <w:szCs w:val="20"/>
              </w:rPr>
              <w:t>PU Description</w:t>
            </w:r>
          </w:p>
        </w:tc>
        <w:tc>
          <w:tcPr>
            <w:tcW w:w="3035" w:type="pct"/>
            <w:shd w:val="clear" w:color="auto" w:fill="D9D9D9"/>
          </w:tcPr>
          <w:p w:rsidR="002F0487" w:rsidRPr="00384AD0" w:rsidRDefault="002F0487" w:rsidP="0029093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84AD0">
              <w:rPr>
                <w:rFonts w:ascii="Arial" w:hAnsi="Arial" w:cs="Arial"/>
                <w:b/>
                <w:sz w:val="20"/>
                <w:szCs w:val="20"/>
              </w:rPr>
              <w:t>PU Definition</w:t>
            </w:r>
          </w:p>
        </w:tc>
        <w:tc>
          <w:tcPr>
            <w:tcW w:w="634" w:type="pct"/>
            <w:shd w:val="clear" w:color="auto" w:fill="D9D9D9"/>
          </w:tcPr>
          <w:p w:rsidR="002F0487" w:rsidRPr="00384AD0" w:rsidRDefault="002F0487" w:rsidP="002F04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of </w:t>
            </w:r>
            <w:r w:rsidRPr="00384AD0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</w:tr>
      <w:tr w:rsidR="002F0487" w:rsidRPr="00C73B3D" w:rsidTr="002F0487">
        <w:trPr>
          <w:cantSplit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MHI51A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Infant, child, adolescent and youth services - NASC - Senior medical staff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03124A">
            <w:pPr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A needs assessments service to facilitate the access of infants, children, adolescent and youth to a range of community-based resilience, recovery and support services. The needs assessment process includes: developmental needs within the context of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, cultural needs, educational, housing social, recreational and financial concerns within the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context. The service is provided by senior medical staff trained in mental health intervention, treatment and support.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2F0487" w:rsidRPr="00C73B3D" w:rsidTr="002F0487">
        <w:trPr>
          <w:cantSplit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MHI51B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 xml:space="preserve">Infant, child, adolescent and youth services – NASC – Junior medical 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03124A">
            <w:pPr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A needs assessments service to facilitate the access of infants, children, adolescent and youth to a range of community-based resilience, recovery and support services. The needs assessment process includes: developmental needs within the context of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, cultural needs, educational, housing social, recreational and financial concerns within the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context. The service is provided by junior medical staff trained in mental health intervention, treatment and support.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2F0487" w:rsidRPr="00C73B3D" w:rsidTr="002F0487">
        <w:trPr>
          <w:cantSplit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MHI51C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Infant, child, adolescent and youth services - NASC – Nursing and/or allied health staff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03124A">
            <w:pPr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A needs assessments service to facilitate the access of infants, children, adolescent and youth to a range of community-based resilience, recovery and support services. The needs assessment process includes: developmental needs within the context of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, cultural needs, educational, housing social, recreational and financial concerns within the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context. The service is provided by nurses and/or allied health staff trained in mental health intervention, treatment and support.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2F0487" w:rsidRPr="00C73B3D" w:rsidTr="002F0487">
        <w:trPr>
          <w:cantSplit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MHI51D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Infant, child, adolescent and youth services – NASC- Non clinical staff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03124A">
            <w:pPr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A needs assessments service to facilitate the access of infants, children, adolescent and youth to a range of community-based resilience, recovery and support services. The needs assessment process includes: developmental needs within the context of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, cultural needs, educational, housing social, recreational and financial concerns within the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context. The service is provided by non-clinical staff trained in mental health intervention, treatment and support.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2F0487" w:rsidRPr="00C73B3D" w:rsidTr="002F0487">
        <w:trPr>
          <w:cantSplit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MHI51S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6A6C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4AD0">
              <w:rPr>
                <w:rFonts w:ascii="Arial" w:hAnsi="Arial" w:cs="Arial"/>
                <w:sz w:val="20"/>
                <w:szCs w:val="20"/>
              </w:rPr>
              <w:t>Infant, child, adol</w:t>
            </w:r>
            <w:r w:rsidR="00052C93">
              <w:rPr>
                <w:rFonts w:ascii="Arial" w:hAnsi="Arial" w:cs="Arial"/>
                <w:sz w:val="20"/>
                <w:szCs w:val="20"/>
              </w:rPr>
              <w:t xml:space="preserve">escent and youth services </w:t>
            </w:r>
            <w:r w:rsidR="003B041E">
              <w:rPr>
                <w:rFonts w:ascii="Arial" w:hAnsi="Arial" w:cs="Arial"/>
                <w:sz w:val="20"/>
                <w:szCs w:val="20"/>
              </w:rPr>
              <w:t>- NASC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052C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A needs assessments service to facilitate the access of infants, children, adolescent and youth to a range of community-based resilience, recovery and support services. The needs assessment process includes: developmental needs within the context of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, cultural needs, educational, housing social, recreational and financial concerns within the family/</w:t>
            </w:r>
            <w:proofErr w:type="spellStart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>whanau</w:t>
            </w:r>
            <w:proofErr w:type="spellEnd"/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84A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7" w:rsidRPr="00384AD0" w:rsidRDefault="002F0487" w:rsidP="002909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</w:t>
            </w:r>
          </w:p>
        </w:tc>
      </w:tr>
    </w:tbl>
    <w:p w:rsidR="002F0487" w:rsidRDefault="002F0487" w:rsidP="00414984">
      <w:pPr>
        <w:spacing w:before="120"/>
        <w:rPr>
          <w:rFonts w:ascii="Arial" w:hAnsi="Arial" w:cs="Arial"/>
          <w:b/>
        </w:rPr>
      </w:pPr>
    </w:p>
    <w:p w:rsidR="002F0487" w:rsidRDefault="002F04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244"/>
      </w:tblGrid>
      <w:tr w:rsidR="002F0487" w:rsidRPr="00D40348" w:rsidTr="00973086">
        <w:tc>
          <w:tcPr>
            <w:tcW w:w="1384" w:type="dxa"/>
            <w:shd w:val="clear" w:color="auto" w:fill="D9D9D9" w:themeFill="background1" w:themeFillShade="D9"/>
          </w:tcPr>
          <w:p w:rsidR="002F0487" w:rsidRPr="006A6CAF" w:rsidRDefault="002F0487" w:rsidP="00D878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A6CAF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lastRenderedPageBreak/>
              <w:t>Unit of Measure</w:t>
            </w:r>
          </w:p>
        </w:tc>
        <w:tc>
          <w:tcPr>
            <w:tcW w:w="8244" w:type="dxa"/>
            <w:shd w:val="clear" w:color="auto" w:fill="D9D9D9" w:themeFill="background1" w:themeFillShade="D9"/>
          </w:tcPr>
          <w:p w:rsidR="002F0487" w:rsidRPr="006A6CAF" w:rsidRDefault="002F0487" w:rsidP="00D878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A6CAF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Unit of Measure Definition</w:t>
            </w:r>
          </w:p>
        </w:tc>
      </w:tr>
      <w:tr w:rsidR="002F0487" w:rsidRPr="00485D19" w:rsidTr="006A6CAF">
        <w:tc>
          <w:tcPr>
            <w:tcW w:w="1384" w:type="dxa"/>
          </w:tcPr>
          <w:p w:rsidR="002F0487" w:rsidRPr="00485D19" w:rsidRDefault="002F0487" w:rsidP="006A6CAF">
            <w:pPr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85D19">
              <w:rPr>
                <w:rFonts w:ascii="Arial" w:hAnsi="Arial" w:cs="Arial"/>
                <w:sz w:val="20"/>
                <w:szCs w:val="20"/>
                <w:lang w:val="en-GB" w:eastAsia="en-GB"/>
              </w:rPr>
              <w:t>FTE</w:t>
            </w:r>
          </w:p>
        </w:tc>
        <w:tc>
          <w:tcPr>
            <w:tcW w:w="8244" w:type="dxa"/>
          </w:tcPr>
          <w:p w:rsidR="002F0487" w:rsidRPr="00485D19" w:rsidRDefault="002F0487" w:rsidP="006A6CAF">
            <w:pPr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85D19">
              <w:rPr>
                <w:rFonts w:ascii="Arial" w:hAnsi="Arial" w:cs="Arial"/>
                <w:sz w:val="20"/>
                <w:szCs w:val="20"/>
                <w:lang w:val="en-GB" w:eastAsia="en-GB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2F0487" w:rsidRPr="00485D19" w:rsidTr="006A6CAF">
        <w:tc>
          <w:tcPr>
            <w:tcW w:w="1384" w:type="dxa"/>
          </w:tcPr>
          <w:p w:rsidR="002F0487" w:rsidRPr="00485D19" w:rsidRDefault="002F0487" w:rsidP="006A6CAF">
            <w:pPr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85D19">
              <w:rPr>
                <w:rFonts w:ascii="Arial" w:hAnsi="Arial" w:cs="Arial"/>
                <w:sz w:val="20"/>
                <w:szCs w:val="20"/>
                <w:lang w:val="en-GB" w:eastAsia="en-GB"/>
              </w:rPr>
              <w:t>Service</w:t>
            </w:r>
          </w:p>
        </w:tc>
        <w:tc>
          <w:tcPr>
            <w:tcW w:w="8244" w:type="dxa"/>
          </w:tcPr>
          <w:p w:rsidR="002F0487" w:rsidRPr="00485D19" w:rsidRDefault="002F0487" w:rsidP="006A6CAF">
            <w:pPr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85D19">
              <w:rPr>
                <w:rFonts w:ascii="Arial" w:hAnsi="Arial" w:cs="Arial"/>
                <w:sz w:val="20"/>
                <w:szCs w:val="20"/>
                <w:lang w:val="en-GB" w:eastAsia="en-GB"/>
              </w:rPr>
              <w:t>Service purchased in a block arrangement uniquely agreed between the parties to the agreement</w:t>
            </w:r>
          </w:p>
        </w:tc>
      </w:tr>
    </w:tbl>
    <w:p w:rsidR="00414984" w:rsidRPr="00C73B3D" w:rsidRDefault="006A6CAF" w:rsidP="006A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</w:t>
      </w:r>
      <w:r>
        <w:rPr>
          <w:rFonts w:ascii="Arial" w:hAnsi="Arial" w:cs="Arial"/>
          <w:b/>
        </w:rPr>
        <w:tab/>
      </w:r>
      <w:r w:rsidR="00414984" w:rsidRPr="00C73B3D">
        <w:rPr>
          <w:rFonts w:ascii="Arial" w:hAnsi="Arial" w:cs="Arial"/>
          <w:b/>
        </w:rPr>
        <w:t>Reporting</w:t>
      </w:r>
    </w:p>
    <w:p w:rsidR="006A6CAF" w:rsidRPr="00BF4DAC" w:rsidRDefault="006A6CAF" w:rsidP="006A6CAF">
      <w:pPr>
        <w:spacing w:before="120"/>
        <w:rPr>
          <w:rFonts w:ascii="Arial" w:hAnsi="Arial" w:cs="Arial"/>
          <w:lang w:val="en-GB" w:eastAsia="en-GB"/>
        </w:rPr>
      </w:pPr>
      <w:r w:rsidRPr="00BF4DAC">
        <w:rPr>
          <w:rFonts w:ascii="Arial" w:hAnsi="Arial" w:cs="Arial"/>
          <w:lang w:val="en-GB" w:eastAsia="en-GB"/>
        </w:rPr>
        <w:t>The Provider must comply with the requirements of national data collections: PRIMHD.</w:t>
      </w:r>
    </w:p>
    <w:p w:rsidR="006A6CAF" w:rsidRPr="00BF4DAC" w:rsidRDefault="006A6CAF" w:rsidP="006A6CAF">
      <w:pPr>
        <w:spacing w:before="120" w:after="120"/>
        <w:rPr>
          <w:rFonts w:ascii="Arial" w:hAnsi="Arial" w:cs="Arial"/>
          <w:lang w:val="en-GB" w:eastAsia="en-GB"/>
        </w:rPr>
      </w:pPr>
      <w:r w:rsidRPr="00BF4DAC">
        <w:rPr>
          <w:rFonts w:ascii="Arial" w:hAnsi="Arial" w:cs="Arial"/>
          <w:lang w:val="en-GB" w:eastAsia="en-GB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6A6CAF" w:rsidRPr="00BF4DAC" w:rsidRDefault="006A6CAF" w:rsidP="006A6CAF">
      <w:pPr>
        <w:spacing w:before="120"/>
        <w:rPr>
          <w:rFonts w:ascii="Arial" w:hAnsi="Arial" w:cs="Arial"/>
          <w:lang w:val="en-GB" w:eastAsia="en-GB"/>
        </w:rPr>
      </w:pPr>
      <w:r w:rsidRPr="00BF4DAC">
        <w:rPr>
          <w:rFonts w:ascii="Arial" w:hAnsi="Arial" w:cs="Arial"/>
          <w:lang w:val="en-GB" w:eastAsia="en-GB"/>
        </w:rPr>
        <w:t>The information required by the Funder will be sent to:</w:t>
      </w:r>
    </w:p>
    <w:p w:rsidR="006A6CAF" w:rsidRPr="00BF4DAC" w:rsidRDefault="006A6CAF" w:rsidP="006A6CAF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BF4DAC">
        <w:rPr>
          <w:rFonts w:ascii="Arial" w:hAnsi="Arial"/>
          <w:szCs w:val="20"/>
          <w:lang w:val="en-GB" w:eastAsia="en-GB"/>
        </w:rPr>
        <w:t>Performance Reporting</w:t>
      </w:r>
    </w:p>
    <w:p w:rsidR="006A6CAF" w:rsidRPr="00BF4DAC" w:rsidRDefault="006A6CAF" w:rsidP="006A6CAF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BF4DAC">
        <w:rPr>
          <w:rFonts w:ascii="Arial" w:hAnsi="Arial"/>
          <w:szCs w:val="20"/>
          <w:lang w:val="en-GB" w:eastAsia="en-GB"/>
        </w:rPr>
        <w:t>Sector Operations</w:t>
      </w:r>
    </w:p>
    <w:p w:rsidR="006A6CAF" w:rsidRPr="00BF4DAC" w:rsidRDefault="006A6CAF" w:rsidP="006A6CAF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BF4DAC">
        <w:rPr>
          <w:rFonts w:ascii="Arial" w:hAnsi="Arial"/>
          <w:szCs w:val="20"/>
          <w:lang w:val="en-GB" w:eastAsia="en-GB"/>
        </w:rPr>
        <w:t>Ministry of Health</w:t>
      </w:r>
    </w:p>
    <w:p w:rsidR="006A6CAF" w:rsidRPr="00BF4DAC" w:rsidRDefault="006A6CAF" w:rsidP="006A6CAF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BF4DAC">
        <w:rPr>
          <w:rFonts w:ascii="Arial" w:hAnsi="Arial"/>
          <w:szCs w:val="20"/>
          <w:lang w:val="en-GB" w:eastAsia="en-GB"/>
        </w:rPr>
        <w:t>Private Bag 1942</w:t>
      </w:r>
    </w:p>
    <w:p w:rsidR="006A6CAF" w:rsidRPr="00BF4DAC" w:rsidRDefault="006A6CAF" w:rsidP="006A6CAF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BF4DAC">
        <w:rPr>
          <w:rFonts w:ascii="Arial" w:hAnsi="Arial"/>
          <w:szCs w:val="20"/>
          <w:lang w:val="en-GB" w:eastAsia="en-GB"/>
        </w:rPr>
        <w:t>Dunedin 9054</w:t>
      </w:r>
    </w:p>
    <w:p w:rsidR="006A6CAF" w:rsidRPr="00BF4DAC" w:rsidRDefault="006A6CAF" w:rsidP="006A6CAF">
      <w:pPr>
        <w:spacing w:before="120"/>
        <w:rPr>
          <w:rFonts w:ascii="Arial" w:hAnsi="Arial" w:cs="Arial"/>
          <w:lang w:val="en-GB" w:eastAsia="en-GB"/>
        </w:rPr>
      </w:pPr>
      <w:r w:rsidRPr="00BF4DAC">
        <w:rPr>
          <w:rFonts w:ascii="Arial" w:hAnsi="Arial" w:cs="Arial"/>
          <w:lang w:val="en-GB" w:eastAsia="en-GB"/>
        </w:rPr>
        <w:t xml:space="preserve">Email </w:t>
      </w:r>
      <w:hyperlink r:id="rId9" w:history="1">
        <w:r w:rsidRPr="00BF4DAC">
          <w:rPr>
            <w:rFonts w:ascii="Arial" w:hAnsi="Arial" w:cs="Arial"/>
            <w:color w:val="0000FF"/>
            <w:u w:val="single"/>
            <w:lang w:val="en-GB" w:eastAsia="en-GB"/>
          </w:rPr>
          <w:t>performance_reporting@moh.govt.nz</w:t>
        </w:r>
      </w:hyperlink>
    </w:p>
    <w:p w:rsidR="006A6CAF" w:rsidRPr="00695340" w:rsidRDefault="006A6CAF" w:rsidP="006A6CAF">
      <w:pPr>
        <w:spacing w:before="120" w:after="120"/>
        <w:rPr>
          <w:rFonts w:ascii="Arial" w:hAnsi="Arial" w:cs="Arial"/>
        </w:rPr>
      </w:pPr>
      <w:r w:rsidRPr="00BF4DAC">
        <w:rPr>
          <w:rFonts w:ascii="Arial" w:hAnsi="Arial" w:cs="Arial"/>
          <w:color w:val="000000"/>
          <w:lang w:eastAsia="en-NZ"/>
        </w:rPr>
        <w:t xml:space="preserve">The Performance Monitoring </w:t>
      </w:r>
      <w:r w:rsidRPr="00BF4DAC">
        <w:rPr>
          <w:rFonts w:ascii="Arial" w:hAnsi="Arial" w:cs="Arial"/>
          <w:lang w:val="en-AU"/>
        </w:rPr>
        <w:t>Reporting tables for the Mental Health and Addiction Service Specifications</w:t>
      </w:r>
      <w:r w:rsidRPr="00BF4DAC">
        <w:rPr>
          <w:rFonts w:ascii="Arial" w:hAnsi="Arial" w:cs="Arial"/>
          <w:vertAlign w:val="superscript"/>
          <w:lang w:val="en-GB" w:eastAsia="en-GB"/>
        </w:rPr>
        <w:footnoteReference w:id="1"/>
      </w:r>
      <w:r w:rsidRPr="00BF4DAC">
        <w:rPr>
          <w:rFonts w:ascii="Arial" w:hAnsi="Arial" w:cs="Arial"/>
          <w:lang w:val="en-GB" w:eastAsia="en-GB"/>
        </w:rPr>
        <w:t xml:space="preserve"> may be used for performance monitoring if specified as agreed with the Funder.</w:t>
      </w:r>
    </w:p>
    <w:p w:rsidR="00290937" w:rsidRPr="00C73B3D" w:rsidRDefault="00290937" w:rsidP="00E81560">
      <w:pPr>
        <w:spacing w:before="120"/>
        <w:jc w:val="both"/>
        <w:rPr>
          <w:rFonts w:ascii="Arial" w:hAnsi="Arial" w:cs="Arial"/>
        </w:rPr>
      </w:pPr>
    </w:p>
    <w:sectPr w:rsidR="00290937" w:rsidRPr="00C73B3D" w:rsidSect="00414984"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68" w:rsidRDefault="00104A68">
      <w:r>
        <w:separator/>
      </w:r>
    </w:p>
  </w:endnote>
  <w:endnote w:type="continuationSeparator" w:id="0">
    <w:p w:rsidR="00104A68" w:rsidRDefault="0010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37" w:rsidRDefault="00290937" w:rsidP="002909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937" w:rsidRDefault="00290937" w:rsidP="002909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37" w:rsidRPr="002423A6" w:rsidRDefault="00290937" w:rsidP="0029093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23A6">
      <w:rPr>
        <w:rStyle w:val="PageNumber"/>
        <w:sz w:val="18"/>
        <w:szCs w:val="18"/>
      </w:rPr>
      <w:fldChar w:fldCharType="begin"/>
    </w:r>
    <w:r w:rsidRPr="002423A6">
      <w:rPr>
        <w:rStyle w:val="PageNumber"/>
        <w:sz w:val="18"/>
        <w:szCs w:val="18"/>
      </w:rPr>
      <w:instrText xml:space="preserve">PAGE  </w:instrText>
    </w:r>
    <w:r w:rsidRPr="002423A6">
      <w:rPr>
        <w:rStyle w:val="PageNumber"/>
        <w:sz w:val="18"/>
        <w:szCs w:val="18"/>
      </w:rPr>
      <w:fldChar w:fldCharType="separate"/>
    </w:r>
    <w:r w:rsidR="00544533">
      <w:rPr>
        <w:rStyle w:val="PageNumber"/>
        <w:noProof/>
        <w:sz w:val="18"/>
        <w:szCs w:val="18"/>
      </w:rPr>
      <w:t>5</w:t>
    </w:r>
    <w:r w:rsidRPr="002423A6">
      <w:rPr>
        <w:rStyle w:val="PageNumber"/>
        <w:sz w:val="18"/>
        <w:szCs w:val="18"/>
      </w:rPr>
      <w:fldChar w:fldCharType="end"/>
    </w:r>
  </w:p>
  <w:p w:rsidR="001F34A5" w:rsidRDefault="00414984" w:rsidP="00F51ADC">
    <w:pPr>
      <w:pStyle w:val="Header"/>
      <w:pBdr>
        <w:top w:val="single" w:sz="4" w:space="1" w:color="auto"/>
      </w:pBdr>
      <w:tabs>
        <w:tab w:val="clear" w:pos="4153"/>
        <w:tab w:val="center" w:pos="7371"/>
      </w:tabs>
      <w:ind w:right="360"/>
      <w:rPr>
        <w:rFonts w:ascii="Arial" w:hAnsi="Arial" w:cs="Arial"/>
        <w:sz w:val="20"/>
        <w:szCs w:val="20"/>
      </w:rPr>
    </w:pPr>
    <w:r w:rsidRPr="001F34A5">
      <w:rPr>
        <w:rFonts w:ascii="Arial" w:hAnsi="Arial" w:cs="Arial"/>
        <w:sz w:val="20"/>
        <w:szCs w:val="20"/>
      </w:rPr>
      <w:t>Infant</w:t>
    </w:r>
    <w:r w:rsidDel="00414984">
      <w:rPr>
        <w:rFonts w:ascii="Arial" w:hAnsi="Arial" w:cs="Arial"/>
        <w:sz w:val="20"/>
        <w:szCs w:val="20"/>
      </w:rPr>
      <w:t xml:space="preserve"> </w:t>
    </w:r>
    <w:r w:rsidR="00692009" w:rsidRPr="001F34A5">
      <w:rPr>
        <w:rFonts w:ascii="Arial" w:hAnsi="Arial" w:cs="Arial"/>
        <w:sz w:val="20"/>
        <w:szCs w:val="20"/>
      </w:rPr>
      <w:t xml:space="preserve">Child, Adolescent and Youth Services </w:t>
    </w:r>
    <w:r w:rsidR="00692009">
      <w:rPr>
        <w:rFonts w:ascii="Arial" w:hAnsi="Arial" w:cs="Arial"/>
        <w:sz w:val="20"/>
        <w:szCs w:val="20"/>
      </w:rPr>
      <w:t>-</w:t>
    </w:r>
    <w:r w:rsidR="00290937" w:rsidRPr="001F34A5">
      <w:rPr>
        <w:rFonts w:ascii="Arial" w:hAnsi="Arial" w:cs="Arial"/>
        <w:sz w:val="20"/>
        <w:szCs w:val="20"/>
      </w:rPr>
      <w:t>Needs Assessment Service Co-ordination,</w:t>
    </w:r>
    <w:r w:rsidRPr="0041498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Mental Health and Addiction Services</w:t>
    </w:r>
    <w:r w:rsidR="00290937" w:rsidRPr="001F34A5">
      <w:rPr>
        <w:rFonts w:ascii="Arial" w:hAnsi="Arial" w:cs="Arial"/>
        <w:sz w:val="20"/>
        <w:szCs w:val="20"/>
      </w:rPr>
      <w:t xml:space="preserve"> </w:t>
    </w:r>
    <w:r w:rsidR="001F34A5">
      <w:rPr>
        <w:rFonts w:ascii="Arial" w:hAnsi="Arial" w:cs="Arial"/>
        <w:sz w:val="20"/>
        <w:szCs w:val="20"/>
      </w:rPr>
      <w:t>t</w:t>
    </w:r>
    <w:r w:rsidR="00290937" w:rsidRPr="001F34A5">
      <w:rPr>
        <w:rFonts w:ascii="Arial" w:hAnsi="Arial" w:cs="Arial"/>
        <w:sz w:val="20"/>
        <w:szCs w:val="20"/>
      </w:rPr>
      <w:t xml:space="preserve">ier </w:t>
    </w:r>
    <w:r w:rsidR="001F34A5">
      <w:rPr>
        <w:rFonts w:ascii="Arial" w:hAnsi="Arial" w:cs="Arial"/>
        <w:sz w:val="20"/>
        <w:szCs w:val="20"/>
      </w:rPr>
      <w:t>t</w:t>
    </w:r>
    <w:r w:rsidR="00290937" w:rsidRPr="001F34A5">
      <w:rPr>
        <w:rFonts w:ascii="Arial" w:hAnsi="Arial" w:cs="Arial"/>
        <w:sz w:val="20"/>
        <w:szCs w:val="20"/>
      </w:rPr>
      <w:t xml:space="preserve">hree </w:t>
    </w:r>
    <w:r w:rsidR="001F34A5">
      <w:rPr>
        <w:rFonts w:ascii="Arial" w:hAnsi="Arial" w:cs="Arial"/>
        <w:sz w:val="20"/>
        <w:szCs w:val="20"/>
      </w:rPr>
      <w:t>s</w:t>
    </w:r>
    <w:r w:rsidR="00290937" w:rsidRPr="001F34A5">
      <w:rPr>
        <w:rFonts w:ascii="Arial" w:hAnsi="Arial" w:cs="Arial"/>
        <w:sz w:val="20"/>
        <w:szCs w:val="20"/>
      </w:rPr>
      <w:t xml:space="preserve">ervice </w:t>
    </w:r>
    <w:r w:rsidR="001F34A5">
      <w:rPr>
        <w:rFonts w:ascii="Arial" w:hAnsi="Arial" w:cs="Arial"/>
        <w:sz w:val="20"/>
        <w:szCs w:val="20"/>
      </w:rPr>
      <w:t>s</w:t>
    </w:r>
    <w:r w:rsidR="00290937" w:rsidRPr="001F34A5">
      <w:rPr>
        <w:rFonts w:ascii="Arial" w:hAnsi="Arial" w:cs="Arial"/>
        <w:sz w:val="20"/>
        <w:szCs w:val="20"/>
      </w:rPr>
      <w:t xml:space="preserve">pecification </w:t>
    </w:r>
    <w:r w:rsidR="006A6CAF">
      <w:rPr>
        <w:rFonts w:ascii="Arial" w:hAnsi="Arial" w:cs="Arial"/>
        <w:sz w:val="20"/>
        <w:szCs w:val="20"/>
      </w:rPr>
      <w:t>April 2017</w:t>
    </w:r>
    <w:r w:rsidR="00290937" w:rsidRPr="001F34A5">
      <w:rPr>
        <w:rFonts w:ascii="Arial" w:hAnsi="Arial" w:cs="Arial"/>
        <w:sz w:val="20"/>
        <w:szCs w:val="20"/>
      </w:rPr>
      <w:t xml:space="preserve"> </w:t>
    </w:r>
  </w:p>
  <w:p w:rsidR="00290937" w:rsidRPr="001F34A5" w:rsidRDefault="00290937" w:rsidP="001F34A5">
    <w:pPr>
      <w:pStyle w:val="Header"/>
      <w:tabs>
        <w:tab w:val="clear" w:pos="4153"/>
        <w:tab w:val="center" w:pos="7371"/>
      </w:tabs>
      <w:ind w:right="360"/>
      <w:rPr>
        <w:rFonts w:ascii="Arial" w:hAnsi="Arial" w:cs="Arial"/>
        <w:sz w:val="20"/>
        <w:szCs w:val="20"/>
      </w:rPr>
    </w:pPr>
    <w:r w:rsidRPr="001F34A5">
      <w:rPr>
        <w:rFonts w:ascii="Arial" w:hAnsi="Arial" w:cs="Arial"/>
        <w:sz w:val="20"/>
        <w:szCs w:val="20"/>
      </w:rPr>
      <w:t xml:space="preserve">Nationwide Service Framework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68" w:rsidRDefault="00104A68">
      <w:r>
        <w:separator/>
      </w:r>
    </w:p>
  </w:footnote>
  <w:footnote w:type="continuationSeparator" w:id="0">
    <w:p w:rsidR="00104A68" w:rsidRDefault="00104A68">
      <w:r>
        <w:continuationSeparator/>
      </w:r>
    </w:p>
  </w:footnote>
  <w:footnote w:id="1">
    <w:p w:rsidR="006A6CAF" w:rsidRPr="006F249C" w:rsidRDefault="006A6CAF" w:rsidP="006A6C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79D"/>
    <w:multiLevelType w:val="hybridMultilevel"/>
    <w:tmpl w:val="E0105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57876"/>
    <w:multiLevelType w:val="singleLevel"/>
    <w:tmpl w:val="675EFE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">
    <w:nsid w:val="12ED3D2F"/>
    <w:multiLevelType w:val="singleLevel"/>
    <w:tmpl w:val="675EFE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">
    <w:nsid w:val="5BCD0736"/>
    <w:multiLevelType w:val="hybridMultilevel"/>
    <w:tmpl w:val="C194CC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56E6C"/>
    <w:multiLevelType w:val="hybridMultilevel"/>
    <w:tmpl w:val="3036F962"/>
    <w:lvl w:ilvl="0" w:tplc="FFFFFFFF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7"/>
    <w:rsid w:val="0003124A"/>
    <w:rsid w:val="000347A6"/>
    <w:rsid w:val="00046A9D"/>
    <w:rsid w:val="00052C93"/>
    <w:rsid w:val="00104A68"/>
    <w:rsid w:val="001511C8"/>
    <w:rsid w:val="00176CE3"/>
    <w:rsid w:val="001D121E"/>
    <w:rsid w:val="001F34A5"/>
    <w:rsid w:val="00282854"/>
    <w:rsid w:val="00290937"/>
    <w:rsid w:val="002A7260"/>
    <w:rsid w:val="002D1FFB"/>
    <w:rsid w:val="002F0487"/>
    <w:rsid w:val="00384AD0"/>
    <w:rsid w:val="003B041E"/>
    <w:rsid w:val="00414984"/>
    <w:rsid w:val="00496091"/>
    <w:rsid w:val="004C4604"/>
    <w:rsid w:val="005074D4"/>
    <w:rsid w:val="00544533"/>
    <w:rsid w:val="005905B0"/>
    <w:rsid w:val="006657BC"/>
    <w:rsid w:val="00677652"/>
    <w:rsid w:val="00692009"/>
    <w:rsid w:val="006A6CAF"/>
    <w:rsid w:val="008B66A4"/>
    <w:rsid w:val="00973086"/>
    <w:rsid w:val="0097579A"/>
    <w:rsid w:val="00983BD3"/>
    <w:rsid w:val="009917D0"/>
    <w:rsid w:val="009930E7"/>
    <w:rsid w:val="009E5A48"/>
    <w:rsid w:val="00AF52DE"/>
    <w:rsid w:val="00B45195"/>
    <w:rsid w:val="00BE2BEA"/>
    <w:rsid w:val="00BF3B97"/>
    <w:rsid w:val="00BF5F49"/>
    <w:rsid w:val="00C73B3D"/>
    <w:rsid w:val="00D302B2"/>
    <w:rsid w:val="00D44BA2"/>
    <w:rsid w:val="00D87853"/>
    <w:rsid w:val="00DB7ED3"/>
    <w:rsid w:val="00E62219"/>
    <w:rsid w:val="00E81560"/>
    <w:rsid w:val="00F51ADC"/>
    <w:rsid w:val="00F71A34"/>
    <w:rsid w:val="00FB7AE6"/>
    <w:rsid w:val="00FC2DB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B46CA12-B513-45EE-B1CA-7DB72FC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7"/>
    <w:rPr>
      <w:rFonts w:ascii="Arial Mäori" w:hAnsi="Arial Mäo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937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290937"/>
    <w:rPr>
      <w:sz w:val="20"/>
      <w:szCs w:val="20"/>
    </w:rPr>
  </w:style>
  <w:style w:type="paragraph" w:styleId="Footer">
    <w:name w:val="footer"/>
    <w:basedOn w:val="Normal"/>
    <w:rsid w:val="002909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0937"/>
  </w:style>
  <w:style w:type="paragraph" w:customStyle="1" w:styleId="CharChar">
    <w:name w:val="Char Char"/>
    <w:basedOn w:val="Normal"/>
    <w:rsid w:val="001F34A5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F51ADC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al"/>
    <w:rsid w:val="00B45195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table" w:styleId="TableGrid">
    <w:name w:val="Table Grid"/>
    <w:basedOn w:val="TableNormal"/>
    <w:rsid w:val="002F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7260"/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260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2A72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81560"/>
    <w:rPr>
      <w:color w:val="0000FF"/>
      <w:u w:val="single"/>
    </w:rPr>
  </w:style>
  <w:style w:type="paragraph" w:styleId="Revision">
    <w:name w:val="Revision"/>
    <w:hidden/>
    <w:uiPriority w:val="99"/>
    <w:semiHidden/>
    <w:rsid w:val="00E81560"/>
    <w:rPr>
      <w:rFonts w:ascii="Arial Mäori" w:hAnsi="Arial Mäo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3FF797BB</Template>
  <TotalTime>3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 Craven</cp:lastModifiedBy>
  <cp:revision>6</cp:revision>
  <dcterms:created xsi:type="dcterms:W3CDTF">2017-04-13T01:37:00Z</dcterms:created>
  <dcterms:modified xsi:type="dcterms:W3CDTF">2017-05-01T22:44:00Z</dcterms:modified>
</cp:coreProperties>
</file>