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5" w:type="dxa"/>
        <w:tblLayout w:type="fixed"/>
        <w:tblLook w:val="0000" w:firstRow="0" w:lastRow="0" w:firstColumn="0" w:lastColumn="0" w:noHBand="0" w:noVBand="0"/>
      </w:tblPr>
      <w:tblGrid>
        <w:gridCol w:w="3893"/>
        <w:gridCol w:w="2736"/>
        <w:gridCol w:w="2998"/>
      </w:tblGrid>
      <w:tr w:rsidR="00027868" w:rsidRPr="00DF5B7D" w:rsidTr="00783FBB">
        <w:trPr>
          <w:cantSplit/>
        </w:trPr>
        <w:tc>
          <w:tcPr>
            <w:tcW w:w="3893" w:type="dxa"/>
            <w:vAlign w:val="center"/>
          </w:tcPr>
          <w:p w:rsidR="00027868" w:rsidRPr="00DF5B7D" w:rsidRDefault="0044511F" w:rsidP="00027868">
            <w:pPr>
              <w:rPr>
                <w:rFonts w:cs="Arial"/>
                <w:bCs/>
                <w:sz w:val="34"/>
                <w:szCs w:val="34"/>
                <w:lang w:val="en-NZ"/>
              </w:rPr>
            </w:pPr>
            <w:bookmarkStart w:id="0" w:name="_GoBack"/>
            <w:bookmarkEnd w:id="0"/>
            <w:r w:rsidRPr="00DF5B7D">
              <w:rPr>
                <w:rFonts w:cs="Arial"/>
                <w:noProof/>
                <w:sz w:val="23"/>
                <w:szCs w:val="23"/>
                <w:lang w:val="en-NZ" w:eastAsia="en-NZ"/>
              </w:rPr>
              <w:drawing>
                <wp:inline distT="0" distB="0" distL="0" distR="0" wp14:anchorId="7240A44C" wp14:editId="34EBFC4F">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34" w:type="dxa"/>
            <w:gridSpan w:val="2"/>
            <w:vAlign w:val="center"/>
          </w:tcPr>
          <w:p w:rsidR="00027868" w:rsidRPr="00DF5B7D" w:rsidRDefault="00027868" w:rsidP="00027868">
            <w:pPr>
              <w:jc w:val="right"/>
              <w:rPr>
                <w:rFonts w:cs="Arial"/>
                <w:sz w:val="32"/>
                <w:szCs w:val="32"/>
                <w:lang w:val="en-NZ"/>
              </w:rPr>
            </w:pPr>
          </w:p>
          <w:p w:rsidR="00027868" w:rsidRPr="00DF5B7D" w:rsidRDefault="00342E39" w:rsidP="00342E39">
            <w:pPr>
              <w:jc w:val="right"/>
              <w:rPr>
                <w:rFonts w:cs="Arial"/>
                <w:bCs/>
                <w:sz w:val="36"/>
                <w:szCs w:val="36"/>
                <w:lang w:val="en-NZ"/>
              </w:rPr>
            </w:pPr>
            <w:r w:rsidRPr="00DF5B7D">
              <w:rPr>
                <w:rFonts w:cs="Arial"/>
                <w:b/>
                <w:sz w:val="36"/>
                <w:szCs w:val="36"/>
                <w:lang w:val="en-NZ"/>
              </w:rPr>
              <w:t>All District Health Boards</w:t>
            </w:r>
          </w:p>
        </w:tc>
      </w:tr>
      <w:tr w:rsidR="00027868" w:rsidRPr="00DF5B7D" w:rsidTr="00783FBB">
        <w:tc>
          <w:tcPr>
            <w:tcW w:w="9627" w:type="dxa"/>
            <w:gridSpan w:val="3"/>
            <w:tcBorders>
              <w:bottom w:val="single" w:sz="4" w:space="0" w:color="auto"/>
            </w:tcBorders>
          </w:tcPr>
          <w:p w:rsidR="006D5A0F" w:rsidRPr="00DF5B7D" w:rsidRDefault="006D5A0F" w:rsidP="00E939F1">
            <w:pPr>
              <w:spacing w:before="1920" w:after="120"/>
              <w:jc w:val="center"/>
              <w:rPr>
                <w:rFonts w:cs="Arial"/>
                <w:b/>
                <w:sz w:val="36"/>
                <w:szCs w:val="36"/>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DF5B7D">
              <w:rPr>
                <w:rFonts w:cs="Arial"/>
                <w:b/>
                <w:bCs/>
                <w:sz w:val="36"/>
                <w:szCs w:val="36"/>
                <w:lang w:val="en-NZ"/>
              </w:rPr>
              <w:t xml:space="preserve">FORENSIC MENTAL HEALTH </w:t>
            </w:r>
            <w:r w:rsidR="003F467A" w:rsidRPr="00DF5B7D">
              <w:rPr>
                <w:rFonts w:cs="Arial"/>
                <w:b/>
                <w:bCs/>
                <w:sz w:val="36"/>
                <w:szCs w:val="36"/>
                <w:lang w:val="en-NZ"/>
              </w:rPr>
              <w:t>SERVICES -</w:t>
            </w:r>
          </w:p>
          <w:p w:rsidR="000C352C" w:rsidRPr="00DF5B7D" w:rsidRDefault="00D60D11" w:rsidP="00027868">
            <w:pPr>
              <w:spacing w:before="120" w:after="120"/>
              <w:jc w:val="center"/>
              <w:rPr>
                <w:rFonts w:cs="Arial"/>
                <w:b/>
                <w:bCs/>
                <w:sz w:val="36"/>
                <w:szCs w:val="36"/>
                <w:lang w:val="en-NZ"/>
              </w:rPr>
            </w:pPr>
            <w:r w:rsidRPr="00DF5B7D">
              <w:rPr>
                <w:rFonts w:cs="Arial"/>
                <w:b/>
                <w:bCs/>
                <w:sz w:val="36"/>
                <w:szCs w:val="36"/>
                <w:lang w:val="en-NZ"/>
              </w:rPr>
              <w:t xml:space="preserve">EXTENDED </w:t>
            </w:r>
            <w:r w:rsidR="00CE72CB" w:rsidRPr="00DF5B7D">
              <w:rPr>
                <w:rFonts w:cs="Arial"/>
                <w:b/>
                <w:bCs/>
                <w:sz w:val="36"/>
                <w:szCs w:val="36"/>
                <w:lang w:val="en-NZ"/>
              </w:rPr>
              <w:t>TERM SECURE</w:t>
            </w:r>
            <w:r w:rsidR="00FA1BC6" w:rsidRPr="00DF5B7D">
              <w:rPr>
                <w:rFonts w:cs="Arial"/>
                <w:b/>
                <w:bCs/>
                <w:sz w:val="36"/>
                <w:szCs w:val="36"/>
                <w:lang w:val="en-NZ"/>
              </w:rPr>
              <w:t xml:space="preserve"> SERVICE</w:t>
            </w:r>
          </w:p>
          <w:p w:rsidR="006D5A0F" w:rsidRPr="00DF5B7D" w:rsidRDefault="006D5A0F" w:rsidP="00027868">
            <w:pPr>
              <w:spacing w:before="120" w:after="120"/>
              <w:jc w:val="center"/>
              <w:rPr>
                <w:rFonts w:cs="Arial"/>
                <w:b/>
                <w:bCs/>
                <w:sz w:val="36"/>
                <w:szCs w:val="36"/>
                <w:lang w:val="en-NZ"/>
              </w:rPr>
            </w:pPr>
            <w:r w:rsidRPr="00DF5B7D">
              <w:rPr>
                <w:rFonts w:cs="Arial"/>
                <w:b/>
                <w:bCs/>
                <w:sz w:val="36"/>
                <w:szCs w:val="36"/>
                <w:lang w:val="en-NZ"/>
              </w:rPr>
              <w:t xml:space="preserve">MENTAL HEALTH </w:t>
            </w:r>
            <w:smartTag w:uri="urn:schemas-microsoft-com:office:smarttags" w:element="stockticker">
              <w:r w:rsidRPr="00DF5B7D">
                <w:rPr>
                  <w:rFonts w:cs="Arial"/>
                  <w:b/>
                  <w:bCs/>
                  <w:sz w:val="36"/>
                  <w:szCs w:val="36"/>
                  <w:lang w:val="en-NZ"/>
                </w:rPr>
                <w:t>AND</w:t>
              </w:r>
            </w:smartTag>
            <w:r w:rsidRPr="00DF5B7D">
              <w:rPr>
                <w:rFonts w:cs="Arial"/>
                <w:b/>
                <w:bCs/>
                <w:sz w:val="36"/>
                <w:szCs w:val="36"/>
                <w:lang w:val="en-NZ"/>
              </w:rPr>
              <w:t xml:space="preserve"> ADDICTION</w:t>
            </w:r>
            <w:r w:rsidR="00E03896" w:rsidRPr="00DF5B7D">
              <w:rPr>
                <w:rFonts w:cs="Arial"/>
                <w:b/>
                <w:bCs/>
                <w:sz w:val="36"/>
                <w:szCs w:val="36"/>
                <w:lang w:val="en-NZ"/>
              </w:rPr>
              <w:t xml:space="preserve"> SERVICES</w:t>
            </w:r>
          </w:p>
          <w:bookmarkEnd w:id="1"/>
          <w:bookmarkEnd w:id="2"/>
          <w:bookmarkEnd w:id="3"/>
          <w:bookmarkEnd w:id="4"/>
          <w:bookmarkEnd w:id="5"/>
          <w:bookmarkEnd w:id="6"/>
          <w:bookmarkEnd w:id="7"/>
          <w:bookmarkEnd w:id="8"/>
          <w:bookmarkEnd w:id="9"/>
          <w:p w:rsidR="00027868" w:rsidRPr="00DF5B7D" w:rsidRDefault="00027868" w:rsidP="00027868">
            <w:pPr>
              <w:spacing w:after="120"/>
              <w:jc w:val="center"/>
              <w:rPr>
                <w:rFonts w:cs="Arial"/>
                <w:b/>
                <w:sz w:val="36"/>
                <w:szCs w:val="36"/>
              </w:rPr>
            </w:pPr>
            <w:smartTag w:uri="urn:schemas-microsoft-com:office:smarttags" w:element="stockticker">
              <w:r w:rsidRPr="00DF5B7D">
                <w:rPr>
                  <w:rFonts w:cs="Arial"/>
                  <w:b/>
                  <w:sz w:val="36"/>
                  <w:szCs w:val="36"/>
                </w:rPr>
                <w:t>TIER</w:t>
              </w:r>
            </w:smartTag>
            <w:r w:rsidRPr="00DF5B7D">
              <w:rPr>
                <w:rFonts w:cs="Arial"/>
                <w:b/>
                <w:sz w:val="36"/>
                <w:szCs w:val="36"/>
              </w:rPr>
              <w:t xml:space="preserve"> </w:t>
            </w:r>
            <w:r w:rsidR="000C352C" w:rsidRPr="00DF5B7D">
              <w:rPr>
                <w:rFonts w:cs="Arial"/>
                <w:b/>
                <w:sz w:val="36"/>
                <w:szCs w:val="36"/>
              </w:rPr>
              <w:t>THREE</w:t>
            </w:r>
          </w:p>
          <w:p w:rsidR="00027868" w:rsidRPr="00DF5B7D" w:rsidRDefault="00027868" w:rsidP="005A187A">
            <w:pPr>
              <w:spacing w:before="120" w:after="720"/>
              <w:jc w:val="center"/>
              <w:rPr>
                <w:rFonts w:cs="Arial"/>
                <w:b/>
                <w:sz w:val="36"/>
                <w:szCs w:val="36"/>
              </w:rPr>
            </w:pPr>
            <w:bookmarkStart w:id="10" w:name="_Toc206406492"/>
            <w:bookmarkStart w:id="11" w:name="_Toc215319103"/>
            <w:r w:rsidRPr="00DF5B7D">
              <w:rPr>
                <w:rFonts w:cs="Arial"/>
                <w:b/>
                <w:sz w:val="36"/>
                <w:szCs w:val="36"/>
              </w:rPr>
              <w:t>SERVICE SPECIFICATION</w:t>
            </w:r>
            <w:bookmarkEnd w:id="10"/>
            <w:bookmarkEnd w:id="11"/>
          </w:p>
          <w:p w:rsidR="00035785" w:rsidRPr="00DF5B7D" w:rsidRDefault="00035785" w:rsidP="00027868">
            <w:pPr>
              <w:spacing w:before="120" w:after="120"/>
              <w:jc w:val="center"/>
              <w:rPr>
                <w:rFonts w:cs="Arial"/>
              </w:rPr>
            </w:pPr>
          </w:p>
        </w:tc>
      </w:tr>
      <w:tr w:rsidR="00783FBB" w:rsidRPr="00DF5B7D" w:rsidTr="006242A4">
        <w:trPr>
          <w:trHeight w:val="2198"/>
        </w:trPr>
        <w:tc>
          <w:tcPr>
            <w:tcW w:w="6629" w:type="dxa"/>
            <w:gridSpan w:val="2"/>
            <w:tcBorders>
              <w:top w:val="single" w:sz="4" w:space="0" w:color="auto"/>
              <w:left w:val="single" w:sz="4" w:space="0" w:color="auto"/>
              <w:bottom w:val="single" w:sz="4" w:space="0" w:color="auto"/>
              <w:right w:val="single" w:sz="4" w:space="0" w:color="auto"/>
            </w:tcBorders>
          </w:tcPr>
          <w:p w:rsidR="00783FBB" w:rsidRPr="00DF5B7D" w:rsidRDefault="00783FBB" w:rsidP="00783FBB">
            <w:pPr>
              <w:spacing w:before="120" w:after="120"/>
              <w:rPr>
                <w:rFonts w:cs="Arial"/>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390BE3">
              <w:rPr>
                <w:b/>
                <w:sz w:val="32"/>
                <w:szCs w:val="32"/>
              </w:rPr>
              <w:t xml:space="preserve">STATUS: </w:t>
            </w:r>
            <w:r w:rsidRPr="00390BE3">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2998" w:type="dxa"/>
            <w:tcBorders>
              <w:top w:val="single" w:sz="4" w:space="0" w:color="auto"/>
              <w:left w:val="single" w:sz="4" w:space="0" w:color="auto"/>
              <w:bottom w:val="single" w:sz="4" w:space="0" w:color="auto"/>
              <w:right w:val="single" w:sz="4" w:space="0" w:color="auto"/>
            </w:tcBorders>
          </w:tcPr>
          <w:p w:rsidR="00783FBB" w:rsidRPr="00DF5B7D" w:rsidRDefault="00783FBB" w:rsidP="00783FBB">
            <w:pPr>
              <w:pStyle w:val="Heading1"/>
              <w:spacing w:before="120" w:after="240"/>
              <w:ind w:left="34"/>
              <w:jc w:val="left"/>
              <w:rPr>
                <w:rFonts w:cs="Arial"/>
                <w:sz w:val="36"/>
                <w:szCs w:val="36"/>
              </w:rPr>
            </w:pPr>
            <w:bookmarkStart w:id="20" w:name="_Toc206389499"/>
            <w:bookmarkStart w:id="21" w:name="_Toc215319108"/>
            <w:r w:rsidRPr="00390BE3">
              <w:rPr>
                <w:sz w:val="32"/>
                <w:szCs w:val="32"/>
              </w:rPr>
              <w:t>NON-MANDATORY</w:t>
            </w:r>
            <w:bookmarkEnd w:id="20"/>
            <w:bookmarkEnd w:id="21"/>
          </w:p>
        </w:tc>
      </w:tr>
      <w:tr w:rsidR="00783FBB" w:rsidRPr="00DF5B7D" w:rsidTr="00783FBB">
        <w:trPr>
          <w:trHeight w:val="297"/>
        </w:trPr>
        <w:tc>
          <w:tcPr>
            <w:tcW w:w="6629" w:type="dxa"/>
            <w:gridSpan w:val="2"/>
            <w:tcBorders>
              <w:top w:val="single" w:sz="4" w:space="0" w:color="auto"/>
              <w:bottom w:val="single" w:sz="4" w:space="0" w:color="auto"/>
            </w:tcBorders>
            <w:shd w:val="clear" w:color="auto" w:fill="CCCCCC"/>
          </w:tcPr>
          <w:p w:rsidR="00783FBB" w:rsidRPr="00DF5B7D" w:rsidRDefault="00783FBB" w:rsidP="00783FBB">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DF5B7D">
              <w:rPr>
                <w:rFonts w:cs="Arial"/>
                <w:b/>
                <w:sz w:val="32"/>
                <w:szCs w:val="32"/>
              </w:rPr>
              <w:t>Review History</w:t>
            </w:r>
            <w:bookmarkEnd w:id="22"/>
            <w:bookmarkEnd w:id="23"/>
            <w:bookmarkEnd w:id="24"/>
            <w:bookmarkEnd w:id="25"/>
            <w:bookmarkEnd w:id="26"/>
            <w:bookmarkEnd w:id="27"/>
            <w:bookmarkEnd w:id="28"/>
            <w:bookmarkEnd w:id="29"/>
          </w:p>
        </w:tc>
        <w:tc>
          <w:tcPr>
            <w:tcW w:w="2998" w:type="dxa"/>
            <w:tcBorders>
              <w:top w:val="single" w:sz="4" w:space="0" w:color="auto"/>
              <w:bottom w:val="single" w:sz="4" w:space="0" w:color="auto"/>
            </w:tcBorders>
            <w:shd w:val="clear" w:color="auto" w:fill="CCCCCC"/>
          </w:tcPr>
          <w:p w:rsidR="00783FBB" w:rsidRPr="00DF5B7D" w:rsidRDefault="00783FBB" w:rsidP="00783FBB">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DF5B7D">
              <w:rPr>
                <w:rFonts w:cs="Arial"/>
                <w:b/>
                <w:sz w:val="32"/>
                <w:szCs w:val="32"/>
              </w:rPr>
              <w:t>Date</w:t>
            </w:r>
            <w:bookmarkEnd w:id="30"/>
            <w:bookmarkEnd w:id="31"/>
            <w:bookmarkEnd w:id="32"/>
            <w:bookmarkEnd w:id="33"/>
            <w:bookmarkEnd w:id="34"/>
            <w:bookmarkEnd w:id="35"/>
            <w:bookmarkEnd w:id="36"/>
            <w:bookmarkEnd w:id="37"/>
            <w:bookmarkEnd w:id="38"/>
          </w:p>
        </w:tc>
      </w:tr>
      <w:tr w:rsidR="00783FBB" w:rsidRPr="00DF5B7D" w:rsidTr="00783FBB">
        <w:tc>
          <w:tcPr>
            <w:tcW w:w="6629" w:type="dxa"/>
            <w:gridSpan w:val="2"/>
            <w:tcBorders>
              <w:top w:val="single" w:sz="4" w:space="0" w:color="auto"/>
              <w:left w:val="single" w:sz="4" w:space="0" w:color="auto"/>
              <w:bottom w:val="single" w:sz="6" w:space="0" w:color="auto"/>
              <w:right w:val="single" w:sz="6" w:space="0" w:color="auto"/>
            </w:tcBorders>
            <w:vAlign w:val="center"/>
          </w:tcPr>
          <w:p w:rsidR="00783FBB" w:rsidRPr="00187E6E" w:rsidRDefault="00783FBB" w:rsidP="00783FBB">
            <w:pPr>
              <w:spacing w:before="120" w:after="120"/>
              <w:rPr>
                <w:rFonts w:cs="Arial"/>
                <w:sz w:val="28"/>
                <w:szCs w:val="28"/>
              </w:rPr>
            </w:pPr>
            <w:bookmarkStart w:id="39" w:name="_Toc215319113"/>
            <w:r w:rsidRPr="00187E6E">
              <w:rPr>
                <w:rFonts w:cs="Arial"/>
                <w:sz w:val="28"/>
                <w:szCs w:val="28"/>
              </w:rPr>
              <w:t>First Published on NSFL</w:t>
            </w:r>
            <w:bookmarkEnd w:id="39"/>
          </w:p>
        </w:tc>
        <w:tc>
          <w:tcPr>
            <w:tcW w:w="2998" w:type="dxa"/>
            <w:tcBorders>
              <w:top w:val="single" w:sz="4" w:space="0" w:color="auto"/>
              <w:left w:val="single" w:sz="6" w:space="0" w:color="auto"/>
              <w:bottom w:val="single" w:sz="6" w:space="0" w:color="auto"/>
              <w:right w:val="single" w:sz="4" w:space="0" w:color="auto"/>
            </w:tcBorders>
            <w:vAlign w:val="center"/>
          </w:tcPr>
          <w:p w:rsidR="00783FBB" w:rsidRPr="00783FBB" w:rsidRDefault="00783FBB" w:rsidP="00783FBB">
            <w:pPr>
              <w:spacing w:before="120" w:after="120"/>
              <w:rPr>
                <w:rFonts w:cs="Arial"/>
                <w:sz w:val="32"/>
                <w:szCs w:val="32"/>
              </w:rPr>
            </w:pPr>
            <w:r w:rsidRPr="00783FBB">
              <w:rPr>
                <w:rFonts w:cs="Arial"/>
                <w:sz w:val="32"/>
                <w:szCs w:val="32"/>
              </w:rPr>
              <w:t>June 2010</w:t>
            </w:r>
          </w:p>
        </w:tc>
      </w:tr>
      <w:tr w:rsidR="00783FBB" w:rsidRPr="00DF5B7D" w:rsidTr="00783FBB">
        <w:tc>
          <w:tcPr>
            <w:tcW w:w="6629" w:type="dxa"/>
            <w:gridSpan w:val="2"/>
            <w:tcBorders>
              <w:top w:val="single" w:sz="6" w:space="0" w:color="auto"/>
              <w:left w:val="single" w:sz="4" w:space="0" w:color="auto"/>
              <w:bottom w:val="single" w:sz="6" w:space="0" w:color="auto"/>
              <w:right w:val="single" w:sz="6" w:space="0" w:color="auto"/>
            </w:tcBorders>
            <w:vAlign w:val="center"/>
          </w:tcPr>
          <w:p w:rsidR="00783FBB" w:rsidRPr="00783FBB" w:rsidRDefault="00783FBB" w:rsidP="00783FBB">
            <w:pPr>
              <w:spacing w:before="120" w:after="120"/>
              <w:rPr>
                <w:rFonts w:cs="Arial"/>
                <w:sz w:val="24"/>
                <w:szCs w:val="24"/>
              </w:rPr>
            </w:pPr>
            <w:r w:rsidRPr="00783FBB">
              <w:rPr>
                <w:rFonts w:cs="Arial"/>
                <w:b/>
                <w:sz w:val="24"/>
                <w:szCs w:val="24"/>
              </w:rPr>
              <w:t>Amended:</w:t>
            </w:r>
            <w:r w:rsidRPr="00783FBB">
              <w:rPr>
                <w:rFonts w:cs="Arial"/>
                <w:sz w:val="24"/>
                <w:szCs w:val="24"/>
              </w:rPr>
              <w:t xml:space="preserve"> clarified reporting requirements</w:t>
            </w:r>
          </w:p>
        </w:tc>
        <w:tc>
          <w:tcPr>
            <w:tcW w:w="2998" w:type="dxa"/>
            <w:tcBorders>
              <w:top w:val="single" w:sz="6" w:space="0" w:color="auto"/>
              <w:left w:val="single" w:sz="6" w:space="0" w:color="auto"/>
              <w:bottom w:val="single" w:sz="6" w:space="0" w:color="auto"/>
              <w:right w:val="single" w:sz="4" w:space="0" w:color="auto"/>
            </w:tcBorders>
            <w:vAlign w:val="center"/>
          </w:tcPr>
          <w:p w:rsidR="00783FBB" w:rsidRPr="00783FBB" w:rsidRDefault="00783FBB" w:rsidP="00783FBB">
            <w:pPr>
              <w:spacing w:before="120" w:after="120"/>
              <w:rPr>
                <w:rFonts w:cs="Arial"/>
                <w:sz w:val="32"/>
                <w:szCs w:val="32"/>
              </w:rPr>
            </w:pPr>
            <w:r w:rsidRPr="00783FBB">
              <w:rPr>
                <w:rFonts w:cs="Arial"/>
                <w:sz w:val="32"/>
                <w:szCs w:val="32"/>
              </w:rPr>
              <w:t>February 2013</w:t>
            </w:r>
          </w:p>
        </w:tc>
      </w:tr>
      <w:tr w:rsidR="00783FBB" w:rsidRPr="00DF5B7D" w:rsidTr="00783FBB">
        <w:tc>
          <w:tcPr>
            <w:tcW w:w="6629" w:type="dxa"/>
            <w:gridSpan w:val="2"/>
            <w:tcBorders>
              <w:top w:val="single" w:sz="6" w:space="0" w:color="auto"/>
              <w:left w:val="single" w:sz="4" w:space="0" w:color="auto"/>
              <w:bottom w:val="single" w:sz="6" w:space="0" w:color="auto"/>
              <w:right w:val="single" w:sz="6" w:space="0" w:color="auto"/>
            </w:tcBorders>
            <w:vAlign w:val="center"/>
          </w:tcPr>
          <w:p w:rsidR="00783FBB" w:rsidRPr="00783FBB" w:rsidRDefault="00783FBB" w:rsidP="00783FBB">
            <w:pPr>
              <w:spacing w:before="120" w:after="120"/>
              <w:rPr>
                <w:rFonts w:cs="Arial"/>
                <w:b/>
                <w:sz w:val="24"/>
                <w:szCs w:val="24"/>
              </w:rPr>
            </w:pPr>
            <w:r w:rsidRPr="00783FBB">
              <w:rPr>
                <w:rFonts w:cs="Arial"/>
                <w:b/>
                <w:sz w:val="24"/>
                <w:szCs w:val="24"/>
              </w:rPr>
              <w:t>Amended:</w:t>
            </w:r>
            <w:r w:rsidRPr="00783FBB">
              <w:rPr>
                <w:rFonts w:cs="Arial"/>
                <w:sz w:val="24"/>
                <w:szCs w:val="24"/>
              </w:rPr>
              <w:t xml:space="preserve"> removed standard provider monitoring reporting tables.</w:t>
            </w:r>
          </w:p>
        </w:tc>
        <w:tc>
          <w:tcPr>
            <w:tcW w:w="2998" w:type="dxa"/>
            <w:tcBorders>
              <w:top w:val="single" w:sz="6" w:space="0" w:color="auto"/>
              <w:left w:val="single" w:sz="6" w:space="0" w:color="auto"/>
              <w:bottom w:val="single" w:sz="6" w:space="0" w:color="auto"/>
              <w:right w:val="single" w:sz="4" w:space="0" w:color="auto"/>
            </w:tcBorders>
            <w:vAlign w:val="center"/>
          </w:tcPr>
          <w:p w:rsidR="00783FBB" w:rsidRPr="00783FBB" w:rsidRDefault="00783FBB" w:rsidP="00783FBB">
            <w:pPr>
              <w:spacing w:before="120" w:after="120"/>
              <w:rPr>
                <w:rFonts w:cs="Arial"/>
                <w:sz w:val="32"/>
                <w:szCs w:val="32"/>
              </w:rPr>
            </w:pPr>
            <w:r w:rsidRPr="00783FBB">
              <w:rPr>
                <w:rFonts w:cs="Arial"/>
                <w:sz w:val="32"/>
                <w:szCs w:val="32"/>
              </w:rPr>
              <w:t>April 2017</w:t>
            </w:r>
          </w:p>
        </w:tc>
      </w:tr>
      <w:tr w:rsidR="00783FBB" w:rsidRPr="00DF5B7D" w:rsidTr="00783FBB">
        <w:tc>
          <w:tcPr>
            <w:tcW w:w="6629" w:type="dxa"/>
            <w:gridSpan w:val="2"/>
            <w:tcBorders>
              <w:top w:val="single" w:sz="6" w:space="0" w:color="auto"/>
              <w:left w:val="single" w:sz="4" w:space="0" w:color="auto"/>
              <w:bottom w:val="single" w:sz="6" w:space="0" w:color="auto"/>
              <w:right w:val="single" w:sz="6" w:space="0" w:color="auto"/>
            </w:tcBorders>
            <w:vAlign w:val="center"/>
          </w:tcPr>
          <w:p w:rsidR="00783FBB" w:rsidRPr="00DF5B7D" w:rsidRDefault="00783FBB" w:rsidP="00783FBB">
            <w:pPr>
              <w:spacing w:before="120" w:after="120"/>
              <w:rPr>
                <w:rFonts w:cs="Arial"/>
                <w:sz w:val="32"/>
                <w:szCs w:val="32"/>
              </w:rPr>
            </w:pPr>
            <w:bookmarkStart w:id="40" w:name="_Toc215319116"/>
            <w:r w:rsidRPr="00DF5B7D">
              <w:rPr>
                <w:rFonts w:cs="Arial"/>
                <w:sz w:val="32"/>
                <w:szCs w:val="32"/>
              </w:rPr>
              <w:t>Consideration for next Service Specification Review</w:t>
            </w:r>
            <w:bookmarkEnd w:id="40"/>
          </w:p>
        </w:tc>
        <w:tc>
          <w:tcPr>
            <w:tcW w:w="2998" w:type="dxa"/>
            <w:tcBorders>
              <w:top w:val="single" w:sz="6" w:space="0" w:color="auto"/>
              <w:left w:val="single" w:sz="6" w:space="0" w:color="auto"/>
              <w:bottom w:val="single" w:sz="6" w:space="0" w:color="auto"/>
              <w:right w:val="single" w:sz="4" w:space="0" w:color="auto"/>
            </w:tcBorders>
            <w:vAlign w:val="center"/>
          </w:tcPr>
          <w:p w:rsidR="00783FBB" w:rsidRPr="00DF5B7D" w:rsidRDefault="00783FBB" w:rsidP="00783FBB">
            <w:pPr>
              <w:spacing w:before="120" w:after="120"/>
              <w:rPr>
                <w:rFonts w:cs="Arial"/>
                <w:sz w:val="32"/>
                <w:szCs w:val="32"/>
              </w:rPr>
            </w:pPr>
            <w:r w:rsidRPr="00DF5B7D">
              <w:rPr>
                <w:rFonts w:cs="Arial"/>
                <w:sz w:val="32"/>
                <w:szCs w:val="32"/>
              </w:rPr>
              <w:t>Within five years</w:t>
            </w:r>
          </w:p>
        </w:tc>
      </w:tr>
    </w:tbl>
    <w:p w:rsidR="00890B3B" w:rsidRPr="00DF5B7D" w:rsidRDefault="00342E39" w:rsidP="00342E39">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1" w:name="_Toc215319119"/>
      <w:r w:rsidRPr="00DF5B7D">
        <w:rPr>
          <w:rFonts w:cs="Arial"/>
          <w:b/>
          <w:sz w:val="24"/>
          <w:szCs w:val="24"/>
        </w:rPr>
        <w:t>Note:</w:t>
      </w:r>
      <w:r w:rsidRPr="00DF5B7D">
        <w:rPr>
          <w:rFonts w:cs="Arial"/>
          <w:sz w:val="24"/>
          <w:szCs w:val="24"/>
        </w:rPr>
        <w:t xml:space="preserve"> Contact the Service Specification Programme Manager, </w:t>
      </w:r>
      <w:r w:rsidR="00857C0F" w:rsidRPr="00857C0F">
        <w:rPr>
          <w:sz w:val="24"/>
          <w:szCs w:val="24"/>
        </w:rPr>
        <w:t>Service Commissioning</w:t>
      </w:r>
      <w:r w:rsidRPr="00857C0F">
        <w:rPr>
          <w:rFonts w:cs="Arial"/>
          <w:sz w:val="24"/>
          <w:szCs w:val="24"/>
        </w:rPr>
        <w:t xml:space="preserve">, </w:t>
      </w:r>
      <w:r w:rsidRPr="00DF5B7D">
        <w:rPr>
          <w:rFonts w:cs="Arial"/>
          <w:sz w:val="24"/>
          <w:szCs w:val="24"/>
        </w:rPr>
        <w:t xml:space="preserve">Ministry of Health to discuss proposed amendments to the service specifications and guidance in developing new or updating and revising existing service specifications. </w:t>
      </w:r>
    </w:p>
    <w:p w:rsidR="00342E39" w:rsidRPr="00DF5B7D" w:rsidRDefault="00342E39" w:rsidP="00342E39">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DF5B7D">
        <w:rPr>
          <w:rFonts w:cs="Arial"/>
          <w:sz w:val="24"/>
          <w:szCs w:val="24"/>
        </w:rPr>
        <w:t xml:space="preserve">Nationwide Service Framework Library web site </w:t>
      </w:r>
      <w:hyperlink r:id="rId8" w:history="1">
        <w:r w:rsidRPr="00DF5B7D">
          <w:rPr>
            <w:rStyle w:val="Hyperlink"/>
            <w:rFonts w:cs="Arial"/>
            <w:sz w:val="24"/>
            <w:szCs w:val="24"/>
          </w:rPr>
          <w:t>http://www.nsfl.health.govt.nz</w:t>
        </w:r>
      </w:hyperlink>
    </w:p>
    <w:bookmarkEnd w:id="41"/>
    <w:p w:rsidR="00DF7973" w:rsidRPr="00DF5B7D" w:rsidRDefault="00027868"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DF5B7D">
        <w:rPr>
          <w:rFonts w:cs="Arial"/>
          <w:sz w:val="20"/>
        </w:rPr>
        <w:br w:type="page"/>
      </w:r>
      <w:bookmarkStart w:id="42" w:name="_Toc215319122"/>
      <w:r w:rsidR="00695506" w:rsidRPr="00DF5B7D">
        <w:rPr>
          <w:rFonts w:cs="Arial"/>
          <w:b/>
          <w:sz w:val="24"/>
          <w:lang w:val="en-NZ"/>
        </w:rPr>
        <w:lastRenderedPageBreak/>
        <w:t>FORENSIC</w:t>
      </w:r>
      <w:r w:rsidR="00DF7973" w:rsidRPr="00DF5B7D">
        <w:rPr>
          <w:rFonts w:cs="Arial"/>
          <w:b/>
          <w:sz w:val="24"/>
          <w:lang w:val="en-NZ"/>
        </w:rPr>
        <w:t xml:space="preserve"> </w:t>
      </w:r>
      <w:r w:rsidRPr="00DF5B7D">
        <w:rPr>
          <w:rFonts w:cs="Arial"/>
          <w:b/>
          <w:sz w:val="24"/>
          <w:lang w:val="en-NZ"/>
        </w:rPr>
        <w:t>MENTAL HEALTH</w:t>
      </w:r>
      <w:r w:rsidR="005F047A" w:rsidRPr="00DF5B7D">
        <w:rPr>
          <w:rFonts w:cs="Arial"/>
          <w:b/>
          <w:sz w:val="24"/>
          <w:lang w:val="en-NZ"/>
        </w:rPr>
        <w:t xml:space="preserve"> - </w:t>
      </w:r>
      <w:r w:rsidR="006D5A0F" w:rsidRPr="00DF5B7D">
        <w:rPr>
          <w:rFonts w:cs="Arial"/>
          <w:b/>
          <w:sz w:val="24"/>
          <w:szCs w:val="24"/>
        </w:rPr>
        <w:t>EXTENDED TERM SECURE SERVICE</w:t>
      </w:r>
    </w:p>
    <w:p w:rsidR="006D5A0F" w:rsidRPr="00DF5B7D" w:rsidRDefault="006D5A0F"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DF5B7D">
        <w:rPr>
          <w:rFonts w:cs="Arial"/>
          <w:b/>
          <w:sz w:val="24"/>
          <w:szCs w:val="24"/>
        </w:rPr>
        <w:t xml:space="preserve">MENTAL HEALTH </w:t>
      </w:r>
      <w:smartTag w:uri="urn:schemas-microsoft-com:office:smarttags" w:element="stockticker">
        <w:r w:rsidRPr="00DF5B7D">
          <w:rPr>
            <w:rFonts w:cs="Arial"/>
            <w:b/>
            <w:sz w:val="24"/>
            <w:szCs w:val="24"/>
          </w:rPr>
          <w:t>AND</w:t>
        </w:r>
      </w:smartTag>
      <w:r w:rsidRPr="00DF5B7D">
        <w:rPr>
          <w:rFonts w:cs="Arial"/>
          <w:b/>
          <w:sz w:val="24"/>
          <w:szCs w:val="24"/>
        </w:rPr>
        <w:t xml:space="preserve"> ADDICTION</w:t>
      </w:r>
      <w:r w:rsidR="00E03896" w:rsidRPr="00DF5B7D">
        <w:rPr>
          <w:rFonts w:cs="Arial"/>
          <w:b/>
          <w:sz w:val="24"/>
          <w:szCs w:val="24"/>
        </w:rPr>
        <w:t xml:space="preserve"> SERVICES</w:t>
      </w:r>
    </w:p>
    <w:p w:rsidR="00027868" w:rsidRPr="00DF5B7D" w:rsidRDefault="006F5048" w:rsidP="00027868">
      <w:pPr>
        <w:pBdr>
          <w:top w:val="single" w:sz="4" w:space="1" w:color="auto"/>
          <w:left w:val="single" w:sz="4" w:space="4" w:color="auto"/>
          <w:bottom w:val="single" w:sz="4" w:space="1" w:color="auto"/>
          <w:right w:val="single" w:sz="4" w:space="4" w:color="auto"/>
        </w:pBdr>
        <w:jc w:val="center"/>
        <w:rPr>
          <w:rFonts w:cs="Arial"/>
        </w:rPr>
      </w:pPr>
      <w:smartTag w:uri="urn:schemas-microsoft-com:office:smarttags" w:element="stockticker">
        <w:r w:rsidRPr="00DF5B7D">
          <w:rPr>
            <w:rFonts w:cs="Arial"/>
            <w:b/>
            <w:sz w:val="24"/>
            <w:szCs w:val="24"/>
          </w:rPr>
          <w:t>TIER</w:t>
        </w:r>
      </w:smartTag>
      <w:r w:rsidRPr="00DF5B7D">
        <w:rPr>
          <w:rFonts w:cs="Arial"/>
          <w:b/>
          <w:sz w:val="24"/>
          <w:szCs w:val="24"/>
        </w:rPr>
        <w:t xml:space="preserve"> THREE</w:t>
      </w:r>
      <w:r w:rsidR="00857C0F">
        <w:rPr>
          <w:rFonts w:cs="Arial"/>
          <w:b/>
          <w:sz w:val="24"/>
          <w:szCs w:val="24"/>
        </w:rPr>
        <w:t xml:space="preserve"> </w:t>
      </w:r>
      <w:r w:rsidR="00027868" w:rsidRPr="00DF5B7D">
        <w:rPr>
          <w:rFonts w:cs="Arial"/>
          <w:b/>
          <w:sz w:val="24"/>
          <w:lang w:val="en-NZ"/>
        </w:rPr>
        <w:t>SERVICE SPECIFICATION</w:t>
      </w:r>
    </w:p>
    <w:bookmarkEnd w:id="42"/>
    <w:p w:rsidR="00DB422A" w:rsidRPr="00DF5B7D" w:rsidRDefault="00DB422A"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DF5B7D">
        <w:rPr>
          <w:rFonts w:cs="Arial"/>
          <w:b/>
          <w:sz w:val="24"/>
          <w:szCs w:val="24"/>
        </w:rPr>
        <w:t>MHF81</w:t>
      </w:r>
    </w:p>
    <w:p w:rsidR="00027868" w:rsidRPr="00DF5B7D" w:rsidRDefault="00027868" w:rsidP="00027868">
      <w:pPr>
        <w:spacing w:before="120"/>
        <w:rPr>
          <w:rFonts w:cs="Arial"/>
          <w:sz w:val="24"/>
          <w:szCs w:val="24"/>
        </w:rPr>
      </w:pPr>
      <w:bookmarkStart w:id="43" w:name="_Toc215319123"/>
      <w:r w:rsidRPr="00DF5B7D">
        <w:rPr>
          <w:rFonts w:cs="Arial"/>
          <w:sz w:val="24"/>
          <w:szCs w:val="24"/>
        </w:rPr>
        <w:t xml:space="preserve">This tier </w:t>
      </w:r>
      <w:r w:rsidR="00BA3EB3" w:rsidRPr="00DF5B7D">
        <w:rPr>
          <w:rFonts w:cs="Arial"/>
          <w:sz w:val="24"/>
          <w:szCs w:val="24"/>
        </w:rPr>
        <w:t xml:space="preserve">three </w:t>
      </w:r>
      <w:r w:rsidRPr="00DF5B7D">
        <w:rPr>
          <w:rFonts w:cs="Arial"/>
          <w:sz w:val="24"/>
          <w:szCs w:val="24"/>
        </w:rPr>
        <w:t xml:space="preserve">service specification for </w:t>
      </w:r>
      <w:r w:rsidR="00695506" w:rsidRPr="00DF5B7D">
        <w:rPr>
          <w:rFonts w:cs="Arial"/>
          <w:sz w:val="24"/>
          <w:szCs w:val="24"/>
        </w:rPr>
        <w:t>Forensic</w:t>
      </w:r>
      <w:r w:rsidRPr="00DF5B7D">
        <w:rPr>
          <w:rFonts w:cs="Arial"/>
          <w:sz w:val="24"/>
          <w:szCs w:val="24"/>
        </w:rPr>
        <w:t xml:space="preserve"> Mental Health </w:t>
      </w:r>
      <w:r w:rsidR="003F467A" w:rsidRPr="00DF5B7D">
        <w:rPr>
          <w:rFonts w:cs="Arial"/>
          <w:sz w:val="24"/>
          <w:szCs w:val="24"/>
        </w:rPr>
        <w:t xml:space="preserve">Services - </w:t>
      </w:r>
      <w:r w:rsidR="006D5A0F" w:rsidRPr="00DF5B7D">
        <w:rPr>
          <w:rFonts w:cs="Arial"/>
          <w:sz w:val="24"/>
          <w:szCs w:val="24"/>
        </w:rPr>
        <w:t xml:space="preserve">Extended Term Secure Service </w:t>
      </w:r>
      <w:r w:rsidR="00035785" w:rsidRPr="00DF5B7D">
        <w:rPr>
          <w:rFonts w:cs="Arial"/>
          <w:sz w:val="24"/>
          <w:szCs w:val="24"/>
        </w:rPr>
        <w:t xml:space="preserve">(the Service) </w:t>
      </w:r>
      <w:r w:rsidR="005C068E" w:rsidRPr="00DF5B7D">
        <w:rPr>
          <w:rFonts w:cs="Arial"/>
          <w:sz w:val="24"/>
          <w:szCs w:val="24"/>
        </w:rPr>
        <w:t>must be used in conjunction with</w:t>
      </w:r>
      <w:r w:rsidRPr="00DF5B7D">
        <w:rPr>
          <w:rFonts w:cs="Arial"/>
          <w:sz w:val="24"/>
          <w:szCs w:val="24"/>
        </w:rPr>
        <w:t xml:space="preserve"> </w:t>
      </w:r>
      <w:bookmarkEnd w:id="43"/>
      <w:r w:rsidR="00335AE0">
        <w:rPr>
          <w:rFonts w:cs="Arial"/>
          <w:sz w:val="24"/>
          <w:szCs w:val="24"/>
        </w:rPr>
        <w:t>ti</w:t>
      </w:r>
      <w:r w:rsidR="00335AE0" w:rsidRPr="00DF5B7D">
        <w:rPr>
          <w:rFonts w:cs="Arial"/>
          <w:sz w:val="24"/>
          <w:szCs w:val="24"/>
        </w:rPr>
        <w:t>er one Mental Health and Addiction Services</w:t>
      </w:r>
      <w:r w:rsidR="00802973" w:rsidRPr="00DF5B7D">
        <w:rPr>
          <w:rFonts w:cs="Arial"/>
          <w:sz w:val="24"/>
          <w:szCs w:val="24"/>
        </w:rPr>
        <w:t xml:space="preserve"> </w:t>
      </w:r>
      <w:r w:rsidR="00335AE0">
        <w:rPr>
          <w:rFonts w:cs="Arial"/>
          <w:sz w:val="24"/>
          <w:szCs w:val="24"/>
        </w:rPr>
        <w:t>and ti</w:t>
      </w:r>
      <w:r w:rsidRPr="00DF5B7D">
        <w:rPr>
          <w:rFonts w:cs="Arial"/>
          <w:sz w:val="24"/>
          <w:szCs w:val="24"/>
        </w:rPr>
        <w:t xml:space="preserve">er </w:t>
      </w:r>
      <w:r w:rsidR="00BA3EB3" w:rsidRPr="00DF5B7D">
        <w:rPr>
          <w:rFonts w:cs="Arial"/>
          <w:sz w:val="24"/>
          <w:szCs w:val="24"/>
        </w:rPr>
        <w:t xml:space="preserve">two Forensic Mental Health </w:t>
      </w:r>
      <w:r w:rsidR="005F047A" w:rsidRPr="00DF5B7D">
        <w:rPr>
          <w:rFonts w:cs="Arial"/>
          <w:sz w:val="24"/>
          <w:szCs w:val="24"/>
        </w:rPr>
        <w:t xml:space="preserve">Services </w:t>
      </w:r>
      <w:r w:rsidR="00802973" w:rsidRPr="00DF5B7D">
        <w:rPr>
          <w:rFonts w:cs="Arial"/>
          <w:sz w:val="24"/>
          <w:szCs w:val="24"/>
        </w:rPr>
        <w:t>service specification</w:t>
      </w:r>
      <w:r w:rsidR="00335AE0">
        <w:rPr>
          <w:rFonts w:cs="Arial"/>
          <w:sz w:val="24"/>
          <w:szCs w:val="24"/>
        </w:rPr>
        <w:t>s</w:t>
      </w:r>
      <w:r w:rsidR="00802973" w:rsidRPr="00DF5B7D">
        <w:rPr>
          <w:rFonts w:cs="Arial"/>
          <w:sz w:val="24"/>
          <w:szCs w:val="24"/>
        </w:rPr>
        <w:t xml:space="preserve">. </w:t>
      </w:r>
      <w:r w:rsidR="005F047A" w:rsidRPr="00DF5B7D">
        <w:rPr>
          <w:rFonts w:cs="Arial"/>
          <w:sz w:val="24"/>
          <w:szCs w:val="24"/>
        </w:rPr>
        <w:t xml:space="preserve"> </w:t>
      </w:r>
      <w:r w:rsidR="00802973" w:rsidRPr="00DF5B7D">
        <w:rPr>
          <w:rFonts w:cs="Arial"/>
          <w:sz w:val="24"/>
          <w:szCs w:val="24"/>
        </w:rPr>
        <w:t>In addition, it</w:t>
      </w:r>
      <w:r w:rsidRPr="00DF5B7D">
        <w:rPr>
          <w:rFonts w:cs="Arial"/>
          <w:sz w:val="24"/>
          <w:szCs w:val="24"/>
        </w:rPr>
        <w:t xml:space="preserve"> </w:t>
      </w:r>
      <w:r w:rsidR="005C068E" w:rsidRPr="00DF5B7D">
        <w:rPr>
          <w:rFonts w:cs="Arial"/>
          <w:sz w:val="24"/>
          <w:szCs w:val="24"/>
        </w:rPr>
        <w:t xml:space="preserve">is linked to </w:t>
      </w:r>
      <w:r w:rsidR="00802973" w:rsidRPr="00DF5B7D">
        <w:rPr>
          <w:rFonts w:cs="Arial"/>
          <w:sz w:val="24"/>
          <w:szCs w:val="24"/>
        </w:rPr>
        <w:t xml:space="preserve">a range of </w:t>
      </w:r>
      <w:r w:rsidRPr="00DF5B7D">
        <w:rPr>
          <w:rFonts w:cs="Arial"/>
          <w:sz w:val="24"/>
          <w:szCs w:val="24"/>
        </w:rPr>
        <w:t xml:space="preserve">tier three </w:t>
      </w:r>
      <w:r w:rsidR="00695506" w:rsidRPr="00DF5B7D">
        <w:rPr>
          <w:rFonts w:cs="Arial"/>
          <w:sz w:val="24"/>
          <w:szCs w:val="24"/>
        </w:rPr>
        <w:t>Forensic</w:t>
      </w:r>
      <w:r w:rsidRPr="00DF5B7D">
        <w:rPr>
          <w:rFonts w:cs="Arial"/>
          <w:sz w:val="24"/>
          <w:szCs w:val="24"/>
        </w:rPr>
        <w:t xml:space="preserve"> Mental Health </w:t>
      </w:r>
      <w:r w:rsidR="003F467A" w:rsidRPr="00DF5B7D">
        <w:rPr>
          <w:rFonts w:cs="Arial"/>
          <w:sz w:val="24"/>
          <w:szCs w:val="24"/>
        </w:rPr>
        <w:t xml:space="preserve">Services </w:t>
      </w:r>
      <w:r w:rsidRPr="00DF5B7D">
        <w:rPr>
          <w:rFonts w:cs="Arial"/>
          <w:sz w:val="24"/>
          <w:szCs w:val="24"/>
        </w:rPr>
        <w:t>service specifications.</w:t>
      </w:r>
    </w:p>
    <w:p w:rsidR="00E63A43" w:rsidRPr="00DF5B7D" w:rsidRDefault="00027868" w:rsidP="00CD41DD">
      <w:pPr>
        <w:spacing w:before="120"/>
        <w:rPr>
          <w:rFonts w:cs="Arial"/>
          <w:sz w:val="24"/>
          <w:szCs w:val="24"/>
          <w:lang w:val="en-NZ"/>
        </w:rPr>
      </w:pPr>
      <w:r w:rsidRPr="00DF5B7D">
        <w:rPr>
          <w:rFonts w:cs="Arial"/>
          <w:sz w:val="24"/>
          <w:szCs w:val="24"/>
          <w:lang w:val="en-NZ"/>
        </w:rPr>
        <w:t>The service specification defines</w:t>
      </w:r>
      <w:r w:rsidR="006D5A0F" w:rsidRPr="00DF5B7D">
        <w:rPr>
          <w:rFonts w:cs="Arial"/>
          <w:sz w:val="24"/>
          <w:szCs w:val="24"/>
          <w:lang w:val="en-NZ"/>
        </w:rPr>
        <w:t xml:space="preserve"> </w:t>
      </w:r>
      <w:r w:rsidR="00802973" w:rsidRPr="00DF5B7D">
        <w:rPr>
          <w:rFonts w:cs="Arial"/>
          <w:sz w:val="24"/>
          <w:szCs w:val="24"/>
          <w:lang w:val="en-NZ"/>
        </w:rPr>
        <w:t xml:space="preserve">Forensic Mental Health </w:t>
      </w:r>
      <w:r w:rsidR="003F467A" w:rsidRPr="00DF5B7D">
        <w:rPr>
          <w:rFonts w:cs="Arial"/>
          <w:sz w:val="24"/>
          <w:szCs w:val="24"/>
          <w:lang w:val="en-NZ"/>
        </w:rPr>
        <w:t xml:space="preserve">Services - </w:t>
      </w:r>
      <w:r w:rsidR="00802973" w:rsidRPr="00DF5B7D">
        <w:rPr>
          <w:rFonts w:cs="Arial"/>
          <w:sz w:val="24"/>
          <w:szCs w:val="24"/>
          <w:lang w:val="en-NZ"/>
        </w:rPr>
        <w:t>Extended Term Secure Service</w:t>
      </w:r>
      <w:r w:rsidR="00BA3EB3" w:rsidRPr="00DF5B7D">
        <w:rPr>
          <w:rFonts w:cs="Arial"/>
          <w:sz w:val="24"/>
          <w:szCs w:val="24"/>
          <w:lang w:val="en-NZ"/>
        </w:rPr>
        <w:t xml:space="preserve"> </w:t>
      </w:r>
      <w:r w:rsidRPr="00DF5B7D">
        <w:rPr>
          <w:rFonts w:cs="Arial"/>
          <w:sz w:val="24"/>
          <w:szCs w:val="24"/>
          <w:lang w:val="en-NZ"/>
        </w:rPr>
        <w:t xml:space="preserve">and </w:t>
      </w:r>
      <w:r w:rsidR="00802973" w:rsidRPr="00DF5B7D">
        <w:rPr>
          <w:rFonts w:cs="Arial"/>
          <w:sz w:val="24"/>
          <w:szCs w:val="24"/>
          <w:lang w:val="en-NZ"/>
        </w:rPr>
        <w:t xml:space="preserve">its </w:t>
      </w:r>
      <w:r w:rsidRPr="00DF5B7D">
        <w:rPr>
          <w:rFonts w:cs="Arial"/>
          <w:sz w:val="24"/>
          <w:szCs w:val="24"/>
          <w:lang w:val="en-NZ"/>
        </w:rPr>
        <w:t xml:space="preserve">objectives in the </w:t>
      </w:r>
      <w:r w:rsidR="009B60FF" w:rsidRPr="00DF5B7D">
        <w:rPr>
          <w:rFonts w:cs="Arial"/>
          <w:sz w:val="24"/>
          <w:szCs w:val="24"/>
          <w:lang w:val="en-NZ"/>
        </w:rPr>
        <w:t xml:space="preserve">delivery of the </w:t>
      </w:r>
      <w:r w:rsidR="006D5A0F" w:rsidRPr="00DF5B7D">
        <w:rPr>
          <w:rFonts w:cs="Arial"/>
          <w:sz w:val="24"/>
          <w:szCs w:val="24"/>
          <w:lang w:val="en-NZ"/>
        </w:rPr>
        <w:t>S</w:t>
      </w:r>
      <w:r w:rsidRPr="00DF5B7D">
        <w:rPr>
          <w:rFonts w:cs="Arial"/>
          <w:sz w:val="24"/>
          <w:szCs w:val="24"/>
          <w:lang w:val="en-NZ"/>
        </w:rPr>
        <w:t xml:space="preserve">ervice.  </w:t>
      </w:r>
    </w:p>
    <w:p w:rsidR="00027868" w:rsidRPr="00DF5B7D" w:rsidRDefault="005C068E" w:rsidP="00035785">
      <w:pPr>
        <w:spacing w:before="240" w:after="120"/>
        <w:rPr>
          <w:rFonts w:cs="Arial"/>
          <w:b/>
          <w:sz w:val="24"/>
          <w:szCs w:val="24"/>
        </w:rPr>
      </w:pPr>
      <w:bookmarkStart w:id="44" w:name="_Toc215319135"/>
      <w:r w:rsidRPr="00DF5B7D">
        <w:rPr>
          <w:rFonts w:cs="Arial"/>
          <w:b/>
          <w:sz w:val="24"/>
          <w:szCs w:val="24"/>
        </w:rPr>
        <w:t>1.</w:t>
      </w:r>
      <w:r w:rsidR="00035785" w:rsidRPr="00DF5B7D">
        <w:rPr>
          <w:rFonts w:cs="Arial"/>
          <w:b/>
          <w:sz w:val="24"/>
          <w:szCs w:val="24"/>
        </w:rPr>
        <w:tab/>
      </w:r>
      <w:r w:rsidR="00027868" w:rsidRPr="00DF5B7D">
        <w:rPr>
          <w:rFonts w:cs="Arial"/>
          <w:b/>
          <w:sz w:val="24"/>
          <w:szCs w:val="24"/>
        </w:rPr>
        <w:t>Service Definition</w:t>
      </w:r>
      <w:bookmarkEnd w:id="44"/>
    </w:p>
    <w:p w:rsidR="004739D8" w:rsidRPr="00DF5B7D" w:rsidRDefault="006D5A0F" w:rsidP="008203B4">
      <w:pPr>
        <w:spacing w:before="120"/>
        <w:rPr>
          <w:rFonts w:cs="Arial"/>
          <w:sz w:val="24"/>
          <w:szCs w:val="24"/>
          <w:lang w:val="en-NZ"/>
        </w:rPr>
      </w:pPr>
      <w:r w:rsidRPr="00DF5B7D">
        <w:rPr>
          <w:rFonts w:cs="Arial"/>
          <w:sz w:val="24"/>
          <w:szCs w:val="24"/>
          <w:lang w:val="en-NZ"/>
        </w:rPr>
        <w:t>The</w:t>
      </w:r>
      <w:r w:rsidR="00F40A16" w:rsidRPr="00DF5B7D">
        <w:rPr>
          <w:rFonts w:cs="Arial"/>
          <w:sz w:val="24"/>
          <w:szCs w:val="24"/>
          <w:lang w:val="en-NZ"/>
        </w:rPr>
        <w:t xml:space="preserve"> Service </w:t>
      </w:r>
      <w:r w:rsidR="002D3680" w:rsidRPr="00DF5B7D">
        <w:rPr>
          <w:rFonts w:cs="Arial"/>
          <w:sz w:val="24"/>
          <w:szCs w:val="24"/>
          <w:lang w:val="en-NZ"/>
        </w:rPr>
        <w:t>provides</w:t>
      </w:r>
      <w:r w:rsidR="00F40A16" w:rsidRPr="00DF5B7D">
        <w:rPr>
          <w:rFonts w:cs="Arial"/>
          <w:sz w:val="24"/>
          <w:szCs w:val="24"/>
          <w:lang w:val="en-NZ"/>
        </w:rPr>
        <w:t xml:space="preserve"> </w:t>
      </w:r>
      <w:r w:rsidRPr="00DF5B7D">
        <w:rPr>
          <w:rFonts w:cs="Arial"/>
          <w:sz w:val="24"/>
          <w:szCs w:val="24"/>
          <w:lang w:val="en-NZ"/>
        </w:rPr>
        <w:t>a</w:t>
      </w:r>
      <w:r w:rsidR="00F40A16" w:rsidRPr="00DF5B7D">
        <w:rPr>
          <w:rFonts w:cs="Arial"/>
          <w:sz w:val="24"/>
          <w:szCs w:val="24"/>
          <w:lang w:val="en-NZ"/>
        </w:rPr>
        <w:t xml:space="preserve"> higher level of security for a longer period of time, </w:t>
      </w:r>
      <w:r w:rsidR="002D3680" w:rsidRPr="00DF5B7D">
        <w:rPr>
          <w:rFonts w:cs="Arial"/>
          <w:sz w:val="24"/>
          <w:szCs w:val="24"/>
          <w:lang w:val="en-NZ"/>
        </w:rPr>
        <w:t>and also</w:t>
      </w:r>
      <w:r w:rsidR="00F40A16" w:rsidRPr="00DF5B7D">
        <w:rPr>
          <w:rFonts w:cs="Arial"/>
          <w:sz w:val="24"/>
          <w:szCs w:val="24"/>
          <w:lang w:val="en-NZ"/>
        </w:rPr>
        <w:t xml:space="preserve"> a wider range of intensive specialist therapeutic interventions for offenders. </w:t>
      </w:r>
      <w:r w:rsidR="001E2F25" w:rsidRPr="00DF5B7D">
        <w:rPr>
          <w:rFonts w:cs="Arial"/>
          <w:sz w:val="24"/>
          <w:szCs w:val="24"/>
          <w:lang w:val="en-NZ"/>
        </w:rPr>
        <w:t xml:space="preserve"> </w:t>
      </w:r>
    </w:p>
    <w:p w:rsidR="00F40A16" w:rsidRPr="00DF5B7D" w:rsidRDefault="00F40A16" w:rsidP="008203B4">
      <w:pPr>
        <w:spacing w:before="120"/>
        <w:rPr>
          <w:rFonts w:cs="Arial"/>
          <w:sz w:val="24"/>
          <w:szCs w:val="24"/>
          <w:lang w:val="en-NZ"/>
        </w:rPr>
      </w:pPr>
      <w:r w:rsidRPr="00DF5B7D">
        <w:rPr>
          <w:rFonts w:cs="Arial"/>
          <w:sz w:val="24"/>
          <w:szCs w:val="24"/>
          <w:lang w:val="en-NZ"/>
        </w:rPr>
        <w:t xml:space="preserve">Extended care is for those </w:t>
      </w:r>
      <w:r w:rsidR="00342E39" w:rsidRPr="00DF5B7D">
        <w:rPr>
          <w:rFonts w:cs="Arial"/>
          <w:sz w:val="24"/>
          <w:szCs w:val="24"/>
          <w:lang w:val="en-NZ"/>
        </w:rPr>
        <w:t>Service User</w:t>
      </w:r>
      <w:r w:rsidRPr="00DF5B7D">
        <w:rPr>
          <w:rFonts w:cs="Arial"/>
          <w:sz w:val="24"/>
          <w:szCs w:val="24"/>
          <w:lang w:val="en-NZ"/>
        </w:rPr>
        <w:t xml:space="preserve">s who pose a grave and immediate danger to others if at large. </w:t>
      </w:r>
      <w:r w:rsidR="00BD4FCE" w:rsidRPr="00DF5B7D">
        <w:rPr>
          <w:rFonts w:cs="Arial"/>
          <w:sz w:val="24"/>
          <w:szCs w:val="24"/>
          <w:lang w:val="en-NZ"/>
        </w:rPr>
        <w:t xml:space="preserve"> </w:t>
      </w:r>
      <w:r w:rsidRPr="00DF5B7D">
        <w:rPr>
          <w:rFonts w:cs="Arial"/>
          <w:sz w:val="24"/>
          <w:szCs w:val="24"/>
          <w:lang w:val="en-NZ"/>
        </w:rPr>
        <w:t xml:space="preserve">Security arrangements </w:t>
      </w:r>
      <w:r w:rsidR="006D5A0F" w:rsidRPr="00DF5B7D">
        <w:rPr>
          <w:rFonts w:cs="Arial"/>
          <w:sz w:val="24"/>
          <w:szCs w:val="24"/>
          <w:lang w:val="en-NZ"/>
        </w:rPr>
        <w:t xml:space="preserve">must </w:t>
      </w:r>
      <w:r w:rsidRPr="00DF5B7D">
        <w:rPr>
          <w:rFonts w:cs="Arial"/>
          <w:sz w:val="24"/>
          <w:szCs w:val="24"/>
          <w:lang w:val="en-NZ"/>
        </w:rPr>
        <w:t>be capable of preventing even the most determined absconder.</w:t>
      </w:r>
      <w:r w:rsidR="001E2F25" w:rsidRPr="00DF5B7D">
        <w:rPr>
          <w:rFonts w:cs="Arial"/>
          <w:sz w:val="24"/>
          <w:szCs w:val="24"/>
          <w:lang w:val="en-NZ"/>
        </w:rPr>
        <w:t xml:space="preserve"> </w:t>
      </w:r>
      <w:r w:rsidRPr="00DF5B7D">
        <w:rPr>
          <w:rFonts w:cs="Arial"/>
          <w:sz w:val="24"/>
          <w:szCs w:val="24"/>
          <w:lang w:val="en-NZ"/>
        </w:rPr>
        <w:t xml:space="preserve"> High secure services should only be provided in secure </w:t>
      </w:r>
      <w:r w:rsidR="002D3680" w:rsidRPr="00DF5B7D">
        <w:rPr>
          <w:rFonts w:cs="Arial"/>
          <w:sz w:val="24"/>
          <w:szCs w:val="24"/>
          <w:lang w:val="en-NZ"/>
        </w:rPr>
        <w:t>sites</w:t>
      </w:r>
      <w:r w:rsidRPr="00DF5B7D">
        <w:rPr>
          <w:rFonts w:cs="Arial"/>
          <w:sz w:val="24"/>
          <w:szCs w:val="24"/>
          <w:lang w:val="en-NZ"/>
        </w:rPr>
        <w:t xml:space="preserve"> </w:t>
      </w:r>
      <w:r w:rsidR="002D3680" w:rsidRPr="00DF5B7D">
        <w:rPr>
          <w:rFonts w:cs="Arial"/>
          <w:sz w:val="24"/>
          <w:szCs w:val="24"/>
          <w:lang w:val="en-NZ"/>
        </w:rPr>
        <w:t>that offer a full range of therapeutic and recreational facilities within a perimeter fence.</w:t>
      </w:r>
      <w:r w:rsidR="002D3680" w:rsidRPr="00DF5B7D">
        <w:rPr>
          <w:rStyle w:val="FootnoteReference"/>
          <w:rFonts w:cs="Arial"/>
          <w:sz w:val="24"/>
          <w:szCs w:val="24"/>
          <w:lang w:val="en-NZ"/>
        </w:rPr>
        <w:footnoteReference w:id="1"/>
      </w:r>
    </w:p>
    <w:p w:rsidR="008203B4" w:rsidRPr="00DF5B7D" w:rsidRDefault="008203B4" w:rsidP="008203B4">
      <w:pPr>
        <w:spacing w:before="120"/>
        <w:rPr>
          <w:rFonts w:cs="Arial"/>
          <w:sz w:val="24"/>
          <w:szCs w:val="24"/>
        </w:rPr>
      </w:pPr>
      <w:r w:rsidRPr="00DF5B7D">
        <w:rPr>
          <w:rFonts w:cs="Arial"/>
          <w:sz w:val="24"/>
          <w:szCs w:val="24"/>
        </w:rPr>
        <w:t xml:space="preserve">The </w:t>
      </w:r>
      <w:r w:rsidR="00035785" w:rsidRPr="00DF5B7D">
        <w:rPr>
          <w:rFonts w:cs="Arial"/>
          <w:sz w:val="24"/>
          <w:szCs w:val="24"/>
        </w:rPr>
        <w:t>S</w:t>
      </w:r>
      <w:r w:rsidRPr="00DF5B7D">
        <w:rPr>
          <w:rFonts w:cs="Arial"/>
          <w:sz w:val="24"/>
          <w:szCs w:val="24"/>
        </w:rPr>
        <w:t>ervice includes</w:t>
      </w:r>
      <w:r w:rsidR="0075697C" w:rsidRPr="00DF5B7D">
        <w:rPr>
          <w:rFonts w:cs="Arial"/>
          <w:sz w:val="24"/>
          <w:szCs w:val="24"/>
        </w:rPr>
        <w:t xml:space="preserve"> but is not limited to</w:t>
      </w:r>
      <w:r w:rsidRPr="00DF5B7D">
        <w:rPr>
          <w:rFonts w:cs="Arial"/>
          <w:sz w:val="24"/>
          <w:szCs w:val="24"/>
        </w:rPr>
        <w:t>:</w:t>
      </w:r>
    </w:p>
    <w:p w:rsidR="00E63A43" w:rsidRPr="00DF5B7D" w:rsidRDefault="00E63A43" w:rsidP="008E5A3E">
      <w:pPr>
        <w:numPr>
          <w:ilvl w:val="0"/>
          <w:numId w:val="13"/>
        </w:numPr>
        <w:tabs>
          <w:tab w:val="clear" w:pos="1080"/>
          <w:tab w:val="num" w:pos="540"/>
        </w:tabs>
        <w:spacing w:before="120"/>
        <w:ind w:left="540" w:hanging="540"/>
        <w:rPr>
          <w:rFonts w:cs="Arial"/>
          <w:sz w:val="24"/>
          <w:szCs w:val="24"/>
        </w:rPr>
      </w:pPr>
      <w:r w:rsidRPr="00DF5B7D">
        <w:rPr>
          <w:rFonts w:cs="Arial"/>
          <w:sz w:val="24"/>
          <w:szCs w:val="24"/>
        </w:rPr>
        <w:t>acknowledgement of the individual’s legal status</w:t>
      </w:r>
    </w:p>
    <w:p w:rsidR="0075697C" w:rsidRPr="00DF5B7D" w:rsidRDefault="0075697C" w:rsidP="008E5A3E">
      <w:pPr>
        <w:numPr>
          <w:ilvl w:val="0"/>
          <w:numId w:val="13"/>
        </w:numPr>
        <w:tabs>
          <w:tab w:val="clear" w:pos="1080"/>
          <w:tab w:val="num" w:pos="540"/>
        </w:tabs>
        <w:ind w:left="540" w:hanging="540"/>
        <w:rPr>
          <w:rFonts w:cs="Arial"/>
          <w:sz w:val="24"/>
          <w:szCs w:val="24"/>
        </w:rPr>
      </w:pPr>
      <w:r w:rsidRPr="00DF5B7D">
        <w:rPr>
          <w:rFonts w:cs="Arial"/>
          <w:sz w:val="24"/>
          <w:szCs w:val="24"/>
        </w:rPr>
        <w:t>comprehensive forensic psychiatric assessment</w:t>
      </w:r>
      <w:r w:rsidR="00D906A6" w:rsidRPr="00DF5B7D">
        <w:rPr>
          <w:rFonts w:cs="Arial"/>
          <w:sz w:val="24"/>
          <w:szCs w:val="24"/>
        </w:rPr>
        <w:t xml:space="preserve"> and ongoing assessments </w:t>
      </w:r>
    </w:p>
    <w:p w:rsidR="00D906A6" w:rsidRPr="00DF5B7D" w:rsidRDefault="0075697C" w:rsidP="008E5A3E">
      <w:pPr>
        <w:numPr>
          <w:ilvl w:val="0"/>
          <w:numId w:val="13"/>
        </w:numPr>
        <w:tabs>
          <w:tab w:val="clear" w:pos="1080"/>
          <w:tab w:val="num" w:pos="540"/>
        </w:tabs>
        <w:ind w:left="540" w:hanging="540"/>
        <w:rPr>
          <w:rFonts w:cs="Arial"/>
          <w:sz w:val="24"/>
          <w:szCs w:val="24"/>
        </w:rPr>
      </w:pPr>
      <w:r w:rsidRPr="00DF5B7D">
        <w:rPr>
          <w:rFonts w:cs="Arial"/>
          <w:sz w:val="24"/>
          <w:szCs w:val="24"/>
        </w:rPr>
        <w:t xml:space="preserve">recovery focused </w:t>
      </w:r>
      <w:r w:rsidR="008203B4" w:rsidRPr="00DF5B7D">
        <w:rPr>
          <w:rFonts w:cs="Arial"/>
          <w:sz w:val="24"/>
          <w:szCs w:val="24"/>
        </w:rPr>
        <w:t xml:space="preserve">treatments </w:t>
      </w:r>
      <w:r w:rsidRPr="00DF5B7D">
        <w:rPr>
          <w:rFonts w:cs="Arial"/>
          <w:sz w:val="24"/>
          <w:szCs w:val="24"/>
        </w:rPr>
        <w:t>and</w:t>
      </w:r>
      <w:r w:rsidR="00D906A6" w:rsidRPr="00DF5B7D">
        <w:rPr>
          <w:rFonts w:cs="Arial"/>
          <w:sz w:val="24"/>
          <w:szCs w:val="24"/>
        </w:rPr>
        <w:t xml:space="preserve"> a range of interventions including psychological, social, behavioural, cultural</w:t>
      </w:r>
      <w:r w:rsidR="00035785" w:rsidRPr="00DF5B7D">
        <w:rPr>
          <w:rFonts w:cs="Arial"/>
          <w:sz w:val="24"/>
          <w:szCs w:val="24"/>
        </w:rPr>
        <w:t>, spiritual and pharmacological</w:t>
      </w:r>
    </w:p>
    <w:p w:rsidR="00D906A6" w:rsidRPr="00DF5B7D" w:rsidRDefault="00035785" w:rsidP="008E5A3E">
      <w:pPr>
        <w:numPr>
          <w:ilvl w:val="0"/>
          <w:numId w:val="13"/>
        </w:numPr>
        <w:tabs>
          <w:tab w:val="clear" w:pos="1080"/>
          <w:tab w:val="num" w:pos="540"/>
        </w:tabs>
        <w:ind w:left="540" w:hanging="540"/>
        <w:rPr>
          <w:rFonts w:cs="Arial"/>
          <w:sz w:val="24"/>
          <w:szCs w:val="24"/>
        </w:rPr>
      </w:pPr>
      <w:r w:rsidRPr="00DF5B7D">
        <w:rPr>
          <w:rFonts w:cs="Arial"/>
          <w:sz w:val="24"/>
          <w:szCs w:val="24"/>
        </w:rPr>
        <w:t>a</w:t>
      </w:r>
      <w:r w:rsidR="00D906A6" w:rsidRPr="00DF5B7D">
        <w:rPr>
          <w:rFonts w:cs="Arial"/>
          <w:sz w:val="24"/>
          <w:szCs w:val="24"/>
        </w:rPr>
        <w:t xml:space="preserve">ssessments and interventions that </w:t>
      </w:r>
      <w:r w:rsidR="00E63A43" w:rsidRPr="00DF5B7D">
        <w:rPr>
          <w:rFonts w:cs="Arial"/>
          <w:sz w:val="24"/>
          <w:szCs w:val="24"/>
        </w:rPr>
        <w:t xml:space="preserve">specifically </w:t>
      </w:r>
      <w:r w:rsidR="00D906A6" w:rsidRPr="00DF5B7D">
        <w:rPr>
          <w:rFonts w:cs="Arial"/>
          <w:sz w:val="24"/>
          <w:szCs w:val="24"/>
        </w:rPr>
        <w:t>address the index offence</w:t>
      </w:r>
      <w:r w:rsidR="00E03896" w:rsidRPr="00DF5B7D">
        <w:rPr>
          <w:rStyle w:val="FootnoteReference"/>
          <w:rFonts w:cs="Arial"/>
          <w:sz w:val="24"/>
          <w:szCs w:val="24"/>
        </w:rPr>
        <w:footnoteReference w:id="2"/>
      </w:r>
    </w:p>
    <w:p w:rsidR="002648DA" w:rsidRPr="00DF5B7D" w:rsidRDefault="00D906A6" w:rsidP="008E5A3E">
      <w:pPr>
        <w:numPr>
          <w:ilvl w:val="0"/>
          <w:numId w:val="13"/>
        </w:numPr>
        <w:tabs>
          <w:tab w:val="clear" w:pos="1080"/>
          <w:tab w:val="num" w:pos="540"/>
        </w:tabs>
        <w:ind w:left="540" w:hanging="540"/>
        <w:rPr>
          <w:rFonts w:cs="Arial"/>
          <w:sz w:val="24"/>
          <w:szCs w:val="24"/>
        </w:rPr>
      </w:pPr>
      <w:r w:rsidRPr="00DF5B7D">
        <w:rPr>
          <w:rFonts w:cs="Arial"/>
          <w:sz w:val="24"/>
          <w:szCs w:val="24"/>
        </w:rPr>
        <w:t xml:space="preserve">Interventions that </w:t>
      </w:r>
      <w:r w:rsidR="00E63A43" w:rsidRPr="00DF5B7D">
        <w:rPr>
          <w:rFonts w:cs="Arial"/>
          <w:sz w:val="24"/>
          <w:szCs w:val="24"/>
        </w:rPr>
        <w:t xml:space="preserve">are aimed at </w:t>
      </w:r>
      <w:r w:rsidRPr="00DF5B7D">
        <w:rPr>
          <w:rFonts w:cs="Arial"/>
          <w:sz w:val="24"/>
          <w:szCs w:val="24"/>
        </w:rPr>
        <w:t>reduc</w:t>
      </w:r>
      <w:r w:rsidR="00E63A43" w:rsidRPr="00DF5B7D">
        <w:rPr>
          <w:rFonts w:cs="Arial"/>
          <w:sz w:val="24"/>
          <w:szCs w:val="24"/>
        </w:rPr>
        <w:t>ing</w:t>
      </w:r>
      <w:r w:rsidRPr="00DF5B7D">
        <w:rPr>
          <w:rFonts w:cs="Arial"/>
          <w:sz w:val="24"/>
          <w:szCs w:val="24"/>
        </w:rPr>
        <w:t xml:space="preserve"> or minimis</w:t>
      </w:r>
      <w:r w:rsidR="00E63A43" w:rsidRPr="00DF5B7D">
        <w:rPr>
          <w:rFonts w:cs="Arial"/>
          <w:sz w:val="24"/>
          <w:szCs w:val="24"/>
        </w:rPr>
        <w:t>ing</w:t>
      </w:r>
      <w:r w:rsidRPr="00DF5B7D">
        <w:rPr>
          <w:rFonts w:cs="Arial"/>
          <w:sz w:val="24"/>
          <w:szCs w:val="24"/>
        </w:rPr>
        <w:t xml:space="preserve"> the risk of re-o</w:t>
      </w:r>
      <w:r w:rsidR="00035785" w:rsidRPr="00DF5B7D">
        <w:rPr>
          <w:rFonts w:cs="Arial"/>
          <w:sz w:val="24"/>
          <w:szCs w:val="24"/>
        </w:rPr>
        <w:t>ffending or dangerous behaviour</w:t>
      </w:r>
    </w:p>
    <w:p w:rsidR="0075697C" w:rsidRPr="00DF5B7D" w:rsidRDefault="0075697C" w:rsidP="008E5A3E">
      <w:pPr>
        <w:numPr>
          <w:ilvl w:val="0"/>
          <w:numId w:val="13"/>
        </w:numPr>
        <w:tabs>
          <w:tab w:val="clear" w:pos="1080"/>
          <w:tab w:val="num" w:pos="540"/>
        </w:tabs>
        <w:ind w:left="540" w:hanging="540"/>
        <w:rPr>
          <w:rFonts w:cs="Arial"/>
          <w:sz w:val="24"/>
          <w:szCs w:val="24"/>
        </w:rPr>
      </w:pPr>
      <w:r w:rsidRPr="00DF5B7D">
        <w:rPr>
          <w:rFonts w:cs="Arial"/>
          <w:sz w:val="24"/>
          <w:szCs w:val="24"/>
        </w:rPr>
        <w:t xml:space="preserve">participatory approaches to engage the </w:t>
      </w:r>
      <w:r w:rsidR="00342E39" w:rsidRPr="00DF5B7D">
        <w:rPr>
          <w:rFonts w:cs="Arial"/>
          <w:sz w:val="24"/>
          <w:szCs w:val="24"/>
        </w:rPr>
        <w:t>Service User</w:t>
      </w:r>
      <w:r w:rsidRPr="00DF5B7D">
        <w:rPr>
          <w:rFonts w:cs="Arial"/>
          <w:sz w:val="24"/>
          <w:szCs w:val="24"/>
        </w:rPr>
        <w:t xml:space="preserve"> in their treatment and planning</w:t>
      </w:r>
    </w:p>
    <w:p w:rsidR="002648DA" w:rsidRPr="00DF5B7D" w:rsidRDefault="0075697C" w:rsidP="008E5A3E">
      <w:pPr>
        <w:numPr>
          <w:ilvl w:val="0"/>
          <w:numId w:val="13"/>
        </w:numPr>
        <w:tabs>
          <w:tab w:val="clear" w:pos="1080"/>
          <w:tab w:val="num" w:pos="540"/>
        </w:tabs>
        <w:ind w:left="540" w:hanging="540"/>
        <w:rPr>
          <w:rFonts w:cs="Arial"/>
          <w:sz w:val="24"/>
          <w:szCs w:val="24"/>
        </w:rPr>
      </w:pPr>
      <w:r w:rsidRPr="00DF5B7D">
        <w:rPr>
          <w:rFonts w:cs="Arial"/>
          <w:sz w:val="24"/>
          <w:szCs w:val="24"/>
        </w:rPr>
        <w:t xml:space="preserve">recognition </w:t>
      </w:r>
      <w:r w:rsidR="002648DA" w:rsidRPr="00DF5B7D">
        <w:rPr>
          <w:rFonts w:cs="Arial"/>
          <w:sz w:val="24"/>
          <w:szCs w:val="24"/>
        </w:rPr>
        <w:t xml:space="preserve">of the safety needs of </w:t>
      </w:r>
      <w:r w:rsidR="00342E39" w:rsidRPr="00DF5B7D">
        <w:rPr>
          <w:rFonts w:cs="Arial"/>
          <w:sz w:val="24"/>
          <w:szCs w:val="24"/>
        </w:rPr>
        <w:t>Service User</w:t>
      </w:r>
      <w:r w:rsidRPr="00DF5B7D">
        <w:rPr>
          <w:rFonts w:cs="Arial"/>
          <w:sz w:val="24"/>
          <w:szCs w:val="24"/>
        </w:rPr>
        <w:t xml:space="preserve">s </w:t>
      </w:r>
      <w:r w:rsidR="002648DA" w:rsidRPr="00DF5B7D">
        <w:rPr>
          <w:rFonts w:cs="Arial"/>
          <w:sz w:val="24"/>
          <w:szCs w:val="24"/>
        </w:rPr>
        <w:t xml:space="preserve">and the broader community, including staff, reflecting that some </w:t>
      </w:r>
      <w:r w:rsidR="00342E39" w:rsidRPr="00DF5B7D">
        <w:rPr>
          <w:rFonts w:cs="Arial"/>
          <w:sz w:val="24"/>
          <w:szCs w:val="24"/>
        </w:rPr>
        <w:t>Service User</w:t>
      </w:r>
      <w:r w:rsidR="002648DA" w:rsidRPr="00DF5B7D">
        <w:rPr>
          <w:rFonts w:cs="Arial"/>
          <w:sz w:val="24"/>
          <w:szCs w:val="24"/>
        </w:rPr>
        <w:t>s may present a risk of suicide, self-harm or danger to others</w:t>
      </w:r>
    </w:p>
    <w:p w:rsidR="002648DA" w:rsidRPr="00DF5B7D" w:rsidRDefault="002648DA" w:rsidP="008E5A3E">
      <w:pPr>
        <w:numPr>
          <w:ilvl w:val="0"/>
          <w:numId w:val="13"/>
        </w:numPr>
        <w:tabs>
          <w:tab w:val="clear" w:pos="1080"/>
          <w:tab w:val="num" w:pos="540"/>
        </w:tabs>
        <w:ind w:left="540" w:hanging="540"/>
        <w:rPr>
          <w:rFonts w:cs="Arial"/>
          <w:sz w:val="24"/>
          <w:szCs w:val="24"/>
        </w:rPr>
      </w:pPr>
      <w:r w:rsidRPr="00DF5B7D">
        <w:rPr>
          <w:rFonts w:cs="Arial"/>
          <w:sz w:val="24"/>
          <w:szCs w:val="24"/>
        </w:rPr>
        <w:t>a comprehensive system of risk management within which least restrictive evidence-based intervention strategies will be practiced</w:t>
      </w:r>
      <w:r w:rsidR="00D906A6" w:rsidRPr="00DF5B7D">
        <w:rPr>
          <w:rFonts w:cs="Arial"/>
          <w:sz w:val="24"/>
          <w:szCs w:val="24"/>
        </w:rPr>
        <w:t xml:space="preserve">. </w:t>
      </w:r>
      <w:r w:rsidR="006D5A0F" w:rsidRPr="00DF5B7D">
        <w:rPr>
          <w:rFonts w:cs="Arial"/>
          <w:sz w:val="24"/>
          <w:szCs w:val="24"/>
        </w:rPr>
        <w:t xml:space="preserve"> </w:t>
      </w:r>
      <w:r w:rsidR="00D906A6" w:rsidRPr="00DF5B7D">
        <w:rPr>
          <w:rFonts w:cs="Arial"/>
          <w:sz w:val="24"/>
          <w:szCs w:val="24"/>
        </w:rPr>
        <w:t>Levels of risk to self, others and the c</w:t>
      </w:r>
      <w:r w:rsidR="00035785" w:rsidRPr="00DF5B7D">
        <w:rPr>
          <w:rFonts w:cs="Arial"/>
          <w:sz w:val="24"/>
          <w:szCs w:val="24"/>
        </w:rPr>
        <w:t>ommunity are regularly assessed</w:t>
      </w:r>
    </w:p>
    <w:p w:rsidR="00D906A6" w:rsidRPr="00DF5B7D" w:rsidRDefault="00D906A6" w:rsidP="008E5A3E">
      <w:pPr>
        <w:numPr>
          <w:ilvl w:val="0"/>
          <w:numId w:val="13"/>
        </w:numPr>
        <w:tabs>
          <w:tab w:val="clear" w:pos="1080"/>
          <w:tab w:val="num" w:pos="540"/>
        </w:tabs>
        <w:ind w:left="540" w:hanging="540"/>
        <w:rPr>
          <w:rFonts w:cs="Arial"/>
          <w:sz w:val="24"/>
          <w:szCs w:val="24"/>
        </w:rPr>
      </w:pPr>
      <w:r w:rsidRPr="00DF5B7D">
        <w:rPr>
          <w:rFonts w:cs="Arial"/>
          <w:sz w:val="24"/>
          <w:szCs w:val="24"/>
        </w:rPr>
        <w:t xml:space="preserve">cultural responsive approaches </w:t>
      </w:r>
      <w:r w:rsidR="0077416B" w:rsidRPr="00DF5B7D">
        <w:rPr>
          <w:rFonts w:cs="Arial"/>
          <w:sz w:val="24"/>
          <w:szCs w:val="24"/>
        </w:rPr>
        <w:t xml:space="preserve">to engagement in treatment </w:t>
      </w:r>
      <w:r w:rsidRPr="00DF5B7D">
        <w:rPr>
          <w:rFonts w:cs="Arial"/>
          <w:sz w:val="24"/>
          <w:szCs w:val="24"/>
        </w:rPr>
        <w:t>that better meet the needs of people of other cultures</w:t>
      </w:r>
    </w:p>
    <w:p w:rsidR="005F047A" w:rsidRPr="00DF5B7D" w:rsidRDefault="002648DA" w:rsidP="008E5A3E">
      <w:pPr>
        <w:numPr>
          <w:ilvl w:val="0"/>
          <w:numId w:val="13"/>
        </w:numPr>
        <w:tabs>
          <w:tab w:val="clear" w:pos="1080"/>
          <w:tab w:val="num" w:pos="540"/>
        </w:tabs>
        <w:ind w:left="540" w:hanging="540"/>
        <w:rPr>
          <w:rFonts w:cs="Arial"/>
          <w:sz w:val="24"/>
          <w:szCs w:val="24"/>
        </w:rPr>
      </w:pPr>
      <w:r w:rsidRPr="00DF5B7D">
        <w:rPr>
          <w:rFonts w:cs="Arial"/>
          <w:sz w:val="24"/>
          <w:szCs w:val="24"/>
        </w:rPr>
        <w:t>family</w:t>
      </w:r>
      <w:r w:rsidR="005C068E" w:rsidRPr="00DF5B7D">
        <w:rPr>
          <w:rFonts w:cs="Arial"/>
          <w:sz w:val="24"/>
          <w:szCs w:val="24"/>
        </w:rPr>
        <w:t xml:space="preserve"> and </w:t>
      </w:r>
      <w:r w:rsidRPr="00DF5B7D">
        <w:rPr>
          <w:rFonts w:cs="Arial"/>
          <w:sz w:val="24"/>
          <w:szCs w:val="24"/>
        </w:rPr>
        <w:t xml:space="preserve">whānau </w:t>
      </w:r>
      <w:r w:rsidR="00D24D54" w:rsidRPr="00DF5B7D">
        <w:rPr>
          <w:rFonts w:cs="Arial"/>
          <w:sz w:val="24"/>
          <w:szCs w:val="24"/>
        </w:rPr>
        <w:t>inclusiveness</w:t>
      </w:r>
    </w:p>
    <w:p w:rsidR="00D906A6" w:rsidRPr="00DF5B7D" w:rsidRDefault="00D906A6" w:rsidP="008E5A3E">
      <w:pPr>
        <w:numPr>
          <w:ilvl w:val="0"/>
          <w:numId w:val="13"/>
        </w:numPr>
        <w:tabs>
          <w:tab w:val="clear" w:pos="1080"/>
          <w:tab w:val="num" w:pos="540"/>
        </w:tabs>
        <w:ind w:left="540" w:hanging="540"/>
        <w:rPr>
          <w:rFonts w:cs="Arial"/>
          <w:sz w:val="24"/>
          <w:szCs w:val="24"/>
        </w:rPr>
      </w:pPr>
      <w:r w:rsidRPr="00DF5B7D">
        <w:rPr>
          <w:rFonts w:cs="Arial"/>
          <w:sz w:val="24"/>
          <w:szCs w:val="24"/>
        </w:rPr>
        <w:t>rehabilitative programmes that are tailored to meet individual needs and specific goals set</w:t>
      </w:r>
      <w:r w:rsidR="00BD4FCE" w:rsidRPr="00DF5B7D">
        <w:rPr>
          <w:rFonts w:cs="Arial"/>
          <w:sz w:val="24"/>
          <w:szCs w:val="24"/>
        </w:rPr>
        <w:t>.</w:t>
      </w:r>
    </w:p>
    <w:p w:rsidR="00335AE0" w:rsidRDefault="008203B4" w:rsidP="00335AE0">
      <w:pPr>
        <w:spacing w:before="120" w:after="120"/>
        <w:rPr>
          <w:rFonts w:cs="Arial"/>
          <w:sz w:val="24"/>
          <w:szCs w:val="24"/>
        </w:rPr>
      </w:pPr>
      <w:r w:rsidRPr="00DF5B7D">
        <w:rPr>
          <w:rFonts w:cs="Arial"/>
          <w:sz w:val="24"/>
          <w:szCs w:val="24"/>
        </w:rPr>
        <w:t xml:space="preserve">Individualised care plans are developed and implemented for each person admitted to the service.  These plans are comprehensive, based on assessed needs, and include identified goals for the period of inpatient care. </w:t>
      </w:r>
      <w:bookmarkStart w:id="45" w:name="_Toc215319136"/>
    </w:p>
    <w:p w:rsidR="00335AE0" w:rsidRDefault="00335AE0">
      <w:pPr>
        <w:rPr>
          <w:rFonts w:cs="Arial"/>
          <w:sz w:val="24"/>
          <w:szCs w:val="24"/>
        </w:rPr>
      </w:pPr>
      <w:r>
        <w:rPr>
          <w:rFonts w:cs="Arial"/>
          <w:sz w:val="24"/>
          <w:szCs w:val="24"/>
        </w:rPr>
        <w:br w:type="page"/>
      </w:r>
    </w:p>
    <w:p w:rsidR="00027868" w:rsidRPr="00DF5B7D" w:rsidRDefault="00742AE9" w:rsidP="008E5A3E">
      <w:pPr>
        <w:rPr>
          <w:rFonts w:cs="Arial"/>
          <w:b/>
          <w:sz w:val="24"/>
          <w:szCs w:val="24"/>
        </w:rPr>
      </w:pPr>
      <w:r w:rsidRPr="00DF5B7D">
        <w:rPr>
          <w:rFonts w:cs="Arial"/>
          <w:b/>
          <w:sz w:val="24"/>
          <w:szCs w:val="24"/>
        </w:rPr>
        <w:lastRenderedPageBreak/>
        <w:t>2.</w:t>
      </w:r>
      <w:r w:rsidR="00035785" w:rsidRPr="00DF5B7D">
        <w:rPr>
          <w:rFonts w:cs="Arial"/>
          <w:b/>
          <w:sz w:val="24"/>
          <w:szCs w:val="24"/>
        </w:rPr>
        <w:tab/>
      </w:r>
      <w:r w:rsidR="00027868" w:rsidRPr="00DF5B7D">
        <w:rPr>
          <w:rFonts w:cs="Arial"/>
          <w:b/>
          <w:sz w:val="24"/>
          <w:szCs w:val="24"/>
        </w:rPr>
        <w:t>Service Objectives</w:t>
      </w:r>
      <w:bookmarkEnd w:id="45"/>
    </w:p>
    <w:p w:rsidR="00857C0F" w:rsidRPr="00857C0F" w:rsidRDefault="00857C0F" w:rsidP="004739D8">
      <w:pPr>
        <w:spacing w:before="120" w:after="120"/>
        <w:rPr>
          <w:rFonts w:cs="Arial"/>
          <w:b/>
          <w:sz w:val="24"/>
          <w:szCs w:val="24"/>
        </w:rPr>
      </w:pPr>
      <w:r w:rsidRPr="00857C0F">
        <w:rPr>
          <w:rFonts w:cs="Arial"/>
          <w:b/>
          <w:sz w:val="24"/>
          <w:szCs w:val="24"/>
        </w:rPr>
        <w:t>2.</w:t>
      </w:r>
      <w:r w:rsidR="008E5A3E">
        <w:rPr>
          <w:rFonts w:cs="Arial"/>
          <w:b/>
          <w:sz w:val="24"/>
          <w:szCs w:val="24"/>
        </w:rPr>
        <w:t>1</w:t>
      </w:r>
      <w:r w:rsidRPr="00857C0F">
        <w:rPr>
          <w:rFonts w:cs="Arial"/>
          <w:b/>
          <w:sz w:val="24"/>
          <w:szCs w:val="24"/>
        </w:rPr>
        <w:tab/>
        <w:t>General</w:t>
      </w:r>
    </w:p>
    <w:p w:rsidR="008203B4" w:rsidRPr="00DF5B7D" w:rsidRDefault="005C068E" w:rsidP="004739D8">
      <w:pPr>
        <w:spacing w:before="120" w:after="120"/>
        <w:rPr>
          <w:rFonts w:cs="Arial"/>
          <w:sz w:val="24"/>
          <w:szCs w:val="24"/>
        </w:rPr>
      </w:pPr>
      <w:r w:rsidRPr="00DF5B7D">
        <w:rPr>
          <w:rFonts w:cs="Arial"/>
          <w:sz w:val="24"/>
          <w:szCs w:val="24"/>
        </w:rPr>
        <w:t>The objective of th</w:t>
      </w:r>
      <w:r w:rsidR="006D5A0F" w:rsidRPr="00DF5B7D">
        <w:rPr>
          <w:rFonts w:cs="Arial"/>
          <w:sz w:val="24"/>
          <w:szCs w:val="24"/>
        </w:rPr>
        <w:t>e</w:t>
      </w:r>
      <w:r w:rsidRPr="00DF5B7D">
        <w:rPr>
          <w:rFonts w:cs="Arial"/>
          <w:sz w:val="24"/>
          <w:szCs w:val="24"/>
        </w:rPr>
        <w:t xml:space="preserve"> </w:t>
      </w:r>
      <w:r w:rsidR="00035785" w:rsidRPr="00DF5B7D">
        <w:rPr>
          <w:rFonts w:cs="Arial"/>
          <w:sz w:val="24"/>
          <w:szCs w:val="24"/>
        </w:rPr>
        <w:t>S</w:t>
      </w:r>
      <w:r w:rsidRPr="00DF5B7D">
        <w:rPr>
          <w:rFonts w:cs="Arial"/>
          <w:sz w:val="24"/>
          <w:szCs w:val="24"/>
        </w:rPr>
        <w:t xml:space="preserve">ervice is to </w:t>
      </w:r>
      <w:r w:rsidR="008203B4" w:rsidRPr="00DF5B7D">
        <w:rPr>
          <w:rFonts w:cs="Arial"/>
          <w:sz w:val="24"/>
          <w:szCs w:val="24"/>
        </w:rPr>
        <w:t xml:space="preserve">provide inpatient care in a forensic mental health secure environment for people who require a higher level of observation and intensive treatment </w:t>
      </w:r>
      <w:r w:rsidRPr="00DF5B7D">
        <w:rPr>
          <w:rFonts w:cs="Arial"/>
          <w:sz w:val="24"/>
          <w:szCs w:val="24"/>
        </w:rPr>
        <w:t xml:space="preserve">within a </w:t>
      </w:r>
      <w:r w:rsidR="008203B4" w:rsidRPr="00DF5B7D">
        <w:rPr>
          <w:rFonts w:cs="Arial"/>
          <w:sz w:val="24"/>
          <w:szCs w:val="24"/>
        </w:rPr>
        <w:t xml:space="preserve">more secure </w:t>
      </w:r>
      <w:r w:rsidRPr="00DF5B7D">
        <w:rPr>
          <w:rFonts w:cs="Arial"/>
          <w:sz w:val="24"/>
          <w:szCs w:val="24"/>
        </w:rPr>
        <w:t xml:space="preserve">environment </w:t>
      </w:r>
      <w:r w:rsidR="00CD41DD" w:rsidRPr="00DF5B7D">
        <w:rPr>
          <w:rFonts w:cs="Arial"/>
          <w:sz w:val="24"/>
          <w:szCs w:val="24"/>
        </w:rPr>
        <w:t>for longer period</w:t>
      </w:r>
      <w:r w:rsidRPr="00DF5B7D">
        <w:rPr>
          <w:rFonts w:cs="Arial"/>
          <w:sz w:val="24"/>
          <w:szCs w:val="24"/>
        </w:rPr>
        <w:t>s</w:t>
      </w:r>
      <w:r w:rsidR="00CD41DD" w:rsidRPr="00DF5B7D">
        <w:rPr>
          <w:rFonts w:cs="Arial"/>
          <w:sz w:val="24"/>
          <w:szCs w:val="24"/>
        </w:rPr>
        <w:t xml:space="preserve"> of time</w:t>
      </w:r>
      <w:r w:rsidRPr="00DF5B7D">
        <w:rPr>
          <w:rFonts w:cs="Arial"/>
          <w:sz w:val="24"/>
          <w:szCs w:val="24"/>
        </w:rPr>
        <w:t>, due to diagnosis and treatment complexity, insufficient response to treatment and where there is a continuing need for this level of intensive support and supervision</w:t>
      </w:r>
      <w:r w:rsidR="00DB422A" w:rsidRPr="00DF5B7D">
        <w:rPr>
          <w:rFonts w:cs="Arial"/>
          <w:sz w:val="24"/>
          <w:szCs w:val="24"/>
        </w:rPr>
        <w:t>.</w:t>
      </w:r>
    </w:p>
    <w:p w:rsidR="00027868" w:rsidRPr="00DF5B7D" w:rsidRDefault="00027868" w:rsidP="00027868">
      <w:pPr>
        <w:tabs>
          <w:tab w:val="left" w:pos="570"/>
        </w:tabs>
        <w:spacing w:before="120" w:after="60"/>
        <w:rPr>
          <w:rFonts w:cs="Arial"/>
          <w:b/>
          <w:sz w:val="24"/>
          <w:szCs w:val="24"/>
        </w:rPr>
      </w:pPr>
      <w:bookmarkStart w:id="46" w:name="_Toc215319138"/>
      <w:r w:rsidRPr="00DF5B7D">
        <w:rPr>
          <w:rFonts w:cs="Arial"/>
          <w:b/>
          <w:sz w:val="24"/>
          <w:szCs w:val="24"/>
        </w:rPr>
        <w:t>2.</w:t>
      </w:r>
      <w:r w:rsidR="008E5A3E">
        <w:rPr>
          <w:rFonts w:cs="Arial"/>
          <w:b/>
          <w:sz w:val="24"/>
          <w:szCs w:val="24"/>
        </w:rPr>
        <w:t>2</w:t>
      </w:r>
      <w:r w:rsidRPr="00DF5B7D">
        <w:rPr>
          <w:rFonts w:cs="Arial"/>
          <w:b/>
          <w:sz w:val="24"/>
          <w:szCs w:val="24"/>
        </w:rPr>
        <w:tab/>
        <w:t>M</w:t>
      </w:r>
      <w:r w:rsidR="00035785" w:rsidRPr="00DF5B7D">
        <w:rPr>
          <w:rFonts w:cs="Arial"/>
          <w:b/>
          <w:sz w:val="24"/>
          <w:szCs w:val="24"/>
        </w:rPr>
        <w:t>ā</w:t>
      </w:r>
      <w:r w:rsidRPr="00DF5B7D">
        <w:rPr>
          <w:rFonts w:cs="Arial"/>
          <w:b/>
          <w:sz w:val="24"/>
          <w:szCs w:val="24"/>
        </w:rPr>
        <w:t>ori Health</w:t>
      </w:r>
      <w:bookmarkEnd w:id="46"/>
    </w:p>
    <w:p w:rsidR="00027868" w:rsidRPr="00DF5B7D" w:rsidRDefault="000721D5" w:rsidP="00027868">
      <w:pPr>
        <w:spacing w:before="120"/>
        <w:rPr>
          <w:rFonts w:cs="Arial"/>
          <w:sz w:val="24"/>
          <w:szCs w:val="24"/>
        </w:rPr>
      </w:pPr>
      <w:r w:rsidRPr="00DF5B7D">
        <w:rPr>
          <w:rFonts w:cs="Arial"/>
          <w:sz w:val="24"/>
          <w:szCs w:val="24"/>
        </w:rPr>
        <w:t xml:space="preserve">Refer to </w:t>
      </w:r>
      <w:r w:rsidR="006F5048" w:rsidRPr="00DF5B7D">
        <w:rPr>
          <w:rFonts w:cs="Arial"/>
          <w:sz w:val="24"/>
          <w:szCs w:val="24"/>
        </w:rPr>
        <w:t xml:space="preserve">the </w:t>
      </w:r>
      <w:r w:rsidRPr="00DF5B7D">
        <w:rPr>
          <w:rFonts w:cs="Arial"/>
          <w:sz w:val="24"/>
          <w:szCs w:val="24"/>
        </w:rPr>
        <w:t xml:space="preserve">tier one </w:t>
      </w:r>
      <w:r w:rsidR="001023DC" w:rsidRPr="00DF5B7D">
        <w:rPr>
          <w:rFonts w:cs="Arial"/>
          <w:sz w:val="24"/>
          <w:szCs w:val="24"/>
        </w:rPr>
        <w:t>Mental Health and Addiction Services</w:t>
      </w:r>
      <w:r w:rsidR="006D5A0F" w:rsidRPr="00DF5B7D">
        <w:rPr>
          <w:rFonts w:cs="Arial"/>
          <w:sz w:val="24"/>
          <w:szCs w:val="24"/>
        </w:rPr>
        <w:t xml:space="preserve"> service specification.</w:t>
      </w:r>
    </w:p>
    <w:p w:rsidR="00027868" w:rsidRPr="00DF5B7D" w:rsidRDefault="00027868" w:rsidP="00027868">
      <w:pPr>
        <w:tabs>
          <w:tab w:val="left" w:pos="570"/>
        </w:tabs>
        <w:spacing w:before="240" w:after="120"/>
        <w:rPr>
          <w:rFonts w:cs="Arial"/>
          <w:b/>
          <w:sz w:val="24"/>
          <w:szCs w:val="24"/>
        </w:rPr>
      </w:pPr>
      <w:bookmarkStart w:id="47" w:name="_Toc215319140"/>
      <w:r w:rsidRPr="00DF5B7D">
        <w:rPr>
          <w:rFonts w:cs="Arial"/>
          <w:b/>
          <w:sz w:val="24"/>
          <w:szCs w:val="24"/>
        </w:rPr>
        <w:t>3.</w:t>
      </w:r>
      <w:r w:rsidRPr="00DF5B7D">
        <w:rPr>
          <w:rFonts w:cs="Arial"/>
          <w:b/>
          <w:sz w:val="24"/>
          <w:szCs w:val="24"/>
        </w:rPr>
        <w:tab/>
      </w:r>
      <w:r w:rsidR="00342E39" w:rsidRPr="00DF5B7D">
        <w:rPr>
          <w:rFonts w:cs="Arial"/>
          <w:b/>
          <w:sz w:val="24"/>
          <w:szCs w:val="24"/>
        </w:rPr>
        <w:t>Service User</w:t>
      </w:r>
      <w:r w:rsidRPr="00DF5B7D">
        <w:rPr>
          <w:rFonts w:cs="Arial"/>
          <w:b/>
          <w:sz w:val="24"/>
          <w:szCs w:val="24"/>
        </w:rPr>
        <w:t>s</w:t>
      </w:r>
      <w:bookmarkEnd w:id="47"/>
    </w:p>
    <w:p w:rsidR="00DB422A" w:rsidRPr="00DF5B7D" w:rsidRDefault="00027868" w:rsidP="00DB422A">
      <w:pPr>
        <w:spacing w:before="120"/>
        <w:rPr>
          <w:rFonts w:cs="Arial"/>
          <w:sz w:val="24"/>
          <w:szCs w:val="24"/>
        </w:rPr>
      </w:pPr>
      <w:r w:rsidRPr="00DF5B7D">
        <w:rPr>
          <w:rFonts w:cs="Arial"/>
          <w:sz w:val="24"/>
          <w:szCs w:val="24"/>
        </w:rPr>
        <w:t xml:space="preserve">The </w:t>
      </w:r>
      <w:r w:rsidR="00342E39" w:rsidRPr="00DF5B7D">
        <w:rPr>
          <w:rFonts w:cs="Arial"/>
          <w:sz w:val="24"/>
          <w:szCs w:val="24"/>
        </w:rPr>
        <w:t>Service User</w:t>
      </w:r>
      <w:r w:rsidRPr="00DF5B7D">
        <w:rPr>
          <w:rFonts w:cs="Arial"/>
          <w:sz w:val="24"/>
          <w:szCs w:val="24"/>
        </w:rPr>
        <w:t>s will be people</w:t>
      </w:r>
      <w:r w:rsidR="000721D5" w:rsidRPr="00DF5B7D">
        <w:rPr>
          <w:rFonts w:cs="Arial"/>
          <w:sz w:val="24"/>
          <w:szCs w:val="24"/>
        </w:rPr>
        <w:t xml:space="preserve"> that meet the a</w:t>
      </w:r>
      <w:r w:rsidR="00576D31" w:rsidRPr="00DF5B7D">
        <w:rPr>
          <w:rFonts w:cs="Arial"/>
          <w:sz w:val="24"/>
          <w:szCs w:val="24"/>
        </w:rPr>
        <w:t>s</w:t>
      </w:r>
      <w:r w:rsidR="000721D5" w:rsidRPr="00DF5B7D">
        <w:rPr>
          <w:rFonts w:cs="Arial"/>
          <w:sz w:val="24"/>
          <w:szCs w:val="24"/>
        </w:rPr>
        <w:t>sessment criteria for Forensic Mental Health</w:t>
      </w:r>
      <w:r w:rsidR="0077416B" w:rsidRPr="00DF5B7D">
        <w:rPr>
          <w:rFonts w:cs="Arial"/>
          <w:sz w:val="24"/>
          <w:szCs w:val="24"/>
        </w:rPr>
        <w:t xml:space="preserve"> services</w:t>
      </w:r>
      <w:r w:rsidR="00DB422A" w:rsidRPr="00DF5B7D">
        <w:rPr>
          <w:rFonts w:cs="Arial"/>
          <w:sz w:val="24"/>
          <w:szCs w:val="24"/>
        </w:rPr>
        <w:t>.</w:t>
      </w:r>
      <w:r w:rsidR="0077416B" w:rsidRPr="00DF5B7D">
        <w:rPr>
          <w:rFonts w:cs="Arial"/>
          <w:sz w:val="24"/>
          <w:szCs w:val="24"/>
        </w:rPr>
        <w:t xml:space="preserve"> </w:t>
      </w:r>
      <w:r w:rsidR="000721D5" w:rsidRPr="00DF5B7D">
        <w:rPr>
          <w:rFonts w:cs="Arial"/>
          <w:sz w:val="24"/>
          <w:szCs w:val="24"/>
        </w:rPr>
        <w:t xml:space="preserve"> </w:t>
      </w:r>
      <w:r w:rsidR="00DB422A" w:rsidRPr="00DF5B7D">
        <w:rPr>
          <w:rFonts w:cs="Arial"/>
          <w:sz w:val="24"/>
          <w:szCs w:val="24"/>
        </w:rPr>
        <w:t xml:space="preserve">Young people should be transitioning to adult services </w:t>
      </w:r>
      <w:r w:rsidR="00E03896" w:rsidRPr="00DF5B7D">
        <w:rPr>
          <w:rFonts w:cs="Arial"/>
          <w:sz w:val="24"/>
          <w:szCs w:val="24"/>
        </w:rPr>
        <w:t>up to their</w:t>
      </w:r>
      <w:r w:rsidR="00DB422A" w:rsidRPr="00DF5B7D">
        <w:rPr>
          <w:rFonts w:cs="Arial"/>
          <w:sz w:val="24"/>
          <w:szCs w:val="24"/>
        </w:rPr>
        <w:t xml:space="preserve"> 18</w:t>
      </w:r>
      <w:r w:rsidR="00DB422A" w:rsidRPr="00DF5B7D">
        <w:rPr>
          <w:rFonts w:cs="Arial"/>
          <w:sz w:val="24"/>
          <w:szCs w:val="24"/>
          <w:vertAlign w:val="superscript"/>
        </w:rPr>
        <w:t>th</w:t>
      </w:r>
      <w:r w:rsidR="00DB422A" w:rsidRPr="00DF5B7D">
        <w:rPr>
          <w:rFonts w:cs="Arial"/>
          <w:sz w:val="24"/>
          <w:szCs w:val="24"/>
        </w:rPr>
        <w:t xml:space="preserve"> birthday </w:t>
      </w:r>
      <w:r w:rsidR="00E03896" w:rsidRPr="00DF5B7D">
        <w:rPr>
          <w:rFonts w:cs="Arial"/>
          <w:sz w:val="24"/>
          <w:szCs w:val="24"/>
        </w:rPr>
        <w:t>and until their 20</w:t>
      </w:r>
      <w:r w:rsidR="00E03896" w:rsidRPr="00DF5B7D">
        <w:rPr>
          <w:rFonts w:cs="Arial"/>
          <w:sz w:val="24"/>
          <w:szCs w:val="24"/>
          <w:vertAlign w:val="superscript"/>
        </w:rPr>
        <w:t>th</w:t>
      </w:r>
      <w:r w:rsidR="00E03896" w:rsidRPr="00DF5B7D">
        <w:rPr>
          <w:rFonts w:cs="Arial"/>
          <w:sz w:val="24"/>
          <w:szCs w:val="24"/>
        </w:rPr>
        <w:t xml:space="preserve"> birthday </w:t>
      </w:r>
      <w:r w:rsidR="00DB422A" w:rsidRPr="00DF5B7D">
        <w:rPr>
          <w:rFonts w:cs="Arial"/>
          <w:sz w:val="24"/>
          <w:szCs w:val="24"/>
        </w:rPr>
        <w:t>if developmentally appropriate.</w:t>
      </w:r>
    </w:p>
    <w:p w:rsidR="00027868" w:rsidRPr="00DF5B7D" w:rsidRDefault="00027868" w:rsidP="00027868">
      <w:pPr>
        <w:tabs>
          <w:tab w:val="left" w:pos="570"/>
        </w:tabs>
        <w:spacing w:before="240" w:after="120"/>
        <w:rPr>
          <w:rFonts w:cs="Arial"/>
          <w:b/>
          <w:sz w:val="24"/>
          <w:szCs w:val="24"/>
        </w:rPr>
      </w:pPr>
      <w:bookmarkStart w:id="48" w:name="_Toc215319141"/>
      <w:r w:rsidRPr="00DF5B7D">
        <w:rPr>
          <w:rFonts w:cs="Arial"/>
          <w:b/>
          <w:sz w:val="24"/>
          <w:szCs w:val="24"/>
        </w:rPr>
        <w:t>4.</w:t>
      </w:r>
      <w:r w:rsidRPr="00DF5B7D">
        <w:rPr>
          <w:rFonts w:cs="Arial"/>
          <w:b/>
          <w:sz w:val="24"/>
          <w:szCs w:val="24"/>
        </w:rPr>
        <w:tab/>
        <w:t>Access</w:t>
      </w:r>
      <w:bookmarkEnd w:id="48"/>
    </w:p>
    <w:p w:rsidR="00027868" w:rsidRPr="00DF5B7D" w:rsidRDefault="008203B4" w:rsidP="00027868">
      <w:pPr>
        <w:spacing w:after="60"/>
        <w:rPr>
          <w:rFonts w:cs="Arial"/>
          <w:sz w:val="24"/>
          <w:szCs w:val="24"/>
        </w:rPr>
      </w:pPr>
      <w:r w:rsidRPr="00DF5B7D">
        <w:rPr>
          <w:rFonts w:cs="Arial"/>
          <w:sz w:val="24"/>
          <w:szCs w:val="24"/>
        </w:rPr>
        <w:t xml:space="preserve">Access to the </w:t>
      </w:r>
      <w:r w:rsidR="006D5A0F" w:rsidRPr="00DF5B7D">
        <w:rPr>
          <w:rFonts w:cs="Arial"/>
          <w:sz w:val="24"/>
          <w:szCs w:val="24"/>
        </w:rPr>
        <w:t>S</w:t>
      </w:r>
      <w:r w:rsidRPr="00DF5B7D">
        <w:rPr>
          <w:rFonts w:cs="Arial"/>
          <w:sz w:val="24"/>
          <w:szCs w:val="24"/>
        </w:rPr>
        <w:t>ervice is via a consultative referral from other forensic mental health services nationally</w:t>
      </w:r>
      <w:r w:rsidR="00BD4FCE" w:rsidRPr="00DF5B7D">
        <w:rPr>
          <w:rFonts w:cs="Arial"/>
          <w:sz w:val="24"/>
          <w:szCs w:val="24"/>
        </w:rPr>
        <w:t>.</w:t>
      </w:r>
    </w:p>
    <w:p w:rsidR="00027868" w:rsidRPr="00DF5B7D" w:rsidRDefault="00027868" w:rsidP="00027868">
      <w:pPr>
        <w:tabs>
          <w:tab w:val="left" w:pos="570"/>
        </w:tabs>
        <w:spacing w:before="240"/>
        <w:rPr>
          <w:rFonts w:cs="Arial"/>
          <w:b/>
          <w:sz w:val="24"/>
          <w:szCs w:val="24"/>
        </w:rPr>
      </w:pPr>
      <w:bookmarkStart w:id="49" w:name="_Toc215319145"/>
      <w:r w:rsidRPr="00DF5B7D">
        <w:rPr>
          <w:rFonts w:cs="Arial"/>
          <w:b/>
          <w:sz w:val="24"/>
          <w:szCs w:val="24"/>
        </w:rPr>
        <w:t>5.</w:t>
      </w:r>
      <w:r w:rsidRPr="00DF5B7D">
        <w:rPr>
          <w:rFonts w:cs="Arial"/>
          <w:b/>
          <w:sz w:val="24"/>
          <w:szCs w:val="24"/>
        </w:rPr>
        <w:tab/>
        <w:t>Service Components</w:t>
      </w:r>
      <w:bookmarkEnd w:id="49"/>
    </w:p>
    <w:p w:rsidR="00027868" w:rsidRPr="00DF5B7D" w:rsidRDefault="00027868" w:rsidP="00027868">
      <w:pPr>
        <w:tabs>
          <w:tab w:val="left" w:pos="570"/>
        </w:tabs>
        <w:spacing w:before="120" w:after="60"/>
        <w:rPr>
          <w:rFonts w:cs="Arial"/>
          <w:b/>
          <w:sz w:val="24"/>
          <w:szCs w:val="24"/>
        </w:rPr>
      </w:pPr>
      <w:bookmarkStart w:id="50" w:name="_Toc215319146"/>
      <w:r w:rsidRPr="00DF5B7D">
        <w:rPr>
          <w:rFonts w:cs="Arial"/>
          <w:b/>
          <w:sz w:val="24"/>
          <w:szCs w:val="24"/>
        </w:rPr>
        <w:t>5.1</w:t>
      </w:r>
      <w:r w:rsidRPr="00DF5B7D">
        <w:rPr>
          <w:rFonts w:cs="Arial"/>
          <w:b/>
          <w:sz w:val="24"/>
          <w:szCs w:val="24"/>
        </w:rPr>
        <w:tab/>
        <w:t>Processes</w:t>
      </w:r>
      <w:bookmarkEnd w:id="50"/>
    </w:p>
    <w:p w:rsidR="00E03896" w:rsidRPr="00DF5B7D" w:rsidRDefault="00E03896" w:rsidP="00E03896">
      <w:pPr>
        <w:tabs>
          <w:tab w:val="left" w:pos="570"/>
        </w:tabs>
        <w:spacing w:after="60"/>
        <w:rPr>
          <w:rFonts w:cs="Arial"/>
          <w:sz w:val="24"/>
          <w:szCs w:val="24"/>
        </w:rPr>
      </w:pPr>
      <w:r w:rsidRPr="00DF5B7D">
        <w:rPr>
          <w:rFonts w:cs="Arial"/>
          <w:sz w:val="24"/>
          <w:szCs w:val="24"/>
        </w:rPr>
        <w:t>Refer to the tier two Forensic Mental Health Service</w:t>
      </w:r>
      <w:r w:rsidR="006F5048" w:rsidRPr="00DF5B7D">
        <w:rPr>
          <w:rFonts w:cs="Arial"/>
          <w:sz w:val="24"/>
          <w:szCs w:val="24"/>
        </w:rPr>
        <w:t>s</w:t>
      </w:r>
      <w:r w:rsidRPr="00DF5B7D">
        <w:rPr>
          <w:rFonts w:cs="Arial"/>
          <w:sz w:val="24"/>
          <w:szCs w:val="24"/>
        </w:rPr>
        <w:t xml:space="preserve"> service specification.</w:t>
      </w:r>
    </w:p>
    <w:p w:rsidR="00027868" w:rsidRPr="00DF5B7D" w:rsidRDefault="00027868" w:rsidP="00027868">
      <w:pPr>
        <w:tabs>
          <w:tab w:val="left" w:pos="570"/>
        </w:tabs>
        <w:spacing w:before="120" w:after="60"/>
        <w:rPr>
          <w:rFonts w:cs="Arial"/>
          <w:b/>
          <w:sz w:val="24"/>
          <w:szCs w:val="24"/>
        </w:rPr>
      </w:pPr>
      <w:bookmarkStart w:id="51" w:name="_Toc215319147"/>
      <w:r w:rsidRPr="00DF5B7D">
        <w:rPr>
          <w:rFonts w:cs="Arial"/>
          <w:b/>
          <w:sz w:val="24"/>
          <w:szCs w:val="24"/>
        </w:rPr>
        <w:t>5.2</w:t>
      </w:r>
      <w:r w:rsidRPr="00DF5B7D">
        <w:rPr>
          <w:rFonts w:cs="Arial"/>
          <w:b/>
          <w:sz w:val="24"/>
          <w:szCs w:val="24"/>
        </w:rPr>
        <w:tab/>
        <w:t>Settings</w:t>
      </w:r>
      <w:bookmarkEnd w:id="51"/>
    </w:p>
    <w:p w:rsidR="00027868" w:rsidRPr="00DF5B7D" w:rsidRDefault="00027868" w:rsidP="00027868">
      <w:pPr>
        <w:spacing w:before="120"/>
        <w:rPr>
          <w:rFonts w:cs="Arial"/>
          <w:sz w:val="24"/>
          <w:szCs w:val="24"/>
        </w:rPr>
      </w:pPr>
      <w:r w:rsidRPr="00DF5B7D">
        <w:rPr>
          <w:rFonts w:cs="Arial"/>
          <w:sz w:val="24"/>
          <w:szCs w:val="24"/>
        </w:rPr>
        <w:t>The Service is provided in community</w:t>
      </w:r>
      <w:r w:rsidR="00576D31" w:rsidRPr="00DF5B7D">
        <w:rPr>
          <w:rFonts w:cs="Arial"/>
          <w:sz w:val="24"/>
          <w:szCs w:val="24"/>
        </w:rPr>
        <w:t>, court, prison</w:t>
      </w:r>
      <w:r w:rsidRPr="00DF5B7D">
        <w:rPr>
          <w:rFonts w:cs="Arial"/>
          <w:sz w:val="24"/>
          <w:szCs w:val="24"/>
        </w:rPr>
        <w:t xml:space="preserve"> and </w:t>
      </w:r>
      <w:r w:rsidR="00E03896" w:rsidRPr="00DF5B7D">
        <w:rPr>
          <w:rFonts w:cs="Arial"/>
          <w:sz w:val="24"/>
          <w:szCs w:val="24"/>
        </w:rPr>
        <w:t xml:space="preserve">Forensic </w:t>
      </w:r>
      <w:r w:rsidRPr="00DF5B7D">
        <w:rPr>
          <w:rFonts w:cs="Arial"/>
          <w:sz w:val="24"/>
          <w:szCs w:val="24"/>
        </w:rPr>
        <w:t xml:space="preserve">hospital based settings. </w:t>
      </w:r>
    </w:p>
    <w:p w:rsidR="00027868" w:rsidRPr="00DF5B7D" w:rsidRDefault="00027868" w:rsidP="00027868">
      <w:pPr>
        <w:tabs>
          <w:tab w:val="left" w:pos="570"/>
        </w:tabs>
        <w:spacing w:before="120" w:after="60"/>
        <w:rPr>
          <w:rFonts w:cs="Arial"/>
          <w:b/>
          <w:sz w:val="24"/>
          <w:szCs w:val="24"/>
        </w:rPr>
      </w:pPr>
      <w:bookmarkStart w:id="52" w:name="_Toc215319151"/>
      <w:r w:rsidRPr="00DF5B7D">
        <w:rPr>
          <w:rFonts w:cs="Arial"/>
          <w:b/>
          <w:sz w:val="24"/>
          <w:szCs w:val="24"/>
        </w:rPr>
        <w:t>5.3</w:t>
      </w:r>
      <w:r w:rsidRPr="00DF5B7D">
        <w:rPr>
          <w:rFonts w:cs="Arial"/>
          <w:b/>
          <w:sz w:val="24"/>
          <w:szCs w:val="24"/>
        </w:rPr>
        <w:tab/>
        <w:t xml:space="preserve">Key Inputs </w:t>
      </w:r>
      <w:bookmarkStart w:id="53" w:name="_Toc215319152"/>
      <w:bookmarkEnd w:id="52"/>
    </w:p>
    <w:p w:rsidR="00E03896" w:rsidRPr="00DF5B7D" w:rsidRDefault="00E03896" w:rsidP="00E03896">
      <w:pPr>
        <w:tabs>
          <w:tab w:val="left" w:pos="570"/>
        </w:tabs>
        <w:spacing w:after="60"/>
        <w:rPr>
          <w:rFonts w:cs="Arial"/>
          <w:sz w:val="24"/>
          <w:szCs w:val="24"/>
        </w:rPr>
      </w:pPr>
      <w:r w:rsidRPr="00DF5B7D">
        <w:rPr>
          <w:rFonts w:cs="Arial"/>
          <w:sz w:val="24"/>
          <w:szCs w:val="24"/>
        </w:rPr>
        <w:t>Refer to the tier two Forensic Mental Health Service</w:t>
      </w:r>
      <w:r w:rsidR="006F5048" w:rsidRPr="00DF5B7D">
        <w:rPr>
          <w:rFonts w:cs="Arial"/>
          <w:sz w:val="24"/>
          <w:szCs w:val="24"/>
        </w:rPr>
        <w:t>s</w:t>
      </w:r>
      <w:r w:rsidRPr="00DF5B7D">
        <w:rPr>
          <w:rFonts w:cs="Arial"/>
          <w:sz w:val="24"/>
          <w:szCs w:val="24"/>
        </w:rPr>
        <w:t xml:space="preserve"> service specification.</w:t>
      </w:r>
    </w:p>
    <w:p w:rsidR="00027868" w:rsidRPr="00DF5B7D" w:rsidRDefault="00027868" w:rsidP="00027868">
      <w:pPr>
        <w:tabs>
          <w:tab w:val="left" w:pos="570"/>
        </w:tabs>
        <w:spacing w:before="120" w:after="60"/>
        <w:rPr>
          <w:rFonts w:cs="Arial"/>
          <w:b/>
          <w:sz w:val="24"/>
          <w:szCs w:val="24"/>
        </w:rPr>
      </w:pPr>
      <w:r w:rsidRPr="00DF5B7D">
        <w:rPr>
          <w:rFonts w:cs="Arial"/>
          <w:b/>
          <w:sz w:val="24"/>
          <w:szCs w:val="24"/>
        </w:rPr>
        <w:t>5.4.</w:t>
      </w:r>
      <w:r w:rsidRPr="00DF5B7D">
        <w:rPr>
          <w:rFonts w:cs="Arial"/>
          <w:b/>
          <w:sz w:val="24"/>
          <w:szCs w:val="24"/>
        </w:rPr>
        <w:tab/>
        <w:t xml:space="preserve">Pacific Health </w:t>
      </w:r>
      <w:bookmarkEnd w:id="53"/>
    </w:p>
    <w:p w:rsidR="00027868" w:rsidRPr="00DF5B7D" w:rsidRDefault="000721D5" w:rsidP="00027868">
      <w:pPr>
        <w:spacing w:after="120"/>
        <w:rPr>
          <w:rFonts w:cs="Arial"/>
          <w:sz w:val="24"/>
          <w:szCs w:val="24"/>
        </w:rPr>
      </w:pPr>
      <w:r w:rsidRPr="00DF5B7D">
        <w:rPr>
          <w:rFonts w:cs="Arial"/>
          <w:sz w:val="24"/>
          <w:szCs w:val="24"/>
        </w:rPr>
        <w:t xml:space="preserve">Refer to </w:t>
      </w:r>
      <w:r w:rsidR="006F5048" w:rsidRPr="00DF5B7D">
        <w:rPr>
          <w:rFonts w:cs="Arial"/>
          <w:sz w:val="24"/>
          <w:szCs w:val="24"/>
        </w:rPr>
        <w:t xml:space="preserve">the </w:t>
      </w:r>
      <w:r w:rsidRPr="00DF5B7D">
        <w:rPr>
          <w:rFonts w:cs="Arial"/>
          <w:sz w:val="24"/>
          <w:szCs w:val="24"/>
        </w:rPr>
        <w:t xml:space="preserve">tier one </w:t>
      </w:r>
      <w:r w:rsidR="001023DC" w:rsidRPr="00DF5B7D">
        <w:rPr>
          <w:rFonts w:cs="Arial"/>
          <w:sz w:val="24"/>
          <w:szCs w:val="24"/>
        </w:rPr>
        <w:t>Mental Health and Addiction Services</w:t>
      </w:r>
      <w:r w:rsidR="006D5A0F" w:rsidRPr="00DF5B7D">
        <w:rPr>
          <w:rFonts w:cs="Arial"/>
          <w:sz w:val="24"/>
          <w:szCs w:val="24"/>
        </w:rPr>
        <w:t xml:space="preserve"> service specification.</w:t>
      </w:r>
    </w:p>
    <w:p w:rsidR="00027868" w:rsidRPr="00DF5B7D" w:rsidRDefault="00027868" w:rsidP="00027868">
      <w:pPr>
        <w:tabs>
          <w:tab w:val="left" w:pos="570"/>
        </w:tabs>
        <w:spacing w:before="240" w:after="120"/>
        <w:rPr>
          <w:rFonts w:cs="Arial"/>
          <w:b/>
          <w:sz w:val="24"/>
          <w:szCs w:val="24"/>
        </w:rPr>
      </w:pPr>
      <w:bookmarkStart w:id="54" w:name="_Toc215319155"/>
      <w:r w:rsidRPr="00DF5B7D">
        <w:rPr>
          <w:rFonts w:cs="Arial"/>
          <w:b/>
          <w:sz w:val="24"/>
          <w:szCs w:val="24"/>
        </w:rPr>
        <w:t>6.</w:t>
      </w:r>
      <w:r w:rsidRPr="00DF5B7D">
        <w:rPr>
          <w:rFonts w:cs="Arial"/>
          <w:b/>
          <w:sz w:val="24"/>
          <w:szCs w:val="24"/>
        </w:rPr>
        <w:tab/>
        <w:t>Service Linkages</w:t>
      </w:r>
      <w:bookmarkEnd w:id="54"/>
    </w:p>
    <w:p w:rsidR="00502F39" w:rsidRDefault="00E03896" w:rsidP="00621E29">
      <w:pPr>
        <w:spacing w:before="240" w:after="120"/>
        <w:rPr>
          <w:rFonts w:cs="Arial"/>
          <w:sz w:val="24"/>
          <w:szCs w:val="24"/>
        </w:rPr>
      </w:pPr>
      <w:bookmarkStart w:id="55" w:name="_Toc215319158"/>
      <w:r w:rsidRPr="00DF5B7D">
        <w:rPr>
          <w:rFonts w:cs="Arial"/>
          <w:sz w:val="24"/>
          <w:szCs w:val="24"/>
        </w:rPr>
        <w:t>Refer to the tier two Forensic Mental Health Service</w:t>
      </w:r>
      <w:r w:rsidR="006F5048" w:rsidRPr="00DF5B7D">
        <w:rPr>
          <w:rFonts w:cs="Arial"/>
          <w:sz w:val="24"/>
          <w:szCs w:val="24"/>
        </w:rPr>
        <w:t>s</w:t>
      </w:r>
      <w:r w:rsidRPr="00DF5B7D">
        <w:rPr>
          <w:rFonts w:cs="Arial"/>
          <w:sz w:val="24"/>
          <w:szCs w:val="24"/>
        </w:rPr>
        <w:t xml:space="preserve"> service specification.</w:t>
      </w:r>
      <w:bookmarkStart w:id="56" w:name="_Toc215319172"/>
      <w:bookmarkEnd w:id="55"/>
    </w:p>
    <w:p w:rsidR="00027868" w:rsidRPr="00DF5B7D" w:rsidRDefault="00502F39" w:rsidP="00621E29">
      <w:pPr>
        <w:spacing w:before="240" w:after="120"/>
        <w:rPr>
          <w:rFonts w:cs="Arial"/>
          <w:b/>
          <w:sz w:val="24"/>
          <w:szCs w:val="24"/>
        </w:rPr>
      </w:pPr>
      <w:r w:rsidRPr="00502F39">
        <w:rPr>
          <w:rFonts w:cs="Arial"/>
          <w:b/>
          <w:sz w:val="24"/>
          <w:szCs w:val="24"/>
        </w:rPr>
        <w:t>7</w:t>
      </w:r>
      <w:r w:rsidR="00027868" w:rsidRPr="00502F39">
        <w:rPr>
          <w:rFonts w:cs="Arial"/>
          <w:b/>
          <w:sz w:val="24"/>
          <w:szCs w:val="24"/>
        </w:rPr>
        <w:t>.</w:t>
      </w:r>
      <w:r w:rsidR="00027868" w:rsidRPr="00502F39">
        <w:rPr>
          <w:rFonts w:cs="Arial"/>
          <w:b/>
          <w:sz w:val="24"/>
          <w:szCs w:val="24"/>
        </w:rPr>
        <w:tab/>
      </w:r>
      <w:r w:rsidR="00027868" w:rsidRPr="00DF5B7D">
        <w:rPr>
          <w:rFonts w:cs="Arial"/>
          <w:b/>
          <w:sz w:val="24"/>
          <w:szCs w:val="24"/>
        </w:rPr>
        <w:t>Purchase Units and Reporting Requirements</w:t>
      </w:r>
      <w:bookmarkEnd w:id="56"/>
    </w:p>
    <w:p w:rsidR="00035785" w:rsidRPr="00DF5B7D" w:rsidRDefault="00502F39" w:rsidP="00890B3B">
      <w:pPr>
        <w:tabs>
          <w:tab w:val="left" w:pos="567"/>
          <w:tab w:val="left" w:pos="709"/>
          <w:tab w:val="left" w:pos="1701"/>
          <w:tab w:val="left" w:pos="2693"/>
        </w:tabs>
        <w:spacing w:after="120"/>
        <w:rPr>
          <w:rFonts w:cs="Arial"/>
          <w:sz w:val="24"/>
          <w:szCs w:val="24"/>
        </w:rPr>
      </w:pPr>
      <w:bookmarkStart w:id="57" w:name="_Toc215319173"/>
      <w:r>
        <w:rPr>
          <w:rFonts w:cs="Arial"/>
          <w:b/>
          <w:sz w:val="24"/>
          <w:szCs w:val="24"/>
        </w:rPr>
        <w:t>7</w:t>
      </w:r>
      <w:r w:rsidR="00602E11" w:rsidRPr="00DF5B7D">
        <w:rPr>
          <w:rFonts w:cs="Arial"/>
          <w:b/>
          <w:sz w:val="24"/>
          <w:szCs w:val="24"/>
        </w:rPr>
        <w:t>.1</w:t>
      </w:r>
      <w:r w:rsidR="00602E11" w:rsidRPr="00DF5B7D">
        <w:rPr>
          <w:rFonts w:cs="Arial"/>
          <w:sz w:val="24"/>
          <w:szCs w:val="24"/>
        </w:rPr>
        <w:tab/>
      </w:r>
      <w:r w:rsidR="00027868" w:rsidRPr="00DF5B7D">
        <w:rPr>
          <w:rFonts w:cs="Arial"/>
          <w:sz w:val="24"/>
          <w:szCs w:val="24"/>
        </w:rPr>
        <w:t xml:space="preserve">Purchase Unit </w:t>
      </w:r>
      <w:r>
        <w:rPr>
          <w:rFonts w:cs="Arial"/>
          <w:szCs w:val="24"/>
        </w:rPr>
        <w:t>(PU) Codes</w:t>
      </w:r>
      <w:r w:rsidRPr="00063831">
        <w:rPr>
          <w:rFonts w:cs="Arial"/>
          <w:szCs w:val="24"/>
        </w:rPr>
        <w:t xml:space="preserve"> </w:t>
      </w:r>
      <w:r w:rsidR="00027868" w:rsidRPr="00DF5B7D">
        <w:rPr>
          <w:rFonts w:cs="Arial"/>
          <w:sz w:val="24"/>
          <w:szCs w:val="24"/>
        </w:rPr>
        <w:t xml:space="preserve">are defined in the DHB and Ministry’s Nationwide Service Framework Purchase Unit Data Dictionary.  </w:t>
      </w:r>
      <w:bookmarkEnd w:id="57"/>
      <w:r w:rsidR="00035785" w:rsidRPr="00DF5B7D">
        <w:rPr>
          <w:rFonts w:cs="Arial"/>
          <w:sz w:val="24"/>
          <w:szCs w:val="24"/>
        </w:rPr>
        <w:t xml:space="preserve">The following </w:t>
      </w:r>
      <w:r>
        <w:rPr>
          <w:rFonts w:cs="Arial"/>
          <w:sz w:val="24"/>
          <w:szCs w:val="24"/>
        </w:rPr>
        <w:t>code</w:t>
      </w:r>
      <w:r w:rsidR="00035785" w:rsidRPr="00DF5B7D">
        <w:rPr>
          <w:rFonts w:cs="Arial"/>
          <w:sz w:val="24"/>
          <w:szCs w:val="24"/>
        </w:rPr>
        <w:t xml:space="preserve"> appl</w:t>
      </w:r>
      <w:r w:rsidR="006D5A0F" w:rsidRPr="00DF5B7D">
        <w:rPr>
          <w:rFonts w:cs="Arial"/>
          <w:sz w:val="24"/>
          <w:szCs w:val="24"/>
        </w:rPr>
        <w:t>ies</w:t>
      </w:r>
      <w:r w:rsidR="00035785" w:rsidRPr="00DF5B7D">
        <w:rPr>
          <w:rFonts w:cs="Arial"/>
          <w:sz w:val="24"/>
          <w:szCs w:val="24"/>
        </w:rPr>
        <w:t xml:space="preserve"> to the Service.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1"/>
        <w:gridCol w:w="1620"/>
        <w:gridCol w:w="5817"/>
        <w:gridCol w:w="1124"/>
      </w:tblGrid>
      <w:tr w:rsidR="00502F39" w:rsidRPr="00DF5B7D" w:rsidTr="008E5A3E">
        <w:trPr>
          <w:cantSplit/>
          <w:trHeight w:val="447"/>
          <w:tblHeader/>
        </w:trPr>
        <w:tc>
          <w:tcPr>
            <w:tcW w:w="551" w:type="pct"/>
            <w:shd w:val="clear" w:color="auto" w:fill="D9D9D9"/>
          </w:tcPr>
          <w:p w:rsidR="00502F39" w:rsidRPr="00DF5B7D" w:rsidRDefault="00502F39" w:rsidP="00035785">
            <w:pPr>
              <w:spacing w:before="120"/>
              <w:rPr>
                <w:rFonts w:cs="Arial"/>
                <w:b/>
                <w:sz w:val="20"/>
              </w:rPr>
            </w:pPr>
            <w:bookmarkStart w:id="58" w:name="_Toc215319174"/>
            <w:r w:rsidRPr="00DF5B7D">
              <w:rPr>
                <w:rFonts w:cs="Arial"/>
                <w:b/>
                <w:sz w:val="20"/>
              </w:rPr>
              <w:t>PU Code</w:t>
            </w:r>
            <w:bookmarkEnd w:id="58"/>
          </w:p>
        </w:tc>
        <w:tc>
          <w:tcPr>
            <w:tcW w:w="842" w:type="pct"/>
            <w:tcBorders>
              <w:right w:val="single" w:sz="4" w:space="0" w:color="auto"/>
            </w:tcBorders>
            <w:shd w:val="clear" w:color="auto" w:fill="D9D9D9"/>
          </w:tcPr>
          <w:p w:rsidR="00502F39" w:rsidRPr="00DF5B7D" w:rsidRDefault="00502F39" w:rsidP="00035785">
            <w:pPr>
              <w:spacing w:before="120"/>
              <w:rPr>
                <w:rFonts w:cs="Arial"/>
                <w:b/>
                <w:sz w:val="20"/>
              </w:rPr>
            </w:pPr>
            <w:bookmarkStart w:id="59" w:name="_Toc215319175"/>
            <w:r w:rsidRPr="00DF5B7D">
              <w:rPr>
                <w:rFonts w:cs="Arial"/>
                <w:b/>
                <w:sz w:val="20"/>
              </w:rPr>
              <w:t>PU Description</w:t>
            </w:r>
            <w:bookmarkEnd w:id="59"/>
          </w:p>
        </w:tc>
        <w:tc>
          <w:tcPr>
            <w:tcW w:w="3023" w:type="pct"/>
            <w:tcBorders>
              <w:left w:val="single" w:sz="4" w:space="0" w:color="auto"/>
            </w:tcBorders>
            <w:shd w:val="clear" w:color="auto" w:fill="D9D9D9"/>
          </w:tcPr>
          <w:p w:rsidR="00502F39" w:rsidRPr="00DF5B7D" w:rsidRDefault="00502F39" w:rsidP="00035785">
            <w:pPr>
              <w:spacing w:before="120"/>
              <w:rPr>
                <w:rFonts w:cs="Arial"/>
                <w:b/>
                <w:sz w:val="20"/>
              </w:rPr>
            </w:pPr>
            <w:r w:rsidRPr="00DF5B7D">
              <w:rPr>
                <w:rFonts w:cs="Arial"/>
                <w:b/>
                <w:sz w:val="20"/>
              </w:rPr>
              <w:t>PU Definition</w:t>
            </w:r>
          </w:p>
        </w:tc>
        <w:tc>
          <w:tcPr>
            <w:tcW w:w="585" w:type="pct"/>
            <w:shd w:val="clear" w:color="auto" w:fill="D9D9D9"/>
          </w:tcPr>
          <w:p w:rsidR="00502F39" w:rsidRPr="00DF5B7D" w:rsidRDefault="00502F39" w:rsidP="00035785">
            <w:pPr>
              <w:spacing w:before="120"/>
              <w:rPr>
                <w:rFonts w:cs="Arial"/>
                <w:b/>
                <w:sz w:val="20"/>
              </w:rPr>
            </w:pPr>
            <w:bookmarkStart w:id="60" w:name="_Toc215319176"/>
            <w:r>
              <w:rPr>
                <w:rFonts w:cs="Arial"/>
                <w:b/>
                <w:sz w:val="20"/>
              </w:rPr>
              <w:t>Unit of</w:t>
            </w:r>
            <w:r w:rsidRPr="00DF5B7D">
              <w:rPr>
                <w:rFonts w:cs="Arial"/>
                <w:b/>
                <w:sz w:val="20"/>
              </w:rPr>
              <w:t xml:space="preserve"> Measure</w:t>
            </w:r>
            <w:bookmarkEnd w:id="60"/>
          </w:p>
        </w:tc>
      </w:tr>
      <w:tr w:rsidR="00502F39" w:rsidRPr="00DF5B7D" w:rsidTr="008E5A3E">
        <w:trPr>
          <w:cantSplit/>
        </w:trPr>
        <w:tc>
          <w:tcPr>
            <w:tcW w:w="551" w:type="pct"/>
            <w:tcBorders>
              <w:top w:val="single" w:sz="4" w:space="0" w:color="auto"/>
              <w:left w:val="single" w:sz="4" w:space="0" w:color="auto"/>
              <w:bottom w:val="single" w:sz="4" w:space="0" w:color="auto"/>
              <w:right w:val="single" w:sz="4" w:space="0" w:color="auto"/>
            </w:tcBorders>
          </w:tcPr>
          <w:p w:rsidR="00502F39" w:rsidRPr="00DF5B7D" w:rsidRDefault="00502F39" w:rsidP="00502763">
            <w:pPr>
              <w:spacing w:before="60" w:after="60"/>
              <w:rPr>
                <w:rFonts w:cs="Arial"/>
                <w:sz w:val="20"/>
              </w:rPr>
            </w:pPr>
            <w:r w:rsidRPr="00DF5B7D">
              <w:rPr>
                <w:rFonts w:cs="Arial"/>
                <w:sz w:val="20"/>
              </w:rPr>
              <w:t>MHF81</w:t>
            </w:r>
          </w:p>
        </w:tc>
        <w:tc>
          <w:tcPr>
            <w:tcW w:w="842" w:type="pct"/>
            <w:tcBorders>
              <w:top w:val="single" w:sz="4" w:space="0" w:color="auto"/>
              <w:left w:val="single" w:sz="4" w:space="0" w:color="auto"/>
              <w:bottom w:val="single" w:sz="4" w:space="0" w:color="auto"/>
              <w:right w:val="single" w:sz="4" w:space="0" w:color="auto"/>
            </w:tcBorders>
          </w:tcPr>
          <w:p w:rsidR="00502F39" w:rsidRPr="00DF5B7D" w:rsidRDefault="00502F39" w:rsidP="00502763">
            <w:pPr>
              <w:spacing w:before="60" w:after="60"/>
              <w:rPr>
                <w:rFonts w:cs="Arial"/>
                <w:sz w:val="20"/>
              </w:rPr>
            </w:pPr>
            <w:r w:rsidRPr="00DF5B7D">
              <w:rPr>
                <w:rFonts w:cs="Arial"/>
                <w:sz w:val="20"/>
              </w:rPr>
              <w:t>Forensic Mental Health – Extended Secure Service</w:t>
            </w:r>
          </w:p>
        </w:tc>
        <w:tc>
          <w:tcPr>
            <w:tcW w:w="3023" w:type="pct"/>
            <w:tcBorders>
              <w:top w:val="single" w:sz="4" w:space="0" w:color="auto"/>
              <w:left w:val="single" w:sz="4" w:space="0" w:color="auto"/>
              <w:bottom w:val="single" w:sz="4" w:space="0" w:color="auto"/>
              <w:right w:val="single" w:sz="4" w:space="0" w:color="auto"/>
            </w:tcBorders>
          </w:tcPr>
          <w:p w:rsidR="00502F39" w:rsidRPr="00DF5B7D" w:rsidRDefault="00502F39" w:rsidP="00502763">
            <w:pPr>
              <w:spacing w:before="60" w:after="60"/>
              <w:rPr>
                <w:rFonts w:cs="Arial"/>
                <w:sz w:val="20"/>
              </w:rPr>
            </w:pPr>
            <w:r w:rsidRPr="00DF5B7D">
              <w:rPr>
                <w:rFonts w:cs="Arial"/>
                <w:sz w:val="20"/>
              </w:rPr>
              <w:t>Service by a multidisciplinary team to provide inpatient care in a forensic mental health secure environment for people who require a higher level of observation and intensive treatment within a more secure environment for longer periods of time, due to diagnosis and treatment complexity, insufficient response to treatment and where there is a continuing need for this level of intensive support and supervision.</w:t>
            </w:r>
          </w:p>
        </w:tc>
        <w:tc>
          <w:tcPr>
            <w:tcW w:w="584" w:type="pct"/>
            <w:tcBorders>
              <w:top w:val="single" w:sz="4" w:space="0" w:color="auto"/>
              <w:left w:val="single" w:sz="4" w:space="0" w:color="auto"/>
              <w:bottom w:val="single" w:sz="4" w:space="0" w:color="auto"/>
              <w:right w:val="single" w:sz="4" w:space="0" w:color="auto"/>
            </w:tcBorders>
          </w:tcPr>
          <w:p w:rsidR="00502F39" w:rsidRPr="00DF5B7D" w:rsidRDefault="00502F39" w:rsidP="00502763">
            <w:pPr>
              <w:spacing w:before="60" w:after="60"/>
              <w:rPr>
                <w:rFonts w:cs="Arial"/>
                <w:sz w:val="20"/>
              </w:rPr>
            </w:pPr>
            <w:r w:rsidRPr="00DF5B7D">
              <w:rPr>
                <w:rFonts w:cs="Arial"/>
                <w:sz w:val="20"/>
              </w:rPr>
              <w:t>Available bed day</w:t>
            </w:r>
          </w:p>
        </w:tc>
      </w:tr>
    </w:tbl>
    <w:p w:rsidR="00502F39" w:rsidRDefault="00502F39" w:rsidP="00342E39">
      <w:pPr>
        <w:spacing w:before="120"/>
        <w:jc w:val="both"/>
        <w:rPr>
          <w:rFonts w:cs="Arial"/>
          <w:b/>
          <w:sz w:val="24"/>
          <w:szCs w:val="24"/>
        </w:rPr>
      </w:pPr>
    </w:p>
    <w:tbl>
      <w:tblPr>
        <w:tblStyle w:val="TableGrid"/>
        <w:tblW w:w="0" w:type="auto"/>
        <w:tblLook w:val="04A0" w:firstRow="1" w:lastRow="0" w:firstColumn="1" w:lastColumn="0" w:noHBand="0" w:noVBand="1"/>
      </w:tblPr>
      <w:tblGrid>
        <w:gridCol w:w="1838"/>
        <w:gridCol w:w="7790"/>
      </w:tblGrid>
      <w:tr w:rsidR="00502F39" w:rsidRPr="00502F39" w:rsidTr="00783FBB">
        <w:tc>
          <w:tcPr>
            <w:tcW w:w="1838" w:type="dxa"/>
            <w:shd w:val="clear" w:color="auto" w:fill="D9D9D9" w:themeFill="background1" w:themeFillShade="D9"/>
          </w:tcPr>
          <w:p w:rsidR="00502F39" w:rsidRPr="00502F39" w:rsidRDefault="00502F39" w:rsidP="00502F39">
            <w:pPr>
              <w:spacing w:before="120"/>
              <w:jc w:val="both"/>
              <w:rPr>
                <w:rFonts w:cs="Arial"/>
                <w:b/>
                <w:sz w:val="24"/>
                <w:szCs w:val="24"/>
              </w:rPr>
            </w:pPr>
            <w:r w:rsidRPr="00502F39">
              <w:rPr>
                <w:rFonts w:cs="Arial"/>
                <w:b/>
                <w:sz w:val="24"/>
                <w:szCs w:val="24"/>
              </w:rPr>
              <w:lastRenderedPageBreak/>
              <w:t>PU Measure</w:t>
            </w:r>
          </w:p>
        </w:tc>
        <w:tc>
          <w:tcPr>
            <w:tcW w:w="7790" w:type="dxa"/>
            <w:shd w:val="clear" w:color="auto" w:fill="D9D9D9" w:themeFill="background1" w:themeFillShade="D9"/>
          </w:tcPr>
          <w:p w:rsidR="00502F39" w:rsidRPr="00502F39" w:rsidRDefault="00502F39" w:rsidP="00502F39">
            <w:pPr>
              <w:spacing w:before="120"/>
              <w:jc w:val="both"/>
              <w:rPr>
                <w:rFonts w:cs="Arial"/>
                <w:b/>
                <w:sz w:val="24"/>
                <w:szCs w:val="24"/>
              </w:rPr>
            </w:pPr>
            <w:r w:rsidRPr="00502F39">
              <w:rPr>
                <w:rFonts w:cs="Arial"/>
                <w:b/>
                <w:sz w:val="24"/>
                <w:szCs w:val="24"/>
              </w:rPr>
              <w:t>PU Measure Definition</w:t>
            </w:r>
          </w:p>
        </w:tc>
      </w:tr>
      <w:tr w:rsidR="00502F39" w:rsidRPr="00502F39" w:rsidTr="00057BDE">
        <w:tc>
          <w:tcPr>
            <w:tcW w:w="1838" w:type="dxa"/>
          </w:tcPr>
          <w:p w:rsidR="00502F39" w:rsidRPr="00502F39" w:rsidRDefault="00502F39" w:rsidP="00502F39">
            <w:pPr>
              <w:spacing w:before="120"/>
              <w:jc w:val="both"/>
              <w:rPr>
                <w:rFonts w:cs="Arial"/>
                <w:sz w:val="24"/>
                <w:szCs w:val="24"/>
              </w:rPr>
            </w:pPr>
            <w:r w:rsidRPr="00DF5B7D">
              <w:rPr>
                <w:rFonts w:cs="Arial"/>
                <w:sz w:val="20"/>
              </w:rPr>
              <w:t>Available bed day</w:t>
            </w:r>
          </w:p>
        </w:tc>
        <w:tc>
          <w:tcPr>
            <w:tcW w:w="7790" w:type="dxa"/>
          </w:tcPr>
          <w:p w:rsidR="00502F39" w:rsidRPr="00502F39" w:rsidRDefault="00502F39" w:rsidP="00502F39">
            <w:pPr>
              <w:spacing w:before="120"/>
              <w:jc w:val="both"/>
              <w:rPr>
                <w:rFonts w:cs="Arial"/>
                <w:sz w:val="24"/>
                <w:szCs w:val="24"/>
              </w:rPr>
            </w:pPr>
            <w:r w:rsidRPr="00DF5B7D">
              <w:rPr>
                <w:rFonts w:cs="Arial"/>
                <w:sz w:val="20"/>
                <w:lang w:val="en-NZ" w:eastAsia="en-NZ"/>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342E39" w:rsidRPr="00DF5B7D" w:rsidRDefault="00502F39" w:rsidP="00342E39">
      <w:pPr>
        <w:spacing w:before="120"/>
        <w:jc w:val="both"/>
        <w:rPr>
          <w:rFonts w:cs="Arial"/>
          <w:b/>
          <w:sz w:val="24"/>
          <w:szCs w:val="24"/>
        </w:rPr>
      </w:pPr>
      <w:r>
        <w:rPr>
          <w:rFonts w:cs="Arial"/>
          <w:b/>
          <w:sz w:val="24"/>
          <w:szCs w:val="24"/>
        </w:rPr>
        <w:t>7</w:t>
      </w:r>
      <w:r w:rsidR="00342E39" w:rsidRPr="00DF5B7D">
        <w:rPr>
          <w:rFonts w:cs="Arial"/>
          <w:b/>
          <w:sz w:val="24"/>
          <w:szCs w:val="24"/>
        </w:rPr>
        <w:t>.2</w:t>
      </w:r>
      <w:r w:rsidR="00342E39" w:rsidRPr="00DF5B7D">
        <w:rPr>
          <w:rFonts w:cs="Arial"/>
          <w:b/>
          <w:sz w:val="24"/>
          <w:szCs w:val="24"/>
        </w:rPr>
        <w:tab/>
        <w:t>Reporting</w:t>
      </w:r>
    </w:p>
    <w:p w:rsidR="00783FBB" w:rsidRPr="005230B3" w:rsidRDefault="00783FBB" w:rsidP="00783FBB">
      <w:pPr>
        <w:spacing w:before="120"/>
        <w:rPr>
          <w:rFonts w:cs="Arial"/>
          <w:sz w:val="24"/>
          <w:szCs w:val="24"/>
        </w:rPr>
      </w:pPr>
      <w:r w:rsidRPr="005230B3">
        <w:rPr>
          <w:rFonts w:cs="Arial"/>
          <w:sz w:val="24"/>
          <w:szCs w:val="24"/>
        </w:rPr>
        <w:t>The Provider must comply with the requirements of national data collections: PRIMHD.</w:t>
      </w:r>
    </w:p>
    <w:p w:rsidR="00783FBB" w:rsidRPr="005230B3" w:rsidRDefault="00783FBB" w:rsidP="00783FBB">
      <w:pPr>
        <w:spacing w:before="120" w:after="120"/>
        <w:rPr>
          <w:rFonts w:cs="Arial"/>
          <w:sz w:val="24"/>
          <w:szCs w:val="24"/>
        </w:rPr>
      </w:pPr>
      <w:r w:rsidRPr="005230B3">
        <w:rPr>
          <w:rFonts w:cs="Arial"/>
          <w:sz w:val="24"/>
          <w:szCs w:val="24"/>
        </w:rPr>
        <w:t xml:space="preserve">Additional information to be reported and the frequency of collection are specified by the Funder in the Provider Specific Terms and Conditions as agreed with the Service Provider. </w:t>
      </w:r>
    </w:p>
    <w:p w:rsidR="00783FBB" w:rsidRPr="005230B3" w:rsidRDefault="00783FBB" w:rsidP="00783FBB">
      <w:pPr>
        <w:spacing w:before="120"/>
        <w:rPr>
          <w:rFonts w:cs="Arial"/>
          <w:sz w:val="24"/>
          <w:szCs w:val="24"/>
        </w:rPr>
      </w:pPr>
      <w:r w:rsidRPr="005230B3">
        <w:rPr>
          <w:rFonts w:cs="Arial"/>
          <w:sz w:val="24"/>
          <w:szCs w:val="24"/>
        </w:rPr>
        <w:t>The information required by the Funder will be sent to:</w:t>
      </w:r>
    </w:p>
    <w:p w:rsidR="00783FBB" w:rsidRPr="005230B3" w:rsidRDefault="00783FBB" w:rsidP="00783FBB">
      <w:pPr>
        <w:spacing w:before="120"/>
        <w:ind w:left="720"/>
        <w:rPr>
          <w:sz w:val="24"/>
        </w:rPr>
      </w:pPr>
      <w:r w:rsidRPr="005230B3">
        <w:rPr>
          <w:sz w:val="24"/>
        </w:rPr>
        <w:t>Performance Reporting</w:t>
      </w:r>
    </w:p>
    <w:p w:rsidR="00783FBB" w:rsidRPr="005230B3" w:rsidRDefault="00783FBB" w:rsidP="00783FBB">
      <w:pPr>
        <w:spacing w:before="120"/>
        <w:ind w:left="720"/>
        <w:rPr>
          <w:sz w:val="24"/>
        </w:rPr>
      </w:pPr>
      <w:r w:rsidRPr="005230B3">
        <w:rPr>
          <w:sz w:val="24"/>
        </w:rPr>
        <w:t>Sector Operations</w:t>
      </w:r>
    </w:p>
    <w:p w:rsidR="00783FBB" w:rsidRPr="005230B3" w:rsidRDefault="00783FBB" w:rsidP="00783FBB">
      <w:pPr>
        <w:spacing w:before="120"/>
        <w:ind w:left="720"/>
        <w:rPr>
          <w:sz w:val="24"/>
        </w:rPr>
      </w:pPr>
      <w:r w:rsidRPr="005230B3">
        <w:rPr>
          <w:sz w:val="24"/>
        </w:rPr>
        <w:t>Ministry of Health</w:t>
      </w:r>
    </w:p>
    <w:p w:rsidR="00783FBB" w:rsidRPr="005230B3" w:rsidRDefault="00783FBB" w:rsidP="00783FBB">
      <w:pPr>
        <w:spacing w:before="120"/>
        <w:ind w:left="720"/>
        <w:rPr>
          <w:sz w:val="24"/>
        </w:rPr>
      </w:pPr>
      <w:r w:rsidRPr="005230B3">
        <w:rPr>
          <w:sz w:val="24"/>
        </w:rPr>
        <w:t>Private Bag 1942</w:t>
      </w:r>
    </w:p>
    <w:p w:rsidR="00783FBB" w:rsidRPr="005230B3" w:rsidRDefault="00783FBB" w:rsidP="00783FBB">
      <w:pPr>
        <w:spacing w:before="120"/>
        <w:ind w:left="720"/>
        <w:rPr>
          <w:sz w:val="24"/>
        </w:rPr>
      </w:pPr>
      <w:r w:rsidRPr="005230B3">
        <w:rPr>
          <w:sz w:val="24"/>
        </w:rPr>
        <w:t>Dunedin 9054</w:t>
      </w:r>
    </w:p>
    <w:p w:rsidR="00783FBB" w:rsidRPr="005230B3" w:rsidRDefault="00783FBB" w:rsidP="00783FBB">
      <w:pPr>
        <w:spacing w:before="120"/>
        <w:rPr>
          <w:rFonts w:cs="Arial"/>
          <w:color w:val="0000FF"/>
          <w:sz w:val="24"/>
          <w:szCs w:val="24"/>
          <w:u w:val="single"/>
        </w:rPr>
      </w:pPr>
      <w:r w:rsidRPr="005230B3">
        <w:rPr>
          <w:rFonts w:cs="Arial"/>
          <w:sz w:val="24"/>
          <w:szCs w:val="24"/>
        </w:rPr>
        <w:t xml:space="preserve">Email </w:t>
      </w:r>
      <w:hyperlink r:id="rId9" w:history="1">
        <w:r w:rsidRPr="005230B3">
          <w:rPr>
            <w:rFonts w:cs="Arial"/>
            <w:color w:val="0000FF"/>
            <w:sz w:val="24"/>
            <w:szCs w:val="24"/>
            <w:u w:val="single"/>
          </w:rPr>
          <w:t>performance_reporting@moh.govt.nz</w:t>
        </w:r>
      </w:hyperlink>
    </w:p>
    <w:p w:rsidR="00783FBB" w:rsidRPr="005230B3" w:rsidRDefault="00783FBB" w:rsidP="00783FBB">
      <w:pPr>
        <w:spacing w:before="120"/>
        <w:rPr>
          <w:rFonts w:cs="Arial"/>
          <w:sz w:val="24"/>
          <w:szCs w:val="24"/>
        </w:rPr>
      </w:pPr>
      <w:r w:rsidRPr="005230B3">
        <w:rPr>
          <w:rFonts w:cs="Arial"/>
          <w:color w:val="000000"/>
          <w:sz w:val="24"/>
          <w:szCs w:val="24"/>
          <w:lang w:val="en-NZ" w:eastAsia="en-NZ"/>
        </w:rPr>
        <w:t xml:space="preserve">The Performance Monitoring </w:t>
      </w:r>
      <w:r w:rsidRPr="005230B3">
        <w:rPr>
          <w:rFonts w:cs="Arial"/>
          <w:sz w:val="24"/>
          <w:szCs w:val="24"/>
          <w:lang w:val="en-AU" w:eastAsia="en-US"/>
        </w:rPr>
        <w:t>Reporting tables for the Mental Health and Addiction Service Specifications</w:t>
      </w:r>
      <w:r w:rsidRPr="005230B3">
        <w:rPr>
          <w:rFonts w:cs="Arial"/>
          <w:sz w:val="24"/>
          <w:szCs w:val="24"/>
          <w:vertAlign w:val="superscript"/>
        </w:rPr>
        <w:footnoteReference w:id="3"/>
      </w:r>
      <w:r w:rsidRPr="005230B3">
        <w:rPr>
          <w:rFonts w:cs="Arial"/>
          <w:sz w:val="24"/>
          <w:szCs w:val="24"/>
        </w:rPr>
        <w:t xml:space="preserve"> may be used for performance monitoring if specified as agreed with the Funder.</w:t>
      </w:r>
    </w:p>
    <w:p w:rsidR="003C2D79" w:rsidRPr="00DF5B7D" w:rsidRDefault="003C2D79" w:rsidP="00F07BD6">
      <w:pPr>
        <w:spacing w:after="120"/>
        <w:ind w:left="720"/>
        <w:rPr>
          <w:rFonts w:cs="Arial"/>
          <w:sz w:val="24"/>
          <w:szCs w:val="24"/>
        </w:rPr>
      </w:pPr>
    </w:p>
    <w:sectPr w:rsidR="003C2D79" w:rsidRPr="00DF5B7D" w:rsidSect="006D5A0F">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E0" w:rsidRDefault="000748E0">
      <w:r>
        <w:separator/>
      </w:r>
    </w:p>
  </w:endnote>
  <w:endnote w:type="continuationSeparator" w:id="0">
    <w:p w:rsidR="000748E0" w:rsidRDefault="000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29" w:rsidRDefault="00621E29"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E29" w:rsidRDefault="00621E29"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29" w:rsidRDefault="00621E29"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3FB">
      <w:rPr>
        <w:rStyle w:val="PageNumber"/>
        <w:noProof/>
      </w:rPr>
      <w:t>4</w:t>
    </w:r>
    <w:r>
      <w:rPr>
        <w:rStyle w:val="PageNumber"/>
      </w:rPr>
      <w:fldChar w:fldCharType="end"/>
    </w:r>
  </w:p>
  <w:p w:rsidR="00621E29" w:rsidRPr="003F467A" w:rsidRDefault="00621E29" w:rsidP="00035785">
    <w:pPr>
      <w:pStyle w:val="Footer"/>
      <w:pBdr>
        <w:top w:val="single" w:sz="4" w:space="1" w:color="auto"/>
      </w:pBdr>
      <w:tabs>
        <w:tab w:val="center" w:pos="4536"/>
      </w:tabs>
      <w:ind w:right="360"/>
      <w:jc w:val="left"/>
      <w:rPr>
        <w:rFonts w:ascii="Arial" w:hAnsi="Arial" w:cs="Arial"/>
        <w:sz w:val="20"/>
      </w:rPr>
    </w:pPr>
    <w:r w:rsidRPr="003F467A">
      <w:rPr>
        <w:rFonts w:ascii="Arial" w:hAnsi="Arial" w:cs="Arial"/>
        <w:sz w:val="20"/>
      </w:rPr>
      <w:t xml:space="preserve">Forensic Mental Health Extended Term Secure Service Mental Health and Addiction </w:t>
    </w:r>
    <w:r w:rsidR="00E03896" w:rsidRPr="003F467A">
      <w:rPr>
        <w:rFonts w:ascii="Arial" w:hAnsi="Arial" w:cs="Arial"/>
        <w:sz w:val="20"/>
      </w:rPr>
      <w:t xml:space="preserve">Services </w:t>
    </w:r>
    <w:r w:rsidR="006F5048" w:rsidRPr="003F467A">
      <w:rPr>
        <w:rFonts w:ascii="Arial" w:hAnsi="Arial" w:cs="Arial"/>
        <w:sz w:val="20"/>
      </w:rPr>
      <w:t xml:space="preserve">tier three </w:t>
    </w:r>
    <w:r w:rsidRPr="003F467A">
      <w:rPr>
        <w:rFonts w:ascii="Arial" w:hAnsi="Arial" w:cs="Arial"/>
        <w:sz w:val="20"/>
      </w:rPr>
      <w:t xml:space="preserve">service specification </w:t>
    </w:r>
    <w:r w:rsidR="006242A4">
      <w:rPr>
        <w:rFonts w:ascii="Arial" w:hAnsi="Arial" w:cs="Arial"/>
        <w:sz w:val="20"/>
      </w:rPr>
      <w:t>April 2017</w:t>
    </w:r>
  </w:p>
  <w:p w:rsidR="00621E29" w:rsidRPr="003F467A" w:rsidRDefault="00621E29" w:rsidP="00027868">
    <w:pPr>
      <w:pStyle w:val="Footer"/>
      <w:tabs>
        <w:tab w:val="center" w:pos="4536"/>
      </w:tabs>
      <w:jc w:val="left"/>
      <w:rPr>
        <w:rStyle w:val="PageNumber"/>
        <w:rFonts w:ascii="Arial" w:hAnsi="Arial" w:cs="Arial"/>
        <w:sz w:val="20"/>
      </w:rPr>
    </w:pPr>
    <w:r w:rsidRPr="003F467A">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E0" w:rsidRDefault="000748E0">
      <w:r>
        <w:separator/>
      </w:r>
    </w:p>
  </w:footnote>
  <w:footnote w:type="continuationSeparator" w:id="0">
    <w:p w:rsidR="000748E0" w:rsidRDefault="000748E0">
      <w:r>
        <w:continuationSeparator/>
      </w:r>
    </w:p>
  </w:footnote>
  <w:footnote w:id="1">
    <w:p w:rsidR="00621E29" w:rsidRPr="002D3680" w:rsidRDefault="00621E29">
      <w:pPr>
        <w:pStyle w:val="FootnoteText"/>
        <w:rPr>
          <w:lang w:val="en-NZ"/>
        </w:rPr>
      </w:pPr>
      <w:r>
        <w:rPr>
          <w:rStyle w:val="FootnoteReference"/>
        </w:rPr>
        <w:footnoteRef/>
      </w:r>
      <w:r w:rsidR="008A5FB5">
        <w:t xml:space="preserve"> </w:t>
      </w:r>
      <w:r>
        <w:t>Forensic Mental Health Services Managed Care Network (</w:t>
      </w:r>
      <w:r>
        <w:rPr>
          <w:lang w:val="en-NZ"/>
        </w:rPr>
        <w:t>2004) Definition of security levels in psychiatric inpatient facilities in Scotland.</w:t>
      </w:r>
    </w:p>
  </w:footnote>
  <w:footnote w:id="2">
    <w:p w:rsidR="00E03896" w:rsidRPr="00E03896" w:rsidRDefault="00E03896">
      <w:pPr>
        <w:pStyle w:val="FootnoteText"/>
        <w:rPr>
          <w:lang w:val="en-NZ"/>
        </w:rPr>
      </w:pPr>
      <w:r>
        <w:rPr>
          <w:rStyle w:val="FootnoteReference"/>
        </w:rPr>
        <w:footnoteRef/>
      </w:r>
      <w:r>
        <w:t xml:space="preserve"> </w:t>
      </w:r>
      <w:r>
        <w:rPr>
          <w:lang w:val="en-NZ"/>
        </w:rPr>
        <w:t>Index offence defined as</w:t>
      </w:r>
      <w:r w:rsidR="0099306F">
        <w:rPr>
          <w:lang w:val="en-NZ"/>
        </w:rPr>
        <w:t xml:space="preserve"> the first offence for which people enter</w:t>
      </w:r>
      <w:r w:rsidR="00890B3B">
        <w:rPr>
          <w:lang w:val="en-NZ"/>
        </w:rPr>
        <w:t xml:space="preserve"> </w:t>
      </w:r>
      <w:r w:rsidR="0099306F">
        <w:rPr>
          <w:lang w:val="en-NZ"/>
        </w:rPr>
        <w:t xml:space="preserve">mental health </w:t>
      </w:r>
      <w:r w:rsidR="006F5048">
        <w:rPr>
          <w:lang w:val="en-NZ"/>
        </w:rPr>
        <w:t>s</w:t>
      </w:r>
      <w:r w:rsidR="0099306F">
        <w:rPr>
          <w:lang w:val="en-NZ"/>
        </w:rPr>
        <w:t>ervices fr</w:t>
      </w:r>
      <w:r w:rsidR="008A5FB5">
        <w:rPr>
          <w:lang w:val="en-NZ"/>
        </w:rPr>
        <w:t>om a mental health perspective.</w:t>
      </w:r>
    </w:p>
  </w:footnote>
  <w:footnote w:id="3">
    <w:p w:rsidR="00783FBB" w:rsidRPr="006F249C" w:rsidRDefault="00783FBB" w:rsidP="00783FBB">
      <w:pPr>
        <w:pStyle w:val="FootnoteText"/>
      </w:pPr>
      <w:r>
        <w:rPr>
          <w:rStyle w:val="FootnoteReference"/>
        </w:rPr>
        <w:footnoteRef/>
      </w:r>
      <w:r>
        <w:t xml:space="preserve"> </w:t>
      </w:r>
      <w:r w:rsidRPr="00B302FC">
        <w:t>Performance Monitoring Reporting</w:t>
      </w:r>
      <w:r w:rsidRPr="00B302FC">
        <w:rPr>
          <w:rFonts w:cs="Arial"/>
        </w:rPr>
        <w:t xml:space="preserve"> cluster tables for Mental Health and Addiction Services are published on the Nationwide Service Framework Library, Mental Health and Addiction Service specifications page</w:t>
      </w:r>
      <w:r w:rsidRPr="006F249C">
        <w:rPr>
          <w:rFonts w:cs="Arial"/>
        </w:rPr>
        <w:t xml:space="preserve">, </w:t>
      </w:r>
      <w:r w:rsidRPr="00B302FC">
        <w:rPr>
          <w:rFonts w:cs="Arial"/>
        </w:rPr>
        <w:t>Downloads section www.</w:t>
      </w:r>
      <w:r w:rsidRPr="00B302F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61F"/>
    <w:multiLevelType w:val="hybridMultilevel"/>
    <w:tmpl w:val="A61A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15:restartNumberingAfterBreak="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3" w15:restartNumberingAfterBreak="0">
    <w:nsid w:val="06C0205F"/>
    <w:multiLevelType w:val="hybridMultilevel"/>
    <w:tmpl w:val="FB84C2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663EC8"/>
    <w:multiLevelType w:val="hybridMultilevel"/>
    <w:tmpl w:val="9C70E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8368B"/>
    <w:multiLevelType w:val="hybridMultilevel"/>
    <w:tmpl w:val="4A4A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43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77ACA"/>
    <w:multiLevelType w:val="hybridMultilevel"/>
    <w:tmpl w:val="B860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5" w15:restartNumberingAfterBreak="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1"/>
  </w:num>
  <w:num w:numId="6">
    <w:abstractNumId w:val="9"/>
  </w:num>
  <w:num w:numId="7">
    <w:abstractNumId w:val="6"/>
  </w:num>
  <w:num w:numId="8">
    <w:abstractNumId w:val="13"/>
  </w:num>
  <w:num w:numId="9">
    <w:abstractNumId w:val="15"/>
  </w:num>
  <w:num w:numId="10">
    <w:abstractNumId w:val="0"/>
  </w:num>
  <w:num w:numId="11">
    <w:abstractNumId w:val="5"/>
  </w:num>
  <w:num w:numId="12">
    <w:abstractNumId w:val="10"/>
  </w:num>
  <w:num w:numId="13">
    <w:abstractNumId w:val="3"/>
  </w:num>
  <w:num w:numId="14">
    <w:abstractNumId w:val="4"/>
  </w:num>
  <w:num w:numId="15">
    <w:abstractNumId w:val="1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35785"/>
    <w:rsid w:val="00057BDE"/>
    <w:rsid w:val="00071824"/>
    <w:rsid w:val="000721D5"/>
    <w:rsid w:val="000748E0"/>
    <w:rsid w:val="000A37D2"/>
    <w:rsid w:val="000C352C"/>
    <w:rsid w:val="000C5A0B"/>
    <w:rsid w:val="001023DC"/>
    <w:rsid w:val="001334D0"/>
    <w:rsid w:val="00187E6E"/>
    <w:rsid w:val="0019573C"/>
    <w:rsid w:val="001E0503"/>
    <w:rsid w:val="001E2F25"/>
    <w:rsid w:val="00200445"/>
    <w:rsid w:val="00211096"/>
    <w:rsid w:val="002648DA"/>
    <w:rsid w:val="002B1E06"/>
    <w:rsid w:val="002D3680"/>
    <w:rsid w:val="00335AE0"/>
    <w:rsid w:val="00342E39"/>
    <w:rsid w:val="00367DF4"/>
    <w:rsid w:val="00381182"/>
    <w:rsid w:val="003C2D79"/>
    <w:rsid w:val="003F467A"/>
    <w:rsid w:val="004049A4"/>
    <w:rsid w:val="00436FBA"/>
    <w:rsid w:val="0044511F"/>
    <w:rsid w:val="00450403"/>
    <w:rsid w:val="004739D8"/>
    <w:rsid w:val="004852B1"/>
    <w:rsid w:val="004E3ACB"/>
    <w:rsid w:val="00502763"/>
    <w:rsid w:val="00502F39"/>
    <w:rsid w:val="0056536F"/>
    <w:rsid w:val="00566455"/>
    <w:rsid w:val="00567788"/>
    <w:rsid w:val="00576D31"/>
    <w:rsid w:val="005A187A"/>
    <w:rsid w:val="005B3702"/>
    <w:rsid w:val="005C068E"/>
    <w:rsid w:val="005F047A"/>
    <w:rsid w:val="005F0A48"/>
    <w:rsid w:val="00602E11"/>
    <w:rsid w:val="00621E29"/>
    <w:rsid w:val="006242A4"/>
    <w:rsid w:val="0064779D"/>
    <w:rsid w:val="00695506"/>
    <w:rsid w:val="006A63D0"/>
    <w:rsid w:val="006C0540"/>
    <w:rsid w:val="006C5393"/>
    <w:rsid w:val="006D31FC"/>
    <w:rsid w:val="006D5A0F"/>
    <w:rsid w:val="006F5048"/>
    <w:rsid w:val="007213FB"/>
    <w:rsid w:val="00742AE9"/>
    <w:rsid w:val="007504D4"/>
    <w:rsid w:val="0075680C"/>
    <w:rsid w:val="0075697C"/>
    <w:rsid w:val="0077129B"/>
    <w:rsid w:val="0077416B"/>
    <w:rsid w:val="00783FBB"/>
    <w:rsid w:val="007847F4"/>
    <w:rsid w:val="00791C69"/>
    <w:rsid w:val="007E17BA"/>
    <w:rsid w:val="00802973"/>
    <w:rsid w:val="008203B4"/>
    <w:rsid w:val="0084230C"/>
    <w:rsid w:val="00857C0F"/>
    <w:rsid w:val="00890B3B"/>
    <w:rsid w:val="008A5FB5"/>
    <w:rsid w:val="008E5A3E"/>
    <w:rsid w:val="00926C09"/>
    <w:rsid w:val="0098011C"/>
    <w:rsid w:val="0099306F"/>
    <w:rsid w:val="009B60FF"/>
    <w:rsid w:val="009C0C21"/>
    <w:rsid w:val="009D3C7E"/>
    <w:rsid w:val="009E07F7"/>
    <w:rsid w:val="009E5113"/>
    <w:rsid w:val="00A152BB"/>
    <w:rsid w:val="00A37EDB"/>
    <w:rsid w:val="00AA5B7A"/>
    <w:rsid w:val="00B03CC4"/>
    <w:rsid w:val="00B31C45"/>
    <w:rsid w:val="00B35547"/>
    <w:rsid w:val="00B52E67"/>
    <w:rsid w:val="00BA3EB3"/>
    <w:rsid w:val="00BC58BE"/>
    <w:rsid w:val="00BD2606"/>
    <w:rsid w:val="00BD4FCE"/>
    <w:rsid w:val="00C647FA"/>
    <w:rsid w:val="00C67F52"/>
    <w:rsid w:val="00CD41DD"/>
    <w:rsid w:val="00CE72CB"/>
    <w:rsid w:val="00CF6C19"/>
    <w:rsid w:val="00D24D54"/>
    <w:rsid w:val="00D33D7B"/>
    <w:rsid w:val="00D54A69"/>
    <w:rsid w:val="00D60D11"/>
    <w:rsid w:val="00D62D40"/>
    <w:rsid w:val="00D719C6"/>
    <w:rsid w:val="00D906A6"/>
    <w:rsid w:val="00DA295A"/>
    <w:rsid w:val="00DB422A"/>
    <w:rsid w:val="00DD1978"/>
    <w:rsid w:val="00DE7D73"/>
    <w:rsid w:val="00DF5B7D"/>
    <w:rsid w:val="00DF7973"/>
    <w:rsid w:val="00E03896"/>
    <w:rsid w:val="00E63A43"/>
    <w:rsid w:val="00E728B0"/>
    <w:rsid w:val="00E939F1"/>
    <w:rsid w:val="00EA0EAA"/>
    <w:rsid w:val="00EA28F6"/>
    <w:rsid w:val="00EB280B"/>
    <w:rsid w:val="00ED519D"/>
    <w:rsid w:val="00F07BD6"/>
    <w:rsid w:val="00F40A16"/>
    <w:rsid w:val="00F42348"/>
    <w:rsid w:val="00F443B7"/>
    <w:rsid w:val="00F67597"/>
    <w:rsid w:val="00F92520"/>
    <w:rsid w:val="00FA063A"/>
    <w:rsid w:val="00FA1BC6"/>
    <w:rsid w:val="00FB5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03F14E37-9E03-4583-8AE9-827002E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0721D5"/>
    <w:rPr>
      <w:rFonts w:ascii="Tahoma" w:hAnsi="Tahoma" w:cs="Tahoma"/>
      <w:sz w:val="16"/>
      <w:szCs w:val="16"/>
    </w:rPr>
  </w:style>
  <w:style w:type="character" w:styleId="CommentReference">
    <w:name w:val="annotation reference"/>
    <w:semiHidden/>
    <w:rsid w:val="00CD41DD"/>
    <w:rPr>
      <w:sz w:val="16"/>
      <w:szCs w:val="16"/>
    </w:rPr>
  </w:style>
  <w:style w:type="paragraph" w:styleId="CommentText">
    <w:name w:val="annotation text"/>
    <w:basedOn w:val="Normal"/>
    <w:semiHidden/>
    <w:rsid w:val="00CD41DD"/>
    <w:rPr>
      <w:sz w:val="20"/>
    </w:rPr>
  </w:style>
  <w:style w:type="paragraph" w:styleId="CommentSubject">
    <w:name w:val="annotation subject"/>
    <w:basedOn w:val="CommentText"/>
    <w:next w:val="CommentText"/>
    <w:semiHidden/>
    <w:rsid w:val="00CD41DD"/>
    <w:rPr>
      <w:b/>
      <w:bCs/>
    </w:rPr>
  </w:style>
  <w:style w:type="paragraph" w:styleId="FootnoteText">
    <w:name w:val="footnote text"/>
    <w:basedOn w:val="Normal"/>
    <w:link w:val="FootnoteTextChar"/>
    <w:uiPriority w:val="99"/>
    <w:semiHidden/>
    <w:rsid w:val="002D3680"/>
    <w:rPr>
      <w:sz w:val="20"/>
    </w:rPr>
  </w:style>
  <w:style w:type="character" w:styleId="FootnoteReference">
    <w:name w:val="footnote reference"/>
    <w:uiPriority w:val="99"/>
    <w:rsid w:val="002D3680"/>
    <w:rPr>
      <w:vertAlign w:val="superscript"/>
    </w:rPr>
  </w:style>
  <w:style w:type="paragraph" w:customStyle="1" w:styleId="CharChar">
    <w:name w:val="Char Char"/>
    <w:basedOn w:val="Normal"/>
    <w:rsid w:val="00035785"/>
    <w:pPr>
      <w:spacing w:after="160" w:line="240" w:lineRule="exact"/>
    </w:pPr>
    <w:rPr>
      <w:sz w:val="20"/>
      <w:lang w:val="en-US" w:eastAsia="en-US"/>
    </w:rPr>
  </w:style>
  <w:style w:type="paragraph" w:customStyle="1" w:styleId="CharCharCharCharChar">
    <w:name w:val="Char Char Char Char Char"/>
    <w:basedOn w:val="Normal"/>
    <w:next w:val="Normal"/>
    <w:semiHidden/>
    <w:rsid w:val="003C2D79"/>
    <w:pPr>
      <w:spacing w:after="160" w:line="240" w:lineRule="exact"/>
    </w:pPr>
    <w:rPr>
      <w:rFonts w:cs="Verdana"/>
      <w:sz w:val="24"/>
      <w:szCs w:val="24"/>
      <w:lang w:val="en-NZ" w:eastAsia="en-US"/>
    </w:rPr>
  </w:style>
  <w:style w:type="character" w:styleId="Hyperlink">
    <w:name w:val="Hyperlink"/>
    <w:uiPriority w:val="99"/>
    <w:unhideWhenUsed/>
    <w:rsid w:val="00342E39"/>
    <w:rPr>
      <w:color w:val="0000FF"/>
      <w:u w:val="single"/>
    </w:rPr>
  </w:style>
  <w:style w:type="character" w:customStyle="1" w:styleId="FootnoteTextChar">
    <w:name w:val="Footnote Text Char"/>
    <w:basedOn w:val="DefaultParagraphFont"/>
    <w:link w:val="FootnoteText"/>
    <w:uiPriority w:val="99"/>
    <w:semiHidden/>
    <w:rsid w:val="00F07BD6"/>
    <w:rPr>
      <w:rFonts w:ascii="Arial" w:hAnsi="Arial"/>
      <w:lang w:val="en-GB" w:eastAsia="en-GB"/>
    </w:rPr>
  </w:style>
  <w:style w:type="paragraph" w:styleId="Revision">
    <w:name w:val="Revision"/>
    <w:hidden/>
    <w:uiPriority w:val="99"/>
    <w:semiHidden/>
    <w:rsid w:val="00211096"/>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99970">
      <w:bodyDiv w:val="1"/>
      <w:marLeft w:val="0"/>
      <w:marRight w:val="0"/>
      <w:marTop w:val="0"/>
      <w:marBottom w:val="0"/>
      <w:divBdr>
        <w:top w:val="none" w:sz="0" w:space="0" w:color="auto"/>
        <w:left w:val="none" w:sz="0" w:space="0" w:color="auto"/>
        <w:bottom w:val="none" w:sz="0" w:space="0" w:color="auto"/>
        <w:right w:val="none" w:sz="0" w:space="0" w:color="auto"/>
      </w:divBdr>
    </w:div>
    <w:div w:id="15051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EAD4BC01</Template>
  <TotalTime>0</TotalTime>
  <Pages>4</Pages>
  <Words>961</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6721</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Emily Black</cp:lastModifiedBy>
  <cp:revision>2</cp:revision>
  <dcterms:created xsi:type="dcterms:W3CDTF">2018-08-09T22:51:00Z</dcterms:created>
  <dcterms:modified xsi:type="dcterms:W3CDTF">2018-08-09T22:51:00Z</dcterms:modified>
</cp:coreProperties>
</file>