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5" w:type="dxa"/>
        <w:tblLook w:val="0000" w:firstRow="0" w:lastRow="0" w:firstColumn="0" w:lastColumn="0" w:noHBand="0" w:noVBand="0"/>
      </w:tblPr>
      <w:tblGrid>
        <w:gridCol w:w="4428"/>
        <w:gridCol w:w="2343"/>
        <w:gridCol w:w="2856"/>
      </w:tblGrid>
      <w:tr w:rsidR="00027868" w:rsidRPr="009221AA" w:rsidTr="008C04EC">
        <w:trPr>
          <w:cantSplit/>
        </w:trPr>
        <w:tc>
          <w:tcPr>
            <w:tcW w:w="4428" w:type="dxa"/>
            <w:vAlign w:val="center"/>
          </w:tcPr>
          <w:p w:rsidR="00027868" w:rsidRPr="009221AA" w:rsidRDefault="00B14E26" w:rsidP="00027868">
            <w:pPr>
              <w:rPr>
                <w:rFonts w:cs="Arial"/>
                <w:bCs/>
                <w:sz w:val="34"/>
                <w:szCs w:val="34"/>
                <w:lang w:val="en-NZ"/>
              </w:rPr>
            </w:pPr>
            <w:r>
              <w:rPr>
                <w:rFonts w:cs="Arial"/>
                <w:noProof/>
                <w:sz w:val="23"/>
                <w:szCs w:val="23"/>
                <w:lang w:val="en-NZ" w:eastAsia="en-NZ"/>
              </w:rPr>
              <w:drawing>
                <wp:inline distT="0" distB="0" distL="0" distR="0" wp14:anchorId="1D47366E" wp14:editId="4FFFD4D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FB5553" w:rsidRDefault="009D506A" w:rsidP="00027868">
            <w:pPr>
              <w:jc w:val="right"/>
              <w:rPr>
                <w:rFonts w:cs="Arial"/>
                <w:bCs/>
                <w:sz w:val="36"/>
                <w:szCs w:val="36"/>
                <w:lang w:val="en-NZ"/>
              </w:rPr>
            </w:pPr>
            <w:r>
              <w:rPr>
                <w:rFonts w:cs="Arial"/>
                <w:b/>
                <w:sz w:val="36"/>
                <w:szCs w:val="36"/>
                <w:lang w:val="en-NZ"/>
              </w:rPr>
              <w:t>All</w:t>
            </w:r>
            <w:r w:rsidRPr="00FB5553">
              <w:rPr>
                <w:rFonts w:cs="Arial"/>
                <w:b/>
                <w:sz w:val="36"/>
                <w:szCs w:val="36"/>
                <w:lang w:val="en-NZ"/>
              </w:rPr>
              <w:t xml:space="preserve"> </w:t>
            </w:r>
            <w:r w:rsidR="008956AF" w:rsidRPr="00FB5553">
              <w:rPr>
                <w:rFonts w:cs="Arial"/>
                <w:b/>
                <w:sz w:val="36"/>
                <w:szCs w:val="36"/>
                <w:lang w:val="en-NZ"/>
              </w:rPr>
              <w:t>District Health Boards</w:t>
            </w:r>
          </w:p>
        </w:tc>
      </w:tr>
      <w:tr w:rsidR="00027868" w:rsidRPr="009221AA" w:rsidTr="008C04EC">
        <w:tc>
          <w:tcPr>
            <w:tcW w:w="9627" w:type="dxa"/>
            <w:gridSpan w:val="3"/>
          </w:tcPr>
          <w:p w:rsidR="00FB5553" w:rsidRDefault="00FB5553" w:rsidP="00FB5553">
            <w:pPr>
              <w:spacing w:before="960" w:after="12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9221AA">
              <w:rPr>
                <w:rFonts w:cs="Arial"/>
                <w:b/>
                <w:bCs/>
                <w:sz w:val="36"/>
                <w:szCs w:val="36"/>
                <w:lang w:val="en-NZ"/>
              </w:rPr>
              <w:t xml:space="preserve">FAMILY </w:t>
            </w:r>
            <w:smartTag w:uri="urn:schemas-microsoft-com:office:smarttags" w:element="stockticker">
              <w:r w:rsidRPr="009221AA">
                <w:rPr>
                  <w:rFonts w:cs="Arial"/>
                  <w:b/>
                  <w:bCs/>
                  <w:sz w:val="36"/>
                  <w:szCs w:val="36"/>
                  <w:lang w:val="en-NZ"/>
                </w:rPr>
                <w:t>AND</w:t>
              </w:r>
            </w:smartTag>
            <w:r w:rsidRPr="009221AA">
              <w:rPr>
                <w:rFonts w:cs="Arial"/>
                <w:b/>
                <w:bCs/>
                <w:sz w:val="36"/>
                <w:szCs w:val="36"/>
                <w:lang w:val="en-NZ"/>
              </w:rPr>
              <w:t xml:space="preserve"> WHA</w:t>
            </w:r>
            <w:bookmarkStart w:id="9" w:name="_GoBack"/>
            <w:bookmarkEnd w:id="9"/>
            <w:r w:rsidRPr="009221AA">
              <w:rPr>
                <w:rFonts w:cs="Arial"/>
                <w:b/>
                <w:bCs/>
                <w:sz w:val="36"/>
                <w:szCs w:val="36"/>
                <w:lang w:val="en-NZ"/>
              </w:rPr>
              <w:t xml:space="preserve">NAU </w:t>
            </w:r>
            <w:r w:rsidR="00BC26D0">
              <w:rPr>
                <w:rFonts w:cs="Arial"/>
                <w:b/>
                <w:bCs/>
                <w:sz w:val="36"/>
                <w:szCs w:val="36"/>
                <w:lang w:val="en-NZ"/>
              </w:rPr>
              <w:t xml:space="preserve">SERVICES </w:t>
            </w:r>
            <w:r>
              <w:rPr>
                <w:rFonts w:cs="Arial"/>
                <w:b/>
                <w:bCs/>
                <w:sz w:val="36"/>
                <w:szCs w:val="36"/>
                <w:lang w:val="en-NZ"/>
              </w:rPr>
              <w:t>–</w:t>
            </w:r>
          </w:p>
          <w:p w:rsidR="008956AF" w:rsidRPr="009221AA" w:rsidRDefault="008956AF" w:rsidP="00FB5553">
            <w:pPr>
              <w:spacing w:before="120" w:after="120"/>
              <w:jc w:val="center"/>
              <w:rPr>
                <w:rFonts w:cs="Arial"/>
                <w:b/>
                <w:bCs/>
                <w:sz w:val="36"/>
                <w:szCs w:val="36"/>
                <w:lang w:val="en-NZ"/>
              </w:rPr>
            </w:pPr>
            <w:r w:rsidRPr="009221AA">
              <w:rPr>
                <w:rFonts w:cs="Arial"/>
                <w:b/>
                <w:bCs/>
                <w:sz w:val="36"/>
                <w:szCs w:val="36"/>
                <w:lang w:val="en-NZ"/>
              </w:rPr>
              <w:t>MENTAL HEALTH AND ADDICTION SERVICES</w:t>
            </w:r>
          </w:p>
          <w:bookmarkEnd w:id="0"/>
          <w:bookmarkEnd w:id="1"/>
          <w:bookmarkEnd w:id="2"/>
          <w:bookmarkEnd w:id="3"/>
          <w:bookmarkEnd w:id="4"/>
          <w:bookmarkEnd w:id="5"/>
          <w:bookmarkEnd w:id="6"/>
          <w:bookmarkEnd w:id="7"/>
          <w:bookmarkEnd w:id="8"/>
          <w:p w:rsidR="00027868" w:rsidRPr="009221AA" w:rsidRDefault="00027868" w:rsidP="00027868">
            <w:pPr>
              <w:spacing w:after="120"/>
              <w:jc w:val="center"/>
              <w:rPr>
                <w:rFonts w:cs="Arial"/>
                <w:b/>
                <w:sz w:val="36"/>
                <w:szCs w:val="36"/>
              </w:rPr>
            </w:pPr>
            <w:smartTag w:uri="urn:schemas-microsoft-com:office:smarttags" w:element="stockticker">
              <w:r w:rsidRPr="009221AA">
                <w:rPr>
                  <w:rFonts w:cs="Arial"/>
                  <w:b/>
                  <w:sz w:val="36"/>
                  <w:szCs w:val="36"/>
                </w:rPr>
                <w:t>TIER</w:t>
              </w:r>
            </w:smartTag>
            <w:r w:rsidRPr="009221AA">
              <w:rPr>
                <w:rFonts w:cs="Arial"/>
                <w:b/>
                <w:sz w:val="36"/>
                <w:szCs w:val="36"/>
              </w:rPr>
              <w:t xml:space="preserve"> TWO</w:t>
            </w:r>
            <w:r w:rsidR="00FC3F23" w:rsidRPr="009221AA">
              <w:rPr>
                <w:rFonts w:cs="Arial"/>
                <w:sz w:val="20"/>
              </w:rPr>
              <w:t xml:space="preserve"> </w:t>
            </w:r>
          </w:p>
          <w:p w:rsidR="004274F2" w:rsidRPr="009221AA" w:rsidRDefault="00027868" w:rsidP="008C04EC">
            <w:pPr>
              <w:spacing w:before="120" w:after="1440"/>
              <w:jc w:val="center"/>
              <w:rPr>
                <w:rFonts w:cs="Arial"/>
              </w:rPr>
            </w:pPr>
            <w:bookmarkStart w:id="10" w:name="_Toc206406492"/>
            <w:bookmarkStart w:id="11" w:name="_Toc215319103"/>
            <w:r w:rsidRPr="009221AA">
              <w:rPr>
                <w:rFonts w:cs="Arial"/>
                <w:b/>
                <w:sz w:val="36"/>
                <w:szCs w:val="36"/>
              </w:rPr>
              <w:t>SERVICE SPECIFICATION</w:t>
            </w:r>
            <w:bookmarkEnd w:id="10"/>
            <w:bookmarkEnd w:id="11"/>
          </w:p>
        </w:tc>
      </w:tr>
      <w:tr w:rsidR="00FE0109" w:rsidRPr="00476824" w:rsidTr="008C04EC">
        <w:trPr>
          <w:trHeight w:val="1609"/>
        </w:trPr>
        <w:tc>
          <w:tcPr>
            <w:tcW w:w="6771" w:type="dxa"/>
            <w:gridSpan w:val="2"/>
            <w:tcBorders>
              <w:top w:val="single" w:sz="4" w:space="0" w:color="auto"/>
              <w:left w:val="single" w:sz="4" w:space="0" w:color="auto"/>
              <w:bottom w:val="single" w:sz="4" w:space="0" w:color="auto"/>
              <w:right w:val="single" w:sz="4" w:space="0" w:color="auto"/>
            </w:tcBorders>
          </w:tcPr>
          <w:p w:rsidR="00FE0109" w:rsidRPr="009B5893" w:rsidRDefault="00FE0109" w:rsidP="0008427E">
            <w:pPr>
              <w:pStyle w:val="Heading1"/>
              <w:spacing w:before="120" w:after="240"/>
              <w:ind w:left="360"/>
              <w:rPr>
                <w:rFonts w:cs="Arial"/>
                <w:caps/>
                <w:sz w:val="36"/>
                <w:szCs w:val="36"/>
              </w:rPr>
            </w:pPr>
            <w:bookmarkStart w:id="12" w:name="_Toc206389500"/>
            <w:bookmarkStart w:id="13" w:name="_Toc206401875"/>
            <w:bookmarkStart w:id="14" w:name="_Toc206403844"/>
            <w:bookmarkStart w:id="15" w:name="_Toc206404572"/>
            <w:bookmarkStart w:id="16" w:name="_Toc206405302"/>
            <w:bookmarkStart w:id="17" w:name="_Toc206405338"/>
            <w:bookmarkStart w:id="18" w:name="_Toc206406065"/>
            <w:bookmarkStart w:id="19" w:name="_Toc215319110"/>
            <w:r w:rsidRPr="009B5893">
              <w:rPr>
                <w:rFonts w:cs="Arial"/>
                <w:caps/>
                <w:sz w:val="36"/>
                <w:szCs w:val="36"/>
              </w:rPr>
              <w:t>STatus:</w:t>
            </w:r>
          </w:p>
          <w:p w:rsidR="00FE0109" w:rsidRPr="009B5893" w:rsidRDefault="00FE0109" w:rsidP="0008427E">
            <w:pPr>
              <w:spacing w:before="120"/>
              <w:ind w:left="360"/>
              <w:rPr>
                <w:rFonts w:cs="Arial"/>
                <w:sz w:val="36"/>
                <w:szCs w:val="36"/>
              </w:rPr>
            </w:pPr>
            <w:r w:rsidRPr="009B5893">
              <w:rPr>
                <w:rFonts w:cs="Arial"/>
                <w:sz w:val="32"/>
                <w:szCs w:val="32"/>
                <w:lang w:val="en-NZ" w:eastAsia="en-NZ"/>
              </w:rPr>
              <w:t>It is compulsory to use this nationwide service specification when purchasing this service.</w:t>
            </w:r>
          </w:p>
        </w:tc>
        <w:tc>
          <w:tcPr>
            <w:tcW w:w="2856" w:type="dxa"/>
            <w:tcBorders>
              <w:top w:val="single" w:sz="4" w:space="0" w:color="auto"/>
              <w:left w:val="single" w:sz="4" w:space="0" w:color="auto"/>
              <w:bottom w:val="single" w:sz="4" w:space="0" w:color="auto"/>
              <w:right w:val="single" w:sz="4" w:space="0" w:color="auto"/>
            </w:tcBorders>
          </w:tcPr>
          <w:p w:rsidR="00FE0109" w:rsidRPr="009B5893" w:rsidRDefault="00FE0109" w:rsidP="0008427E">
            <w:pPr>
              <w:pStyle w:val="Heading1"/>
              <w:spacing w:before="120" w:after="240"/>
              <w:ind w:left="34"/>
              <w:jc w:val="left"/>
              <w:rPr>
                <w:rFonts w:cs="Arial"/>
                <w:caps/>
                <w:sz w:val="36"/>
                <w:szCs w:val="36"/>
              </w:rPr>
            </w:pPr>
            <w:r w:rsidRPr="009B5893">
              <w:rPr>
                <w:rFonts w:cs="Arial"/>
                <w:caps/>
                <w:sz w:val="36"/>
                <w:szCs w:val="36"/>
              </w:rPr>
              <w:t xml:space="preserve">MANDATORY </w:t>
            </w:r>
          </w:p>
          <w:p w:rsidR="00FE0109" w:rsidRPr="009B5893" w:rsidRDefault="00FE0109" w:rsidP="0008427E">
            <w:pPr>
              <w:spacing w:before="120" w:after="120"/>
              <w:rPr>
                <w:rFonts w:cs="Arial"/>
                <w:sz w:val="36"/>
                <w:szCs w:val="36"/>
              </w:rPr>
            </w:pPr>
          </w:p>
        </w:tc>
      </w:tr>
      <w:tr w:rsidR="00FE0109" w:rsidRPr="00476824" w:rsidTr="008C04EC">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auto" w:fill="CCCCCC"/>
          </w:tcPr>
          <w:p w:rsidR="00FE0109" w:rsidRPr="00476824" w:rsidRDefault="00FE0109" w:rsidP="0008427E">
            <w:pPr>
              <w:spacing w:before="120" w:after="120"/>
              <w:rPr>
                <w:rFonts w:cs="Arial"/>
                <w:b/>
                <w:sz w:val="32"/>
                <w:szCs w:val="32"/>
              </w:rPr>
            </w:pPr>
            <w:r w:rsidRPr="00476824">
              <w:rPr>
                <w:rFonts w:cs="Arial"/>
                <w:b/>
                <w:sz w:val="32"/>
                <w:szCs w:val="32"/>
              </w:rPr>
              <w:t>Review History</w:t>
            </w:r>
          </w:p>
        </w:tc>
        <w:tc>
          <w:tcPr>
            <w:tcW w:w="2856" w:type="dxa"/>
            <w:tcBorders>
              <w:top w:val="single" w:sz="4" w:space="0" w:color="auto"/>
              <w:left w:val="single" w:sz="4" w:space="0" w:color="auto"/>
              <w:bottom w:val="single" w:sz="4" w:space="0" w:color="auto"/>
              <w:right w:val="single" w:sz="4" w:space="0" w:color="auto"/>
            </w:tcBorders>
            <w:shd w:val="clear" w:color="auto" w:fill="CCCCCC"/>
          </w:tcPr>
          <w:p w:rsidR="00FE0109" w:rsidRPr="00476824" w:rsidRDefault="00FE0109" w:rsidP="0008427E">
            <w:pPr>
              <w:spacing w:before="120" w:after="120"/>
              <w:rPr>
                <w:rFonts w:cs="Arial"/>
                <w:b/>
                <w:sz w:val="32"/>
                <w:szCs w:val="32"/>
              </w:rPr>
            </w:pPr>
            <w:r w:rsidRPr="00476824">
              <w:rPr>
                <w:rFonts w:cs="Arial"/>
                <w:b/>
                <w:sz w:val="32"/>
                <w:szCs w:val="32"/>
              </w:rPr>
              <w:t>Date</w:t>
            </w:r>
          </w:p>
        </w:tc>
      </w:tr>
      <w:tr w:rsidR="00027868" w:rsidRPr="009221AA" w:rsidTr="008C04EC">
        <w:tc>
          <w:tcPr>
            <w:tcW w:w="6771" w:type="dxa"/>
            <w:gridSpan w:val="2"/>
            <w:tcBorders>
              <w:top w:val="single" w:sz="4" w:space="0" w:color="auto"/>
              <w:left w:val="single" w:sz="4" w:space="0" w:color="auto"/>
              <w:bottom w:val="single" w:sz="6" w:space="0" w:color="auto"/>
              <w:right w:val="single" w:sz="6" w:space="0" w:color="auto"/>
            </w:tcBorders>
            <w:vAlign w:val="center"/>
          </w:tcPr>
          <w:p w:rsidR="00027868" w:rsidRPr="009221AA" w:rsidRDefault="00027868" w:rsidP="00027868">
            <w:pPr>
              <w:spacing w:before="120" w:after="120"/>
              <w:rPr>
                <w:rFonts w:cs="Arial"/>
                <w:sz w:val="32"/>
                <w:szCs w:val="32"/>
              </w:rPr>
            </w:pPr>
            <w:bookmarkStart w:id="20" w:name="_Toc215319113"/>
            <w:bookmarkEnd w:id="12"/>
            <w:bookmarkEnd w:id="13"/>
            <w:bookmarkEnd w:id="14"/>
            <w:bookmarkEnd w:id="15"/>
            <w:bookmarkEnd w:id="16"/>
            <w:bookmarkEnd w:id="17"/>
            <w:bookmarkEnd w:id="18"/>
            <w:bookmarkEnd w:id="19"/>
            <w:r w:rsidRPr="009221AA">
              <w:rPr>
                <w:rFonts w:cs="Arial"/>
                <w:sz w:val="32"/>
                <w:szCs w:val="32"/>
              </w:rPr>
              <w:t>Published on NSFL</w:t>
            </w:r>
            <w:bookmarkEnd w:id="20"/>
          </w:p>
        </w:tc>
        <w:tc>
          <w:tcPr>
            <w:tcW w:w="2856" w:type="dxa"/>
            <w:tcBorders>
              <w:top w:val="single" w:sz="4" w:space="0" w:color="auto"/>
              <w:left w:val="single" w:sz="6" w:space="0" w:color="auto"/>
              <w:bottom w:val="single" w:sz="6" w:space="0" w:color="auto"/>
              <w:right w:val="single" w:sz="4" w:space="0" w:color="auto"/>
            </w:tcBorders>
            <w:vAlign w:val="center"/>
          </w:tcPr>
          <w:p w:rsidR="00027868" w:rsidRPr="009221AA" w:rsidRDefault="00A11545" w:rsidP="00027868">
            <w:pPr>
              <w:spacing w:before="120" w:after="120"/>
              <w:rPr>
                <w:rFonts w:cs="Arial"/>
                <w:sz w:val="32"/>
                <w:szCs w:val="32"/>
              </w:rPr>
            </w:pPr>
            <w:r w:rsidRPr="009221AA">
              <w:rPr>
                <w:rFonts w:cs="Arial"/>
                <w:sz w:val="32"/>
                <w:szCs w:val="32"/>
              </w:rPr>
              <w:t>November 2009</w:t>
            </w:r>
          </w:p>
        </w:tc>
      </w:tr>
      <w:tr w:rsidR="0016285F" w:rsidRPr="009221AA" w:rsidTr="008C04EC">
        <w:tc>
          <w:tcPr>
            <w:tcW w:w="6771" w:type="dxa"/>
            <w:gridSpan w:val="2"/>
            <w:tcBorders>
              <w:top w:val="single" w:sz="6" w:space="0" w:color="auto"/>
              <w:left w:val="single" w:sz="4" w:space="0" w:color="auto"/>
              <w:bottom w:val="single" w:sz="6" w:space="0" w:color="auto"/>
              <w:right w:val="single" w:sz="6" w:space="0" w:color="auto"/>
            </w:tcBorders>
            <w:vAlign w:val="center"/>
          </w:tcPr>
          <w:p w:rsidR="0016285F" w:rsidRPr="008C04EC" w:rsidRDefault="0016285F" w:rsidP="008C04EC">
            <w:pPr>
              <w:spacing w:before="120" w:after="120"/>
              <w:rPr>
                <w:rFonts w:cs="Arial"/>
                <w:sz w:val="24"/>
                <w:szCs w:val="24"/>
              </w:rPr>
            </w:pPr>
            <w:bookmarkStart w:id="21" w:name="_Toc215319116"/>
            <w:r w:rsidRPr="008C04EC">
              <w:rPr>
                <w:rFonts w:cs="Arial"/>
                <w:b/>
                <w:sz w:val="24"/>
                <w:szCs w:val="24"/>
              </w:rPr>
              <w:t>Amend</w:t>
            </w:r>
            <w:r w:rsidR="008C04EC" w:rsidRPr="008C04EC">
              <w:rPr>
                <w:rFonts w:cs="Arial"/>
                <w:b/>
                <w:sz w:val="24"/>
                <w:szCs w:val="24"/>
              </w:rPr>
              <w:t>ed:</w:t>
            </w:r>
            <w:r w:rsidRPr="008C04EC">
              <w:rPr>
                <w:rFonts w:cs="Arial"/>
                <w:sz w:val="24"/>
                <w:szCs w:val="24"/>
              </w:rPr>
              <w:t xml:space="preserve"> Removal of </w:t>
            </w:r>
            <w:r w:rsidR="009221AA" w:rsidRPr="008C04EC">
              <w:rPr>
                <w:rFonts w:cs="Arial"/>
                <w:sz w:val="24"/>
                <w:szCs w:val="24"/>
              </w:rPr>
              <w:t xml:space="preserve">the unapproved </w:t>
            </w:r>
            <w:r w:rsidRPr="008C04EC">
              <w:rPr>
                <w:rFonts w:cs="Arial"/>
                <w:sz w:val="24"/>
                <w:szCs w:val="24"/>
              </w:rPr>
              <w:t>MHAK03 Purchase Unit Code</w:t>
            </w:r>
            <w:bookmarkEnd w:id="21"/>
            <w:r w:rsidR="009221AA" w:rsidRPr="008C04EC">
              <w:rPr>
                <w:rFonts w:cs="Arial"/>
                <w:sz w:val="24"/>
                <w:szCs w:val="24"/>
              </w:rPr>
              <w:t>. Minor editing changes for consistency.</w:t>
            </w:r>
          </w:p>
        </w:tc>
        <w:tc>
          <w:tcPr>
            <w:tcW w:w="2856" w:type="dxa"/>
            <w:tcBorders>
              <w:top w:val="single" w:sz="6" w:space="0" w:color="auto"/>
              <w:left w:val="single" w:sz="6" w:space="0" w:color="auto"/>
              <w:bottom w:val="single" w:sz="6" w:space="0" w:color="auto"/>
              <w:right w:val="single" w:sz="4" w:space="0" w:color="auto"/>
            </w:tcBorders>
            <w:vAlign w:val="center"/>
          </w:tcPr>
          <w:p w:rsidR="0016285F" w:rsidRPr="009221AA" w:rsidRDefault="0016285F" w:rsidP="00027868">
            <w:pPr>
              <w:spacing w:before="120" w:after="120"/>
              <w:rPr>
                <w:rFonts w:cs="Arial"/>
                <w:sz w:val="32"/>
                <w:szCs w:val="32"/>
              </w:rPr>
            </w:pPr>
            <w:bookmarkStart w:id="22" w:name="_Toc215319117"/>
            <w:r w:rsidRPr="009221AA">
              <w:rPr>
                <w:rFonts w:cs="Arial"/>
                <w:sz w:val="32"/>
                <w:szCs w:val="32"/>
              </w:rPr>
              <w:t>February 2011</w:t>
            </w:r>
            <w:bookmarkEnd w:id="22"/>
          </w:p>
        </w:tc>
      </w:tr>
      <w:tr w:rsidR="008956AF" w:rsidRPr="009221AA" w:rsidTr="008C04EC">
        <w:tc>
          <w:tcPr>
            <w:tcW w:w="6771" w:type="dxa"/>
            <w:gridSpan w:val="2"/>
            <w:tcBorders>
              <w:top w:val="single" w:sz="6" w:space="0" w:color="auto"/>
              <w:left w:val="single" w:sz="4" w:space="0" w:color="auto"/>
              <w:bottom w:val="single" w:sz="6" w:space="0" w:color="auto"/>
              <w:right w:val="single" w:sz="6" w:space="0" w:color="auto"/>
            </w:tcBorders>
            <w:vAlign w:val="center"/>
          </w:tcPr>
          <w:p w:rsidR="008956AF" w:rsidRPr="008C04EC" w:rsidRDefault="009A5CEC" w:rsidP="008C04EC">
            <w:pPr>
              <w:spacing w:before="120" w:after="120"/>
              <w:rPr>
                <w:rFonts w:cs="Arial"/>
                <w:sz w:val="24"/>
                <w:szCs w:val="24"/>
              </w:rPr>
            </w:pPr>
            <w:r w:rsidRPr="008C04EC">
              <w:rPr>
                <w:rFonts w:cs="Arial"/>
                <w:b/>
                <w:sz w:val="24"/>
                <w:szCs w:val="24"/>
              </w:rPr>
              <w:t>Amend</w:t>
            </w:r>
            <w:r w:rsidR="008C04EC" w:rsidRPr="008C04EC">
              <w:rPr>
                <w:rFonts w:cs="Arial"/>
                <w:b/>
                <w:sz w:val="24"/>
                <w:szCs w:val="24"/>
              </w:rPr>
              <w:t>ed:</w:t>
            </w:r>
            <w:r w:rsidRPr="008C04EC">
              <w:rPr>
                <w:rFonts w:cs="Arial"/>
                <w:sz w:val="24"/>
                <w:szCs w:val="24"/>
              </w:rPr>
              <w:t xml:space="preserve"> </w:t>
            </w:r>
            <w:r w:rsidR="007C0A34" w:rsidRPr="008C04EC">
              <w:rPr>
                <w:rFonts w:cs="Arial"/>
                <w:sz w:val="24"/>
                <w:szCs w:val="24"/>
              </w:rPr>
              <w:t xml:space="preserve">minor wording changes for consistency with other service specifications </w:t>
            </w:r>
            <w:r w:rsidRPr="008C04EC">
              <w:rPr>
                <w:rFonts w:cs="Arial"/>
                <w:sz w:val="24"/>
                <w:szCs w:val="24"/>
              </w:rPr>
              <w:t xml:space="preserve">page 2 </w:t>
            </w:r>
            <w:r w:rsidRPr="008C04EC">
              <w:rPr>
                <w:rFonts w:cs="Arial"/>
                <w:bCs/>
                <w:sz w:val="24"/>
                <w:szCs w:val="24"/>
              </w:rPr>
              <w:t>and Section 10</w:t>
            </w:r>
            <w:r w:rsidR="007C0A34" w:rsidRPr="008C04EC">
              <w:rPr>
                <w:rFonts w:cs="Arial"/>
                <w:bCs/>
                <w:sz w:val="24"/>
                <w:szCs w:val="24"/>
              </w:rPr>
              <w:t>.</w:t>
            </w:r>
            <w:r w:rsidRPr="008C04EC">
              <w:rPr>
                <w:rFonts w:cs="Arial"/>
                <w:bCs/>
                <w:sz w:val="24"/>
                <w:szCs w:val="24"/>
              </w:rPr>
              <w:t xml:space="preserve"> </w:t>
            </w:r>
          </w:p>
        </w:tc>
        <w:tc>
          <w:tcPr>
            <w:tcW w:w="2856" w:type="dxa"/>
            <w:tcBorders>
              <w:top w:val="single" w:sz="6" w:space="0" w:color="auto"/>
              <w:left w:val="single" w:sz="6" w:space="0" w:color="auto"/>
              <w:bottom w:val="single" w:sz="6" w:space="0" w:color="auto"/>
              <w:right w:val="single" w:sz="4" w:space="0" w:color="auto"/>
            </w:tcBorders>
            <w:vAlign w:val="center"/>
          </w:tcPr>
          <w:p w:rsidR="008956AF" w:rsidRPr="009221AA" w:rsidRDefault="00C43F1E" w:rsidP="00C43F1E">
            <w:pPr>
              <w:spacing w:before="120" w:after="120"/>
              <w:rPr>
                <w:rFonts w:cs="Arial"/>
                <w:sz w:val="32"/>
                <w:szCs w:val="32"/>
              </w:rPr>
            </w:pPr>
            <w:r>
              <w:rPr>
                <w:sz w:val="32"/>
                <w:szCs w:val="32"/>
              </w:rPr>
              <w:t>February</w:t>
            </w:r>
            <w:r w:rsidR="008956AF">
              <w:rPr>
                <w:sz w:val="32"/>
                <w:szCs w:val="32"/>
              </w:rPr>
              <w:t xml:space="preserve"> 2012</w:t>
            </w:r>
          </w:p>
        </w:tc>
      </w:tr>
      <w:tr w:rsidR="00FB5553" w:rsidRPr="009221AA" w:rsidTr="008C04EC">
        <w:tc>
          <w:tcPr>
            <w:tcW w:w="6771" w:type="dxa"/>
            <w:gridSpan w:val="2"/>
            <w:tcBorders>
              <w:top w:val="single" w:sz="6" w:space="0" w:color="auto"/>
              <w:left w:val="single" w:sz="4" w:space="0" w:color="auto"/>
              <w:bottom w:val="single" w:sz="6" w:space="0" w:color="auto"/>
              <w:right w:val="single" w:sz="6" w:space="0" w:color="auto"/>
            </w:tcBorders>
            <w:vAlign w:val="center"/>
          </w:tcPr>
          <w:p w:rsidR="00FB5553" w:rsidRPr="008C04EC" w:rsidRDefault="00FB5553" w:rsidP="008C04EC">
            <w:pPr>
              <w:spacing w:before="120" w:after="120"/>
              <w:rPr>
                <w:rFonts w:cs="Arial"/>
                <w:sz w:val="24"/>
                <w:szCs w:val="24"/>
              </w:rPr>
            </w:pPr>
            <w:r w:rsidRPr="008C04EC">
              <w:rPr>
                <w:rFonts w:cs="Arial"/>
                <w:b/>
                <w:sz w:val="24"/>
                <w:szCs w:val="24"/>
              </w:rPr>
              <w:t>Amend</w:t>
            </w:r>
            <w:r w:rsidR="008C04EC" w:rsidRPr="008C04EC">
              <w:rPr>
                <w:rFonts w:cs="Arial"/>
                <w:b/>
                <w:sz w:val="24"/>
                <w:szCs w:val="24"/>
              </w:rPr>
              <w:t>ed:</w:t>
            </w:r>
            <w:r w:rsidRPr="008C04EC">
              <w:rPr>
                <w:rFonts w:cs="Arial"/>
                <w:sz w:val="24"/>
                <w:szCs w:val="24"/>
              </w:rPr>
              <w:t xml:space="preserve"> clarified reporting requirements, completed PU table. Edited for consistency.</w:t>
            </w:r>
          </w:p>
        </w:tc>
        <w:tc>
          <w:tcPr>
            <w:tcW w:w="2856" w:type="dxa"/>
            <w:tcBorders>
              <w:top w:val="single" w:sz="6" w:space="0" w:color="auto"/>
              <w:left w:val="single" w:sz="6" w:space="0" w:color="auto"/>
              <w:bottom w:val="single" w:sz="6" w:space="0" w:color="auto"/>
              <w:right w:val="single" w:sz="4" w:space="0" w:color="auto"/>
            </w:tcBorders>
            <w:vAlign w:val="center"/>
          </w:tcPr>
          <w:p w:rsidR="00FB5553" w:rsidRDefault="00FB5553" w:rsidP="00C43F1E">
            <w:pPr>
              <w:spacing w:before="120" w:after="120"/>
              <w:rPr>
                <w:sz w:val="32"/>
                <w:szCs w:val="32"/>
              </w:rPr>
            </w:pPr>
            <w:r w:rsidRPr="00FB5553">
              <w:rPr>
                <w:sz w:val="32"/>
                <w:szCs w:val="32"/>
              </w:rPr>
              <w:t>March 2013</w:t>
            </w:r>
          </w:p>
        </w:tc>
      </w:tr>
      <w:tr w:rsidR="00FE0109" w:rsidRPr="009461E4" w:rsidTr="008C04EC">
        <w:tc>
          <w:tcPr>
            <w:tcW w:w="6771" w:type="dxa"/>
            <w:gridSpan w:val="2"/>
            <w:tcBorders>
              <w:top w:val="single" w:sz="6" w:space="0" w:color="auto"/>
              <w:left w:val="single" w:sz="4" w:space="0" w:color="auto"/>
              <w:bottom w:val="single" w:sz="6" w:space="0" w:color="auto"/>
              <w:right w:val="single" w:sz="6" w:space="0" w:color="auto"/>
            </w:tcBorders>
            <w:vAlign w:val="center"/>
          </w:tcPr>
          <w:p w:rsidR="00FE0109" w:rsidRPr="008C04EC" w:rsidRDefault="00FE0109" w:rsidP="00AF04C8">
            <w:pPr>
              <w:spacing w:before="120" w:after="120"/>
              <w:rPr>
                <w:rFonts w:cs="Arial"/>
                <w:sz w:val="24"/>
                <w:szCs w:val="24"/>
              </w:rPr>
            </w:pPr>
            <w:r w:rsidRPr="008C04EC">
              <w:rPr>
                <w:rFonts w:cs="Arial"/>
                <w:b/>
                <w:sz w:val="24"/>
                <w:szCs w:val="24"/>
              </w:rPr>
              <w:t>Amended:</w:t>
            </w:r>
            <w:r w:rsidRPr="008C04EC">
              <w:rPr>
                <w:rFonts w:cs="Arial"/>
                <w:sz w:val="24"/>
                <w:szCs w:val="24"/>
              </w:rPr>
              <w:t xml:space="preserve"> added purchase units MH</w:t>
            </w:r>
            <w:r w:rsidR="00AF04C8" w:rsidRPr="008C04EC">
              <w:rPr>
                <w:rFonts w:cs="Arial"/>
                <w:sz w:val="24"/>
                <w:szCs w:val="24"/>
              </w:rPr>
              <w:t>IW /MHW</w:t>
            </w:r>
            <w:r w:rsidRPr="008C04EC">
              <w:rPr>
                <w:rFonts w:cs="Arial"/>
                <w:sz w:val="24"/>
                <w:szCs w:val="24"/>
              </w:rPr>
              <w:t xml:space="preserve"> ‘S’ series </w:t>
            </w:r>
          </w:p>
        </w:tc>
        <w:tc>
          <w:tcPr>
            <w:tcW w:w="2856" w:type="dxa"/>
            <w:tcBorders>
              <w:top w:val="single" w:sz="6" w:space="0" w:color="auto"/>
              <w:left w:val="single" w:sz="6" w:space="0" w:color="auto"/>
              <w:bottom w:val="single" w:sz="6" w:space="0" w:color="auto"/>
              <w:right w:val="single" w:sz="4" w:space="0" w:color="auto"/>
            </w:tcBorders>
            <w:vAlign w:val="center"/>
          </w:tcPr>
          <w:p w:rsidR="00FE0109" w:rsidRPr="009461E4" w:rsidRDefault="00C76583" w:rsidP="00C76583">
            <w:pPr>
              <w:spacing w:before="120" w:after="120"/>
              <w:rPr>
                <w:rFonts w:cs="Arial"/>
                <w:sz w:val="32"/>
                <w:szCs w:val="32"/>
              </w:rPr>
            </w:pPr>
            <w:r>
              <w:rPr>
                <w:rFonts w:cs="Arial"/>
                <w:sz w:val="32"/>
                <w:szCs w:val="32"/>
              </w:rPr>
              <w:t>April</w:t>
            </w:r>
            <w:r w:rsidR="00FE0109">
              <w:rPr>
                <w:rFonts w:cs="Arial"/>
                <w:sz w:val="32"/>
                <w:szCs w:val="32"/>
              </w:rPr>
              <w:t xml:space="preserve"> 201</w:t>
            </w:r>
            <w:r>
              <w:rPr>
                <w:rFonts w:cs="Arial"/>
                <w:sz w:val="32"/>
                <w:szCs w:val="32"/>
              </w:rPr>
              <w:t>7</w:t>
            </w:r>
          </w:p>
        </w:tc>
      </w:tr>
      <w:tr w:rsidR="00FB5553" w:rsidRPr="009221AA" w:rsidTr="008C04EC">
        <w:trPr>
          <w:trHeight w:val="865"/>
        </w:trPr>
        <w:tc>
          <w:tcPr>
            <w:tcW w:w="6771" w:type="dxa"/>
            <w:gridSpan w:val="2"/>
            <w:tcBorders>
              <w:top w:val="single" w:sz="6" w:space="0" w:color="auto"/>
              <w:left w:val="single" w:sz="4" w:space="0" w:color="auto"/>
              <w:bottom w:val="single" w:sz="6" w:space="0" w:color="auto"/>
              <w:right w:val="single" w:sz="6" w:space="0" w:color="auto"/>
            </w:tcBorders>
            <w:vAlign w:val="center"/>
          </w:tcPr>
          <w:p w:rsidR="00FB5553" w:rsidRPr="009221AA" w:rsidRDefault="00FB5553" w:rsidP="00027868">
            <w:pPr>
              <w:spacing w:before="120" w:after="120"/>
              <w:rPr>
                <w:rFonts w:cs="Arial"/>
                <w:sz w:val="32"/>
                <w:szCs w:val="32"/>
              </w:rPr>
            </w:pPr>
            <w:r w:rsidRPr="009221AA">
              <w:rPr>
                <w:rFonts w:cs="Arial"/>
                <w:sz w:val="32"/>
                <w:szCs w:val="32"/>
              </w:rPr>
              <w:t>Consideration for next Service Specification Review</w:t>
            </w:r>
          </w:p>
        </w:tc>
        <w:tc>
          <w:tcPr>
            <w:tcW w:w="2856" w:type="dxa"/>
            <w:tcBorders>
              <w:top w:val="single" w:sz="6" w:space="0" w:color="auto"/>
              <w:left w:val="single" w:sz="6" w:space="0" w:color="auto"/>
              <w:bottom w:val="single" w:sz="6" w:space="0" w:color="auto"/>
              <w:right w:val="single" w:sz="4" w:space="0" w:color="auto"/>
            </w:tcBorders>
            <w:vAlign w:val="center"/>
          </w:tcPr>
          <w:p w:rsidR="00FB5553" w:rsidRPr="009221AA" w:rsidRDefault="00FB5553" w:rsidP="00027868">
            <w:pPr>
              <w:spacing w:before="120" w:after="120"/>
              <w:rPr>
                <w:rFonts w:cs="Arial"/>
                <w:sz w:val="32"/>
                <w:szCs w:val="32"/>
              </w:rPr>
            </w:pPr>
            <w:r w:rsidRPr="009221AA">
              <w:rPr>
                <w:rFonts w:cs="Arial"/>
                <w:sz w:val="32"/>
                <w:szCs w:val="32"/>
              </w:rPr>
              <w:t>Within five years</w:t>
            </w:r>
          </w:p>
        </w:tc>
      </w:tr>
    </w:tbl>
    <w:p w:rsidR="00FB5553" w:rsidRPr="00CD5677" w:rsidRDefault="00FB5553" w:rsidP="00C76583">
      <w:pPr>
        <w:spacing w:before="120" w:after="120"/>
        <w:rPr>
          <w:sz w:val="24"/>
          <w:szCs w:val="24"/>
        </w:rPr>
      </w:pPr>
      <w:bookmarkStart w:id="23" w:name="_Toc215319119"/>
      <w:r w:rsidRPr="00CD5677">
        <w:rPr>
          <w:b/>
          <w:sz w:val="24"/>
          <w:szCs w:val="24"/>
        </w:rPr>
        <w:t>Note:</w:t>
      </w:r>
      <w:r w:rsidRPr="00CD5677">
        <w:rPr>
          <w:sz w:val="24"/>
          <w:szCs w:val="24"/>
        </w:rPr>
        <w:t xml:space="preserve"> Contact the Service Specification Programme Manager, </w:t>
      </w:r>
      <w:r w:rsidR="00FE0109">
        <w:rPr>
          <w:sz w:val="24"/>
          <w:szCs w:val="24"/>
        </w:rPr>
        <w:t>Service Commissioning</w:t>
      </w:r>
      <w:r w:rsidRPr="00CD5677">
        <w:rPr>
          <w:sz w:val="24"/>
          <w:szCs w:val="24"/>
        </w:rPr>
        <w:t xml:space="preserve">, Ministry of Health to discuss proposed amendments to the service specifications and guidance in developing new or updating and revising existing service specifications. </w:t>
      </w:r>
    </w:p>
    <w:p w:rsidR="00FB5553" w:rsidRDefault="00FB5553" w:rsidP="00130C22">
      <w:pPr>
        <w:rPr>
          <w:sz w:val="24"/>
          <w:szCs w:val="24"/>
        </w:rPr>
      </w:pPr>
      <w:r w:rsidRPr="00CD5677">
        <w:rPr>
          <w:sz w:val="24"/>
          <w:szCs w:val="24"/>
        </w:rPr>
        <w:t xml:space="preserve">Nationwide Service Framework Library web site </w:t>
      </w:r>
      <w:hyperlink r:id="rId9" w:history="1">
        <w:r w:rsidRPr="00CD5677">
          <w:rPr>
            <w:color w:val="0000FF"/>
            <w:sz w:val="24"/>
            <w:szCs w:val="24"/>
            <w:u w:val="single"/>
          </w:rPr>
          <w:t>http://www.nsfl.health.govt.nz/</w:t>
        </w:r>
      </w:hyperlink>
      <w:r w:rsidRPr="00CD5677">
        <w:rPr>
          <w:sz w:val="24"/>
          <w:szCs w:val="24"/>
        </w:rPr>
        <w:t xml:space="preserve"> </w:t>
      </w:r>
    </w:p>
    <w:bookmarkEnd w:id="23"/>
    <w:p w:rsidR="00FC3F23" w:rsidRDefault="00027868"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9221AA">
        <w:rPr>
          <w:rFonts w:cs="Arial"/>
          <w:sz w:val="20"/>
        </w:rPr>
        <w:br w:type="page"/>
      </w:r>
      <w:bookmarkStart w:id="24" w:name="_Toc215319122"/>
      <w:r w:rsidR="00C75947" w:rsidRPr="009221AA">
        <w:rPr>
          <w:rFonts w:cs="Arial"/>
          <w:b/>
          <w:sz w:val="24"/>
          <w:lang w:val="en-NZ"/>
        </w:rPr>
        <w:lastRenderedPageBreak/>
        <w:t xml:space="preserve">FAMILY </w:t>
      </w:r>
      <w:smartTag w:uri="urn:schemas-microsoft-com:office:smarttags" w:element="stockticker">
        <w:r w:rsidR="00542C0B" w:rsidRPr="009221AA">
          <w:rPr>
            <w:rFonts w:cs="Arial"/>
            <w:b/>
            <w:sz w:val="24"/>
            <w:lang w:val="en-NZ"/>
          </w:rPr>
          <w:t>AND</w:t>
        </w:r>
      </w:smartTag>
      <w:r w:rsidR="00542C0B" w:rsidRPr="009221AA">
        <w:rPr>
          <w:rFonts w:cs="Arial"/>
          <w:b/>
          <w:sz w:val="24"/>
          <w:lang w:val="en-NZ"/>
        </w:rPr>
        <w:t xml:space="preserve"> </w:t>
      </w:r>
      <w:r w:rsidR="00C75947" w:rsidRPr="009221AA">
        <w:rPr>
          <w:rFonts w:cs="Arial"/>
          <w:b/>
          <w:sz w:val="24"/>
          <w:lang w:val="en-NZ"/>
        </w:rPr>
        <w:t>WHANAU</w:t>
      </w:r>
      <w:r w:rsidR="00532149">
        <w:rPr>
          <w:rFonts w:cs="Arial"/>
          <w:b/>
          <w:sz w:val="24"/>
          <w:lang w:val="en-NZ"/>
        </w:rPr>
        <w:t xml:space="preserve"> </w:t>
      </w:r>
      <w:r w:rsidR="00BC26D0">
        <w:rPr>
          <w:rFonts w:cs="Arial"/>
          <w:b/>
          <w:sz w:val="24"/>
          <w:lang w:val="en-NZ"/>
        </w:rPr>
        <w:t xml:space="preserve">SERVICES </w:t>
      </w:r>
      <w:r w:rsidR="00532149">
        <w:rPr>
          <w:rFonts w:cs="Arial"/>
          <w:b/>
          <w:sz w:val="24"/>
          <w:lang w:val="en-NZ"/>
        </w:rPr>
        <w:t>-</w:t>
      </w:r>
    </w:p>
    <w:p w:rsidR="00FB5553" w:rsidRPr="009221AA" w:rsidRDefault="00FB5553"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9221AA">
        <w:rPr>
          <w:rFonts w:cs="Arial"/>
          <w:b/>
          <w:sz w:val="24"/>
          <w:lang w:val="en-NZ"/>
        </w:rPr>
        <w:t xml:space="preserve">MENTAL HEALTH </w:t>
      </w:r>
      <w:smartTag w:uri="urn:schemas-microsoft-com:office:smarttags" w:element="stockticker">
        <w:r w:rsidRPr="009221AA">
          <w:rPr>
            <w:rFonts w:cs="Arial"/>
            <w:b/>
            <w:sz w:val="24"/>
            <w:lang w:val="en-NZ"/>
          </w:rPr>
          <w:t>AND</w:t>
        </w:r>
      </w:smartTag>
      <w:r w:rsidRPr="009221AA">
        <w:rPr>
          <w:rFonts w:cs="Arial"/>
          <w:b/>
          <w:sz w:val="24"/>
          <w:lang w:val="en-NZ"/>
        </w:rPr>
        <w:t xml:space="preserve"> ADDICTION SERVICES</w:t>
      </w:r>
    </w:p>
    <w:p w:rsidR="00027868" w:rsidRPr="009221AA" w:rsidRDefault="003E6F87" w:rsidP="00AA0B0D">
      <w:pPr>
        <w:pBdr>
          <w:top w:val="single" w:sz="4" w:space="1" w:color="auto"/>
          <w:left w:val="single" w:sz="4" w:space="4" w:color="auto"/>
          <w:bottom w:val="single" w:sz="4" w:space="1" w:color="auto"/>
          <w:right w:val="single" w:sz="4" w:space="4" w:color="auto"/>
        </w:pBdr>
        <w:jc w:val="center"/>
        <w:rPr>
          <w:rFonts w:cs="Arial"/>
        </w:rPr>
      </w:pPr>
      <w:smartTag w:uri="urn:schemas-microsoft-com:office:smarttags" w:element="stockticker">
        <w:r w:rsidRPr="009221AA">
          <w:rPr>
            <w:rFonts w:cs="Arial"/>
            <w:b/>
            <w:sz w:val="24"/>
            <w:szCs w:val="24"/>
          </w:rPr>
          <w:t>TIER</w:t>
        </w:r>
      </w:smartTag>
      <w:r w:rsidRPr="009221AA">
        <w:rPr>
          <w:rFonts w:cs="Arial"/>
          <w:b/>
          <w:sz w:val="24"/>
          <w:szCs w:val="24"/>
        </w:rPr>
        <w:t xml:space="preserve"> TWO</w:t>
      </w:r>
      <w:r w:rsidR="00317B82">
        <w:rPr>
          <w:rFonts w:cs="Arial"/>
          <w:b/>
          <w:sz w:val="24"/>
          <w:szCs w:val="24"/>
        </w:rPr>
        <w:t xml:space="preserve"> </w:t>
      </w:r>
      <w:r w:rsidR="00027868" w:rsidRPr="009221AA">
        <w:rPr>
          <w:rFonts w:cs="Arial"/>
          <w:b/>
          <w:sz w:val="24"/>
          <w:lang w:val="en-NZ"/>
        </w:rPr>
        <w:t>SERVICE SPECIFICATION</w:t>
      </w:r>
    </w:p>
    <w:p w:rsidR="00C76583" w:rsidRPr="009221AA" w:rsidRDefault="00C7769E" w:rsidP="00C76583">
      <w:pPr>
        <w:spacing w:before="120"/>
        <w:rPr>
          <w:rFonts w:cs="Arial"/>
          <w:sz w:val="24"/>
          <w:szCs w:val="24"/>
        </w:rPr>
      </w:pPr>
      <w:bookmarkStart w:id="25" w:name="_Toc215319123"/>
      <w:bookmarkEnd w:id="24"/>
      <w:r w:rsidRPr="009221AA">
        <w:rPr>
          <w:rFonts w:cs="Arial"/>
          <w:sz w:val="24"/>
          <w:szCs w:val="24"/>
        </w:rPr>
        <w:t>This tier two service specification</w:t>
      </w:r>
      <w:r w:rsidR="00E603CA" w:rsidRPr="009221AA">
        <w:rPr>
          <w:rFonts w:cs="Arial"/>
          <w:sz w:val="24"/>
          <w:szCs w:val="24"/>
        </w:rPr>
        <w:t>,</w:t>
      </w:r>
      <w:r w:rsidRPr="009221AA">
        <w:rPr>
          <w:rFonts w:cs="Arial"/>
          <w:sz w:val="24"/>
          <w:szCs w:val="24"/>
        </w:rPr>
        <w:t xml:space="preserve"> for </w:t>
      </w:r>
      <w:r w:rsidR="00542C0B" w:rsidRPr="009221AA">
        <w:rPr>
          <w:rFonts w:cs="Arial"/>
          <w:sz w:val="24"/>
          <w:szCs w:val="24"/>
        </w:rPr>
        <w:t xml:space="preserve">Family and Whānau </w:t>
      </w:r>
      <w:r w:rsidR="00BC26D0">
        <w:rPr>
          <w:rFonts w:cs="Arial"/>
          <w:sz w:val="24"/>
          <w:szCs w:val="24"/>
        </w:rPr>
        <w:t xml:space="preserve">Service </w:t>
      </w:r>
      <w:r w:rsidR="00EE295F" w:rsidRPr="009221AA">
        <w:rPr>
          <w:rFonts w:cs="Arial"/>
          <w:sz w:val="24"/>
          <w:szCs w:val="24"/>
        </w:rPr>
        <w:t>(the Service)</w:t>
      </w:r>
      <w:r w:rsidRPr="009221AA">
        <w:rPr>
          <w:rFonts w:cs="Arial"/>
          <w:sz w:val="24"/>
          <w:szCs w:val="24"/>
        </w:rPr>
        <w:t xml:space="preserve"> </w:t>
      </w:r>
      <w:r w:rsidR="008956AF" w:rsidRPr="00C46192">
        <w:rPr>
          <w:rFonts w:cs="Arial"/>
          <w:sz w:val="24"/>
          <w:szCs w:val="24"/>
        </w:rPr>
        <w:t>is</w:t>
      </w:r>
      <w:r w:rsidR="008956AF" w:rsidRPr="00C46192">
        <w:rPr>
          <w:rFonts w:cs="Arial"/>
          <w:sz w:val="24"/>
          <w:szCs w:val="24"/>
          <w:lang w:val="en-NZ"/>
        </w:rPr>
        <w:t xml:space="preserve"> the overarching document for </w:t>
      </w:r>
      <w:r w:rsidR="00C76583">
        <w:rPr>
          <w:rFonts w:cs="Arial"/>
          <w:sz w:val="24"/>
          <w:szCs w:val="24"/>
          <w:lang w:val="en-NZ"/>
        </w:rPr>
        <w:t xml:space="preserve">the range of </w:t>
      </w:r>
      <w:r w:rsidR="008956AF">
        <w:rPr>
          <w:rFonts w:cs="Arial"/>
          <w:sz w:val="24"/>
          <w:szCs w:val="24"/>
          <w:lang w:val="en-NZ"/>
        </w:rPr>
        <w:t xml:space="preserve">tier </w:t>
      </w:r>
      <w:r w:rsidR="00BC26D0">
        <w:rPr>
          <w:rFonts w:cs="Arial"/>
          <w:sz w:val="24"/>
          <w:szCs w:val="24"/>
          <w:lang w:val="en-NZ"/>
        </w:rPr>
        <w:t>three Family and Whanau Mental H</w:t>
      </w:r>
      <w:r w:rsidR="008956AF">
        <w:rPr>
          <w:rFonts w:cs="Arial"/>
          <w:sz w:val="24"/>
          <w:szCs w:val="24"/>
          <w:lang w:val="en-NZ"/>
        </w:rPr>
        <w:t>ealth and Addiction service</w:t>
      </w:r>
      <w:r w:rsidR="00C76583">
        <w:rPr>
          <w:rFonts w:cs="Arial"/>
          <w:sz w:val="24"/>
          <w:szCs w:val="24"/>
          <w:lang w:val="en-NZ"/>
        </w:rPr>
        <w:t xml:space="preserve"> specifications</w:t>
      </w:r>
      <w:r w:rsidR="008956AF">
        <w:rPr>
          <w:rFonts w:cs="Arial"/>
          <w:sz w:val="24"/>
          <w:szCs w:val="24"/>
          <w:lang w:val="en-NZ"/>
        </w:rPr>
        <w:t xml:space="preserve">.  </w:t>
      </w:r>
      <w:r w:rsidR="00C76583" w:rsidRPr="009221AA">
        <w:rPr>
          <w:rFonts w:cs="Arial"/>
          <w:sz w:val="24"/>
          <w:szCs w:val="24"/>
        </w:rPr>
        <w:t xml:space="preserve">The purpose </w:t>
      </w:r>
      <w:r w:rsidR="00C76583">
        <w:rPr>
          <w:rFonts w:cs="Arial"/>
          <w:sz w:val="24"/>
          <w:szCs w:val="24"/>
        </w:rPr>
        <w:t>o</w:t>
      </w:r>
      <w:r w:rsidR="00C76583">
        <w:rPr>
          <w:sz w:val="24"/>
          <w:szCs w:val="24"/>
        </w:rPr>
        <w:t>f the service specification</w:t>
      </w:r>
      <w:r w:rsidR="00C76583" w:rsidRPr="00B8429C">
        <w:rPr>
          <w:sz w:val="24"/>
          <w:szCs w:val="24"/>
        </w:rPr>
        <w:t xml:space="preserve"> </w:t>
      </w:r>
      <w:r w:rsidR="00C76583" w:rsidRPr="009221AA">
        <w:rPr>
          <w:rFonts w:cs="Arial"/>
          <w:sz w:val="24"/>
          <w:szCs w:val="24"/>
        </w:rPr>
        <w:t>is to define the services and their objectives in the delivery of a range of secondary and tertiary services for families and whānau</w:t>
      </w:r>
      <w:r w:rsidR="00C76583" w:rsidRPr="009221AA">
        <w:rPr>
          <w:rFonts w:cs="Arial"/>
          <w:bCs/>
          <w:sz w:val="24"/>
          <w:szCs w:val="24"/>
        </w:rPr>
        <w:t>, in the mental health and addictions sector.</w:t>
      </w:r>
    </w:p>
    <w:p w:rsidR="00C43F1E" w:rsidRDefault="008956AF" w:rsidP="00C43F1E">
      <w:pPr>
        <w:spacing w:before="120"/>
        <w:rPr>
          <w:rFonts w:cs="Arial"/>
          <w:sz w:val="24"/>
          <w:szCs w:val="24"/>
          <w:lang w:val="en-NZ"/>
        </w:rPr>
      </w:pPr>
      <w:r>
        <w:rPr>
          <w:rFonts w:cs="Arial"/>
          <w:sz w:val="24"/>
          <w:szCs w:val="24"/>
          <w:lang w:val="en-NZ"/>
        </w:rPr>
        <w:t xml:space="preserve">This service specification </w:t>
      </w:r>
      <w:r w:rsidR="004274F2" w:rsidRPr="009221AA">
        <w:rPr>
          <w:rFonts w:cs="Arial"/>
          <w:sz w:val="24"/>
          <w:szCs w:val="24"/>
        </w:rPr>
        <w:t xml:space="preserve">must be </w:t>
      </w:r>
      <w:r w:rsidR="0091333F" w:rsidRPr="009221AA">
        <w:rPr>
          <w:rFonts w:cs="Arial"/>
          <w:sz w:val="24"/>
          <w:szCs w:val="24"/>
        </w:rPr>
        <w:t>used</w:t>
      </w:r>
      <w:r w:rsidR="004274F2" w:rsidRPr="009221AA">
        <w:rPr>
          <w:rFonts w:cs="Arial"/>
          <w:sz w:val="24"/>
          <w:szCs w:val="24"/>
        </w:rPr>
        <w:t xml:space="preserve"> in conjunction with</w:t>
      </w:r>
      <w:r w:rsidR="00B3247D" w:rsidRPr="009221AA">
        <w:rPr>
          <w:rFonts w:cs="Arial"/>
          <w:sz w:val="24"/>
          <w:szCs w:val="24"/>
          <w:lang w:val="en-NZ"/>
        </w:rPr>
        <w:t xml:space="preserve"> the </w:t>
      </w:r>
      <w:r w:rsidR="00B3247D" w:rsidRPr="009221AA">
        <w:rPr>
          <w:rFonts w:cs="Arial"/>
          <w:sz w:val="24"/>
          <w:szCs w:val="24"/>
        </w:rPr>
        <w:t>tier one Mental Health and Addiction Services service specification</w:t>
      </w:r>
      <w:r w:rsidR="00B3247D" w:rsidRPr="009221AA">
        <w:rPr>
          <w:rFonts w:cs="Arial"/>
          <w:sz w:val="24"/>
          <w:szCs w:val="24"/>
          <w:lang w:val="en-NZ"/>
        </w:rPr>
        <w:t xml:space="preserve"> </w:t>
      </w:r>
      <w:r w:rsidR="00C76583">
        <w:rPr>
          <w:rFonts w:cs="Arial"/>
          <w:sz w:val="24"/>
          <w:szCs w:val="24"/>
          <w:lang w:val="en-NZ"/>
        </w:rPr>
        <w:t>and</w:t>
      </w:r>
      <w:r w:rsidR="0091333F" w:rsidRPr="009221AA">
        <w:rPr>
          <w:rFonts w:cs="Arial"/>
          <w:sz w:val="24"/>
          <w:szCs w:val="24"/>
          <w:lang w:val="en-NZ"/>
        </w:rPr>
        <w:t xml:space="preserve"> tier three </w:t>
      </w:r>
      <w:r w:rsidR="00542C0B" w:rsidRPr="009221AA">
        <w:rPr>
          <w:rFonts w:cs="Arial"/>
          <w:sz w:val="24"/>
          <w:szCs w:val="24"/>
        </w:rPr>
        <w:t>Family and Whānau</w:t>
      </w:r>
      <w:r w:rsidR="00C7769E" w:rsidRPr="009221AA">
        <w:rPr>
          <w:rFonts w:cs="Arial"/>
          <w:sz w:val="24"/>
          <w:szCs w:val="24"/>
        </w:rPr>
        <w:t xml:space="preserve"> Mental Health and Addiction service specifications</w:t>
      </w:r>
      <w:r>
        <w:rPr>
          <w:rFonts w:cs="Arial"/>
          <w:sz w:val="24"/>
          <w:szCs w:val="24"/>
        </w:rPr>
        <w:t xml:space="preserve"> </w:t>
      </w:r>
      <w:r w:rsidR="00C43F1E">
        <w:rPr>
          <w:rFonts w:cs="Arial"/>
          <w:sz w:val="24"/>
          <w:szCs w:val="24"/>
        </w:rPr>
        <w:t>l</w:t>
      </w:r>
      <w:r w:rsidR="0091333F" w:rsidRPr="009221AA">
        <w:rPr>
          <w:rFonts w:cs="Arial"/>
          <w:sz w:val="24"/>
          <w:szCs w:val="24"/>
        </w:rPr>
        <w:t xml:space="preserve">isted </w:t>
      </w:r>
      <w:r w:rsidR="00AF04C8">
        <w:rPr>
          <w:rFonts w:cs="Arial"/>
          <w:sz w:val="24"/>
          <w:szCs w:val="24"/>
        </w:rPr>
        <w:t xml:space="preserve">in section 10 </w:t>
      </w:r>
      <w:r w:rsidR="0091333F" w:rsidRPr="009221AA">
        <w:rPr>
          <w:rFonts w:cs="Arial"/>
          <w:sz w:val="24"/>
          <w:szCs w:val="24"/>
        </w:rPr>
        <w:t>below</w:t>
      </w:r>
      <w:r w:rsidR="006F48DE">
        <w:rPr>
          <w:rFonts w:cs="Arial"/>
          <w:sz w:val="24"/>
          <w:szCs w:val="24"/>
        </w:rPr>
        <w:t>.</w:t>
      </w:r>
      <w:r w:rsidR="006F48DE" w:rsidRPr="006F48DE">
        <w:rPr>
          <w:rFonts w:cs="Arial"/>
          <w:sz w:val="24"/>
          <w:szCs w:val="24"/>
        </w:rPr>
        <w:t xml:space="preserve"> </w:t>
      </w:r>
      <w:r w:rsidR="006F48DE">
        <w:rPr>
          <w:rFonts w:cs="Arial"/>
          <w:sz w:val="24"/>
          <w:szCs w:val="24"/>
        </w:rPr>
        <w:t>Local DHB service specifications may also be included under this service specification as appropriate.</w:t>
      </w:r>
    </w:p>
    <w:p w:rsidR="00027868" w:rsidRPr="009221AA" w:rsidRDefault="00027868" w:rsidP="00EE295F">
      <w:pPr>
        <w:tabs>
          <w:tab w:val="left" w:pos="570"/>
        </w:tabs>
        <w:spacing w:before="240" w:after="120"/>
        <w:rPr>
          <w:rFonts w:cs="Arial"/>
          <w:b/>
          <w:sz w:val="24"/>
          <w:szCs w:val="24"/>
        </w:rPr>
      </w:pPr>
      <w:bookmarkStart w:id="26" w:name="_Toc215319135"/>
      <w:bookmarkEnd w:id="25"/>
      <w:r w:rsidRPr="009221AA">
        <w:rPr>
          <w:rFonts w:cs="Arial"/>
          <w:b/>
          <w:sz w:val="24"/>
          <w:szCs w:val="24"/>
        </w:rPr>
        <w:t>1.</w:t>
      </w:r>
      <w:r w:rsidRPr="009221AA">
        <w:rPr>
          <w:rFonts w:cs="Arial"/>
          <w:b/>
          <w:sz w:val="24"/>
          <w:szCs w:val="24"/>
        </w:rPr>
        <w:tab/>
        <w:t>Service Definition</w:t>
      </w:r>
      <w:bookmarkEnd w:id="26"/>
    </w:p>
    <w:p w:rsidR="00542C0B" w:rsidRPr="009221AA" w:rsidRDefault="00542C0B" w:rsidP="004036E3">
      <w:pPr>
        <w:pStyle w:val="1"/>
        <w:numPr>
          <w:ilvl w:val="0"/>
          <w:numId w:val="0"/>
        </w:numPr>
        <w:spacing w:before="120"/>
        <w:rPr>
          <w:rFonts w:ascii="Arial" w:hAnsi="Arial" w:cs="Arial"/>
          <w:b w:val="0"/>
          <w:sz w:val="24"/>
          <w:szCs w:val="24"/>
        </w:rPr>
      </w:pPr>
      <w:r w:rsidRPr="009221AA">
        <w:rPr>
          <w:rFonts w:ascii="Arial" w:hAnsi="Arial" w:cs="Arial"/>
          <w:b w:val="0"/>
          <w:sz w:val="24"/>
          <w:szCs w:val="24"/>
        </w:rPr>
        <w:t xml:space="preserve">People who are ill are not ill in isolation (Mental Health Commission, 1998).  Many families wish to be involved in assisting the recovery of their family member and are often the foundation for the enhancement of the person’s inner strengths, support, security, and identity (Mental Health Commission, 2007).  This requires mental health and addiction services to be proactive to facilitate and empower family </w:t>
      </w:r>
      <w:r w:rsidR="009221AA" w:rsidRPr="009221AA">
        <w:rPr>
          <w:rFonts w:ascii="Arial" w:hAnsi="Arial" w:cs="Arial"/>
          <w:b w:val="0"/>
          <w:sz w:val="24"/>
          <w:szCs w:val="24"/>
        </w:rPr>
        <w:t xml:space="preserve">and </w:t>
      </w:r>
      <w:r w:rsidRPr="009221AA">
        <w:rPr>
          <w:rFonts w:ascii="Arial" w:hAnsi="Arial" w:cs="Arial"/>
          <w:b w:val="0"/>
          <w:sz w:val="24"/>
          <w:szCs w:val="24"/>
        </w:rPr>
        <w:t xml:space="preserve">whānau in their role of supporting their family member.  </w:t>
      </w:r>
    </w:p>
    <w:p w:rsidR="00542C0B" w:rsidRPr="009221AA" w:rsidRDefault="00542C0B" w:rsidP="004036E3">
      <w:pPr>
        <w:spacing w:before="120"/>
        <w:rPr>
          <w:rFonts w:cs="Arial"/>
          <w:sz w:val="24"/>
          <w:szCs w:val="24"/>
        </w:rPr>
      </w:pPr>
      <w:r w:rsidRPr="009221AA">
        <w:rPr>
          <w:rFonts w:cs="Arial"/>
          <w:sz w:val="24"/>
          <w:szCs w:val="24"/>
        </w:rPr>
        <w:t xml:space="preserve">Complimentary to Mental Health and Addiction services operating in a family and whānau inclusive way, family and whānau should have access to services that support and enhance their wellbeing.  These services may include; information, education, advocacy, training and support.  Services for family and whānau will recognise and build on the capacity of the family and whānau, and </w:t>
      </w:r>
      <w:r w:rsidRPr="009221AA">
        <w:rPr>
          <w:rFonts w:cs="Arial"/>
          <w:color w:val="000000"/>
          <w:sz w:val="24"/>
          <w:szCs w:val="24"/>
          <w:lang w:val="en-US"/>
        </w:rPr>
        <w:t>understand and affirm</w:t>
      </w:r>
      <w:r w:rsidRPr="009221AA">
        <w:rPr>
          <w:rFonts w:cs="Arial"/>
          <w:sz w:val="24"/>
          <w:szCs w:val="24"/>
        </w:rPr>
        <w:t xml:space="preserve"> their experience of supporting someone with a mental illness or addiction.  Where possible, evidence based best practice should be utilised.  Providing both accessible information and responsive services will enable family and whānau to access the help they need to support their family member’s recovery.  </w:t>
      </w:r>
    </w:p>
    <w:p w:rsidR="00542C0B" w:rsidRPr="009221AA" w:rsidRDefault="00542C0B" w:rsidP="004036E3">
      <w:pPr>
        <w:spacing w:before="120"/>
        <w:rPr>
          <w:rFonts w:cs="Arial"/>
          <w:sz w:val="24"/>
          <w:szCs w:val="24"/>
        </w:rPr>
      </w:pPr>
      <w:r w:rsidRPr="009221AA">
        <w:rPr>
          <w:rFonts w:cs="Arial"/>
          <w:sz w:val="24"/>
          <w:szCs w:val="24"/>
        </w:rPr>
        <w:t xml:space="preserve">Organisations should value staff with personal skills and knowledge of a lived experience supporting a loved one with a mental illness or addiction. </w:t>
      </w:r>
    </w:p>
    <w:p w:rsidR="00027868" w:rsidRPr="009221AA" w:rsidRDefault="00027868" w:rsidP="00EE295F">
      <w:pPr>
        <w:numPr>
          <w:ilvl w:val="0"/>
          <w:numId w:val="2"/>
        </w:numPr>
        <w:tabs>
          <w:tab w:val="clear" w:pos="1080"/>
          <w:tab w:val="num" w:pos="570"/>
        </w:tabs>
        <w:spacing w:before="240" w:after="120"/>
        <w:ind w:left="0" w:firstLine="0"/>
        <w:rPr>
          <w:rFonts w:cs="Arial"/>
          <w:b/>
          <w:sz w:val="24"/>
          <w:szCs w:val="24"/>
        </w:rPr>
      </w:pPr>
      <w:bookmarkStart w:id="27" w:name="_Toc215319136"/>
      <w:r w:rsidRPr="009221AA">
        <w:rPr>
          <w:rFonts w:cs="Arial"/>
          <w:b/>
          <w:sz w:val="24"/>
          <w:szCs w:val="24"/>
        </w:rPr>
        <w:t>Service Objectives</w:t>
      </w:r>
      <w:bookmarkEnd w:id="27"/>
    </w:p>
    <w:p w:rsidR="00542C0B" w:rsidRPr="009221AA" w:rsidRDefault="00542C0B" w:rsidP="009C65FD">
      <w:pPr>
        <w:numPr>
          <w:ilvl w:val="1"/>
          <w:numId w:val="22"/>
        </w:numPr>
        <w:tabs>
          <w:tab w:val="clear" w:pos="720"/>
          <w:tab w:val="num" w:pos="540"/>
        </w:tabs>
        <w:ind w:left="540" w:hanging="540"/>
        <w:rPr>
          <w:rFonts w:cs="Arial"/>
          <w:sz w:val="24"/>
          <w:szCs w:val="24"/>
        </w:rPr>
      </w:pPr>
      <w:r w:rsidRPr="009221AA">
        <w:rPr>
          <w:rFonts w:cs="Arial"/>
          <w:b/>
          <w:sz w:val="24"/>
          <w:szCs w:val="24"/>
        </w:rPr>
        <w:t xml:space="preserve">Foster partnership between Mental Health and Addiction Services, the </w:t>
      </w:r>
      <w:r w:rsidR="009D506A">
        <w:rPr>
          <w:rFonts w:cs="Arial"/>
          <w:b/>
          <w:sz w:val="24"/>
          <w:szCs w:val="24"/>
        </w:rPr>
        <w:t>Service User</w:t>
      </w:r>
      <w:r w:rsidRPr="009221AA">
        <w:rPr>
          <w:rFonts w:cs="Arial"/>
          <w:b/>
          <w:sz w:val="24"/>
          <w:szCs w:val="24"/>
        </w:rPr>
        <w:t xml:space="preserve"> and their family </w:t>
      </w:r>
      <w:r w:rsidR="009221AA" w:rsidRPr="009221AA">
        <w:rPr>
          <w:rFonts w:cs="Arial"/>
          <w:b/>
          <w:sz w:val="24"/>
          <w:szCs w:val="24"/>
        </w:rPr>
        <w:t xml:space="preserve">and </w:t>
      </w:r>
      <w:r w:rsidRPr="009221AA">
        <w:rPr>
          <w:rFonts w:cs="Arial"/>
          <w:b/>
          <w:sz w:val="24"/>
          <w:szCs w:val="24"/>
        </w:rPr>
        <w:t>whānau</w:t>
      </w:r>
    </w:p>
    <w:p w:rsidR="00542C0B" w:rsidRPr="009221AA" w:rsidRDefault="00542C0B" w:rsidP="004036E3">
      <w:pPr>
        <w:tabs>
          <w:tab w:val="num" w:pos="0"/>
        </w:tabs>
        <w:spacing w:before="120"/>
        <w:rPr>
          <w:rFonts w:cs="Arial"/>
          <w:sz w:val="24"/>
          <w:szCs w:val="24"/>
        </w:rPr>
      </w:pPr>
      <w:r w:rsidRPr="009221AA">
        <w:rPr>
          <w:rFonts w:cs="Arial"/>
          <w:sz w:val="24"/>
          <w:szCs w:val="24"/>
        </w:rPr>
        <w:t xml:space="preserve">Families and whānau can play a crucial role in recovery.  The recovery process should be viewed as a partnership between the </w:t>
      </w:r>
      <w:r w:rsidR="004274F2" w:rsidRPr="009221AA">
        <w:rPr>
          <w:rFonts w:cs="Arial"/>
          <w:sz w:val="24"/>
          <w:szCs w:val="24"/>
        </w:rPr>
        <w:t>S</w:t>
      </w:r>
      <w:r w:rsidRPr="009221AA">
        <w:rPr>
          <w:rFonts w:cs="Arial"/>
          <w:sz w:val="24"/>
          <w:szCs w:val="24"/>
        </w:rPr>
        <w:t xml:space="preserve">ervice, </w:t>
      </w:r>
      <w:r w:rsidR="009D506A">
        <w:rPr>
          <w:rFonts w:cs="Arial"/>
          <w:sz w:val="24"/>
          <w:szCs w:val="24"/>
        </w:rPr>
        <w:t>Service User</w:t>
      </w:r>
      <w:r w:rsidRPr="009221AA">
        <w:rPr>
          <w:rFonts w:cs="Arial"/>
          <w:sz w:val="24"/>
          <w:szCs w:val="24"/>
        </w:rPr>
        <w:t xml:space="preserve"> and family</w:t>
      </w:r>
      <w:r w:rsidR="009221AA" w:rsidRPr="009221AA">
        <w:rPr>
          <w:rFonts w:cs="Arial"/>
          <w:sz w:val="24"/>
          <w:szCs w:val="24"/>
        </w:rPr>
        <w:t xml:space="preserve"> and</w:t>
      </w:r>
      <w:r w:rsidRPr="009221AA">
        <w:rPr>
          <w:rFonts w:cs="Arial"/>
          <w:sz w:val="24"/>
          <w:szCs w:val="24"/>
        </w:rPr>
        <w:t xml:space="preserve"> whānau.  This relationship should be based on mutual respect for the value and experience that each person brings.  Active involvement and communication should occur at all stages.  </w:t>
      </w:r>
    </w:p>
    <w:p w:rsidR="00542C0B" w:rsidRPr="009221AA" w:rsidRDefault="00542C0B" w:rsidP="004274F2">
      <w:pPr>
        <w:numPr>
          <w:ilvl w:val="1"/>
          <w:numId w:val="22"/>
        </w:numPr>
        <w:tabs>
          <w:tab w:val="clear" w:pos="720"/>
          <w:tab w:val="num" w:pos="540"/>
        </w:tabs>
        <w:spacing w:before="120"/>
        <w:ind w:left="539" w:hanging="539"/>
        <w:rPr>
          <w:rFonts w:cs="Arial"/>
          <w:sz w:val="24"/>
          <w:szCs w:val="24"/>
        </w:rPr>
      </w:pPr>
      <w:r w:rsidRPr="009221AA">
        <w:rPr>
          <w:rFonts w:cs="Arial"/>
          <w:b/>
          <w:sz w:val="24"/>
          <w:szCs w:val="24"/>
        </w:rPr>
        <w:t xml:space="preserve">Engaging family, whānau within the </w:t>
      </w:r>
      <w:r w:rsidR="009D506A">
        <w:rPr>
          <w:rFonts w:cs="Arial"/>
          <w:b/>
          <w:sz w:val="24"/>
          <w:szCs w:val="24"/>
        </w:rPr>
        <w:t>Service User</w:t>
      </w:r>
      <w:r w:rsidRPr="009221AA">
        <w:rPr>
          <w:rFonts w:cs="Arial"/>
          <w:b/>
          <w:sz w:val="24"/>
          <w:szCs w:val="24"/>
        </w:rPr>
        <w:t>s recovery process</w:t>
      </w:r>
    </w:p>
    <w:p w:rsidR="004274F2" w:rsidRPr="009221AA" w:rsidRDefault="00542C0B" w:rsidP="004036E3">
      <w:pPr>
        <w:tabs>
          <w:tab w:val="num" w:pos="540"/>
        </w:tabs>
        <w:rPr>
          <w:rFonts w:cs="Arial"/>
          <w:sz w:val="24"/>
          <w:szCs w:val="24"/>
        </w:rPr>
      </w:pPr>
      <w:r w:rsidRPr="009221AA">
        <w:rPr>
          <w:rFonts w:cs="Arial"/>
          <w:sz w:val="24"/>
          <w:szCs w:val="24"/>
        </w:rPr>
        <w:t xml:space="preserve">Services should create a welcoming environment that helps people feel at ease and promotes family and whānau role in recovery.  Educating family and whānau on the recovery process and proving them with skills and support will in turn allow families to support and promote their family member’s recovery.  </w:t>
      </w:r>
    </w:p>
    <w:p w:rsidR="00542C0B" w:rsidRPr="009221AA" w:rsidRDefault="00542C0B" w:rsidP="004274F2">
      <w:pPr>
        <w:tabs>
          <w:tab w:val="num" w:pos="540"/>
        </w:tabs>
        <w:spacing w:before="120"/>
        <w:rPr>
          <w:rFonts w:cs="Arial"/>
          <w:sz w:val="24"/>
          <w:szCs w:val="24"/>
        </w:rPr>
      </w:pPr>
      <w:r w:rsidRPr="009221AA">
        <w:rPr>
          <w:rFonts w:cs="Arial"/>
          <w:sz w:val="24"/>
          <w:szCs w:val="24"/>
        </w:rPr>
        <w:t>Services should create an environment where family and whānau can take up significant roles in promoting recovery.  Family and whānau services should work with family and whānau in such a way that they feel heard, informed and supported.</w:t>
      </w:r>
    </w:p>
    <w:p w:rsidR="00AF04C8" w:rsidRDefault="00AF04C8">
      <w:pPr>
        <w:rPr>
          <w:rFonts w:cs="Arial"/>
          <w:b/>
          <w:sz w:val="24"/>
          <w:szCs w:val="24"/>
        </w:rPr>
      </w:pPr>
      <w:r>
        <w:rPr>
          <w:rFonts w:cs="Arial"/>
          <w:b/>
          <w:sz w:val="24"/>
          <w:szCs w:val="24"/>
        </w:rPr>
        <w:br w:type="page"/>
      </w:r>
    </w:p>
    <w:p w:rsidR="00542C0B" w:rsidRPr="009221AA" w:rsidRDefault="000D4E08" w:rsidP="00AF04C8">
      <w:pPr>
        <w:rPr>
          <w:rFonts w:cs="Arial"/>
          <w:sz w:val="24"/>
          <w:szCs w:val="24"/>
        </w:rPr>
      </w:pPr>
      <w:r w:rsidRPr="009221AA">
        <w:rPr>
          <w:rFonts w:cs="Arial"/>
          <w:b/>
          <w:sz w:val="24"/>
          <w:szCs w:val="24"/>
        </w:rPr>
        <w:lastRenderedPageBreak/>
        <w:t>2.3</w:t>
      </w:r>
      <w:r w:rsidR="004274F2" w:rsidRPr="009221AA">
        <w:rPr>
          <w:rFonts w:cs="Arial"/>
          <w:b/>
          <w:sz w:val="24"/>
          <w:szCs w:val="24"/>
        </w:rPr>
        <w:tab/>
      </w:r>
      <w:r w:rsidR="00542C0B" w:rsidRPr="009221AA">
        <w:rPr>
          <w:rFonts w:cs="Arial"/>
          <w:b/>
          <w:sz w:val="24"/>
          <w:szCs w:val="24"/>
        </w:rPr>
        <w:t xml:space="preserve">Assists families to access resources </w:t>
      </w:r>
    </w:p>
    <w:p w:rsidR="00542C0B" w:rsidRPr="009221AA" w:rsidRDefault="00542C0B" w:rsidP="004036E3">
      <w:pPr>
        <w:spacing w:before="120"/>
        <w:rPr>
          <w:rFonts w:cs="Arial"/>
          <w:sz w:val="24"/>
          <w:szCs w:val="24"/>
        </w:rPr>
      </w:pPr>
      <w:r w:rsidRPr="009221AA">
        <w:rPr>
          <w:rFonts w:cs="Arial"/>
          <w:sz w:val="24"/>
          <w:szCs w:val="24"/>
        </w:rPr>
        <w:t>Family and whānau will be made aware of community resources and services that are available to assist them.  Family and whānau should have access to information, education, training and support to enhance their understanding and the ability to care and advocate for their family member.</w:t>
      </w:r>
    </w:p>
    <w:p w:rsidR="00542C0B" w:rsidRPr="009221AA" w:rsidRDefault="000D4E08" w:rsidP="000D4E08">
      <w:pPr>
        <w:spacing w:before="120"/>
        <w:rPr>
          <w:rFonts w:cs="Arial"/>
          <w:b/>
          <w:sz w:val="24"/>
          <w:szCs w:val="24"/>
        </w:rPr>
      </w:pPr>
      <w:r w:rsidRPr="009221AA">
        <w:rPr>
          <w:rFonts w:cs="Arial"/>
          <w:b/>
          <w:sz w:val="24"/>
          <w:szCs w:val="24"/>
        </w:rPr>
        <w:t>2.4</w:t>
      </w:r>
      <w:r w:rsidRPr="009221AA">
        <w:rPr>
          <w:rFonts w:cs="Arial"/>
          <w:b/>
          <w:sz w:val="24"/>
          <w:szCs w:val="24"/>
        </w:rPr>
        <w:tab/>
      </w:r>
      <w:r w:rsidR="00542C0B" w:rsidRPr="009221AA">
        <w:rPr>
          <w:rFonts w:cs="Arial"/>
          <w:b/>
          <w:sz w:val="24"/>
          <w:szCs w:val="24"/>
        </w:rPr>
        <w:t>Offer support and interventions to the family</w:t>
      </w:r>
      <w:r w:rsidR="009221AA" w:rsidRPr="009221AA">
        <w:rPr>
          <w:rFonts w:cs="Arial"/>
          <w:b/>
          <w:sz w:val="24"/>
          <w:szCs w:val="24"/>
        </w:rPr>
        <w:t xml:space="preserve"> and</w:t>
      </w:r>
      <w:r w:rsidR="00542C0B" w:rsidRPr="009221AA">
        <w:rPr>
          <w:rFonts w:cs="Arial"/>
          <w:b/>
          <w:sz w:val="24"/>
          <w:szCs w:val="24"/>
        </w:rPr>
        <w:t xml:space="preserve"> whānau in the own right</w:t>
      </w:r>
    </w:p>
    <w:p w:rsidR="00542C0B" w:rsidRPr="009221AA" w:rsidRDefault="00542C0B" w:rsidP="004036E3">
      <w:pPr>
        <w:tabs>
          <w:tab w:val="num" w:pos="0"/>
        </w:tabs>
        <w:rPr>
          <w:rFonts w:cs="Arial"/>
          <w:sz w:val="24"/>
          <w:szCs w:val="24"/>
        </w:rPr>
      </w:pPr>
      <w:r w:rsidRPr="009221AA">
        <w:rPr>
          <w:rFonts w:cs="Arial"/>
          <w:sz w:val="24"/>
          <w:szCs w:val="24"/>
        </w:rPr>
        <w:t>Services for family</w:t>
      </w:r>
      <w:r w:rsidR="009221AA" w:rsidRPr="009221AA">
        <w:rPr>
          <w:rFonts w:cs="Arial"/>
          <w:sz w:val="24"/>
          <w:szCs w:val="24"/>
        </w:rPr>
        <w:t xml:space="preserve"> and</w:t>
      </w:r>
      <w:r w:rsidRPr="009221AA">
        <w:rPr>
          <w:rFonts w:cs="Arial"/>
          <w:sz w:val="24"/>
          <w:szCs w:val="24"/>
        </w:rPr>
        <w:t xml:space="preserve"> whānau recognise that family members may themselves require support and interventions that are independent from their family member with a mental illness or addiction.  Services will work to empower families and build their capacity and strength.</w:t>
      </w:r>
    </w:p>
    <w:p w:rsidR="00542C0B" w:rsidRPr="009221AA" w:rsidRDefault="000D4E08" w:rsidP="000D4E08">
      <w:pPr>
        <w:spacing w:before="120"/>
        <w:rPr>
          <w:rFonts w:cs="Arial"/>
          <w:b/>
          <w:sz w:val="24"/>
          <w:szCs w:val="24"/>
        </w:rPr>
      </w:pPr>
      <w:r w:rsidRPr="009221AA">
        <w:rPr>
          <w:rFonts w:cs="Arial"/>
          <w:b/>
          <w:sz w:val="24"/>
          <w:szCs w:val="24"/>
        </w:rPr>
        <w:t>2.5</w:t>
      </w:r>
      <w:r w:rsidRPr="009221AA">
        <w:rPr>
          <w:rFonts w:cs="Arial"/>
          <w:b/>
          <w:sz w:val="24"/>
          <w:szCs w:val="24"/>
        </w:rPr>
        <w:tab/>
      </w:r>
      <w:r w:rsidR="00542C0B" w:rsidRPr="009221AA">
        <w:rPr>
          <w:rFonts w:cs="Arial"/>
          <w:b/>
          <w:sz w:val="24"/>
          <w:szCs w:val="24"/>
        </w:rPr>
        <w:t>Responsive to needs of the family and whānau</w:t>
      </w:r>
    </w:p>
    <w:p w:rsidR="00542C0B" w:rsidRPr="009221AA" w:rsidRDefault="00542C0B" w:rsidP="004036E3">
      <w:pPr>
        <w:tabs>
          <w:tab w:val="num" w:pos="0"/>
        </w:tabs>
        <w:rPr>
          <w:rFonts w:cs="Arial"/>
          <w:sz w:val="24"/>
          <w:szCs w:val="24"/>
        </w:rPr>
      </w:pPr>
      <w:r w:rsidRPr="009221AA">
        <w:rPr>
          <w:rFonts w:cs="Arial"/>
          <w:sz w:val="24"/>
          <w:szCs w:val="24"/>
        </w:rPr>
        <w:t>Services for family</w:t>
      </w:r>
      <w:r w:rsidR="009221AA" w:rsidRPr="009221AA">
        <w:rPr>
          <w:rFonts w:cs="Arial"/>
          <w:sz w:val="24"/>
          <w:szCs w:val="24"/>
        </w:rPr>
        <w:t xml:space="preserve"> and</w:t>
      </w:r>
      <w:r w:rsidRPr="009221AA">
        <w:rPr>
          <w:rFonts w:cs="Arial"/>
          <w:sz w:val="24"/>
          <w:szCs w:val="24"/>
        </w:rPr>
        <w:t xml:space="preserve"> whānau will recognise the role that culture, economics, and the wider communities plays in health and </w:t>
      </w:r>
      <w:r w:rsidR="00FB5553" w:rsidRPr="009221AA">
        <w:rPr>
          <w:rFonts w:cs="Arial"/>
          <w:sz w:val="24"/>
          <w:szCs w:val="24"/>
        </w:rPr>
        <w:t>wellbeing</w:t>
      </w:r>
      <w:r w:rsidRPr="009221AA">
        <w:rPr>
          <w:rFonts w:cs="Arial"/>
          <w:sz w:val="24"/>
          <w:szCs w:val="24"/>
        </w:rPr>
        <w:t xml:space="preserve">.  Families come from a range of cultures, and ‘one size does not fit all’ – families and whānau definitions need to be flexible enough to meet the needs of the range of cultures in this country.  </w:t>
      </w:r>
    </w:p>
    <w:p w:rsidR="00542C0B" w:rsidRPr="009221AA" w:rsidRDefault="00542C0B" w:rsidP="004036E3">
      <w:pPr>
        <w:tabs>
          <w:tab w:val="num" w:pos="540"/>
        </w:tabs>
        <w:spacing w:before="120"/>
        <w:ind w:left="539" w:hanging="539"/>
        <w:rPr>
          <w:rFonts w:cs="Arial"/>
          <w:b/>
          <w:sz w:val="24"/>
          <w:szCs w:val="24"/>
        </w:rPr>
      </w:pPr>
      <w:r w:rsidRPr="009221AA">
        <w:rPr>
          <w:rFonts w:cs="Arial"/>
          <w:b/>
          <w:sz w:val="24"/>
          <w:szCs w:val="24"/>
        </w:rPr>
        <w:t>2.6</w:t>
      </w:r>
      <w:r w:rsidRPr="009221AA">
        <w:rPr>
          <w:rFonts w:cs="Arial"/>
          <w:b/>
          <w:sz w:val="24"/>
          <w:szCs w:val="24"/>
        </w:rPr>
        <w:tab/>
        <w:t>Cultural diversity</w:t>
      </w:r>
    </w:p>
    <w:p w:rsidR="00E83DEE" w:rsidRPr="009221AA" w:rsidRDefault="00542C0B" w:rsidP="004036E3">
      <w:pPr>
        <w:tabs>
          <w:tab w:val="num" w:pos="0"/>
        </w:tabs>
        <w:rPr>
          <w:rFonts w:cs="Arial"/>
          <w:sz w:val="24"/>
          <w:szCs w:val="24"/>
          <w:lang w:val="en-NZ"/>
        </w:rPr>
      </w:pPr>
      <w:r w:rsidRPr="009221AA">
        <w:rPr>
          <w:rFonts w:cs="Arial"/>
          <w:sz w:val="24"/>
          <w:szCs w:val="24"/>
        </w:rPr>
        <w:t xml:space="preserve">Family </w:t>
      </w:r>
      <w:r w:rsidR="009221AA" w:rsidRPr="009221AA">
        <w:rPr>
          <w:rFonts w:cs="Arial"/>
          <w:sz w:val="24"/>
          <w:szCs w:val="24"/>
        </w:rPr>
        <w:t xml:space="preserve">and </w:t>
      </w:r>
      <w:r w:rsidRPr="009221AA">
        <w:rPr>
          <w:rFonts w:cs="Arial"/>
          <w:sz w:val="24"/>
          <w:szCs w:val="24"/>
        </w:rPr>
        <w:t>whānau services are committed to family inclusion with families from other cultures.  The services will be aware of the specific needs of families from culturally and linguistically diverse backgrounds who are caring for a relative living with a mental illness and/or addiction and will work to ensure service delivery is culturally appropriate, safe and supports positive outcomes.</w:t>
      </w:r>
      <w:r w:rsidR="004036E3" w:rsidRPr="009221AA">
        <w:rPr>
          <w:rStyle w:val="FootnoteReference"/>
          <w:rFonts w:cs="Arial"/>
          <w:sz w:val="24"/>
          <w:szCs w:val="24"/>
        </w:rPr>
        <w:footnoteReference w:id="1"/>
      </w:r>
    </w:p>
    <w:p w:rsidR="00027868" w:rsidRPr="009221AA" w:rsidRDefault="000D4E08" w:rsidP="000D4E08">
      <w:pPr>
        <w:spacing w:before="120"/>
        <w:rPr>
          <w:rFonts w:cs="Arial"/>
          <w:b/>
          <w:sz w:val="24"/>
          <w:szCs w:val="24"/>
        </w:rPr>
      </w:pPr>
      <w:bookmarkStart w:id="28" w:name="_Toc215319138"/>
      <w:r w:rsidRPr="009221AA">
        <w:rPr>
          <w:rFonts w:cs="Arial"/>
          <w:b/>
          <w:sz w:val="24"/>
          <w:szCs w:val="24"/>
        </w:rPr>
        <w:t>2.7</w:t>
      </w:r>
      <w:r w:rsidRPr="009221AA">
        <w:rPr>
          <w:rFonts w:cs="Arial"/>
          <w:b/>
          <w:sz w:val="24"/>
          <w:szCs w:val="24"/>
        </w:rPr>
        <w:tab/>
      </w:r>
      <w:r w:rsidR="00027868" w:rsidRPr="009221AA">
        <w:rPr>
          <w:rFonts w:cs="Arial"/>
          <w:b/>
          <w:sz w:val="24"/>
          <w:szCs w:val="24"/>
        </w:rPr>
        <w:t>M</w:t>
      </w:r>
      <w:r w:rsidR="00027868" w:rsidRPr="009221AA">
        <w:rPr>
          <w:rFonts w:cs="Arial"/>
          <w:b/>
          <w:bCs/>
        </w:rPr>
        <w:t>ā</w:t>
      </w:r>
      <w:r w:rsidR="00027868" w:rsidRPr="009221AA">
        <w:rPr>
          <w:rFonts w:cs="Arial"/>
          <w:b/>
          <w:sz w:val="24"/>
          <w:szCs w:val="24"/>
        </w:rPr>
        <w:t>ori Health</w:t>
      </w:r>
      <w:bookmarkEnd w:id="28"/>
    </w:p>
    <w:p w:rsidR="009C65FD" w:rsidRPr="009221AA" w:rsidRDefault="009C65FD" w:rsidP="009C65FD">
      <w:pPr>
        <w:tabs>
          <w:tab w:val="left" w:pos="540"/>
        </w:tabs>
        <w:spacing w:before="120"/>
        <w:rPr>
          <w:rFonts w:cs="Arial"/>
          <w:sz w:val="24"/>
          <w:szCs w:val="24"/>
          <w:lang w:val="en-AU"/>
        </w:rPr>
      </w:pPr>
      <w:r w:rsidRPr="009221AA">
        <w:rPr>
          <w:rFonts w:cs="Arial"/>
          <w:sz w:val="24"/>
          <w:szCs w:val="24"/>
        </w:rPr>
        <w:t>Refer to the tier one Mental Health and Addiction Services service specification.</w:t>
      </w:r>
    </w:p>
    <w:p w:rsidR="00027868" w:rsidRPr="009221AA" w:rsidRDefault="00027868" w:rsidP="00027868">
      <w:pPr>
        <w:tabs>
          <w:tab w:val="left" w:pos="570"/>
        </w:tabs>
        <w:spacing w:before="240" w:after="120"/>
        <w:rPr>
          <w:rFonts w:cs="Arial"/>
          <w:b/>
          <w:sz w:val="24"/>
          <w:szCs w:val="24"/>
        </w:rPr>
      </w:pPr>
      <w:bookmarkStart w:id="29" w:name="_Toc215319140"/>
      <w:r w:rsidRPr="009221AA">
        <w:rPr>
          <w:rFonts w:cs="Arial"/>
          <w:b/>
          <w:sz w:val="24"/>
          <w:szCs w:val="24"/>
        </w:rPr>
        <w:t>3.</w:t>
      </w:r>
      <w:r w:rsidRPr="009221AA">
        <w:rPr>
          <w:rFonts w:cs="Arial"/>
          <w:b/>
          <w:sz w:val="24"/>
          <w:szCs w:val="24"/>
        </w:rPr>
        <w:tab/>
      </w:r>
      <w:r w:rsidR="009D506A">
        <w:rPr>
          <w:rFonts w:cs="Arial"/>
          <w:b/>
          <w:sz w:val="24"/>
          <w:szCs w:val="24"/>
        </w:rPr>
        <w:t>Service User</w:t>
      </w:r>
      <w:r w:rsidRPr="009221AA">
        <w:rPr>
          <w:rFonts w:cs="Arial"/>
          <w:b/>
          <w:sz w:val="24"/>
          <w:szCs w:val="24"/>
        </w:rPr>
        <w:t>s</w:t>
      </w:r>
      <w:bookmarkEnd w:id="29"/>
    </w:p>
    <w:p w:rsidR="00944101" w:rsidRPr="009221AA" w:rsidRDefault="00944101" w:rsidP="00944101">
      <w:pPr>
        <w:tabs>
          <w:tab w:val="left" w:pos="540"/>
        </w:tabs>
        <w:spacing w:before="120"/>
        <w:rPr>
          <w:rFonts w:cs="Arial"/>
          <w:sz w:val="24"/>
          <w:szCs w:val="24"/>
          <w:lang w:val="en-AU"/>
        </w:rPr>
      </w:pPr>
      <w:r w:rsidRPr="009221AA">
        <w:rPr>
          <w:rFonts w:cs="Arial"/>
          <w:sz w:val="24"/>
          <w:szCs w:val="24"/>
        </w:rPr>
        <w:t>Refer to the tier one Mental Health and Addiction Services service specification.</w:t>
      </w:r>
    </w:p>
    <w:p w:rsidR="00027868" w:rsidRPr="009221AA" w:rsidRDefault="00027868" w:rsidP="00944101">
      <w:pPr>
        <w:tabs>
          <w:tab w:val="left" w:pos="540"/>
        </w:tabs>
        <w:spacing w:before="240"/>
        <w:rPr>
          <w:rFonts w:cs="Arial"/>
          <w:b/>
          <w:sz w:val="24"/>
          <w:szCs w:val="24"/>
        </w:rPr>
      </w:pPr>
      <w:bookmarkStart w:id="30" w:name="_Toc215319141"/>
      <w:r w:rsidRPr="009221AA">
        <w:rPr>
          <w:rFonts w:cs="Arial"/>
          <w:b/>
          <w:sz w:val="24"/>
          <w:szCs w:val="24"/>
        </w:rPr>
        <w:t>4.</w:t>
      </w:r>
      <w:r w:rsidRPr="009221AA">
        <w:rPr>
          <w:rFonts w:cs="Arial"/>
          <w:b/>
          <w:sz w:val="24"/>
          <w:szCs w:val="24"/>
        </w:rPr>
        <w:tab/>
        <w:t>Access</w:t>
      </w:r>
      <w:bookmarkEnd w:id="30"/>
    </w:p>
    <w:p w:rsidR="00027868" w:rsidRPr="009221AA" w:rsidRDefault="00027868" w:rsidP="001B3D68">
      <w:pPr>
        <w:spacing w:before="120"/>
        <w:rPr>
          <w:rFonts w:cs="Arial"/>
          <w:sz w:val="24"/>
          <w:szCs w:val="24"/>
        </w:rPr>
      </w:pPr>
      <w:r w:rsidRPr="009221AA">
        <w:rPr>
          <w:rFonts w:cs="Arial"/>
          <w:sz w:val="24"/>
          <w:szCs w:val="24"/>
        </w:rPr>
        <w:t xml:space="preserve">Entry and exit criteria specific to the </w:t>
      </w:r>
      <w:r w:rsidR="009221AA" w:rsidRPr="009221AA">
        <w:rPr>
          <w:rFonts w:cs="Arial"/>
          <w:sz w:val="24"/>
          <w:szCs w:val="24"/>
        </w:rPr>
        <w:t>S</w:t>
      </w:r>
      <w:r w:rsidRPr="009221AA">
        <w:rPr>
          <w:rFonts w:cs="Arial"/>
          <w:sz w:val="24"/>
          <w:szCs w:val="24"/>
        </w:rPr>
        <w:t xml:space="preserve">ervice are described in tier three service specifications. </w:t>
      </w:r>
    </w:p>
    <w:p w:rsidR="00027868" w:rsidRPr="009221AA" w:rsidRDefault="00027868" w:rsidP="00027868">
      <w:pPr>
        <w:tabs>
          <w:tab w:val="left" w:pos="570"/>
        </w:tabs>
        <w:spacing w:before="240"/>
        <w:rPr>
          <w:rFonts w:cs="Arial"/>
          <w:b/>
          <w:sz w:val="24"/>
          <w:szCs w:val="24"/>
        </w:rPr>
      </w:pPr>
      <w:bookmarkStart w:id="31" w:name="_Toc215319145"/>
      <w:r w:rsidRPr="009221AA">
        <w:rPr>
          <w:rFonts w:cs="Arial"/>
          <w:b/>
          <w:sz w:val="24"/>
          <w:szCs w:val="24"/>
        </w:rPr>
        <w:t>5.</w:t>
      </w:r>
      <w:r w:rsidRPr="009221AA">
        <w:rPr>
          <w:rFonts w:cs="Arial"/>
          <w:b/>
          <w:sz w:val="24"/>
          <w:szCs w:val="24"/>
        </w:rPr>
        <w:tab/>
        <w:t>Service Components</w:t>
      </w:r>
      <w:bookmarkEnd w:id="31"/>
    </w:p>
    <w:p w:rsidR="00027868" w:rsidRPr="009221AA" w:rsidRDefault="00027868" w:rsidP="00027868">
      <w:pPr>
        <w:tabs>
          <w:tab w:val="left" w:pos="570"/>
        </w:tabs>
        <w:spacing w:before="120" w:after="60"/>
        <w:rPr>
          <w:rFonts w:cs="Arial"/>
          <w:b/>
          <w:sz w:val="24"/>
          <w:szCs w:val="24"/>
        </w:rPr>
      </w:pPr>
      <w:bookmarkStart w:id="32" w:name="_Toc215319146"/>
      <w:r w:rsidRPr="009221AA">
        <w:rPr>
          <w:rFonts w:cs="Arial"/>
          <w:b/>
          <w:sz w:val="24"/>
          <w:szCs w:val="24"/>
        </w:rPr>
        <w:t>5.1</w:t>
      </w:r>
      <w:r w:rsidRPr="009221AA">
        <w:rPr>
          <w:rFonts w:cs="Arial"/>
          <w:b/>
          <w:sz w:val="24"/>
          <w:szCs w:val="24"/>
        </w:rPr>
        <w:tab/>
        <w:t>Processes</w:t>
      </w:r>
      <w:bookmarkEnd w:id="32"/>
    </w:p>
    <w:p w:rsidR="00AF04C8" w:rsidRDefault="00027868" w:rsidP="00AF04C8">
      <w:pPr>
        <w:spacing w:after="60"/>
        <w:rPr>
          <w:rFonts w:cs="Arial"/>
          <w:sz w:val="24"/>
          <w:szCs w:val="24"/>
        </w:rPr>
      </w:pPr>
      <w:r w:rsidRPr="009221AA">
        <w:rPr>
          <w:rFonts w:cs="Arial"/>
          <w:sz w:val="24"/>
          <w:szCs w:val="24"/>
        </w:rPr>
        <w:t xml:space="preserve">The processes </w:t>
      </w:r>
      <w:r w:rsidR="00AF04C8">
        <w:rPr>
          <w:rFonts w:cs="Arial"/>
          <w:sz w:val="24"/>
          <w:szCs w:val="24"/>
        </w:rPr>
        <w:t>are as described in the tier three Family and Whanau range of mental health and addiction service specifications.</w:t>
      </w:r>
    </w:p>
    <w:p w:rsidR="00027868" w:rsidRPr="009221AA" w:rsidRDefault="00027868" w:rsidP="009221AA">
      <w:pPr>
        <w:tabs>
          <w:tab w:val="left" w:pos="570"/>
        </w:tabs>
        <w:spacing w:before="120"/>
        <w:rPr>
          <w:rFonts w:cs="Arial"/>
          <w:b/>
          <w:sz w:val="24"/>
          <w:szCs w:val="24"/>
        </w:rPr>
      </w:pPr>
      <w:bookmarkStart w:id="33" w:name="_Toc215319147"/>
      <w:r w:rsidRPr="009221AA">
        <w:rPr>
          <w:rFonts w:cs="Arial"/>
          <w:b/>
          <w:sz w:val="24"/>
          <w:szCs w:val="24"/>
        </w:rPr>
        <w:t>5.2</w:t>
      </w:r>
      <w:r w:rsidRPr="009221AA">
        <w:rPr>
          <w:rFonts w:cs="Arial"/>
          <w:b/>
          <w:sz w:val="24"/>
          <w:szCs w:val="24"/>
        </w:rPr>
        <w:tab/>
        <w:t>Settings</w:t>
      </w:r>
      <w:bookmarkEnd w:id="33"/>
    </w:p>
    <w:p w:rsidR="00027868" w:rsidRPr="009221AA" w:rsidRDefault="00027868" w:rsidP="00027868">
      <w:pPr>
        <w:spacing w:before="120"/>
        <w:rPr>
          <w:rFonts w:cs="Arial"/>
          <w:sz w:val="24"/>
          <w:szCs w:val="24"/>
        </w:rPr>
      </w:pPr>
      <w:r w:rsidRPr="009221AA">
        <w:rPr>
          <w:rFonts w:cs="Arial"/>
          <w:sz w:val="24"/>
          <w:szCs w:val="24"/>
        </w:rPr>
        <w:t xml:space="preserve">The Service </w:t>
      </w:r>
      <w:r w:rsidR="00D2418D" w:rsidRPr="009221AA">
        <w:rPr>
          <w:rFonts w:cs="Arial"/>
          <w:sz w:val="24"/>
          <w:szCs w:val="24"/>
        </w:rPr>
        <w:t>may be</w:t>
      </w:r>
      <w:r w:rsidRPr="009221AA">
        <w:rPr>
          <w:rFonts w:cs="Arial"/>
          <w:sz w:val="24"/>
          <w:szCs w:val="24"/>
        </w:rPr>
        <w:t xml:space="preserve"> provided in community</w:t>
      </w:r>
      <w:r w:rsidR="00DD7388" w:rsidRPr="009221AA">
        <w:rPr>
          <w:rFonts w:cs="Arial"/>
          <w:sz w:val="24"/>
          <w:szCs w:val="24"/>
        </w:rPr>
        <w:t xml:space="preserve">, </w:t>
      </w:r>
      <w:r w:rsidR="009F2AD4" w:rsidRPr="009221AA">
        <w:rPr>
          <w:rFonts w:cs="Arial"/>
          <w:sz w:val="24"/>
          <w:szCs w:val="24"/>
        </w:rPr>
        <w:t xml:space="preserve">home </w:t>
      </w:r>
      <w:r w:rsidRPr="009221AA">
        <w:rPr>
          <w:rFonts w:cs="Arial"/>
          <w:sz w:val="24"/>
          <w:szCs w:val="24"/>
        </w:rPr>
        <w:t xml:space="preserve">and hospital based settings. </w:t>
      </w:r>
    </w:p>
    <w:p w:rsidR="00027868" w:rsidRPr="009221AA" w:rsidRDefault="00027868" w:rsidP="00027868">
      <w:pPr>
        <w:tabs>
          <w:tab w:val="left" w:pos="570"/>
        </w:tabs>
        <w:spacing w:before="120" w:after="60"/>
        <w:rPr>
          <w:rFonts w:cs="Arial"/>
          <w:b/>
          <w:sz w:val="24"/>
          <w:szCs w:val="24"/>
        </w:rPr>
      </w:pPr>
      <w:bookmarkStart w:id="34" w:name="_Toc215319151"/>
      <w:r w:rsidRPr="009221AA">
        <w:rPr>
          <w:rFonts w:cs="Arial"/>
          <w:b/>
          <w:sz w:val="24"/>
          <w:szCs w:val="24"/>
        </w:rPr>
        <w:t>5.3</w:t>
      </w:r>
      <w:r w:rsidRPr="009221AA">
        <w:rPr>
          <w:rFonts w:cs="Arial"/>
          <w:b/>
          <w:sz w:val="24"/>
          <w:szCs w:val="24"/>
        </w:rPr>
        <w:tab/>
        <w:t xml:space="preserve">Key Inputs </w:t>
      </w:r>
      <w:bookmarkStart w:id="35" w:name="_Toc215319152"/>
      <w:bookmarkEnd w:id="34"/>
    </w:p>
    <w:p w:rsidR="006D5A90" w:rsidRPr="009221AA" w:rsidRDefault="006D5A90" w:rsidP="00027868">
      <w:pPr>
        <w:tabs>
          <w:tab w:val="left" w:pos="570"/>
        </w:tabs>
        <w:spacing w:before="120" w:after="60"/>
        <w:rPr>
          <w:rFonts w:cs="Arial"/>
          <w:sz w:val="24"/>
          <w:szCs w:val="24"/>
        </w:rPr>
      </w:pPr>
      <w:r w:rsidRPr="009221AA">
        <w:rPr>
          <w:rFonts w:cs="Arial"/>
          <w:sz w:val="24"/>
          <w:szCs w:val="24"/>
        </w:rPr>
        <w:t xml:space="preserve">The key input </w:t>
      </w:r>
      <w:r w:rsidR="00AF04C8">
        <w:rPr>
          <w:rFonts w:cs="Arial"/>
          <w:sz w:val="24"/>
          <w:szCs w:val="24"/>
        </w:rPr>
        <w:t xml:space="preserve">for services </w:t>
      </w:r>
      <w:r w:rsidRPr="009221AA">
        <w:rPr>
          <w:rFonts w:cs="Arial"/>
          <w:sz w:val="24"/>
          <w:szCs w:val="24"/>
        </w:rPr>
        <w:t>is workforce</w:t>
      </w:r>
      <w:r w:rsidR="009221AA">
        <w:rPr>
          <w:rFonts w:cs="Arial"/>
          <w:sz w:val="24"/>
          <w:szCs w:val="24"/>
        </w:rPr>
        <w:t>.</w:t>
      </w:r>
    </w:p>
    <w:p w:rsidR="00DD7388" w:rsidRPr="009221AA" w:rsidRDefault="00DD7388" w:rsidP="00E50480">
      <w:pPr>
        <w:numPr>
          <w:ilvl w:val="1"/>
          <w:numId w:val="24"/>
        </w:numPr>
        <w:tabs>
          <w:tab w:val="left" w:pos="570"/>
        </w:tabs>
        <w:spacing w:before="120" w:after="60"/>
        <w:rPr>
          <w:rFonts w:cs="Arial"/>
          <w:b/>
          <w:sz w:val="24"/>
          <w:szCs w:val="24"/>
        </w:rPr>
      </w:pPr>
      <w:r w:rsidRPr="009221AA">
        <w:rPr>
          <w:rFonts w:cs="Arial"/>
          <w:b/>
          <w:sz w:val="24"/>
          <w:szCs w:val="24"/>
        </w:rPr>
        <w:t xml:space="preserve">Pacific Health </w:t>
      </w:r>
    </w:p>
    <w:p w:rsidR="00E50480" w:rsidRPr="009221AA" w:rsidRDefault="00E50480" w:rsidP="004036E3">
      <w:pPr>
        <w:tabs>
          <w:tab w:val="left" w:pos="570"/>
        </w:tabs>
        <w:spacing w:before="120" w:after="120"/>
        <w:rPr>
          <w:rFonts w:cs="Arial"/>
          <w:sz w:val="24"/>
          <w:szCs w:val="24"/>
        </w:rPr>
      </w:pPr>
      <w:r w:rsidRPr="009221AA">
        <w:rPr>
          <w:rFonts w:cs="Arial"/>
          <w:sz w:val="24"/>
          <w:szCs w:val="24"/>
        </w:rPr>
        <w:t xml:space="preserve">Refer to </w:t>
      </w:r>
      <w:r w:rsidR="009221AA">
        <w:rPr>
          <w:rFonts w:cs="Arial"/>
          <w:sz w:val="24"/>
          <w:szCs w:val="24"/>
        </w:rPr>
        <w:t>t</w:t>
      </w:r>
      <w:r w:rsidRPr="009221AA">
        <w:rPr>
          <w:rFonts w:cs="Arial"/>
          <w:sz w:val="24"/>
          <w:szCs w:val="24"/>
        </w:rPr>
        <w:t>ier one</w:t>
      </w:r>
      <w:r w:rsidRPr="009221AA">
        <w:rPr>
          <w:rFonts w:cs="Arial"/>
          <w:b/>
          <w:sz w:val="24"/>
          <w:szCs w:val="24"/>
        </w:rPr>
        <w:t xml:space="preserve"> </w:t>
      </w:r>
      <w:r w:rsidRPr="009221AA">
        <w:rPr>
          <w:rFonts w:cs="Arial"/>
          <w:sz w:val="24"/>
          <w:szCs w:val="24"/>
        </w:rPr>
        <w:t>Mental Health and Addiction Services</w:t>
      </w:r>
      <w:r w:rsidR="009221AA">
        <w:rPr>
          <w:rFonts w:cs="Arial"/>
          <w:sz w:val="24"/>
          <w:szCs w:val="24"/>
        </w:rPr>
        <w:t xml:space="preserve"> service specification</w:t>
      </w:r>
      <w:r w:rsidRPr="009221AA">
        <w:rPr>
          <w:rFonts w:cs="Arial"/>
          <w:sz w:val="24"/>
          <w:szCs w:val="24"/>
        </w:rPr>
        <w:t>.</w:t>
      </w:r>
    </w:p>
    <w:p w:rsidR="00027868" w:rsidRPr="009221AA" w:rsidRDefault="00027868" w:rsidP="00027868">
      <w:pPr>
        <w:tabs>
          <w:tab w:val="left" w:pos="570"/>
        </w:tabs>
        <w:spacing w:before="240" w:after="120"/>
        <w:rPr>
          <w:rFonts w:cs="Arial"/>
          <w:b/>
          <w:sz w:val="24"/>
          <w:szCs w:val="24"/>
        </w:rPr>
      </w:pPr>
      <w:bookmarkStart w:id="36" w:name="_Toc215319155"/>
      <w:bookmarkEnd w:id="35"/>
      <w:r w:rsidRPr="009221AA">
        <w:rPr>
          <w:rFonts w:cs="Arial"/>
          <w:b/>
          <w:sz w:val="24"/>
          <w:szCs w:val="24"/>
        </w:rPr>
        <w:lastRenderedPageBreak/>
        <w:t>6.</w:t>
      </w:r>
      <w:r w:rsidRPr="009221AA">
        <w:rPr>
          <w:rFonts w:cs="Arial"/>
          <w:b/>
          <w:sz w:val="24"/>
          <w:szCs w:val="24"/>
        </w:rPr>
        <w:tab/>
        <w:t>Service Linkages</w:t>
      </w:r>
      <w:bookmarkEnd w:id="36"/>
    </w:p>
    <w:p w:rsidR="00027868" w:rsidRPr="009221AA" w:rsidRDefault="00027868" w:rsidP="00027868">
      <w:pPr>
        <w:spacing w:before="120" w:after="120"/>
        <w:rPr>
          <w:rFonts w:cs="Arial"/>
          <w:sz w:val="24"/>
          <w:szCs w:val="24"/>
        </w:rPr>
      </w:pPr>
      <w:bookmarkStart w:id="37" w:name="_Toc215319158"/>
      <w:r w:rsidRPr="009221AA">
        <w:rPr>
          <w:rFonts w:cs="Arial"/>
          <w:sz w:val="24"/>
          <w:szCs w:val="24"/>
        </w:rPr>
        <w:t>Linkages include, but are not limited to the following:</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2345"/>
        <w:gridCol w:w="4452"/>
      </w:tblGrid>
      <w:tr w:rsidR="00027868" w:rsidRPr="009221AA" w:rsidTr="00B4096C">
        <w:trPr>
          <w:tblHeader/>
        </w:trPr>
        <w:tc>
          <w:tcPr>
            <w:tcW w:w="1470" w:type="pct"/>
            <w:tcBorders>
              <w:top w:val="single" w:sz="4" w:space="0" w:color="auto"/>
              <w:left w:val="single" w:sz="4" w:space="0" w:color="auto"/>
              <w:bottom w:val="single" w:sz="4" w:space="0" w:color="auto"/>
              <w:right w:val="single" w:sz="4" w:space="0" w:color="auto"/>
            </w:tcBorders>
            <w:shd w:val="clear" w:color="auto" w:fill="D9D9D9"/>
          </w:tcPr>
          <w:p w:rsidR="00027868" w:rsidRPr="009221AA" w:rsidRDefault="00027868" w:rsidP="00027868">
            <w:pPr>
              <w:spacing w:before="120"/>
              <w:rPr>
                <w:rFonts w:cs="Arial"/>
                <w:b/>
                <w:sz w:val="24"/>
                <w:szCs w:val="24"/>
                <w:lang w:eastAsia="en-US"/>
              </w:rPr>
            </w:pPr>
            <w:bookmarkStart w:id="38" w:name="_Toc215319159"/>
            <w:r w:rsidRPr="009221AA">
              <w:rPr>
                <w:rFonts w:cs="Arial"/>
                <w:b/>
                <w:sz w:val="24"/>
                <w:szCs w:val="24"/>
              </w:rPr>
              <w:t>Service Provider</w:t>
            </w:r>
            <w:bookmarkEnd w:id="38"/>
          </w:p>
        </w:tc>
        <w:tc>
          <w:tcPr>
            <w:tcW w:w="1218" w:type="pct"/>
            <w:tcBorders>
              <w:top w:val="single" w:sz="4" w:space="0" w:color="auto"/>
              <w:left w:val="single" w:sz="4" w:space="0" w:color="auto"/>
              <w:bottom w:val="single" w:sz="4" w:space="0" w:color="auto"/>
              <w:right w:val="single" w:sz="4" w:space="0" w:color="auto"/>
            </w:tcBorders>
            <w:shd w:val="clear" w:color="auto" w:fill="D9D9D9"/>
          </w:tcPr>
          <w:p w:rsidR="00027868" w:rsidRPr="009221AA" w:rsidRDefault="00027868" w:rsidP="00027868">
            <w:pPr>
              <w:spacing w:before="120"/>
              <w:rPr>
                <w:rFonts w:cs="Arial"/>
                <w:b/>
                <w:sz w:val="24"/>
                <w:szCs w:val="24"/>
                <w:lang w:eastAsia="en-US"/>
              </w:rPr>
            </w:pPr>
            <w:bookmarkStart w:id="39" w:name="_Toc215319160"/>
            <w:r w:rsidRPr="009221AA">
              <w:rPr>
                <w:rFonts w:cs="Arial"/>
                <w:b/>
                <w:sz w:val="24"/>
                <w:szCs w:val="24"/>
              </w:rPr>
              <w:t>Nature of Linkage</w:t>
            </w:r>
            <w:bookmarkEnd w:id="39"/>
          </w:p>
        </w:tc>
        <w:tc>
          <w:tcPr>
            <w:tcW w:w="2312" w:type="pct"/>
            <w:tcBorders>
              <w:top w:val="single" w:sz="4" w:space="0" w:color="auto"/>
              <w:left w:val="single" w:sz="4" w:space="0" w:color="auto"/>
              <w:bottom w:val="single" w:sz="4" w:space="0" w:color="auto"/>
              <w:right w:val="single" w:sz="4" w:space="0" w:color="auto"/>
            </w:tcBorders>
            <w:shd w:val="clear" w:color="auto" w:fill="D9D9D9"/>
          </w:tcPr>
          <w:p w:rsidR="00027868" w:rsidRPr="009221AA" w:rsidRDefault="00027868" w:rsidP="00027868">
            <w:pPr>
              <w:spacing w:before="120"/>
              <w:rPr>
                <w:rFonts w:cs="Arial"/>
                <w:b/>
                <w:sz w:val="24"/>
                <w:szCs w:val="24"/>
                <w:lang w:eastAsia="en-US"/>
              </w:rPr>
            </w:pPr>
            <w:bookmarkStart w:id="40" w:name="_Toc215319161"/>
            <w:r w:rsidRPr="009221AA">
              <w:rPr>
                <w:rFonts w:cs="Arial"/>
                <w:b/>
                <w:sz w:val="24"/>
                <w:szCs w:val="24"/>
              </w:rPr>
              <w:t>Accountabilities</w:t>
            </w:r>
            <w:bookmarkEnd w:id="40"/>
          </w:p>
        </w:tc>
      </w:tr>
      <w:tr w:rsidR="00B06719" w:rsidRPr="009221AA" w:rsidTr="00B4096C">
        <w:tc>
          <w:tcPr>
            <w:tcW w:w="1470" w:type="pct"/>
            <w:tcBorders>
              <w:top w:val="single" w:sz="4" w:space="0" w:color="auto"/>
              <w:left w:val="single" w:sz="4" w:space="0" w:color="auto"/>
              <w:bottom w:val="single" w:sz="4" w:space="0" w:color="auto"/>
              <w:right w:val="single" w:sz="4" w:space="0" w:color="auto"/>
            </w:tcBorders>
            <w:shd w:val="clear" w:color="auto" w:fill="auto"/>
          </w:tcPr>
          <w:p w:rsidR="00B06719" w:rsidRPr="009221AA" w:rsidRDefault="006E148A" w:rsidP="008956AF">
            <w:pPr>
              <w:spacing w:before="60" w:after="60"/>
              <w:rPr>
                <w:rFonts w:cs="Arial"/>
                <w:sz w:val="24"/>
                <w:szCs w:val="24"/>
                <w:lang w:val="en-US" w:bidi="en-US"/>
              </w:rPr>
            </w:pPr>
            <w:r w:rsidRPr="009221AA">
              <w:rPr>
                <w:rFonts w:cs="Arial"/>
                <w:sz w:val="24"/>
                <w:szCs w:val="24"/>
                <w:lang w:val="en-US" w:bidi="en-US"/>
              </w:rPr>
              <w:t xml:space="preserve">Specialist Clinical teams </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B06719" w:rsidRPr="009221AA" w:rsidRDefault="006E148A" w:rsidP="008956AF">
            <w:pPr>
              <w:spacing w:before="60" w:after="60"/>
              <w:rPr>
                <w:rFonts w:cs="Arial"/>
                <w:sz w:val="24"/>
                <w:szCs w:val="24"/>
                <w:lang w:val="en-US" w:bidi="en-US"/>
              </w:rPr>
            </w:pPr>
            <w:r w:rsidRPr="009221AA">
              <w:rPr>
                <w:rFonts w:cs="Arial"/>
                <w:sz w:val="24"/>
                <w:szCs w:val="24"/>
                <w:lang w:val="en-US" w:bidi="en-US"/>
              </w:rPr>
              <w:t>Collaboration</w:t>
            </w:r>
          </w:p>
          <w:p w:rsidR="006E148A" w:rsidRPr="009221AA" w:rsidRDefault="006E148A" w:rsidP="008956AF">
            <w:pPr>
              <w:spacing w:before="60" w:after="60"/>
              <w:rPr>
                <w:rFonts w:cs="Arial"/>
                <w:sz w:val="24"/>
                <w:szCs w:val="24"/>
                <w:lang w:val="en-US" w:bidi="en-US"/>
              </w:rPr>
            </w:pPr>
            <w:r w:rsidRPr="009221AA">
              <w:rPr>
                <w:rFonts w:cs="Arial"/>
                <w:sz w:val="24"/>
                <w:szCs w:val="24"/>
                <w:lang w:val="en-US" w:bidi="en-US"/>
              </w:rPr>
              <w:t>Referral</w:t>
            </w:r>
          </w:p>
          <w:p w:rsidR="006E148A" w:rsidRPr="009221AA" w:rsidRDefault="009221AA" w:rsidP="008956AF">
            <w:pPr>
              <w:spacing w:before="60" w:after="60"/>
              <w:rPr>
                <w:rFonts w:cs="Arial"/>
                <w:sz w:val="24"/>
                <w:szCs w:val="24"/>
                <w:lang w:val="en-US" w:bidi="en-US"/>
              </w:rPr>
            </w:pPr>
            <w:r>
              <w:rPr>
                <w:rFonts w:cs="Arial"/>
                <w:sz w:val="24"/>
                <w:szCs w:val="24"/>
                <w:lang w:val="en-US" w:bidi="en-US"/>
              </w:rPr>
              <w:t>L</w:t>
            </w:r>
            <w:r w:rsidR="005E497B" w:rsidRPr="009221AA">
              <w:rPr>
                <w:rFonts w:cs="Arial"/>
                <w:sz w:val="24"/>
                <w:szCs w:val="24"/>
                <w:lang w:val="en-US" w:bidi="en-US"/>
              </w:rPr>
              <w:t>iais</w:t>
            </w:r>
            <w:r w:rsidR="006E148A" w:rsidRPr="009221AA">
              <w:rPr>
                <w:rFonts w:cs="Arial"/>
                <w:sz w:val="24"/>
                <w:szCs w:val="24"/>
                <w:lang w:val="en-US" w:bidi="en-US"/>
              </w:rPr>
              <w:t>on</w:t>
            </w:r>
          </w:p>
        </w:tc>
        <w:tc>
          <w:tcPr>
            <w:tcW w:w="2312" w:type="pct"/>
            <w:tcBorders>
              <w:top w:val="single" w:sz="4" w:space="0" w:color="auto"/>
              <w:left w:val="single" w:sz="4" w:space="0" w:color="auto"/>
              <w:bottom w:val="single" w:sz="4" w:space="0" w:color="auto"/>
              <w:right w:val="single" w:sz="4" w:space="0" w:color="auto"/>
            </w:tcBorders>
            <w:shd w:val="clear" w:color="auto" w:fill="auto"/>
          </w:tcPr>
          <w:p w:rsidR="00D2418D" w:rsidRPr="009221AA" w:rsidRDefault="006E148A" w:rsidP="008956AF">
            <w:pPr>
              <w:spacing w:before="60" w:after="60"/>
              <w:rPr>
                <w:rFonts w:cs="Arial"/>
                <w:sz w:val="24"/>
                <w:szCs w:val="24"/>
                <w:lang w:val="en-US" w:bidi="en-US"/>
              </w:rPr>
            </w:pPr>
            <w:r w:rsidRPr="009221AA">
              <w:rPr>
                <w:rFonts w:cs="Arial"/>
                <w:sz w:val="24"/>
                <w:szCs w:val="24"/>
                <w:lang w:val="en-US" w:bidi="en-US"/>
              </w:rPr>
              <w:t xml:space="preserve">Work collaboratively with specialist clinical teams </w:t>
            </w:r>
            <w:r w:rsidR="005E497B" w:rsidRPr="009221AA">
              <w:rPr>
                <w:rFonts w:cs="Arial"/>
                <w:sz w:val="24"/>
                <w:szCs w:val="24"/>
                <w:lang w:val="en-US" w:bidi="en-US"/>
              </w:rPr>
              <w:t>including referral and liaison when necessary</w:t>
            </w:r>
          </w:p>
        </w:tc>
      </w:tr>
      <w:tr w:rsidR="00B06719" w:rsidRPr="009221AA" w:rsidTr="00B4096C">
        <w:tc>
          <w:tcPr>
            <w:tcW w:w="1470" w:type="pct"/>
            <w:tcBorders>
              <w:top w:val="single" w:sz="4" w:space="0" w:color="auto"/>
              <w:left w:val="single" w:sz="4" w:space="0" w:color="auto"/>
              <w:bottom w:val="single" w:sz="4" w:space="0" w:color="auto"/>
              <w:right w:val="single" w:sz="4" w:space="0" w:color="auto"/>
            </w:tcBorders>
            <w:shd w:val="clear" w:color="auto" w:fill="auto"/>
          </w:tcPr>
          <w:p w:rsidR="00B06719" w:rsidRPr="009221AA" w:rsidRDefault="006E148A" w:rsidP="008956AF">
            <w:pPr>
              <w:spacing w:before="60" w:after="60"/>
              <w:rPr>
                <w:rFonts w:cs="Arial"/>
                <w:sz w:val="24"/>
                <w:szCs w:val="24"/>
                <w:lang w:val="en-US" w:bidi="en-US"/>
              </w:rPr>
            </w:pPr>
            <w:r w:rsidRPr="009221AA">
              <w:rPr>
                <w:rFonts w:cs="Arial"/>
                <w:sz w:val="24"/>
                <w:szCs w:val="24"/>
                <w:lang w:val="en-US" w:bidi="en-US"/>
              </w:rPr>
              <w:t>Other health and social agencies</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B06719" w:rsidRPr="009221AA" w:rsidRDefault="006E148A" w:rsidP="008956AF">
            <w:pPr>
              <w:spacing w:before="60" w:after="60"/>
              <w:rPr>
                <w:rFonts w:cs="Arial"/>
                <w:sz w:val="24"/>
                <w:szCs w:val="24"/>
                <w:lang w:val="en-US" w:bidi="en-US"/>
              </w:rPr>
            </w:pPr>
            <w:r w:rsidRPr="009221AA">
              <w:rPr>
                <w:rFonts w:cs="Arial"/>
                <w:sz w:val="24"/>
                <w:szCs w:val="24"/>
                <w:lang w:val="en-US" w:bidi="en-US"/>
              </w:rPr>
              <w:t>Collaboration</w:t>
            </w:r>
          </w:p>
          <w:p w:rsidR="006E148A" w:rsidRPr="009221AA" w:rsidRDefault="006E148A" w:rsidP="008956AF">
            <w:pPr>
              <w:spacing w:before="60" w:after="60"/>
              <w:rPr>
                <w:rFonts w:cs="Arial"/>
                <w:sz w:val="24"/>
                <w:szCs w:val="24"/>
                <w:lang w:val="en-US" w:bidi="en-US"/>
              </w:rPr>
            </w:pPr>
            <w:r w:rsidRPr="009221AA">
              <w:rPr>
                <w:rFonts w:cs="Arial"/>
                <w:sz w:val="24"/>
                <w:szCs w:val="24"/>
                <w:lang w:val="en-US" w:bidi="en-US"/>
              </w:rPr>
              <w:t xml:space="preserve">Liaison </w:t>
            </w:r>
          </w:p>
        </w:tc>
        <w:tc>
          <w:tcPr>
            <w:tcW w:w="2312" w:type="pct"/>
            <w:tcBorders>
              <w:top w:val="single" w:sz="4" w:space="0" w:color="auto"/>
              <w:left w:val="single" w:sz="4" w:space="0" w:color="auto"/>
              <w:bottom w:val="single" w:sz="4" w:space="0" w:color="auto"/>
              <w:right w:val="single" w:sz="4" w:space="0" w:color="auto"/>
            </w:tcBorders>
            <w:shd w:val="clear" w:color="auto" w:fill="auto"/>
          </w:tcPr>
          <w:p w:rsidR="006E148A" w:rsidRPr="009221AA" w:rsidRDefault="006465EF" w:rsidP="008956AF">
            <w:pPr>
              <w:spacing w:before="60" w:after="60"/>
              <w:rPr>
                <w:rFonts w:cs="Arial"/>
                <w:sz w:val="24"/>
                <w:szCs w:val="24"/>
                <w:lang w:val="en-US" w:bidi="en-US"/>
              </w:rPr>
            </w:pPr>
            <w:bookmarkStart w:id="41" w:name="_Toc215319033"/>
            <w:r w:rsidRPr="009221AA">
              <w:rPr>
                <w:rFonts w:cs="Arial"/>
                <w:sz w:val="24"/>
                <w:szCs w:val="24"/>
              </w:rPr>
              <w:t xml:space="preserve">Establish relationships and referral pathways and liaison processes to promote timely access to </w:t>
            </w:r>
            <w:r w:rsidR="006C4B5D" w:rsidRPr="009221AA">
              <w:rPr>
                <w:rFonts w:cs="Arial"/>
                <w:sz w:val="24"/>
                <w:szCs w:val="24"/>
              </w:rPr>
              <w:t xml:space="preserve">health and social </w:t>
            </w:r>
            <w:r w:rsidRPr="009221AA">
              <w:rPr>
                <w:rFonts w:cs="Arial"/>
                <w:sz w:val="24"/>
                <w:szCs w:val="24"/>
              </w:rPr>
              <w:t>services</w:t>
            </w:r>
            <w:bookmarkEnd w:id="41"/>
            <w:r w:rsidRPr="009221AA">
              <w:rPr>
                <w:rFonts w:cs="Arial"/>
                <w:sz w:val="24"/>
                <w:szCs w:val="24"/>
              </w:rPr>
              <w:t xml:space="preserve"> </w:t>
            </w:r>
          </w:p>
        </w:tc>
      </w:tr>
    </w:tbl>
    <w:p w:rsidR="00027868" w:rsidRPr="009221AA" w:rsidRDefault="00027868" w:rsidP="00027868">
      <w:pPr>
        <w:tabs>
          <w:tab w:val="left" w:pos="570"/>
        </w:tabs>
        <w:spacing w:before="240" w:after="120"/>
        <w:rPr>
          <w:rFonts w:cs="Arial"/>
          <w:b/>
          <w:sz w:val="24"/>
          <w:szCs w:val="24"/>
        </w:rPr>
      </w:pPr>
      <w:bookmarkStart w:id="42" w:name="_Toc215319164"/>
      <w:r w:rsidRPr="009221AA">
        <w:rPr>
          <w:rFonts w:cs="Arial"/>
          <w:b/>
          <w:sz w:val="24"/>
          <w:szCs w:val="24"/>
        </w:rPr>
        <w:t>7.</w:t>
      </w:r>
      <w:r w:rsidRPr="009221AA">
        <w:rPr>
          <w:rFonts w:cs="Arial"/>
          <w:b/>
          <w:sz w:val="24"/>
          <w:szCs w:val="24"/>
        </w:rPr>
        <w:tab/>
        <w:t>Exclusions</w:t>
      </w:r>
    </w:p>
    <w:p w:rsidR="00027868" w:rsidRPr="009221AA" w:rsidRDefault="00027868" w:rsidP="004036E3">
      <w:pPr>
        <w:tabs>
          <w:tab w:val="left" w:pos="570"/>
        </w:tabs>
        <w:spacing w:before="120" w:after="120"/>
        <w:rPr>
          <w:rFonts w:cs="Arial"/>
          <w:sz w:val="24"/>
          <w:szCs w:val="24"/>
        </w:rPr>
      </w:pPr>
      <w:r w:rsidRPr="009221AA">
        <w:rPr>
          <w:rFonts w:cs="Arial"/>
          <w:sz w:val="24"/>
          <w:szCs w:val="24"/>
        </w:rPr>
        <w:t>Refer to tier one Mental Health and Addiction Services</w:t>
      </w:r>
      <w:r w:rsidR="009221AA">
        <w:rPr>
          <w:rFonts w:cs="Arial"/>
          <w:sz w:val="24"/>
          <w:szCs w:val="24"/>
        </w:rPr>
        <w:t xml:space="preserve"> service </w:t>
      </w:r>
      <w:r w:rsidR="008956AF">
        <w:rPr>
          <w:rFonts w:cs="Arial"/>
          <w:sz w:val="24"/>
          <w:szCs w:val="24"/>
        </w:rPr>
        <w:t>specification</w:t>
      </w:r>
      <w:r w:rsidRPr="009221AA">
        <w:rPr>
          <w:rFonts w:cs="Arial"/>
          <w:sz w:val="24"/>
          <w:szCs w:val="24"/>
        </w:rPr>
        <w:t>.</w:t>
      </w:r>
    </w:p>
    <w:p w:rsidR="00027868" w:rsidRPr="009221AA" w:rsidRDefault="00027868" w:rsidP="00027868">
      <w:pPr>
        <w:tabs>
          <w:tab w:val="left" w:pos="570"/>
        </w:tabs>
        <w:spacing w:before="240" w:after="120"/>
        <w:rPr>
          <w:rFonts w:cs="Arial"/>
          <w:b/>
          <w:sz w:val="24"/>
          <w:szCs w:val="24"/>
        </w:rPr>
      </w:pPr>
      <w:r w:rsidRPr="009221AA">
        <w:rPr>
          <w:rFonts w:cs="Arial"/>
          <w:b/>
          <w:sz w:val="24"/>
          <w:szCs w:val="24"/>
        </w:rPr>
        <w:t>8.</w:t>
      </w:r>
      <w:r w:rsidRPr="009221AA">
        <w:rPr>
          <w:rFonts w:cs="Arial"/>
          <w:b/>
          <w:sz w:val="24"/>
          <w:szCs w:val="24"/>
        </w:rPr>
        <w:tab/>
        <w:t>Quality Requirements</w:t>
      </w:r>
      <w:bookmarkEnd w:id="42"/>
    </w:p>
    <w:p w:rsidR="00944101" w:rsidRPr="009221AA" w:rsidRDefault="00130C22" w:rsidP="00944101">
      <w:pPr>
        <w:tabs>
          <w:tab w:val="left" w:pos="540"/>
        </w:tabs>
        <w:spacing w:before="120"/>
        <w:rPr>
          <w:rFonts w:cs="Arial"/>
          <w:sz w:val="24"/>
          <w:szCs w:val="24"/>
          <w:lang w:val="en-AU"/>
        </w:rPr>
      </w:pPr>
      <w:bookmarkStart w:id="43" w:name="_Toc215319165"/>
      <w:r w:rsidRPr="00130C22">
        <w:rPr>
          <w:rFonts w:cs="Arial"/>
          <w:sz w:val="24"/>
          <w:szCs w:val="24"/>
        </w:rPr>
        <w:t>The Service must comply with the Provider Quality Standards described in the Operational Policy Framework</w:t>
      </w:r>
      <w:r w:rsidRPr="00130C22">
        <w:rPr>
          <w:rFonts w:cs="Arial"/>
          <w:sz w:val="24"/>
          <w:szCs w:val="24"/>
          <w:vertAlign w:val="superscript"/>
        </w:rPr>
        <w:footnoteReference w:id="2"/>
      </w:r>
      <w:r w:rsidRPr="00130C22">
        <w:rPr>
          <w:rFonts w:cs="Arial"/>
          <w:sz w:val="24"/>
          <w:szCs w:val="24"/>
        </w:rPr>
        <w:t xml:space="preserve"> or, as applicable, Crown Funding Agreement Variations, contracts or service level agreements.</w:t>
      </w:r>
      <w:bookmarkEnd w:id="43"/>
    </w:p>
    <w:p w:rsidR="00027868" w:rsidRPr="009221AA" w:rsidRDefault="00027868" w:rsidP="00027868">
      <w:pPr>
        <w:tabs>
          <w:tab w:val="left" w:pos="570"/>
        </w:tabs>
        <w:spacing w:before="240" w:after="120"/>
        <w:rPr>
          <w:rFonts w:cs="Arial"/>
          <w:b/>
          <w:sz w:val="24"/>
          <w:szCs w:val="24"/>
        </w:rPr>
      </w:pPr>
      <w:bookmarkStart w:id="44" w:name="_Toc215319172"/>
      <w:r w:rsidRPr="009221AA">
        <w:rPr>
          <w:rFonts w:cs="Arial"/>
          <w:b/>
          <w:sz w:val="24"/>
          <w:szCs w:val="24"/>
        </w:rPr>
        <w:t>9.</w:t>
      </w:r>
      <w:r w:rsidRPr="009221AA">
        <w:rPr>
          <w:rFonts w:cs="Arial"/>
          <w:b/>
          <w:sz w:val="24"/>
          <w:szCs w:val="24"/>
        </w:rPr>
        <w:tab/>
        <w:t>Purchase Units and Reporting Requirements</w:t>
      </w:r>
      <w:bookmarkEnd w:id="44"/>
    </w:p>
    <w:p w:rsidR="00B4096C" w:rsidRDefault="00027868" w:rsidP="00027868">
      <w:pPr>
        <w:tabs>
          <w:tab w:val="left" w:pos="567"/>
          <w:tab w:val="left" w:pos="709"/>
          <w:tab w:val="left" w:pos="1701"/>
          <w:tab w:val="left" w:pos="2693"/>
        </w:tabs>
        <w:rPr>
          <w:rFonts w:cs="Arial"/>
          <w:sz w:val="24"/>
          <w:szCs w:val="24"/>
        </w:rPr>
      </w:pPr>
      <w:bookmarkStart w:id="45" w:name="_Toc215319173"/>
      <w:r w:rsidRPr="009221AA">
        <w:rPr>
          <w:rFonts w:cs="Arial"/>
          <w:sz w:val="24"/>
          <w:szCs w:val="24"/>
        </w:rPr>
        <w:t>Purchase Unit</w:t>
      </w:r>
      <w:r w:rsidR="00317B82">
        <w:rPr>
          <w:rFonts w:cs="Arial"/>
          <w:sz w:val="24"/>
          <w:szCs w:val="24"/>
        </w:rPr>
        <w:t xml:space="preserve"> </w:t>
      </w:r>
      <w:r w:rsidR="00B4096C">
        <w:rPr>
          <w:rFonts w:cs="Arial"/>
          <w:sz w:val="24"/>
          <w:szCs w:val="24"/>
        </w:rPr>
        <w:t xml:space="preserve">(PU) </w:t>
      </w:r>
      <w:r w:rsidR="00317B82">
        <w:rPr>
          <w:rFonts w:cs="Arial"/>
          <w:sz w:val="24"/>
          <w:szCs w:val="24"/>
        </w:rPr>
        <w:t>Codes</w:t>
      </w:r>
      <w:r w:rsidRPr="009221AA">
        <w:rPr>
          <w:rFonts w:cs="Arial"/>
          <w:sz w:val="24"/>
          <w:szCs w:val="24"/>
        </w:rPr>
        <w:t xml:space="preserve"> are defined in the DHB and </w:t>
      </w:r>
      <w:r w:rsidR="009221AA">
        <w:rPr>
          <w:rFonts w:cs="Arial"/>
          <w:sz w:val="24"/>
          <w:szCs w:val="24"/>
        </w:rPr>
        <w:t xml:space="preserve">the </w:t>
      </w:r>
      <w:r w:rsidRPr="009221AA">
        <w:rPr>
          <w:rFonts w:cs="Arial"/>
          <w:sz w:val="24"/>
          <w:szCs w:val="24"/>
        </w:rPr>
        <w:t xml:space="preserve">Ministry’s Nationwide Service Framework Purchase Unit Data Dictionary.  </w:t>
      </w:r>
    </w:p>
    <w:p w:rsidR="00027868" w:rsidRPr="009221AA" w:rsidRDefault="00027868" w:rsidP="00B4096C">
      <w:pPr>
        <w:tabs>
          <w:tab w:val="left" w:pos="567"/>
          <w:tab w:val="left" w:pos="709"/>
          <w:tab w:val="left" w:pos="1701"/>
          <w:tab w:val="left" w:pos="2693"/>
        </w:tabs>
        <w:spacing w:before="120"/>
        <w:rPr>
          <w:rFonts w:cs="Arial"/>
          <w:sz w:val="24"/>
          <w:szCs w:val="24"/>
        </w:rPr>
      </w:pPr>
      <w:r w:rsidRPr="009221AA">
        <w:rPr>
          <w:rFonts w:cs="Arial"/>
          <w:sz w:val="24"/>
          <w:szCs w:val="24"/>
        </w:rPr>
        <w:t>Specific reporting requirements apply at tier three service specifications.</w:t>
      </w:r>
      <w:bookmarkEnd w:id="45"/>
    </w:p>
    <w:p w:rsidR="00027868" w:rsidRPr="009221AA" w:rsidRDefault="00027868" w:rsidP="00AF04C8">
      <w:pPr>
        <w:spacing w:before="120"/>
        <w:rPr>
          <w:rFonts w:cs="Arial"/>
          <w:b/>
          <w:sz w:val="24"/>
          <w:szCs w:val="24"/>
        </w:rPr>
      </w:pPr>
      <w:r w:rsidRPr="009221AA">
        <w:rPr>
          <w:rFonts w:cs="Arial"/>
          <w:b/>
          <w:sz w:val="24"/>
          <w:szCs w:val="24"/>
        </w:rPr>
        <w:t>10.</w:t>
      </w:r>
      <w:r w:rsidRPr="009221AA">
        <w:rPr>
          <w:rFonts w:cs="Arial"/>
          <w:b/>
          <w:sz w:val="24"/>
          <w:szCs w:val="24"/>
        </w:rPr>
        <w:tab/>
        <w:t>Tier Three Service Specifications</w:t>
      </w:r>
    </w:p>
    <w:p w:rsidR="00027868" w:rsidRPr="009221AA" w:rsidRDefault="007C130D" w:rsidP="009D506A">
      <w:pPr>
        <w:tabs>
          <w:tab w:val="left" w:pos="1701"/>
          <w:tab w:val="left" w:pos="2693"/>
        </w:tabs>
        <w:spacing w:before="60" w:after="120"/>
        <w:rPr>
          <w:rFonts w:cs="Arial"/>
        </w:rPr>
      </w:pPr>
      <w:r>
        <w:rPr>
          <w:rFonts w:cs="Arial"/>
          <w:sz w:val="24"/>
          <w:szCs w:val="24"/>
        </w:rPr>
        <w:t>This range of tier three service specifications for Family and Whanau Mental Health and Addiction services has been developed</w:t>
      </w:r>
      <w:r w:rsidR="00B4096C">
        <w:rPr>
          <w:rFonts w:cs="Arial"/>
          <w:sz w:val="24"/>
          <w:szCs w:val="24"/>
        </w:rPr>
        <w:t xml:space="preserve"> to meet varied service needs. </w:t>
      </w:r>
      <w:r w:rsidR="00B06719" w:rsidRPr="009221AA">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010"/>
      </w:tblGrid>
      <w:tr w:rsidR="00027868" w:rsidRPr="00275B81" w:rsidTr="00A902EE">
        <w:tc>
          <w:tcPr>
            <w:tcW w:w="6232" w:type="dxa"/>
            <w:shd w:val="clear" w:color="auto" w:fill="D9D9D9"/>
          </w:tcPr>
          <w:p w:rsidR="00027868" w:rsidRPr="00275B81" w:rsidRDefault="00027868" w:rsidP="00275B81">
            <w:pPr>
              <w:tabs>
                <w:tab w:val="left" w:pos="567"/>
                <w:tab w:val="left" w:pos="709"/>
                <w:tab w:val="left" w:pos="1701"/>
                <w:tab w:val="left" w:pos="2693"/>
              </w:tabs>
              <w:spacing w:before="60" w:after="60"/>
              <w:rPr>
                <w:rFonts w:cs="Arial"/>
                <w:b/>
              </w:rPr>
            </w:pPr>
            <w:r w:rsidRPr="00275B81">
              <w:rPr>
                <w:rFonts w:cs="Arial"/>
                <w:b/>
              </w:rPr>
              <w:t>Title</w:t>
            </w:r>
          </w:p>
        </w:tc>
        <w:tc>
          <w:tcPr>
            <w:tcW w:w="3010" w:type="dxa"/>
            <w:shd w:val="clear" w:color="auto" w:fill="D9D9D9"/>
          </w:tcPr>
          <w:p w:rsidR="00027868" w:rsidRPr="00275B81" w:rsidRDefault="00027868" w:rsidP="00A902EE">
            <w:pPr>
              <w:tabs>
                <w:tab w:val="left" w:pos="567"/>
                <w:tab w:val="left" w:pos="709"/>
                <w:tab w:val="left" w:pos="1701"/>
                <w:tab w:val="left" w:pos="2693"/>
              </w:tabs>
              <w:spacing w:before="60" w:after="60"/>
              <w:rPr>
                <w:rFonts w:cs="Arial"/>
                <w:b/>
              </w:rPr>
            </w:pPr>
            <w:r w:rsidRPr="00275B81">
              <w:rPr>
                <w:rFonts w:cs="Arial"/>
                <w:b/>
              </w:rPr>
              <w:t>P</w:t>
            </w:r>
            <w:r w:rsidR="00A902EE">
              <w:rPr>
                <w:rFonts w:cs="Arial"/>
                <w:b/>
              </w:rPr>
              <w:t>urchase Unit Codes</w:t>
            </w:r>
          </w:p>
        </w:tc>
      </w:tr>
      <w:tr w:rsidR="00027868" w:rsidRPr="00275B81" w:rsidTr="00A902EE">
        <w:tc>
          <w:tcPr>
            <w:tcW w:w="6232" w:type="dxa"/>
            <w:shd w:val="clear" w:color="auto" w:fill="auto"/>
          </w:tcPr>
          <w:p w:rsidR="00027868" w:rsidRPr="00275B81" w:rsidRDefault="00090D85" w:rsidP="00275B81">
            <w:pPr>
              <w:tabs>
                <w:tab w:val="left" w:pos="567"/>
                <w:tab w:val="left" w:pos="709"/>
                <w:tab w:val="left" w:pos="1701"/>
                <w:tab w:val="left" w:pos="2693"/>
              </w:tabs>
              <w:rPr>
                <w:rFonts w:cs="Arial"/>
                <w:sz w:val="24"/>
                <w:szCs w:val="24"/>
              </w:rPr>
            </w:pPr>
            <w:r w:rsidRPr="00275B81">
              <w:rPr>
                <w:rFonts w:cs="Arial"/>
                <w:sz w:val="24"/>
                <w:szCs w:val="24"/>
              </w:rPr>
              <w:t xml:space="preserve">Family and whānau advisory service </w:t>
            </w:r>
          </w:p>
        </w:tc>
        <w:tc>
          <w:tcPr>
            <w:tcW w:w="3010" w:type="dxa"/>
            <w:shd w:val="clear" w:color="auto" w:fill="auto"/>
          </w:tcPr>
          <w:p w:rsidR="00090D85" w:rsidRDefault="00090D85" w:rsidP="00275B81">
            <w:pPr>
              <w:tabs>
                <w:tab w:val="left" w:pos="567"/>
                <w:tab w:val="left" w:pos="709"/>
                <w:tab w:val="left" w:pos="1701"/>
                <w:tab w:val="left" w:pos="2693"/>
              </w:tabs>
              <w:rPr>
                <w:rFonts w:cs="Arial"/>
                <w:sz w:val="24"/>
                <w:szCs w:val="24"/>
              </w:rPr>
            </w:pPr>
            <w:r w:rsidRPr="00275B81">
              <w:rPr>
                <w:rFonts w:cs="Arial"/>
                <w:sz w:val="24"/>
                <w:szCs w:val="24"/>
              </w:rPr>
              <w:t>MHW67C</w:t>
            </w:r>
            <w:r w:rsidR="00746F52">
              <w:rPr>
                <w:rFonts w:cs="Arial"/>
                <w:sz w:val="24"/>
                <w:szCs w:val="24"/>
              </w:rPr>
              <w:t xml:space="preserve">, </w:t>
            </w:r>
            <w:r w:rsidRPr="00275B81">
              <w:rPr>
                <w:rFonts w:cs="Arial"/>
                <w:sz w:val="24"/>
                <w:szCs w:val="24"/>
              </w:rPr>
              <w:t>MHW67D</w:t>
            </w:r>
          </w:p>
          <w:p w:rsidR="00207B92" w:rsidRPr="00275B81" w:rsidRDefault="00207B92" w:rsidP="00275B81">
            <w:pPr>
              <w:tabs>
                <w:tab w:val="left" w:pos="567"/>
                <w:tab w:val="left" w:pos="709"/>
                <w:tab w:val="left" w:pos="1701"/>
                <w:tab w:val="left" w:pos="2693"/>
              </w:tabs>
              <w:rPr>
                <w:rFonts w:cs="Arial"/>
                <w:sz w:val="24"/>
                <w:szCs w:val="24"/>
              </w:rPr>
            </w:pPr>
            <w:r>
              <w:rPr>
                <w:rFonts w:cs="Arial"/>
                <w:sz w:val="24"/>
                <w:szCs w:val="24"/>
              </w:rPr>
              <w:t>MHW67S</w:t>
            </w:r>
          </w:p>
        </w:tc>
      </w:tr>
      <w:tr w:rsidR="00027868" w:rsidRPr="00275B81" w:rsidTr="00A902EE">
        <w:tc>
          <w:tcPr>
            <w:tcW w:w="6232" w:type="dxa"/>
            <w:shd w:val="clear" w:color="auto" w:fill="auto"/>
          </w:tcPr>
          <w:p w:rsidR="00027868" w:rsidRPr="00275B81" w:rsidRDefault="00090D85" w:rsidP="00275B81">
            <w:pPr>
              <w:tabs>
                <w:tab w:val="left" w:pos="567"/>
                <w:tab w:val="left" w:pos="709"/>
                <w:tab w:val="left" w:pos="1701"/>
                <w:tab w:val="left" w:pos="2693"/>
              </w:tabs>
              <w:rPr>
                <w:rFonts w:cs="Arial"/>
                <w:sz w:val="24"/>
                <w:szCs w:val="24"/>
              </w:rPr>
            </w:pPr>
            <w:r w:rsidRPr="00275B81">
              <w:rPr>
                <w:rFonts w:cs="Arial"/>
                <w:sz w:val="24"/>
                <w:szCs w:val="24"/>
              </w:rPr>
              <w:t>Family and whānau support, education, information and advocacy service</w:t>
            </w:r>
          </w:p>
        </w:tc>
        <w:tc>
          <w:tcPr>
            <w:tcW w:w="3010" w:type="dxa"/>
            <w:shd w:val="clear" w:color="auto" w:fill="auto"/>
          </w:tcPr>
          <w:p w:rsidR="00090D85" w:rsidRPr="00275B81" w:rsidRDefault="00090D85" w:rsidP="00275B81">
            <w:pPr>
              <w:tabs>
                <w:tab w:val="left" w:pos="567"/>
                <w:tab w:val="left" w:pos="709"/>
                <w:tab w:val="left" w:pos="1701"/>
                <w:tab w:val="left" w:pos="2693"/>
              </w:tabs>
              <w:rPr>
                <w:rFonts w:cs="Arial"/>
                <w:sz w:val="24"/>
                <w:szCs w:val="24"/>
              </w:rPr>
            </w:pPr>
            <w:r w:rsidRPr="00275B81">
              <w:rPr>
                <w:rFonts w:cs="Arial"/>
                <w:sz w:val="24"/>
                <w:szCs w:val="24"/>
              </w:rPr>
              <w:t>MHW68C</w:t>
            </w:r>
            <w:r w:rsidR="00746F52">
              <w:rPr>
                <w:rFonts w:cs="Arial"/>
                <w:sz w:val="24"/>
                <w:szCs w:val="24"/>
              </w:rPr>
              <w:t>,</w:t>
            </w:r>
            <w:r w:rsidRPr="00275B81">
              <w:rPr>
                <w:rFonts w:cs="Arial"/>
                <w:sz w:val="24"/>
                <w:szCs w:val="24"/>
              </w:rPr>
              <w:t>MHW68D</w:t>
            </w:r>
          </w:p>
          <w:p w:rsidR="00990D11" w:rsidRDefault="00E50480" w:rsidP="00275B81">
            <w:pPr>
              <w:tabs>
                <w:tab w:val="left" w:pos="567"/>
                <w:tab w:val="left" w:pos="709"/>
                <w:tab w:val="left" w:pos="1701"/>
                <w:tab w:val="left" w:pos="2693"/>
              </w:tabs>
              <w:rPr>
                <w:rFonts w:cs="Arial"/>
                <w:sz w:val="24"/>
                <w:szCs w:val="24"/>
              </w:rPr>
            </w:pPr>
            <w:r w:rsidRPr="00275B81">
              <w:rPr>
                <w:rFonts w:cs="Arial"/>
                <w:sz w:val="24"/>
                <w:szCs w:val="24"/>
              </w:rPr>
              <w:t>MHIW68C</w:t>
            </w:r>
            <w:r w:rsidR="00746F52">
              <w:rPr>
                <w:rFonts w:cs="Arial"/>
                <w:sz w:val="24"/>
                <w:szCs w:val="24"/>
              </w:rPr>
              <w:t>,</w:t>
            </w:r>
            <w:r w:rsidRPr="00275B81">
              <w:rPr>
                <w:rFonts w:cs="Arial"/>
                <w:sz w:val="24"/>
                <w:szCs w:val="24"/>
              </w:rPr>
              <w:t>MHIW68D</w:t>
            </w:r>
          </w:p>
          <w:p w:rsidR="00207B92" w:rsidRPr="00275B81" w:rsidRDefault="00207B92" w:rsidP="00207B92">
            <w:pPr>
              <w:tabs>
                <w:tab w:val="left" w:pos="567"/>
                <w:tab w:val="left" w:pos="709"/>
                <w:tab w:val="left" w:pos="1701"/>
                <w:tab w:val="left" w:pos="2693"/>
              </w:tabs>
              <w:rPr>
                <w:rFonts w:cs="Arial"/>
                <w:sz w:val="24"/>
                <w:szCs w:val="24"/>
              </w:rPr>
            </w:pPr>
            <w:r>
              <w:rPr>
                <w:rFonts w:cs="Arial"/>
                <w:sz w:val="24"/>
                <w:szCs w:val="24"/>
              </w:rPr>
              <w:t>MHW68S</w:t>
            </w:r>
          </w:p>
        </w:tc>
      </w:tr>
    </w:tbl>
    <w:p w:rsidR="00027868" w:rsidRPr="009221AA" w:rsidRDefault="00027868" w:rsidP="00027868">
      <w:pPr>
        <w:tabs>
          <w:tab w:val="left" w:pos="567"/>
          <w:tab w:val="left" w:pos="709"/>
          <w:tab w:val="left" w:pos="1701"/>
          <w:tab w:val="left" w:pos="2693"/>
        </w:tabs>
        <w:rPr>
          <w:rFonts w:cs="Arial"/>
        </w:rPr>
      </w:pPr>
    </w:p>
    <w:sectPr w:rsidR="00027868" w:rsidRPr="009221AA" w:rsidSect="00130C22">
      <w:footerReference w:type="even" r:id="rId10"/>
      <w:footerReference w:type="default" r:id="rId11"/>
      <w:pgSz w:w="11906" w:h="16838" w:code="9"/>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EB" w:rsidRDefault="000F55EB">
      <w:r>
        <w:separator/>
      </w:r>
    </w:p>
  </w:endnote>
  <w:endnote w:type="continuationSeparator" w:id="0">
    <w:p w:rsidR="000F55EB" w:rsidRDefault="000F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0D" w:rsidRDefault="007C130D"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30D" w:rsidRDefault="007C130D"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0D" w:rsidRDefault="007C130D"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F1F">
      <w:rPr>
        <w:rStyle w:val="PageNumber"/>
        <w:noProof/>
      </w:rPr>
      <w:t>4</w:t>
    </w:r>
    <w:r>
      <w:rPr>
        <w:rStyle w:val="PageNumber"/>
      </w:rPr>
      <w:fldChar w:fldCharType="end"/>
    </w:r>
  </w:p>
  <w:p w:rsidR="007C130D" w:rsidRPr="00A82DC4" w:rsidRDefault="007C130D" w:rsidP="00FC3F23">
    <w:pPr>
      <w:pStyle w:val="Footer"/>
      <w:pBdr>
        <w:top w:val="single" w:sz="4" w:space="1" w:color="auto"/>
      </w:pBdr>
      <w:tabs>
        <w:tab w:val="center" w:pos="4536"/>
      </w:tabs>
      <w:ind w:right="360"/>
      <w:jc w:val="left"/>
      <w:rPr>
        <w:rFonts w:ascii="Arial" w:hAnsi="Arial" w:cs="Arial"/>
        <w:sz w:val="20"/>
      </w:rPr>
    </w:pPr>
    <w:r>
      <w:rPr>
        <w:rFonts w:ascii="Arial" w:hAnsi="Arial" w:cs="Arial"/>
        <w:sz w:val="20"/>
      </w:rPr>
      <w:t>Family and Whanau</w:t>
    </w:r>
    <w:r w:rsidRPr="00A82DC4">
      <w:rPr>
        <w:rFonts w:ascii="Arial" w:hAnsi="Arial" w:cs="Arial"/>
        <w:sz w:val="20"/>
      </w:rPr>
      <w:t xml:space="preserve"> </w:t>
    </w:r>
    <w:r w:rsidR="00FB5553" w:rsidRPr="00A82DC4">
      <w:rPr>
        <w:rFonts w:ascii="Arial" w:hAnsi="Arial" w:cs="Arial"/>
        <w:sz w:val="20"/>
      </w:rPr>
      <w:t xml:space="preserve">Mental Health </w:t>
    </w:r>
    <w:r w:rsidR="00FB5553">
      <w:rPr>
        <w:rFonts w:ascii="Arial" w:hAnsi="Arial" w:cs="Arial"/>
        <w:sz w:val="20"/>
      </w:rPr>
      <w:t>and</w:t>
    </w:r>
    <w:r w:rsidR="00FB5553" w:rsidRPr="00A82DC4">
      <w:rPr>
        <w:rFonts w:ascii="Arial" w:hAnsi="Arial" w:cs="Arial"/>
        <w:sz w:val="20"/>
      </w:rPr>
      <w:t xml:space="preserve"> Addiction Services</w:t>
    </w:r>
    <w:r w:rsidR="00FB5553">
      <w:rPr>
        <w:rFonts w:ascii="Arial" w:hAnsi="Arial" w:cs="Arial"/>
        <w:sz w:val="20"/>
      </w:rPr>
      <w:t xml:space="preserve"> </w:t>
    </w:r>
    <w:r>
      <w:rPr>
        <w:rFonts w:ascii="Arial" w:hAnsi="Arial" w:cs="Arial"/>
        <w:sz w:val="20"/>
      </w:rPr>
      <w:t>t</w:t>
    </w:r>
    <w:r w:rsidRPr="00A82DC4">
      <w:rPr>
        <w:rFonts w:ascii="Arial" w:hAnsi="Arial" w:cs="Arial"/>
        <w:sz w:val="20"/>
      </w:rPr>
      <w:t xml:space="preserve">ier </w:t>
    </w:r>
    <w:r>
      <w:rPr>
        <w:rFonts w:ascii="Arial" w:hAnsi="Arial" w:cs="Arial"/>
        <w:sz w:val="20"/>
      </w:rPr>
      <w:t>t</w:t>
    </w:r>
    <w:r w:rsidRPr="00A82DC4">
      <w:rPr>
        <w:rFonts w:ascii="Arial" w:hAnsi="Arial" w:cs="Arial"/>
        <w:sz w:val="20"/>
      </w:rPr>
      <w:t xml:space="preserve">wo </w:t>
    </w:r>
    <w:r w:rsidR="00FB5553">
      <w:rPr>
        <w:rFonts w:ascii="Arial" w:hAnsi="Arial" w:cs="Arial"/>
        <w:sz w:val="20"/>
      </w:rPr>
      <w:t>service s</w:t>
    </w:r>
    <w:r w:rsidR="00FB5553" w:rsidRPr="00A82DC4">
      <w:rPr>
        <w:rFonts w:ascii="Arial" w:hAnsi="Arial" w:cs="Arial"/>
        <w:sz w:val="20"/>
      </w:rPr>
      <w:t xml:space="preserve">pecification </w:t>
    </w:r>
    <w:r w:rsidR="00263AC3">
      <w:rPr>
        <w:rFonts w:ascii="Arial" w:hAnsi="Arial" w:cs="Arial"/>
        <w:sz w:val="20"/>
      </w:rPr>
      <w:t>April 2017</w:t>
    </w:r>
  </w:p>
  <w:p w:rsidR="007C130D" w:rsidRDefault="007C130D"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r>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EB" w:rsidRDefault="000F55EB">
      <w:r>
        <w:separator/>
      </w:r>
    </w:p>
  </w:footnote>
  <w:footnote w:type="continuationSeparator" w:id="0">
    <w:p w:rsidR="000F55EB" w:rsidRDefault="000F55EB">
      <w:r>
        <w:continuationSeparator/>
      </w:r>
    </w:p>
  </w:footnote>
  <w:footnote w:id="1">
    <w:p w:rsidR="007C130D" w:rsidRPr="004036E3" w:rsidRDefault="007C130D" w:rsidP="009221AA">
      <w:pPr>
        <w:pStyle w:val="1"/>
        <w:numPr>
          <w:ilvl w:val="0"/>
          <w:numId w:val="0"/>
        </w:numPr>
        <w:tabs>
          <w:tab w:val="clear" w:pos="567"/>
          <w:tab w:val="left" w:pos="0"/>
        </w:tabs>
        <w:rPr>
          <w:b w:val="0"/>
          <w:lang w:val="en-NZ"/>
        </w:rPr>
      </w:pPr>
      <w:r>
        <w:rPr>
          <w:rStyle w:val="FootnoteReference"/>
        </w:rPr>
        <w:footnoteRef/>
      </w:r>
      <w:r>
        <w:t xml:space="preserve"> </w:t>
      </w:r>
      <w:r w:rsidRPr="009221AA">
        <w:rPr>
          <w:rFonts w:ascii="Arial" w:hAnsi="Arial" w:cs="Arial"/>
          <w:b w:val="0"/>
        </w:rPr>
        <w:t xml:space="preserve">The definition of family may be guided by the </w:t>
      </w:r>
      <w:r w:rsidR="009D506A">
        <w:rPr>
          <w:rFonts w:ascii="Arial" w:hAnsi="Arial" w:cs="Arial"/>
          <w:b w:val="0"/>
        </w:rPr>
        <w:t>Service User</w:t>
      </w:r>
      <w:r w:rsidRPr="009221AA">
        <w:rPr>
          <w:rFonts w:ascii="Arial" w:hAnsi="Arial" w:cs="Arial"/>
          <w:b w:val="0"/>
        </w:rPr>
        <w:t xml:space="preserve">.  This can include relatives, whanau, partners, friends or others.  </w:t>
      </w:r>
      <w:r w:rsidRPr="009221AA">
        <w:rPr>
          <w:rFonts w:ascii="Arial" w:hAnsi="Arial" w:cs="Arial"/>
          <w:b w:val="0"/>
          <w:color w:val="000000"/>
        </w:rPr>
        <w:t>The term ‘whanau’ is used throughout the document to mean both nuclear and extended family, either biological or chosen</w:t>
      </w:r>
      <w:r w:rsidRPr="009221AA">
        <w:rPr>
          <w:rFonts w:ascii="Arial" w:hAnsi="Arial" w:cs="Arial"/>
          <w:b w:val="0"/>
        </w:rPr>
        <w:t>.</w:t>
      </w:r>
    </w:p>
  </w:footnote>
  <w:footnote w:id="2">
    <w:p w:rsidR="00130C22" w:rsidRPr="002C333D" w:rsidRDefault="00130C22" w:rsidP="00130C22">
      <w:pPr>
        <w:pStyle w:val="FootnoteText"/>
      </w:pPr>
      <w:r>
        <w:rPr>
          <w:rStyle w:val="FootnoteReference"/>
        </w:rPr>
        <w:footnoteRef/>
      </w:r>
      <w:r>
        <w:t xml:space="preserve"> </w:t>
      </w:r>
      <w:r w:rsidRPr="002C333D">
        <w:t>http://nsfl.health.govt.nz/accountability/operational-policy-framework-0</w:t>
      </w:r>
    </w:p>
    <w:p w:rsidR="00130C22" w:rsidRDefault="00130C22" w:rsidP="00130C2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203"/>
    <w:multiLevelType w:val="multilevel"/>
    <w:tmpl w:val="9072DC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2">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F864BF"/>
    <w:multiLevelType w:val="multilevel"/>
    <w:tmpl w:val="7518B09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93306C"/>
    <w:multiLevelType w:val="hybridMultilevel"/>
    <w:tmpl w:val="DE501DCC"/>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4B932F7"/>
    <w:multiLevelType w:val="multilevel"/>
    <w:tmpl w:val="D5A4A938"/>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38B2151"/>
    <w:multiLevelType w:val="hybridMultilevel"/>
    <w:tmpl w:val="A0185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3"/>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6"/>
  </w:num>
  <w:num w:numId="6">
    <w:abstractNumId w:val="22"/>
  </w:num>
  <w:num w:numId="7">
    <w:abstractNumId w:val="8"/>
  </w:num>
  <w:num w:numId="8">
    <w:abstractNumId w:val="21"/>
  </w:num>
  <w:num w:numId="9">
    <w:abstractNumId w:val="7"/>
  </w:num>
  <w:num w:numId="10">
    <w:abstractNumId w:val="23"/>
  </w:num>
  <w:num w:numId="11">
    <w:abstractNumId w:val="2"/>
  </w:num>
  <w:num w:numId="12">
    <w:abstractNumId w:val="3"/>
  </w:num>
  <w:num w:numId="13">
    <w:abstractNumId w:val="4"/>
  </w:num>
  <w:num w:numId="14">
    <w:abstractNumId w:val="17"/>
  </w:num>
  <w:num w:numId="15">
    <w:abstractNumId w:val="11"/>
  </w:num>
  <w:num w:numId="16">
    <w:abstractNumId w:val="18"/>
  </w:num>
  <w:num w:numId="17">
    <w:abstractNumId w:val="14"/>
  </w:num>
  <w:num w:numId="18">
    <w:abstractNumId w:val="5"/>
  </w:num>
  <w:num w:numId="19">
    <w:abstractNumId w:val="24"/>
  </w:num>
  <w:num w:numId="20">
    <w:abstractNumId w:val="19"/>
  </w:num>
  <w:num w:numId="21">
    <w:abstractNumId w:val="12"/>
  </w:num>
  <w:num w:numId="22">
    <w:abstractNumId w:val="0"/>
  </w:num>
  <w:num w:numId="23">
    <w:abstractNumId w:val="6"/>
  </w:num>
  <w:num w:numId="24">
    <w:abstractNumId w:val="15"/>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0B1F"/>
    <w:rsid w:val="00011055"/>
    <w:rsid w:val="00027868"/>
    <w:rsid w:val="000903CE"/>
    <w:rsid w:val="00090D85"/>
    <w:rsid w:val="000B457B"/>
    <w:rsid w:val="000C26A6"/>
    <w:rsid w:val="000D11DF"/>
    <w:rsid w:val="000D4E08"/>
    <w:rsid w:val="000E5E5B"/>
    <w:rsid w:val="000E7172"/>
    <w:rsid w:val="000F55EB"/>
    <w:rsid w:val="00130C22"/>
    <w:rsid w:val="00155226"/>
    <w:rsid w:val="0016285F"/>
    <w:rsid w:val="00184963"/>
    <w:rsid w:val="001B3D68"/>
    <w:rsid w:val="001C67FB"/>
    <w:rsid w:val="001E5254"/>
    <w:rsid w:val="001F4F0F"/>
    <w:rsid w:val="00207B92"/>
    <w:rsid w:val="002214DE"/>
    <w:rsid w:val="00237F8C"/>
    <w:rsid w:val="00263AC3"/>
    <w:rsid w:val="002664E0"/>
    <w:rsid w:val="00275B81"/>
    <w:rsid w:val="002D5D51"/>
    <w:rsid w:val="00317B82"/>
    <w:rsid w:val="003C0660"/>
    <w:rsid w:val="003E3BAD"/>
    <w:rsid w:val="003E6F87"/>
    <w:rsid w:val="004036E3"/>
    <w:rsid w:val="004274F2"/>
    <w:rsid w:val="004852B1"/>
    <w:rsid w:val="004A2A01"/>
    <w:rsid w:val="004B105D"/>
    <w:rsid w:val="004B58BD"/>
    <w:rsid w:val="004D3DA3"/>
    <w:rsid w:val="00501BF3"/>
    <w:rsid w:val="00532149"/>
    <w:rsid w:val="00542C0B"/>
    <w:rsid w:val="005C4148"/>
    <w:rsid w:val="005D605A"/>
    <w:rsid w:val="005E497B"/>
    <w:rsid w:val="0060781E"/>
    <w:rsid w:val="006465EF"/>
    <w:rsid w:val="006C4B5D"/>
    <w:rsid w:val="006D2F1F"/>
    <w:rsid w:val="006D5A90"/>
    <w:rsid w:val="006D78D8"/>
    <w:rsid w:val="006E148A"/>
    <w:rsid w:val="006F48DE"/>
    <w:rsid w:val="007033DA"/>
    <w:rsid w:val="00746F52"/>
    <w:rsid w:val="00764402"/>
    <w:rsid w:val="007801E0"/>
    <w:rsid w:val="007C0A34"/>
    <w:rsid w:val="007C130D"/>
    <w:rsid w:val="007E1A27"/>
    <w:rsid w:val="007E4195"/>
    <w:rsid w:val="008023F4"/>
    <w:rsid w:val="0084500D"/>
    <w:rsid w:val="008560D5"/>
    <w:rsid w:val="008956AF"/>
    <w:rsid w:val="008C04EC"/>
    <w:rsid w:val="0091333F"/>
    <w:rsid w:val="009221AA"/>
    <w:rsid w:val="00944101"/>
    <w:rsid w:val="0094504D"/>
    <w:rsid w:val="00951119"/>
    <w:rsid w:val="00990D11"/>
    <w:rsid w:val="009A5CEC"/>
    <w:rsid w:val="009C5CF4"/>
    <w:rsid w:val="009C65FD"/>
    <w:rsid w:val="009D506A"/>
    <w:rsid w:val="009F2AD4"/>
    <w:rsid w:val="00A11545"/>
    <w:rsid w:val="00A17BC4"/>
    <w:rsid w:val="00A82DC4"/>
    <w:rsid w:val="00A902EE"/>
    <w:rsid w:val="00AA0B0D"/>
    <w:rsid w:val="00AF04C8"/>
    <w:rsid w:val="00B06719"/>
    <w:rsid w:val="00B12610"/>
    <w:rsid w:val="00B14E26"/>
    <w:rsid w:val="00B3247D"/>
    <w:rsid w:val="00B4096C"/>
    <w:rsid w:val="00B52E67"/>
    <w:rsid w:val="00B81C7B"/>
    <w:rsid w:val="00B829A4"/>
    <w:rsid w:val="00B8429C"/>
    <w:rsid w:val="00BC26D0"/>
    <w:rsid w:val="00C1033A"/>
    <w:rsid w:val="00C43F1E"/>
    <w:rsid w:val="00C61D5B"/>
    <w:rsid w:val="00C75947"/>
    <w:rsid w:val="00C76583"/>
    <w:rsid w:val="00C7769E"/>
    <w:rsid w:val="00D2418D"/>
    <w:rsid w:val="00D45614"/>
    <w:rsid w:val="00D505CF"/>
    <w:rsid w:val="00D617CE"/>
    <w:rsid w:val="00D62D40"/>
    <w:rsid w:val="00D719C6"/>
    <w:rsid w:val="00DD7388"/>
    <w:rsid w:val="00E03D96"/>
    <w:rsid w:val="00E22630"/>
    <w:rsid w:val="00E50480"/>
    <w:rsid w:val="00E603CA"/>
    <w:rsid w:val="00E728B0"/>
    <w:rsid w:val="00E83DEE"/>
    <w:rsid w:val="00ED0972"/>
    <w:rsid w:val="00EE295F"/>
    <w:rsid w:val="00F24A32"/>
    <w:rsid w:val="00F62149"/>
    <w:rsid w:val="00FB5553"/>
    <w:rsid w:val="00FC3F23"/>
    <w:rsid w:val="00FE01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ADEFDD83-4007-42B2-8BCA-A0AD6881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a">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FootnoteText">
    <w:name w:val="footnote text"/>
    <w:basedOn w:val="Normal"/>
    <w:semiHidden/>
    <w:rsid w:val="00542C0B"/>
    <w:rPr>
      <w:sz w:val="20"/>
    </w:rPr>
  </w:style>
  <w:style w:type="character" w:styleId="FootnoteReference">
    <w:name w:val="footnote reference"/>
    <w:semiHidden/>
    <w:rsid w:val="00542C0B"/>
    <w:rPr>
      <w:vertAlign w:val="superscript"/>
    </w:rPr>
  </w:style>
  <w:style w:type="paragraph" w:styleId="BalloonText">
    <w:name w:val="Balloon Text"/>
    <w:basedOn w:val="Normal"/>
    <w:semiHidden/>
    <w:rsid w:val="003E6F87"/>
    <w:rPr>
      <w:rFonts w:ascii="Tahoma" w:hAnsi="Tahoma" w:cs="Tahoma"/>
      <w:sz w:val="16"/>
      <w:szCs w:val="16"/>
    </w:rPr>
  </w:style>
  <w:style w:type="character" w:styleId="CommentReference">
    <w:name w:val="annotation reference"/>
    <w:semiHidden/>
    <w:rsid w:val="00EE295F"/>
    <w:rPr>
      <w:sz w:val="16"/>
      <w:szCs w:val="16"/>
    </w:rPr>
  </w:style>
  <w:style w:type="paragraph" w:styleId="CommentText">
    <w:name w:val="annotation text"/>
    <w:basedOn w:val="Normal"/>
    <w:semiHidden/>
    <w:rsid w:val="00EE295F"/>
    <w:rPr>
      <w:sz w:val="20"/>
    </w:rPr>
  </w:style>
  <w:style w:type="paragraph" w:styleId="CommentSubject">
    <w:name w:val="annotation subject"/>
    <w:basedOn w:val="CommentText"/>
    <w:next w:val="CommentText"/>
    <w:semiHidden/>
    <w:rsid w:val="00EE2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4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9BAE-A14C-4C83-A69E-378B6BA2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14C1C9EA</Template>
  <TotalTime>0</TotalTime>
  <Pages>4</Pages>
  <Words>1179</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2009-07-19T22:54:00Z</cp:lastPrinted>
  <dcterms:created xsi:type="dcterms:W3CDTF">2017-08-08T03:13:00Z</dcterms:created>
  <dcterms:modified xsi:type="dcterms:W3CDTF">2017-08-08T03:13:00Z</dcterms:modified>
</cp:coreProperties>
</file>