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4A61D" w14:textId="1A386BE1" w:rsidR="00C86248" w:rsidRPr="00926083" w:rsidRDefault="00650A90" w:rsidP="00026B8A">
      <w:pPr>
        <w:pStyle w:val="Title"/>
        <w:ind w:right="1134"/>
      </w:pPr>
      <w:r>
        <w:t xml:space="preserve">Cardiovascular Disease Risk Assessment </w:t>
      </w:r>
      <w:r w:rsidR="0077674D">
        <w:br/>
        <w:t xml:space="preserve">Data </w:t>
      </w:r>
      <w:r w:rsidR="00B37385">
        <w:t>Standard</w:t>
      </w:r>
    </w:p>
    <w:p w14:paraId="67959D25" w14:textId="6B2095FE" w:rsidR="00C05132" w:rsidRDefault="004653FC" w:rsidP="00CD4088">
      <w:pPr>
        <w:pStyle w:val="Subhead"/>
      </w:pPr>
      <w:r>
        <w:t>HISO 100</w:t>
      </w:r>
      <w:r w:rsidR="00650A90">
        <w:t>71</w:t>
      </w:r>
      <w:r>
        <w:t>:2019</w:t>
      </w:r>
    </w:p>
    <w:p w14:paraId="71BA82F5" w14:textId="1BA0A93F" w:rsidR="00531E12" w:rsidRPr="00531E12" w:rsidRDefault="0026200E" w:rsidP="00CD4088">
      <w:pPr>
        <w:pStyle w:val="Year"/>
      </w:pPr>
      <w:r>
        <w:t xml:space="preserve">Published </w:t>
      </w:r>
      <w:r w:rsidR="00582048">
        <w:t xml:space="preserve">May </w:t>
      </w:r>
      <w:r>
        <w:t>201</w:t>
      </w:r>
      <w:r w:rsidR="00B37385">
        <w:t>9</w:t>
      </w:r>
    </w:p>
    <w:p w14:paraId="1B3EEE23" w14:textId="77777777" w:rsidR="00C05132" w:rsidRDefault="00C05132" w:rsidP="00A06BE4"/>
    <w:p w14:paraId="58427560" w14:textId="77777777" w:rsidR="00142954" w:rsidRPr="00142954" w:rsidRDefault="00142954" w:rsidP="00142954">
      <w:pPr>
        <w:sectPr w:rsidR="00142954" w:rsidRPr="00142954" w:rsidSect="0045304A">
          <w:headerReference w:type="default" r:id="rId11"/>
          <w:footerReference w:type="default" r:id="rId12"/>
          <w:pgSz w:w="11907" w:h="16834" w:code="9"/>
          <w:pgMar w:top="5670" w:right="1134" w:bottom="1134" w:left="1134" w:header="567" w:footer="851" w:gutter="0"/>
          <w:pgNumType w:start="1"/>
          <w:cols w:space="720"/>
        </w:sectPr>
      </w:pPr>
    </w:p>
    <w:p w14:paraId="089DDAB7" w14:textId="77777777" w:rsidR="009A42D5" w:rsidRPr="00A63DFF" w:rsidRDefault="00E83CCE" w:rsidP="00CD4088">
      <w:pPr>
        <w:spacing w:after="240"/>
        <w:rPr>
          <w:rFonts w:asciiTheme="minorHAnsi" w:hAnsiTheme="minorHAnsi" w:cstheme="minorHAnsi"/>
          <w:b/>
          <w:spacing w:val="10"/>
          <w:sz w:val="36"/>
          <w:szCs w:val="36"/>
        </w:rPr>
      </w:pPr>
      <w:r>
        <w:rPr>
          <w:rFonts w:asciiTheme="minorHAnsi" w:hAnsiTheme="minorHAnsi" w:cstheme="minorHAnsi"/>
          <w:b/>
          <w:spacing w:val="10"/>
          <w:sz w:val="36"/>
          <w:szCs w:val="36"/>
        </w:rPr>
        <w:lastRenderedPageBreak/>
        <w:t>Contributors</w:t>
      </w:r>
    </w:p>
    <w:p w14:paraId="53AB3AF6" w14:textId="0CC2A158" w:rsidR="00650A90" w:rsidRDefault="00650A90" w:rsidP="00650A90">
      <w:pPr>
        <w:pStyle w:val="Imprint"/>
      </w:pPr>
      <w:r>
        <w:t xml:space="preserve">Assoc </w:t>
      </w:r>
      <w:r w:rsidRPr="00650A90">
        <w:t>Prof</w:t>
      </w:r>
      <w:r>
        <w:t xml:space="preserve"> Susan Wells, University of Auckland</w:t>
      </w:r>
    </w:p>
    <w:p w14:paraId="0B9891C1" w14:textId="21B46637" w:rsidR="005C6D25" w:rsidRDefault="00650A90" w:rsidP="005C6D25">
      <w:pPr>
        <w:pStyle w:val="Imprint"/>
      </w:pPr>
      <w:proofErr w:type="gramStart"/>
      <w:r>
        <w:t>Thanks</w:t>
      </w:r>
      <w:proofErr w:type="gramEnd"/>
      <w:r>
        <w:t xml:space="preserve"> and acknowledgements to the contributors to the Ministry of Health</w:t>
      </w:r>
      <w:r w:rsidR="00395E0C">
        <w:t>’</w:t>
      </w:r>
      <w:r>
        <w:t xml:space="preserve">s 2018 </w:t>
      </w:r>
      <w:r w:rsidRPr="00650A90">
        <w:rPr>
          <w:i/>
        </w:rPr>
        <w:t>Cardiovascular Disease Risk Assessment and Management for Primary Care</w:t>
      </w:r>
      <w:r>
        <w:t xml:space="preserve"> publication, which this data standard supports</w:t>
      </w:r>
      <w:r w:rsidR="005C6D25">
        <w:t>: Assoc Prof Gerry Devlin, Dr Paul Drury, Dr Fraser Hamilton, Dr Ben Hudson, Katie Inker, Prof Rod Jackson, Prof Jim Mann, Dr Helen Rodenburg, Prof Tim Stokes, Dr Jim Vause, Assoc Prof Susan Wells, Prof</w:t>
      </w:r>
      <w:r w:rsidR="00954EB0">
        <w:t xml:space="preserve"> Michael Williams</w:t>
      </w:r>
      <w:r w:rsidR="005C6D25">
        <w:t xml:space="preserve"> and Vanessa Young. </w:t>
      </w:r>
    </w:p>
    <w:p w14:paraId="1C7E3003" w14:textId="328FBBC6" w:rsidR="005C6D25" w:rsidRDefault="00DB10A7" w:rsidP="005C6D25">
      <w:pPr>
        <w:pStyle w:val="Imprint"/>
      </w:pPr>
      <w:r>
        <w:t>Vascular Informatics using Epidemiology and the Web (VIEW) r</w:t>
      </w:r>
      <w:r w:rsidR="005C6D25">
        <w:t xml:space="preserve">esearch to develop the equations that underpin the updated approach to cardiovascular risk assessment was funded by </w:t>
      </w:r>
      <w:r>
        <w:t>grants from the Health Research Council of New Zealand</w:t>
      </w:r>
      <w:r w:rsidR="00B07F5D">
        <w:t xml:space="preserve"> (HRC)</w:t>
      </w:r>
      <w:r>
        <w:t xml:space="preserve">, </w:t>
      </w:r>
      <w:r w:rsidR="005C6D25">
        <w:t>The Healthier Lives National Science Challenge, and the Heart Foundation of New Zealand.</w:t>
      </w:r>
    </w:p>
    <w:p w14:paraId="4B19EB7E" w14:textId="41B27F31" w:rsidR="006A5234" w:rsidRPr="006A5234" w:rsidRDefault="006A5234">
      <w:pPr>
        <w:pStyle w:val="Imprint"/>
      </w:pPr>
      <w:r w:rsidRPr="006255C0">
        <w:t xml:space="preserve">Acknowledgements to the HRC-VIEW Research Team, School of Population Health, University of Auckland for the </w:t>
      </w:r>
      <w:r w:rsidR="00B07F5D">
        <w:t xml:space="preserve">algorithms, </w:t>
      </w:r>
      <w:r w:rsidRPr="006255C0">
        <w:t>test cases</w:t>
      </w:r>
      <w:r>
        <w:t xml:space="preserve"> and</w:t>
      </w:r>
      <w:r w:rsidRPr="006255C0">
        <w:t xml:space="preserve"> worked examples.</w:t>
      </w:r>
    </w:p>
    <w:p w14:paraId="0AB02038" w14:textId="475ECDEB" w:rsidR="00A80363" w:rsidRPr="00C05132" w:rsidRDefault="00A80363" w:rsidP="00650A90">
      <w:pPr>
        <w:pStyle w:val="Imprint"/>
        <w:spacing w:before="1200"/>
      </w:pPr>
      <w:r w:rsidRPr="00C05132">
        <w:t xml:space="preserve">Citation: </w:t>
      </w:r>
      <w:r w:rsidR="00442C1C" w:rsidRPr="00C05132">
        <w:t xml:space="preserve">Ministry of Health. </w:t>
      </w:r>
      <w:r w:rsidR="003C15DC">
        <w:t>201</w:t>
      </w:r>
      <w:r w:rsidR="00B37385">
        <w:t>9</w:t>
      </w:r>
      <w:r w:rsidR="00442C1C" w:rsidRPr="00C05132">
        <w:t xml:space="preserve">. </w:t>
      </w:r>
      <w:r w:rsidR="003C15DC">
        <w:rPr>
          <w:i/>
        </w:rPr>
        <w:t>HISO 10</w:t>
      </w:r>
      <w:r w:rsidR="00B37385">
        <w:rPr>
          <w:i/>
        </w:rPr>
        <w:t>0</w:t>
      </w:r>
      <w:r w:rsidR="00650A90">
        <w:rPr>
          <w:i/>
        </w:rPr>
        <w:t>71</w:t>
      </w:r>
      <w:r w:rsidR="00B37385">
        <w:rPr>
          <w:i/>
        </w:rPr>
        <w:t>:2019</w:t>
      </w:r>
      <w:r w:rsidR="003C15DC">
        <w:rPr>
          <w:i/>
        </w:rPr>
        <w:t xml:space="preserve"> </w:t>
      </w:r>
      <w:r w:rsidR="00650A90">
        <w:rPr>
          <w:i/>
        </w:rPr>
        <w:t xml:space="preserve">Cardiovascular Disease Risk Assessment Data </w:t>
      </w:r>
      <w:r w:rsidR="00B37385">
        <w:rPr>
          <w:i/>
        </w:rPr>
        <w:t>Standard</w:t>
      </w:r>
      <w:r w:rsidR="00442C1C" w:rsidRPr="00C05132">
        <w:t>. Wellington: Ministry of Health.</w:t>
      </w:r>
    </w:p>
    <w:p w14:paraId="21D0BAE5" w14:textId="7D44DF45" w:rsidR="00C86248" w:rsidRDefault="00C86248" w:rsidP="00CD4088">
      <w:pPr>
        <w:pStyle w:val="Imprint"/>
      </w:pPr>
      <w:r>
        <w:t xml:space="preserve">Published in </w:t>
      </w:r>
      <w:r w:rsidR="00582048">
        <w:t xml:space="preserve">May </w:t>
      </w:r>
      <w:r w:rsidR="003C15DC">
        <w:t>201</w:t>
      </w:r>
      <w:r w:rsidR="00B37385">
        <w:t>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F9E9FA8" w14:textId="6888C881" w:rsidR="00082CD6" w:rsidRDefault="00D863D0" w:rsidP="003C15DC">
      <w:pPr>
        <w:pStyle w:val="Imprint"/>
      </w:pPr>
      <w:r>
        <w:t>ISBN</w:t>
      </w:r>
      <w:r w:rsidR="00442C1C">
        <w:t xml:space="preserve"> </w:t>
      </w:r>
      <w:r w:rsidR="002C324A" w:rsidRPr="002C324A">
        <w:t>978-1-98-856877-5</w:t>
      </w:r>
      <w:r w:rsidR="003C15DC" w:rsidRPr="003C15DC">
        <w:t xml:space="preserve"> </w:t>
      </w:r>
      <w:r>
        <w:t>(</w:t>
      </w:r>
      <w:r w:rsidR="00442C1C">
        <w:t>online</w:t>
      </w:r>
      <w:r>
        <w:t>)</w:t>
      </w:r>
      <w:r w:rsidR="00082CD6">
        <w:br/>
      </w:r>
      <w:r w:rsidR="00082CD6" w:rsidRPr="009C0F2D">
        <w:t xml:space="preserve">HP </w:t>
      </w:r>
      <w:r w:rsidR="002C324A">
        <w:t>7109</w:t>
      </w:r>
    </w:p>
    <w:p w14:paraId="635FE046" w14:textId="77777777" w:rsidR="00E83CCE" w:rsidRDefault="00E83CCE" w:rsidP="00CD4088">
      <w:pPr>
        <w:pStyle w:val="Imprint"/>
      </w:pPr>
      <w:r>
        <w:t>Health Information Standards Organisation (HISO) standards are published by the Ministry of Health for the New Zealand health and disability sector.</w:t>
      </w:r>
    </w:p>
    <w:p w14:paraId="702BBB03" w14:textId="77777777" w:rsidR="00C86248" w:rsidRDefault="008C64C4" w:rsidP="00CD4088">
      <w:pPr>
        <w:pStyle w:val="Imprint"/>
      </w:pPr>
      <w:r>
        <w:rPr>
          <w:noProof/>
          <w:lang w:eastAsia="en-NZ"/>
        </w:rPr>
        <w:drawing>
          <wp:inline distT="0" distB="0" distL="0" distR="0" wp14:anchorId="2E1E463F" wp14:editId="624D5D1F">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58B25D45" w14:textId="77777777" w:rsidR="00A63DFF" w:rsidRDefault="00A63DFF" w:rsidP="00CD4088">
      <w:pPr>
        <w:pStyle w:val="Imprint"/>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194BC17B" w14:textId="77777777" w:rsidTr="00A63DFF">
        <w:trPr>
          <w:cantSplit/>
        </w:trPr>
        <w:tc>
          <w:tcPr>
            <w:tcW w:w="1526" w:type="dxa"/>
          </w:tcPr>
          <w:p w14:paraId="4DB11195"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0752300B" wp14:editId="7709D1B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CFC6217"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0A4A5D36" w14:textId="77777777" w:rsidR="007E74F1" w:rsidRPr="001F45A7" w:rsidRDefault="007E74F1" w:rsidP="00A63DFF"/>
    <w:p w14:paraId="61E685B4" w14:textId="77777777" w:rsidR="00C86248" w:rsidRDefault="00C86248">
      <w:pPr>
        <w:jc w:val="center"/>
        <w:sectPr w:rsidR="00C86248" w:rsidSect="0045304A">
          <w:footerReference w:type="even" r:id="rId15"/>
          <w:footerReference w:type="default" r:id="rId16"/>
          <w:pgSz w:w="11907" w:h="16834" w:code="9"/>
          <w:pgMar w:top="1701" w:right="2268" w:bottom="1134" w:left="2268" w:header="0" w:footer="0" w:gutter="0"/>
          <w:cols w:space="720"/>
          <w:vAlign w:val="bottom"/>
        </w:sectPr>
      </w:pPr>
    </w:p>
    <w:p w14:paraId="63A44738" w14:textId="77777777" w:rsidR="00C86248" w:rsidRDefault="00C86248" w:rsidP="00025A6F">
      <w:pPr>
        <w:pStyle w:val="IntroHead"/>
      </w:pPr>
      <w:bookmarkStart w:id="0" w:name="_Toc405792991"/>
      <w:bookmarkStart w:id="1" w:name="_Toc405793224"/>
      <w:r>
        <w:lastRenderedPageBreak/>
        <w:t>Contents</w:t>
      </w:r>
      <w:bookmarkEnd w:id="0"/>
      <w:bookmarkEnd w:id="1"/>
    </w:p>
    <w:p w14:paraId="6C2FF0EC" w14:textId="220FF86B" w:rsidR="000F15BB" w:rsidRDefault="002C324A">
      <w:pPr>
        <w:pStyle w:val="TOC1"/>
        <w:rPr>
          <w:rFonts w:asciiTheme="minorHAnsi"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46146730" w:history="1">
        <w:r w:rsidR="000F15BB" w:rsidRPr="00A956C0">
          <w:rPr>
            <w:rStyle w:val="Hyperlink"/>
            <w:noProof/>
          </w:rPr>
          <w:t>1</w:t>
        </w:r>
        <w:r w:rsidR="000F15BB">
          <w:rPr>
            <w:rFonts w:asciiTheme="minorHAnsi" w:hAnsiTheme="minorHAnsi" w:cstheme="minorBidi"/>
            <w:noProof/>
            <w:sz w:val="22"/>
            <w:szCs w:val="22"/>
            <w:lang w:eastAsia="en-NZ"/>
          </w:rPr>
          <w:tab/>
        </w:r>
        <w:r w:rsidR="000F15BB" w:rsidRPr="00A956C0">
          <w:rPr>
            <w:rStyle w:val="Hyperlink"/>
            <w:noProof/>
          </w:rPr>
          <w:t>Introduction</w:t>
        </w:r>
        <w:r w:rsidR="000F15BB">
          <w:rPr>
            <w:noProof/>
            <w:webHidden/>
          </w:rPr>
          <w:tab/>
        </w:r>
        <w:r w:rsidR="000F15BB">
          <w:rPr>
            <w:noProof/>
            <w:webHidden/>
          </w:rPr>
          <w:fldChar w:fldCharType="begin"/>
        </w:r>
        <w:r w:rsidR="000F15BB">
          <w:rPr>
            <w:noProof/>
            <w:webHidden/>
          </w:rPr>
          <w:instrText xml:space="preserve"> PAGEREF _Toc46146730 \h </w:instrText>
        </w:r>
        <w:r w:rsidR="000F15BB">
          <w:rPr>
            <w:noProof/>
            <w:webHidden/>
          </w:rPr>
        </w:r>
        <w:r w:rsidR="000F15BB">
          <w:rPr>
            <w:noProof/>
            <w:webHidden/>
          </w:rPr>
          <w:fldChar w:fldCharType="separate"/>
        </w:r>
        <w:r w:rsidR="00900AF4">
          <w:rPr>
            <w:noProof/>
            <w:webHidden/>
          </w:rPr>
          <w:t>1</w:t>
        </w:r>
        <w:r w:rsidR="000F15BB">
          <w:rPr>
            <w:noProof/>
            <w:webHidden/>
          </w:rPr>
          <w:fldChar w:fldCharType="end"/>
        </w:r>
      </w:hyperlink>
    </w:p>
    <w:p w14:paraId="063A8673" w14:textId="06D88BCC" w:rsidR="000F15BB" w:rsidRDefault="00000000">
      <w:pPr>
        <w:pStyle w:val="TOC2"/>
        <w:tabs>
          <w:tab w:val="left" w:pos="1134"/>
        </w:tabs>
        <w:rPr>
          <w:rFonts w:asciiTheme="minorHAnsi" w:hAnsiTheme="minorHAnsi" w:cstheme="minorBidi"/>
          <w:noProof/>
          <w:szCs w:val="22"/>
          <w:lang w:eastAsia="en-NZ"/>
        </w:rPr>
      </w:pPr>
      <w:hyperlink w:anchor="_Toc46146731" w:history="1">
        <w:r w:rsidR="000F15BB" w:rsidRPr="00A956C0">
          <w:rPr>
            <w:rStyle w:val="Hyperlink"/>
            <w:noProof/>
          </w:rPr>
          <w:t>1.1</w:t>
        </w:r>
        <w:r w:rsidR="000F15BB">
          <w:rPr>
            <w:rFonts w:asciiTheme="minorHAnsi" w:hAnsiTheme="minorHAnsi" w:cstheme="minorBidi"/>
            <w:noProof/>
            <w:szCs w:val="22"/>
            <w:lang w:eastAsia="en-NZ"/>
          </w:rPr>
          <w:tab/>
        </w:r>
        <w:r w:rsidR="000F15BB" w:rsidRPr="00A956C0">
          <w:rPr>
            <w:rStyle w:val="Hyperlink"/>
            <w:noProof/>
          </w:rPr>
          <w:t>Background</w:t>
        </w:r>
        <w:r w:rsidR="000F15BB">
          <w:rPr>
            <w:noProof/>
            <w:webHidden/>
          </w:rPr>
          <w:tab/>
        </w:r>
        <w:r w:rsidR="000F15BB">
          <w:rPr>
            <w:noProof/>
            <w:webHidden/>
          </w:rPr>
          <w:fldChar w:fldCharType="begin"/>
        </w:r>
        <w:r w:rsidR="000F15BB">
          <w:rPr>
            <w:noProof/>
            <w:webHidden/>
          </w:rPr>
          <w:instrText xml:space="preserve"> PAGEREF _Toc46146731 \h </w:instrText>
        </w:r>
        <w:r w:rsidR="000F15BB">
          <w:rPr>
            <w:noProof/>
            <w:webHidden/>
          </w:rPr>
        </w:r>
        <w:r w:rsidR="000F15BB">
          <w:rPr>
            <w:noProof/>
            <w:webHidden/>
          </w:rPr>
          <w:fldChar w:fldCharType="separate"/>
        </w:r>
        <w:r w:rsidR="00900AF4">
          <w:rPr>
            <w:noProof/>
            <w:webHidden/>
          </w:rPr>
          <w:t>1</w:t>
        </w:r>
        <w:r w:rsidR="000F15BB">
          <w:rPr>
            <w:noProof/>
            <w:webHidden/>
          </w:rPr>
          <w:fldChar w:fldCharType="end"/>
        </w:r>
      </w:hyperlink>
    </w:p>
    <w:p w14:paraId="0E448EDF" w14:textId="5C38C395" w:rsidR="000F15BB" w:rsidRDefault="00000000">
      <w:pPr>
        <w:pStyle w:val="TOC2"/>
        <w:tabs>
          <w:tab w:val="left" w:pos="1134"/>
        </w:tabs>
        <w:rPr>
          <w:rFonts w:asciiTheme="minorHAnsi" w:hAnsiTheme="minorHAnsi" w:cstheme="minorBidi"/>
          <w:noProof/>
          <w:szCs w:val="22"/>
          <w:lang w:eastAsia="en-NZ"/>
        </w:rPr>
      </w:pPr>
      <w:hyperlink w:anchor="_Toc46146732" w:history="1">
        <w:r w:rsidR="000F15BB" w:rsidRPr="00A956C0">
          <w:rPr>
            <w:rStyle w:val="Hyperlink"/>
            <w:noProof/>
          </w:rPr>
          <w:t>1.2</w:t>
        </w:r>
        <w:r w:rsidR="000F15BB">
          <w:rPr>
            <w:rFonts w:asciiTheme="minorHAnsi" w:hAnsiTheme="minorHAnsi" w:cstheme="minorBidi"/>
            <w:noProof/>
            <w:szCs w:val="22"/>
            <w:lang w:eastAsia="en-NZ"/>
          </w:rPr>
          <w:tab/>
        </w:r>
        <w:r w:rsidR="000F15BB" w:rsidRPr="00A956C0">
          <w:rPr>
            <w:rStyle w:val="Hyperlink"/>
            <w:noProof/>
          </w:rPr>
          <w:t>Purpose and scope of the data standard</w:t>
        </w:r>
        <w:r w:rsidR="000F15BB">
          <w:rPr>
            <w:noProof/>
            <w:webHidden/>
          </w:rPr>
          <w:tab/>
        </w:r>
        <w:r w:rsidR="000F15BB">
          <w:rPr>
            <w:noProof/>
            <w:webHidden/>
          </w:rPr>
          <w:fldChar w:fldCharType="begin"/>
        </w:r>
        <w:r w:rsidR="000F15BB">
          <w:rPr>
            <w:noProof/>
            <w:webHidden/>
          </w:rPr>
          <w:instrText xml:space="preserve"> PAGEREF _Toc46146732 \h </w:instrText>
        </w:r>
        <w:r w:rsidR="000F15BB">
          <w:rPr>
            <w:noProof/>
            <w:webHidden/>
          </w:rPr>
        </w:r>
        <w:r w:rsidR="000F15BB">
          <w:rPr>
            <w:noProof/>
            <w:webHidden/>
          </w:rPr>
          <w:fldChar w:fldCharType="separate"/>
        </w:r>
        <w:r w:rsidR="00900AF4">
          <w:rPr>
            <w:noProof/>
            <w:webHidden/>
          </w:rPr>
          <w:t>3</w:t>
        </w:r>
        <w:r w:rsidR="000F15BB">
          <w:rPr>
            <w:noProof/>
            <w:webHidden/>
          </w:rPr>
          <w:fldChar w:fldCharType="end"/>
        </w:r>
      </w:hyperlink>
    </w:p>
    <w:p w14:paraId="7729B11D" w14:textId="7E9C7F56" w:rsidR="000F15BB" w:rsidRDefault="00000000">
      <w:pPr>
        <w:pStyle w:val="TOC2"/>
        <w:tabs>
          <w:tab w:val="left" w:pos="1134"/>
        </w:tabs>
        <w:rPr>
          <w:rFonts w:asciiTheme="minorHAnsi" w:hAnsiTheme="minorHAnsi" w:cstheme="minorBidi"/>
          <w:noProof/>
          <w:szCs w:val="22"/>
          <w:lang w:eastAsia="en-NZ"/>
        </w:rPr>
      </w:pPr>
      <w:hyperlink w:anchor="_Toc46146733" w:history="1">
        <w:r w:rsidR="000F15BB" w:rsidRPr="00A956C0">
          <w:rPr>
            <w:rStyle w:val="Hyperlink"/>
            <w:noProof/>
          </w:rPr>
          <w:t>1.3</w:t>
        </w:r>
        <w:r w:rsidR="000F15BB">
          <w:rPr>
            <w:rFonts w:asciiTheme="minorHAnsi" w:hAnsiTheme="minorHAnsi" w:cstheme="minorBidi"/>
            <w:noProof/>
            <w:szCs w:val="22"/>
            <w:lang w:eastAsia="en-NZ"/>
          </w:rPr>
          <w:tab/>
        </w:r>
        <w:r w:rsidR="000F15BB" w:rsidRPr="00A956C0">
          <w:rPr>
            <w:rStyle w:val="Hyperlink"/>
            <w:noProof/>
          </w:rPr>
          <w:t>Revision history</w:t>
        </w:r>
        <w:r w:rsidR="000F15BB">
          <w:rPr>
            <w:noProof/>
            <w:webHidden/>
          </w:rPr>
          <w:tab/>
        </w:r>
        <w:r w:rsidR="000F15BB">
          <w:rPr>
            <w:noProof/>
            <w:webHidden/>
          </w:rPr>
          <w:fldChar w:fldCharType="begin"/>
        </w:r>
        <w:r w:rsidR="000F15BB">
          <w:rPr>
            <w:noProof/>
            <w:webHidden/>
          </w:rPr>
          <w:instrText xml:space="preserve"> PAGEREF _Toc46146733 \h </w:instrText>
        </w:r>
        <w:r w:rsidR="000F15BB">
          <w:rPr>
            <w:noProof/>
            <w:webHidden/>
          </w:rPr>
        </w:r>
        <w:r w:rsidR="000F15BB">
          <w:rPr>
            <w:noProof/>
            <w:webHidden/>
          </w:rPr>
          <w:fldChar w:fldCharType="separate"/>
        </w:r>
        <w:r w:rsidR="00900AF4">
          <w:rPr>
            <w:noProof/>
            <w:webHidden/>
          </w:rPr>
          <w:t>4</w:t>
        </w:r>
        <w:r w:rsidR="000F15BB">
          <w:rPr>
            <w:noProof/>
            <w:webHidden/>
          </w:rPr>
          <w:fldChar w:fldCharType="end"/>
        </w:r>
      </w:hyperlink>
    </w:p>
    <w:p w14:paraId="157C96E8" w14:textId="00D6DE33" w:rsidR="000F15BB" w:rsidRDefault="00000000">
      <w:pPr>
        <w:pStyle w:val="TOC1"/>
        <w:rPr>
          <w:rFonts w:asciiTheme="minorHAnsi" w:hAnsiTheme="minorHAnsi" w:cstheme="minorBidi"/>
          <w:noProof/>
          <w:sz w:val="22"/>
          <w:szCs w:val="22"/>
          <w:lang w:eastAsia="en-NZ"/>
        </w:rPr>
      </w:pPr>
      <w:hyperlink w:anchor="_Toc46146734" w:history="1">
        <w:r w:rsidR="000F15BB" w:rsidRPr="00A956C0">
          <w:rPr>
            <w:rStyle w:val="Hyperlink"/>
            <w:noProof/>
          </w:rPr>
          <w:t>2</w:t>
        </w:r>
        <w:r w:rsidR="000F15BB">
          <w:rPr>
            <w:rFonts w:asciiTheme="minorHAnsi" w:hAnsiTheme="minorHAnsi" w:cstheme="minorBidi"/>
            <w:noProof/>
            <w:sz w:val="22"/>
            <w:szCs w:val="22"/>
            <w:lang w:eastAsia="en-NZ"/>
          </w:rPr>
          <w:tab/>
        </w:r>
        <w:r w:rsidR="000F15BB" w:rsidRPr="00A956C0">
          <w:rPr>
            <w:rStyle w:val="Hyperlink"/>
            <w:noProof/>
          </w:rPr>
          <w:t>Data set specification</w:t>
        </w:r>
        <w:r w:rsidR="000F15BB">
          <w:rPr>
            <w:noProof/>
            <w:webHidden/>
          </w:rPr>
          <w:tab/>
        </w:r>
        <w:r w:rsidR="000F15BB">
          <w:rPr>
            <w:noProof/>
            <w:webHidden/>
          </w:rPr>
          <w:fldChar w:fldCharType="begin"/>
        </w:r>
        <w:r w:rsidR="000F15BB">
          <w:rPr>
            <w:noProof/>
            <w:webHidden/>
          </w:rPr>
          <w:instrText xml:space="preserve"> PAGEREF _Toc46146734 \h </w:instrText>
        </w:r>
        <w:r w:rsidR="000F15BB">
          <w:rPr>
            <w:noProof/>
            <w:webHidden/>
          </w:rPr>
        </w:r>
        <w:r w:rsidR="000F15BB">
          <w:rPr>
            <w:noProof/>
            <w:webHidden/>
          </w:rPr>
          <w:fldChar w:fldCharType="separate"/>
        </w:r>
        <w:r w:rsidR="00900AF4">
          <w:rPr>
            <w:noProof/>
            <w:webHidden/>
          </w:rPr>
          <w:t>5</w:t>
        </w:r>
        <w:r w:rsidR="000F15BB">
          <w:rPr>
            <w:noProof/>
            <w:webHidden/>
          </w:rPr>
          <w:fldChar w:fldCharType="end"/>
        </w:r>
      </w:hyperlink>
    </w:p>
    <w:p w14:paraId="67B5EF03" w14:textId="62F5DFB7" w:rsidR="000F15BB" w:rsidRDefault="00000000">
      <w:pPr>
        <w:pStyle w:val="TOC2"/>
        <w:tabs>
          <w:tab w:val="left" w:pos="1134"/>
        </w:tabs>
        <w:rPr>
          <w:rFonts w:asciiTheme="minorHAnsi" w:hAnsiTheme="minorHAnsi" w:cstheme="minorBidi"/>
          <w:noProof/>
          <w:szCs w:val="22"/>
          <w:lang w:eastAsia="en-NZ"/>
        </w:rPr>
      </w:pPr>
      <w:hyperlink w:anchor="_Toc46146735" w:history="1">
        <w:r w:rsidR="000F15BB" w:rsidRPr="00A956C0">
          <w:rPr>
            <w:rStyle w:val="Hyperlink"/>
            <w:noProof/>
          </w:rPr>
          <w:t>2.1</w:t>
        </w:r>
        <w:r w:rsidR="000F15BB">
          <w:rPr>
            <w:rFonts w:asciiTheme="minorHAnsi" w:hAnsiTheme="minorHAnsi" w:cstheme="minorBidi"/>
            <w:noProof/>
            <w:szCs w:val="22"/>
            <w:lang w:eastAsia="en-NZ"/>
          </w:rPr>
          <w:tab/>
        </w:r>
        <w:r w:rsidR="000F15BB" w:rsidRPr="00A956C0">
          <w:rPr>
            <w:rStyle w:val="Hyperlink"/>
            <w:noProof/>
          </w:rPr>
          <w:t>Personal demographics</w:t>
        </w:r>
        <w:r w:rsidR="000F15BB">
          <w:rPr>
            <w:noProof/>
            <w:webHidden/>
          </w:rPr>
          <w:tab/>
        </w:r>
        <w:r w:rsidR="000F15BB">
          <w:rPr>
            <w:noProof/>
            <w:webHidden/>
          </w:rPr>
          <w:fldChar w:fldCharType="begin"/>
        </w:r>
        <w:r w:rsidR="000F15BB">
          <w:rPr>
            <w:noProof/>
            <w:webHidden/>
          </w:rPr>
          <w:instrText xml:space="preserve"> PAGEREF _Toc46146735 \h </w:instrText>
        </w:r>
        <w:r w:rsidR="000F15BB">
          <w:rPr>
            <w:noProof/>
            <w:webHidden/>
          </w:rPr>
        </w:r>
        <w:r w:rsidR="000F15BB">
          <w:rPr>
            <w:noProof/>
            <w:webHidden/>
          </w:rPr>
          <w:fldChar w:fldCharType="separate"/>
        </w:r>
        <w:r w:rsidR="00900AF4">
          <w:rPr>
            <w:noProof/>
            <w:webHidden/>
          </w:rPr>
          <w:t>6</w:t>
        </w:r>
        <w:r w:rsidR="000F15BB">
          <w:rPr>
            <w:noProof/>
            <w:webHidden/>
          </w:rPr>
          <w:fldChar w:fldCharType="end"/>
        </w:r>
      </w:hyperlink>
    </w:p>
    <w:p w14:paraId="499F30CA" w14:textId="10BBB333" w:rsidR="000F15BB" w:rsidRDefault="00000000">
      <w:pPr>
        <w:pStyle w:val="TOC2"/>
        <w:tabs>
          <w:tab w:val="left" w:pos="1134"/>
        </w:tabs>
        <w:rPr>
          <w:rFonts w:asciiTheme="minorHAnsi" w:hAnsiTheme="minorHAnsi" w:cstheme="minorBidi"/>
          <w:noProof/>
          <w:szCs w:val="22"/>
          <w:lang w:eastAsia="en-NZ"/>
        </w:rPr>
      </w:pPr>
      <w:hyperlink w:anchor="_Toc46146736" w:history="1">
        <w:r w:rsidR="000F15BB" w:rsidRPr="00A956C0">
          <w:rPr>
            <w:rStyle w:val="Hyperlink"/>
            <w:noProof/>
          </w:rPr>
          <w:t>2.2</w:t>
        </w:r>
        <w:r w:rsidR="000F15BB">
          <w:rPr>
            <w:rFonts w:asciiTheme="minorHAnsi" w:hAnsiTheme="minorHAnsi" w:cstheme="minorBidi"/>
            <w:noProof/>
            <w:szCs w:val="22"/>
            <w:lang w:eastAsia="en-NZ"/>
          </w:rPr>
          <w:tab/>
        </w:r>
        <w:r w:rsidR="000F15BB" w:rsidRPr="00A956C0">
          <w:rPr>
            <w:rStyle w:val="Hyperlink"/>
            <w:noProof/>
          </w:rPr>
          <w:t>Prior CVD and other exclusion criteria</w:t>
        </w:r>
        <w:r w:rsidR="000F15BB">
          <w:rPr>
            <w:noProof/>
            <w:webHidden/>
          </w:rPr>
          <w:tab/>
        </w:r>
        <w:r w:rsidR="000F15BB">
          <w:rPr>
            <w:noProof/>
            <w:webHidden/>
          </w:rPr>
          <w:fldChar w:fldCharType="begin"/>
        </w:r>
        <w:r w:rsidR="000F15BB">
          <w:rPr>
            <w:noProof/>
            <w:webHidden/>
          </w:rPr>
          <w:instrText xml:space="preserve"> PAGEREF _Toc46146736 \h </w:instrText>
        </w:r>
        <w:r w:rsidR="000F15BB">
          <w:rPr>
            <w:noProof/>
            <w:webHidden/>
          </w:rPr>
        </w:r>
        <w:r w:rsidR="000F15BB">
          <w:rPr>
            <w:noProof/>
            <w:webHidden/>
          </w:rPr>
          <w:fldChar w:fldCharType="separate"/>
        </w:r>
        <w:r w:rsidR="00900AF4">
          <w:rPr>
            <w:noProof/>
            <w:webHidden/>
          </w:rPr>
          <w:t>9</w:t>
        </w:r>
        <w:r w:rsidR="000F15BB">
          <w:rPr>
            <w:noProof/>
            <w:webHidden/>
          </w:rPr>
          <w:fldChar w:fldCharType="end"/>
        </w:r>
      </w:hyperlink>
    </w:p>
    <w:p w14:paraId="7B1F8208" w14:textId="3C46612C" w:rsidR="000F15BB" w:rsidRDefault="00000000">
      <w:pPr>
        <w:pStyle w:val="TOC2"/>
        <w:tabs>
          <w:tab w:val="left" w:pos="1134"/>
        </w:tabs>
        <w:rPr>
          <w:rFonts w:asciiTheme="minorHAnsi" w:hAnsiTheme="minorHAnsi" w:cstheme="minorBidi"/>
          <w:noProof/>
          <w:szCs w:val="22"/>
          <w:lang w:eastAsia="en-NZ"/>
        </w:rPr>
      </w:pPr>
      <w:hyperlink w:anchor="_Toc46146737" w:history="1">
        <w:r w:rsidR="000F15BB" w:rsidRPr="00A956C0">
          <w:rPr>
            <w:rStyle w:val="Hyperlink"/>
            <w:noProof/>
          </w:rPr>
          <w:t>2.3</w:t>
        </w:r>
        <w:r w:rsidR="000F15BB">
          <w:rPr>
            <w:rFonts w:asciiTheme="minorHAnsi" w:hAnsiTheme="minorHAnsi" w:cstheme="minorBidi"/>
            <w:noProof/>
            <w:szCs w:val="22"/>
            <w:lang w:eastAsia="en-NZ"/>
          </w:rPr>
          <w:tab/>
        </w:r>
        <w:r w:rsidR="000F15BB" w:rsidRPr="00A956C0">
          <w:rPr>
            <w:rStyle w:val="Hyperlink"/>
            <w:noProof/>
          </w:rPr>
          <w:t>Clinical history</w:t>
        </w:r>
        <w:r w:rsidR="000F15BB">
          <w:rPr>
            <w:noProof/>
            <w:webHidden/>
          </w:rPr>
          <w:tab/>
        </w:r>
        <w:r w:rsidR="000F15BB">
          <w:rPr>
            <w:noProof/>
            <w:webHidden/>
          </w:rPr>
          <w:fldChar w:fldCharType="begin"/>
        </w:r>
        <w:r w:rsidR="000F15BB">
          <w:rPr>
            <w:noProof/>
            <w:webHidden/>
          </w:rPr>
          <w:instrText xml:space="preserve"> PAGEREF _Toc46146737 \h </w:instrText>
        </w:r>
        <w:r w:rsidR="000F15BB">
          <w:rPr>
            <w:noProof/>
            <w:webHidden/>
          </w:rPr>
        </w:r>
        <w:r w:rsidR="000F15BB">
          <w:rPr>
            <w:noProof/>
            <w:webHidden/>
          </w:rPr>
          <w:fldChar w:fldCharType="separate"/>
        </w:r>
        <w:r w:rsidR="00900AF4">
          <w:rPr>
            <w:noProof/>
            <w:webHidden/>
          </w:rPr>
          <w:t>11</w:t>
        </w:r>
        <w:r w:rsidR="000F15BB">
          <w:rPr>
            <w:noProof/>
            <w:webHidden/>
          </w:rPr>
          <w:fldChar w:fldCharType="end"/>
        </w:r>
      </w:hyperlink>
    </w:p>
    <w:p w14:paraId="02CC6625" w14:textId="7907872B" w:rsidR="000F15BB" w:rsidRDefault="00000000">
      <w:pPr>
        <w:pStyle w:val="TOC2"/>
        <w:tabs>
          <w:tab w:val="left" w:pos="1134"/>
        </w:tabs>
        <w:rPr>
          <w:rFonts w:asciiTheme="minorHAnsi" w:hAnsiTheme="minorHAnsi" w:cstheme="minorBidi"/>
          <w:noProof/>
          <w:szCs w:val="22"/>
          <w:lang w:eastAsia="en-NZ"/>
        </w:rPr>
      </w:pPr>
      <w:hyperlink w:anchor="_Toc46146738" w:history="1">
        <w:r w:rsidR="000F15BB" w:rsidRPr="00A956C0">
          <w:rPr>
            <w:rStyle w:val="Hyperlink"/>
            <w:noProof/>
          </w:rPr>
          <w:t>2.4</w:t>
        </w:r>
        <w:r w:rsidR="000F15BB">
          <w:rPr>
            <w:rFonts w:asciiTheme="minorHAnsi" w:hAnsiTheme="minorHAnsi" w:cstheme="minorBidi"/>
            <w:noProof/>
            <w:szCs w:val="22"/>
            <w:lang w:eastAsia="en-NZ"/>
          </w:rPr>
          <w:tab/>
        </w:r>
        <w:r w:rsidR="000F15BB" w:rsidRPr="00A956C0">
          <w:rPr>
            <w:rStyle w:val="Hyperlink"/>
            <w:noProof/>
          </w:rPr>
          <w:t>Self-reported history</w:t>
        </w:r>
        <w:r w:rsidR="000F15BB">
          <w:rPr>
            <w:noProof/>
            <w:webHidden/>
          </w:rPr>
          <w:tab/>
        </w:r>
        <w:r w:rsidR="000F15BB">
          <w:rPr>
            <w:noProof/>
            <w:webHidden/>
          </w:rPr>
          <w:fldChar w:fldCharType="begin"/>
        </w:r>
        <w:r w:rsidR="000F15BB">
          <w:rPr>
            <w:noProof/>
            <w:webHidden/>
          </w:rPr>
          <w:instrText xml:space="preserve"> PAGEREF _Toc46146738 \h </w:instrText>
        </w:r>
        <w:r w:rsidR="000F15BB">
          <w:rPr>
            <w:noProof/>
            <w:webHidden/>
          </w:rPr>
        </w:r>
        <w:r w:rsidR="000F15BB">
          <w:rPr>
            <w:noProof/>
            <w:webHidden/>
          </w:rPr>
          <w:fldChar w:fldCharType="separate"/>
        </w:r>
        <w:r w:rsidR="00900AF4">
          <w:rPr>
            <w:noProof/>
            <w:webHidden/>
          </w:rPr>
          <w:t>12</w:t>
        </w:r>
        <w:r w:rsidR="000F15BB">
          <w:rPr>
            <w:noProof/>
            <w:webHidden/>
          </w:rPr>
          <w:fldChar w:fldCharType="end"/>
        </w:r>
      </w:hyperlink>
    </w:p>
    <w:p w14:paraId="76774905" w14:textId="2428EA4C" w:rsidR="000F15BB" w:rsidRDefault="00000000">
      <w:pPr>
        <w:pStyle w:val="TOC2"/>
        <w:tabs>
          <w:tab w:val="left" w:pos="1134"/>
        </w:tabs>
        <w:rPr>
          <w:rFonts w:asciiTheme="minorHAnsi" w:hAnsiTheme="minorHAnsi" w:cstheme="minorBidi"/>
          <w:noProof/>
          <w:szCs w:val="22"/>
          <w:lang w:eastAsia="en-NZ"/>
        </w:rPr>
      </w:pPr>
      <w:hyperlink w:anchor="_Toc46146739" w:history="1">
        <w:r w:rsidR="000F15BB" w:rsidRPr="00A956C0">
          <w:rPr>
            <w:rStyle w:val="Hyperlink"/>
            <w:noProof/>
          </w:rPr>
          <w:t>2.5</w:t>
        </w:r>
        <w:r w:rsidR="000F15BB">
          <w:rPr>
            <w:rFonts w:asciiTheme="minorHAnsi" w:hAnsiTheme="minorHAnsi" w:cstheme="minorBidi"/>
            <w:noProof/>
            <w:szCs w:val="22"/>
            <w:lang w:eastAsia="en-NZ"/>
          </w:rPr>
          <w:tab/>
        </w:r>
        <w:r w:rsidR="000F15BB" w:rsidRPr="00A956C0">
          <w:rPr>
            <w:rStyle w:val="Hyperlink"/>
            <w:noProof/>
          </w:rPr>
          <w:t>Measured risk factors</w:t>
        </w:r>
        <w:r w:rsidR="000F15BB">
          <w:rPr>
            <w:noProof/>
            <w:webHidden/>
          </w:rPr>
          <w:tab/>
        </w:r>
        <w:r w:rsidR="000F15BB">
          <w:rPr>
            <w:noProof/>
            <w:webHidden/>
          </w:rPr>
          <w:fldChar w:fldCharType="begin"/>
        </w:r>
        <w:r w:rsidR="000F15BB">
          <w:rPr>
            <w:noProof/>
            <w:webHidden/>
          </w:rPr>
          <w:instrText xml:space="preserve"> PAGEREF _Toc46146739 \h </w:instrText>
        </w:r>
        <w:r w:rsidR="000F15BB">
          <w:rPr>
            <w:noProof/>
            <w:webHidden/>
          </w:rPr>
        </w:r>
        <w:r w:rsidR="000F15BB">
          <w:rPr>
            <w:noProof/>
            <w:webHidden/>
          </w:rPr>
          <w:fldChar w:fldCharType="separate"/>
        </w:r>
        <w:r w:rsidR="00900AF4">
          <w:rPr>
            <w:noProof/>
            <w:webHidden/>
          </w:rPr>
          <w:t>13</w:t>
        </w:r>
        <w:r w:rsidR="000F15BB">
          <w:rPr>
            <w:noProof/>
            <w:webHidden/>
          </w:rPr>
          <w:fldChar w:fldCharType="end"/>
        </w:r>
      </w:hyperlink>
    </w:p>
    <w:p w14:paraId="59392BC5" w14:textId="35DCCA00" w:rsidR="000F15BB" w:rsidRDefault="00000000">
      <w:pPr>
        <w:pStyle w:val="TOC2"/>
        <w:tabs>
          <w:tab w:val="left" w:pos="1134"/>
        </w:tabs>
        <w:rPr>
          <w:rFonts w:asciiTheme="minorHAnsi" w:hAnsiTheme="minorHAnsi" w:cstheme="minorBidi"/>
          <w:noProof/>
          <w:szCs w:val="22"/>
          <w:lang w:eastAsia="en-NZ"/>
        </w:rPr>
      </w:pPr>
      <w:hyperlink w:anchor="_Toc46146740" w:history="1">
        <w:r w:rsidR="000F15BB" w:rsidRPr="00A956C0">
          <w:rPr>
            <w:rStyle w:val="Hyperlink"/>
            <w:noProof/>
          </w:rPr>
          <w:t>2.6</w:t>
        </w:r>
        <w:r w:rsidR="000F15BB">
          <w:rPr>
            <w:rFonts w:asciiTheme="minorHAnsi" w:hAnsiTheme="minorHAnsi" w:cstheme="minorBidi"/>
            <w:noProof/>
            <w:szCs w:val="22"/>
            <w:lang w:eastAsia="en-NZ"/>
          </w:rPr>
          <w:tab/>
        </w:r>
        <w:r w:rsidR="000F15BB" w:rsidRPr="00A956C0">
          <w:rPr>
            <w:rStyle w:val="Hyperlink"/>
            <w:noProof/>
          </w:rPr>
          <w:t>Medications</w:t>
        </w:r>
        <w:r w:rsidR="000F15BB">
          <w:rPr>
            <w:noProof/>
            <w:webHidden/>
          </w:rPr>
          <w:tab/>
        </w:r>
        <w:r w:rsidR="000F15BB">
          <w:rPr>
            <w:noProof/>
            <w:webHidden/>
          </w:rPr>
          <w:fldChar w:fldCharType="begin"/>
        </w:r>
        <w:r w:rsidR="000F15BB">
          <w:rPr>
            <w:noProof/>
            <w:webHidden/>
          </w:rPr>
          <w:instrText xml:space="preserve"> PAGEREF _Toc46146740 \h </w:instrText>
        </w:r>
        <w:r w:rsidR="000F15BB">
          <w:rPr>
            <w:noProof/>
            <w:webHidden/>
          </w:rPr>
        </w:r>
        <w:r w:rsidR="000F15BB">
          <w:rPr>
            <w:noProof/>
            <w:webHidden/>
          </w:rPr>
          <w:fldChar w:fldCharType="separate"/>
        </w:r>
        <w:r w:rsidR="00900AF4">
          <w:rPr>
            <w:noProof/>
            <w:webHidden/>
          </w:rPr>
          <w:t>19</w:t>
        </w:r>
        <w:r w:rsidR="000F15BB">
          <w:rPr>
            <w:noProof/>
            <w:webHidden/>
          </w:rPr>
          <w:fldChar w:fldCharType="end"/>
        </w:r>
      </w:hyperlink>
    </w:p>
    <w:p w14:paraId="01510527" w14:textId="5756E69D" w:rsidR="000F15BB" w:rsidRDefault="00000000">
      <w:pPr>
        <w:pStyle w:val="TOC1"/>
        <w:rPr>
          <w:rFonts w:asciiTheme="minorHAnsi" w:hAnsiTheme="minorHAnsi" w:cstheme="minorBidi"/>
          <w:noProof/>
          <w:sz w:val="22"/>
          <w:szCs w:val="22"/>
          <w:lang w:eastAsia="en-NZ"/>
        </w:rPr>
      </w:pPr>
      <w:hyperlink w:anchor="_Toc46146743" w:history="1">
        <w:r w:rsidR="000F15BB" w:rsidRPr="00A956C0">
          <w:rPr>
            <w:rStyle w:val="Hyperlink"/>
            <w:noProof/>
          </w:rPr>
          <w:t>3</w:t>
        </w:r>
        <w:r w:rsidR="000F15BB">
          <w:rPr>
            <w:rFonts w:asciiTheme="minorHAnsi" w:hAnsiTheme="minorHAnsi" w:cstheme="minorBidi"/>
            <w:noProof/>
            <w:sz w:val="22"/>
            <w:szCs w:val="22"/>
            <w:lang w:eastAsia="en-NZ"/>
          </w:rPr>
          <w:tab/>
        </w:r>
        <w:r w:rsidR="000F15BB" w:rsidRPr="00A956C0">
          <w:rPr>
            <w:rStyle w:val="Hyperlink"/>
            <w:noProof/>
          </w:rPr>
          <w:t>Primary prevention equations</w:t>
        </w:r>
        <w:r w:rsidR="000F15BB">
          <w:rPr>
            <w:noProof/>
            <w:webHidden/>
          </w:rPr>
          <w:tab/>
        </w:r>
        <w:r w:rsidR="000F15BB">
          <w:rPr>
            <w:noProof/>
            <w:webHidden/>
          </w:rPr>
          <w:fldChar w:fldCharType="begin"/>
        </w:r>
        <w:r w:rsidR="000F15BB">
          <w:rPr>
            <w:noProof/>
            <w:webHidden/>
          </w:rPr>
          <w:instrText xml:space="preserve"> PAGEREF _Toc46146743 \h </w:instrText>
        </w:r>
        <w:r w:rsidR="000F15BB">
          <w:rPr>
            <w:noProof/>
            <w:webHidden/>
          </w:rPr>
        </w:r>
        <w:r w:rsidR="000F15BB">
          <w:rPr>
            <w:noProof/>
            <w:webHidden/>
          </w:rPr>
          <w:fldChar w:fldCharType="separate"/>
        </w:r>
        <w:r w:rsidR="00900AF4">
          <w:rPr>
            <w:noProof/>
            <w:webHidden/>
          </w:rPr>
          <w:t>25</w:t>
        </w:r>
        <w:r w:rsidR="000F15BB">
          <w:rPr>
            <w:noProof/>
            <w:webHidden/>
          </w:rPr>
          <w:fldChar w:fldCharType="end"/>
        </w:r>
      </w:hyperlink>
    </w:p>
    <w:p w14:paraId="1C3F61D1" w14:textId="3576B8FA" w:rsidR="000F15BB" w:rsidRDefault="00000000">
      <w:pPr>
        <w:pStyle w:val="TOC2"/>
        <w:tabs>
          <w:tab w:val="left" w:pos="1134"/>
        </w:tabs>
        <w:rPr>
          <w:rFonts w:asciiTheme="minorHAnsi" w:hAnsiTheme="minorHAnsi" w:cstheme="minorBidi"/>
          <w:noProof/>
          <w:szCs w:val="22"/>
          <w:lang w:eastAsia="en-NZ"/>
        </w:rPr>
      </w:pPr>
      <w:hyperlink w:anchor="_Toc46146746" w:history="1">
        <w:r w:rsidR="000F15BB" w:rsidRPr="00A956C0">
          <w:rPr>
            <w:rStyle w:val="Hyperlink"/>
            <w:noProof/>
          </w:rPr>
          <w:t>3.1</w:t>
        </w:r>
        <w:r w:rsidR="000F15BB">
          <w:rPr>
            <w:rFonts w:asciiTheme="minorHAnsi" w:hAnsiTheme="minorHAnsi" w:cstheme="minorBidi"/>
            <w:noProof/>
            <w:szCs w:val="22"/>
            <w:lang w:eastAsia="en-NZ"/>
          </w:rPr>
          <w:tab/>
        </w:r>
        <w:r w:rsidR="000F15BB" w:rsidRPr="00A956C0">
          <w:rPr>
            <w:rStyle w:val="Hyperlink"/>
            <w:noProof/>
          </w:rPr>
          <w:t>PREDICT CVD v.2019 primary prevention equation for women (30–74 years)</w:t>
        </w:r>
        <w:r w:rsidR="000F15BB">
          <w:rPr>
            <w:noProof/>
            <w:webHidden/>
          </w:rPr>
          <w:tab/>
        </w:r>
        <w:r w:rsidR="000F15BB">
          <w:rPr>
            <w:noProof/>
            <w:webHidden/>
          </w:rPr>
          <w:fldChar w:fldCharType="begin"/>
        </w:r>
        <w:r w:rsidR="000F15BB">
          <w:rPr>
            <w:noProof/>
            <w:webHidden/>
          </w:rPr>
          <w:instrText xml:space="preserve"> PAGEREF _Toc46146746 \h </w:instrText>
        </w:r>
        <w:r w:rsidR="000F15BB">
          <w:rPr>
            <w:noProof/>
            <w:webHidden/>
          </w:rPr>
        </w:r>
        <w:r w:rsidR="000F15BB">
          <w:rPr>
            <w:noProof/>
            <w:webHidden/>
          </w:rPr>
          <w:fldChar w:fldCharType="separate"/>
        </w:r>
        <w:r w:rsidR="00900AF4">
          <w:rPr>
            <w:noProof/>
            <w:webHidden/>
          </w:rPr>
          <w:t>27</w:t>
        </w:r>
        <w:r w:rsidR="000F15BB">
          <w:rPr>
            <w:noProof/>
            <w:webHidden/>
          </w:rPr>
          <w:fldChar w:fldCharType="end"/>
        </w:r>
      </w:hyperlink>
    </w:p>
    <w:p w14:paraId="46984EB1" w14:textId="589B9843" w:rsidR="000F15BB" w:rsidRDefault="00000000">
      <w:pPr>
        <w:pStyle w:val="TOC2"/>
        <w:tabs>
          <w:tab w:val="left" w:pos="1134"/>
        </w:tabs>
        <w:rPr>
          <w:rFonts w:asciiTheme="minorHAnsi" w:hAnsiTheme="minorHAnsi" w:cstheme="minorBidi"/>
          <w:noProof/>
          <w:szCs w:val="22"/>
          <w:lang w:eastAsia="en-NZ"/>
        </w:rPr>
      </w:pPr>
      <w:hyperlink w:anchor="_Toc46146748" w:history="1">
        <w:r w:rsidR="000F15BB" w:rsidRPr="00A956C0">
          <w:rPr>
            <w:rStyle w:val="Hyperlink"/>
            <w:noProof/>
          </w:rPr>
          <w:t>3.2</w:t>
        </w:r>
        <w:r w:rsidR="000F15BB">
          <w:rPr>
            <w:rFonts w:asciiTheme="minorHAnsi" w:hAnsiTheme="minorHAnsi" w:cstheme="minorBidi"/>
            <w:noProof/>
            <w:szCs w:val="22"/>
            <w:lang w:eastAsia="en-NZ"/>
          </w:rPr>
          <w:tab/>
        </w:r>
        <w:r w:rsidR="000F15BB" w:rsidRPr="00A956C0">
          <w:rPr>
            <w:rStyle w:val="Hyperlink"/>
            <w:noProof/>
          </w:rPr>
          <w:t>PREDICT CVD v.2019 primary prevention equation for men (30–74 years)</w:t>
        </w:r>
        <w:r w:rsidR="000F15BB">
          <w:rPr>
            <w:noProof/>
            <w:webHidden/>
          </w:rPr>
          <w:tab/>
        </w:r>
        <w:r w:rsidR="000F15BB">
          <w:rPr>
            <w:noProof/>
            <w:webHidden/>
          </w:rPr>
          <w:fldChar w:fldCharType="begin"/>
        </w:r>
        <w:r w:rsidR="000F15BB">
          <w:rPr>
            <w:noProof/>
            <w:webHidden/>
          </w:rPr>
          <w:instrText xml:space="preserve"> PAGEREF _Toc46146748 \h </w:instrText>
        </w:r>
        <w:r w:rsidR="000F15BB">
          <w:rPr>
            <w:noProof/>
            <w:webHidden/>
          </w:rPr>
        </w:r>
        <w:r w:rsidR="000F15BB">
          <w:rPr>
            <w:noProof/>
            <w:webHidden/>
          </w:rPr>
          <w:fldChar w:fldCharType="separate"/>
        </w:r>
        <w:r w:rsidR="00900AF4">
          <w:rPr>
            <w:noProof/>
            <w:webHidden/>
          </w:rPr>
          <w:t>28</w:t>
        </w:r>
        <w:r w:rsidR="000F15BB">
          <w:rPr>
            <w:noProof/>
            <w:webHidden/>
          </w:rPr>
          <w:fldChar w:fldCharType="end"/>
        </w:r>
      </w:hyperlink>
    </w:p>
    <w:p w14:paraId="5C0FB161" w14:textId="30DB6B2E" w:rsidR="000F15BB" w:rsidRDefault="00000000">
      <w:pPr>
        <w:pStyle w:val="TOC2"/>
        <w:tabs>
          <w:tab w:val="left" w:pos="1134"/>
        </w:tabs>
        <w:rPr>
          <w:rFonts w:asciiTheme="minorHAnsi" w:hAnsiTheme="minorHAnsi" w:cstheme="minorBidi"/>
          <w:noProof/>
          <w:szCs w:val="22"/>
          <w:lang w:eastAsia="en-NZ"/>
        </w:rPr>
      </w:pPr>
      <w:hyperlink w:anchor="_Toc46146750" w:history="1">
        <w:r w:rsidR="000F15BB" w:rsidRPr="00A956C0">
          <w:rPr>
            <w:rStyle w:val="Hyperlink"/>
            <w:noProof/>
          </w:rPr>
          <w:t>3.3</w:t>
        </w:r>
        <w:r w:rsidR="000F15BB">
          <w:rPr>
            <w:rFonts w:asciiTheme="minorHAnsi" w:hAnsiTheme="minorHAnsi" w:cstheme="minorBidi"/>
            <w:noProof/>
            <w:szCs w:val="22"/>
            <w:lang w:eastAsia="en-NZ"/>
          </w:rPr>
          <w:tab/>
        </w:r>
        <w:r w:rsidR="000F15BB" w:rsidRPr="00A956C0">
          <w:rPr>
            <w:rStyle w:val="Hyperlink"/>
            <w:noProof/>
          </w:rPr>
          <w:t>PREDICT CVD v.2019 primary prevention equation for women with diabetes (30–74 years)</w:t>
        </w:r>
        <w:r w:rsidR="000F15BB">
          <w:rPr>
            <w:noProof/>
            <w:webHidden/>
          </w:rPr>
          <w:tab/>
        </w:r>
        <w:r w:rsidR="000F15BB">
          <w:rPr>
            <w:noProof/>
            <w:webHidden/>
          </w:rPr>
          <w:fldChar w:fldCharType="begin"/>
        </w:r>
        <w:r w:rsidR="000F15BB">
          <w:rPr>
            <w:noProof/>
            <w:webHidden/>
          </w:rPr>
          <w:instrText xml:space="preserve"> PAGEREF _Toc46146750 \h </w:instrText>
        </w:r>
        <w:r w:rsidR="000F15BB">
          <w:rPr>
            <w:noProof/>
            <w:webHidden/>
          </w:rPr>
        </w:r>
        <w:r w:rsidR="000F15BB">
          <w:rPr>
            <w:noProof/>
            <w:webHidden/>
          </w:rPr>
          <w:fldChar w:fldCharType="separate"/>
        </w:r>
        <w:r w:rsidR="00900AF4">
          <w:rPr>
            <w:noProof/>
            <w:webHidden/>
          </w:rPr>
          <w:t>29</w:t>
        </w:r>
        <w:r w:rsidR="000F15BB">
          <w:rPr>
            <w:noProof/>
            <w:webHidden/>
          </w:rPr>
          <w:fldChar w:fldCharType="end"/>
        </w:r>
      </w:hyperlink>
    </w:p>
    <w:p w14:paraId="6114CCEC" w14:textId="0AB76AB7" w:rsidR="000F15BB" w:rsidRDefault="00000000">
      <w:pPr>
        <w:pStyle w:val="TOC2"/>
        <w:tabs>
          <w:tab w:val="left" w:pos="1134"/>
        </w:tabs>
        <w:rPr>
          <w:rFonts w:asciiTheme="minorHAnsi" w:hAnsiTheme="minorHAnsi" w:cstheme="minorBidi"/>
          <w:noProof/>
          <w:szCs w:val="22"/>
          <w:lang w:eastAsia="en-NZ"/>
        </w:rPr>
      </w:pPr>
      <w:hyperlink w:anchor="_Toc46146753" w:history="1">
        <w:r w:rsidR="000F15BB" w:rsidRPr="00A956C0">
          <w:rPr>
            <w:rStyle w:val="Hyperlink"/>
            <w:noProof/>
          </w:rPr>
          <w:t>3.4</w:t>
        </w:r>
        <w:r w:rsidR="000F15BB">
          <w:rPr>
            <w:rFonts w:asciiTheme="minorHAnsi" w:hAnsiTheme="minorHAnsi" w:cstheme="minorBidi"/>
            <w:noProof/>
            <w:szCs w:val="22"/>
            <w:lang w:eastAsia="en-NZ"/>
          </w:rPr>
          <w:tab/>
        </w:r>
        <w:r w:rsidR="000F15BB" w:rsidRPr="00A956C0">
          <w:rPr>
            <w:rStyle w:val="Hyperlink"/>
            <w:noProof/>
          </w:rPr>
          <w:t>PREDICT CVD v.2019 primary prevention equation for men with diabetes (30–74 years)</w:t>
        </w:r>
        <w:r w:rsidR="000F15BB">
          <w:rPr>
            <w:noProof/>
            <w:webHidden/>
          </w:rPr>
          <w:tab/>
        </w:r>
        <w:r w:rsidR="000F15BB">
          <w:rPr>
            <w:noProof/>
            <w:webHidden/>
          </w:rPr>
          <w:fldChar w:fldCharType="begin"/>
        </w:r>
        <w:r w:rsidR="000F15BB">
          <w:rPr>
            <w:noProof/>
            <w:webHidden/>
          </w:rPr>
          <w:instrText xml:space="preserve"> PAGEREF _Toc46146753 \h </w:instrText>
        </w:r>
        <w:r w:rsidR="000F15BB">
          <w:rPr>
            <w:noProof/>
            <w:webHidden/>
          </w:rPr>
        </w:r>
        <w:r w:rsidR="000F15BB">
          <w:rPr>
            <w:noProof/>
            <w:webHidden/>
          </w:rPr>
          <w:fldChar w:fldCharType="separate"/>
        </w:r>
        <w:r w:rsidR="00900AF4">
          <w:rPr>
            <w:noProof/>
            <w:webHidden/>
          </w:rPr>
          <w:t>30</w:t>
        </w:r>
        <w:r w:rsidR="000F15BB">
          <w:rPr>
            <w:noProof/>
            <w:webHidden/>
          </w:rPr>
          <w:fldChar w:fldCharType="end"/>
        </w:r>
      </w:hyperlink>
    </w:p>
    <w:p w14:paraId="76066F25" w14:textId="55EB0DF4" w:rsidR="000F15BB" w:rsidRDefault="00000000">
      <w:pPr>
        <w:pStyle w:val="TOC1"/>
        <w:rPr>
          <w:rFonts w:asciiTheme="minorHAnsi" w:hAnsiTheme="minorHAnsi" w:cstheme="minorBidi"/>
          <w:noProof/>
          <w:sz w:val="22"/>
          <w:szCs w:val="22"/>
          <w:lang w:eastAsia="en-NZ"/>
        </w:rPr>
      </w:pPr>
      <w:hyperlink w:anchor="_Toc46146754" w:history="1">
        <w:r w:rsidR="000F15BB" w:rsidRPr="00A956C0">
          <w:rPr>
            <w:rStyle w:val="Hyperlink"/>
            <w:noProof/>
          </w:rPr>
          <w:t>4</w:t>
        </w:r>
        <w:r w:rsidR="000F15BB">
          <w:rPr>
            <w:rFonts w:asciiTheme="minorHAnsi" w:hAnsiTheme="minorHAnsi" w:cstheme="minorBidi"/>
            <w:noProof/>
            <w:sz w:val="22"/>
            <w:szCs w:val="22"/>
            <w:lang w:eastAsia="en-NZ"/>
          </w:rPr>
          <w:tab/>
        </w:r>
        <w:r w:rsidR="000F15BB" w:rsidRPr="00A956C0">
          <w:rPr>
            <w:rStyle w:val="Hyperlink"/>
            <w:noProof/>
          </w:rPr>
          <w:t>Test cases and worked examples</w:t>
        </w:r>
        <w:r w:rsidR="000F15BB">
          <w:rPr>
            <w:noProof/>
            <w:webHidden/>
          </w:rPr>
          <w:tab/>
        </w:r>
        <w:r w:rsidR="000F15BB">
          <w:rPr>
            <w:noProof/>
            <w:webHidden/>
          </w:rPr>
          <w:fldChar w:fldCharType="begin"/>
        </w:r>
        <w:r w:rsidR="000F15BB">
          <w:rPr>
            <w:noProof/>
            <w:webHidden/>
          </w:rPr>
          <w:instrText xml:space="preserve"> PAGEREF _Toc46146754 \h </w:instrText>
        </w:r>
        <w:r w:rsidR="000F15BB">
          <w:rPr>
            <w:noProof/>
            <w:webHidden/>
          </w:rPr>
        </w:r>
        <w:r w:rsidR="000F15BB">
          <w:rPr>
            <w:noProof/>
            <w:webHidden/>
          </w:rPr>
          <w:fldChar w:fldCharType="separate"/>
        </w:r>
        <w:r w:rsidR="00900AF4">
          <w:rPr>
            <w:noProof/>
            <w:webHidden/>
          </w:rPr>
          <w:t>32</w:t>
        </w:r>
        <w:r w:rsidR="000F15BB">
          <w:rPr>
            <w:noProof/>
            <w:webHidden/>
          </w:rPr>
          <w:fldChar w:fldCharType="end"/>
        </w:r>
      </w:hyperlink>
    </w:p>
    <w:p w14:paraId="6FE2D07B" w14:textId="022BC06A" w:rsidR="000F15BB" w:rsidRDefault="00000000">
      <w:pPr>
        <w:pStyle w:val="TOC2"/>
        <w:tabs>
          <w:tab w:val="left" w:pos="1134"/>
        </w:tabs>
        <w:rPr>
          <w:rFonts w:asciiTheme="minorHAnsi" w:hAnsiTheme="minorHAnsi" w:cstheme="minorBidi"/>
          <w:noProof/>
          <w:szCs w:val="22"/>
          <w:lang w:eastAsia="en-NZ"/>
        </w:rPr>
      </w:pPr>
      <w:hyperlink w:anchor="_Toc46146755" w:history="1">
        <w:r w:rsidR="000F15BB" w:rsidRPr="00A956C0">
          <w:rPr>
            <w:rStyle w:val="Hyperlink"/>
            <w:noProof/>
          </w:rPr>
          <w:t>4.1</w:t>
        </w:r>
        <w:r w:rsidR="000F15BB">
          <w:rPr>
            <w:rFonts w:asciiTheme="minorHAnsi" w:hAnsiTheme="minorHAnsi" w:cstheme="minorBidi"/>
            <w:noProof/>
            <w:szCs w:val="22"/>
            <w:lang w:eastAsia="en-NZ"/>
          </w:rPr>
          <w:tab/>
        </w:r>
        <w:r w:rsidR="000F15BB" w:rsidRPr="00A956C0">
          <w:rPr>
            <w:rStyle w:val="Hyperlink"/>
            <w:noProof/>
          </w:rPr>
          <w:t>Patient A</w:t>
        </w:r>
        <w:r w:rsidR="000F15BB">
          <w:rPr>
            <w:noProof/>
            <w:webHidden/>
          </w:rPr>
          <w:tab/>
        </w:r>
        <w:r w:rsidR="000F15BB">
          <w:rPr>
            <w:noProof/>
            <w:webHidden/>
          </w:rPr>
          <w:fldChar w:fldCharType="begin"/>
        </w:r>
        <w:r w:rsidR="000F15BB">
          <w:rPr>
            <w:noProof/>
            <w:webHidden/>
          </w:rPr>
          <w:instrText xml:space="preserve"> PAGEREF _Toc46146755 \h </w:instrText>
        </w:r>
        <w:r w:rsidR="000F15BB">
          <w:rPr>
            <w:noProof/>
            <w:webHidden/>
          </w:rPr>
        </w:r>
        <w:r w:rsidR="000F15BB">
          <w:rPr>
            <w:noProof/>
            <w:webHidden/>
          </w:rPr>
          <w:fldChar w:fldCharType="separate"/>
        </w:r>
        <w:r w:rsidR="00900AF4">
          <w:rPr>
            <w:noProof/>
            <w:webHidden/>
          </w:rPr>
          <w:t>32</w:t>
        </w:r>
        <w:r w:rsidR="000F15BB">
          <w:rPr>
            <w:noProof/>
            <w:webHidden/>
          </w:rPr>
          <w:fldChar w:fldCharType="end"/>
        </w:r>
      </w:hyperlink>
    </w:p>
    <w:p w14:paraId="6B64EA34" w14:textId="70F816CF" w:rsidR="000F15BB" w:rsidRDefault="00000000">
      <w:pPr>
        <w:pStyle w:val="TOC2"/>
        <w:tabs>
          <w:tab w:val="left" w:pos="1134"/>
        </w:tabs>
        <w:rPr>
          <w:rFonts w:asciiTheme="minorHAnsi" w:hAnsiTheme="minorHAnsi" w:cstheme="minorBidi"/>
          <w:noProof/>
          <w:szCs w:val="22"/>
          <w:lang w:eastAsia="en-NZ"/>
        </w:rPr>
      </w:pPr>
      <w:hyperlink w:anchor="_Toc46146756" w:history="1">
        <w:r w:rsidR="000F15BB" w:rsidRPr="00A956C0">
          <w:rPr>
            <w:rStyle w:val="Hyperlink"/>
            <w:noProof/>
          </w:rPr>
          <w:t>4.2</w:t>
        </w:r>
        <w:r w:rsidR="000F15BB">
          <w:rPr>
            <w:rFonts w:asciiTheme="minorHAnsi" w:hAnsiTheme="minorHAnsi" w:cstheme="minorBidi"/>
            <w:noProof/>
            <w:szCs w:val="22"/>
            <w:lang w:eastAsia="en-NZ"/>
          </w:rPr>
          <w:tab/>
        </w:r>
        <w:r w:rsidR="000F15BB" w:rsidRPr="00A956C0">
          <w:rPr>
            <w:rStyle w:val="Hyperlink"/>
            <w:noProof/>
          </w:rPr>
          <w:t>Patient B</w:t>
        </w:r>
        <w:r w:rsidR="000F15BB">
          <w:rPr>
            <w:noProof/>
            <w:webHidden/>
          </w:rPr>
          <w:tab/>
        </w:r>
        <w:r w:rsidR="000F15BB">
          <w:rPr>
            <w:noProof/>
            <w:webHidden/>
          </w:rPr>
          <w:fldChar w:fldCharType="begin"/>
        </w:r>
        <w:r w:rsidR="000F15BB">
          <w:rPr>
            <w:noProof/>
            <w:webHidden/>
          </w:rPr>
          <w:instrText xml:space="preserve"> PAGEREF _Toc46146756 \h </w:instrText>
        </w:r>
        <w:r w:rsidR="000F15BB">
          <w:rPr>
            <w:noProof/>
            <w:webHidden/>
          </w:rPr>
        </w:r>
        <w:r w:rsidR="000F15BB">
          <w:rPr>
            <w:noProof/>
            <w:webHidden/>
          </w:rPr>
          <w:fldChar w:fldCharType="separate"/>
        </w:r>
        <w:r w:rsidR="00900AF4">
          <w:rPr>
            <w:noProof/>
            <w:webHidden/>
          </w:rPr>
          <w:t>33</w:t>
        </w:r>
        <w:r w:rsidR="000F15BB">
          <w:rPr>
            <w:noProof/>
            <w:webHidden/>
          </w:rPr>
          <w:fldChar w:fldCharType="end"/>
        </w:r>
      </w:hyperlink>
    </w:p>
    <w:p w14:paraId="1979BFE9" w14:textId="45E84EB9" w:rsidR="000F15BB" w:rsidRDefault="00000000">
      <w:pPr>
        <w:pStyle w:val="TOC2"/>
        <w:tabs>
          <w:tab w:val="left" w:pos="1134"/>
        </w:tabs>
        <w:rPr>
          <w:rFonts w:asciiTheme="minorHAnsi" w:hAnsiTheme="minorHAnsi" w:cstheme="minorBidi"/>
          <w:noProof/>
          <w:szCs w:val="22"/>
          <w:lang w:eastAsia="en-NZ"/>
        </w:rPr>
      </w:pPr>
      <w:hyperlink w:anchor="_Toc46146757" w:history="1">
        <w:r w:rsidR="000F15BB" w:rsidRPr="00A956C0">
          <w:rPr>
            <w:rStyle w:val="Hyperlink"/>
            <w:noProof/>
          </w:rPr>
          <w:t>4.3</w:t>
        </w:r>
        <w:r w:rsidR="000F15BB">
          <w:rPr>
            <w:rFonts w:asciiTheme="minorHAnsi" w:hAnsiTheme="minorHAnsi" w:cstheme="minorBidi"/>
            <w:noProof/>
            <w:szCs w:val="22"/>
            <w:lang w:eastAsia="en-NZ"/>
          </w:rPr>
          <w:tab/>
        </w:r>
        <w:r w:rsidR="000F15BB" w:rsidRPr="00A956C0">
          <w:rPr>
            <w:rStyle w:val="Hyperlink"/>
            <w:noProof/>
          </w:rPr>
          <w:t>Patient C</w:t>
        </w:r>
        <w:r w:rsidR="000F15BB">
          <w:rPr>
            <w:noProof/>
            <w:webHidden/>
          </w:rPr>
          <w:tab/>
        </w:r>
        <w:r w:rsidR="000F15BB">
          <w:rPr>
            <w:noProof/>
            <w:webHidden/>
          </w:rPr>
          <w:fldChar w:fldCharType="begin"/>
        </w:r>
        <w:r w:rsidR="000F15BB">
          <w:rPr>
            <w:noProof/>
            <w:webHidden/>
          </w:rPr>
          <w:instrText xml:space="preserve"> PAGEREF _Toc46146757 \h </w:instrText>
        </w:r>
        <w:r w:rsidR="000F15BB">
          <w:rPr>
            <w:noProof/>
            <w:webHidden/>
          </w:rPr>
        </w:r>
        <w:r w:rsidR="000F15BB">
          <w:rPr>
            <w:noProof/>
            <w:webHidden/>
          </w:rPr>
          <w:fldChar w:fldCharType="separate"/>
        </w:r>
        <w:r w:rsidR="00900AF4">
          <w:rPr>
            <w:noProof/>
            <w:webHidden/>
          </w:rPr>
          <w:t>34</w:t>
        </w:r>
        <w:r w:rsidR="000F15BB">
          <w:rPr>
            <w:noProof/>
            <w:webHidden/>
          </w:rPr>
          <w:fldChar w:fldCharType="end"/>
        </w:r>
      </w:hyperlink>
    </w:p>
    <w:p w14:paraId="6EC3FA39" w14:textId="1462D100" w:rsidR="000F15BB" w:rsidRDefault="00000000">
      <w:pPr>
        <w:pStyle w:val="TOC2"/>
        <w:tabs>
          <w:tab w:val="left" w:pos="1134"/>
        </w:tabs>
        <w:rPr>
          <w:rFonts w:asciiTheme="minorHAnsi" w:hAnsiTheme="minorHAnsi" w:cstheme="minorBidi"/>
          <w:noProof/>
          <w:szCs w:val="22"/>
          <w:lang w:eastAsia="en-NZ"/>
        </w:rPr>
      </w:pPr>
      <w:hyperlink w:anchor="_Toc46146758" w:history="1">
        <w:r w:rsidR="000F15BB" w:rsidRPr="00A956C0">
          <w:rPr>
            <w:rStyle w:val="Hyperlink"/>
            <w:noProof/>
          </w:rPr>
          <w:t>4.4</w:t>
        </w:r>
        <w:r w:rsidR="000F15BB">
          <w:rPr>
            <w:rFonts w:asciiTheme="minorHAnsi" w:hAnsiTheme="minorHAnsi" w:cstheme="minorBidi"/>
            <w:noProof/>
            <w:szCs w:val="22"/>
            <w:lang w:eastAsia="en-NZ"/>
          </w:rPr>
          <w:tab/>
        </w:r>
        <w:r w:rsidR="000F15BB" w:rsidRPr="00A956C0">
          <w:rPr>
            <w:rStyle w:val="Hyperlink"/>
            <w:noProof/>
          </w:rPr>
          <w:t>Patient D</w:t>
        </w:r>
        <w:r w:rsidR="000F15BB">
          <w:rPr>
            <w:noProof/>
            <w:webHidden/>
          </w:rPr>
          <w:tab/>
        </w:r>
        <w:r w:rsidR="000F15BB">
          <w:rPr>
            <w:noProof/>
            <w:webHidden/>
          </w:rPr>
          <w:fldChar w:fldCharType="begin"/>
        </w:r>
        <w:r w:rsidR="000F15BB">
          <w:rPr>
            <w:noProof/>
            <w:webHidden/>
          </w:rPr>
          <w:instrText xml:space="preserve"> PAGEREF _Toc46146758 \h </w:instrText>
        </w:r>
        <w:r w:rsidR="000F15BB">
          <w:rPr>
            <w:noProof/>
            <w:webHidden/>
          </w:rPr>
        </w:r>
        <w:r w:rsidR="000F15BB">
          <w:rPr>
            <w:noProof/>
            <w:webHidden/>
          </w:rPr>
          <w:fldChar w:fldCharType="separate"/>
        </w:r>
        <w:r w:rsidR="00900AF4">
          <w:rPr>
            <w:noProof/>
            <w:webHidden/>
          </w:rPr>
          <w:t>35</w:t>
        </w:r>
        <w:r w:rsidR="000F15BB">
          <w:rPr>
            <w:noProof/>
            <w:webHidden/>
          </w:rPr>
          <w:fldChar w:fldCharType="end"/>
        </w:r>
      </w:hyperlink>
    </w:p>
    <w:p w14:paraId="6F635FD4" w14:textId="399B12AE" w:rsidR="000F15BB" w:rsidRDefault="00000000">
      <w:pPr>
        <w:pStyle w:val="TOC1"/>
        <w:rPr>
          <w:rFonts w:asciiTheme="minorHAnsi" w:hAnsiTheme="minorHAnsi" w:cstheme="minorBidi"/>
          <w:noProof/>
          <w:sz w:val="22"/>
          <w:szCs w:val="22"/>
          <w:lang w:eastAsia="en-NZ"/>
        </w:rPr>
      </w:pPr>
      <w:hyperlink w:anchor="_Toc46146759" w:history="1">
        <w:r w:rsidR="000F15BB" w:rsidRPr="00A956C0">
          <w:rPr>
            <w:rStyle w:val="Hyperlink"/>
            <w:noProof/>
          </w:rPr>
          <w:t>5</w:t>
        </w:r>
        <w:r w:rsidR="000F15BB">
          <w:rPr>
            <w:rFonts w:asciiTheme="minorHAnsi" w:hAnsiTheme="minorHAnsi" w:cstheme="minorBidi"/>
            <w:noProof/>
            <w:sz w:val="22"/>
            <w:szCs w:val="22"/>
            <w:lang w:eastAsia="en-NZ"/>
          </w:rPr>
          <w:tab/>
        </w:r>
        <w:r w:rsidR="000F15BB" w:rsidRPr="00A956C0">
          <w:rPr>
            <w:rStyle w:val="Hyperlink"/>
            <w:noProof/>
          </w:rPr>
          <w:t>Requirements for software tools</w:t>
        </w:r>
        <w:r w:rsidR="000F15BB">
          <w:rPr>
            <w:noProof/>
            <w:webHidden/>
          </w:rPr>
          <w:tab/>
        </w:r>
        <w:r w:rsidR="000F15BB">
          <w:rPr>
            <w:noProof/>
            <w:webHidden/>
          </w:rPr>
          <w:fldChar w:fldCharType="begin"/>
        </w:r>
        <w:r w:rsidR="000F15BB">
          <w:rPr>
            <w:noProof/>
            <w:webHidden/>
          </w:rPr>
          <w:instrText xml:space="preserve"> PAGEREF _Toc46146759 \h </w:instrText>
        </w:r>
        <w:r w:rsidR="000F15BB">
          <w:rPr>
            <w:noProof/>
            <w:webHidden/>
          </w:rPr>
        </w:r>
        <w:r w:rsidR="000F15BB">
          <w:rPr>
            <w:noProof/>
            <w:webHidden/>
          </w:rPr>
          <w:fldChar w:fldCharType="separate"/>
        </w:r>
        <w:r w:rsidR="00900AF4">
          <w:rPr>
            <w:noProof/>
            <w:webHidden/>
          </w:rPr>
          <w:t>37</w:t>
        </w:r>
        <w:r w:rsidR="000F15BB">
          <w:rPr>
            <w:noProof/>
            <w:webHidden/>
          </w:rPr>
          <w:fldChar w:fldCharType="end"/>
        </w:r>
      </w:hyperlink>
    </w:p>
    <w:p w14:paraId="5260436C" w14:textId="6094EB9F" w:rsidR="000F15BB" w:rsidRDefault="00000000">
      <w:pPr>
        <w:pStyle w:val="TOC1"/>
        <w:rPr>
          <w:rFonts w:asciiTheme="minorHAnsi" w:hAnsiTheme="minorHAnsi" w:cstheme="minorBidi"/>
          <w:noProof/>
          <w:sz w:val="22"/>
          <w:szCs w:val="22"/>
          <w:lang w:eastAsia="en-NZ"/>
        </w:rPr>
      </w:pPr>
      <w:hyperlink w:anchor="_Toc46146760" w:history="1">
        <w:r w:rsidR="000F15BB" w:rsidRPr="00A956C0">
          <w:rPr>
            <w:rStyle w:val="Hyperlink"/>
            <w:noProof/>
          </w:rPr>
          <w:t>6</w:t>
        </w:r>
        <w:r w:rsidR="000F15BB">
          <w:rPr>
            <w:rFonts w:asciiTheme="minorHAnsi" w:hAnsiTheme="minorHAnsi" w:cstheme="minorBidi"/>
            <w:noProof/>
            <w:sz w:val="22"/>
            <w:szCs w:val="22"/>
            <w:lang w:eastAsia="en-NZ"/>
          </w:rPr>
          <w:tab/>
        </w:r>
        <w:r w:rsidR="000F15BB" w:rsidRPr="00A956C0">
          <w:rPr>
            <w:rStyle w:val="Hyperlink"/>
            <w:noProof/>
          </w:rPr>
          <w:t>References</w:t>
        </w:r>
        <w:r w:rsidR="000F15BB">
          <w:rPr>
            <w:noProof/>
            <w:webHidden/>
          </w:rPr>
          <w:tab/>
        </w:r>
        <w:r w:rsidR="000F15BB">
          <w:rPr>
            <w:noProof/>
            <w:webHidden/>
          </w:rPr>
          <w:fldChar w:fldCharType="begin"/>
        </w:r>
        <w:r w:rsidR="000F15BB">
          <w:rPr>
            <w:noProof/>
            <w:webHidden/>
          </w:rPr>
          <w:instrText xml:space="preserve"> PAGEREF _Toc46146760 \h </w:instrText>
        </w:r>
        <w:r w:rsidR="000F15BB">
          <w:rPr>
            <w:noProof/>
            <w:webHidden/>
          </w:rPr>
        </w:r>
        <w:r w:rsidR="000F15BB">
          <w:rPr>
            <w:noProof/>
            <w:webHidden/>
          </w:rPr>
          <w:fldChar w:fldCharType="separate"/>
        </w:r>
        <w:r w:rsidR="00900AF4">
          <w:rPr>
            <w:noProof/>
            <w:webHidden/>
          </w:rPr>
          <w:t>38</w:t>
        </w:r>
        <w:r w:rsidR="000F15BB">
          <w:rPr>
            <w:noProof/>
            <w:webHidden/>
          </w:rPr>
          <w:fldChar w:fldCharType="end"/>
        </w:r>
      </w:hyperlink>
    </w:p>
    <w:p w14:paraId="6AF18D78" w14:textId="26790D40" w:rsidR="00C86248" w:rsidRDefault="002C324A">
      <w:r>
        <w:rPr>
          <w:rFonts w:ascii="Segoe UI Semibold" w:hAnsi="Segoe UI Semibold"/>
          <w:b/>
          <w:sz w:val="24"/>
        </w:rPr>
        <w:fldChar w:fldCharType="end"/>
      </w:r>
    </w:p>
    <w:p w14:paraId="596BABDD" w14:textId="77777777" w:rsidR="001D3E4E" w:rsidRDefault="001D3E4E" w:rsidP="003A5FEA">
      <w:pPr>
        <w:sectPr w:rsidR="001D3E4E" w:rsidSect="0045304A">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67195042" w14:textId="77777777" w:rsidR="008C2973" w:rsidRDefault="00E709F6" w:rsidP="002D0CBC">
      <w:pPr>
        <w:pStyle w:val="Heading1"/>
      </w:pPr>
      <w:bookmarkStart w:id="2" w:name="_Toc46146730"/>
      <w:r>
        <w:lastRenderedPageBreak/>
        <w:t>Introduction</w:t>
      </w:r>
      <w:bookmarkEnd w:id="2"/>
    </w:p>
    <w:p w14:paraId="16493C47" w14:textId="77C7ECFC" w:rsidR="00650A90" w:rsidRDefault="00650A90" w:rsidP="00650A90">
      <w:r>
        <w:t>This</w:t>
      </w:r>
      <w:r w:rsidRPr="002A1353">
        <w:t xml:space="preserve"> data </w:t>
      </w:r>
      <w:r>
        <w:t>standard</w:t>
      </w:r>
      <w:r w:rsidRPr="002A1353">
        <w:t xml:space="preserve"> </w:t>
      </w:r>
      <w:r>
        <w:t>supports the implementation of CVD risk calculation using the agreed primary prevention equations.</w:t>
      </w:r>
    </w:p>
    <w:p w14:paraId="129A3781" w14:textId="77777777" w:rsidR="00650A90" w:rsidRDefault="00650A90" w:rsidP="00650A90">
      <w:pPr>
        <w:pStyle w:val="Heading2"/>
      </w:pPr>
      <w:bookmarkStart w:id="3" w:name="_Toc457913752"/>
      <w:bookmarkStart w:id="4" w:name="_Toc457915415"/>
      <w:bookmarkStart w:id="5" w:name="_Toc457913754"/>
      <w:bookmarkStart w:id="6" w:name="_Toc457915417"/>
      <w:bookmarkStart w:id="7" w:name="_Toc457913755"/>
      <w:bookmarkStart w:id="8" w:name="_Toc457915418"/>
      <w:bookmarkStart w:id="9" w:name="_Toc457913757"/>
      <w:bookmarkStart w:id="10" w:name="_Toc457915420"/>
      <w:bookmarkStart w:id="11" w:name="_Toc5806742"/>
      <w:bookmarkStart w:id="12" w:name="_Toc46146731"/>
      <w:bookmarkEnd w:id="3"/>
      <w:bookmarkEnd w:id="4"/>
      <w:bookmarkEnd w:id="5"/>
      <w:bookmarkEnd w:id="6"/>
      <w:bookmarkEnd w:id="7"/>
      <w:bookmarkEnd w:id="8"/>
      <w:bookmarkEnd w:id="9"/>
      <w:bookmarkEnd w:id="10"/>
      <w:r>
        <w:t>Background</w:t>
      </w:r>
      <w:bookmarkEnd w:id="11"/>
      <w:bookmarkEnd w:id="12"/>
    </w:p>
    <w:p w14:paraId="1ACE07FB" w14:textId="77777777" w:rsidR="00C60C7F" w:rsidRDefault="00650A90" w:rsidP="00650A90">
      <w:r w:rsidRPr="00327CA6">
        <w:t>In 2003</w:t>
      </w:r>
      <w:r>
        <w:t>,</w:t>
      </w:r>
      <w:r w:rsidRPr="00327CA6">
        <w:t xml:space="preserve"> the Health Research Council of New Zealand (HRC) funded the PREDICT cohort study. The study</w:t>
      </w:r>
      <w:r w:rsidR="00395E0C">
        <w:t>’</w:t>
      </w:r>
      <w:r w:rsidRPr="00327CA6">
        <w:t xml:space="preserve">s purpose was to develop new cardiovascular disease (CVD) risk prediction models for the New Zealand population, while simultaneously supporting the implementation of </w:t>
      </w:r>
      <w:r>
        <w:t xml:space="preserve">CVD and diabetes </w:t>
      </w:r>
      <w:r w:rsidRPr="00327CA6">
        <w:t>guidelines through computerised decision support</w:t>
      </w:r>
      <w:r w:rsidR="00F43F4C">
        <w:t xml:space="preserve"> (Wells et al 2015)</w:t>
      </w:r>
      <w:r>
        <w:t>.</w:t>
      </w:r>
      <w:r w:rsidRPr="00327CA6">
        <w:t xml:space="preserve"> </w:t>
      </w:r>
    </w:p>
    <w:p w14:paraId="5783254E" w14:textId="77777777" w:rsidR="00C60C7F" w:rsidRDefault="00C60C7F" w:rsidP="00650A90"/>
    <w:p w14:paraId="3B9AA17B" w14:textId="3DA9E71E" w:rsidR="005C6D25" w:rsidRDefault="00650A90" w:rsidP="00650A90">
      <w:r w:rsidRPr="00327CA6">
        <w:t xml:space="preserve">As of December 2017, general practitioners </w:t>
      </w:r>
      <w:r>
        <w:t xml:space="preserve">(GPs) </w:t>
      </w:r>
      <w:r w:rsidRPr="00327CA6">
        <w:t>and nurses had conducted heart and diabetes checks for over 500,00</w:t>
      </w:r>
      <w:r>
        <w:t>0</w:t>
      </w:r>
      <w:r w:rsidRPr="00327CA6">
        <w:t xml:space="preserve"> patients using the PREDICT </w:t>
      </w:r>
      <w:r>
        <w:t xml:space="preserve">web-based </w:t>
      </w:r>
      <w:r w:rsidRPr="00327CA6">
        <w:t xml:space="preserve">platform. </w:t>
      </w:r>
      <w:r>
        <w:t>With national ethics approval and perm</w:t>
      </w:r>
      <w:r w:rsidRPr="00327CA6">
        <w:t xml:space="preserve">ission from primary </w:t>
      </w:r>
      <w:r>
        <w:t xml:space="preserve">health </w:t>
      </w:r>
      <w:r w:rsidRPr="00327CA6">
        <w:t xml:space="preserve">care providers, unidentifiable </w:t>
      </w:r>
      <w:r>
        <w:t>data</w:t>
      </w:r>
      <w:r w:rsidRPr="00327CA6">
        <w:t xml:space="preserve"> from these checks</w:t>
      </w:r>
      <w:r w:rsidRPr="00327CA6" w:rsidDel="0021168B">
        <w:t xml:space="preserve"> </w:t>
      </w:r>
      <w:r w:rsidR="006647E9">
        <w:t>were</w:t>
      </w:r>
      <w:r w:rsidR="006647E9" w:rsidRPr="00327CA6">
        <w:t xml:space="preserve"> </w:t>
      </w:r>
      <w:r w:rsidRPr="00327CA6">
        <w:t>sent to the University of Auckland HRC-VIEW research team.</w:t>
      </w:r>
      <w:r>
        <w:t xml:space="preserve"> </w:t>
      </w:r>
      <w:r w:rsidRPr="00327CA6">
        <w:t xml:space="preserve">Through matching </w:t>
      </w:r>
      <w:proofErr w:type="gramStart"/>
      <w:r w:rsidRPr="00327CA6">
        <w:t>each individual</w:t>
      </w:r>
      <w:r w:rsidR="00395E0C">
        <w:t>’</w:t>
      </w:r>
      <w:r w:rsidRPr="00327CA6">
        <w:t>s</w:t>
      </w:r>
      <w:proofErr w:type="gramEnd"/>
      <w:r w:rsidRPr="00327CA6">
        <w:t xml:space="preserve"> encrypted National Health Index </w:t>
      </w:r>
      <w:r>
        <w:t xml:space="preserve">(NHI) </w:t>
      </w:r>
      <w:r w:rsidRPr="00327CA6">
        <w:t xml:space="preserve">number to national hospitalisation and mortality data sets, the researchers have developed </w:t>
      </w:r>
      <w:r w:rsidR="006647E9">
        <w:t xml:space="preserve">the first of a series of </w:t>
      </w:r>
      <w:r w:rsidRPr="00327CA6">
        <w:t>new CVD risk assessment equations tailored to New Zealand populations.</w:t>
      </w:r>
      <w:r>
        <w:t xml:space="preserve"> </w:t>
      </w:r>
    </w:p>
    <w:p w14:paraId="2E45796C" w14:textId="77777777" w:rsidR="005C6D25" w:rsidRDefault="005C6D25" w:rsidP="00650A90"/>
    <w:p w14:paraId="414FFCD2" w14:textId="76C76156" w:rsidR="00650A90" w:rsidRDefault="00650A90" w:rsidP="00650A90">
      <w:r>
        <w:t xml:space="preserve">These equations </w:t>
      </w:r>
      <w:r w:rsidR="00C60C7F">
        <w:t>a</w:t>
      </w:r>
      <w:r w:rsidR="00E817DB">
        <w:t>re</w:t>
      </w:r>
      <w:r w:rsidR="00C60C7F">
        <w:t xml:space="preserve"> </w:t>
      </w:r>
      <w:r w:rsidR="00E817DB">
        <w:t>described</w:t>
      </w:r>
      <w:r w:rsidR="00C60C7F">
        <w:t xml:space="preserve"> </w:t>
      </w:r>
      <w:r>
        <w:t>in the 2018 Ministry of Health</w:t>
      </w:r>
      <w:r w:rsidR="005C6D25">
        <w:t xml:space="preserve"> </w:t>
      </w:r>
      <w:r w:rsidR="00C60C7F">
        <w:t xml:space="preserve">publication </w:t>
      </w:r>
      <w:hyperlink r:id="rId21" w:history="1">
        <w:r w:rsidR="005C6D25" w:rsidRPr="001C68D8">
          <w:rPr>
            <w:rStyle w:val="Hyperlink"/>
            <w:i/>
          </w:rPr>
          <w:t>Cardiovascular Disease Risk Assessment and Management for Primary Care</w:t>
        </w:r>
      </w:hyperlink>
      <w:r w:rsidR="005C6D25">
        <w:t xml:space="preserve"> </w:t>
      </w:r>
      <w:r w:rsidR="00F43F4C">
        <w:t>(Ministry of Health 2018)</w:t>
      </w:r>
      <w:r>
        <w:t>.</w:t>
      </w:r>
      <w:r w:rsidR="00AA021D">
        <w:t xml:space="preserve"> </w:t>
      </w:r>
      <w:r w:rsidR="00AA021D" w:rsidRPr="00AA021D">
        <w:t>). The equations were updated further in 2018 and released for sector implementation in 2019.</w:t>
      </w:r>
    </w:p>
    <w:p w14:paraId="7E14BE97" w14:textId="77777777" w:rsidR="00650A90" w:rsidRDefault="00650A90" w:rsidP="00650A90"/>
    <w:p w14:paraId="34A2DD88" w14:textId="5A030C49" w:rsidR="00650A90" w:rsidRPr="00327CA6" w:rsidRDefault="00954EB0" w:rsidP="00650A90">
      <w:r>
        <w:t>The f</w:t>
      </w:r>
      <w:r w:rsidR="00650A90" w:rsidRPr="00327CA6">
        <w:t xml:space="preserve">our </w:t>
      </w:r>
      <w:r w:rsidR="00E847E5">
        <w:t xml:space="preserve">CVD risk primary prevention </w:t>
      </w:r>
      <w:r w:rsidR="00650A90">
        <w:t>equations</w:t>
      </w:r>
      <w:r w:rsidR="00650A90" w:rsidRPr="00327CA6">
        <w:t xml:space="preserve"> are</w:t>
      </w:r>
      <w:r w:rsidR="00650A90">
        <w:t>:</w:t>
      </w:r>
    </w:p>
    <w:p w14:paraId="672E8D6F" w14:textId="77777777" w:rsidR="005D1959" w:rsidRDefault="005D1959" w:rsidP="00650A90">
      <w:pPr>
        <w:pStyle w:val="Bullet"/>
      </w:pPr>
      <w:r>
        <w:t>General population</w:t>
      </w:r>
    </w:p>
    <w:p w14:paraId="67196AB1" w14:textId="6D623C16" w:rsidR="00650A90" w:rsidRPr="00395E0C" w:rsidRDefault="00650A90" w:rsidP="00E847E5">
      <w:pPr>
        <w:pStyle w:val="Bullet"/>
        <w:numPr>
          <w:ilvl w:val="0"/>
          <w:numId w:val="46"/>
        </w:numPr>
      </w:pPr>
      <w:r w:rsidRPr="00395E0C">
        <w:t>PREDICT</w:t>
      </w:r>
      <w:r w:rsidR="001C68D8">
        <w:t xml:space="preserve"> </w:t>
      </w:r>
      <w:r w:rsidRPr="00395E0C">
        <w:t xml:space="preserve">CVD </w:t>
      </w:r>
      <w:r w:rsidR="00C0313E" w:rsidRPr="00395E0C">
        <w:t>v</w:t>
      </w:r>
      <w:r w:rsidR="00C0313E">
        <w:t>.</w:t>
      </w:r>
      <w:r w:rsidRPr="00395E0C">
        <w:t>201</w:t>
      </w:r>
      <w:r w:rsidR="00B8473E">
        <w:t>9</w:t>
      </w:r>
      <w:r w:rsidRPr="00395E0C">
        <w:t xml:space="preserve"> primary prevention equation for women </w:t>
      </w:r>
      <w:r w:rsidR="00C0313E">
        <w:t>(</w:t>
      </w:r>
      <w:r w:rsidRPr="00395E0C">
        <w:t>30–74 years</w:t>
      </w:r>
      <w:r w:rsidR="00C0313E">
        <w:t>)</w:t>
      </w:r>
    </w:p>
    <w:p w14:paraId="551F02A8" w14:textId="1C4927EF" w:rsidR="00650A90" w:rsidRPr="00395E0C" w:rsidRDefault="00650A90" w:rsidP="00E847E5">
      <w:pPr>
        <w:pStyle w:val="Bullet"/>
        <w:numPr>
          <w:ilvl w:val="0"/>
          <w:numId w:val="46"/>
        </w:numPr>
      </w:pPr>
      <w:r w:rsidRPr="00395E0C">
        <w:t>PREDICT</w:t>
      </w:r>
      <w:r w:rsidR="001C68D8">
        <w:t xml:space="preserve"> </w:t>
      </w:r>
      <w:r w:rsidRPr="00395E0C">
        <w:t xml:space="preserve">CVD </w:t>
      </w:r>
      <w:r w:rsidR="00C0313E">
        <w:t>v.</w:t>
      </w:r>
      <w:r w:rsidRPr="00395E0C">
        <w:t>201</w:t>
      </w:r>
      <w:r w:rsidR="00B8473E">
        <w:t>9</w:t>
      </w:r>
      <w:r w:rsidRPr="00395E0C">
        <w:t xml:space="preserve"> primary prevention equation for men </w:t>
      </w:r>
      <w:r w:rsidR="00C0313E">
        <w:t>(</w:t>
      </w:r>
      <w:r w:rsidRPr="00395E0C">
        <w:t>30–74 years</w:t>
      </w:r>
      <w:r w:rsidR="00C0313E">
        <w:t>)</w:t>
      </w:r>
    </w:p>
    <w:p w14:paraId="6F32003D" w14:textId="3D8DB585" w:rsidR="005D1959" w:rsidRDefault="005D1959" w:rsidP="00650A90">
      <w:pPr>
        <w:pStyle w:val="Bullet"/>
      </w:pPr>
      <w:r>
        <w:t>Diabetes-specific</w:t>
      </w:r>
    </w:p>
    <w:p w14:paraId="21B5D8A0" w14:textId="147948BE" w:rsidR="00650A90" w:rsidRPr="00395E0C" w:rsidRDefault="00650A90" w:rsidP="00E847E5">
      <w:pPr>
        <w:pStyle w:val="Bullet"/>
        <w:numPr>
          <w:ilvl w:val="0"/>
          <w:numId w:val="46"/>
        </w:numPr>
      </w:pPr>
      <w:r w:rsidRPr="00395E0C">
        <w:t>PREDICT</w:t>
      </w:r>
      <w:r w:rsidR="001C68D8">
        <w:t xml:space="preserve"> </w:t>
      </w:r>
      <w:r w:rsidRPr="00395E0C">
        <w:t xml:space="preserve">CVD </w:t>
      </w:r>
      <w:r w:rsidR="00C0313E">
        <w:t>v.</w:t>
      </w:r>
      <w:r w:rsidRPr="00395E0C">
        <w:t>201</w:t>
      </w:r>
      <w:r w:rsidR="00B8473E">
        <w:t>9</w:t>
      </w:r>
      <w:r w:rsidRPr="00395E0C">
        <w:t xml:space="preserve"> primary prevention equation for women with diabetes </w:t>
      </w:r>
      <w:r w:rsidR="00C0313E">
        <w:t>(</w:t>
      </w:r>
      <w:r w:rsidRPr="00395E0C">
        <w:t>30–74 years</w:t>
      </w:r>
      <w:r w:rsidR="00C0313E">
        <w:t>)</w:t>
      </w:r>
    </w:p>
    <w:p w14:paraId="584433B0" w14:textId="7EEAFB8F" w:rsidR="00650A90" w:rsidRPr="00395E0C" w:rsidRDefault="00650A90" w:rsidP="00E847E5">
      <w:pPr>
        <w:pStyle w:val="Bullet"/>
        <w:numPr>
          <w:ilvl w:val="0"/>
          <w:numId w:val="46"/>
        </w:numPr>
      </w:pPr>
      <w:r w:rsidRPr="00395E0C">
        <w:t>PREDICT</w:t>
      </w:r>
      <w:r w:rsidR="001C68D8">
        <w:t xml:space="preserve"> </w:t>
      </w:r>
      <w:r w:rsidRPr="00395E0C">
        <w:t xml:space="preserve">CVD </w:t>
      </w:r>
      <w:r w:rsidR="00C0313E">
        <w:t>v.</w:t>
      </w:r>
      <w:r w:rsidRPr="00395E0C">
        <w:t>201</w:t>
      </w:r>
      <w:r w:rsidR="00B8473E">
        <w:t>9</w:t>
      </w:r>
      <w:r w:rsidRPr="00395E0C">
        <w:t xml:space="preserve"> primary prevention equation for men with diabetes </w:t>
      </w:r>
      <w:r w:rsidR="00C0313E">
        <w:t>(</w:t>
      </w:r>
      <w:r w:rsidRPr="00395E0C">
        <w:t>30–74 years</w:t>
      </w:r>
      <w:r w:rsidR="00C0313E">
        <w:t>)</w:t>
      </w:r>
      <w:r w:rsidRPr="00395E0C">
        <w:t>.</w:t>
      </w:r>
    </w:p>
    <w:p w14:paraId="7CE090CD" w14:textId="77777777" w:rsidR="00650A90" w:rsidRDefault="00650A90" w:rsidP="00650A90"/>
    <w:p w14:paraId="4B7FBE4E" w14:textId="222B2A5B" w:rsidR="00650A90" w:rsidRDefault="00650A90" w:rsidP="00C0313E">
      <w:r w:rsidRPr="002A1353">
        <w:t xml:space="preserve">The PREDICT cohort study is an open cohort and will continue to grow. The primary prevention equations will be subject to regular review and </w:t>
      </w:r>
      <w:r>
        <w:t xml:space="preserve">will </w:t>
      </w:r>
      <w:r w:rsidRPr="002A1353">
        <w:t xml:space="preserve">be updated as required. </w:t>
      </w:r>
      <w:r w:rsidR="00791520">
        <w:t>For example, the primary prevention equation for the general population (men and women) has been updated to include body mass index (BMI) in this standard and</w:t>
      </w:r>
      <w:r w:rsidR="00911063">
        <w:t>,</w:t>
      </w:r>
      <w:r w:rsidR="00791520">
        <w:t xml:space="preserve"> as such</w:t>
      </w:r>
      <w:r w:rsidR="00911063">
        <w:t>,</w:t>
      </w:r>
      <w:r w:rsidR="00791520">
        <w:t xml:space="preserve"> differs from the published equation (</w:t>
      </w:r>
      <w:proofErr w:type="spellStart"/>
      <w:r w:rsidR="00791520">
        <w:t>Pylypchuk</w:t>
      </w:r>
      <w:proofErr w:type="spellEnd"/>
      <w:r w:rsidR="00791520">
        <w:t xml:space="preserve"> et al 2018).</w:t>
      </w:r>
      <w:r w:rsidR="00791520" w:rsidRPr="002A1353">
        <w:t xml:space="preserve"> </w:t>
      </w:r>
      <w:r w:rsidRPr="002A1353">
        <w:t xml:space="preserve">In addition, </w:t>
      </w:r>
      <w:r>
        <w:t xml:space="preserve">development of </w:t>
      </w:r>
      <w:r w:rsidRPr="002A1353">
        <w:t xml:space="preserve">new CVD risk equations </w:t>
      </w:r>
      <w:r>
        <w:t>is</w:t>
      </w:r>
      <w:r w:rsidRPr="002A1353">
        <w:t xml:space="preserve"> underway specifically for Māori, Pacific and South Asian populations, people aged over 75 years, those with serious mental illness </w:t>
      </w:r>
      <w:r w:rsidRPr="002A1353">
        <w:lastRenderedPageBreak/>
        <w:t xml:space="preserve">and those who have had a </w:t>
      </w:r>
      <w:r>
        <w:t>previous</w:t>
      </w:r>
      <w:r w:rsidRPr="002A1353">
        <w:t xml:space="preserve"> CVD event. </w:t>
      </w:r>
      <w:r>
        <w:t>Accordingly, t</w:t>
      </w:r>
      <w:r w:rsidRPr="002A1353">
        <w:t xml:space="preserve">his </w:t>
      </w:r>
      <w:r>
        <w:t>data standard</w:t>
      </w:r>
      <w:r w:rsidRPr="002A1353">
        <w:t xml:space="preserve"> will be reviewed and updated </w:t>
      </w:r>
      <w:r>
        <w:t>as these developments occur.</w:t>
      </w:r>
      <w:r w:rsidR="00791520">
        <w:t xml:space="preserve"> </w:t>
      </w:r>
    </w:p>
    <w:p w14:paraId="7EB4883B" w14:textId="77777777" w:rsidR="00650A90" w:rsidRPr="001E2EDF" w:rsidRDefault="00650A90" w:rsidP="00650A90">
      <w:pPr>
        <w:pStyle w:val="Heading3"/>
      </w:pPr>
      <w:r w:rsidRPr="001E2EDF">
        <w:t>CVD risk assessment</w:t>
      </w:r>
    </w:p>
    <w:p w14:paraId="6EDB2DBA" w14:textId="730B5722" w:rsidR="00650A90" w:rsidRDefault="00650A90" w:rsidP="00650A90">
      <w:r>
        <w:t xml:space="preserve">The goal of a CVD risk assessment </w:t>
      </w:r>
      <w:r w:rsidR="00160D5A">
        <w:t xml:space="preserve">that also includes screening for diabetes </w:t>
      </w:r>
      <w:r>
        <w:t xml:space="preserve">is to reduce CVD risk for individuals and provide appropriate advice about reducing the risk of developing diabetes. A CVD risk assessment informs people about their risk of </w:t>
      </w:r>
      <w:r w:rsidR="00160D5A">
        <w:t xml:space="preserve">future fatal and non-fatal </w:t>
      </w:r>
      <w:r>
        <w:t>cardiovascular events and strategies to improve their heart health. It also helps identify people with diabetes, to enable them to receive care and learn about helpful lifestyle changes. The overarching principle remains that the intensity of recommended interventions should be proportional to the estimated combined CVD risk.</w:t>
      </w:r>
    </w:p>
    <w:p w14:paraId="697620CB" w14:textId="77777777" w:rsidR="00650A90" w:rsidRDefault="00650A90" w:rsidP="00650A90">
      <w:pPr>
        <w:pStyle w:val="Heading3"/>
      </w:pPr>
      <w:r>
        <w:t>CVD risk calculation</w:t>
      </w:r>
    </w:p>
    <w:p w14:paraId="73D4FF0F" w14:textId="607E9190" w:rsidR="00650A90" w:rsidRDefault="00650A90" w:rsidP="00650A90">
      <w:r>
        <w:t>The risk of an individual having a CVD event in the next five years can be estimated by a statistical model that combines multiple CVD risk factors into one algorithm or equation. When an individual</w:t>
      </w:r>
      <w:r w:rsidR="00395E0C">
        <w:t>’</w:t>
      </w:r>
      <w:r>
        <w:t>s risk profile is put into the equation, a five-year risk score can be calculated. This calculation has been found to accurately predict future population CVD events in the next five years. As the CVD event rate in New Zealand populations changes over time, it is important for primary health care providers to have the most up-to-date algorithms.</w:t>
      </w:r>
    </w:p>
    <w:p w14:paraId="4D49D131" w14:textId="77777777" w:rsidR="00650A90" w:rsidRPr="00C0140F" w:rsidRDefault="00650A90" w:rsidP="00650A90">
      <w:pPr>
        <w:pStyle w:val="Heading3"/>
      </w:pPr>
      <w:r w:rsidRPr="00C0140F">
        <w:t>CVD events</w:t>
      </w:r>
      <w:r>
        <w:t xml:space="preserve"> predicted</w:t>
      </w:r>
    </w:p>
    <w:p w14:paraId="23EB307A" w14:textId="77777777" w:rsidR="00650A90" w:rsidRDefault="00650A90" w:rsidP="00650A90">
      <w:r>
        <w:t>The CVD risk calculation predicts the five-year risk of the following fatal and non-fatal CVD events: myocardial infarction, angina, coronary insufficiency, sudden and non-sudden coronary death, stroke (ischaemic or haemorrhagic), transient ischaemic attack, peripheral vascular disease (including claudication) and heart failure.</w:t>
      </w:r>
    </w:p>
    <w:p w14:paraId="34E1219E" w14:textId="151AB342" w:rsidR="00650A90" w:rsidRDefault="00650A90" w:rsidP="00650A90">
      <w:pPr>
        <w:pStyle w:val="Heading3"/>
      </w:pPr>
      <w:r>
        <w:t>Exclusions from CVD risk assessment</w:t>
      </w:r>
      <w:r w:rsidR="00160D5A">
        <w:t xml:space="preserve"> using the primary prevention equations</w:t>
      </w:r>
    </w:p>
    <w:p w14:paraId="3BD38510" w14:textId="77777777" w:rsidR="00650A90" w:rsidRDefault="00650A90" w:rsidP="00650A90">
      <w:r>
        <w:t>All past, current and future CVD risk prediction equations are not intended to be used if the patient is pregnant.</w:t>
      </w:r>
    </w:p>
    <w:p w14:paraId="5B0DAFF6" w14:textId="77777777" w:rsidR="00650A90" w:rsidRDefault="00650A90" w:rsidP="00650A90"/>
    <w:p w14:paraId="3CA48869" w14:textId="77777777" w:rsidR="00650A90" w:rsidRDefault="00650A90" w:rsidP="00650A90">
      <w:r>
        <w:t>Other specific exclusion criteria are:</w:t>
      </w:r>
    </w:p>
    <w:p w14:paraId="0F11F692" w14:textId="77777777" w:rsidR="00650A90" w:rsidRDefault="00650A90" w:rsidP="00650A90">
      <w:pPr>
        <w:pStyle w:val="Bullet"/>
      </w:pPr>
      <w:r>
        <w:t>being less than 18 years of age</w:t>
      </w:r>
    </w:p>
    <w:p w14:paraId="3F2CEB06" w14:textId="77777777" w:rsidR="00650A90" w:rsidRDefault="00650A90" w:rsidP="00650A90">
      <w:pPr>
        <w:pStyle w:val="Bullet"/>
      </w:pPr>
      <w:r>
        <w:t>people with known CVD (</w:t>
      </w:r>
      <w:r w:rsidRPr="00D532DF">
        <w:rPr>
          <w:szCs w:val="22"/>
        </w:rPr>
        <w:t xml:space="preserve">angina, myocardial infarction, </w:t>
      </w:r>
      <w:r>
        <w:rPr>
          <w:szCs w:val="22"/>
        </w:rPr>
        <w:t>percutaneous coronary intervention,</w:t>
      </w:r>
      <w:r w:rsidRPr="00D532DF">
        <w:rPr>
          <w:szCs w:val="22"/>
        </w:rPr>
        <w:t xml:space="preserve"> coronary artery bypass graft</w:t>
      </w:r>
      <w:r>
        <w:rPr>
          <w:szCs w:val="22"/>
        </w:rPr>
        <w:t>ing</w:t>
      </w:r>
      <w:r w:rsidRPr="00D532DF">
        <w:rPr>
          <w:szCs w:val="22"/>
        </w:rPr>
        <w:t>, ischaemic stroke, transient ischaemic attack or peripheral vascular disease</w:t>
      </w:r>
    </w:p>
    <w:p w14:paraId="3941108F" w14:textId="77777777" w:rsidR="00650A90" w:rsidRDefault="00650A90" w:rsidP="00650A90">
      <w:pPr>
        <w:pStyle w:val="Bullet"/>
      </w:pPr>
      <w:r>
        <w:t>heart failure diagnosed clinically</w:t>
      </w:r>
    </w:p>
    <w:p w14:paraId="10250D74" w14:textId="3C9B167C" w:rsidR="00650A90" w:rsidRDefault="00650A90" w:rsidP="00650A90">
      <w:pPr>
        <w:pStyle w:val="Bullet"/>
      </w:pPr>
      <w:r>
        <w:t>having famil</w:t>
      </w:r>
      <w:r w:rsidR="005D1959">
        <w:t>ial</w:t>
      </w:r>
      <w:r>
        <w:t xml:space="preserve"> hypercholesterolaemia</w:t>
      </w:r>
    </w:p>
    <w:p w14:paraId="7881C3E6" w14:textId="4AC7B82F" w:rsidR="00650A90" w:rsidRPr="00650A90" w:rsidRDefault="00650A90" w:rsidP="00650A90">
      <w:pPr>
        <w:pStyle w:val="Bullet"/>
      </w:pPr>
      <w:r>
        <w:t xml:space="preserve">renal failure, defined as having an </w:t>
      </w:r>
      <w:r w:rsidR="006E7E53">
        <w:t>estimated glomerular filtration rate (</w:t>
      </w:r>
      <w:r>
        <w:t>eGFR</w:t>
      </w:r>
      <w:r w:rsidR="006E7E53">
        <w:t>)</w:t>
      </w:r>
      <w:r>
        <w:t xml:space="preserve"> less than 30</w:t>
      </w:r>
      <w:r w:rsidRPr="00B341E1">
        <w:rPr>
          <w:rFonts w:eastAsia="Calibri"/>
        </w:rPr>
        <w:t xml:space="preserve"> m</w:t>
      </w:r>
      <w:r>
        <w:rPr>
          <w:rFonts w:eastAsia="Calibri"/>
        </w:rPr>
        <w:t>L</w:t>
      </w:r>
      <w:r w:rsidRPr="00B341E1">
        <w:rPr>
          <w:rFonts w:eastAsia="Calibri"/>
        </w:rPr>
        <w:t>/min/1.73 m</w:t>
      </w:r>
      <w:r w:rsidRPr="00B341E1">
        <w:rPr>
          <w:rFonts w:eastAsia="Calibri"/>
          <w:vertAlign w:val="superscript"/>
        </w:rPr>
        <w:t>2</w:t>
      </w:r>
    </w:p>
    <w:p w14:paraId="25454791" w14:textId="77777777" w:rsidR="00650A90" w:rsidRPr="00B630C6" w:rsidRDefault="00650A90" w:rsidP="00650A90">
      <w:pPr>
        <w:pStyle w:val="Bullet"/>
      </w:pPr>
      <w:r>
        <w:rPr>
          <w:rFonts w:eastAsia="Calibri"/>
        </w:rPr>
        <w:lastRenderedPageBreak/>
        <w:t>a h</w:t>
      </w:r>
      <w:r w:rsidRPr="00B630C6">
        <w:rPr>
          <w:rFonts w:eastAsia="Calibri"/>
        </w:rPr>
        <w:t xml:space="preserve">istory of renal </w:t>
      </w:r>
      <w:r>
        <w:rPr>
          <w:rFonts w:eastAsia="Calibri"/>
        </w:rPr>
        <w:t xml:space="preserve">transplantation or of being on </w:t>
      </w:r>
      <w:r w:rsidRPr="00B630C6">
        <w:rPr>
          <w:rFonts w:eastAsia="Calibri"/>
        </w:rPr>
        <w:t>dialysis</w:t>
      </w:r>
    </w:p>
    <w:p w14:paraId="19D5EE9A" w14:textId="77777777" w:rsidR="00EA2EA5" w:rsidRDefault="00650A90" w:rsidP="00650A90">
      <w:pPr>
        <w:pStyle w:val="Bullet"/>
        <w:rPr>
          <w:szCs w:val="22"/>
        </w:rPr>
      </w:pPr>
      <w:r>
        <w:rPr>
          <w:szCs w:val="22"/>
        </w:rPr>
        <w:t>d</w:t>
      </w:r>
      <w:r w:rsidRPr="00D532DF">
        <w:rPr>
          <w:szCs w:val="22"/>
        </w:rPr>
        <w:t>iabetes and overt nephropathy (albumin</w:t>
      </w:r>
      <w:r>
        <w:rPr>
          <w:szCs w:val="22"/>
        </w:rPr>
        <w:t xml:space="preserve"> to </w:t>
      </w:r>
      <w:r w:rsidRPr="00D532DF">
        <w:rPr>
          <w:szCs w:val="22"/>
        </w:rPr>
        <w:t>creatinine ratio greater than</w:t>
      </w:r>
      <w:r>
        <w:rPr>
          <w:szCs w:val="22"/>
        </w:rPr>
        <w:t xml:space="preserve"> or equal to</w:t>
      </w:r>
      <w:r w:rsidRPr="00D532DF">
        <w:rPr>
          <w:szCs w:val="22"/>
        </w:rPr>
        <w:t xml:space="preserve"> 30 mg/mmol)</w:t>
      </w:r>
    </w:p>
    <w:p w14:paraId="6DD746A3" w14:textId="3F2F51A7" w:rsidR="00650A90" w:rsidRDefault="00EA2EA5" w:rsidP="00650A90">
      <w:pPr>
        <w:pStyle w:val="Bullet"/>
        <w:rPr>
          <w:szCs w:val="22"/>
        </w:rPr>
      </w:pPr>
      <w:r w:rsidRPr="00594534">
        <w:rPr>
          <w:szCs w:val="22"/>
        </w:rPr>
        <w:t>diabetes with other renal disease (eGFR less than 45 mL/min/1.73 m</w:t>
      </w:r>
      <w:r w:rsidRPr="00424485">
        <w:rPr>
          <w:szCs w:val="22"/>
          <w:vertAlign w:val="superscript"/>
        </w:rPr>
        <w:t>2</w:t>
      </w:r>
      <w:r w:rsidRPr="00594534">
        <w:rPr>
          <w:szCs w:val="22"/>
        </w:rPr>
        <w:t>)</w:t>
      </w:r>
      <w:r w:rsidR="00650A90">
        <w:rPr>
          <w:szCs w:val="22"/>
        </w:rPr>
        <w:t>.</w:t>
      </w:r>
    </w:p>
    <w:p w14:paraId="75C15664" w14:textId="77777777" w:rsidR="00650A90" w:rsidRDefault="00650A90" w:rsidP="00650A90"/>
    <w:p w14:paraId="76BDC78F" w14:textId="77A8A994" w:rsidR="00650A90" w:rsidRDefault="00650A90" w:rsidP="00650A90">
      <w:r w:rsidRPr="00486E90">
        <w:t>If the patient</w:t>
      </w:r>
      <w:r w:rsidR="00395E0C">
        <w:t>’</w:t>
      </w:r>
      <w:r w:rsidRPr="00486E90">
        <w:t xml:space="preserve">s profile does not meet </w:t>
      </w:r>
      <w:r>
        <w:t xml:space="preserve">any of the </w:t>
      </w:r>
      <w:r w:rsidRPr="00486E90">
        <w:t>exclusion criteria</w:t>
      </w:r>
      <w:r>
        <w:t xml:space="preserve"> listed</w:t>
      </w:r>
      <w:r w:rsidRPr="00486E90">
        <w:t xml:space="preserve"> above or is not otherwise clinically determined as being at very high risk, then a CVD risk calculation can be conducted using the primary prevention equations</w:t>
      </w:r>
      <w:bookmarkStart w:id="13" w:name="_Toc119912084"/>
      <w:r w:rsidRPr="00486E90">
        <w:t>.</w:t>
      </w:r>
    </w:p>
    <w:bookmarkEnd w:id="13"/>
    <w:p w14:paraId="699DABD0" w14:textId="77777777" w:rsidR="00650A90" w:rsidRDefault="00650A90" w:rsidP="00650A90">
      <w:pPr>
        <w:pStyle w:val="Heading3"/>
      </w:pPr>
      <w:r>
        <w:t>Equations that can be used for patients with diabetes</w:t>
      </w:r>
    </w:p>
    <w:p w14:paraId="60D535EF" w14:textId="3AE5335D" w:rsidR="00650A90" w:rsidRDefault="00650A90" w:rsidP="00650A90">
      <w:r>
        <w:t>Either general population or diabetes-specific equations can be used for people with diabetes. However, as the diabetes equation has further diabetes-specific variables included (such as ACR, diabetes medications), it is more accurate and tailored to a patient</w:t>
      </w:r>
      <w:r w:rsidR="00395E0C">
        <w:t>’</w:t>
      </w:r>
      <w:r>
        <w:t>s diabetes risk profile.</w:t>
      </w:r>
    </w:p>
    <w:p w14:paraId="46BB7EFF" w14:textId="77777777" w:rsidR="00650A90" w:rsidRDefault="00650A90" w:rsidP="00650A90"/>
    <w:p w14:paraId="6E82F6D3" w14:textId="6F37FCF5" w:rsidR="00650A90" w:rsidRDefault="00650A90" w:rsidP="00650A90">
      <w:r>
        <w:t>If the full dataset for patients with diabetes is not available, then it is reasonable to calculate the patient</w:t>
      </w:r>
      <w:r w:rsidR="00395E0C">
        <w:t>’</w:t>
      </w:r>
      <w:r>
        <w:t>s risk score using the general population primary prevention equation.</w:t>
      </w:r>
    </w:p>
    <w:p w14:paraId="3143F729" w14:textId="77777777" w:rsidR="00650A90" w:rsidRDefault="00650A90" w:rsidP="00650A90">
      <w:pPr>
        <w:pStyle w:val="Heading3"/>
      </w:pPr>
      <w:r>
        <w:t>Patients with type 1 diabetes</w:t>
      </w:r>
    </w:p>
    <w:p w14:paraId="62C7A703" w14:textId="24BA6BD7" w:rsidR="005D1959" w:rsidRDefault="00650A90" w:rsidP="00650A90">
      <w:r>
        <w:t xml:space="preserve">The PREDICT diabetes-specific primary prevention score has been developed in a cohort of people with type 2 diabetes (or type unknown). The equations can be used for type 1 diabetes, although this </w:t>
      </w:r>
      <w:r w:rsidR="005D1959">
        <w:t>is likely to be</w:t>
      </w:r>
      <w:r>
        <w:t xml:space="preserve"> an underestimate. Future equations for patients with type 1 diabetes will be developed as the PREDICT cohort accrues larger </w:t>
      </w:r>
      <w:r w:rsidRPr="00365CA5">
        <w:t xml:space="preserve">numbers of </w:t>
      </w:r>
      <w:r>
        <w:t xml:space="preserve">people with type 1 diabetes and new scores, as they are developed. </w:t>
      </w:r>
    </w:p>
    <w:p w14:paraId="67643400" w14:textId="77777777" w:rsidR="00650A90" w:rsidRDefault="00650A90" w:rsidP="00650A90">
      <w:pPr>
        <w:pStyle w:val="Heading2"/>
      </w:pPr>
      <w:bookmarkStart w:id="14" w:name="_Toc5806743"/>
      <w:bookmarkStart w:id="15" w:name="_Toc46146732"/>
      <w:r>
        <w:t>Purpose and scope of the data standard</w:t>
      </w:r>
      <w:bookmarkEnd w:id="14"/>
      <w:bookmarkEnd w:id="15"/>
    </w:p>
    <w:p w14:paraId="0A2BDE5D" w14:textId="36679344" w:rsidR="00650A90" w:rsidRDefault="00650A90" w:rsidP="007F3CFD">
      <w:r>
        <w:t>The purpose of the</w:t>
      </w:r>
      <w:r w:rsidRPr="002A1353">
        <w:t xml:space="preserve"> data </w:t>
      </w:r>
      <w:r>
        <w:t>standard</w:t>
      </w:r>
      <w:r w:rsidRPr="002A1353">
        <w:t xml:space="preserve"> </w:t>
      </w:r>
      <w:r>
        <w:t xml:space="preserve">is to support the implementation of CVD risk calculation in </w:t>
      </w:r>
      <w:r w:rsidR="00E817DB">
        <w:t xml:space="preserve">patient management </w:t>
      </w:r>
      <w:r>
        <w:t>systems</w:t>
      </w:r>
      <w:r w:rsidR="003D5D64">
        <w:t xml:space="preserve"> and clinical decision support tools</w:t>
      </w:r>
      <w:r>
        <w:t xml:space="preserve"> by providing specifics of the primary prevention equations and their use.</w:t>
      </w:r>
    </w:p>
    <w:p w14:paraId="46FF9FB1" w14:textId="77777777" w:rsidR="00650A90" w:rsidRDefault="00650A90" w:rsidP="007F3CFD"/>
    <w:p w14:paraId="4FFE3AA6" w14:textId="3E89713E" w:rsidR="00650A90" w:rsidRPr="002A1353" w:rsidRDefault="00650A90" w:rsidP="007F3CFD">
      <w:r>
        <w:t>Th</w:t>
      </w:r>
      <w:r w:rsidR="00954EB0">
        <w:t>e data standard</w:t>
      </w:r>
      <w:r>
        <w:t xml:space="preserve"> includes:</w:t>
      </w:r>
    </w:p>
    <w:p w14:paraId="671CDA3A" w14:textId="39CA33B0" w:rsidR="00650A90" w:rsidRDefault="00650A90" w:rsidP="007F3CFD">
      <w:pPr>
        <w:pStyle w:val="Bullet"/>
      </w:pPr>
      <w:r>
        <w:t xml:space="preserve">a data set specification for the </w:t>
      </w:r>
      <w:r w:rsidR="00BA6E43">
        <w:t>personal health information needed</w:t>
      </w:r>
      <w:r>
        <w:t xml:space="preserve"> for CVD risk calculation</w:t>
      </w:r>
    </w:p>
    <w:p w14:paraId="58ECE0CC" w14:textId="48730D44" w:rsidR="00650A90" w:rsidRDefault="00650A90" w:rsidP="007F3CFD">
      <w:pPr>
        <w:pStyle w:val="Bullet"/>
      </w:pPr>
      <w:r>
        <w:t xml:space="preserve">the set of </w:t>
      </w:r>
      <w:r w:rsidR="00BA6E43">
        <w:t xml:space="preserve">variables and </w:t>
      </w:r>
      <w:r>
        <w:t>coefficients for each primary prevention equation</w:t>
      </w:r>
    </w:p>
    <w:p w14:paraId="1477FB21" w14:textId="3B5F1CF9" w:rsidR="002B0E12" w:rsidRDefault="00650A90" w:rsidP="007F3CFD">
      <w:pPr>
        <w:pStyle w:val="Bullet"/>
        <w:tabs>
          <w:tab w:val="clear" w:pos="284"/>
        </w:tabs>
      </w:pPr>
      <w:r>
        <w:t xml:space="preserve">requirements for </w:t>
      </w:r>
      <w:r w:rsidR="00BA6E43">
        <w:t>software tools implementing the primary prevention equations and supporting CVD risk assessment</w:t>
      </w:r>
      <w:r w:rsidR="00FF3C18">
        <w:t>.</w:t>
      </w:r>
    </w:p>
    <w:p w14:paraId="74DFDCCE" w14:textId="77777777" w:rsidR="00CD0A34" w:rsidRPr="00CD0A34" w:rsidRDefault="00CD0A34" w:rsidP="002F17DC">
      <w:pPr>
        <w:pStyle w:val="Heading2"/>
      </w:pPr>
      <w:bookmarkStart w:id="16" w:name="_Toc37860746"/>
      <w:bookmarkStart w:id="17" w:name="_Toc46146733"/>
      <w:r w:rsidRPr="00CD0A34">
        <w:lastRenderedPageBreak/>
        <w:t>Revision history</w:t>
      </w:r>
      <w:bookmarkEnd w:id="16"/>
      <w:bookmarkEnd w:id="17"/>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6234"/>
      </w:tblGrid>
      <w:tr w:rsidR="00CD0A34" w:rsidRPr="001D1210" w14:paraId="7CB3990E" w14:textId="77777777" w:rsidTr="3ADDC19A">
        <w:trPr>
          <w:cantSplit/>
        </w:trPr>
        <w:tc>
          <w:tcPr>
            <w:tcW w:w="114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B26BDB3" w14:textId="01F466BB" w:rsidR="00CD0A34" w:rsidRPr="001656EA" w:rsidRDefault="00CD0A34" w:rsidP="00AC6F2D">
            <w:pPr>
              <w:pStyle w:val="Bullet"/>
              <w:numPr>
                <w:ilvl w:val="0"/>
                <w:numId w:val="0"/>
              </w:numPr>
              <w:spacing w:before="60" w:after="60"/>
              <w:rPr>
                <w:b/>
                <w:sz w:val="18"/>
                <w:szCs w:val="18"/>
              </w:rPr>
            </w:pPr>
            <w:r w:rsidRPr="001656EA">
              <w:rPr>
                <w:b/>
                <w:sz w:val="18"/>
                <w:szCs w:val="18"/>
              </w:rPr>
              <w:t>28 May 2019</w:t>
            </w:r>
          </w:p>
        </w:tc>
        <w:tc>
          <w:tcPr>
            <w:tcW w:w="3858" w:type="pct"/>
            <w:tcBorders>
              <w:top w:val="single" w:sz="4" w:space="0" w:color="A6A6A6" w:themeColor="background1" w:themeShade="A6"/>
              <w:left w:val="nil"/>
              <w:bottom w:val="single" w:sz="4" w:space="0" w:color="A6A6A6" w:themeColor="background1" w:themeShade="A6"/>
              <w:right w:val="nil"/>
            </w:tcBorders>
            <w:shd w:val="clear" w:color="auto" w:fill="auto"/>
          </w:tcPr>
          <w:p w14:paraId="28486767" w14:textId="180867E1" w:rsidR="00CD0A34" w:rsidRPr="001D1210" w:rsidRDefault="00CD0A34" w:rsidP="00AC6F2D">
            <w:pPr>
              <w:pStyle w:val="Bullet"/>
              <w:numPr>
                <w:ilvl w:val="0"/>
                <w:numId w:val="0"/>
              </w:numPr>
              <w:spacing w:before="60" w:after="60"/>
              <w:ind w:left="284" w:hanging="284"/>
              <w:rPr>
                <w:sz w:val="18"/>
                <w:szCs w:val="18"/>
              </w:rPr>
            </w:pPr>
            <w:r w:rsidRPr="001D1210">
              <w:rPr>
                <w:sz w:val="18"/>
                <w:szCs w:val="18"/>
              </w:rPr>
              <w:t>First published</w:t>
            </w:r>
          </w:p>
        </w:tc>
      </w:tr>
      <w:tr w:rsidR="00CD0A34" w:rsidRPr="001D1210" w14:paraId="1373B97A" w14:textId="77777777" w:rsidTr="3ADDC19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103A899" w14:textId="6CF68818" w:rsidR="00CD0A34" w:rsidRPr="001656EA" w:rsidRDefault="00B8473E" w:rsidP="00AC6F2D">
            <w:pPr>
              <w:pStyle w:val="Bullet"/>
              <w:numPr>
                <w:ilvl w:val="0"/>
                <w:numId w:val="0"/>
              </w:numPr>
              <w:spacing w:before="60" w:after="60"/>
              <w:ind w:left="284" w:hanging="284"/>
              <w:rPr>
                <w:b/>
                <w:sz w:val="18"/>
                <w:szCs w:val="18"/>
              </w:rPr>
            </w:pPr>
            <w:r>
              <w:rPr>
                <w:b/>
                <w:sz w:val="18"/>
                <w:szCs w:val="18"/>
              </w:rPr>
              <w:t>2</w:t>
            </w:r>
            <w:r w:rsidR="007468B9">
              <w:rPr>
                <w:b/>
                <w:sz w:val="18"/>
                <w:szCs w:val="18"/>
              </w:rPr>
              <w:t>1</w:t>
            </w:r>
            <w:r>
              <w:rPr>
                <w:b/>
                <w:sz w:val="18"/>
                <w:szCs w:val="18"/>
              </w:rPr>
              <w:t xml:space="preserve"> July</w:t>
            </w:r>
            <w:r w:rsidR="00CD0A34" w:rsidRPr="001656EA">
              <w:rPr>
                <w:b/>
                <w:sz w:val="18"/>
                <w:szCs w:val="18"/>
              </w:rPr>
              <w:t xml:space="preserve"> 2020</w:t>
            </w:r>
          </w:p>
        </w:tc>
        <w:tc>
          <w:tcPr>
            <w:tcW w:w="3858" w:type="pct"/>
            <w:tcBorders>
              <w:top w:val="single" w:sz="4" w:space="0" w:color="A6A6A6" w:themeColor="background1" w:themeShade="A6"/>
              <w:left w:val="nil"/>
              <w:bottom w:val="single" w:sz="4" w:space="0" w:color="A6A6A6" w:themeColor="background1" w:themeShade="A6"/>
              <w:right w:val="nil"/>
            </w:tcBorders>
            <w:shd w:val="clear" w:color="auto" w:fill="auto"/>
          </w:tcPr>
          <w:p w14:paraId="3DC27C3A" w14:textId="77777777" w:rsidR="001C68D8" w:rsidRPr="001D1210" w:rsidRDefault="001C68D8" w:rsidP="00AC6F2D">
            <w:pPr>
              <w:pStyle w:val="Bullet"/>
              <w:numPr>
                <w:ilvl w:val="0"/>
                <w:numId w:val="0"/>
              </w:numPr>
              <w:spacing w:before="60" w:after="60"/>
              <w:ind w:left="284" w:hanging="284"/>
              <w:rPr>
                <w:sz w:val="18"/>
                <w:szCs w:val="18"/>
              </w:rPr>
            </w:pPr>
            <w:r w:rsidRPr="001D1210">
              <w:rPr>
                <w:sz w:val="18"/>
                <w:szCs w:val="18"/>
              </w:rPr>
              <w:t>Minor update to:</w:t>
            </w:r>
          </w:p>
          <w:p w14:paraId="136FB6BD" w14:textId="77777777" w:rsidR="00CD0A34" w:rsidRPr="001D1210" w:rsidRDefault="001C68D8" w:rsidP="001C68D8">
            <w:pPr>
              <w:pStyle w:val="Bullet"/>
              <w:numPr>
                <w:ilvl w:val="0"/>
                <w:numId w:val="48"/>
              </w:numPr>
              <w:spacing w:before="60" w:after="60"/>
              <w:rPr>
                <w:sz w:val="18"/>
                <w:szCs w:val="18"/>
              </w:rPr>
            </w:pPr>
            <w:r w:rsidRPr="001D1210">
              <w:rPr>
                <w:sz w:val="18"/>
                <w:szCs w:val="18"/>
              </w:rPr>
              <w:t xml:space="preserve">Align description of exclusion criteria with the published clinical guidelines </w:t>
            </w:r>
          </w:p>
          <w:p w14:paraId="4E94B3B4" w14:textId="77777777" w:rsidR="001C68D8" w:rsidRPr="001D1210" w:rsidRDefault="001D1210" w:rsidP="001C68D8">
            <w:pPr>
              <w:pStyle w:val="Bullet"/>
              <w:numPr>
                <w:ilvl w:val="0"/>
                <w:numId w:val="48"/>
              </w:numPr>
              <w:spacing w:before="60" w:after="60"/>
              <w:rPr>
                <w:sz w:val="18"/>
                <w:szCs w:val="18"/>
              </w:rPr>
            </w:pPr>
            <w:r w:rsidRPr="001D1210">
              <w:rPr>
                <w:sz w:val="18"/>
                <w:szCs w:val="18"/>
              </w:rPr>
              <w:t>Standardise equation names</w:t>
            </w:r>
          </w:p>
          <w:p w14:paraId="79140855" w14:textId="0C86F6B0" w:rsidR="001D1210" w:rsidRPr="001D1210" w:rsidRDefault="001D1210" w:rsidP="001C68D8">
            <w:pPr>
              <w:pStyle w:val="Bullet"/>
              <w:numPr>
                <w:ilvl w:val="0"/>
                <w:numId w:val="48"/>
              </w:numPr>
              <w:spacing w:before="60" w:after="60"/>
              <w:rPr>
                <w:sz w:val="18"/>
                <w:szCs w:val="18"/>
              </w:rPr>
            </w:pPr>
            <w:r w:rsidRPr="001D1210">
              <w:rPr>
                <w:sz w:val="18"/>
                <w:szCs w:val="18"/>
              </w:rPr>
              <w:t xml:space="preserve">Add </w:t>
            </w:r>
            <w:r w:rsidR="00B07F5D">
              <w:rPr>
                <w:sz w:val="18"/>
                <w:szCs w:val="18"/>
              </w:rPr>
              <w:t xml:space="preserve">test cases and </w:t>
            </w:r>
            <w:r w:rsidRPr="001D1210">
              <w:rPr>
                <w:sz w:val="18"/>
                <w:szCs w:val="18"/>
              </w:rPr>
              <w:t>worked examples</w:t>
            </w:r>
          </w:p>
          <w:p w14:paraId="157A64A5" w14:textId="30B27CCE" w:rsidR="008B1EFB" w:rsidRPr="00B8473E" w:rsidRDefault="001656EA" w:rsidP="00B8473E">
            <w:pPr>
              <w:pStyle w:val="Bullet"/>
              <w:numPr>
                <w:ilvl w:val="0"/>
                <w:numId w:val="48"/>
              </w:numPr>
              <w:spacing w:before="60" w:after="60"/>
              <w:rPr>
                <w:sz w:val="18"/>
                <w:szCs w:val="18"/>
              </w:rPr>
            </w:pPr>
            <w:r>
              <w:rPr>
                <w:sz w:val="18"/>
                <w:szCs w:val="18"/>
              </w:rPr>
              <w:t>Add SNOMED CT concepts for the equations</w:t>
            </w:r>
          </w:p>
        </w:tc>
      </w:tr>
      <w:tr w:rsidR="00516F79" w:rsidRPr="001D1210" w14:paraId="3B63686C" w14:textId="77777777" w:rsidTr="3ADDC19A">
        <w:trPr>
          <w:cantSplit/>
          <w:trHeight w:val="300"/>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62290BD" w14:textId="30A1726B" w:rsidR="00516F79" w:rsidRDefault="00516F79" w:rsidP="3ADDC19A">
            <w:pPr>
              <w:pStyle w:val="Bullet"/>
              <w:numPr>
                <w:ilvl w:val="0"/>
                <w:numId w:val="0"/>
              </w:numPr>
              <w:spacing w:before="60" w:after="60"/>
              <w:ind w:left="284" w:hanging="284"/>
              <w:rPr>
                <w:b/>
                <w:bCs/>
                <w:sz w:val="18"/>
                <w:szCs w:val="18"/>
                <w:lang w:eastAsia="zh-CN"/>
              </w:rPr>
            </w:pPr>
            <w:r w:rsidRPr="3ADDC19A">
              <w:rPr>
                <w:b/>
                <w:bCs/>
                <w:sz w:val="18"/>
                <w:szCs w:val="18"/>
                <w:lang w:eastAsia="zh-CN"/>
              </w:rPr>
              <w:t>3 September</w:t>
            </w:r>
            <w:r w:rsidRPr="3ADDC19A">
              <w:rPr>
                <w:b/>
                <w:bCs/>
                <w:sz w:val="18"/>
                <w:szCs w:val="18"/>
              </w:rPr>
              <w:t xml:space="preserve"> </w:t>
            </w:r>
            <w:r w:rsidRPr="3ADDC19A">
              <w:rPr>
                <w:b/>
                <w:bCs/>
                <w:sz w:val="18"/>
                <w:szCs w:val="18"/>
                <w:lang w:eastAsia="zh-CN"/>
              </w:rPr>
              <w:t>2024</w:t>
            </w:r>
          </w:p>
        </w:tc>
        <w:tc>
          <w:tcPr>
            <w:tcW w:w="3858" w:type="pct"/>
            <w:tcBorders>
              <w:top w:val="single" w:sz="4" w:space="0" w:color="A6A6A6" w:themeColor="background1" w:themeShade="A6"/>
              <w:left w:val="nil"/>
              <w:bottom w:val="single" w:sz="4" w:space="0" w:color="A6A6A6" w:themeColor="background1" w:themeShade="A6"/>
              <w:right w:val="nil"/>
            </w:tcBorders>
            <w:shd w:val="clear" w:color="auto" w:fill="auto"/>
          </w:tcPr>
          <w:p w14:paraId="79B44D31" w14:textId="3352DC6F" w:rsidR="00516F79" w:rsidRDefault="00516F79" w:rsidP="00516F79">
            <w:pPr>
              <w:pStyle w:val="Bullet"/>
              <w:numPr>
                <w:ilvl w:val="0"/>
                <w:numId w:val="0"/>
              </w:numPr>
              <w:spacing w:before="60" w:after="60"/>
              <w:ind w:left="284" w:hanging="284"/>
              <w:rPr>
                <w:sz w:val="18"/>
                <w:szCs w:val="18"/>
              </w:rPr>
            </w:pPr>
            <w:r w:rsidRPr="3ADDC19A">
              <w:rPr>
                <w:sz w:val="18"/>
                <w:szCs w:val="18"/>
              </w:rPr>
              <w:t>Minor change:</w:t>
            </w:r>
          </w:p>
          <w:p w14:paraId="57177EAC" w14:textId="02987788" w:rsidR="00516F79" w:rsidRPr="001D1210" w:rsidRDefault="00516F79" w:rsidP="3ADDC19A">
            <w:pPr>
              <w:pStyle w:val="Bullet"/>
              <w:spacing w:before="60" w:after="60"/>
              <w:rPr>
                <w:sz w:val="18"/>
                <w:szCs w:val="18"/>
              </w:rPr>
            </w:pPr>
            <w:r w:rsidRPr="3ADDC19A">
              <w:rPr>
                <w:sz w:val="18"/>
                <w:szCs w:val="18"/>
              </w:rPr>
              <w:t>Highlight the SNOMED CT concepts with hyperlinks in blue</w:t>
            </w:r>
          </w:p>
        </w:tc>
      </w:tr>
    </w:tbl>
    <w:p w14:paraId="5E471409" w14:textId="77777777" w:rsidR="00650A90" w:rsidRPr="009D4F38" w:rsidRDefault="00650A90" w:rsidP="00650A90"/>
    <w:p w14:paraId="7DAE9D48" w14:textId="77777777" w:rsidR="00650A90" w:rsidRDefault="00650A90" w:rsidP="002D3B41">
      <w:pPr>
        <w:pStyle w:val="Heading1"/>
        <w:ind w:right="-284"/>
      </w:pPr>
      <w:bookmarkStart w:id="18" w:name="_Toc532240020"/>
      <w:bookmarkStart w:id="19" w:name="_Toc532240024"/>
      <w:bookmarkStart w:id="20" w:name="_Toc5806745"/>
      <w:bookmarkStart w:id="21" w:name="_Toc46146734"/>
      <w:bookmarkEnd w:id="18"/>
      <w:bookmarkEnd w:id="19"/>
      <w:r>
        <w:lastRenderedPageBreak/>
        <w:t>Data set specification</w:t>
      </w:r>
      <w:bookmarkEnd w:id="20"/>
      <w:bookmarkEnd w:id="21"/>
    </w:p>
    <w:p w14:paraId="2ED4BB88" w14:textId="77777777" w:rsidR="00650A90" w:rsidRDefault="00650A90" w:rsidP="002D3B41">
      <w:r>
        <w:t>This section provides a data set specification for</w:t>
      </w:r>
      <w:r w:rsidRPr="002A1353">
        <w:t xml:space="preserve"> </w:t>
      </w:r>
      <w:r>
        <w:t>the input variables required for CVD risk calculation using the primary prevention equations</w:t>
      </w:r>
      <w:r w:rsidRPr="002A1353">
        <w:t>.</w:t>
      </w:r>
    </w:p>
    <w:p w14:paraId="64F25E39" w14:textId="77777777" w:rsidR="002D3B41" w:rsidRDefault="002D3B41" w:rsidP="002D3B41"/>
    <w:p w14:paraId="322B2B4C" w14:textId="77777777" w:rsidR="00650A90" w:rsidRDefault="00650A90" w:rsidP="002D3B41">
      <w:r>
        <w:t>The data set covers:</w:t>
      </w:r>
    </w:p>
    <w:p w14:paraId="3D28C2C0" w14:textId="7276AE45" w:rsidR="00650A90" w:rsidRDefault="002D3B41" w:rsidP="002D3B41">
      <w:pPr>
        <w:pStyle w:val="Bullet"/>
      </w:pPr>
      <w:r>
        <w:t>p</w:t>
      </w:r>
      <w:r w:rsidR="00650A90">
        <w:t>ersonal demographics</w:t>
      </w:r>
    </w:p>
    <w:p w14:paraId="5FC405CE" w14:textId="37D2F0D1" w:rsidR="00650A90" w:rsidRDefault="002D3B41" w:rsidP="002D3B41">
      <w:pPr>
        <w:pStyle w:val="Bullet"/>
      </w:pPr>
      <w:r>
        <w:t>p</w:t>
      </w:r>
      <w:r w:rsidR="00650A90">
        <w:t>rior CVD</w:t>
      </w:r>
      <w:r w:rsidR="00650A90" w:rsidRPr="0091005C">
        <w:t xml:space="preserve"> </w:t>
      </w:r>
      <w:r w:rsidR="00650A90">
        <w:t>and other exclusion criteria</w:t>
      </w:r>
    </w:p>
    <w:p w14:paraId="7E1FA9AA" w14:textId="2646F852" w:rsidR="00650A90" w:rsidRDefault="002D3B41" w:rsidP="002D3B41">
      <w:pPr>
        <w:pStyle w:val="Bullet"/>
      </w:pPr>
      <w:r>
        <w:t>c</w:t>
      </w:r>
      <w:r w:rsidR="00650A90">
        <w:t>linical history</w:t>
      </w:r>
    </w:p>
    <w:p w14:paraId="1FBCEC4D" w14:textId="2535F01B" w:rsidR="00650A90" w:rsidRDefault="002D3B41" w:rsidP="002D3B41">
      <w:pPr>
        <w:pStyle w:val="Bullet"/>
      </w:pPr>
      <w:r>
        <w:t>s</w:t>
      </w:r>
      <w:r w:rsidR="00650A90">
        <w:t>elf-reported history</w:t>
      </w:r>
    </w:p>
    <w:p w14:paraId="2DC1FE18" w14:textId="0BB67425" w:rsidR="00650A90" w:rsidRDefault="002D3B41" w:rsidP="002D3B41">
      <w:pPr>
        <w:pStyle w:val="Bullet"/>
      </w:pPr>
      <w:r>
        <w:t>m</w:t>
      </w:r>
      <w:r w:rsidR="00650A90">
        <w:t>easured risk factors</w:t>
      </w:r>
    </w:p>
    <w:p w14:paraId="063DBA6F" w14:textId="3407AA4A" w:rsidR="00650A90" w:rsidRDefault="002D3B41" w:rsidP="002D3B41">
      <w:pPr>
        <w:pStyle w:val="Bullet"/>
      </w:pPr>
      <w:r>
        <w:t>m</w:t>
      </w:r>
      <w:r w:rsidR="00650A90">
        <w:t>edication.</w:t>
      </w:r>
    </w:p>
    <w:p w14:paraId="251CA529" w14:textId="32B2B3B3" w:rsidR="00764A48" w:rsidRDefault="00B765F4" w:rsidP="00EB2768">
      <w:pPr>
        <w:pStyle w:val="Heading4"/>
      </w:pPr>
      <w:r>
        <w:t>Data element template</w:t>
      </w:r>
    </w:p>
    <w:p w14:paraId="0925F464" w14:textId="6F56ADF4" w:rsidR="00650A90" w:rsidRDefault="00650A90" w:rsidP="002D3B41">
      <w:r>
        <w:t>D</w:t>
      </w:r>
      <w:r w:rsidRPr="007B116A">
        <w:t xml:space="preserve">ata element </w:t>
      </w:r>
      <w:r>
        <w:t>specifications in this standard conform to the requirements of</w:t>
      </w:r>
      <w:r w:rsidRPr="007B116A">
        <w:t xml:space="preserve"> </w:t>
      </w:r>
      <w:r w:rsidRPr="00DD6385">
        <w:rPr>
          <w:i/>
        </w:rPr>
        <w:t>ISO/IEC 11179</w:t>
      </w:r>
      <w:r w:rsidRPr="007B116A">
        <w:t xml:space="preserve"> </w:t>
      </w:r>
      <w:r w:rsidRPr="007B116A">
        <w:rPr>
          <w:i/>
        </w:rPr>
        <w:t xml:space="preserve">Information Technology – </w:t>
      </w:r>
      <w:r>
        <w:rPr>
          <w:i/>
        </w:rPr>
        <w:t>Metadata Registries (MDR)</w:t>
      </w:r>
      <w:r w:rsidRPr="007B116A">
        <w:t>.</w:t>
      </w:r>
      <w:r w:rsidRPr="002D3B41">
        <w:rPr>
          <w:rStyle w:val="FootnoteReference"/>
        </w:rPr>
        <w:footnoteReference w:id="2"/>
      </w:r>
    </w:p>
    <w:p w14:paraId="101D5F6C" w14:textId="77777777" w:rsidR="00650A90" w:rsidRDefault="00650A90" w:rsidP="004470FF"/>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1737"/>
        <w:gridCol w:w="2709"/>
      </w:tblGrid>
      <w:tr w:rsidR="00650A90" w:rsidRPr="008D448E" w14:paraId="4A375E0D" w14:textId="77777777" w:rsidTr="004470F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51E26376" w14:textId="77777777" w:rsidR="00650A90" w:rsidRPr="004470FF" w:rsidRDefault="00650A90" w:rsidP="004470F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50E8CAA" w14:textId="77777777" w:rsidR="00650A90" w:rsidRPr="008D448E" w:rsidRDefault="00650A90" w:rsidP="004470FF">
            <w:pPr>
              <w:pStyle w:val="TableText"/>
            </w:pPr>
            <w:r w:rsidRPr="008D448E">
              <w:t xml:space="preserve">A statement that expresses the essential nature of the data element and its differentiation from other elements </w:t>
            </w:r>
            <w:r>
              <w:t>in the data set.</w:t>
            </w:r>
          </w:p>
        </w:tc>
      </w:tr>
      <w:tr w:rsidR="00650A90" w:rsidRPr="008D448E" w14:paraId="38A45932" w14:textId="77777777" w:rsidTr="004470F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9200226" w14:textId="77777777" w:rsidR="00650A90" w:rsidRPr="004470FF" w:rsidRDefault="00650A90" w:rsidP="004470F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6BFF3515" w14:textId="6B1B2A72" w:rsidR="00650A90" w:rsidRPr="008D448E" w:rsidRDefault="00650A90">
            <w:pPr>
              <w:pStyle w:val="TableText"/>
            </w:pPr>
            <w:r>
              <w:t>E</w:t>
            </w:r>
            <w:r w:rsidRPr="008D448E">
              <w:t xml:space="preserve">stablished </w:t>
            </w:r>
            <w:r w:rsidR="00747D5F">
              <w:t>standards</w:t>
            </w:r>
            <w:r w:rsidRPr="008D448E">
              <w:t xml:space="preserve"> or guidelines </w:t>
            </w:r>
            <w:r>
              <w:t>pertaining to the data element.</w:t>
            </w:r>
          </w:p>
        </w:tc>
      </w:tr>
      <w:tr w:rsidR="004470FF" w:rsidRPr="008D448E" w14:paraId="009281B7" w14:textId="77777777" w:rsidTr="004470F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3FEA2AA" w14:textId="77777777" w:rsidR="00650A90" w:rsidRPr="004470FF" w:rsidRDefault="00650A90" w:rsidP="004470F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2AB322E2" w14:textId="77777777" w:rsidR="00650A90" w:rsidRDefault="00650A90" w:rsidP="004470FF">
            <w:pPr>
              <w:pStyle w:val="TableText"/>
              <w:rPr>
                <w:rFonts w:cs="Arial"/>
              </w:rPr>
            </w:pPr>
            <w:r>
              <w:rPr>
                <w:rFonts w:cs="Arial"/>
              </w:rPr>
              <w:t>Alphabetic (A)</w:t>
            </w:r>
          </w:p>
          <w:p w14:paraId="354E0AC0" w14:textId="77777777" w:rsidR="00650A90" w:rsidRDefault="00650A90" w:rsidP="004470FF">
            <w:pPr>
              <w:pStyle w:val="TableText"/>
              <w:rPr>
                <w:rFonts w:cs="Arial"/>
              </w:rPr>
            </w:pPr>
            <w:r>
              <w:rPr>
                <w:rFonts w:cs="Arial"/>
              </w:rPr>
              <w:t>Date</w:t>
            </w:r>
          </w:p>
          <w:p w14:paraId="0DFF28A4" w14:textId="77777777" w:rsidR="00650A90" w:rsidRDefault="00650A90" w:rsidP="004470FF">
            <w:pPr>
              <w:pStyle w:val="TableText"/>
              <w:rPr>
                <w:rFonts w:cs="Arial"/>
              </w:rPr>
            </w:pPr>
            <w:r>
              <w:rPr>
                <w:rFonts w:cs="Arial"/>
              </w:rPr>
              <w:t>Date/time</w:t>
            </w:r>
          </w:p>
          <w:p w14:paraId="10C6DA99" w14:textId="77777777" w:rsidR="00650A90" w:rsidRDefault="00650A90" w:rsidP="004470FF">
            <w:pPr>
              <w:pStyle w:val="TableText"/>
              <w:rPr>
                <w:rFonts w:cs="Arial"/>
              </w:rPr>
            </w:pPr>
            <w:r w:rsidRPr="007B116A">
              <w:rPr>
                <w:rFonts w:cs="Arial"/>
              </w:rPr>
              <w:t>Numeric (N</w:t>
            </w:r>
            <w:r>
              <w:rPr>
                <w:rFonts w:cs="Arial"/>
              </w:rPr>
              <w:t>)</w:t>
            </w:r>
          </w:p>
          <w:p w14:paraId="37BCC9D8" w14:textId="77777777" w:rsidR="00650A90" w:rsidRDefault="00650A90" w:rsidP="004470FF">
            <w:pPr>
              <w:pStyle w:val="TableText"/>
              <w:rPr>
                <w:rFonts w:cs="Arial"/>
              </w:rPr>
            </w:pPr>
            <w:r>
              <w:rPr>
                <w:rFonts w:cs="Arial"/>
              </w:rPr>
              <w:t>Alphanumeric (X)</w:t>
            </w:r>
          </w:p>
          <w:p w14:paraId="60982807" w14:textId="77777777" w:rsidR="00650A90" w:rsidRDefault="00650A90" w:rsidP="004470FF">
            <w:pPr>
              <w:pStyle w:val="TableText"/>
              <w:rPr>
                <w:rFonts w:cs="Arial"/>
              </w:rPr>
            </w:pPr>
            <w:r>
              <w:rPr>
                <w:rFonts w:cs="Arial"/>
              </w:rPr>
              <w:t>Boolean</w:t>
            </w:r>
          </w:p>
          <w:p w14:paraId="48447619" w14:textId="66BD0EA2" w:rsidR="00650A90" w:rsidRPr="008D448E" w:rsidRDefault="00650A90">
            <w:pPr>
              <w:pStyle w:val="TableText"/>
            </w:pPr>
            <w:r>
              <w:rPr>
                <w:rFonts w:cs="Arial"/>
              </w:rPr>
              <w:t xml:space="preserve">SNOMED </w:t>
            </w:r>
            <w:r w:rsidR="00CC6D03">
              <w:rPr>
                <w:rFonts w:cs="Arial"/>
              </w:rPr>
              <w:t xml:space="preserve">CT </w:t>
            </w:r>
            <w:r>
              <w:rPr>
                <w:rFonts w:cs="Arial"/>
              </w:rPr>
              <w:t>id</w:t>
            </w:r>
            <w:r w:rsidR="00CC6D03">
              <w:rPr>
                <w:rFonts w:cs="Arial"/>
              </w:rPr>
              <w:t>entifier</w:t>
            </w:r>
          </w:p>
        </w:tc>
        <w:tc>
          <w:tcPr>
            <w:tcW w:w="1090"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57389F5" w14:textId="77777777" w:rsidR="00650A90" w:rsidRPr="004470FF" w:rsidRDefault="00650A90" w:rsidP="004470FF">
            <w:pPr>
              <w:pStyle w:val="TableText"/>
              <w:rPr>
                <w:b/>
              </w:rPr>
            </w:pPr>
            <w:r w:rsidRPr="004470FF">
              <w:rPr>
                <w:b/>
              </w:rPr>
              <w:t>Representational class</w:t>
            </w:r>
          </w:p>
        </w:tc>
        <w:tc>
          <w:tcPr>
            <w:tcW w:w="1701" w:type="pct"/>
            <w:tcBorders>
              <w:top w:val="single" w:sz="4" w:space="0" w:color="A6A6A6" w:themeColor="background1" w:themeShade="A6"/>
              <w:left w:val="nil"/>
              <w:bottom w:val="single" w:sz="4" w:space="0" w:color="A6A6A6" w:themeColor="background1" w:themeShade="A6"/>
              <w:right w:val="nil"/>
            </w:tcBorders>
            <w:shd w:val="clear" w:color="auto" w:fill="auto"/>
          </w:tcPr>
          <w:p w14:paraId="53E5E6EB" w14:textId="77777777" w:rsidR="00747D5F" w:rsidRDefault="00650A90" w:rsidP="004470FF">
            <w:pPr>
              <w:pStyle w:val="TableText"/>
              <w:rPr>
                <w:rFonts w:cs="Arial"/>
              </w:rPr>
            </w:pPr>
            <w:r>
              <w:rPr>
                <w:rFonts w:cs="Arial"/>
              </w:rPr>
              <w:t>C</w:t>
            </w:r>
            <w:r w:rsidRPr="007B116A">
              <w:rPr>
                <w:rFonts w:cs="Arial"/>
              </w:rPr>
              <w:t>ode</w:t>
            </w:r>
          </w:p>
          <w:p w14:paraId="39FEC72B" w14:textId="2A8E9173" w:rsidR="00747D5F" w:rsidRDefault="00747D5F" w:rsidP="004470FF">
            <w:pPr>
              <w:pStyle w:val="TableText"/>
              <w:rPr>
                <w:rFonts w:cs="Arial"/>
              </w:rPr>
            </w:pPr>
            <w:r>
              <w:rPr>
                <w:rFonts w:cs="Arial"/>
              </w:rPr>
              <w:t>F</w:t>
            </w:r>
            <w:r w:rsidR="00650A90">
              <w:rPr>
                <w:rFonts w:cs="Arial"/>
              </w:rPr>
              <w:t>ree text</w:t>
            </w:r>
          </w:p>
          <w:p w14:paraId="0ABD060C" w14:textId="3A6EA518" w:rsidR="00747D5F" w:rsidRDefault="00747D5F" w:rsidP="004470FF">
            <w:pPr>
              <w:pStyle w:val="TableText"/>
              <w:rPr>
                <w:rFonts w:cs="Arial"/>
              </w:rPr>
            </w:pPr>
            <w:r>
              <w:rPr>
                <w:rFonts w:cs="Arial"/>
              </w:rPr>
              <w:t>V</w:t>
            </w:r>
            <w:r w:rsidR="00650A90">
              <w:rPr>
                <w:rFonts w:cs="Arial"/>
              </w:rPr>
              <w:t>alue</w:t>
            </w:r>
          </w:p>
          <w:p w14:paraId="7290A696" w14:textId="77777777" w:rsidR="00650A90" w:rsidRDefault="00747D5F" w:rsidP="004470FF">
            <w:pPr>
              <w:pStyle w:val="TableText"/>
              <w:rPr>
                <w:rFonts w:cs="Arial"/>
              </w:rPr>
            </w:pPr>
            <w:r>
              <w:rPr>
                <w:rFonts w:cs="Arial"/>
              </w:rPr>
              <w:t>I</w:t>
            </w:r>
            <w:r w:rsidR="00650A90">
              <w:rPr>
                <w:rFonts w:cs="Arial"/>
              </w:rPr>
              <w:t>dentifier</w:t>
            </w:r>
          </w:p>
          <w:p w14:paraId="1C3A3867" w14:textId="3B634038" w:rsidR="00B85D91" w:rsidRPr="008D448E" w:rsidRDefault="00B85D91" w:rsidP="004470FF">
            <w:pPr>
              <w:pStyle w:val="TableText"/>
            </w:pPr>
            <w:r>
              <w:rPr>
                <w:rFonts w:cs="Arial"/>
              </w:rPr>
              <w:t>Indicator</w:t>
            </w:r>
          </w:p>
        </w:tc>
      </w:tr>
      <w:tr w:rsidR="00650A90" w:rsidRPr="008D448E" w14:paraId="230AB070" w14:textId="77777777" w:rsidTr="004470F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0F870919" w14:textId="77777777" w:rsidR="00650A90" w:rsidRPr="004470FF" w:rsidRDefault="00650A90" w:rsidP="004470F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4A74BFBA" w14:textId="77777777" w:rsidR="00650A90" w:rsidRPr="008D448E" w:rsidRDefault="00650A90" w:rsidP="004470FF">
            <w:pPr>
              <w:pStyle w:val="TableText"/>
            </w:pPr>
            <w:r>
              <w:rPr>
                <w:rFonts w:cs="Arial"/>
              </w:rPr>
              <w:t>Maximum number of characters</w:t>
            </w:r>
          </w:p>
        </w:tc>
        <w:tc>
          <w:tcPr>
            <w:tcW w:w="1090"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7BEC1806" w14:textId="77777777" w:rsidR="00650A90" w:rsidRPr="004470FF" w:rsidRDefault="00650A90" w:rsidP="004470FF">
            <w:pPr>
              <w:pStyle w:val="TableText"/>
              <w:rPr>
                <w:b/>
              </w:rPr>
            </w:pPr>
            <w:r w:rsidRPr="004470FF">
              <w:rPr>
                <w:b/>
              </w:rPr>
              <w:t>Representational layout</w:t>
            </w:r>
          </w:p>
        </w:tc>
        <w:tc>
          <w:tcPr>
            <w:tcW w:w="1701" w:type="pct"/>
            <w:tcBorders>
              <w:top w:val="single" w:sz="4" w:space="0" w:color="A6A6A6" w:themeColor="background1" w:themeShade="A6"/>
              <w:left w:val="nil"/>
              <w:bottom w:val="single" w:sz="4" w:space="0" w:color="A6A6A6" w:themeColor="background1" w:themeShade="A6"/>
              <w:right w:val="nil"/>
            </w:tcBorders>
            <w:shd w:val="clear" w:color="auto" w:fill="auto"/>
          </w:tcPr>
          <w:p w14:paraId="2B62916C" w14:textId="6564682C" w:rsidR="00650A90" w:rsidRDefault="00CC6D03" w:rsidP="004470FF">
            <w:pPr>
              <w:pStyle w:val="TableText"/>
              <w:rPr>
                <w:rFonts w:cs="Arial"/>
              </w:rPr>
            </w:pPr>
            <w:r>
              <w:rPr>
                <w:rFonts w:cs="Arial"/>
              </w:rPr>
              <w:t>For example</w:t>
            </w:r>
            <w:r w:rsidR="00650A90">
              <w:rPr>
                <w:rFonts w:cs="Arial"/>
              </w:rPr>
              <w:t>:</w:t>
            </w:r>
          </w:p>
          <w:p w14:paraId="7F719DA5" w14:textId="384E14C6" w:rsidR="00650A90" w:rsidRDefault="00747D5F" w:rsidP="004470FF">
            <w:pPr>
              <w:pStyle w:val="TableBullet"/>
            </w:pPr>
            <w:proofErr w:type="gramStart"/>
            <w:r>
              <w:t>X</w:t>
            </w:r>
            <w:r w:rsidR="00650A90" w:rsidRPr="007B116A">
              <w:t>(</w:t>
            </w:r>
            <w:proofErr w:type="gramEnd"/>
            <w:r w:rsidR="00650A90" w:rsidRPr="007B116A">
              <w:t xml:space="preserve">50) </w:t>
            </w:r>
            <w:r>
              <w:t>for a</w:t>
            </w:r>
            <w:r w:rsidR="00650A90">
              <w:t xml:space="preserve"> 50</w:t>
            </w:r>
            <w:r>
              <w:t>-character</w:t>
            </w:r>
            <w:r w:rsidR="00FE414E">
              <w:t xml:space="preserve"> </w:t>
            </w:r>
            <w:r w:rsidR="00650A90">
              <w:t>alpha</w:t>
            </w:r>
            <w:r w:rsidR="00E078D1">
              <w:t>numeric</w:t>
            </w:r>
            <w:r w:rsidR="00650A90">
              <w:t xml:space="preserve"> </w:t>
            </w:r>
            <w:r w:rsidR="00E078D1">
              <w:t>string</w:t>
            </w:r>
          </w:p>
          <w:p w14:paraId="4F6F996E" w14:textId="7C8AC2DF" w:rsidR="00747D5F" w:rsidRDefault="00747D5F" w:rsidP="004470FF">
            <w:pPr>
              <w:pStyle w:val="TableBullet"/>
            </w:pPr>
            <w:r>
              <w:t xml:space="preserve">NNN for a </w:t>
            </w:r>
            <w:r w:rsidR="002E40BC">
              <w:t>3-digit number</w:t>
            </w:r>
          </w:p>
          <w:p w14:paraId="44B9B2BC" w14:textId="6D9C5544" w:rsidR="00650A90" w:rsidRPr="00F46627" w:rsidRDefault="00650A90" w:rsidP="00E078D1">
            <w:pPr>
              <w:pStyle w:val="TableBullet"/>
            </w:pPr>
            <w:r w:rsidRPr="007B116A">
              <w:t xml:space="preserve">NNAAAA </w:t>
            </w:r>
            <w:r w:rsidR="002E40BC">
              <w:t xml:space="preserve">for </w:t>
            </w:r>
            <w:r w:rsidR="00E078D1">
              <w:t xml:space="preserve">a formatted </w:t>
            </w:r>
            <w:r>
              <w:t>alpha</w:t>
            </w:r>
            <w:r w:rsidR="00CC6D03">
              <w:t>numeric</w:t>
            </w:r>
            <w:r>
              <w:t xml:space="preserve"> </w:t>
            </w:r>
            <w:r w:rsidR="00CC6D03">
              <w:t>identifier</w:t>
            </w:r>
          </w:p>
        </w:tc>
      </w:tr>
      <w:tr w:rsidR="00650A90" w:rsidRPr="008D448E" w14:paraId="658B03CD" w14:textId="77777777" w:rsidTr="004470F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6C1F7FDE" w14:textId="075DDF31" w:rsidR="00650A90" w:rsidRPr="004470FF" w:rsidRDefault="00650A90" w:rsidP="004470F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F7956EC" w14:textId="77777777" w:rsidR="00650A90" w:rsidRDefault="00650A90" w:rsidP="004470FF">
            <w:pPr>
              <w:pStyle w:val="TableText"/>
            </w:pPr>
            <w:r w:rsidRPr="008D448E">
              <w:t>The valid values or codes that are a</w:t>
            </w:r>
            <w:r>
              <w:t>cceptable for the data element.</w:t>
            </w:r>
          </w:p>
          <w:p w14:paraId="1CC8FC7D" w14:textId="75061388" w:rsidR="00650A90" w:rsidRPr="008D448E" w:rsidRDefault="00650A90" w:rsidP="004470FF">
            <w:pPr>
              <w:pStyle w:val="TableText"/>
            </w:pPr>
            <w:r w:rsidRPr="008D448E">
              <w:t>Each coded data element has a specified code set</w:t>
            </w:r>
            <w:r>
              <w:t>.</w:t>
            </w:r>
          </w:p>
        </w:tc>
      </w:tr>
      <w:tr w:rsidR="00650A90" w:rsidRPr="008D448E" w14:paraId="5B77C229" w14:textId="77777777" w:rsidTr="004470F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11DB8C0" w14:textId="77777777" w:rsidR="00650A90" w:rsidRPr="004470FF" w:rsidRDefault="00650A90" w:rsidP="004470F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C455919" w14:textId="77777777" w:rsidR="00650A90" w:rsidRPr="008D448E" w:rsidRDefault="00650A90" w:rsidP="004470FF">
            <w:pPr>
              <w:pStyle w:val="TableText"/>
            </w:pPr>
            <w:r>
              <w:t>Indicates if the data element is mandatory or optional, or whether its appearance is conditional in the context.</w:t>
            </w:r>
          </w:p>
        </w:tc>
      </w:tr>
      <w:tr w:rsidR="00650A90" w:rsidRPr="008D448E" w14:paraId="74D24ACB" w14:textId="77777777" w:rsidTr="004470F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C6093EF" w14:textId="77777777" w:rsidR="00650A90" w:rsidRPr="004470FF" w:rsidRDefault="00650A90" w:rsidP="004470F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0180706" w14:textId="77777777" w:rsidR="00650A90" w:rsidRPr="008D448E" w:rsidRDefault="00650A90" w:rsidP="004470FF">
            <w:pPr>
              <w:pStyle w:val="TableText"/>
            </w:pPr>
            <w:r w:rsidRPr="008D448E">
              <w:t>Additional guidance to inf</w:t>
            </w:r>
            <w:r>
              <w:t>orm the use of the data element.</w:t>
            </w:r>
          </w:p>
        </w:tc>
      </w:tr>
      <w:tr w:rsidR="00650A90" w:rsidRPr="008D448E" w14:paraId="702189F5" w14:textId="77777777" w:rsidTr="004470F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28C30E0" w14:textId="77777777" w:rsidR="00650A90" w:rsidRPr="004470FF" w:rsidRDefault="00650A90" w:rsidP="004470F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73BE735" w14:textId="77777777" w:rsidR="00650A90" w:rsidRPr="008D448E" w:rsidRDefault="00650A90" w:rsidP="004470FF">
            <w:pPr>
              <w:pStyle w:val="TableText"/>
            </w:pPr>
            <w:r w:rsidRPr="008D448E">
              <w:t>Quality control mechanisms that preclude invalid values</w:t>
            </w:r>
            <w:r>
              <w:t>.</w:t>
            </w:r>
          </w:p>
        </w:tc>
      </w:tr>
    </w:tbl>
    <w:p w14:paraId="6161285E" w14:textId="77777777" w:rsidR="00764A48" w:rsidRDefault="00764A48" w:rsidP="00764A48">
      <w:pPr>
        <w:pStyle w:val="Heading4"/>
        <w:rPr>
          <w:lang w:eastAsia="en-NZ"/>
        </w:rPr>
      </w:pPr>
      <w:r>
        <w:rPr>
          <w:lang w:eastAsia="en-NZ"/>
        </w:rPr>
        <w:lastRenderedPageBreak/>
        <w:t>Clinical terminology standard</w:t>
      </w:r>
    </w:p>
    <w:p w14:paraId="675699DA" w14:textId="65C60546" w:rsidR="00764A48" w:rsidRDefault="00764A48" w:rsidP="00764A48">
      <w:r>
        <w:t xml:space="preserve">Most coded data elements use by default the SNOMED CT terminology for clinical information. The concepts making up each data domain are denoted by preferred term and linked to entries in the </w:t>
      </w:r>
      <w:hyperlink r:id="rId22">
        <w:r w:rsidRPr="3ADDC19A">
          <w:rPr>
            <w:rStyle w:val="Hyperlink"/>
            <w:rFonts w:eastAsia="MS Gothic"/>
          </w:rPr>
          <w:t>SNOMED CT browser</w:t>
        </w:r>
      </w:hyperlink>
      <w:r w:rsidRPr="3ADDC19A">
        <w:rPr>
          <w:rFonts w:eastAsia="MS Gothic"/>
        </w:rPr>
        <w:t>. T</w:t>
      </w:r>
      <w:r>
        <w:t>he SNOMED CT concept identifier can be viewed by hovering over the link.</w:t>
      </w:r>
      <w:r w:rsidR="003A272D">
        <w:t xml:space="preserve"> </w:t>
      </w:r>
      <w:r w:rsidR="000E0E20">
        <w:t xml:space="preserve">As well as being hyperlinked, </w:t>
      </w:r>
      <w:r w:rsidR="003A272D">
        <w:t xml:space="preserve">SNOMED terms are highlighted in </w:t>
      </w:r>
      <w:r w:rsidR="000E0E20" w:rsidRPr="3ADDC19A">
        <w:rPr>
          <w:b/>
          <w:bCs/>
          <w:color w:val="0070C0"/>
        </w:rPr>
        <w:t>blue</w:t>
      </w:r>
      <w:r w:rsidR="002B6A33" w:rsidRPr="3ADDC19A">
        <w:rPr>
          <w:b/>
          <w:bCs/>
          <w:color w:val="0070C0"/>
        </w:rPr>
        <w:t xml:space="preserve"> bold text</w:t>
      </w:r>
      <w:r w:rsidR="00CD7C28" w:rsidRPr="3ADDC19A">
        <w:rPr>
          <w:b/>
          <w:bCs/>
          <w:color w:val="0070C0"/>
        </w:rPr>
        <w:t xml:space="preserve"> </w:t>
      </w:r>
      <w:r w:rsidR="00CD7C28" w:rsidRPr="3ADDC19A">
        <w:rPr>
          <w:szCs w:val="21"/>
        </w:rPr>
        <w:t>so that they can be clearly seen in the document</w:t>
      </w:r>
      <w:r w:rsidR="000E0E20" w:rsidRPr="3ADDC19A">
        <w:rPr>
          <w:szCs w:val="21"/>
        </w:rPr>
        <w:t>.</w:t>
      </w:r>
    </w:p>
    <w:p w14:paraId="00593C22" w14:textId="77777777" w:rsidR="00764A48" w:rsidRDefault="00764A48" w:rsidP="00764A48"/>
    <w:p w14:paraId="7A648218" w14:textId="77777777" w:rsidR="00764A48" w:rsidRDefault="00764A48" w:rsidP="00764A48">
      <w:r>
        <w:t xml:space="preserve">Some data elements are restricted to a definite set of SNOMED CT concepts, while others are more open-ended and allow the user to select from a wider set of concepts, usually within a certain hierarchy or sub-hierarchy – </w:t>
      </w:r>
      <w:proofErr w:type="spellStart"/>
      <w:r>
        <w:t>eg</w:t>
      </w:r>
      <w:proofErr w:type="spellEnd"/>
      <w:r>
        <w:t xml:space="preserve">, the set of all disease concepts. See the </w:t>
      </w:r>
      <w:hyperlink r:id="rId23" w:history="1">
        <w:r w:rsidRPr="007500EC">
          <w:rPr>
            <w:rStyle w:val="Hyperlink"/>
          </w:rPr>
          <w:t>SNOMED CT Search and Data Entry Guide</w:t>
        </w:r>
      </w:hyperlink>
      <w:r>
        <w:t xml:space="preserve"> for a guide to building a user-friendly search across the terminology. </w:t>
      </w:r>
    </w:p>
    <w:p w14:paraId="7CDFD731" w14:textId="77777777" w:rsidR="00764A48" w:rsidRDefault="00764A48" w:rsidP="00764A48"/>
    <w:p w14:paraId="2ED5B5E4" w14:textId="77777777" w:rsidR="00B74CD8" w:rsidRDefault="00764A48" w:rsidP="00EB2768">
      <w:r>
        <w:t xml:space="preserve">The </w:t>
      </w:r>
      <w:hyperlink r:id="rId24" w:history="1">
        <w:r w:rsidRPr="00823638">
          <w:rPr>
            <w:rStyle w:val="Hyperlink"/>
          </w:rPr>
          <w:t>SNOMED NZ Edition</w:t>
        </w:r>
      </w:hyperlink>
      <w:r>
        <w:t xml:space="preserve">, incorporating the SNOMED CT International Edition and released in April and October every year, is the standard distribution. SNOMED CT is free to use in New Zealand and easy to implement. </w:t>
      </w:r>
      <w:r w:rsidRPr="00EB2768">
        <w:t>To ensure compatibility between SNOMED concepts and Read codes, a cross mapping is published in the SNOMED NZ Edition.</w:t>
      </w:r>
      <w:r w:rsidR="00B74CD8" w:rsidRPr="00B74CD8">
        <w:t xml:space="preserve"> </w:t>
      </w:r>
    </w:p>
    <w:p w14:paraId="1C4D2C17" w14:textId="77777777" w:rsidR="00B74CD8" w:rsidRDefault="00B74CD8" w:rsidP="00EB2768"/>
    <w:p w14:paraId="365C0AF8" w14:textId="5319C3E8" w:rsidR="00764A48" w:rsidRPr="00EB2768" w:rsidRDefault="00B74CD8" w:rsidP="00EB2768">
      <w:r>
        <w:t xml:space="preserve">The </w:t>
      </w:r>
      <w:hyperlink r:id="rId25" w:history="1">
        <w:r w:rsidRPr="00B74CD8">
          <w:rPr>
            <w:rStyle w:val="Hyperlink"/>
          </w:rPr>
          <w:t>New Zealand Medicines Terminology (NZMT)</w:t>
        </w:r>
      </w:hyperlink>
      <w:r>
        <w:t xml:space="preserve"> is the SNOMED CT-based terminology used to standardise the naming of every medicinal product available in New Zealand.</w:t>
      </w:r>
    </w:p>
    <w:p w14:paraId="5FA29C31" w14:textId="77777777" w:rsidR="00650A90" w:rsidRDefault="00650A90" w:rsidP="004470FF">
      <w:pPr>
        <w:pStyle w:val="Heading2"/>
      </w:pPr>
      <w:bookmarkStart w:id="22" w:name="_Toc5806746"/>
      <w:bookmarkStart w:id="23" w:name="_Toc46146735"/>
      <w:bookmarkStart w:id="24" w:name="_Toc522522065"/>
      <w:r>
        <w:t>Personal demographics</w:t>
      </w:r>
      <w:bookmarkEnd w:id="22"/>
      <w:bookmarkEnd w:id="23"/>
    </w:p>
    <w:p w14:paraId="7C4EE282" w14:textId="77777777" w:rsidR="00650A90" w:rsidRDefault="00650A90" w:rsidP="004470FF">
      <w:pPr>
        <w:pStyle w:val="Heading3"/>
      </w:pPr>
      <w:r w:rsidRPr="009D38A9">
        <w:t>Age</w:t>
      </w:r>
      <w:bookmarkEnd w:id="24"/>
    </w:p>
    <w:p w14:paraId="795485D7" w14:textId="56906E67" w:rsidR="00650A90" w:rsidRDefault="00650A90" w:rsidP="004470FF">
      <w:r>
        <w:t>Age is an important non-modifiable predictor of a CVD event. The primary prevention risk prediction equations were developed from a cohort of people aged 30 to 74 years who were eligible for CVD risk prediction according to the 2003 CVD risk assessment and management guidelines (and subsequent updates)</w:t>
      </w:r>
      <w:r w:rsidR="00BD050D">
        <w:t xml:space="preserve"> (New Zealand Guidelines Group 2003)</w:t>
      </w:r>
      <w:r>
        <w:t>.</w:t>
      </w:r>
      <w:r w:rsidRPr="005F4AAE">
        <w:t xml:space="preserve"> </w:t>
      </w:r>
      <w:r>
        <w:t>A risk calculation outside this age range will be an approximation but potentially useful. Clinical judgement is recommended. For risk calculation purposes, the person</w:t>
      </w:r>
      <w:r w:rsidR="00395E0C">
        <w:t>’</w:t>
      </w:r>
      <w:r>
        <w:t>s actual age should be input.</w:t>
      </w:r>
    </w:p>
    <w:p w14:paraId="388E7A92" w14:textId="77777777" w:rsidR="004470FF" w:rsidRDefault="004470FF" w:rsidP="004470FF"/>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7"/>
        <w:gridCol w:w="1844"/>
        <w:gridCol w:w="2351"/>
        <w:gridCol w:w="2096"/>
      </w:tblGrid>
      <w:tr w:rsidR="004470FF" w:rsidRPr="008D448E" w14:paraId="68B63E42"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395E27AF" w14:textId="77777777" w:rsidR="004470FF" w:rsidRPr="004470FF" w:rsidRDefault="004470FF"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C252982" w14:textId="57FCFEE9" w:rsidR="004470FF" w:rsidRPr="008D448E" w:rsidRDefault="007E52DF" w:rsidP="007E52DF">
            <w:pPr>
              <w:pStyle w:val="TableText"/>
            </w:pPr>
            <w:r w:rsidRPr="00CB6C0E">
              <w:rPr>
                <w:rFonts w:eastAsia="Arial"/>
              </w:rPr>
              <w:t>Age in whole years</w:t>
            </w:r>
            <w:r>
              <w:rPr>
                <w:rFonts w:eastAsia="Arial"/>
              </w:rPr>
              <w:t xml:space="preserve"> at date of risk calculation</w:t>
            </w:r>
          </w:p>
        </w:tc>
      </w:tr>
      <w:tr w:rsidR="004470FF" w:rsidRPr="008D448E" w14:paraId="0E149B2E"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27F68AE" w14:textId="77777777" w:rsidR="004470FF" w:rsidRPr="004470FF" w:rsidRDefault="004470FF"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5CDFBAF8" w14:textId="03FF2BE3" w:rsidR="004470FF" w:rsidRPr="008D448E" w:rsidRDefault="004470FF" w:rsidP="007E52DF">
            <w:pPr>
              <w:pStyle w:val="TableText"/>
            </w:pPr>
          </w:p>
        </w:tc>
      </w:tr>
      <w:tr w:rsidR="007E52DF" w:rsidRPr="008D448E" w14:paraId="2715AFD4" w14:textId="77777777" w:rsidTr="00DA35C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791FA71" w14:textId="77777777" w:rsidR="007E52DF" w:rsidRPr="004470FF" w:rsidRDefault="007E52DF" w:rsidP="007E52D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61FC8D94" w14:textId="326AB80D" w:rsidR="007E52DF" w:rsidRPr="008D448E" w:rsidRDefault="007E52DF" w:rsidP="007E52DF">
            <w:pPr>
              <w:pStyle w:val="TableText"/>
            </w:pPr>
            <w:r w:rsidRPr="007B116A">
              <w:t>Numeric</w:t>
            </w:r>
          </w:p>
        </w:tc>
        <w:tc>
          <w:tcPr>
            <w:tcW w:w="1475"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30D05BA8" w14:textId="77777777" w:rsidR="007E52DF" w:rsidRPr="004470FF" w:rsidRDefault="007E52DF" w:rsidP="007E52DF">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24FA081B" w14:textId="7B9EA2FE" w:rsidR="007E52DF" w:rsidRPr="008D448E" w:rsidRDefault="007E52DF" w:rsidP="007E52DF">
            <w:pPr>
              <w:pStyle w:val="TableText"/>
            </w:pPr>
            <w:r>
              <w:t>Value</w:t>
            </w:r>
          </w:p>
        </w:tc>
      </w:tr>
      <w:tr w:rsidR="007E52DF" w:rsidRPr="00F46627" w14:paraId="7FD16EB3" w14:textId="77777777" w:rsidTr="00DA35C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6071E74" w14:textId="77777777" w:rsidR="007E52DF" w:rsidRPr="004470FF" w:rsidRDefault="007E52DF"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5A27F1B9" w14:textId="432394AD" w:rsidR="007E52DF" w:rsidRPr="008D448E" w:rsidRDefault="007E52DF" w:rsidP="007E52DF">
            <w:pPr>
              <w:pStyle w:val="TableText"/>
            </w:pPr>
            <w:r>
              <w:t>3</w:t>
            </w:r>
          </w:p>
        </w:tc>
        <w:tc>
          <w:tcPr>
            <w:tcW w:w="1475"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49713F24" w14:textId="77777777" w:rsidR="007E52DF" w:rsidRPr="004470FF" w:rsidRDefault="007E52DF" w:rsidP="007E52DF">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79063FFB" w14:textId="0F2AC26D" w:rsidR="007E52DF" w:rsidRPr="00F46627" w:rsidRDefault="007E52DF" w:rsidP="004470FF">
            <w:pPr>
              <w:pStyle w:val="TableText"/>
            </w:pPr>
            <w:r>
              <w:t>NNN</w:t>
            </w:r>
          </w:p>
        </w:tc>
      </w:tr>
      <w:tr w:rsidR="007E52DF" w:rsidRPr="008D448E" w14:paraId="1A45DBBD"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090C63C" w14:textId="77777777" w:rsidR="007E52DF" w:rsidRPr="004470FF" w:rsidRDefault="007E52DF"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EEDF7BD" w14:textId="6F98E172" w:rsidR="007E52DF" w:rsidRPr="008D448E" w:rsidRDefault="007E52DF" w:rsidP="007E52DF">
            <w:pPr>
              <w:pStyle w:val="TableText"/>
            </w:pPr>
            <w:r>
              <w:t>18–110</w:t>
            </w:r>
          </w:p>
        </w:tc>
      </w:tr>
      <w:tr w:rsidR="007E52DF" w:rsidRPr="008D448E" w14:paraId="3F199144"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50B9F7B" w14:textId="77777777" w:rsidR="007E52DF" w:rsidRPr="004470FF" w:rsidRDefault="007E52DF"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9F1DF8B" w14:textId="570DD098" w:rsidR="007E52DF" w:rsidRPr="008D448E" w:rsidRDefault="007E52DF" w:rsidP="007E52DF">
            <w:pPr>
              <w:pStyle w:val="TableText"/>
            </w:pPr>
            <w:r>
              <w:t>Mandatory</w:t>
            </w:r>
          </w:p>
        </w:tc>
      </w:tr>
      <w:tr w:rsidR="007E52DF" w:rsidRPr="008D448E" w14:paraId="5284CB7F"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2E6B944" w14:textId="77777777" w:rsidR="007E52DF" w:rsidRPr="004470FF" w:rsidRDefault="007E52DF" w:rsidP="007E52DF">
            <w:pPr>
              <w:pStyle w:val="TableText"/>
              <w:rPr>
                <w:b/>
              </w:rPr>
            </w:pPr>
            <w:r w:rsidRPr="004470FF">
              <w:rPr>
                <w:b/>
              </w:rPr>
              <w:lastRenderedPageBreak/>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0137284" w14:textId="77777777" w:rsidR="00467499" w:rsidRDefault="007E52DF" w:rsidP="007E52DF">
            <w:pPr>
              <w:pStyle w:val="TableText"/>
              <w:rPr>
                <w:rFonts w:eastAsia="Arial"/>
              </w:rPr>
            </w:pPr>
            <w:r>
              <w:rPr>
                <w:rFonts w:eastAsia="Arial"/>
              </w:rPr>
              <w:t>Either</w:t>
            </w:r>
            <w:r w:rsidR="00467499">
              <w:rPr>
                <w:rFonts w:eastAsia="Arial"/>
              </w:rPr>
              <w:t>:</w:t>
            </w:r>
          </w:p>
          <w:p w14:paraId="18737DBB" w14:textId="4FDECB27" w:rsidR="00DD3A54" w:rsidRDefault="007E52DF" w:rsidP="00467499">
            <w:pPr>
              <w:pStyle w:val="TableText"/>
              <w:numPr>
                <w:ilvl w:val="0"/>
                <w:numId w:val="39"/>
              </w:numPr>
              <w:rPr>
                <w:rFonts w:eastAsia="Arial"/>
              </w:rPr>
            </w:pPr>
            <w:r w:rsidRPr="00CB6C0E">
              <w:rPr>
                <w:rFonts w:eastAsia="Arial"/>
              </w:rPr>
              <w:t>calculate</w:t>
            </w:r>
            <w:r>
              <w:rPr>
                <w:rFonts w:eastAsia="Arial"/>
              </w:rPr>
              <w:t>d in the input template</w:t>
            </w:r>
            <w:r w:rsidRPr="00CB6C0E">
              <w:rPr>
                <w:rFonts w:eastAsia="Arial"/>
              </w:rPr>
              <w:t xml:space="preserve"> by subtracting date of birth from the date of </w:t>
            </w:r>
            <w:r>
              <w:rPr>
                <w:rFonts w:eastAsia="Arial"/>
              </w:rPr>
              <w:t>risk calculation</w:t>
            </w:r>
            <w:r w:rsidRPr="00CB6C0E">
              <w:rPr>
                <w:rFonts w:eastAsia="Arial"/>
              </w:rPr>
              <w:t xml:space="preserve"> and dividing by 365.25</w:t>
            </w:r>
          </w:p>
          <w:p w14:paraId="0DD4AC9F" w14:textId="33C2C758" w:rsidR="00DD3A54" w:rsidRDefault="007E52DF" w:rsidP="00467499">
            <w:pPr>
              <w:pStyle w:val="TableText"/>
              <w:numPr>
                <w:ilvl w:val="0"/>
                <w:numId w:val="39"/>
              </w:numPr>
              <w:rPr>
                <w:rFonts w:eastAsia="Arial"/>
              </w:rPr>
            </w:pPr>
            <w:r>
              <w:rPr>
                <w:rFonts w:eastAsia="Arial"/>
              </w:rPr>
              <w:t xml:space="preserve">populated from the patient’s health record </w:t>
            </w:r>
          </w:p>
          <w:p w14:paraId="48082C90" w14:textId="37246529" w:rsidR="007E52DF" w:rsidRDefault="007E52DF" w:rsidP="00467499">
            <w:pPr>
              <w:pStyle w:val="TableText"/>
              <w:numPr>
                <w:ilvl w:val="0"/>
                <w:numId w:val="39"/>
              </w:numPr>
            </w:pPr>
            <w:r>
              <w:rPr>
                <w:rFonts w:eastAsia="Arial"/>
              </w:rPr>
              <w:t>entered by self-report</w:t>
            </w:r>
            <w:r w:rsidR="00467499">
              <w:rPr>
                <w:rFonts w:eastAsia="Arial"/>
              </w:rPr>
              <w:t>.</w:t>
            </w:r>
          </w:p>
          <w:p w14:paraId="785E3E31" w14:textId="7CA265E1" w:rsidR="007E52DF" w:rsidRPr="008D448E" w:rsidRDefault="007E52DF" w:rsidP="007E52DF">
            <w:pPr>
              <w:pStyle w:val="TableText"/>
            </w:pPr>
            <w:r>
              <w:t>The CVD risk equations were developed for ages 30 to 74 years. Use outside this age range will be an approximation but still potentially useful</w:t>
            </w:r>
          </w:p>
        </w:tc>
      </w:tr>
      <w:tr w:rsidR="007E52DF" w:rsidRPr="008D448E" w14:paraId="1867F78A" w14:textId="77777777" w:rsidTr="007E52D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B7F9DFA" w14:textId="051CD301" w:rsidR="007E52DF" w:rsidRPr="004470FF" w:rsidRDefault="007E52DF"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9DC6DA9" w14:textId="7D2B5335" w:rsidR="007E52DF" w:rsidRPr="008D448E" w:rsidRDefault="007E52DF" w:rsidP="007E52DF">
            <w:pPr>
              <w:pStyle w:val="TableText"/>
            </w:pPr>
            <w:r>
              <w:t>Must be within valid age range</w:t>
            </w:r>
          </w:p>
        </w:tc>
      </w:tr>
    </w:tbl>
    <w:p w14:paraId="27547503" w14:textId="77777777" w:rsidR="00650A90" w:rsidRDefault="00650A90" w:rsidP="007E52DF">
      <w:pPr>
        <w:pStyle w:val="Heading3"/>
      </w:pPr>
      <w:bookmarkStart w:id="25" w:name="_Toc522522066"/>
      <w:r>
        <w:t>Biological sex</w:t>
      </w:r>
      <w:bookmarkEnd w:id="25"/>
    </w:p>
    <w:p w14:paraId="6E19B5CD" w14:textId="70D68424" w:rsidR="00650A90" w:rsidRDefault="00650A90" w:rsidP="007E52DF">
      <w:r>
        <w:t>A person</w:t>
      </w:r>
      <w:r w:rsidR="00395E0C">
        <w:t>’</w:t>
      </w:r>
      <w:r>
        <w:t>s biological sex is an important predictor of a future CVD event, with men being at higher risk and demonstrating differing weightings of other risk factors within a multivariate risk prediction equation compared with women. Therefore</w:t>
      </w:r>
      <w:r w:rsidR="005E000F">
        <w:t>,</w:t>
      </w:r>
      <w:r>
        <w:t xml:space="preserve"> biological sex, rather than sexual identity, is used in CVD risk prediction equations. However, in discussion between the clinician and the patient, a person treated on long-term oestrogens could be considered biologically female; a person on long-term testosterone could be considered biologically male.</w:t>
      </w:r>
    </w:p>
    <w:p w14:paraId="77D8BEE7" w14:textId="77777777" w:rsidR="004470FF" w:rsidRDefault="004470FF" w:rsidP="007E52DF"/>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7"/>
        <w:gridCol w:w="1951"/>
        <w:gridCol w:w="2410"/>
        <w:gridCol w:w="1930"/>
      </w:tblGrid>
      <w:tr w:rsidR="004470FF" w:rsidRPr="008D448E" w14:paraId="2AF103C6" w14:textId="77777777" w:rsidTr="3ADDC19A">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18B3411B" w14:textId="77777777" w:rsidR="004470FF" w:rsidRPr="004470FF" w:rsidRDefault="004470FF"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FD574DD" w14:textId="7618F01B" w:rsidR="004470FF" w:rsidRPr="008D448E" w:rsidRDefault="007E52DF" w:rsidP="007E52DF">
            <w:pPr>
              <w:pStyle w:val="TableText"/>
            </w:pPr>
            <w:r>
              <w:t>Biological sex for the purpose of risk calculation</w:t>
            </w:r>
          </w:p>
        </w:tc>
      </w:tr>
      <w:tr w:rsidR="004470FF" w:rsidRPr="008D448E" w14:paraId="0959F654"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B2A9353" w14:textId="77777777" w:rsidR="004470FF" w:rsidRPr="004470FF" w:rsidRDefault="004470FF"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2B62D389" w14:textId="77777777" w:rsidR="004470FF" w:rsidRPr="008D448E" w:rsidRDefault="004470FF" w:rsidP="007E52DF">
            <w:pPr>
              <w:pStyle w:val="TableText"/>
            </w:pPr>
          </w:p>
        </w:tc>
      </w:tr>
      <w:tr w:rsidR="007E52DF" w:rsidRPr="008D448E" w14:paraId="1898CF43"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B4BB9E6" w14:textId="77777777" w:rsidR="007E52DF" w:rsidRPr="004470FF" w:rsidRDefault="007E52DF" w:rsidP="007E52DF">
            <w:pPr>
              <w:pStyle w:val="TableText"/>
              <w:rPr>
                <w:b/>
              </w:rPr>
            </w:pPr>
            <w:r w:rsidRPr="004470FF">
              <w:rPr>
                <w:b/>
              </w:rPr>
              <w:t>Data type</w:t>
            </w:r>
          </w:p>
        </w:tc>
        <w:tc>
          <w:tcPr>
            <w:tcW w:w="1224" w:type="pct"/>
            <w:tcBorders>
              <w:top w:val="single" w:sz="4" w:space="0" w:color="A6A6A6" w:themeColor="background1" w:themeShade="A6"/>
              <w:left w:val="nil"/>
              <w:bottom w:val="single" w:sz="4" w:space="0" w:color="A6A6A6" w:themeColor="background1" w:themeShade="A6"/>
              <w:right w:val="nil"/>
            </w:tcBorders>
            <w:shd w:val="clear" w:color="auto" w:fill="auto"/>
          </w:tcPr>
          <w:p w14:paraId="03278E0A" w14:textId="0A49B428" w:rsidR="007E52DF" w:rsidRPr="008D448E" w:rsidRDefault="00747D5F">
            <w:pPr>
              <w:pStyle w:val="TableText"/>
            </w:pPr>
            <w:r>
              <w:t xml:space="preserve">SNOMED </w:t>
            </w:r>
            <w:r w:rsidR="00CC6D03">
              <w:t>CT</w:t>
            </w:r>
            <w:r>
              <w:t xml:space="preserve"> id</w:t>
            </w:r>
            <w:r w:rsidR="00CC6D03">
              <w:t>entifier</w:t>
            </w:r>
          </w:p>
        </w:tc>
        <w:tc>
          <w:tcPr>
            <w:tcW w:w="151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1F80D52D" w14:textId="77777777" w:rsidR="007E52DF" w:rsidRPr="004470FF" w:rsidRDefault="007E52DF" w:rsidP="007E52DF">
            <w:pPr>
              <w:pStyle w:val="TableText"/>
              <w:rPr>
                <w:b/>
              </w:rPr>
            </w:pPr>
            <w:r w:rsidRPr="004470FF">
              <w:rPr>
                <w:b/>
              </w:rPr>
              <w:t>Representational class</w:t>
            </w:r>
          </w:p>
        </w:tc>
        <w:tc>
          <w:tcPr>
            <w:tcW w:w="1211" w:type="pct"/>
            <w:tcBorders>
              <w:top w:val="single" w:sz="4" w:space="0" w:color="A6A6A6" w:themeColor="background1" w:themeShade="A6"/>
              <w:left w:val="nil"/>
              <w:bottom w:val="single" w:sz="4" w:space="0" w:color="A6A6A6" w:themeColor="background1" w:themeShade="A6"/>
              <w:right w:val="nil"/>
            </w:tcBorders>
            <w:shd w:val="clear" w:color="auto" w:fill="auto"/>
          </w:tcPr>
          <w:p w14:paraId="2C7ED407" w14:textId="6EB860B9" w:rsidR="007E52DF" w:rsidRPr="008D448E" w:rsidRDefault="007E52DF" w:rsidP="007E52DF">
            <w:pPr>
              <w:pStyle w:val="TableText"/>
            </w:pPr>
            <w:r>
              <w:t>Code</w:t>
            </w:r>
          </w:p>
        </w:tc>
      </w:tr>
      <w:tr w:rsidR="007E52DF" w:rsidRPr="00F46627" w14:paraId="3F0E4D9A"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953F217" w14:textId="77777777" w:rsidR="007E52DF" w:rsidRPr="004470FF" w:rsidRDefault="007E52DF" w:rsidP="007E52DF">
            <w:pPr>
              <w:pStyle w:val="TableText"/>
              <w:rPr>
                <w:b/>
              </w:rPr>
            </w:pPr>
            <w:r w:rsidRPr="004470FF">
              <w:rPr>
                <w:b/>
              </w:rPr>
              <w:t>Field size</w:t>
            </w:r>
          </w:p>
        </w:tc>
        <w:tc>
          <w:tcPr>
            <w:tcW w:w="1224" w:type="pct"/>
            <w:tcBorders>
              <w:top w:val="single" w:sz="4" w:space="0" w:color="A6A6A6" w:themeColor="background1" w:themeShade="A6"/>
              <w:left w:val="nil"/>
              <w:bottom w:val="single" w:sz="4" w:space="0" w:color="A6A6A6" w:themeColor="background1" w:themeShade="A6"/>
              <w:right w:val="nil"/>
            </w:tcBorders>
            <w:shd w:val="clear" w:color="auto" w:fill="auto"/>
          </w:tcPr>
          <w:p w14:paraId="647B3166" w14:textId="3010CBC7" w:rsidR="007E52DF" w:rsidRPr="008D448E" w:rsidRDefault="007E52DF" w:rsidP="007E52DF">
            <w:pPr>
              <w:pStyle w:val="TableText"/>
            </w:pPr>
            <w:r>
              <w:t>18</w:t>
            </w:r>
          </w:p>
        </w:tc>
        <w:tc>
          <w:tcPr>
            <w:tcW w:w="1512"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6522F61C" w14:textId="77777777" w:rsidR="007E52DF" w:rsidRPr="004470FF" w:rsidRDefault="007E52DF" w:rsidP="007E52DF">
            <w:pPr>
              <w:pStyle w:val="TableText"/>
              <w:rPr>
                <w:b/>
              </w:rPr>
            </w:pPr>
            <w:r w:rsidRPr="004470FF">
              <w:rPr>
                <w:b/>
              </w:rPr>
              <w:t>Representational layout</w:t>
            </w:r>
          </w:p>
        </w:tc>
        <w:tc>
          <w:tcPr>
            <w:tcW w:w="1211" w:type="pct"/>
            <w:tcBorders>
              <w:top w:val="single" w:sz="4" w:space="0" w:color="A6A6A6" w:themeColor="background1" w:themeShade="A6"/>
              <w:left w:val="nil"/>
              <w:bottom w:val="single" w:sz="4" w:space="0" w:color="A6A6A6" w:themeColor="background1" w:themeShade="A6"/>
              <w:right w:val="nil"/>
            </w:tcBorders>
            <w:shd w:val="clear" w:color="auto" w:fill="auto"/>
          </w:tcPr>
          <w:p w14:paraId="09488B22" w14:textId="32639969" w:rsidR="007E52DF" w:rsidRPr="00F46627" w:rsidRDefault="007E52DF" w:rsidP="007E52DF">
            <w:pPr>
              <w:pStyle w:val="TableText"/>
            </w:pPr>
            <w:proofErr w:type="gramStart"/>
            <w:r>
              <w:t>N</w:t>
            </w:r>
            <w:r w:rsidRPr="007B116A">
              <w:t>(</w:t>
            </w:r>
            <w:proofErr w:type="gramEnd"/>
            <w:r>
              <w:t>18</w:t>
            </w:r>
            <w:r w:rsidRPr="007B116A">
              <w:t>)</w:t>
            </w:r>
          </w:p>
        </w:tc>
      </w:tr>
      <w:tr w:rsidR="007E52DF" w:rsidRPr="008D448E" w14:paraId="52ADE93E"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2C3D3E8" w14:textId="77777777" w:rsidR="007E52DF" w:rsidRPr="004470FF" w:rsidRDefault="007E52DF"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FCD07BA" w14:textId="2F902761" w:rsidR="007E52DF" w:rsidRPr="00AD7DB9" w:rsidRDefault="006477D1" w:rsidP="007E52DF">
            <w:pPr>
              <w:pStyle w:val="TableText"/>
              <w:rPr>
                <w:color w:val="4F81BD" w:themeColor="accent1"/>
              </w:rPr>
            </w:pPr>
            <w:hyperlink r:id="rId26" w:history="1">
              <w:r w:rsidR="007E52DF" w:rsidRPr="00AD7DB9">
                <w:rPr>
                  <w:rStyle w:val="Hyperlink"/>
                  <w:rFonts w:eastAsia="MS Gothic"/>
                  <w:color w:val="4F81BD" w:themeColor="accent1"/>
                </w:rPr>
                <w:t>Male</w:t>
              </w:r>
            </w:hyperlink>
          </w:p>
          <w:p w14:paraId="4DA51F48" w14:textId="1943205F" w:rsidR="007E52DF" w:rsidRPr="008D448E" w:rsidRDefault="006477D1" w:rsidP="007E52DF">
            <w:pPr>
              <w:pStyle w:val="TableText"/>
            </w:pPr>
            <w:r w:rsidRPr="00AD7DB9">
              <w:fldChar w:fldCharType="begin"/>
            </w:r>
            <w:r w:rsidRPr="00AD7DB9">
              <w:rPr>
                <w:color w:val="4F81BD" w:themeColor="accent1"/>
              </w:rPr>
              <w:instrText>HYPERLINK "https://browser.ihtsdotools.org/?perspective=full&amp;conceptId1=248152002"</w:instrText>
            </w:r>
            <w:r w:rsidRPr="00AD7DB9">
              <w:fldChar w:fldCharType="separate"/>
            </w:r>
            <w:r w:rsidR="007E52DF" w:rsidRPr="00AD7DB9">
              <w:rPr>
                <w:rStyle w:val="Hyperlink"/>
                <w:rFonts w:eastAsia="MS Gothic"/>
                <w:color w:val="4F81BD" w:themeColor="accent1"/>
              </w:rPr>
              <w:t>Female</w:t>
            </w:r>
            <w:r w:rsidRPr="00AD7DB9">
              <w:rPr>
                <w:rStyle w:val="Hyperlink"/>
                <w:rFonts w:eastAsia="MS Gothic"/>
                <w:color w:val="4F81BD" w:themeColor="accent1"/>
              </w:rPr>
              <w:fldChar w:fldCharType="end"/>
            </w:r>
          </w:p>
        </w:tc>
      </w:tr>
      <w:tr w:rsidR="007E52DF" w:rsidRPr="008D448E" w14:paraId="0B285CBE"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4D9D26D" w14:textId="77777777" w:rsidR="007E52DF" w:rsidRPr="004470FF" w:rsidRDefault="007E52DF"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36A96CF" w14:textId="7EF15673" w:rsidR="007E52DF" w:rsidRPr="008D448E" w:rsidRDefault="007E52DF" w:rsidP="007E52DF">
            <w:pPr>
              <w:pStyle w:val="TableText"/>
            </w:pPr>
            <w:r>
              <w:t>Mandatory</w:t>
            </w:r>
          </w:p>
        </w:tc>
      </w:tr>
      <w:tr w:rsidR="007E52DF" w:rsidRPr="008D448E" w14:paraId="30B39BFC"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67A9AD3" w14:textId="77777777" w:rsidR="007E52DF" w:rsidRPr="004470FF" w:rsidRDefault="007E52DF"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B8E6ED2" w14:textId="77777777" w:rsidR="007E52DF" w:rsidRDefault="007E52DF" w:rsidP="007E52DF">
            <w:pPr>
              <w:pStyle w:val="TableText"/>
            </w:pPr>
            <w:r>
              <w:t>Male or female biological risk is determined in discussion between the clinician and the patient</w:t>
            </w:r>
          </w:p>
          <w:p w14:paraId="4892542A" w14:textId="723E171F" w:rsidR="007E52DF" w:rsidRPr="008D448E" w:rsidRDefault="007E52DF" w:rsidP="007E52DF">
            <w:pPr>
              <w:pStyle w:val="TableText"/>
            </w:pPr>
            <w:r>
              <w:t xml:space="preserve">CVD risk equations apply according to </w:t>
            </w:r>
            <w:r w:rsidRPr="00002E14">
              <w:t>sex-specific grouping</w:t>
            </w:r>
          </w:p>
        </w:tc>
      </w:tr>
      <w:tr w:rsidR="007E52DF" w:rsidRPr="008D448E" w14:paraId="703B3D9A" w14:textId="77777777" w:rsidTr="3ADDC19A">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7573EC62" w14:textId="77777777" w:rsidR="007E52DF" w:rsidRPr="004470FF" w:rsidRDefault="007E52DF"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B4063A2" w14:textId="77777777" w:rsidR="007E52DF" w:rsidRPr="008D448E" w:rsidRDefault="007E52DF" w:rsidP="007E52DF">
            <w:pPr>
              <w:pStyle w:val="TableText"/>
            </w:pPr>
          </w:p>
        </w:tc>
      </w:tr>
    </w:tbl>
    <w:p w14:paraId="38DFE6BA" w14:textId="54D377C4" w:rsidR="00650A90" w:rsidRDefault="00650A90" w:rsidP="007E52DF">
      <w:pPr>
        <w:pStyle w:val="Heading3"/>
      </w:pPr>
      <w:bookmarkStart w:id="26" w:name="_Toc522522068"/>
      <w:r>
        <w:t>Ethnicity</w:t>
      </w:r>
      <w:bookmarkEnd w:id="26"/>
    </w:p>
    <w:p w14:paraId="00A33D00" w14:textId="77777777" w:rsidR="00650A90" w:rsidRDefault="00650A90" w:rsidP="007E52DF">
      <w:r>
        <w:t>Ethnicity in this context is for the purpose of CVD risk calculation.</w:t>
      </w:r>
    </w:p>
    <w:p w14:paraId="502C0ABE" w14:textId="77777777" w:rsidR="007E52DF" w:rsidRDefault="007E52DF" w:rsidP="007E52DF"/>
    <w:p w14:paraId="02B08449" w14:textId="15E75C2B" w:rsidR="00395E0C" w:rsidRDefault="00000000" w:rsidP="007E52DF">
      <w:pPr>
        <w:rPr>
          <w:szCs w:val="22"/>
        </w:rPr>
      </w:pPr>
      <w:hyperlink r:id="rId27" w:history="1">
        <w:r w:rsidR="00650A90" w:rsidRPr="00EB2768">
          <w:rPr>
            <w:rStyle w:val="Hyperlink"/>
            <w:szCs w:val="22"/>
          </w:rPr>
          <w:t>HISO 10001:2017 Ethnicity Data Protocols</w:t>
        </w:r>
      </w:hyperlink>
      <w:r w:rsidR="00650A90">
        <w:rPr>
          <w:szCs w:val="22"/>
        </w:rPr>
        <w:t xml:space="preserve"> supports </w:t>
      </w:r>
      <w:r w:rsidR="00650A90">
        <w:t xml:space="preserve">recording up to six ethnicities at level 4. It is assumed that self-reported ethnicity is collected appropriately in primary health care services, using the standard ethnicity question and coded as per </w:t>
      </w:r>
      <w:r w:rsidR="00650A90">
        <w:rPr>
          <w:szCs w:val="22"/>
        </w:rPr>
        <w:t xml:space="preserve">Statistics New Zealand (Stats NZ) </w:t>
      </w:r>
      <w:hyperlink r:id="rId28" w:anchor="ClassificationView:uri=http://stats.govt.nz/cms/ClassificationVersion/l36xYpbxsRh7IW1p" w:history="1">
        <w:r w:rsidR="00650A90" w:rsidRPr="00B765F4">
          <w:rPr>
            <w:rStyle w:val="Hyperlink"/>
            <w:szCs w:val="22"/>
          </w:rPr>
          <w:t>Ethnicity New Zealand Standard Classification 2005 v2.0.0</w:t>
        </w:r>
      </w:hyperlink>
      <w:r w:rsidR="00650A90">
        <w:rPr>
          <w:szCs w:val="22"/>
        </w:rPr>
        <w:t>.</w:t>
      </w:r>
    </w:p>
    <w:p w14:paraId="44A4FE74" w14:textId="77777777" w:rsidR="007E52DF" w:rsidRDefault="007E52DF" w:rsidP="007E52DF">
      <w:pPr>
        <w:rPr>
          <w:szCs w:val="22"/>
        </w:rPr>
      </w:pPr>
    </w:p>
    <w:p w14:paraId="5E1B2DEA" w14:textId="0573063D" w:rsidR="00395E0C" w:rsidRDefault="00650A90" w:rsidP="00650A90">
      <w:r w:rsidRPr="00365CA5">
        <w:t>In the development of the CVD risk prediction equations, ethnicities were prioritised and aggregated into five ethnic categories</w:t>
      </w:r>
      <w:r>
        <w:t xml:space="preserve">, </w:t>
      </w:r>
      <w:r w:rsidRPr="00365CA5">
        <w:t>order</w:t>
      </w:r>
      <w:r>
        <w:t>ed as:</w:t>
      </w:r>
      <w:r w:rsidRPr="00365CA5">
        <w:t xml:space="preserve"> </w:t>
      </w:r>
      <w:r>
        <w:t xml:space="preserve">(1) </w:t>
      </w:r>
      <w:r w:rsidRPr="00365CA5">
        <w:t xml:space="preserve">Māori, </w:t>
      </w:r>
      <w:r>
        <w:t xml:space="preserve">(2) </w:t>
      </w:r>
      <w:r w:rsidRPr="00365CA5">
        <w:t xml:space="preserve">Pacific, </w:t>
      </w:r>
      <w:r>
        <w:t>(3)</w:t>
      </w:r>
      <w:r w:rsidR="007E52DF">
        <w:t> </w:t>
      </w:r>
      <w:r w:rsidRPr="00365CA5">
        <w:t>Indian</w:t>
      </w:r>
      <w:r>
        <w:t>/Other South Asian</w:t>
      </w:r>
      <w:r w:rsidRPr="00365CA5">
        <w:t xml:space="preserve">, </w:t>
      </w:r>
      <w:r>
        <w:t>(4) Chinese/</w:t>
      </w:r>
      <w:r w:rsidRPr="00365CA5">
        <w:t xml:space="preserve">Other Asian, </w:t>
      </w:r>
      <w:r>
        <w:t>(5) European/</w:t>
      </w:r>
      <w:r w:rsidRPr="00365CA5">
        <w:t>Other.</w:t>
      </w:r>
    </w:p>
    <w:p w14:paraId="6101C5DE" w14:textId="77777777" w:rsidR="007E52DF" w:rsidRDefault="007E52DF" w:rsidP="007E52DF"/>
    <w:p w14:paraId="664327F7" w14:textId="598AA724" w:rsidR="00650A90" w:rsidRDefault="00650A90" w:rsidP="007E52DF">
      <w:r w:rsidRPr="00365CA5">
        <w:t>For risk calculation purposes, it is recommended that put</w:t>
      </w:r>
      <w:r>
        <w:t>ting ethnicity data in</w:t>
      </w:r>
      <w:r w:rsidRPr="00365CA5">
        <w:t>to the template follow the same rule. That is</w:t>
      </w:r>
      <w:r>
        <w:t>,</w:t>
      </w:r>
      <w:r w:rsidRPr="00365CA5">
        <w:t xml:space="preserve"> if a person self</w:t>
      </w:r>
      <w:r>
        <w:t>-</w:t>
      </w:r>
      <w:r w:rsidRPr="00365CA5">
        <w:t xml:space="preserve">identifies as being Chinese, </w:t>
      </w:r>
      <w:r w:rsidRPr="00365CA5">
        <w:lastRenderedPageBreak/>
        <w:t>European and Māori</w:t>
      </w:r>
      <w:r>
        <w:t>,</w:t>
      </w:r>
      <w:r w:rsidRPr="00365CA5">
        <w:t xml:space="preserve"> then they should be input</w:t>
      </w:r>
      <w:r w:rsidR="00933F37">
        <w:t>t</w:t>
      </w:r>
      <w:r w:rsidRPr="00365CA5">
        <w:t>ed as Māori to the risk calculator. The only exception to this rule is if people self</w:t>
      </w:r>
      <w:r>
        <w:t>-</w:t>
      </w:r>
      <w:r w:rsidRPr="00365CA5">
        <w:t>identify as being both Fijian and Indian. From an epidemiological perspective when developing the equations, these individuals most closel</w:t>
      </w:r>
      <w:r>
        <w:t>y resemble the risk profile of Indian</w:t>
      </w:r>
      <w:r w:rsidR="004470FF">
        <w:t xml:space="preserve"> and should be input as such.</w:t>
      </w:r>
    </w:p>
    <w:p w14:paraId="4727C0B4" w14:textId="77777777" w:rsidR="00B765F4" w:rsidRDefault="00B765F4" w:rsidP="007E52DF"/>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7E52DF" w:rsidRPr="008D448E" w14:paraId="0B58D5D7"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58D2462C" w14:textId="77777777" w:rsidR="007E52DF" w:rsidRPr="004470FF" w:rsidRDefault="007E52DF" w:rsidP="00EB2768">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5DAF0E9" w14:textId="06423AB9" w:rsidR="007E52DF" w:rsidRPr="008D448E" w:rsidRDefault="001D5CE0" w:rsidP="00EB2768">
            <w:pPr>
              <w:pStyle w:val="TableText"/>
            </w:pPr>
            <w:r>
              <w:t>P</w:t>
            </w:r>
            <w:r w:rsidR="007E52DF">
              <w:t>rioritised ethnic category</w:t>
            </w:r>
          </w:p>
        </w:tc>
      </w:tr>
      <w:tr w:rsidR="007E52DF" w:rsidRPr="008D448E" w14:paraId="1B32BF18"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A105F9C" w14:textId="77777777" w:rsidR="007E52DF" w:rsidRPr="004470FF" w:rsidRDefault="007E52DF" w:rsidP="00EB2768">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10D874E7" w14:textId="77777777" w:rsidR="007E52DF" w:rsidRDefault="007E52DF" w:rsidP="00EB2768">
            <w:pPr>
              <w:pStyle w:val="TableText"/>
              <w:rPr>
                <w:szCs w:val="22"/>
              </w:rPr>
            </w:pPr>
            <w:r w:rsidRPr="00350B7D">
              <w:rPr>
                <w:szCs w:val="22"/>
              </w:rPr>
              <w:t>HISO 10001:2017 Ethnicity Data Protocol</w:t>
            </w:r>
            <w:r>
              <w:rPr>
                <w:szCs w:val="22"/>
              </w:rPr>
              <w:t>s</w:t>
            </w:r>
          </w:p>
          <w:p w14:paraId="1130E0F5" w14:textId="5B0971F2" w:rsidR="007E52DF" w:rsidRPr="008D448E" w:rsidRDefault="007E52DF" w:rsidP="00EB2768">
            <w:pPr>
              <w:pStyle w:val="TableText"/>
            </w:pPr>
            <w:r>
              <w:rPr>
                <w:szCs w:val="22"/>
              </w:rPr>
              <w:t>Stats NZ Ethnicity New Zealand Standard Classification 2005</w:t>
            </w:r>
          </w:p>
        </w:tc>
      </w:tr>
      <w:tr w:rsidR="007E52DF" w:rsidRPr="008D448E" w14:paraId="35F60319" w14:textId="77777777" w:rsidTr="00DA35C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4D9B604" w14:textId="77777777" w:rsidR="007E52DF" w:rsidRPr="004470FF" w:rsidRDefault="007E52DF" w:rsidP="00764A48">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2F287712" w14:textId="752D4B84" w:rsidR="007E52DF" w:rsidRPr="008D448E" w:rsidRDefault="007E52DF">
            <w:pPr>
              <w:pStyle w:val="TableText"/>
            </w:pPr>
            <w:r w:rsidRPr="007F3391">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3E6CA92F" w14:textId="77777777" w:rsidR="007E52DF" w:rsidRPr="004470FF" w:rsidRDefault="007E52DF">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69A33A07" w14:textId="07CA8ADC" w:rsidR="007E52DF" w:rsidRPr="008D448E" w:rsidRDefault="007E52DF">
            <w:pPr>
              <w:pStyle w:val="TableText"/>
            </w:pPr>
            <w:r>
              <w:t>Code</w:t>
            </w:r>
          </w:p>
        </w:tc>
      </w:tr>
      <w:tr w:rsidR="007E52DF" w:rsidRPr="00F46627" w14:paraId="1A363F5B" w14:textId="77777777" w:rsidTr="00DA35C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9E1A6C8" w14:textId="77777777" w:rsidR="007E52DF" w:rsidRPr="004470FF" w:rsidRDefault="007E52DF" w:rsidP="00764A48">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20C81230" w14:textId="65B704FB" w:rsidR="007E52DF" w:rsidRPr="008D448E" w:rsidRDefault="007E52DF">
            <w:pPr>
              <w:pStyle w:val="TableText"/>
            </w:pPr>
            <w:r w:rsidRPr="00DD6385">
              <w:t>5</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366E7283" w14:textId="77777777" w:rsidR="007E52DF" w:rsidRPr="004470FF" w:rsidRDefault="007E52DF">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462BD279" w14:textId="003DC16A" w:rsidR="007E52DF" w:rsidRPr="00F46627" w:rsidRDefault="007E52DF">
            <w:pPr>
              <w:pStyle w:val="TableText"/>
            </w:pPr>
            <w:r w:rsidRPr="007F3391">
              <w:t>NNNNN</w:t>
            </w:r>
          </w:p>
        </w:tc>
      </w:tr>
      <w:tr w:rsidR="007E52DF" w:rsidRPr="008D448E" w14:paraId="3B450726"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E293FE8" w14:textId="77777777" w:rsidR="007E52DF" w:rsidRPr="004470FF" w:rsidRDefault="007E52DF" w:rsidP="00764A48">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CA4D2D4" w14:textId="0C6DDFBC" w:rsidR="007E52DF" w:rsidRPr="00143217" w:rsidRDefault="007E52DF">
            <w:pPr>
              <w:pStyle w:val="TableText"/>
            </w:pPr>
            <w:r w:rsidRPr="00143217">
              <w:t xml:space="preserve">Māori </w:t>
            </w:r>
            <w:r>
              <w:t xml:space="preserve">– </w:t>
            </w:r>
            <w:r w:rsidR="003950E9">
              <w:t>21111, l</w:t>
            </w:r>
            <w:r>
              <w:t>evel 2 code 21</w:t>
            </w:r>
          </w:p>
          <w:p w14:paraId="3A3904E1" w14:textId="77777777" w:rsidR="007E52DF" w:rsidRPr="00143217" w:rsidRDefault="007E52DF">
            <w:pPr>
              <w:pStyle w:val="TableText"/>
            </w:pPr>
            <w:r w:rsidRPr="00143217">
              <w:t xml:space="preserve">Pacific </w:t>
            </w:r>
            <w:r>
              <w:t xml:space="preserve">– </w:t>
            </w:r>
            <w:r w:rsidRPr="00143217">
              <w:t xml:space="preserve">Level 2 codes 35, 36, 34, 33, 32, </w:t>
            </w:r>
            <w:r>
              <w:t>31, 37, 30</w:t>
            </w:r>
          </w:p>
          <w:p w14:paraId="387CFADD" w14:textId="60657B7E" w:rsidR="007E52DF" w:rsidRPr="00143217" w:rsidRDefault="007E52DF">
            <w:pPr>
              <w:pStyle w:val="TableText"/>
            </w:pPr>
            <w:r w:rsidRPr="00143217">
              <w:t>Indian</w:t>
            </w:r>
            <w:r>
              <w:t>/</w:t>
            </w:r>
            <w:r w:rsidR="00E37417">
              <w:t xml:space="preserve">Other </w:t>
            </w:r>
            <w:r w:rsidRPr="00143217">
              <w:t xml:space="preserve">South Asian </w:t>
            </w:r>
            <w:r>
              <w:t xml:space="preserve">– </w:t>
            </w:r>
            <w:r w:rsidRPr="00143217">
              <w:t>Level 2 code 43</w:t>
            </w:r>
            <w:r w:rsidR="00F323D2">
              <w:t xml:space="preserve"> (including </w:t>
            </w:r>
            <w:r w:rsidRPr="00143217">
              <w:t>Fijian Indian 43112</w:t>
            </w:r>
            <w:r w:rsidR="00F323D2">
              <w:t>),</w:t>
            </w:r>
            <w:r w:rsidRPr="00143217">
              <w:t xml:space="preserve"> Sri Lankan (441, 44100), Sinhalese (4</w:t>
            </w:r>
            <w:r>
              <w:t>4111), Sri Lankan Tamil (44112)</w:t>
            </w:r>
            <w:r w:rsidRPr="00143217">
              <w:t xml:space="preserve">, Sri Lankan </w:t>
            </w:r>
            <w:proofErr w:type="spellStart"/>
            <w:r w:rsidRPr="00143217">
              <w:t>nec</w:t>
            </w:r>
            <w:proofErr w:type="spellEnd"/>
            <w:r w:rsidRPr="00143217">
              <w:t xml:space="preserve"> (44199), Afg</w:t>
            </w:r>
            <w:r w:rsidR="002C324A">
              <w:t>h</w:t>
            </w:r>
            <w:r w:rsidRPr="00143217">
              <w:t>ani (44411), Bangladeshi (44412), Nepalese (44413), Pakistani (44414), Tibetan (44415)</w:t>
            </w:r>
          </w:p>
          <w:p w14:paraId="2DB0C2EF" w14:textId="1005EB61" w:rsidR="007E52DF" w:rsidRPr="00143217" w:rsidRDefault="007E52DF">
            <w:pPr>
              <w:pStyle w:val="TableText"/>
            </w:pPr>
            <w:r w:rsidRPr="00143217">
              <w:t>Chinese</w:t>
            </w:r>
            <w:r>
              <w:t>/</w:t>
            </w:r>
            <w:r w:rsidRPr="00143217">
              <w:t>Other Asian</w:t>
            </w:r>
            <w:r>
              <w:t xml:space="preserve"> – </w:t>
            </w:r>
            <w:r w:rsidRPr="00143217">
              <w:t xml:space="preserve">Level 2 code 41, 42, 44 </w:t>
            </w:r>
            <w:r>
              <w:t>(</w:t>
            </w:r>
            <w:r w:rsidRPr="00143217">
              <w:t>if not includ</w:t>
            </w:r>
            <w:r>
              <w:t xml:space="preserve">ed </w:t>
            </w:r>
            <w:r w:rsidR="00F323D2">
              <w:t xml:space="preserve">in the </w:t>
            </w:r>
            <w:r w:rsidR="00402B5D" w:rsidRPr="00143217">
              <w:t>Indian</w:t>
            </w:r>
            <w:r w:rsidR="00402B5D">
              <w:t xml:space="preserve">/Other </w:t>
            </w:r>
            <w:r w:rsidR="00402B5D" w:rsidRPr="00143217">
              <w:t>South Asian</w:t>
            </w:r>
            <w:r w:rsidR="00402B5D" w:rsidDel="00402B5D">
              <w:t xml:space="preserve"> </w:t>
            </w:r>
            <w:r w:rsidR="00402B5D">
              <w:t>category</w:t>
            </w:r>
            <w:r>
              <w:t>), 40</w:t>
            </w:r>
          </w:p>
          <w:p w14:paraId="7F856372" w14:textId="4E238F20" w:rsidR="007E52DF" w:rsidRPr="008D448E" w:rsidRDefault="007E52DF">
            <w:pPr>
              <w:pStyle w:val="TableText"/>
            </w:pPr>
            <w:r>
              <w:t>European</w:t>
            </w:r>
            <w:r w:rsidR="001D5CE0">
              <w:t xml:space="preserve"> and </w:t>
            </w:r>
            <w:r w:rsidRPr="00143217">
              <w:t xml:space="preserve">Other </w:t>
            </w:r>
            <w:r>
              <w:t xml:space="preserve">– </w:t>
            </w:r>
            <w:r w:rsidRPr="00143217">
              <w:t xml:space="preserve">Level 2 codes 52, 53, 51, </w:t>
            </w:r>
            <w:r>
              <w:t>61, 12, 10, 11, 91, 95, 97, 99</w:t>
            </w:r>
          </w:p>
        </w:tc>
      </w:tr>
      <w:tr w:rsidR="007E52DF" w:rsidRPr="008D448E" w14:paraId="4DD90BE2"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2300482" w14:textId="77777777" w:rsidR="007E52DF" w:rsidRPr="004470FF" w:rsidRDefault="007E52DF" w:rsidP="00764A48">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729E8E8" w14:textId="4E552A7F" w:rsidR="007E52DF" w:rsidRPr="008D448E" w:rsidRDefault="007E52DF">
            <w:pPr>
              <w:pStyle w:val="TableText"/>
            </w:pPr>
            <w:r>
              <w:t>Mandatory</w:t>
            </w:r>
          </w:p>
        </w:tc>
      </w:tr>
      <w:tr w:rsidR="007E52DF" w:rsidRPr="008D448E" w14:paraId="6CFCD866"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AA9C3C2" w14:textId="77777777" w:rsidR="007E52DF" w:rsidRPr="004470FF" w:rsidRDefault="007E52DF" w:rsidP="00764A48">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A1F5C8B" w14:textId="10CCB1DE" w:rsidR="003632F0" w:rsidRDefault="003632F0">
            <w:pPr>
              <w:pStyle w:val="TableText"/>
            </w:pPr>
            <w:r>
              <w:t xml:space="preserve">Ethnicity should be recorded </w:t>
            </w:r>
            <w:r w:rsidR="00B55A3A">
              <w:t>at</w:t>
            </w:r>
            <w:r>
              <w:t xml:space="preserve"> level 4 in the patient</w:t>
            </w:r>
            <w:r w:rsidR="00954F5C">
              <w:t>’s health</w:t>
            </w:r>
            <w:r>
              <w:t xml:space="preserve"> record</w:t>
            </w:r>
          </w:p>
          <w:p w14:paraId="4C899A16" w14:textId="1A81FE83" w:rsidR="007E52DF" w:rsidRDefault="00AF55ED">
            <w:pPr>
              <w:pStyle w:val="TableText"/>
            </w:pPr>
            <w:r>
              <w:t>A</w:t>
            </w:r>
            <w:r w:rsidR="00230B9D">
              <w:t xml:space="preserve">pply the </w:t>
            </w:r>
            <w:r>
              <w:t>prioritisation</w:t>
            </w:r>
            <w:r w:rsidR="00230B9D">
              <w:t xml:space="preserve"> rules to determine </w:t>
            </w:r>
            <w:r w:rsidR="00316CFB">
              <w:t xml:space="preserve">the ethnic </w:t>
            </w:r>
            <w:r w:rsidR="00230B9D">
              <w:t xml:space="preserve">category </w:t>
            </w:r>
            <w:r w:rsidR="003950E9">
              <w:t xml:space="preserve">and </w:t>
            </w:r>
            <w:r w:rsidR="00A57504">
              <w:t>use</w:t>
            </w:r>
            <w:r w:rsidR="003950E9">
              <w:t xml:space="preserve"> the most specific code</w:t>
            </w:r>
            <w:r w:rsidR="00316CFB">
              <w:t xml:space="preserve"> </w:t>
            </w:r>
            <w:r w:rsidR="00A57504">
              <w:t>to record it</w:t>
            </w:r>
          </w:p>
          <w:p w14:paraId="7DC7971B" w14:textId="306957FA" w:rsidR="00316CFB" w:rsidRPr="008D448E" w:rsidRDefault="00A57504">
            <w:pPr>
              <w:pStyle w:val="TableText"/>
            </w:pPr>
            <w:r>
              <w:t>L</w:t>
            </w:r>
            <w:r w:rsidR="008865C9">
              <w:t xml:space="preserve">evel 2 and 3 codes </w:t>
            </w:r>
            <w:r>
              <w:t>encompass the level 4 codes they prefix</w:t>
            </w:r>
          </w:p>
        </w:tc>
      </w:tr>
      <w:tr w:rsidR="007E52DF" w:rsidRPr="008D448E" w14:paraId="13F2DEFE" w14:textId="77777777" w:rsidTr="007E52D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B06A8FB" w14:textId="36DB1A1F" w:rsidR="007E52DF" w:rsidRPr="004470FF" w:rsidRDefault="007E52DF" w:rsidP="00764A48">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98D7CA1" w14:textId="77777777" w:rsidR="007E52DF" w:rsidRPr="008D448E" w:rsidRDefault="007E52DF">
            <w:pPr>
              <w:pStyle w:val="TableText"/>
            </w:pPr>
          </w:p>
        </w:tc>
      </w:tr>
    </w:tbl>
    <w:p w14:paraId="730E9C70" w14:textId="77777777" w:rsidR="00650A90" w:rsidRDefault="00650A90" w:rsidP="007E52DF">
      <w:pPr>
        <w:pStyle w:val="Heading3"/>
      </w:pPr>
      <w:bookmarkStart w:id="27" w:name="_Toc522522069"/>
      <w:r w:rsidRPr="009A44DF">
        <w:t>Deprivation</w:t>
      </w:r>
      <w:bookmarkEnd w:id="27"/>
      <w:r>
        <w:t xml:space="preserve"> index</w:t>
      </w:r>
    </w:p>
    <w:p w14:paraId="21283341" w14:textId="77777777" w:rsidR="00395E0C" w:rsidRDefault="00650A90" w:rsidP="007E52DF">
      <w:r>
        <w:t>T</w:t>
      </w:r>
      <w:r w:rsidRPr="00451FA7">
        <w:t>he New Zealand Deprivation Index (</w:t>
      </w:r>
      <w:proofErr w:type="spellStart"/>
      <w:r w:rsidRPr="00451FA7">
        <w:t>NZDe</w:t>
      </w:r>
      <w:r>
        <w:t>p</w:t>
      </w:r>
      <w:proofErr w:type="spellEnd"/>
      <w:r>
        <w:t>) score is a measure for assessing socioeconomic status and is a significant predictor of CVD risk, independent of other risk factors.</w:t>
      </w:r>
    </w:p>
    <w:p w14:paraId="0FEE35CB" w14:textId="77777777" w:rsidR="007E52DF" w:rsidRDefault="007E52DF" w:rsidP="007E52DF"/>
    <w:p w14:paraId="658B929B" w14:textId="0C9851A3" w:rsidR="00650A90" w:rsidRDefault="00650A90" w:rsidP="007E52DF">
      <w:proofErr w:type="spellStart"/>
      <w:r>
        <w:t>NZDep</w:t>
      </w:r>
      <w:proofErr w:type="spellEnd"/>
      <w:r>
        <w:t xml:space="preserve"> is a measure assigned </w:t>
      </w:r>
      <w:r w:rsidRPr="00451FA7">
        <w:t>to a patient</w:t>
      </w:r>
      <w:r w:rsidR="00395E0C">
        <w:t>’</w:t>
      </w:r>
      <w:r w:rsidRPr="00451FA7">
        <w:t xml:space="preserve">s area of residence. </w:t>
      </w:r>
      <w:r>
        <w:t>The score</w:t>
      </w:r>
      <w:r w:rsidRPr="00451FA7">
        <w:t xml:space="preserve"> is based on nine variables from the Census, reflecting eight dimensions of relative deprivation of census tracts</w:t>
      </w:r>
      <w:r w:rsidR="00BD050D">
        <w:t xml:space="preserve"> (Salmond et al 2007)</w:t>
      </w:r>
      <w:r w:rsidRPr="00451FA7">
        <w:t xml:space="preserve">. </w:t>
      </w:r>
      <w:proofErr w:type="spellStart"/>
      <w:r>
        <w:t>NZDep</w:t>
      </w:r>
      <w:proofErr w:type="spellEnd"/>
      <w:r>
        <w:t xml:space="preserve"> is updated with each Census (</w:t>
      </w:r>
      <w:proofErr w:type="spellStart"/>
      <w:r>
        <w:t>eg</w:t>
      </w:r>
      <w:proofErr w:type="spellEnd"/>
      <w:r>
        <w:t xml:space="preserve">, 2006, 2013, 2018), so the index closest to the CVD risk calculation should be used if available. </w:t>
      </w:r>
      <w:r w:rsidRPr="00451FA7">
        <w:t>For CVD risk calculat</w:t>
      </w:r>
      <w:r>
        <w:t>i</w:t>
      </w:r>
      <w:r w:rsidRPr="00451FA7">
        <w:t>o</w:t>
      </w:r>
      <w:r>
        <w:t>n</w:t>
      </w:r>
      <w:r w:rsidRPr="00451FA7">
        <w:t xml:space="preserve">, </w:t>
      </w:r>
      <w:r>
        <w:t xml:space="preserve">input </w:t>
      </w:r>
      <w:proofErr w:type="spellStart"/>
      <w:r>
        <w:t>NZDep</w:t>
      </w:r>
      <w:proofErr w:type="spellEnd"/>
      <w:r>
        <w:t xml:space="preserve"> according to quintile of deprivation</w:t>
      </w:r>
      <w:r w:rsidRPr="00451FA7">
        <w:t xml:space="preserve"> (</w:t>
      </w:r>
      <w:r w:rsidR="00BB0D2A">
        <w:t>from</w:t>
      </w:r>
      <w:r w:rsidR="00BB0D2A" w:rsidRPr="00451FA7">
        <w:t xml:space="preserve"> </w:t>
      </w:r>
      <w:r w:rsidRPr="00451FA7">
        <w:t xml:space="preserve">1 </w:t>
      </w:r>
      <w:r w:rsidR="00BB0D2A">
        <w:t xml:space="preserve">least deprived </w:t>
      </w:r>
      <w:r w:rsidRPr="00451FA7">
        <w:t xml:space="preserve">to </w:t>
      </w:r>
      <w:r>
        <w:t>5 most deprived)</w:t>
      </w:r>
      <w:r w:rsidRPr="00451FA7">
        <w:t>.</w:t>
      </w:r>
    </w:p>
    <w:p w14:paraId="2195603B" w14:textId="77777777" w:rsidR="004470FF" w:rsidRDefault="004470FF" w:rsidP="007E52DF"/>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7E52DF" w:rsidRPr="008D448E" w14:paraId="2AB0DD9D"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755F4AE3" w14:textId="77777777" w:rsidR="007E52DF" w:rsidRPr="004470FF" w:rsidRDefault="007E52DF" w:rsidP="007F3CFD">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3C8D56F" w14:textId="55B611BC" w:rsidR="007E52DF" w:rsidRPr="008D448E" w:rsidRDefault="007E52DF" w:rsidP="007F3CFD">
            <w:pPr>
              <w:pStyle w:val="TableText"/>
            </w:pPr>
            <w:proofErr w:type="spellStart"/>
            <w:r>
              <w:t>NZDep</w:t>
            </w:r>
            <w:proofErr w:type="spellEnd"/>
            <w:r>
              <w:t xml:space="preserve"> score expressed as quintile of deprivation</w:t>
            </w:r>
          </w:p>
        </w:tc>
      </w:tr>
      <w:tr w:rsidR="007E52DF" w:rsidRPr="008D448E" w14:paraId="2DD23EA3"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E32A527" w14:textId="77777777" w:rsidR="007E52DF" w:rsidRPr="004470FF" w:rsidRDefault="007E52DF" w:rsidP="007F3CFD">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57F6B031" w14:textId="44D331A3" w:rsidR="007E52DF" w:rsidRPr="008D448E" w:rsidRDefault="00000000" w:rsidP="007F3CFD">
            <w:pPr>
              <w:pStyle w:val="TableText"/>
            </w:pPr>
            <w:hyperlink r:id="rId29" w:history="1">
              <w:proofErr w:type="spellStart"/>
              <w:r w:rsidR="007E52DF" w:rsidRPr="00087856">
                <w:rPr>
                  <w:rStyle w:val="Hyperlink"/>
                  <w:rFonts w:eastAsia="MS Gothic"/>
                </w:rPr>
                <w:t>NZDep</w:t>
              </w:r>
              <w:proofErr w:type="spellEnd"/>
            </w:hyperlink>
          </w:p>
        </w:tc>
      </w:tr>
      <w:tr w:rsidR="007E52DF" w:rsidRPr="008D448E" w14:paraId="0DAB8E80" w14:textId="77777777" w:rsidTr="00DA35C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5B9D033" w14:textId="77777777" w:rsidR="007E52DF" w:rsidRPr="004470FF" w:rsidRDefault="007E52DF" w:rsidP="007F3CFD">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74751E53" w14:textId="4670A429" w:rsidR="007E52DF" w:rsidRPr="008D448E" w:rsidRDefault="007E52DF" w:rsidP="007F3CFD">
            <w:pPr>
              <w:pStyle w:val="TableText"/>
            </w:pPr>
            <w:r w:rsidRPr="007B116A">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C194246" w14:textId="77777777" w:rsidR="007E52DF" w:rsidRPr="004470FF" w:rsidRDefault="007E52DF" w:rsidP="007F3CFD">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00105578" w14:textId="1887A980" w:rsidR="007E52DF" w:rsidRPr="008D448E" w:rsidRDefault="007E52DF" w:rsidP="007F3CFD">
            <w:pPr>
              <w:pStyle w:val="TableText"/>
            </w:pPr>
            <w:r>
              <w:t>Value</w:t>
            </w:r>
          </w:p>
        </w:tc>
      </w:tr>
      <w:tr w:rsidR="007E52DF" w:rsidRPr="00F46627" w14:paraId="09EA29A6" w14:textId="77777777" w:rsidTr="00DA35C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98676EF" w14:textId="77777777" w:rsidR="007E52DF" w:rsidRPr="004470FF" w:rsidRDefault="007E52DF" w:rsidP="007F3CFD">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068D52F6" w14:textId="6A568458" w:rsidR="007E52DF" w:rsidRPr="008D448E" w:rsidRDefault="007E52DF" w:rsidP="007F3CFD">
            <w:pPr>
              <w:pStyle w:val="TableText"/>
            </w:pPr>
            <w:r>
              <w:t>1</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76B4681F" w14:textId="77777777" w:rsidR="007E52DF" w:rsidRPr="004470FF" w:rsidRDefault="007E52DF" w:rsidP="007F3CFD">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020B6339" w14:textId="277E56A3" w:rsidR="007E52DF" w:rsidRPr="00F46627" w:rsidRDefault="007E52DF" w:rsidP="007F3CFD">
            <w:pPr>
              <w:pStyle w:val="TableText"/>
            </w:pPr>
            <w:r>
              <w:t>N</w:t>
            </w:r>
          </w:p>
        </w:tc>
      </w:tr>
      <w:tr w:rsidR="007E52DF" w:rsidRPr="008D448E" w14:paraId="1293DA95"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74C71A9" w14:textId="77777777" w:rsidR="007E52DF" w:rsidRPr="004470FF" w:rsidRDefault="007E52DF" w:rsidP="007F3CFD">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AB1659B" w14:textId="7B0D85F2" w:rsidR="007E52DF" w:rsidRPr="008D448E" w:rsidRDefault="007E52DF" w:rsidP="007F3CFD">
            <w:pPr>
              <w:pStyle w:val="TableText"/>
            </w:pPr>
            <w:r>
              <w:t>1–5</w:t>
            </w:r>
          </w:p>
        </w:tc>
      </w:tr>
      <w:tr w:rsidR="007E52DF" w:rsidRPr="008D448E" w14:paraId="1AA95F56"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D352F7D" w14:textId="77777777" w:rsidR="007E52DF" w:rsidRPr="004470FF" w:rsidRDefault="007E52DF" w:rsidP="007F3CFD">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C6BB271" w14:textId="50D880BC" w:rsidR="007E52DF" w:rsidRPr="008D448E" w:rsidRDefault="007E52DF" w:rsidP="007F3CFD">
            <w:pPr>
              <w:pStyle w:val="TableText"/>
            </w:pPr>
            <w:r>
              <w:t>Mandatory</w:t>
            </w:r>
          </w:p>
        </w:tc>
      </w:tr>
      <w:tr w:rsidR="007E52DF" w:rsidRPr="008D448E" w14:paraId="425CD522"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EBB2840" w14:textId="77777777" w:rsidR="007E52DF" w:rsidRPr="004470FF" w:rsidRDefault="007E52DF" w:rsidP="007F3CFD">
            <w:pPr>
              <w:pStyle w:val="TableText"/>
              <w:rPr>
                <w:b/>
              </w:rPr>
            </w:pPr>
            <w:r w:rsidRPr="004470FF">
              <w:rPr>
                <w:b/>
              </w:rPr>
              <w:lastRenderedPageBreak/>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CCF94D3" w14:textId="77777777" w:rsidR="007E52DF" w:rsidRDefault="007E52DF" w:rsidP="007F3CFD">
            <w:pPr>
              <w:pStyle w:val="TableText"/>
            </w:pPr>
            <w:proofErr w:type="spellStart"/>
            <w:r>
              <w:t>NZDep</w:t>
            </w:r>
            <w:proofErr w:type="spellEnd"/>
            <w:r>
              <w:t xml:space="preserve"> score is derived each census (</w:t>
            </w:r>
            <w:proofErr w:type="spellStart"/>
            <w:r>
              <w:t>eg</w:t>
            </w:r>
            <w:proofErr w:type="spellEnd"/>
            <w:r>
              <w:t xml:space="preserve">, 2006, 2013, 2018). Use the </w:t>
            </w:r>
            <w:proofErr w:type="spellStart"/>
            <w:r>
              <w:t>NZDep</w:t>
            </w:r>
            <w:proofErr w:type="spellEnd"/>
            <w:r>
              <w:t xml:space="preserve"> closest to the date of CVD risk calculation</w:t>
            </w:r>
          </w:p>
          <w:p w14:paraId="1D04206E" w14:textId="4091F36E" w:rsidR="007E52DF" w:rsidRPr="008D448E" w:rsidRDefault="007E52DF" w:rsidP="007F3CFD">
            <w:pPr>
              <w:pStyle w:val="TableText"/>
            </w:pPr>
            <w:r>
              <w:t xml:space="preserve">If </w:t>
            </w:r>
            <w:proofErr w:type="spellStart"/>
            <w:r>
              <w:t>NZDep</w:t>
            </w:r>
            <w:proofErr w:type="spellEnd"/>
            <w:r>
              <w:t xml:space="preserve"> score is unknown, </w:t>
            </w:r>
            <w:r w:rsidR="008352F4">
              <w:t>use</w:t>
            </w:r>
            <w:r>
              <w:t xml:space="preserve"> the </w:t>
            </w:r>
            <w:proofErr w:type="spellStart"/>
            <w:r>
              <w:t>NZiDep</w:t>
            </w:r>
            <w:proofErr w:type="spellEnd"/>
            <w:r>
              <w:t xml:space="preserve"> </w:t>
            </w:r>
            <w:r w:rsidRPr="00BC2288">
              <w:t>index of socioecono</w:t>
            </w:r>
            <w:r>
              <w:t>mic deprivation for individuals</w:t>
            </w:r>
            <w:r w:rsidR="00BD050D">
              <w:t xml:space="preserve"> (Salmond et al 2006)</w:t>
            </w:r>
            <w:r>
              <w:t>. This eight-question survey can provide quintile of deprivation for putting into the risk calculator</w:t>
            </w:r>
          </w:p>
        </w:tc>
      </w:tr>
      <w:tr w:rsidR="007E52DF" w:rsidRPr="008D448E" w14:paraId="58049846" w14:textId="77777777" w:rsidTr="007E52D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7E694387" w14:textId="77777777" w:rsidR="007E52DF" w:rsidRPr="004470FF" w:rsidRDefault="007E52DF" w:rsidP="007F3CFD">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7508B81" w14:textId="77777777" w:rsidR="007E52DF" w:rsidRPr="008D448E" w:rsidRDefault="007E52DF" w:rsidP="007F3CFD">
            <w:pPr>
              <w:pStyle w:val="TableText"/>
            </w:pPr>
          </w:p>
        </w:tc>
      </w:tr>
    </w:tbl>
    <w:p w14:paraId="097146F2" w14:textId="77777777" w:rsidR="00650A90" w:rsidRDefault="00650A90" w:rsidP="007E52DF">
      <w:pPr>
        <w:pStyle w:val="Heading2"/>
      </w:pPr>
      <w:bookmarkStart w:id="28" w:name="_Toc5806747"/>
      <w:bookmarkStart w:id="29" w:name="_Toc46146736"/>
      <w:bookmarkStart w:id="30" w:name="_Toc522522071"/>
      <w:r>
        <w:t>Prior CVD and other exclusion criteria</w:t>
      </w:r>
      <w:bookmarkEnd w:id="28"/>
      <w:bookmarkEnd w:id="29"/>
    </w:p>
    <w:p w14:paraId="59BB74D3" w14:textId="77777777" w:rsidR="00650A90" w:rsidRPr="00720D7A" w:rsidRDefault="00650A90" w:rsidP="007E52DF">
      <w:pPr>
        <w:pStyle w:val="Heading3"/>
      </w:pPr>
      <w:r>
        <w:t>Prior CVD</w:t>
      </w:r>
    </w:p>
    <w:p w14:paraId="0B3FB001" w14:textId="77777777" w:rsidR="00395E0C" w:rsidRDefault="00650A90" w:rsidP="007E52DF">
      <w:r>
        <w:t>Prior CVD is defined as having had one or more of the following conditions or procedures. These are all related to atherosclerotic arterial disease of the heart, brain and peripheral vessels:</w:t>
      </w:r>
    </w:p>
    <w:p w14:paraId="00FC2EE9" w14:textId="77777777" w:rsidR="00395E0C" w:rsidRDefault="00650A90" w:rsidP="007E52DF">
      <w:pPr>
        <w:pStyle w:val="Bullet"/>
      </w:pPr>
      <w:r>
        <w:t>angina</w:t>
      </w:r>
    </w:p>
    <w:p w14:paraId="66E0E052" w14:textId="254FC9C4" w:rsidR="00650A90" w:rsidRPr="000E37FB" w:rsidRDefault="00650A90" w:rsidP="007E52DF">
      <w:pPr>
        <w:pStyle w:val="Bullet"/>
      </w:pPr>
      <w:r>
        <w:t>myocardial infarction</w:t>
      </w:r>
    </w:p>
    <w:p w14:paraId="5354D499" w14:textId="77777777" w:rsidR="00395E0C" w:rsidRDefault="00650A90" w:rsidP="007E52DF">
      <w:pPr>
        <w:pStyle w:val="Bullet"/>
      </w:pPr>
      <w:r w:rsidRPr="003F4C00">
        <w:t>per</w:t>
      </w:r>
      <w:r>
        <w:t xml:space="preserve">cutaneous </w:t>
      </w:r>
      <w:r w:rsidRPr="003F4C00">
        <w:t>coronary intervent</w:t>
      </w:r>
      <w:r>
        <w:t>ion</w:t>
      </w:r>
    </w:p>
    <w:p w14:paraId="00E73E5C" w14:textId="77777777" w:rsidR="00395E0C" w:rsidRDefault="00650A90" w:rsidP="007E52DF">
      <w:pPr>
        <w:pStyle w:val="Bullet"/>
      </w:pPr>
      <w:r>
        <w:t>coronary artery bypass grafting</w:t>
      </w:r>
    </w:p>
    <w:p w14:paraId="10D15726" w14:textId="77777777" w:rsidR="00395E0C" w:rsidRDefault="00650A90" w:rsidP="007E52DF">
      <w:pPr>
        <w:pStyle w:val="Bullet"/>
      </w:pPr>
      <w:r w:rsidRPr="003F4C00">
        <w:t>ischaemic stroke</w:t>
      </w:r>
    </w:p>
    <w:p w14:paraId="55628714" w14:textId="77777777" w:rsidR="00395E0C" w:rsidRDefault="00650A90" w:rsidP="007E52DF">
      <w:pPr>
        <w:pStyle w:val="Bullet"/>
      </w:pPr>
      <w:r>
        <w:t>transient ischaemic attack</w:t>
      </w:r>
    </w:p>
    <w:p w14:paraId="70F6D2AA" w14:textId="4A08F9C3" w:rsidR="00650A90" w:rsidRDefault="00650A90" w:rsidP="007E52DF">
      <w:pPr>
        <w:pStyle w:val="Bullet"/>
      </w:pPr>
      <w:r w:rsidRPr="003F4C00">
        <w:t>peripheral vascular disease (c</w:t>
      </w:r>
      <w:r>
        <w:t>linical diagnosis or procedure).</w:t>
      </w:r>
    </w:p>
    <w:p w14:paraId="5A78FD99" w14:textId="77777777" w:rsidR="007E52DF" w:rsidRDefault="007E52DF" w:rsidP="007E52DF"/>
    <w:p w14:paraId="47FCC070" w14:textId="3A349DED" w:rsidR="00650A90" w:rsidRDefault="00650A90" w:rsidP="007E52DF">
      <w:r>
        <w:t xml:space="preserve">If a prior CVD condition or procedure is present, then individuals are </w:t>
      </w:r>
      <w:r w:rsidRPr="00AD4090">
        <w:t>excluded</w:t>
      </w:r>
      <w:r>
        <w:t xml:space="preserve"> from CVD risk assessment using the primary prevention equations. However, these conditions and procedures are included in the table below as they need to be explicitly reported at the time of CVD risk assessment and will be </w:t>
      </w:r>
      <w:r w:rsidR="0073563F">
        <w:t xml:space="preserve">variables within </w:t>
      </w:r>
      <w:r>
        <w:t>future secondary prevention equations.</w:t>
      </w:r>
    </w:p>
    <w:p w14:paraId="50608679" w14:textId="77777777" w:rsidR="004470FF" w:rsidRDefault="004470FF" w:rsidP="007E52DF"/>
    <w:tbl>
      <w:tblPr>
        <w:tblStyle w:val="TableGrid"/>
        <w:tblW w:w="4931" w:type="pct"/>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159"/>
        <w:gridCol w:w="4809"/>
      </w:tblGrid>
      <w:tr w:rsidR="007E52DF" w:rsidRPr="007E52DF" w14:paraId="27F485E0" w14:textId="77777777" w:rsidTr="3ADDC19A">
        <w:trPr>
          <w:cantSplit/>
        </w:trPr>
        <w:tc>
          <w:tcPr>
            <w:tcW w:w="1982" w:type="pct"/>
            <w:tcBorders>
              <w:top w:val="nil"/>
              <w:bottom w:val="nil"/>
            </w:tcBorders>
            <w:shd w:val="clear" w:color="auto" w:fill="D9D9D9" w:themeFill="background1" w:themeFillShade="D9"/>
          </w:tcPr>
          <w:p w14:paraId="466F6C1E" w14:textId="77777777" w:rsidR="00650A90" w:rsidRPr="007E52DF" w:rsidRDefault="00650A90" w:rsidP="007F3CFD">
            <w:pPr>
              <w:pStyle w:val="TableText"/>
              <w:rPr>
                <w:b/>
              </w:rPr>
            </w:pPr>
            <w:r w:rsidRPr="007E52DF">
              <w:rPr>
                <w:b/>
              </w:rPr>
              <w:t>Condition or procedure</w:t>
            </w:r>
          </w:p>
        </w:tc>
        <w:tc>
          <w:tcPr>
            <w:tcW w:w="3018" w:type="pct"/>
            <w:tcBorders>
              <w:top w:val="nil"/>
              <w:bottom w:val="nil"/>
            </w:tcBorders>
            <w:shd w:val="clear" w:color="auto" w:fill="D9D9D9" w:themeFill="background1" w:themeFillShade="D9"/>
          </w:tcPr>
          <w:p w14:paraId="3B939629" w14:textId="77777777" w:rsidR="00650A90" w:rsidRPr="007E52DF" w:rsidRDefault="00650A90" w:rsidP="007F3CFD">
            <w:pPr>
              <w:pStyle w:val="TableText"/>
              <w:rPr>
                <w:b/>
              </w:rPr>
            </w:pPr>
            <w:r w:rsidRPr="007E52DF">
              <w:rPr>
                <w:b/>
              </w:rPr>
              <w:t>Definition</w:t>
            </w:r>
          </w:p>
        </w:tc>
      </w:tr>
      <w:tr w:rsidR="00650A90" w14:paraId="50B8C402" w14:textId="77777777" w:rsidTr="3ADDC19A">
        <w:trPr>
          <w:cantSplit/>
        </w:trPr>
        <w:tc>
          <w:tcPr>
            <w:tcW w:w="1982" w:type="pct"/>
            <w:tcBorders>
              <w:top w:val="nil"/>
            </w:tcBorders>
            <w:shd w:val="clear" w:color="auto" w:fill="auto"/>
          </w:tcPr>
          <w:p w14:paraId="6AC0BA30" w14:textId="2B22653D" w:rsidR="00650A90" w:rsidRDefault="006477D1" w:rsidP="3ADDC19A">
            <w:pPr>
              <w:pStyle w:val="TableText"/>
              <w:spacing w:line="240" w:lineRule="auto"/>
            </w:pPr>
            <w:r w:rsidRPr="00BD0C43">
              <w:rPr>
                <w:rStyle w:val="Hyperlink"/>
                <w:rFonts w:eastAsia="MS Gothic"/>
                <w:color w:val="4F81BD" w:themeColor="accent1"/>
              </w:rPr>
              <w:fldChar w:fldCharType="begin"/>
            </w:r>
            <w:r w:rsidRPr="00BD0C43">
              <w:rPr>
                <w:rStyle w:val="Hyperlink"/>
                <w:rFonts w:eastAsia="MS Gothic"/>
                <w:color w:val="4F81BD" w:themeColor="accent1"/>
              </w:rPr>
              <w:instrText>HYPERLINK "https://browser.ihtsdotools.org/?perspective=full&amp;conceptId1=22298006"</w:instrText>
            </w:r>
            <w:r w:rsidRPr="00BD0C43">
              <w:rPr>
                <w:rStyle w:val="Hyperlink"/>
                <w:rFonts w:eastAsia="MS Gothic"/>
                <w:color w:val="4F81BD" w:themeColor="accent1"/>
              </w:rPr>
            </w:r>
            <w:r w:rsidRPr="00BD0C43">
              <w:rPr>
                <w:rStyle w:val="Hyperlink"/>
                <w:rFonts w:eastAsia="MS Gothic"/>
                <w:color w:val="4F81BD" w:themeColor="accent1"/>
              </w:rPr>
              <w:fldChar w:fldCharType="separate"/>
            </w:r>
            <w:r w:rsidR="00650A90" w:rsidRPr="00BD0C43">
              <w:rPr>
                <w:rStyle w:val="Hyperlink"/>
                <w:rFonts w:eastAsia="MS Gothic"/>
                <w:color w:val="4F81BD" w:themeColor="accent1"/>
              </w:rPr>
              <w:t>Angina</w:t>
            </w:r>
            <w:r w:rsidRPr="00BD0C43">
              <w:rPr>
                <w:rStyle w:val="Hyperlink"/>
                <w:rFonts w:eastAsia="MS Gothic"/>
                <w:color w:val="4F81BD" w:themeColor="accent1"/>
              </w:rPr>
              <w:fldChar w:fldCharType="end"/>
            </w:r>
          </w:p>
        </w:tc>
        <w:tc>
          <w:tcPr>
            <w:tcW w:w="3018" w:type="pct"/>
            <w:tcBorders>
              <w:top w:val="nil"/>
            </w:tcBorders>
            <w:shd w:val="clear" w:color="auto" w:fill="auto"/>
          </w:tcPr>
          <w:p w14:paraId="7EB3BF24" w14:textId="77777777" w:rsidR="00650A90" w:rsidRDefault="00650A90" w:rsidP="007F3CFD">
            <w:pPr>
              <w:pStyle w:val="TableText"/>
            </w:pPr>
            <w:r>
              <w:t>History of stable or unstable angina</w:t>
            </w:r>
          </w:p>
        </w:tc>
      </w:tr>
      <w:tr w:rsidR="00650A90" w14:paraId="7D9B8972" w14:textId="77777777" w:rsidTr="3ADDC19A">
        <w:trPr>
          <w:cantSplit/>
        </w:trPr>
        <w:tc>
          <w:tcPr>
            <w:tcW w:w="1982" w:type="pct"/>
            <w:shd w:val="clear" w:color="auto" w:fill="auto"/>
          </w:tcPr>
          <w:p w14:paraId="5B446B33" w14:textId="273526A9" w:rsidR="00650A90" w:rsidRPr="00BD0C43" w:rsidRDefault="006477D1" w:rsidP="007F3CFD">
            <w:pPr>
              <w:pStyle w:val="TableText"/>
              <w:rPr>
                <w:color w:val="4F81BD" w:themeColor="accent1"/>
              </w:rPr>
            </w:pPr>
            <w:r w:rsidRPr="00BD0C43">
              <w:fldChar w:fldCharType="begin"/>
            </w:r>
            <w:r w:rsidRPr="00BD0C43">
              <w:rPr>
                <w:color w:val="4F81BD" w:themeColor="accent1"/>
              </w:rPr>
              <w:instrText>HYPERLINK "https://browser.ihtsdotools.org/?perspective=full&amp;conceptId1=22298006"</w:instrText>
            </w:r>
            <w:r w:rsidRPr="00BD0C43">
              <w:fldChar w:fldCharType="separate"/>
            </w:r>
            <w:r w:rsidR="00650A90" w:rsidRPr="00BD0C43">
              <w:rPr>
                <w:rStyle w:val="Hyperlink"/>
                <w:rFonts w:eastAsia="MS Gothic"/>
                <w:color w:val="4F81BD" w:themeColor="accent1"/>
              </w:rPr>
              <w:t>Myocardial infarction</w:t>
            </w:r>
            <w:r w:rsidRPr="00BD0C43">
              <w:rPr>
                <w:rStyle w:val="Hyperlink"/>
                <w:rFonts w:eastAsia="MS Gothic"/>
                <w:color w:val="4F81BD" w:themeColor="accent1"/>
              </w:rPr>
              <w:fldChar w:fldCharType="end"/>
            </w:r>
          </w:p>
        </w:tc>
        <w:tc>
          <w:tcPr>
            <w:tcW w:w="3018" w:type="pct"/>
            <w:shd w:val="clear" w:color="auto" w:fill="auto"/>
          </w:tcPr>
          <w:p w14:paraId="6AD161A3" w14:textId="664D1F28" w:rsidR="00650A90" w:rsidRDefault="00650A90" w:rsidP="007F3CFD">
            <w:pPr>
              <w:pStyle w:val="TableText"/>
            </w:pPr>
            <w:r w:rsidRPr="00CB6C0E">
              <w:t>Previous heart attack</w:t>
            </w:r>
            <w:r>
              <w:t xml:space="preserve"> or acute coronary syndrome</w:t>
            </w:r>
            <w:r w:rsidRPr="00CB6C0E">
              <w:t>, including both non-ST elevation myocardial infarction (non-STEMI) and ST</w:t>
            </w:r>
            <w:r w:rsidR="0073563F">
              <w:t xml:space="preserve"> </w:t>
            </w:r>
            <w:r w:rsidRPr="00CB6C0E">
              <w:t>elevation myocardial infarction (STEMI)</w:t>
            </w:r>
          </w:p>
        </w:tc>
      </w:tr>
      <w:tr w:rsidR="00650A90" w14:paraId="24AB983C" w14:textId="77777777" w:rsidTr="3ADDC19A">
        <w:trPr>
          <w:cantSplit/>
        </w:trPr>
        <w:tc>
          <w:tcPr>
            <w:tcW w:w="1982" w:type="pct"/>
            <w:shd w:val="clear" w:color="auto" w:fill="auto"/>
          </w:tcPr>
          <w:p w14:paraId="52F4D585" w14:textId="0B76CB7B" w:rsidR="00650A90" w:rsidRPr="00BD0C43" w:rsidRDefault="006477D1" w:rsidP="007F3CFD">
            <w:pPr>
              <w:pStyle w:val="TableText"/>
              <w:rPr>
                <w:color w:val="4F81BD" w:themeColor="accent1"/>
              </w:rPr>
            </w:pPr>
            <w:r w:rsidRPr="00BD0C43">
              <w:fldChar w:fldCharType="begin"/>
            </w:r>
            <w:r w:rsidRPr="00BD0C43">
              <w:rPr>
                <w:color w:val="4F81BD" w:themeColor="accent1"/>
              </w:rPr>
              <w:instrText>HYPERLINK "https://browser.ihtsdotools.org/?perspective=full&amp;conceptId1=415070008"</w:instrText>
            </w:r>
            <w:r w:rsidRPr="00BD0C43">
              <w:fldChar w:fldCharType="separate"/>
            </w:r>
            <w:r w:rsidR="00650A90" w:rsidRPr="00BD0C43">
              <w:rPr>
                <w:rStyle w:val="Hyperlink"/>
                <w:rFonts w:eastAsia="MS Gothic"/>
                <w:color w:val="4F81BD" w:themeColor="accent1"/>
              </w:rPr>
              <w:t>Percutaneous coronary intervention</w:t>
            </w:r>
            <w:r w:rsidRPr="00BD0C43">
              <w:rPr>
                <w:rStyle w:val="Hyperlink"/>
                <w:rFonts w:eastAsia="MS Gothic"/>
                <w:color w:val="4F81BD" w:themeColor="accent1"/>
              </w:rPr>
              <w:fldChar w:fldCharType="end"/>
            </w:r>
          </w:p>
        </w:tc>
        <w:tc>
          <w:tcPr>
            <w:tcW w:w="3018" w:type="pct"/>
            <w:shd w:val="clear" w:color="auto" w:fill="auto"/>
          </w:tcPr>
          <w:p w14:paraId="15B039F1" w14:textId="77777777" w:rsidR="00650A90" w:rsidRDefault="00650A90" w:rsidP="007F3CFD">
            <w:pPr>
              <w:pStyle w:val="TableText"/>
            </w:pPr>
            <w:r w:rsidRPr="00CB6C0E">
              <w:t>Previous percutaneous coronary intervention, including coronary angioplasty and stenting</w:t>
            </w:r>
          </w:p>
        </w:tc>
      </w:tr>
      <w:tr w:rsidR="00650A90" w14:paraId="7B717301" w14:textId="77777777" w:rsidTr="3ADDC19A">
        <w:trPr>
          <w:cantSplit/>
        </w:trPr>
        <w:tc>
          <w:tcPr>
            <w:tcW w:w="1982" w:type="pct"/>
            <w:shd w:val="clear" w:color="auto" w:fill="auto"/>
          </w:tcPr>
          <w:p w14:paraId="65FC0CC9" w14:textId="4B12B000" w:rsidR="00650A90" w:rsidRPr="00BD0C43" w:rsidRDefault="006477D1" w:rsidP="007F3CFD">
            <w:pPr>
              <w:pStyle w:val="TableText"/>
              <w:rPr>
                <w:color w:val="4F81BD" w:themeColor="accent1"/>
              </w:rPr>
            </w:pPr>
            <w:r w:rsidRPr="00BD0C43">
              <w:fldChar w:fldCharType="begin"/>
            </w:r>
            <w:r w:rsidRPr="00BD0C43">
              <w:rPr>
                <w:color w:val="4F81BD" w:themeColor="accent1"/>
              </w:rPr>
              <w:instrText>HYPERLINK "https://browser.ihtsdotools.org/?perspective=full&amp;conceptId1=232717009"</w:instrText>
            </w:r>
            <w:r w:rsidRPr="00BD0C43">
              <w:fldChar w:fldCharType="separate"/>
            </w:r>
            <w:r w:rsidR="00650A90" w:rsidRPr="00BD0C43">
              <w:rPr>
                <w:rStyle w:val="Hyperlink"/>
                <w:rFonts w:eastAsia="MS Gothic"/>
                <w:color w:val="4F81BD" w:themeColor="accent1"/>
              </w:rPr>
              <w:t>Coronary artery bypass grafting</w:t>
            </w:r>
            <w:r w:rsidRPr="00BD0C43">
              <w:rPr>
                <w:rStyle w:val="Hyperlink"/>
                <w:rFonts w:eastAsia="MS Gothic"/>
                <w:color w:val="4F81BD" w:themeColor="accent1"/>
              </w:rPr>
              <w:fldChar w:fldCharType="end"/>
            </w:r>
          </w:p>
        </w:tc>
        <w:tc>
          <w:tcPr>
            <w:tcW w:w="3018" w:type="pct"/>
            <w:shd w:val="clear" w:color="auto" w:fill="auto"/>
          </w:tcPr>
          <w:p w14:paraId="118376CE" w14:textId="77777777" w:rsidR="00650A90" w:rsidRDefault="00650A90" w:rsidP="007F3CFD">
            <w:pPr>
              <w:pStyle w:val="TableText"/>
            </w:pPr>
            <w:r w:rsidRPr="00CB6C0E">
              <w:t>Previous coronary artery bypass graft</w:t>
            </w:r>
            <w:r>
              <w:t>ing</w:t>
            </w:r>
            <w:r w:rsidRPr="00CB6C0E">
              <w:t xml:space="preserve"> procedure</w:t>
            </w:r>
          </w:p>
        </w:tc>
      </w:tr>
      <w:tr w:rsidR="00650A90" w14:paraId="27CE3477" w14:textId="77777777" w:rsidTr="3ADDC19A">
        <w:trPr>
          <w:cantSplit/>
        </w:trPr>
        <w:tc>
          <w:tcPr>
            <w:tcW w:w="1982" w:type="pct"/>
            <w:shd w:val="clear" w:color="auto" w:fill="auto"/>
          </w:tcPr>
          <w:p w14:paraId="4A55FA14" w14:textId="7EA6AE7D" w:rsidR="00650A90" w:rsidRPr="00BD0C43" w:rsidRDefault="006477D1" w:rsidP="007F3CFD">
            <w:pPr>
              <w:pStyle w:val="TableText"/>
              <w:rPr>
                <w:color w:val="4F81BD" w:themeColor="accent1"/>
              </w:rPr>
            </w:pPr>
            <w:r w:rsidRPr="00BD0C43">
              <w:fldChar w:fldCharType="begin"/>
            </w:r>
            <w:r w:rsidRPr="00BD0C43">
              <w:rPr>
                <w:color w:val="4F81BD" w:themeColor="accent1"/>
              </w:rPr>
              <w:instrText>HYPERLINK "https://browser.ihtsdotools.org/?perspective=full&amp;conceptId1=422504002"</w:instrText>
            </w:r>
            <w:r w:rsidRPr="00BD0C43">
              <w:fldChar w:fldCharType="separate"/>
            </w:r>
            <w:r w:rsidR="00650A90" w:rsidRPr="00BD0C43">
              <w:rPr>
                <w:rStyle w:val="Hyperlink"/>
                <w:rFonts w:eastAsia="MS Gothic"/>
                <w:color w:val="4F81BD" w:themeColor="accent1"/>
              </w:rPr>
              <w:t>Ischaemic stroke</w:t>
            </w:r>
            <w:r w:rsidRPr="00BD0C43">
              <w:rPr>
                <w:rStyle w:val="Hyperlink"/>
                <w:rFonts w:eastAsia="MS Gothic"/>
                <w:color w:val="4F81BD" w:themeColor="accent1"/>
              </w:rPr>
              <w:fldChar w:fldCharType="end"/>
            </w:r>
          </w:p>
        </w:tc>
        <w:tc>
          <w:tcPr>
            <w:tcW w:w="3018" w:type="pct"/>
            <w:shd w:val="clear" w:color="auto" w:fill="auto"/>
          </w:tcPr>
          <w:p w14:paraId="5F67AFC0" w14:textId="77777777" w:rsidR="00650A90" w:rsidRDefault="00650A90" w:rsidP="007F3CFD">
            <w:pPr>
              <w:pStyle w:val="TableText"/>
            </w:pPr>
            <w:r>
              <w:t>Previous</w:t>
            </w:r>
            <w:r w:rsidRPr="00CB6C0E">
              <w:t xml:space="preserve"> ischaemic stroke with neurological signs and symptoms lasting more than 24 hours</w:t>
            </w:r>
          </w:p>
        </w:tc>
      </w:tr>
      <w:tr w:rsidR="00650A90" w14:paraId="4DA3059E" w14:textId="77777777" w:rsidTr="3ADDC19A">
        <w:trPr>
          <w:cantSplit/>
        </w:trPr>
        <w:tc>
          <w:tcPr>
            <w:tcW w:w="1982" w:type="pct"/>
            <w:shd w:val="clear" w:color="auto" w:fill="auto"/>
          </w:tcPr>
          <w:p w14:paraId="2CBF794C" w14:textId="03FB2CAD" w:rsidR="00650A90" w:rsidRPr="00BD0C43" w:rsidRDefault="006477D1" w:rsidP="007F3CFD">
            <w:pPr>
              <w:pStyle w:val="TableText"/>
              <w:rPr>
                <w:color w:val="4F81BD" w:themeColor="accent1"/>
              </w:rPr>
            </w:pPr>
            <w:r w:rsidRPr="3ADDC19A">
              <w:fldChar w:fldCharType="begin"/>
            </w:r>
            <w:r w:rsidRPr="00BD0C43">
              <w:rPr>
                <w:color w:val="4F81BD" w:themeColor="accent1"/>
              </w:rPr>
              <w:instrText>HYPERLINK "https://browser.ihtsdotools.org/?perspective=full&amp;conceptId1=266257000"</w:instrText>
            </w:r>
            <w:r w:rsidRPr="3ADDC19A">
              <w:fldChar w:fldCharType="separate"/>
            </w:r>
            <w:r w:rsidR="00650A90" w:rsidRPr="00BD0C43">
              <w:rPr>
                <w:rStyle w:val="Hyperlink"/>
                <w:rFonts w:eastAsia="MS Gothic"/>
                <w:color w:val="4F81BD" w:themeColor="accent1"/>
              </w:rPr>
              <w:t>T</w:t>
            </w:r>
            <w:r w:rsidR="00650A90" w:rsidRPr="3ADDC19A">
              <w:rPr>
                <w:rStyle w:val="Hyperlink"/>
                <w:rFonts w:eastAsia="Arial" w:cs="Arial"/>
                <w:color w:val="4F81BD" w:themeColor="accent1"/>
              </w:rPr>
              <w:t>ransient ischaemic attack</w:t>
            </w:r>
            <w:r w:rsidRPr="3ADDC19A">
              <w:rPr>
                <w:rStyle w:val="Hyperlink"/>
                <w:rFonts w:eastAsia="Arial" w:cs="Arial"/>
                <w:color w:val="4F81BD" w:themeColor="accent1"/>
              </w:rPr>
              <w:fldChar w:fldCharType="end"/>
            </w:r>
            <w:r w:rsidR="00650A90" w:rsidRPr="3ADDC19A">
              <w:rPr>
                <w:rStyle w:val="Hyperlink"/>
                <w:rFonts w:eastAsia="Arial" w:cs="Arial"/>
                <w:color w:val="4F81BD" w:themeColor="accent1"/>
              </w:rPr>
              <w:t xml:space="preserve"> (TIA)</w:t>
            </w:r>
          </w:p>
        </w:tc>
        <w:tc>
          <w:tcPr>
            <w:tcW w:w="3018" w:type="pct"/>
            <w:shd w:val="clear" w:color="auto" w:fill="auto"/>
          </w:tcPr>
          <w:p w14:paraId="489D17B3" w14:textId="77777777" w:rsidR="00650A90" w:rsidRDefault="00650A90" w:rsidP="007F3CFD">
            <w:pPr>
              <w:pStyle w:val="TableText"/>
            </w:pPr>
            <w:r>
              <w:rPr>
                <w:rFonts w:eastAsia="Arial" w:cs="Arial"/>
                <w:szCs w:val="19"/>
              </w:rPr>
              <w:t>Previous h</w:t>
            </w:r>
            <w:r w:rsidRPr="00CB6C0E">
              <w:rPr>
                <w:rFonts w:eastAsia="Arial" w:cs="Arial"/>
                <w:szCs w:val="19"/>
              </w:rPr>
              <w:t>istor</w:t>
            </w:r>
            <w:r>
              <w:rPr>
                <w:rFonts w:eastAsia="Arial" w:cs="Arial"/>
                <w:szCs w:val="19"/>
              </w:rPr>
              <w:t>y of TIA</w:t>
            </w:r>
            <w:r w:rsidRPr="00CB6C0E">
              <w:rPr>
                <w:rFonts w:eastAsia="Arial" w:cs="Arial"/>
                <w:szCs w:val="19"/>
              </w:rPr>
              <w:t xml:space="preserve"> – signs and symptoms typical of a stroke but with full recovery in less than 24 hours</w:t>
            </w:r>
          </w:p>
        </w:tc>
      </w:tr>
      <w:tr w:rsidR="00650A90" w14:paraId="3687EC8E" w14:textId="77777777" w:rsidTr="3ADDC19A">
        <w:trPr>
          <w:cantSplit/>
        </w:trPr>
        <w:tc>
          <w:tcPr>
            <w:tcW w:w="1982" w:type="pct"/>
            <w:shd w:val="clear" w:color="auto" w:fill="auto"/>
          </w:tcPr>
          <w:p w14:paraId="021B6534" w14:textId="6F04B2B7" w:rsidR="00650A90" w:rsidRPr="00BD0C43" w:rsidRDefault="006477D1" w:rsidP="007F3CFD">
            <w:pPr>
              <w:pStyle w:val="TableText"/>
              <w:rPr>
                <w:color w:val="4F81BD" w:themeColor="accent1"/>
              </w:rPr>
            </w:pPr>
            <w:r w:rsidRPr="00BD0C43">
              <w:lastRenderedPageBreak/>
              <w:fldChar w:fldCharType="begin"/>
            </w:r>
            <w:r w:rsidRPr="00BD0C43">
              <w:rPr>
                <w:color w:val="4F81BD" w:themeColor="accent1"/>
              </w:rPr>
              <w:instrText>HYPERLINK "https://browser.ihtsdotools.org/?perspective=full&amp;conceptId1=400047006"</w:instrText>
            </w:r>
            <w:r w:rsidRPr="00BD0C43">
              <w:fldChar w:fldCharType="separate"/>
            </w:r>
            <w:r w:rsidR="00650A90" w:rsidRPr="00BD0C43">
              <w:rPr>
                <w:rStyle w:val="Hyperlink"/>
                <w:rFonts w:eastAsia="MS Gothic"/>
                <w:color w:val="4F81BD" w:themeColor="accent1"/>
              </w:rPr>
              <w:t>Peripheral vascular disease</w:t>
            </w:r>
            <w:r w:rsidRPr="00BD0C43">
              <w:rPr>
                <w:rStyle w:val="Hyperlink"/>
                <w:rFonts w:eastAsia="MS Gothic"/>
                <w:color w:val="4F81BD" w:themeColor="accent1"/>
              </w:rPr>
              <w:fldChar w:fldCharType="end"/>
            </w:r>
            <w:r w:rsidR="00650A90" w:rsidRPr="00BD0C43">
              <w:rPr>
                <w:color w:val="4F81BD" w:themeColor="accent1"/>
              </w:rPr>
              <w:t>:</w:t>
            </w:r>
          </w:p>
          <w:p w14:paraId="70063775" w14:textId="5F24F385" w:rsidR="00650A90" w:rsidRPr="00BD0C43" w:rsidRDefault="006477D1" w:rsidP="007F3CFD">
            <w:pPr>
              <w:pStyle w:val="TableBullet"/>
              <w:rPr>
                <w:color w:val="4F81BD" w:themeColor="accent1"/>
              </w:rPr>
            </w:pPr>
            <w:r w:rsidRPr="00BD0C43">
              <w:fldChar w:fldCharType="begin"/>
            </w:r>
            <w:r w:rsidRPr="00BD0C43">
              <w:rPr>
                <w:color w:val="4F81BD" w:themeColor="accent1"/>
              </w:rPr>
              <w:instrText>HYPERLINK "https://browser.ihtsdotools.org/?perspective=full&amp;conceptId1=233958001"</w:instrText>
            </w:r>
            <w:r w:rsidRPr="00BD0C43">
              <w:fldChar w:fldCharType="separate"/>
            </w:r>
            <w:r w:rsidR="00650A90" w:rsidRPr="00BD0C43">
              <w:rPr>
                <w:rStyle w:val="Hyperlink"/>
                <w:rFonts w:eastAsia="MS Gothic"/>
                <w:color w:val="4F81BD" w:themeColor="accent1"/>
              </w:rPr>
              <w:t>Peripheral ischaemia</w:t>
            </w:r>
            <w:r w:rsidRPr="00BD0C43">
              <w:rPr>
                <w:rStyle w:val="Hyperlink"/>
                <w:rFonts w:eastAsia="MS Gothic"/>
                <w:color w:val="4F81BD" w:themeColor="accent1"/>
              </w:rPr>
              <w:fldChar w:fldCharType="end"/>
            </w:r>
          </w:p>
          <w:p w14:paraId="398A6CDB" w14:textId="470B593D" w:rsidR="00650A90" w:rsidRPr="00BD0C43" w:rsidRDefault="006477D1" w:rsidP="007F3CFD">
            <w:pPr>
              <w:pStyle w:val="TableBullet"/>
              <w:rPr>
                <w:color w:val="4F81BD" w:themeColor="accent1"/>
              </w:rPr>
            </w:pPr>
            <w:r w:rsidRPr="00BD0C43">
              <w:fldChar w:fldCharType="begin"/>
            </w:r>
            <w:r w:rsidRPr="00BD0C43">
              <w:rPr>
                <w:color w:val="4F81BD" w:themeColor="accent1"/>
              </w:rPr>
              <w:instrText>HYPERLINK "https://browser.ihtsdotools.org/?perspective=full&amp;conceptId1=301433005"</w:instrText>
            </w:r>
            <w:r w:rsidRPr="00BD0C43">
              <w:fldChar w:fldCharType="separate"/>
            </w:r>
            <w:r w:rsidR="00650A90" w:rsidRPr="00BD0C43">
              <w:rPr>
                <w:rStyle w:val="Hyperlink"/>
                <w:rFonts w:eastAsia="MS Gothic"/>
                <w:color w:val="4F81BD" w:themeColor="accent1"/>
              </w:rPr>
              <w:t>History of peripheral vascular disease procedure</w:t>
            </w:r>
            <w:r w:rsidRPr="00BD0C43">
              <w:rPr>
                <w:rStyle w:val="Hyperlink"/>
                <w:rFonts w:eastAsia="MS Gothic"/>
                <w:color w:val="4F81BD" w:themeColor="accent1"/>
              </w:rPr>
              <w:fldChar w:fldCharType="end"/>
            </w:r>
          </w:p>
          <w:p w14:paraId="0E7EE6CD" w14:textId="3F253550" w:rsidR="00650A90" w:rsidRPr="00BD0C43" w:rsidRDefault="006477D1" w:rsidP="007F3CFD">
            <w:pPr>
              <w:pStyle w:val="TableBullet"/>
              <w:rPr>
                <w:color w:val="4F81BD" w:themeColor="accent1"/>
              </w:rPr>
            </w:pPr>
            <w:r w:rsidRPr="00BD0C43">
              <w:fldChar w:fldCharType="begin"/>
            </w:r>
            <w:r w:rsidRPr="00BD0C43">
              <w:rPr>
                <w:color w:val="4F81BD" w:themeColor="accent1"/>
              </w:rPr>
              <w:instrText>HYPERLINK "https://browser.ihtsdotools.org/?perspective=full&amp;conceptId1=301433005"</w:instrText>
            </w:r>
            <w:r w:rsidRPr="00BD0C43">
              <w:fldChar w:fldCharType="separate"/>
            </w:r>
            <w:r w:rsidR="00650A90" w:rsidRPr="00BD0C43">
              <w:rPr>
                <w:rStyle w:val="Hyperlink"/>
                <w:rFonts w:eastAsia="MS Gothic"/>
                <w:color w:val="4F81BD" w:themeColor="accent1"/>
              </w:rPr>
              <w:t>Aneurysm of artery of trunk</w:t>
            </w:r>
            <w:r w:rsidRPr="00BD0C43">
              <w:rPr>
                <w:rStyle w:val="Hyperlink"/>
                <w:rFonts w:eastAsia="MS Gothic"/>
                <w:color w:val="4F81BD" w:themeColor="accent1"/>
              </w:rPr>
              <w:fldChar w:fldCharType="end"/>
            </w:r>
          </w:p>
          <w:p w14:paraId="356906C3" w14:textId="0AA10C92" w:rsidR="00650A90" w:rsidRPr="00BD0C43" w:rsidRDefault="006477D1" w:rsidP="007F3CFD">
            <w:pPr>
              <w:pStyle w:val="TableBullet"/>
              <w:rPr>
                <w:color w:val="4F81BD" w:themeColor="accent1"/>
              </w:rPr>
            </w:pPr>
            <w:r w:rsidRPr="00BD0C43">
              <w:fldChar w:fldCharType="begin"/>
            </w:r>
            <w:r w:rsidRPr="00BD0C43">
              <w:rPr>
                <w:color w:val="4F81BD" w:themeColor="accent1"/>
              </w:rPr>
              <w:instrText>HYPERLINK "https://browser.ihtsdotools.org/?perspective=full&amp;conceptId1=29721000119101"</w:instrText>
            </w:r>
            <w:r w:rsidRPr="00BD0C43">
              <w:fldChar w:fldCharType="separate"/>
            </w:r>
            <w:r w:rsidR="00650A90" w:rsidRPr="00BD0C43">
              <w:rPr>
                <w:rStyle w:val="Hyperlink"/>
                <w:rFonts w:eastAsia="MS Gothic"/>
                <w:color w:val="4F81BD" w:themeColor="accent1"/>
              </w:rPr>
              <w:t>Aneurysm of peripheral artery</w:t>
            </w:r>
            <w:r w:rsidRPr="00BD0C43">
              <w:rPr>
                <w:rStyle w:val="Hyperlink"/>
                <w:rFonts w:eastAsia="MS Gothic"/>
                <w:color w:val="4F81BD" w:themeColor="accent1"/>
              </w:rPr>
              <w:fldChar w:fldCharType="end"/>
            </w:r>
          </w:p>
          <w:p w14:paraId="19353AD6" w14:textId="167DAF4E" w:rsidR="00650A90" w:rsidRPr="00BD0C43" w:rsidRDefault="006477D1" w:rsidP="007F3CFD">
            <w:pPr>
              <w:pStyle w:val="TableBullet"/>
              <w:rPr>
                <w:color w:val="4F81BD" w:themeColor="accent1"/>
              </w:rPr>
            </w:pPr>
            <w:r w:rsidRPr="00BD0C43">
              <w:fldChar w:fldCharType="begin"/>
            </w:r>
            <w:r w:rsidRPr="00BD0C43">
              <w:rPr>
                <w:color w:val="4F81BD" w:themeColor="accent1"/>
              </w:rPr>
              <w:instrText>HYPERLINK "https://browser.ihtsdotools.org/?perspective=full&amp;conceptId1=64586002"</w:instrText>
            </w:r>
            <w:r w:rsidRPr="00BD0C43">
              <w:fldChar w:fldCharType="separate"/>
            </w:r>
            <w:r w:rsidR="00650A90" w:rsidRPr="00BD0C43">
              <w:rPr>
                <w:rStyle w:val="Hyperlink"/>
                <w:rFonts w:eastAsia="MS Gothic"/>
                <w:color w:val="4F81BD" w:themeColor="accent1"/>
              </w:rPr>
              <w:t xml:space="preserve">Carotid </w:t>
            </w:r>
            <w:r w:rsidR="00F43F4C" w:rsidRPr="00BD0C43">
              <w:rPr>
                <w:rStyle w:val="Hyperlink"/>
                <w:rFonts w:eastAsia="MS Gothic"/>
                <w:color w:val="4F81BD" w:themeColor="accent1"/>
              </w:rPr>
              <w:t>artery</w:t>
            </w:r>
            <w:r w:rsidR="00650A90" w:rsidRPr="00BD0C43">
              <w:rPr>
                <w:rStyle w:val="Hyperlink"/>
                <w:rFonts w:eastAsia="MS Gothic"/>
                <w:color w:val="4F81BD" w:themeColor="accent1"/>
              </w:rPr>
              <w:t xml:space="preserve"> stenosis</w:t>
            </w:r>
            <w:r w:rsidRPr="00BD0C43">
              <w:rPr>
                <w:rStyle w:val="Hyperlink"/>
                <w:rFonts w:eastAsia="MS Gothic"/>
                <w:color w:val="4F81BD" w:themeColor="accent1"/>
              </w:rPr>
              <w:fldChar w:fldCharType="end"/>
            </w:r>
          </w:p>
          <w:p w14:paraId="2A1EEEF9" w14:textId="0B44879F" w:rsidR="00650A90" w:rsidRPr="00BD0C43" w:rsidRDefault="006477D1" w:rsidP="007F3CFD">
            <w:pPr>
              <w:pStyle w:val="TableBullet"/>
              <w:rPr>
                <w:color w:val="4F81BD" w:themeColor="accent1"/>
              </w:rPr>
            </w:pPr>
            <w:r w:rsidRPr="00BD0C43">
              <w:fldChar w:fldCharType="begin"/>
            </w:r>
            <w:r w:rsidRPr="00BD0C43">
              <w:rPr>
                <w:color w:val="4F81BD" w:themeColor="accent1"/>
              </w:rPr>
              <w:instrText>HYPERLINK "https://browser.ihtsdotools.org/?perspective=full&amp;conceptId1=63491006"</w:instrText>
            </w:r>
            <w:r w:rsidRPr="00BD0C43">
              <w:fldChar w:fldCharType="separate"/>
            </w:r>
            <w:r w:rsidR="00650A90" w:rsidRPr="00BD0C43">
              <w:rPr>
                <w:rStyle w:val="Hyperlink"/>
                <w:rFonts w:eastAsia="MS Gothic"/>
                <w:color w:val="4F81BD" w:themeColor="accent1"/>
              </w:rPr>
              <w:t>Intermittent claudication</w:t>
            </w:r>
            <w:r w:rsidRPr="00BD0C43">
              <w:rPr>
                <w:rStyle w:val="Hyperlink"/>
                <w:rFonts w:eastAsia="MS Gothic"/>
                <w:color w:val="4F81BD" w:themeColor="accent1"/>
              </w:rPr>
              <w:fldChar w:fldCharType="end"/>
            </w:r>
          </w:p>
          <w:p w14:paraId="7FC28804" w14:textId="678CDCAB" w:rsidR="00650A90" w:rsidRDefault="006477D1" w:rsidP="007F3CFD">
            <w:pPr>
              <w:pStyle w:val="TableBullet"/>
            </w:pPr>
            <w:r w:rsidRPr="00BD0C43">
              <w:fldChar w:fldCharType="begin"/>
            </w:r>
            <w:r w:rsidRPr="00BD0C43">
              <w:rPr>
                <w:color w:val="4F81BD" w:themeColor="accent1"/>
              </w:rPr>
              <w:instrText>HYPERLINK "https://browser.ihtsdotools.org/?perspective=full&amp;conceptId1=428171009"</w:instrText>
            </w:r>
            <w:r w:rsidRPr="00BD0C43">
              <w:fldChar w:fldCharType="separate"/>
            </w:r>
            <w:r w:rsidR="00650A90" w:rsidRPr="00BD0C43">
              <w:rPr>
                <w:rStyle w:val="Hyperlink"/>
                <w:rFonts w:eastAsia="MS Gothic"/>
                <w:color w:val="4F81BD" w:themeColor="accent1"/>
              </w:rPr>
              <w:t>Pain at rest due to peripheral vascular disease</w:t>
            </w:r>
            <w:r w:rsidRPr="00BD0C43">
              <w:rPr>
                <w:rStyle w:val="Hyperlink"/>
                <w:rFonts w:eastAsia="MS Gothic"/>
                <w:color w:val="4F81BD" w:themeColor="accent1"/>
              </w:rPr>
              <w:fldChar w:fldCharType="end"/>
            </w:r>
          </w:p>
        </w:tc>
        <w:tc>
          <w:tcPr>
            <w:tcW w:w="3018" w:type="pct"/>
            <w:shd w:val="clear" w:color="auto" w:fill="auto"/>
          </w:tcPr>
          <w:p w14:paraId="64E8FF2E" w14:textId="77777777" w:rsidR="00650A90" w:rsidRPr="00CB6C0E" w:rsidRDefault="00650A90" w:rsidP="007F3CFD">
            <w:pPr>
              <w:pStyle w:val="TableText"/>
              <w:rPr>
                <w:rFonts w:eastAsia="Arial" w:cs="Arial"/>
                <w:szCs w:val="19"/>
              </w:rPr>
            </w:pPr>
            <w:r w:rsidRPr="00CB6C0E">
              <w:t>Atherosclerotic peripheral vascular disease of any peripheral arteries (</w:t>
            </w:r>
            <w:proofErr w:type="spellStart"/>
            <w:r w:rsidRPr="00CB6C0E">
              <w:t>eg</w:t>
            </w:r>
            <w:proofErr w:type="spellEnd"/>
            <w:r w:rsidRPr="00CB6C0E">
              <w:t xml:space="preserve">, to legs and feet), including </w:t>
            </w:r>
            <w:r>
              <w:t xml:space="preserve">renal, </w:t>
            </w:r>
            <w:r w:rsidRPr="00CB6C0E">
              <w:t>carotid and vertebral arteries. Diagnosis could be based on:</w:t>
            </w:r>
          </w:p>
          <w:p w14:paraId="59927FF8" w14:textId="77777777" w:rsidR="00650A90" w:rsidRPr="00CB6C0E" w:rsidRDefault="00650A90" w:rsidP="007F3CFD">
            <w:pPr>
              <w:pStyle w:val="TableBullet"/>
              <w:rPr>
                <w:rFonts w:eastAsia="Arial" w:cs="Arial"/>
                <w:szCs w:val="19"/>
              </w:rPr>
            </w:pPr>
            <w:r w:rsidRPr="00CB6C0E">
              <w:t>clinical signs and symptoms</w:t>
            </w:r>
            <w:r>
              <w:t>,</w:t>
            </w:r>
            <w:r w:rsidRPr="00CB6C0E">
              <w:t xml:space="preserve"> such as </w:t>
            </w:r>
            <w:r>
              <w:t xml:space="preserve">intermittent </w:t>
            </w:r>
            <w:r w:rsidRPr="00CB6C0E">
              <w:t>claudication</w:t>
            </w:r>
          </w:p>
          <w:p w14:paraId="64443B63" w14:textId="77777777" w:rsidR="00650A90" w:rsidRPr="00CB6C0E" w:rsidRDefault="00650A90" w:rsidP="007F3CFD">
            <w:pPr>
              <w:pStyle w:val="TableBullet"/>
              <w:rPr>
                <w:rFonts w:eastAsia="Arial" w:cs="Arial"/>
                <w:szCs w:val="19"/>
              </w:rPr>
            </w:pPr>
            <w:r w:rsidRPr="00CB6C0E">
              <w:t xml:space="preserve">diminished foot pulses </w:t>
            </w:r>
            <w:r>
              <w:t>or</w:t>
            </w:r>
            <w:r w:rsidRPr="00CB6C0E">
              <w:t xml:space="preserve"> carotid bruits</w:t>
            </w:r>
          </w:p>
          <w:p w14:paraId="28A72D31" w14:textId="77777777" w:rsidR="00650A90" w:rsidRPr="00CB6C0E" w:rsidRDefault="00650A90" w:rsidP="007F3CFD">
            <w:pPr>
              <w:pStyle w:val="TableBullet"/>
              <w:rPr>
                <w:rFonts w:eastAsia="Arial" w:cs="Arial"/>
                <w:szCs w:val="19"/>
              </w:rPr>
            </w:pPr>
            <w:r w:rsidRPr="00CB6C0E">
              <w:t xml:space="preserve">radiological evidence </w:t>
            </w:r>
            <w:r>
              <w:t xml:space="preserve">or atherosclerotic arterial disease </w:t>
            </w:r>
            <w:r w:rsidRPr="00CB6C0E">
              <w:t>or prior surgical procedures</w:t>
            </w:r>
          </w:p>
          <w:p w14:paraId="307D7DAE" w14:textId="77777777" w:rsidR="00650A90" w:rsidRPr="00755A98" w:rsidRDefault="00650A90" w:rsidP="007F3CFD">
            <w:pPr>
              <w:pStyle w:val="TableBullet"/>
              <w:rPr>
                <w:rFonts w:eastAsia="Arial" w:cs="Arial"/>
                <w:szCs w:val="19"/>
              </w:rPr>
            </w:pPr>
            <w:r w:rsidRPr="00CB6C0E">
              <w:t>abdominal aortic aneurysm</w:t>
            </w:r>
          </w:p>
          <w:p w14:paraId="594B3D9F" w14:textId="7BC0E196" w:rsidR="00650A90" w:rsidRDefault="00F43F4C" w:rsidP="007F3CFD">
            <w:pPr>
              <w:pStyle w:val="TableBullet"/>
              <w:rPr>
                <w:rFonts w:eastAsia="Arial" w:cs="Arial"/>
                <w:szCs w:val="19"/>
              </w:rPr>
            </w:pPr>
            <w:r>
              <w:t>carotid</w:t>
            </w:r>
            <w:r w:rsidR="00650A90">
              <w:t xml:space="preserve"> stenosis or </w:t>
            </w:r>
            <w:r w:rsidR="00650A90" w:rsidRPr="00CB6C0E">
              <w:t>asymptomatic carotid disease</w:t>
            </w:r>
            <w:r w:rsidR="00650A90">
              <w:t xml:space="preserve"> </w:t>
            </w:r>
            <w:r w:rsidR="00650A90" w:rsidRPr="00CB6C0E">
              <w:t>(including plaque identified on carotid ultrasound)</w:t>
            </w:r>
          </w:p>
        </w:tc>
      </w:tr>
    </w:tbl>
    <w:p w14:paraId="178ADDBA" w14:textId="77777777" w:rsidR="00650A90" w:rsidRDefault="00650A90" w:rsidP="007E52DF"/>
    <w:p w14:paraId="4568EFC1" w14:textId="77777777" w:rsidR="00650A90" w:rsidRDefault="00650A90" w:rsidP="007E52DF">
      <w:r>
        <w:t>A reference set listing the above conditions and procedures will be published in the SNOMED NZ Edition.</w:t>
      </w:r>
    </w:p>
    <w:p w14:paraId="4CFB3B5E" w14:textId="77777777" w:rsidR="00395E0C" w:rsidRDefault="00650A90" w:rsidP="007E52DF">
      <w:pPr>
        <w:pStyle w:val="Heading3"/>
      </w:pPr>
      <w:r w:rsidRPr="00E26435">
        <w:t>Other exclusion criteria</w:t>
      </w:r>
    </w:p>
    <w:p w14:paraId="72E8F78A" w14:textId="37B12DBB" w:rsidR="00650A90" w:rsidRDefault="00650A90" w:rsidP="007E52DF">
      <w:pPr>
        <w:keepNext/>
      </w:pPr>
      <w:r>
        <w:t xml:space="preserve">There are four more conditions or findings that meet exclusion criteria for CVD risk calculation via primary prevention equations (both </w:t>
      </w:r>
      <w:r w:rsidR="0073563F">
        <w:t xml:space="preserve">general </w:t>
      </w:r>
      <w:r>
        <w:t xml:space="preserve">population and diabetes-specific equations). These disorders are associated with CVD event risks </w:t>
      </w:r>
      <w:proofErr w:type="gramStart"/>
      <w:r>
        <w:t>similar to</w:t>
      </w:r>
      <w:proofErr w:type="gramEnd"/>
      <w:r>
        <w:t xml:space="preserve"> those with prior CVD and need to be explicitly reported at the time of CVD risk assessment.</w:t>
      </w:r>
    </w:p>
    <w:p w14:paraId="2FA4B2CF" w14:textId="77777777" w:rsidR="004470FF" w:rsidRDefault="004470FF" w:rsidP="007E52DF">
      <w:pPr>
        <w:keepNext/>
      </w:pPr>
    </w:p>
    <w:tbl>
      <w:tblPr>
        <w:tblStyle w:val="TableGrid"/>
        <w:tblW w:w="4931" w:type="pct"/>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495"/>
        <w:gridCol w:w="4473"/>
      </w:tblGrid>
      <w:tr w:rsidR="007E52DF" w:rsidRPr="007E52DF" w14:paraId="1E421875" w14:textId="77777777" w:rsidTr="3ADDC19A">
        <w:trPr>
          <w:cantSplit/>
        </w:trPr>
        <w:tc>
          <w:tcPr>
            <w:tcW w:w="2193" w:type="pct"/>
            <w:tcBorders>
              <w:top w:val="nil"/>
              <w:bottom w:val="nil"/>
            </w:tcBorders>
            <w:shd w:val="clear" w:color="auto" w:fill="D9D9D9" w:themeFill="background1" w:themeFillShade="D9"/>
          </w:tcPr>
          <w:p w14:paraId="6E6D4D29" w14:textId="77777777" w:rsidR="00650A90" w:rsidRPr="007E52DF" w:rsidRDefault="00650A90" w:rsidP="007F3CFD">
            <w:pPr>
              <w:pStyle w:val="TableText"/>
              <w:rPr>
                <w:b/>
              </w:rPr>
            </w:pPr>
            <w:r w:rsidRPr="007E52DF">
              <w:rPr>
                <w:b/>
              </w:rPr>
              <w:t>Condition or findings</w:t>
            </w:r>
          </w:p>
        </w:tc>
        <w:tc>
          <w:tcPr>
            <w:tcW w:w="2807" w:type="pct"/>
            <w:tcBorders>
              <w:top w:val="nil"/>
              <w:bottom w:val="nil"/>
            </w:tcBorders>
            <w:shd w:val="clear" w:color="auto" w:fill="D9D9D9" w:themeFill="background1" w:themeFillShade="D9"/>
          </w:tcPr>
          <w:p w14:paraId="72360A9D" w14:textId="77777777" w:rsidR="00650A90" w:rsidRPr="007E52DF" w:rsidRDefault="00650A90" w:rsidP="007F3CFD">
            <w:pPr>
              <w:pStyle w:val="TableText"/>
              <w:rPr>
                <w:b/>
              </w:rPr>
            </w:pPr>
            <w:r w:rsidRPr="007E52DF">
              <w:rPr>
                <w:b/>
              </w:rPr>
              <w:t>Definition</w:t>
            </w:r>
          </w:p>
        </w:tc>
      </w:tr>
      <w:tr w:rsidR="00650A90" w14:paraId="0276EE44" w14:textId="77777777" w:rsidTr="3ADDC19A">
        <w:trPr>
          <w:cantSplit/>
        </w:trPr>
        <w:tc>
          <w:tcPr>
            <w:tcW w:w="2193" w:type="pct"/>
            <w:tcBorders>
              <w:top w:val="nil"/>
            </w:tcBorders>
            <w:shd w:val="clear" w:color="auto" w:fill="auto"/>
          </w:tcPr>
          <w:p w14:paraId="68B0F7E0" w14:textId="5255E469" w:rsidR="00650A90" w:rsidRPr="00BD0C43" w:rsidRDefault="006477D1" w:rsidP="007F3CFD">
            <w:pPr>
              <w:pStyle w:val="TableText"/>
              <w:rPr>
                <w:color w:val="4F81BD" w:themeColor="accent1"/>
              </w:rPr>
            </w:pPr>
            <w:r w:rsidRPr="00BD0C43">
              <w:fldChar w:fldCharType="begin"/>
            </w:r>
            <w:r w:rsidRPr="00BD0C43">
              <w:rPr>
                <w:color w:val="4F81BD" w:themeColor="accent1"/>
              </w:rPr>
              <w:instrText>HYPERLINK "https://browser.ihtsdotools.org/?perspective=full&amp;conceptId1=84114007"</w:instrText>
            </w:r>
            <w:r w:rsidRPr="00BD0C43">
              <w:fldChar w:fldCharType="separate"/>
            </w:r>
            <w:r w:rsidR="00650A90" w:rsidRPr="00BD0C43">
              <w:rPr>
                <w:rStyle w:val="Hyperlink"/>
                <w:rFonts w:eastAsia="MS Gothic"/>
                <w:color w:val="4F81BD" w:themeColor="accent1"/>
              </w:rPr>
              <w:t>Heart failure</w:t>
            </w:r>
            <w:r w:rsidRPr="00BD0C43">
              <w:rPr>
                <w:rStyle w:val="Hyperlink"/>
                <w:rFonts w:eastAsia="MS Gothic"/>
                <w:color w:val="4F81BD" w:themeColor="accent1"/>
              </w:rPr>
              <w:fldChar w:fldCharType="end"/>
            </w:r>
          </w:p>
        </w:tc>
        <w:tc>
          <w:tcPr>
            <w:tcW w:w="2807" w:type="pct"/>
            <w:tcBorders>
              <w:top w:val="nil"/>
            </w:tcBorders>
            <w:shd w:val="clear" w:color="auto" w:fill="auto"/>
          </w:tcPr>
          <w:p w14:paraId="68222F21" w14:textId="77777777" w:rsidR="00650A90" w:rsidRDefault="00650A90" w:rsidP="007F3CFD">
            <w:pPr>
              <w:pStyle w:val="TableText"/>
            </w:pPr>
            <w:r>
              <w:t>Clinical diagnosis of heart failure</w:t>
            </w:r>
          </w:p>
        </w:tc>
      </w:tr>
      <w:tr w:rsidR="00650A90" w14:paraId="00B9D685" w14:textId="77777777" w:rsidTr="3ADDC19A">
        <w:trPr>
          <w:cantSplit/>
        </w:trPr>
        <w:tc>
          <w:tcPr>
            <w:tcW w:w="2193" w:type="pct"/>
            <w:shd w:val="clear" w:color="auto" w:fill="auto"/>
          </w:tcPr>
          <w:p w14:paraId="279F620C" w14:textId="7290EB49" w:rsidR="00650A90" w:rsidRPr="00BD0C43" w:rsidRDefault="006477D1" w:rsidP="007F3CFD">
            <w:pPr>
              <w:pStyle w:val="TableText"/>
              <w:rPr>
                <w:color w:val="4F81BD" w:themeColor="accent1"/>
              </w:rPr>
            </w:pPr>
            <w:r w:rsidRPr="00BD0C43">
              <w:fldChar w:fldCharType="begin"/>
            </w:r>
            <w:r w:rsidRPr="00BD0C43">
              <w:rPr>
                <w:color w:val="4F81BD" w:themeColor="accent1"/>
              </w:rPr>
              <w:instrText>HYPERLINK "https://browser.ihtsdotools.org/?perspective=full&amp;conceptId1=398036000"</w:instrText>
            </w:r>
            <w:r w:rsidRPr="00BD0C43">
              <w:fldChar w:fldCharType="separate"/>
            </w:r>
            <w:r w:rsidR="00650A90" w:rsidRPr="00BD0C43">
              <w:rPr>
                <w:rStyle w:val="Hyperlink"/>
                <w:rFonts w:eastAsia="MS Gothic"/>
                <w:color w:val="4F81BD" w:themeColor="accent1"/>
              </w:rPr>
              <w:t>Familial hypercholesterolaemia</w:t>
            </w:r>
            <w:r w:rsidRPr="00BD0C43">
              <w:rPr>
                <w:rStyle w:val="Hyperlink"/>
                <w:rFonts w:eastAsia="MS Gothic"/>
                <w:color w:val="4F81BD" w:themeColor="accent1"/>
              </w:rPr>
              <w:fldChar w:fldCharType="end"/>
            </w:r>
          </w:p>
        </w:tc>
        <w:tc>
          <w:tcPr>
            <w:tcW w:w="2807" w:type="pct"/>
            <w:shd w:val="clear" w:color="auto" w:fill="auto"/>
          </w:tcPr>
          <w:p w14:paraId="28813ACF" w14:textId="77777777" w:rsidR="00650A90" w:rsidRDefault="00650A90" w:rsidP="007F3CFD">
            <w:pPr>
              <w:pStyle w:val="TableText"/>
            </w:pPr>
            <w:r w:rsidRPr="00CB6C0E">
              <w:t xml:space="preserve">Raised levels of total cholesterol and </w:t>
            </w:r>
            <w:r>
              <w:t>low-density lipoprotein (</w:t>
            </w:r>
            <w:r w:rsidRPr="00CB6C0E">
              <w:t>LDL</w:t>
            </w:r>
            <w:r>
              <w:t>)</w:t>
            </w:r>
            <w:r w:rsidRPr="00CB6C0E">
              <w:t xml:space="preserve"> cholesterol consistent with autosomal dominant inheritance</w:t>
            </w:r>
            <w:r>
              <w:t>. This requires a specialist diagnosis and is associated with family tracing</w:t>
            </w:r>
          </w:p>
        </w:tc>
      </w:tr>
      <w:tr w:rsidR="00650A90" w14:paraId="140981C7" w14:textId="77777777" w:rsidTr="3ADDC19A">
        <w:trPr>
          <w:cantSplit/>
        </w:trPr>
        <w:tc>
          <w:tcPr>
            <w:tcW w:w="2193" w:type="pct"/>
            <w:shd w:val="clear" w:color="auto" w:fill="auto"/>
          </w:tcPr>
          <w:p w14:paraId="74674C15" w14:textId="77777777" w:rsidR="00650A90" w:rsidRPr="00BD0C43" w:rsidRDefault="006477D1" w:rsidP="007F3CFD">
            <w:pPr>
              <w:pStyle w:val="TableText"/>
              <w:rPr>
                <w:color w:val="4F81BD" w:themeColor="accent1"/>
              </w:rPr>
            </w:pPr>
            <w:r w:rsidRPr="00BD0C43">
              <w:fldChar w:fldCharType="begin"/>
            </w:r>
            <w:r w:rsidRPr="00BD0C43">
              <w:rPr>
                <w:color w:val="4F81BD" w:themeColor="accent1"/>
              </w:rPr>
              <w:instrText>HYPERLINK "https://browser.ihtsdotools.org/?perspective=full&amp;conceptId1=42399005&amp;edition=en-edition&amp;release=v20180731&amp;server=https://browser.ihtsdotools.org/api/v1/snomed&amp;langRefset=900000000000509007"</w:instrText>
            </w:r>
            <w:r w:rsidRPr="00BD0C43">
              <w:fldChar w:fldCharType="separate"/>
            </w:r>
            <w:r w:rsidR="00650A90" w:rsidRPr="00BD0C43">
              <w:rPr>
                <w:rStyle w:val="Hyperlink"/>
                <w:rFonts w:eastAsia="MS Gothic"/>
                <w:color w:val="4F81BD" w:themeColor="accent1"/>
              </w:rPr>
              <w:t>Renal failure</w:t>
            </w:r>
            <w:r w:rsidRPr="00BD0C43">
              <w:rPr>
                <w:rStyle w:val="Hyperlink"/>
                <w:rFonts w:eastAsia="MS Gothic"/>
                <w:color w:val="4F81BD" w:themeColor="accent1"/>
              </w:rPr>
              <w:fldChar w:fldCharType="end"/>
            </w:r>
          </w:p>
          <w:p w14:paraId="39DEC26F" w14:textId="7B8E69CF" w:rsidR="00650A90" w:rsidRPr="00BD0C43" w:rsidRDefault="006477D1" w:rsidP="007F3CFD">
            <w:pPr>
              <w:pStyle w:val="TableBullet"/>
              <w:rPr>
                <w:color w:val="4F81BD" w:themeColor="accent1"/>
              </w:rPr>
            </w:pPr>
            <w:r w:rsidRPr="00BD0C43">
              <w:fldChar w:fldCharType="begin"/>
            </w:r>
            <w:r w:rsidRPr="00BD0C43">
              <w:rPr>
                <w:color w:val="4F81BD" w:themeColor="accent1"/>
              </w:rPr>
              <w:instrText>HYPERLINK "https://browser.ihtsdotools.org/?perspective=full&amp;conceptId1=431857002"</w:instrText>
            </w:r>
            <w:r w:rsidRPr="00BD0C43">
              <w:fldChar w:fldCharType="separate"/>
            </w:r>
            <w:r w:rsidR="00650A90" w:rsidRPr="00BD0C43">
              <w:rPr>
                <w:rStyle w:val="Hyperlink"/>
                <w:rFonts w:eastAsia="MS Gothic"/>
                <w:color w:val="4F81BD" w:themeColor="accent1"/>
              </w:rPr>
              <w:t>Chronic kidney disease stage 4</w:t>
            </w:r>
            <w:r w:rsidRPr="00BD0C43">
              <w:rPr>
                <w:rStyle w:val="Hyperlink"/>
                <w:rFonts w:eastAsia="MS Gothic"/>
                <w:color w:val="4F81BD" w:themeColor="accent1"/>
              </w:rPr>
              <w:fldChar w:fldCharType="end"/>
            </w:r>
          </w:p>
          <w:p w14:paraId="31D5E47B" w14:textId="19195D86" w:rsidR="00650A90" w:rsidRPr="00BD0C43" w:rsidRDefault="006477D1" w:rsidP="007F3CFD">
            <w:pPr>
              <w:pStyle w:val="TableBullet"/>
              <w:rPr>
                <w:color w:val="4F81BD" w:themeColor="accent1"/>
              </w:rPr>
            </w:pPr>
            <w:r w:rsidRPr="00BD0C43">
              <w:fldChar w:fldCharType="begin"/>
            </w:r>
            <w:r w:rsidRPr="00BD0C43">
              <w:rPr>
                <w:color w:val="4F81BD" w:themeColor="accent1"/>
              </w:rPr>
              <w:instrText>HYPERLINK "https://browser.ihtsdotools.org/?perspective=full&amp;conceptId1=433146000"</w:instrText>
            </w:r>
            <w:r w:rsidRPr="00BD0C43">
              <w:fldChar w:fldCharType="separate"/>
            </w:r>
            <w:r w:rsidR="00650A90" w:rsidRPr="00BD0C43">
              <w:rPr>
                <w:rStyle w:val="Hyperlink"/>
                <w:rFonts w:eastAsia="MS Gothic"/>
                <w:color w:val="4F81BD" w:themeColor="accent1"/>
              </w:rPr>
              <w:t>Chronic kidney disease stage 5</w:t>
            </w:r>
            <w:r w:rsidRPr="00BD0C43">
              <w:rPr>
                <w:rStyle w:val="Hyperlink"/>
                <w:rFonts w:eastAsia="MS Gothic"/>
                <w:color w:val="4F81BD" w:themeColor="accent1"/>
              </w:rPr>
              <w:fldChar w:fldCharType="end"/>
            </w:r>
          </w:p>
          <w:p w14:paraId="75AB1973" w14:textId="44C7E0F3" w:rsidR="00650A90" w:rsidRPr="00BD0C43" w:rsidRDefault="006477D1" w:rsidP="007F3CFD">
            <w:pPr>
              <w:pStyle w:val="TableBullet"/>
              <w:rPr>
                <w:color w:val="4F81BD" w:themeColor="accent1"/>
              </w:rPr>
            </w:pPr>
            <w:r w:rsidRPr="00BD0C43">
              <w:fldChar w:fldCharType="begin"/>
            </w:r>
            <w:r w:rsidRPr="00BD0C43">
              <w:rPr>
                <w:color w:val="4F81BD" w:themeColor="accent1"/>
              </w:rPr>
              <w:instrText>HYPERLINK "https://browser.ihtsdotools.org/?perspective=full&amp;conceptId1=714153000"</w:instrText>
            </w:r>
            <w:r w:rsidRPr="00BD0C43">
              <w:fldChar w:fldCharType="separate"/>
            </w:r>
            <w:r w:rsidR="00650A90" w:rsidRPr="00BD0C43">
              <w:rPr>
                <w:rStyle w:val="Hyperlink"/>
                <w:rFonts w:eastAsia="MS Gothic"/>
                <w:color w:val="4F81BD" w:themeColor="accent1"/>
              </w:rPr>
              <w:t>Chronic kidney disease stage 5 with</w:t>
            </w:r>
            <w:r w:rsidR="0073563F" w:rsidRPr="00BD0C43">
              <w:rPr>
                <w:rStyle w:val="Hyperlink"/>
                <w:rFonts w:eastAsia="MS Gothic"/>
                <w:color w:val="4F81BD" w:themeColor="accent1"/>
              </w:rPr>
              <w:t xml:space="preserve"> </w:t>
            </w:r>
            <w:r w:rsidR="00650A90" w:rsidRPr="00BD0C43">
              <w:rPr>
                <w:rStyle w:val="Hyperlink"/>
                <w:rFonts w:eastAsia="MS Gothic"/>
                <w:color w:val="4F81BD" w:themeColor="accent1"/>
              </w:rPr>
              <w:t>transplant</w:t>
            </w:r>
            <w:r w:rsidRPr="00BD0C43">
              <w:rPr>
                <w:rStyle w:val="Hyperlink"/>
                <w:rFonts w:eastAsia="MS Gothic"/>
                <w:color w:val="4F81BD" w:themeColor="accent1"/>
              </w:rPr>
              <w:fldChar w:fldCharType="end"/>
            </w:r>
          </w:p>
          <w:p w14:paraId="3FFC37A7" w14:textId="6F12EF61" w:rsidR="00650A90" w:rsidRPr="00BD0C43" w:rsidRDefault="006477D1" w:rsidP="007F3CFD">
            <w:pPr>
              <w:pStyle w:val="TableBullet"/>
              <w:rPr>
                <w:color w:val="4F81BD" w:themeColor="accent1"/>
              </w:rPr>
            </w:pPr>
            <w:r w:rsidRPr="00BD0C43">
              <w:fldChar w:fldCharType="begin"/>
            </w:r>
            <w:r w:rsidRPr="00BD0C43">
              <w:rPr>
                <w:color w:val="4F81BD" w:themeColor="accent1"/>
              </w:rPr>
              <w:instrText>HYPERLINK "https://browser.ihtsdotools.org/?perspective=full&amp;conceptId1=714152005"</w:instrText>
            </w:r>
            <w:r w:rsidRPr="00BD0C43">
              <w:fldChar w:fldCharType="separate"/>
            </w:r>
            <w:r w:rsidR="00650A90" w:rsidRPr="00BD0C43">
              <w:rPr>
                <w:rStyle w:val="Hyperlink"/>
                <w:rFonts w:eastAsia="MS Gothic"/>
                <w:color w:val="4F81BD" w:themeColor="accent1"/>
              </w:rPr>
              <w:t>Chronic kidney disease stage 5 on</w:t>
            </w:r>
            <w:r w:rsidR="0073563F" w:rsidRPr="00BD0C43">
              <w:rPr>
                <w:rStyle w:val="Hyperlink"/>
                <w:rFonts w:eastAsia="MS Gothic"/>
                <w:color w:val="4F81BD" w:themeColor="accent1"/>
              </w:rPr>
              <w:t xml:space="preserve"> </w:t>
            </w:r>
            <w:r w:rsidR="00650A90" w:rsidRPr="00BD0C43">
              <w:rPr>
                <w:rStyle w:val="Hyperlink"/>
                <w:rFonts w:eastAsia="MS Gothic"/>
                <w:color w:val="4F81BD" w:themeColor="accent1"/>
              </w:rPr>
              <w:t>dialysis</w:t>
            </w:r>
            <w:r w:rsidRPr="00BD0C43">
              <w:rPr>
                <w:rStyle w:val="Hyperlink"/>
                <w:rFonts w:eastAsia="MS Gothic"/>
                <w:color w:val="4F81BD" w:themeColor="accent1"/>
              </w:rPr>
              <w:fldChar w:fldCharType="end"/>
            </w:r>
          </w:p>
        </w:tc>
        <w:tc>
          <w:tcPr>
            <w:tcW w:w="2807" w:type="pct"/>
            <w:shd w:val="clear" w:color="auto" w:fill="auto"/>
          </w:tcPr>
          <w:p w14:paraId="49EFEAA4" w14:textId="45D9D50D" w:rsidR="00650A90" w:rsidRPr="00CB6C0E" w:rsidRDefault="00650A90" w:rsidP="007F3CFD">
            <w:pPr>
              <w:pStyle w:val="TableText"/>
            </w:pPr>
            <w:r>
              <w:t>A history of renal transplantation, chronic renal dialysis or having an estimated glomerular filtration rate (eGFR</w:t>
            </w:r>
            <w:r w:rsidR="00D46D36">
              <w:t>)</w:t>
            </w:r>
            <w:r>
              <w:t xml:space="preserve"> &lt;30</w:t>
            </w:r>
            <w:r w:rsidR="00992871">
              <w:t> </w:t>
            </w:r>
            <w:r w:rsidRPr="00B341E1">
              <w:rPr>
                <w:rFonts w:eastAsia="Calibri"/>
              </w:rPr>
              <w:t>m</w:t>
            </w:r>
            <w:r>
              <w:rPr>
                <w:rFonts w:eastAsia="Calibri"/>
              </w:rPr>
              <w:t>L</w:t>
            </w:r>
            <w:r w:rsidRPr="00B341E1">
              <w:rPr>
                <w:rFonts w:eastAsia="Calibri"/>
              </w:rPr>
              <w:t>/min/1.73 m</w:t>
            </w:r>
            <w:r w:rsidRPr="00B341E1">
              <w:rPr>
                <w:rFonts w:eastAsia="Calibri"/>
                <w:vertAlign w:val="superscript"/>
              </w:rPr>
              <w:t>2</w:t>
            </w:r>
          </w:p>
        </w:tc>
      </w:tr>
      <w:tr w:rsidR="00650A90" w14:paraId="1AA1C25F" w14:textId="77777777" w:rsidTr="3ADDC19A">
        <w:trPr>
          <w:cantSplit/>
        </w:trPr>
        <w:tc>
          <w:tcPr>
            <w:tcW w:w="2193" w:type="pct"/>
            <w:shd w:val="clear" w:color="auto" w:fill="auto"/>
          </w:tcPr>
          <w:p w14:paraId="4BC46DDC" w14:textId="4CE77D95" w:rsidR="00650A90" w:rsidRDefault="006477D1" w:rsidP="007F3CFD">
            <w:pPr>
              <w:pStyle w:val="TableText"/>
            </w:pPr>
            <w:r w:rsidRPr="00516F79">
              <w:fldChar w:fldCharType="begin"/>
            </w:r>
            <w:r w:rsidRPr="00516F79">
              <w:rPr>
                <w:color w:val="4F81BD" w:themeColor="accent1"/>
              </w:rPr>
              <w:instrText>HYPERLINK "https://browser.ihtsdotools.org/?perspective=full&amp;conceptId1=445170001"</w:instrText>
            </w:r>
            <w:r w:rsidRPr="00516F79">
              <w:fldChar w:fldCharType="separate"/>
            </w:r>
            <w:r w:rsidR="00650A90" w:rsidRPr="00516F79">
              <w:rPr>
                <w:rStyle w:val="Hyperlink"/>
                <w:rFonts w:eastAsia="MS Gothic"/>
                <w:color w:val="4F81BD" w:themeColor="accent1"/>
              </w:rPr>
              <w:t>Overt diabetic nephropathy</w:t>
            </w:r>
            <w:r w:rsidRPr="00516F79">
              <w:rPr>
                <w:rStyle w:val="Hyperlink"/>
                <w:rFonts w:eastAsia="MS Gothic"/>
                <w:color w:val="4F81BD" w:themeColor="accent1"/>
              </w:rPr>
              <w:fldChar w:fldCharType="end"/>
            </w:r>
          </w:p>
        </w:tc>
        <w:tc>
          <w:tcPr>
            <w:tcW w:w="2807" w:type="pct"/>
            <w:shd w:val="clear" w:color="auto" w:fill="auto"/>
          </w:tcPr>
          <w:p w14:paraId="49B75E19" w14:textId="77777777" w:rsidR="00650A90" w:rsidRDefault="00650A90" w:rsidP="007F3CFD">
            <w:pPr>
              <w:pStyle w:val="TableText"/>
            </w:pPr>
            <w:r>
              <w:t xml:space="preserve">Having diabetes and </w:t>
            </w:r>
            <w:proofErr w:type="gramStart"/>
            <w:r>
              <w:t>an</w:t>
            </w:r>
            <w:proofErr w:type="gramEnd"/>
            <w:r>
              <w:t xml:space="preserve"> urinary albumin to creatinine ratio (ACR)≥30 mg/mmol</w:t>
            </w:r>
          </w:p>
        </w:tc>
      </w:tr>
      <w:bookmarkEnd w:id="30"/>
    </w:tbl>
    <w:p w14:paraId="4AAA6F75" w14:textId="77777777" w:rsidR="00650A90" w:rsidRDefault="00650A90" w:rsidP="00992871"/>
    <w:p w14:paraId="352FCB81" w14:textId="6758F238" w:rsidR="00992871" w:rsidRDefault="00650A90" w:rsidP="00992871">
      <w:r>
        <w:t>A SNOMED reference set listing the above conditions will be published in the SNOMED NZ Edition.</w:t>
      </w:r>
    </w:p>
    <w:p w14:paraId="3CB8BF8A" w14:textId="77777777" w:rsidR="00650A90" w:rsidRDefault="00650A90" w:rsidP="00992871">
      <w:pPr>
        <w:pStyle w:val="Heading2"/>
      </w:pPr>
      <w:bookmarkStart w:id="31" w:name="_Toc5806748"/>
      <w:bookmarkStart w:id="32" w:name="_Toc46146737"/>
      <w:r>
        <w:lastRenderedPageBreak/>
        <w:t>Clinical history</w:t>
      </w:r>
      <w:bookmarkEnd w:id="31"/>
      <w:bookmarkEnd w:id="32"/>
    </w:p>
    <w:p w14:paraId="1698D459" w14:textId="77777777" w:rsidR="00650A90" w:rsidRDefault="00650A90" w:rsidP="007D47D8">
      <w:pPr>
        <w:keepNext/>
      </w:pPr>
      <w:r>
        <w:t>A history of atrial fibrillation, diabetes and duration of diabetes, and family history of premature ischaemic CVD are input variables to the CVD primary prevention equations.</w:t>
      </w:r>
    </w:p>
    <w:p w14:paraId="00170B31" w14:textId="77777777" w:rsidR="00650A90" w:rsidRDefault="00650A90" w:rsidP="007D47D8">
      <w:pPr>
        <w:pStyle w:val="Heading3"/>
      </w:pPr>
      <w:bookmarkStart w:id="33" w:name="_Toc522522078"/>
      <w:r w:rsidRPr="00CA3D00">
        <w:t>A</w:t>
      </w:r>
      <w:r>
        <w:t>trial fibrillation</w:t>
      </w:r>
      <w:bookmarkEnd w:id="33"/>
    </w:p>
    <w:p w14:paraId="0F14F467" w14:textId="25D57617" w:rsidR="00650A90" w:rsidRDefault="00650A90" w:rsidP="007D47D8">
      <w:pPr>
        <w:keepNext/>
      </w:pPr>
      <w:r>
        <w:t>Atrial fibrillation (AF) is a common abnormal heart rhythm that increases the risk of stroke</w:t>
      </w:r>
      <w:r w:rsidR="0056686F">
        <w:t xml:space="preserve">. AF is clinically diagnosed after </w:t>
      </w:r>
      <w:r w:rsidR="00467499">
        <w:t>e</w:t>
      </w:r>
      <w:r w:rsidR="0056686F">
        <w:t>lectrocardiogram (ECG) confirmation</w:t>
      </w:r>
      <w:r>
        <w:t xml:space="preserve">. It is characterised by an irregularly irregular </w:t>
      </w:r>
      <w:proofErr w:type="gramStart"/>
      <w:r>
        <w:t>heart beat</w:t>
      </w:r>
      <w:proofErr w:type="gramEnd"/>
      <w:r>
        <w:t xml:space="preserve"> and may occur on and off (paroxysmal atrial fibrillation), or it may continue indefinitely (persistent or permanent atrial fibrillation). </w:t>
      </w:r>
      <w:r w:rsidR="0056686F">
        <w:t xml:space="preserve">AF may </w:t>
      </w:r>
      <w:r>
        <w:t>be a new finding or a long-term disorder.</w:t>
      </w:r>
    </w:p>
    <w:p w14:paraId="699A7F0D" w14:textId="77777777" w:rsidR="004470FF" w:rsidRDefault="004470FF" w:rsidP="007D47D8">
      <w:pPr>
        <w:keepNext/>
      </w:pP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7"/>
        <w:gridCol w:w="1844"/>
        <w:gridCol w:w="2351"/>
        <w:gridCol w:w="2096"/>
      </w:tblGrid>
      <w:tr w:rsidR="00DA35CF" w:rsidRPr="008D448E" w14:paraId="7EC2780C" w14:textId="77777777" w:rsidTr="3ADDC19A">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5F705B3D" w14:textId="77777777" w:rsidR="00DA35CF" w:rsidRPr="004470FF" w:rsidRDefault="00DA35CF" w:rsidP="00DA35CF">
            <w:pPr>
              <w:pStyle w:val="TableText"/>
              <w:keepN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46917C9" w14:textId="18134E60" w:rsidR="00DA35CF" w:rsidRPr="008D448E" w:rsidRDefault="00DA35CF" w:rsidP="00DA35CF">
            <w:pPr>
              <w:pStyle w:val="TableText"/>
              <w:keepNext/>
            </w:pPr>
            <w:r w:rsidRPr="00CB6C0E">
              <w:t>ECG</w:t>
            </w:r>
            <w:r>
              <w:t>-</w:t>
            </w:r>
            <w:r w:rsidRPr="00CB6C0E">
              <w:t>confirmed atrial fibrillation</w:t>
            </w:r>
          </w:p>
        </w:tc>
      </w:tr>
      <w:tr w:rsidR="00DA35CF" w:rsidRPr="008D448E" w14:paraId="48CEF0B4"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5845222" w14:textId="77777777" w:rsidR="00DA35CF" w:rsidRPr="004470FF" w:rsidRDefault="00DA35CF" w:rsidP="00DA35CF">
            <w:pPr>
              <w:pStyle w:val="TableText"/>
              <w:keepN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404F99E0" w14:textId="77777777" w:rsidR="00DA35CF" w:rsidRPr="008D448E" w:rsidRDefault="00DA35CF" w:rsidP="00DA35CF">
            <w:pPr>
              <w:pStyle w:val="TableText"/>
              <w:keepNext/>
            </w:pPr>
          </w:p>
        </w:tc>
      </w:tr>
      <w:tr w:rsidR="00DA35CF" w:rsidRPr="008D448E" w14:paraId="5AD9724A"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5F50A6C" w14:textId="77777777" w:rsidR="00DA35CF" w:rsidRPr="004470FF" w:rsidRDefault="00DA35CF" w:rsidP="00DA35CF">
            <w:pPr>
              <w:pStyle w:val="TableText"/>
              <w:keepN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649DB3B0" w14:textId="09201E96" w:rsidR="00DA35CF" w:rsidRPr="008D448E" w:rsidRDefault="008F04CF" w:rsidP="00DA35CF">
            <w:pPr>
              <w:pStyle w:val="TableText"/>
              <w:keepNext/>
            </w:pPr>
            <w:r>
              <w:rPr>
                <w:rFonts w:cs="Arial"/>
              </w:rPr>
              <w:t>Numeric</w:t>
            </w:r>
          </w:p>
        </w:tc>
        <w:tc>
          <w:tcPr>
            <w:tcW w:w="1475"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11035AB4" w14:textId="77777777" w:rsidR="00DA35CF" w:rsidRPr="004470FF" w:rsidRDefault="00DA35CF" w:rsidP="00DA35CF">
            <w:pPr>
              <w:pStyle w:val="TableText"/>
              <w:keepN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48BB7738" w14:textId="7B05E440" w:rsidR="00DA35CF" w:rsidRPr="008D448E" w:rsidRDefault="00DA35CF" w:rsidP="00DA35CF">
            <w:pPr>
              <w:pStyle w:val="TableText"/>
              <w:keepNext/>
            </w:pPr>
            <w:r>
              <w:rPr>
                <w:rFonts w:cs="Arial"/>
              </w:rPr>
              <w:t>Value</w:t>
            </w:r>
          </w:p>
        </w:tc>
      </w:tr>
      <w:tr w:rsidR="00DA35CF" w:rsidRPr="00F46627" w14:paraId="75E19E1F"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3025DA4" w14:textId="77777777" w:rsidR="00DA35CF" w:rsidRPr="004470FF" w:rsidRDefault="00DA35CF"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6CCF57D5" w14:textId="3031B399" w:rsidR="00DA35CF" w:rsidRPr="008D448E" w:rsidRDefault="00DA35CF" w:rsidP="007E52DF">
            <w:pPr>
              <w:pStyle w:val="TableText"/>
            </w:pPr>
            <w:r>
              <w:rPr>
                <w:rFonts w:cs="Arial"/>
              </w:rPr>
              <w:t>1</w:t>
            </w:r>
          </w:p>
        </w:tc>
        <w:tc>
          <w:tcPr>
            <w:tcW w:w="1475"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69697EDD" w14:textId="77777777" w:rsidR="00DA35CF" w:rsidRPr="004470FF" w:rsidRDefault="00DA35CF" w:rsidP="007E52DF">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0F34C120" w14:textId="45FB929D" w:rsidR="00DA35CF" w:rsidRPr="00F46627" w:rsidRDefault="00DA35CF" w:rsidP="007E52DF">
            <w:pPr>
              <w:pStyle w:val="TableText"/>
            </w:pPr>
            <w:r>
              <w:rPr>
                <w:rFonts w:cs="Arial"/>
              </w:rPr>
              <w:t>N</w:t>
            </w:r>
          </w:p>
        </w:tc>
      </w:tr>
      <w:tr w:rsidR="00DA35CF" w:rsidRPr="008D448E" w14:paraId="2006ED88"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B7BFF9F" w14:textId="77777777" w:rsidR="00DA35CF" w:rsidRPr="004470FF" w:rsidRDefault="00DA35CF"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92E472D" w14:textId="77777777" w:rsidR="00DA35CF" w:rsidRDefault="00DA35CF" w:rsidP="00A54BD5">
            <w:pPr>
              <w:pStyle w:val="TableText"/>
            </w:pPr>
            <w:r>
              <w:t>0 = No</w:t>
            </w:r>
          </w:p>
          <w:p w14:paraId="0F0A7A6A" w14:textId="3C71E1F5" w:rsidR="00DA35CF" w:rsidRPr="008D448E" w:rsidRDefault="00DA35CF" w:rsidP="0056686F">
            <w:pPr>
              <w:pStyle w:val="TableText"/>
            </w:pPr>
            <w:r>
              <w:t xml:space="preserve">1 = Yes, </w:t>
            </w:r>
            <w:r w:rsidRPr="00AD7DB9">
              <w:fldChar w:fldCharType="begin"/>
            </w:r>
            <w:r w:rsidRPr="00AD7DB9">
              <w:rPr>
                <w:color w:val="4F81BD" w:themeColor="accent1"/>
              </w:rPr>
              <w:instrText>HYPERLINK "https://browser.ihtsdotools.org/?perspective=full&amp;conceptId1=164889003"</w:instrText>
            </w:r>
            <w:r w:rsidRPr="00AD7DB9">
              <w:fldChar w:fldCharType="separate"/>
            </w:r>
            <w:r w:rsidR="0056686F" w:rsidRPr="00AD7DB9">
              <w:rPr>
                <w:rStyle w:val="Hyperlink"/>
                <w:rFonts w:eastAsia="MS Gothic"/>
                <w:color w:val="4F81BD" w:themeColor="accent1"/>
              </w:rPr>
              <w:t>ECG confirmed atrial fibrillation</w:t>
            </w:r>
            <w:r w:rsidRPr="00AD7DB9">
              <w:rPr>
                <w:rStyle w:val="Hyperlink"/>
                <w:rFonts w:eastAsia="MS Gothic"/>
                <w:color w:val="4F81BD" w:themeColor="accent1"/>
              </w:rPr>
              <w:fldChar w:fldCharType="end"/>
            </w:r>
          </w:p>
        </w:tc>
      </w:tr>
      <w:tr w:rsidR="00DA35CF" w:rsidRPr="008D448E" w14:paraId="544FD287"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4D336A6" w14:textId="77777777" w:rsidR="00DA35CF" w:rsidRPr="004470FF" w:rsidRDefault="00DA35CF"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5E459A4" w14:textId="2B534CE1" w:rsidR="00DA35CF" w:rsidRPr="008D448E" w:rsidRDefault="00DA35CF" w:rsidP="007E52DF">
            <w:pPr>
              <w:pStyle w:val="TableText"/>
            </w:pPr>
            <w:r>
              <w:t>Mandatory</w:t>
            </w:r>
          </w:p>
        </w:tc>
      </w:tr>
      <w:tr w:rsidR="00DA35CF" w:rsidRPr="008D448E" w14:paraId="52E7FB49"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54C58BE" w14:textId="77777777" w:rsidR="00DA35CF" w:rsidRPr="004470FF" w:rsidRDefault="00DA35CF"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CF52061" w14:textId="400C39D5" w:rsidR="00DA35CF" w:rsidRPr="008D448E" w:rsidRDefault="0060481F" w:rsidP="007E52DF">
            <w:pPr>
              <w:pStyle w:val="TableText"/>
            </w:pPr>
            <w:r>
              <w:t>Input value determined from SNOMED-coded c</w:t>
            </w:r>
            <w:r w:rsidR="00DA35CF">
              <w:t xml:space="preserve">linical diagnosis </w:t>
            </w:r>
            <w:r>
              <w:t>in the patient record</w:t>
            </w:r>
            <w:r w:rsidR="00FD4CAC">
              <w:t xml:space="preserve"> </w:t>
            </w:r>
          </w:p>
        </w:tc>
      </w:tr>
      <w:tr w:rsidR="00DA35CF" w:rsidRPr="008D448E" w14:paraId="599855E7" w14:textId="77777777" w:rsidTr="3ADDC19A">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89FF564" w14:textId="77777777" w:rsidR="00DA35CF" w:rsidRPr="004470FF" w:rsidRDefault="00DA35CF"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B95B6F3" w14:textId="77777777" w:rsidR="00DA35CF" w:rsidRPr="008D448E" w:rsidRDefault="00DA35CF" w:rsidP="007E52DF">
            <w:pPr>
              <w:pStyle w:val="TableText"/>
            </w:pPr>
          </w:p>
        </w:tc>
      </w:tr>
    </w:tbl>
    <w:p w14:paraId="3B40E515" w14:textId="77777777" w:rsidR="00650A90" w:rsidRDefault="00650A90" w:rsidP="00DA35CF">
      <w:pPr>
        <w:pStyle w:val="Heading3"/>
      </w:pPr>
      <w:bookmarkStart w:id="34" w:name="_Toc522522080"/>
      <w:r>
        <w:t>Diabetes</w:t>
      </w:r>
      <w:bookmarkEnd w:id="34"/>
    </w:p>
    <w:p w14:paraId="43A118F1" w14:textId="74288389" w:rsidR="00650A90" w:rsidRDefault="00650A90" w:rsidP="00DA35CF">
      <w:r w:rsidRPr="00DD43B8">
        <w:t xml:space="preserve">Diabetes is a chronic disease that occurs when the pancreas is not able to produce </w:t>
      </w:r>
      <w:r w:rsidR="009E7467">
        <w:t xml:space="preserve">enough </w:t>
      </w:r>
      <w:r w:rsidRPr="00DD43B8">
        <w:t xml:space="preserve">insulin or when the body cannot </w:t>
      </w:r>
      <w:r>
        <w:t>effectively use the insulin it makes. This leads to hyperglycaemia (raised glucose level in the blood), which over the long term can damage organs and tissues. It is an independent predictor of cardiovascular events.</w:t>
      </w:r>
    </w:p>
    <w:p w14:paraId="44245FA7" w14:textId="77777777" w:rsidR="004470FF" w:rsidRDefault="004470FF" w:rsidP="00DA35CF"/>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4470FF" w:rsidRPr="008D448E" w14:paraId="6CC43907" w14:textId="77777777" w:rsidTr="3ADDC19A">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FF18522" w14:textId="77777777" w:rsidR="004470FF" w:rsidRPr="004470FF" w:rsidRDefault="004470FF"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F8D5A0A" w14:textId="7BB51539" w:rsidR="004470FF" w:rsidRPr="008D448E" w:rsidRDefault="00DA35CF" w:rsidP="007E52DF">
            <w:pPr>
              <w:pStyle w:val="TableText"/>
            </w:pPr>
            <w:r w:rsidRPr="00CB6C0E">
              <w:t>Diagnosed with type 1 diabetes, type 2 diabetes or type unknown</w:t>
            </w:r>
          </w:p>
        </w:tc>
      </w:tr>
      <w:tr w:rsidR="004470FF" w:rsidRPr="008D448E" w14:paraId="033AC203"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ECCA413" w14:textId="77777777" w:rsidR="004470FF" w:rsidRPr="004470FF" w:rsidRDefault="004470FF"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4BBF4159" w14:textId="77777777" w:rsidR="004470FF" w:rsidRPr="008D448E" w:rsidRDefault="004470FF" w:rsidP="007E52DF">
            <w:pPr>
              <w:pStyle w:val="TableText"/>
            </w:pPr>
          </w:p>
        </w:tc>
      </w:tr>
      <w:tr w:rsidR="00DA35CF" w:rsidRPr="008D448E" w14:paraId="3C1D1C63"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03195EE" w14:textId="77777777" w:rsidR="00DA35CF" w:rsidRPr="004470FF" w:rsidRDefault="00DA35CF" w:rsidP="007E52D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09517EB8" w14:textId="72BA90FE" w:rsidR="00DA35CF" w:rsidRPr="008D448E" w:rsidRDefault="00DA35CF" w:rsidP="007E52DF">
            <w:pPr>
              <w:pStyle w:val="TableText"/>
            </w:pPr>
            <w:r w:rsidRPr="007B116A">
              <w:rPr>
                <w:rFonts w:cs="Arial"/>
              </w:rPr>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1677063F" w14:textId="77777777" w:rsidR="00DA35CF" w:rsidRPr="004470FF" w:rsidRDefault="00DA35CF" w:rsidP="007E52DF">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6F376B52" w14:textId="79341AAA" w:rsidR="00DA35CF" w:rsidRPr="008D448E" w:rsidRDefault="008F04CF" w:rsidP="007E52DF">
            <w:pPr>
              <w:pStyle w:val="TableText"/>
            </w:pPr>
            <w:r>
              <w:rPr>
                <w:rFonts w:cs="Arial"/>
              </w:rPr>
              <w:t>Value</w:t>
            </w:r>
          </w:p>
        </w:tc>
      </w:tr>
      <w:tr w:rsidR="00DA35CF" w:rsidRPr="00F46627" w14:paraId="358C2CFD"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3D6C7B9" w14:textId="77777777" w:rsidR="00DA35CF" w:rsidRPr="004470FF" w:rsidRDefault="00DA35CF"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21B8E22B" w14:textId="7A595994" w:rsidR="00DA35CF" w:rsidRPr="008D448E" w:rsidRDefault="00DA35CF" w:rsidP="007E52DF">
            <w:pPr>
              <w:pStyle w:val="TableText"/>
            </w:pPr>
            <w:r>
              <w:rPr>
                <w:rFonts w:cs="Arial"/>
              </w:rPr>
              <w:t>1</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4CC95CEB" w14:textId="77777777" w:rsidR="00DA35CF" w:rsidRPr="004470FF" w:rsidRDefault="00DA35CF" w:rsidP="007E52DF">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63FE8048" w14:textId="004DA04A" w:rsidR="00DA35CF" w:rsidRPr="00F46627" w:rsidRDefault="00DA35CF" w:rsidP="007E52DF">
            <w:pPr>
              <w:pStyle w:val="TableText"/>
            </w:pPr>
            <w:r>
              <w:rPr>
                <w:rFonts w:cs="Arial"/>
              </w:rPr>
              <w:t>N</w:t>
            </w:r>
          </w:p>
        </w:tc>
      </w:tr>
      <w:tr w:rsidR="00DA35CF" w:rsidRPr="008D448E" w14:paraId="08FBBFEB"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DA6AFCA" w14:textId="77777777" w:rsidR="00DA35CF" w:rsidRPr="004470FF" w:rsidRDefault="00DA35CF"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0E4AB16" w14:textId="77777777" w:rsidR="00DA35CF" w:rsidRDefault="00DA35CF" w:rsidP="00A54BD5">
            <w:pPr>
              <w:pStyle w:val="TableText"/>
            </w:pPr>
            <w:r>
              <w:t>0 = No diabetes</w:t>
            </w:r>
          </w:p>
          <w:p w14:paraId="6F84449B" w14:textId="422D16B8" w:rsidR="00DA35CF" w:rsidRDefault="00DA35CF" w:rsidP="00A54BD5">
            <w:pPr>
              <w:pStyle w:val="TableText"/>
            </w:pPr>
            <w:r>
              <w:t xml:space="preserve">1 = </w:t>
            </w:r>
            <w:r w:rsidRPr="00AD7DB9">
              <w:fldChar w:fldCharType="begin"/>
            </w:r>
            <w:r w:rsidRPr="00AD7DB9">
              <w:rPr>
                <w:color w:val="4F81BD" w:themeColor="accent1"/>
              </w:rPr>
              <w:instrText>HYPERLINK "https://browser.ihtsdotools.org/?perspective=full&amp;conceptId1=46635009"</w:instrText>
            </w:r>
            <w:r w:rsidRPr="00AD7DB9">
              <w:fldChar w:fldCharType="separate"/>
            </w:r>
            <w:r w:rsidRPr="00AD7DB9">
              <w:rPr>
                <w:rStyle w:val="Hyperlink"/>
                <w:rFonts w:eastAsia="MS Gothic"/>
                <w:color w:val="4F81BD" w:themeColor="accent1"/>
              </w:rPr>
              <w:t>Diabetes mellitus type 1</w:t>
            </w:r>
            <w:r w:rsidRPr="00AD7DB9">
              <w:rPr>
                <w:rStyle w:val="Hyperlink"/>
                <w:rFonts w:eastAsia="MS Gothic"/>
                <w:color w:val="4F81BD" w:themeColor="accent1"/>
              </w:rPr>
              <w:fldChar w:fldCharType="end"/>
            </w:r>
          </w:p>
          <w:p w14:paraId="4048D170" w14:textId="30137D97" w:rsidR="00DA35CF" w:rsidRDefault="00DA4DF4" w:rsidP="00A54BD5">
            <w:pPr>
              <w:pStyle w:val="TableText"/>
            </w:pPr>
            <w:r>
              <w:t xml:space="preserve">1 </w:t>
            </w:r>
            <w:r w:rsidR="00DA35CF">
              <w:t xml:space="preserve">= </w:t>
            </w:r>
            <w:r w:rsidRPr="00AD7DB9">
              <w:fldChar w:fldCharType="begin"/>
            </w:r>
            <w:r w:rsidRPr="00AD7DB9">
              <w:rPr>
                <w:color w:val="4F81BD" w:themeColor="accent1"/>
              </w:rPr>
              <w:instrText>HYPERLINK "https://browser.ihtsdotools.org/?perspective=full&amp;conceptId1=44054006"</w:instrText>
            </w:r>
            <w:r w:rsidRPr="00AD7DB9">
              <w:fldChar w:fldCharType="separate"/>
            </w:r>
            <w:r w:rsidR="00DA35CF" w:rsidRPr="00AD7DB9">
              <w:rPr>
                <w:rStyle w:val="Hyperlink"/>
                <w:rFonts w:eastAsia="MS Gothic"/>
                <w:color w:val="4F81BD" w:themeColor="accent1"/>
              </w:rPr>
              <w:t>Diabetes mellitus type 2</w:t>
            </w:r>
            <w:r w:rsidRPr="00AD7DB9">
              <w:rPr>
                <w:rStyle w:val="Hyperlink"/>
                <w:rFonts w:eastAsia="MS Gothic"/>
                <w:color w:val="4F81BD" w:themeColor="accent1"/>
              </w:rPr>
              <w:fldChar w:fldCharType="end"/>
            </w:r>
          </w:p>
          <w:p w14:paraId="5EB2B5F7" w14:textId="76C5E231" w:rsidR="00DA35CF" w:rsidRPr="008D448E" w:rsidRDefault="00DA4DF4" w:rsidP="007E52DF">
            <w:pPr>
              <w:pStyle w:val="TableText"/>
            </w:pPr>
            <w:r>
              <w:t xml:space="preserve">1 </w:t>
            </w:r>
            <w:r w:rsidR="00DA35CF">
              <w:t xml:space="preserve">= </w:t>
            </w:r>
            <w:r w:rsidRPr="00AD7DB9">
              <w:fldChar w:fldCharType="begin"/>
            </w:r>
            <w:r w:rsidRPr="00AD7DB9">
              <w:rPr>
                <w:color w:val="4F81BD" w:themeColor="accent1"/>
              </w:rPr>
              <w:instrText>HYPERLINK "https://browser.ihtsdotools.org/?perspective=full&amp;conceptId1=73211009"</w:instrText>
            </w:r>
            <w:r w:rsidRPr="00AD7DB9">
              <w:fldChar w:fldCharType="separate"/>
            </w:r>
            <w:r w:rsidR="00DA35CF" w:rsidRPr="00AD7DB9">
              <w:rPr>
                <w:rStyle w:val="Hyperlink"/>
                <w:rFonts w:eastAsia="MS Gothic"/>
                <w:color w:val="4F81BD" w:themeColor="accent1"/>
              </w:rPr>
              <w:t>Diabetes type unknown</w:t>
            </w:r>
            <w:r w:rsidRPr="00AD7DB9">
              <w:rPr>
                <w:rStyle w:val="Hyperlink"/>
                <w:rFonts w:eastAsia="MS Gothic"/>
                <w:color w:val="4F81BD" w:themeColor="accent1"/>
              </w:rPr>
              <w:fldChar w:fldCharType="end"/>
            </w:r>
          </w:p>
        </w:tc>
      </w:tr>
      <w:tr w:rsidR="00DA35CF" w:rsidRPr="008D448E" w14:paraId="5CF6CEAE"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CFE3F29" w14:textId="77777777" w:rsidR="00DA35CF" w:rsidRPr="004470FF" w:rsidRDefault="00DA35CF"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0C9E8DB" w14:textId="0735EB07" w:rsidR="00DA35CF" w:rsidRPr="008D448E" w:rsidRDefault="00DA35CF" w:rsidP="007E52DF">
            <w:pPr>
              <w:pStyle w:val="TableText"/>
            </w:pPr>
            <w:r>
              <w:t>Mandatory</w:t>
            </w:r>
          </w:p>
        </w:tc>
      </w:tr>
      <w:tr w:rsidR="00DA35CF" w:rsidRPr="008D448E" w14:paraId="2BDFF574"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363E11A" w14:textId="77777777" w:rsidR="00DA35CF" w:rsidRPr="004470FF" w:rsidRDefault="00DA35CF"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9BF5300" w14:textId="208377ED" w:rsidR="00DA35CF" w:rsidRPr="008D448E" w:rsidRDefault="0060481F" w:rsidP="00462BDC">
            <w:pPr>
              <w:pStyle w:val="TableText"/>
            </w:pPr>
            <w:r>
              <w:t>Input value determined from SNOMED-coded c</w:t>
            </w:r>
            <w:r w:rsidR="00DA35CF">
              <w:t>linical diagnosis</w:t>
            </w:r>
            <w:r w:rsidR="00DA4DF4">
              <w:t xml:space="preserve"> in the patient record</w:t>
            </w:r>
          </w:p>
        </w:tc>
      </w:tr>
      <w:tr w:rsidR="00DA35CF" w:rsidRPr="008D448E" w14:paraId="021A98FC" w14:textId="77777777" w:rsidTr="3ADDC19A">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9D81D6F" w14:textId="77777777" w:rsidR="00DA35CF" w:rsidRPr="004470FF" w:rsidRDefault="00DA35CF"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2EE114E" w14:textId="77777777" w:rsidR="00DA35CF" w:rsidRPr="008D448E" w:rsidRDefault="00DA35CF" w:rsidP="007E52DF">
            <w:pPr>
              <w:pStyle w:val="TableText"/>
            </w:pPr>
          </w:p>
        </w:tc>
      </w:tr>
    </w:tbl>
    <w:p w14:paraId="07E237AB" w14:textId="77777777" w:rsidR="00650A90" w:rsidRDefault="00650A90" w:rsidP="00DA35CF">
      <w:pPr>
        <w:pStyle w:val="Heading3"/>
      </w:pPr>
      <w:r>
        <w:lastRenderedPageBreak/>
        <w:t>Duration of diabetes</w:t>
      </w:r>
    </w:p>
    <w:p w14:paraId="0C7E5BB6" w14:textId="77777777" w:rsidR="00650A90" w:rsidRDefault="00650A90" w:rsidP="00DA35CF">
      <w:pPr>
        <w:keepNext/>
      </w:pPr>
      <w:r>
        <w:t>The longer the time a person has diabetes, the greater the risk of vascular disease. Duration of diabetes is included in the diabetes-specific primary prevention models.</w:t>
      </w:r>
    </w:p>
    <w:p w14:paraId="516B9F24" w14:textId="77777777" w:rsidR="004470FF" w:rsidRDefault="004470FF" w:rsidP="00DA35CF">
      <w:pPr>
        <w:keepNext/>
      </w:pP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4470FF" w:rsidRPr="008D448E" w14:paraId="5AD977C0"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2835000F" w14:textId="77777777" w:rsidR="004470FF" w:rsidRPr="004470FF" w:rsidRDefault="004470FF" w:rsidP="00DA35CF">
            <w:pPr>
              <w:pStyle w:val="TableText"/>
              <w:keepN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44FF793" w14:textId="04B2E19B" w:rsidR="004470FF" w:rsidRPr="008D448E" w:rsidRDefault="00DA35CF" w:rsidP="00DA35CF">
            <w:pPr>
              <w:pStyle w:val="TableText"/>
              <w:keepNext/>
            </w:pPr>
            <w:r>
              <w:t>Length of time in completed years a patient has had a diagnosis of diabetes</w:t>
            </w:r>
          </w:p>
        </w:tc>
      </w:tr>
      <w:tr w:rsidR="004470FF" w:rsidRPr="008D448E" w14:paraId="076B2611"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3D3E72D" w14:textId="77777777" w:rsidR="004470FF" w:rsidRPr="004470FF" w:rsidRDefault="004470FF" w:rsidP="00DA35CF">
            <w:pPr>
              <w:pStyle w:val="TableText"/>
              <w:keepN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53588ECD" w14:textId="77777777" w:rsidR="004470FF" w:rsidRPr="008D448E" w:rsidRDefault="004470FF" w:rsidP="00DA35CF">
            <w:pPr>
              <w:pStyle w:val="TableText"/>
              <w:keepNext/>
            </w:pPr>
          </w:p>
        </w:tc>
      </w:tr>
      <w:tr w:rsidR="00DA35CF" w:rsidRPr="008D448E" w14:paraId="278F2FE0" w14:textId="77777777" w:rsidTr="00DA35C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4A01A9D" w14:textId="77777777" w:rsidR="00DA35CF" w:rsidRPr="004470FF" w:rsidRDefault="00DA35CF" w:rsidP="00DA35CF">
            <w:pPr>
              <w:pStyle w:val="TableText"/>
              <w:keepN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7D29DAF7" w14:textId="107F1026" w:rsidR="00DA35CF" w:rsidRPr="008D448E" w:rsidRDefault="00DA35CF" w:rsidP="00DA35CF">
            <w:pPr>
              <w:pStyle w:val="TableText"/>
              <w:keepNext/>
            </w:pPr>
            <w:r w:rsidRPr="007B116A">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9C21F14" w14:textId="77777777" w:rsidR="00DA35CF" w:rsidRPr="004470FF" w:rsidRDefault="00DA35CF" w:rsidP="00DA35CF">
            <w:pPr>
              <w:pStyle w:val="TableText"/>
              <w:keepN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372F2AF1" w14:textId="24B4F867" w:rsidR="00DA35CF" w:rsidRPr="008D448E" w:rsidRDefault="00DA35CF" w:rsidP="00DA35CF">
            <w:pPr>
              <w:pStyle w:val="TableText"/>
              <w:keepNext/>
            </w:pPr>
            <w:r>
              <w:t>Value</w:t>
            </w:r>
          </w:p>
        </w:tc>
      </w:tr>
      <w:tr w:rsidR="00DA35CF" w:rsidRPr="00F46627" w14:paraId="26565577" w14:textId="77777777" w:rsidTr="00DA35C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B2C736D" w14:textId="77777777" w:rsidR="00DA35CF" w:rsidRPr="004470FF" w:rsidRDefault="00DA35CF" w:rsidP="00DA35CF">
            <w:pPr>
              <w:pStyle w:val="TableText"/>
              <w:keepN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3354E847" w14:textId="759B2997" w:rsidR="00DA35CF" w:rsidRPr="008D448E" w:rsidRDefault="00DA35CF" w:rsidP="00DA35CF">
            <w:pPr>
              <w:pStyle w:val="TableText"/>
              <w:keepNext/>
            </w:pPr>
            <w:r>
              <w:t>3</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5B5FB0CD" w14:textId="77777777" w:rsidR="00DA35CF" w:rsidRPr="004470FF" w:rsidRDefault="00DA35CF" w:rsidP="00DA35CF">
            <w:pPr>
              <w:pStyle w:val="TableText"/>
              <w:keepN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010E8D7B" w14:textId="48316C9E" w:rsidR="00DA35CF" w:rsidRPr="00F46627" w:rsidRDefault="00DA35CF" w:rsidP="00DA35CF">
            <w:pPr>
              <w:pStyle w:val="TableText"/>
              <w:keepNext/>
            </w:pPr>
            <w:r w:rsidRPr="007B116A">
              <w:t>NN</w:t>
            </w:r>
            <w:r>
              <w:t>N</w:t>
            </w:r>
          </w:p>
        </w:tc>
      </w:tr>
      <w:tr w:rsidR="00DA35CF" w:rsidRPr="008D448E" w14:paraId="22F1782E" w14:textId="77777777" w:rsidTr="00DA35C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9198F65" w14:textId="77777777" w:rsidR="00DA35CF" w:rsidRPr="004470FF" w:rsidRDefault="00DA35CF" w:rsidP="00DA35CF">
            <w:pPr>
              <w:pStyle w:val="TableText"/>
              <w:keepN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49F00E0" w14:textId="0D57F141" w:rsidR="00DA35CF" w:rsidRPr="008D448E" w:rsidRDefault="00DA35CF" w:rsidP="00DA35CF">
            <w:pPr>
              <w:pStyle w:val="TableText"/>
              <w:keepNext/>
            </w:pPr>
            <w:r>
              <w:t>0–100</w:t>
            </w:r>
          </w:p>
        </w:tc>
      </w:tr>
      <w:tr w:rsidR="00DA35CF" w:rsidRPr="008D448E" w14:paraId="4D8E7EC1"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49C3848" w14:textId="77777777" w:rsidR="00DA35CF" w:rsidRPr="004470FF" w:rsidRDefault="00DA35CF" w:rsidP="00DA35CF">
            <w:pPr>
              <w:pStyle w:val="TableText"/>
              <w:keepN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827E525" w14:textId="01CEF268" w:rsidR="00DA35CF" w:rsidRPr="008D448E" w:rsidRDefault="00DA35CF" w:rsidP="00DA35CF">
            <w:pPr>
              <w:pStyle w:val="TableText"/>
              <w:keepNext/>
            </w:pPr>
            <w:r>
              <w:t>Mandatory</w:t>
            </w:r>
          </w:p>
        </w:tc>
      </w:tr>
      <w:tr w:rsidR="00DA35CF" w:rsidRPr="008D448E" w14:paraId="711C0B69"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EA1826F" w14:textId="77777777" w:rsidR="00DA35CF" w:rsidRPr="004470FF" w:rsidRDefault="00DA35CF"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B361E33" w14:textId="77777777" w:rsidR="00DA35CF" w:rsidRDefault="00DA35CF" w:rsidP="00A54BD5">
            <w:pPr>
              <w:pStyle w:val="TableText"/>
            </w:pPr>
            <w:r>
              <w:t>Self-reported or clinical diagnosis</w:t>
            </w:r>
          </w:p>
          <w:p w14:paraId="663180FD" w14:textId="77777777" w:rsidR="00DA35CF" w:rsidRDefault="00DA35CF" w:rsidP="00A54BD5">
            <w:pPr>
              <w:pStyle w:val="TableText"/>
            </w:pPr>
            <w:r w:rsidRPr="00CB6C0E">
              <w:t>Calculate by subtracting the year of electronic submission from the year of diagnosis of diabetes</w:t>
            </w:r>
          </w:p>
          <w:p w14:paraId="4515D1BD" w14:textId="142E616C" w:rsidR="00DA35CF" w:rsidRPr="008D448E" w:rsidRDefault="00DA35CF" w:rsidP="007E52DF">
            <w:pPr>
              <w:pStyle w:val="TableText"/>
            </w:pPr>
            <w:r>
              <w:t>This represents completed years since diagnosis and could also be estimated by a clinician and patient if the year of diagnosis is unknown</w:t>
            </w:r>
          </w:p>
        </w:tc>
      </w:tr>
      <w:tr w:rsidR="00DA35CF" w:rsidRPr="008D448E" w14:paraId="181AD4FC" w14:textId="77777777" w:rsidTr="007E52D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5BEEAD7C" w14:textId="77777777" w:rsidR="00DA35CF" w:rsidRPr="004470FF" w:rsidRDefault="00DA35CF"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E824EED" w14:textId="77777777" w:rsidR="00DA35CF" w:rsidRPr="008D448E" w:rsidRDefault="00DA35CF" w:rsidP="007E52DF">
            <w:pPr>
              <w:pStyle w:val="TableText"/>
            </w:pPr>
          </w:p>
        </w:tc>
      </w:tr>
    </w:tbl>
    <w:p w14:paraId="07130148" w14:textId="77777777" w:rsidR="00650A90" w:rsidRDefault="00650A90" w:rsidP="00DA35CF">
      <w:pPr>
        <w:pStyle w:val="Heading2"/>
      </w:pPr>
      <w:bookmarkStart w:id="35" w:name="_Toc5806749"/>
      <w:bookmarkStart w:id="36" w:name="_Toc46146738"/>
      <w:bookmarkStart w:id="37" w:name="_Toc522522081"/>
      <w:r>
        <w:t>Self-reported history</w:t>
      </w:r>
      <w:bookmarkEnd w:id="35"/>
      <w:bookmarkEnd w:id="36"/>
    </w:p>
    <w:p w14:paraId="7F24DF46" w14:textId="77777777" w:rsidR="00650A90" w:rsidRDefault="00650A90" w:rsidP="00DA35CF">
      <w:pPr>
        <w:pStyle w:val="Heading3"/>
      </w:pPr>
      <w:r>
        <w:t>Family history of premature ischaemic CVD</w:t>
      </w:r>
      <w:bookmarkEnd w:id="37"/>
    </w:p>
    <w:p w14:paraId="44968281" w14:textId="77777777" w:rsidR="00650A90" w:rsidRDefault="00650A90" w:rsidP="00DA35CF">
      <w:r>
        <w:t>A family history of premature ischaemic CVD in a parent or sibling is associated with an increased risk of a CVD event and included as a predictor in the primary prevention equations.</w:t>
      </w:r>
    </w:p>
    <w:p w14:paraId="50A12CB4" w14:textId="77777777" w:rsidR="00DA35CF" w:rsidRDefault="00DA35CF" w:rsidP="00DA35CF"/>
    <w:p w14:paraId="5D19754A" w14:textId="77777777" w:rsidR="00650A90" w:rsidRDefault="00650A90" w:rsidP="00DA35CF">
      <w:r>
        <w:t>Note change in age definition from previous CVD risk assessment and management guidelines.</w:t>
      </w:r>
    </w:p>
    <w:p w14:paraId="586976D3" w14:textId="77777777" w:rsidR="004470FF" w:rsidRDefault="004470FF" w:rsidP="00DA35CF"/>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4470FF" w:rsidRPr="008D448E" w14:paraId="3F820BEF" w14:textId="77777777" w:rsidTr="3ADDC19A">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688C68B5" w14:textId="77777777" w:rsidR="004470FF" w:rsidRPr="004470FF" w:rsidRDefault="004470FF"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D99C75C" w14:textId="2D5CBDF7" w:rsidR="004470FF" w:rsidRPr="008D448E" w:rsidRDefault="00DA35CF" w:rsidP="007E52DF">
            <w:pPr>
              <w:pStyle w:val="TableText"/>
            </w:pPr>
            <w:r>
              <w:t>Having a</w:t>
            </w:r>
            <w:r w:rsidRPr="00CB6C0E">
              <w:t xml:space="preserve"> first-degree relative (parent or sibling) </w:t>
            </w:r>
            <w:r>
              <w:t xml:space="preserve">who </w:t>
            </w:r>
            <w:r w:rsidRPr="00CB6C0E">
              <w:t>was hospitalised or died from a heart attack or stroke before the age of 50 years</w:t>
            </w:r>
          </w:p>
        </w:tc>
      </w:tr>
      <w:tr w:rsidR="004470FF" w:rsidRPr="008D448E" w14:paraId="2366B519"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B109EDF" w14:textId="77777777" w:rsidR="004470FF" w:rsidRPr="004470FF" w:rsidRDefault="004470FF"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47ABC30D" w14:textId="77777777" w:rsidR="004470FF" w:rsidRPr="008D448E" w:rsidRDefault="004470FF" w:rsidP="007E52DF">
            <w:pPr>
              <w:pStyle w:val="TableText"/>
            </w:pPr>
          </w:p>
        </w:tc>
      </w:tr>
      <w:tr w:rsidR="00DA35CF" w:rsidRPr="008D448E" w14:paraId="6CD8496C"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63E3EB9" w14:textId="77777777" w:rsidR="00DA35CF" w:rsidRPr="004470FF" w:rsidRDefault="00DA35CF" w:rsidP="007E52D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0CF9135B" w14:textId="30DC3BC0" w:rsidR="00DA35CF" w:rsidRPr="008D448E" w:rsidRDefault="008F04CF" w:rsidP="007E52DF">
            <w:pPr>
              <w:pStyle w:val="TableText"/>
            </w:pPr>
            <w:r>
              <w:rPr>
                <w:rFonts w:cs="Arial"/>
              </w:rPr>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A683CDC" w14:textId="77777777" w:rsidR="00DA35CF" w:rsidRPr="004470FF" w:rsidRDefault="00DA35CF" w:rsidP="007E52DF">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1BF3A39C" w14:textId="4C4C24E7" w:rsidR="00DA35CF" w:rsidRPr="008D448E" w:rsidRDefault="00DA35CF" w:rsidP="007E52DF">
            <w:pPr>
              <w:pStyle w:val="TableText"/>
            </w:pPr>
            <w:r>
              <w:rPr>
                <w:rFonts w:cs="Arial"/>
              </w:rPr>
              <w:t>Value</w:t>
            </w:r>
          </w:p>
        </w:tc>
      </w:tr>
      <w:tr w:rsidR="00DA35CF" w:rsidRPr="00F46627" w14:paraId="34B9BC8A"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085A574" w14:textId="77777777" w:rsidR="00DA35CF" w:rsidRPr="004470FF" w:rsidRDefault="00DA35CF"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6229184C" w14:textId="4A8B3F10" w:rsidR="00DA35CF" w:rsidRPr="008D448E" w:rsidRDefault="00DA35CF" w:rsidP="007E52DF">
            <w:pPr>
              <w:pStyle w:val="TableText"/>
            </w:pPr>
            <w:r>
              <w:rPr>
                <w:rFonts w:cs="Arial"/>
              </w:rPr>
              <w:t>1</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5D960E8C" w14:textId="77777777" w:rsidR="00DA35CF" w:rsidRPr="004470FF" w:rsidRDefault="00DA35CF" w:rsidP="007E52DF">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60B90320" w14:textId="20308B9C" w:rsidR="00DA35CF" w:rsidRPr="00F46627" w:rsidRDefault="00DA35CF" w:rsidP="007E52DF">
            <w:pPr>
              <w:pStyle w:val="TableText"/>
            </w:pPr>
            <w:r>
              <w:rPr>
                <w:rFonts w:cs="Arial"/>
              </w:rPr>
              <w:t>N</w:t>
            </w:r>
          </w:p>
        </w:tc>
      </w:tr>
      <w:tr w:rsidR="00DA35CF" w:rsidRPr="008D448E" w14:paraId="666C3220"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482D2C6" w14:textId="77777777" w:rsidR="00DA35CF" w:rsidRPr="004470FF" w:rsidRDefault="00DA35CF"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BF54A81" w14:textId="61639AB1" w:rsidR="00DA35CF" w:rsidRDefault="00DA35CF" w:rsidP="00A54BD5">
            <w:pPr>
              <w:pStyle w:val="TableText"/>
            </w:pPr>
            <w:r>
              <w:t xml:space="preserve">0 = </w:t>
            </w:r>
            <w:r w:rsidRPr="00AD7DB9">
              <w:fldChar w:fldCharType="begin"/>
            </w:r>
            <w:r w:rsidRPr="00AD7DB9">
              <w:rPr>
                <w:color w:val="4F81BD" w:themeColor="accent1"/>
              </w:rPr>
              <w:instrText>HYPERLINK "https://browser.ihtsdotools.org/?perspective=full&amp;conceptId1=371000210103&amp;edition=MAIN/SNOMEDCT-NZ/2020-04-01&amp;release=&amp;languages=en"</w:instrText>
            </w:r>
            <w:r w:rsidRPr="00AD7DB9">
              <w:fldChar w:fldCharType="separate"/>
            </w:r>
            <w:r w:rsidRPr="00AD7DB9">
              <w:rPr>
                <w:rStyle w:val="Hyperlink"/>
                <w:rFonts w:eastAsia="MS Gothic"/>
                <w:color w:val="4F81BD" w:themeColor="accent1"/>
              </w:rPr>
              <w:t>No family history of cardiovascular disease in first degree relative less than 50 years of age</w:t>
            </w:r>
            <w:r w:rsidRPr="00AD7DB9">
              <w:rPr>
                <w:rStyle w:val="Hyperlink"/>
                <w:rFonts w:eastAsia="MS Gothic"/>
                <w:color w:val="4F81BD" w:themeColor="accent1"/>
              </w:rPr>
              <w:fldChar w:fldCharType="end"/>
            </w:r>
          </w:p>
          <w:p w14:paraId="39DCCB33" w14:textId="7573880B" w:rsidR="00DA35CF" w:rsidRPr="008D448E" w:rsidRDefault="00DA35CF" w:rsidP="007E52DF">
            <w:pPr>
              <w:pStyle w:val="TableText"/>
            </w:pPr>
            <w:r>
              <w:t xml:space="preserve">1 = </w:t>
            </w:r>
            <w:r w:rsidRPr="00AD7DB9">
              <w:fldChar w:fldCharType="begin"/>
            </w:r>
            <w:r w:rsidRPr="00AD7DB9">
              <w:rPr>
                <w:color w:val="4F81BD" w:themeColor="accent1"/>
              </w:rPr>
              <w:instrText>HYPERLINK "https://browser.ihtsdotools.org/?perspective=full&amp;conceptId1=361000210109&amp;edition=MAIN/SNOMEDCT-NZ/2020-04-01&amp;release=&amp;languages=en"</w:instrText>
            </w:r>
            <w:r w:rsidRPr="00AD7DB9">
              <w:fldChar w:fldCharType="separate"/>
            </w:r>
            <w:r w:rsidRPr="00AD7DB9">
              <w:rPr>
                <w:rStyle w:val="Hyperlink"/>
                <w:rFonts w:eastAsia="MS Gothic"/>
                <w:color w:val="4F81BD" w:themeColor="accent1"/>
              </w:rPr>
              <w:t>Family history of cardiovascular disease in first degree relative less than 50 years of age</w:t>
            </w:r>
            <w:r w:rsidRPr="00AD7DB9">
              <w:rPr>
                <w:rStyle w:val="Hyperlink"/>
                <w:rFonts w:eastAsia="MS Gothic"/>
                <w:color w:val="4F81BD" w:themeColor="accent1"/>
              </w:rPr>
              <w:fldChar w:fldCharType="end"/>
            </w:r>
          </w:p>
        </w:tc>
      </w:tr>
      <w:tr w:rsidR="00DA35CF" w:rsidRPr="008D448E" w14:paraId="73FEE005"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FCBE438" w14:textId="77777777" w:rsidR="00DA35CF" w:rsidRPr="004470FF" w:rsidRDefault="00DA35CF"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BFF1615" w14:textId="1C02B0CB" w:rsidR="00DA35CF" w:rsidRPr="008D448E" w:rsidRDefault="00DA35CF" w:rsidP="007E52DF">
            <w:pPr>
              <w:pStyle w:val="TableText"/>
            </w:pPr>
            <w:r>
              <w:t>Mandatory</w:t>
            </w:r>
          </w:p>
        </w:tc>
      </w:tr>
      <w:tr w:rsidR="00DA35CF" w:rsidRPr="008D448E" w14:paraId="49F1AF21"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3E50918" w14:textId="77777777" w:rsidR="00DA35CF" w:rsidRPr="004470FF" w:rsidRDefault="00DA35CF"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49A9923" w14:textId="04D4C322" w:rsidR="00DA35CF" w:rsidRPr="008D448E" w:rsidRDefault="00DA35CF" w:rsidP="007E52DF">
            <w:pPr>
              <w:pStyle w:val="TableText"/>
            </w:pPr>
            <w:r>
              <w:t>Self-reported</w:t>
            </w:r>
          </w:p>
        </w:tc>
      </w:tr>
      <w:tr w:rsidR="00DA35CF" w:rsidRPr="008D448E" w14:paraId="10C923A3" w14:textId="77777777" w:rsidTr="3ADDC19A">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57D84F8A" w14:textId="77777777" w:rsidR="00DA35CF" w:rsidRPr="004470FF" w:rsidRDefault="00DA35CF"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0705712" w14:textId="77777777" w:rsidR="00DA35CF" w:rsidRPr="008D448E" w:rsidRDefault="00DA35CF" w:rsidP="007E52DF">
            <w:pPr>
              <w:pStyle w:val="TableText"/>
            </w:pPr>
          </w:p>
        </w:tc>
      </w:tr>
    </w:tbl>
    <w:p w14:paraId="31965A1A" w14:textId="11E6DBC0" w:rsidR="00650A90" w:rsidRDefault="00650A90" w:rsidP="00DA35CF">
      <w:pPr>
        <w:pStyle w:val="Heading3"/>
        <w:spacing w:after="120"/>
      </w:pPr>
      <w:r>
        <w:lastRenderedPageBreak/>
        <w:t>Smoking</w:t>
      </w:r>
      <w:r w:rsidR="007C77F7">
        <w:t xml:space="preserve"> status</w:t>
      </w:r>
    </w:p>
    <w:p w14:paraId="700B74CE" w14:textId="7DD0640E" w:rsidR="00650A90" w:rsidRDefault="00650A90" w:rsidP="00DA35CF">
      <w:r>
        <w:t>Th</w:t>
      </w:r>
      <w:r w:rsidR="00B765F4">
        <w:t>e</w:t>
      </w:r>
      <w:r>
        <w:t xml:space="preserve"> variable</w:t>
      </w:r>
      <w:r w:rsidR="00B765F4">
        <w:t>s below</w:t>
      </w:r>
      <w:r>
        <w:t xml:space="preserve"> </w:t>
      </w:r>
      <w:r w:rsidR="00B765F4">
        <w:t>represent</w:t>
      </w:r>
      <w:r>
        <w:t xml:space="preserve"> smoking status and refer primarily to cigarette smoking. The previous equation used in the New Zealand CVD guidelines was derived from the Framingham Heart study and included people who had recently quit smoking within the previous 12 months as having an equivalent risk </w:t>
      </w:r>
      <w:r w:rsidR="007C77F7">
        <w:t xml:space="preserve">to those </w:t>
      </w:r>
      <w:r>
        <w:t>current</w:t>
      </w:r>
      <w:r w:rsidR="007C77F7">
        <w:t>ly</w:t>
      </w:r>
      <w:r>
        <w:t xml:space="preserve"> smok</w:t>
      </w:r>
      <w:r w:rsidR="007C77F7">
        <w:t>ing</w:t>
      </w:r>
      <w:r>
        <w:t>. The new primary prevention equations have demonstrated that all ex-smokers (less than or greater than 12 months) have an equivalent risk after adjusting for other risk factors.</w:t>
      </w:r>
    </w:p>
    <w:p w14:paraId="0F68CC61" w14:textId="241F6281" w:rsidR="004470FF" w:rsidRDefault="00C73B5B" w:rsidP="007F2807">
      <w:pPr>
        <w:pStyle w:val="Heading4"/>
      </w:pPr>
      <w:r>
        <w:t>Current</w:t>
      </w:r>
      <w:r w:rsidR="007C77F7">
        <w:t>ly</w:t>
      </w:r>
      <w:r>
        <w:t xml:space="preserve"> smok</w:t>
      </w:r>
      <w:r w:rsidR="007C77F7">
        <w:t>ing</w:t>
      </w: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DA35CF" w:rsidRPr="008D448E" w14:paraId="6175947B" w14:textId="77777777" w:rsidTr="3ADDC19A">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2CEA1E5C" w14:textId="77777777" w:rsidR="00DA35CF" w:rsidRPr="004470FF" w:rsidRDefault="00DA35CF"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C9B6B71" w14:textId="5FF89219" w:rsidR="00DA35CF" w:rsidRPr="008D448E" w:rsidRDefault="00C73B5B" w:rsidP="007E52DF">
            <w:pPr>
              <w:pStyle w:val="TableText"/>
            </w:pPr>
            <w:r>
              <w:t>Current</w:t>
            </w:r>
            <w:r w:rsidR="007C77F7">
              <w:t>ly</w:t>
            </w:r>
            <w:r>
              <w:t xml:space="preserve"> smok</w:t>
            </w:r>
            <w:r w:rsidR="007C77F7">
              <w:t>ing</w:t>
            </w:r>
          </w:p>
        </w:tc>
      </w:tr>
      <w:tr w:rsidR="00DA35CF" w:rsidRPr="008D448E" w14:paraId="635A7E89"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6CE28FE" w14:textId="77777777" w:rsidR="00DA35CF" w:rsidRPr="004470FF" w:rsidRDefault="00DA35CF"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5E079135" w14:textId="69B656D7" w:rsidR="00DA35CF" w:rsidRPr="008D448E" w:rsidRDefault="007F2807" w:rsidP="007E52DF">
            <w:pPr>
              <w:pStyle w:val="TableText"/>
            </w:pPr>
            <w:r>
              <w:t>HISO 10073:2020 Smoking Cessation Data Standard</w:t>
            </w:r>
            <w:r w:rsidR="00541F88">
              <w:t xml:space="preserve"> to be published</w:t>
            </w:r>
          </w:p>
        </w:tc>
      </w:tr>
      <w:tr w:rsidR="00DA35CF" w:rsidRPr="008D448E" w14:paraId="52F93D2D"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1B53745" w14:textId="77777777" w:rsidR="00DA35CF" w:rsidRPr="004470FF" w:rsidRDefault="00DA35CF" w:rsidP="007E52D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40162251" w14:textId="19CAEC2E" w:rsidR="00DA35CF" w:rsidRPr="008D448E" w:rsidRDefault="00DA35CF" w:rsidP="007E52DF">
            <w:pPr>
              <w:pStyle w:val="TableText"/>
            </w:pPr>
            <w:r w:rsidRPr="007B116A">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2C2F4582" w14:textId="77777777" w:rsidR="00DA35CF" w:rsidRPr="004470FF" w:rsidRDefault="00DA35CF" w:rsidP="007E52DF">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2C8A5C07" w14:textId="3202DE66" w:rsidR="00DA35CF" w:rsidRPr="008D448E" w:rsidRDefault="00DA35CF" w:rsidP="007E52DF">
            <w:pPr>
              <w:pStyle w:val="TableText"/>
            </w:pPr>
            <w:r>
              <w:t>Value</w:t>
            </w:r>
          </w:p>
        </w:tc>
      </w:tr>
      <w:tr w:rsidR="00DA35CF" w:rsidRPr="00F46627" w14:paraId="1E3D3B36"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EACCFDF" w14:textId="77777777" w:rsidR="00DA35CF" w:rsidRPr="004470FF" w:rsidRDefault="00DA35CF"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06AF86C4" w14:textId="18D365DF" w:rsidR="00DA35CF" w:rsidRPr="008D448E" w:rsidRDefault="00DA35CF" w:rsidP="007E52DF">
            <w:pPr>
              <w:pStyle w:val="TableText"/>
            </w:pPr>
            <w:r>
              <w:t>1</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16D1BE22" w14:textId="77777777" w:rsidR="00DA35CF" w:rsidRPr="004470FF" w:rsidRDefault="00DA35CF" w:rsidP="007E52DF">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0777E949" w14:textId="331AC7C5" w:rsidR="00DA35CF" w:rsidRPr="00F46627" w:rsidRDefault="00DA35CF" w:rsidP="007E52DF">
            <w:pPr>
              <w:pStyle w:val="TableText"/>
            </w:pPr>
            <w:r>
              <w:t>N</w:t>
            </w:r>
          </w:p>
        </w:tc>
      </w:tr>
      <w:tr w:rsidR="00DA35CF" w:rsidRPr="008D448E" w14:paraId="0DBA3B46"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E15481B" w14:textId="77777777" w:rsidR="00DA35CF" w:rsidRPr="004470FF" w:rsidRDefault="00DA35CF"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286157F" w14:textId="66E108F7" w:rsidR="00DA35CF" w:rsidRDefault="00C73B5B" w:rsidP="007F2807">
            <w:pPr>
              <w:pStyle w:val="TableText"/>
              <w:rPr>
                <w:rStyle w:val="Hyperlink"/>
                <w:rFonts w:eastAsia="Arial" w:cs="Arial"/>
                <w:sz w:val="21"/>
                <w:szCs w:val="21"/>
              </w:rPr>
            </w:pPr>
            <w:r w:rsidRPr="3ADDC19A">
              <w:rPr>
                <w:rFonts w:eastAsia="Arial" w:cs="Arial"/>
              </w:rPr>
              <w:t xml:space="preserve">1 </w:t>
            </w:r>
            <w:r w:rsidR="00DA35CF" w:rsidRPr="3ADDC19A">
              <w:rPr>
                <w:rFonts w:eastAsia="Arial" w:cs="Arial"/>
              </w:rPr>
              <w:t xml:space="preserve">= </w:t>
            </w:r>
            <w:r w:rsidRPr="00AD7DB9">
              <w:fldChar w:fldCharType="begin"/>
            </w:r>
            <w:r w:rsidRPr="00AD7DB9">
              <w:rPr>
                <w:color w:val="4F81BD" w:themeColor="accent1"/>
              </w:rPr>
              <w:instrText>HYPERLINK "https://browser.ihtsdotools.org/?perspective=full&amp;conceptId1=77176002"</w:instrText>
            </w:r>
            <w:r w:rsidRPr="00AD7DB9">
              <w:fldChar w:fldCharType="separate"/>
            </w:r>
            <w:r w:rsidRPr="3ADDC19A">
              <w:rPr>
                <w:rStyle w:val="Hyperlink"/>
                <w:rFonts w:eastAsia="Arial" w:cs="Arial"/>
                <w:color w:val="4F81BD" w:themeColor="accent1"/>
              </w:rPr>
              <w:t>C</w:t>
            </w:r>
            <w:r w:rsidRPr="00AD7DB9">
              <w:rPr>
                <w:rStyle w:val="Hyperlink"/>
                <w:rFonts w:eastAsia="Arial"/>
                <w:color w:val="4F81BD" w:themeColor="accent1"/>
              </w:rPr>
              <w:t>urrent</w:t>
            </w:r>
            <w:r w:rsidR="007C77F7" w:rsidRPr="00AD7DB9">
              <w:rPr>
                <w:rStyle w:val="Hyperlink"/>
                <w:rFonts w:eastAsia="Arial"/>
                <w:color w:val="4F81BD" w:themeColor="accent1"/>
              </w:rPr>
              <w:t>ly</w:t>
            </w:r>
            <w:r w:rsidRPr="00AD7DB9">
              <w:rPr>
                <w:rStyle w:val="Hyperlink"/>
                <w:rFonts w:eastAsia="Arial"/>
                <w:color w:val="4F81BD" w:themeColor="accent1"/>
              </w:rPr>
              <w:t xml:space="preserve"> s</w:t>
            </w:r>
            <w:r w:rsidRPr="3ADDC19A">
              <w:rPr>
                <w:rStyle w:val="Hyperlink"/>
                <w:rFonts w:eastAsia="Arial" w:cs="Arial"/>
                <w:color w:val="4F81BD" w:themeColor="accent1"/>
              </w:rPr>
              <w:t>mok</w:t>
            </w:r>
            <w:r w:rsidR="007C77F7" w:rsidRPr="3ADDC19A">
              <w:rPr>
                <w:rStyle w:val="Hyperlink"/>
                <w:rFonts w:eastAsia="Arial" w:cs="Arial"/>
                <w:color w:val="4F81BD" w:themeColor="accent1"/>
              </w:rPr>
              <w:t>i</w:t>
            </w:r>
            <w:r w:rsidR="007C77F7" w:rsidRPr="00AD7DB9">
              <w:rPr>
                <w:rStyle w:val="Hyperlink"/>
                <w:rFonts w:eastAsia="Arial"/>
                <w:color w:val="4F81BD" w:themeColor="accent1"/>
              </w:rPr>
              <w:t>ng</w:t>
            </w:r>
            <w:r w:rsidRPr="00AD7DB9">
              <w:rPr>
                <w:rStyle w:val="Hyperlink"/>
                <w:rFonts w:eastAsia="Arial"/>
                <w:color w:val="4F81BD" w:themeColor="accent1"/>
              </w:rPr>
              <w:fldChar w:fldCharType="end"/>
            </w:r>
          </w:p>
          <w:p w14:paraId="017C0436" w14:textId="2CF37304" w:rsidR="00C73B5B" w:rsidRPr="008D448E" w:rsidRDefault="00C73B5B" w:rsidP="007F2807">
            <w:pPr>
              <w:pStyle w:val="TableText"/>
            </w:pPr>
            <w:r w:rsidRPr="00CB6C0E">
              <w:rPr>
                <w:rFonts w:eastAsia="Arial" w:cs="Arial"/>
                <w:szCs w:val="19"/>
              </w:rPr>
              <w:t xml:space="preserve">0 </w:t>
            </w:r>
            <w:r>
              <w:rPr>
                <w:rFonts w:eastAsia="Arial" w:cs="Arial"/>
                <w:szCs w:val="19"/>
              </w:rPr>
              <w:t>otherwise</w:t>
            </w:r>
          </w:p>
        </w:tc>
      </w:tr>
      <w:tr w:rsidR="00DA35CF" w:rsidRPr="008D448E" w14:paraId="166878EB"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C80B3FD" w14:textId="77777777" w:rsidR="00DA35CF" w:rsidRPr="004470FF" w:rsidRDefault="00DA35CF"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085C1CC" w14:textId="5F143C72" w:rsidR="00DA35CF" w:rsidRPr="008D448E" w:rsidRDefault="00DA35CF" w:rsidP="007E52DF">
            <w:pPr>
              <w:pStyle w:val="TableText"/>
            </w:pPr>
            <w:r>
              <w:rPr>
                <w:rFonts w:eastAsia="Arial" w:cs="Arial"/>
                <w:szCs w:val="19"/>
              </w:rPr>
              <w:t>Mandatory</w:t>
            </w:r>
          </w:p>
        </w:tc>
      </w:tr>
      <w:tr w:rsidR="00DA35CF" w:rsidRPr="008D448E" w14:paraId="73B3B4F4"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0F37FA0" w14:textId="77777777" w:rsidR="00DA35CF" w:rsidRPr="004470FF" w:rsidRDefault="00DA35CF"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873F610" w14:textId="1FD4438D" w:rsidR="00DA35CF" w:rsidRPr="008D448E" w:rsidRDefault="00DA35CF" w:rsidP="007E52DF">
            <w:pPr>
              <w:pStyle w:val="TableText"/>
            </w:pPr>
            <w:r>
              <w:t>Self-reported</w:t>
            </w:r>
            <w:r w:rsidR="00C73B5B">
              <w:t xml:space="preserve"> and</w:t>
            </w:r>
            <w:r w:rsidR="00541F88">
              <w:t>/or</w:t>
            </w:r>
            <w:r w:rsidR="00C73B5B">
              <w:t xml:space="preserve"> determined from smoking status in the patient record</w:t>
            </w:r>
          </w:p>
        </w:tc>
      </w:tr>
      <w:tr w:rsidR="00DA35CF" w:rsidRPr="008D448E" w14:paraId="323716CB" w14:textId="77777777" w:rsidTr="3ADDC19A">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5031D91E" w14:textId="77777777" w:rsidR="00DA35CF" w:rsidRPr="004470FF" w:rsidRDefault="00DA35CF"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3634411" w14:textId="77777777" w:rsidR="00DA35CF" w:rsidRPr="008D448E" w:rsidRDefault="00DA35CF" w:rsidP="007E52DF">
            <w:pPr>
              <w:pStyle w:val="TableText"/>
            </w:pPr>
          </w:p>
        </w:tc>
      </w:tr>
    </w:tbl>
    <w:p w14:paraId="50F7D0B0" w14:textId="0898DDEF" w:rsidR="00C73B5B" w:rsidRPr="00C73B5B" w:rsidRDefault="00C73B5B" w:rsidP="007F2807">
      <w:pPr>
        <w:pStyle w:val="Heading4"/>
      </w:pPr>
      <w:r>
        <w:t>Ex-smok</w:t>
      </w:r>
      <w:r w:rsidR="007C77F7">
        <w:t>ing</w:t>
      </w: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C73B5B" w:rsidRPr="008D448E" w14:paraId="116A907F" w14:textId="77777777" w:rsidTr="3ADDC19A">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52ABE719" w14:textId="77777777" w:rsidR="00C73B5B" w:rsidRPr="004470FF" w:rsidRDefault="00C73B5B" w:rsidP="00A55B34">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7CD7E14" w14:textId="2446323C" w:rsidR="00C73B5B" w:rsidRPr="008D448E" w:rsidRDefault="00C73B5B" w:rsidP="00A55B34">
            <w:pPr>
              <w:pStyle w:val="TableText"/>
            </w:pPr>
            <w:r>
              <w:t>Ex-smok</w:t>
            </w:r>
            <w:r w:rsidR="007C77F7">
              <w:t>ing</w:t>
            </w:r>
          </w:p>
        </w:tc>
      </w:tr>
      <w:tr w:rsidR="00C73B5B" w:rsidRPr="008D448E" w14:paraId="5DAF5796"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03619B3" w14:textId="77777777" w:rsidR="00C73B5B" w:rsidRPr="004470FF" w:rsidRDefault="00C73B5B" w:rsidP="00A55B34">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7684BF64" w14:textId="63CFDDC3" w:rsidR="00C73B5B" w:rsidRPr="008D448E" w:rsidRDefault="007F2807" w:rsidP="00A55B34">
            <w:pPr>
              <w:pStyle w:val="TableText"/>
            </w:pPr>
            <w:r>
              <w:t>HISO 10073:2020 Smoking Cessation Data Standard</w:t>
            </w:r>
            <w:r w:rsidR="00541F88">
              <w:t xml:space="preserve"> to be published</w:t>
            </w:r>
          </w:p>
        </w:tc>
      </w:tr>
      <w:tr w:rsidR="00C73B5B" w:rsidRPr="008D448E" w14:paraId="65986932"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AC003DD" w14:textId="77777777" w:rsidR="00C73B5B" w:rsidRPr="004470FF" w:rsidRDefault="00C73B5B" w:rsidP="00A55B34">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2360FE1E" w14:textId="77777777" w:rsidR="00C73B5B" w:rsidRPr="008D448E" w:rsidRDefault="00C73B5B" w:rsidP="00A55B34">
            <w:pPr>
              <w:pStyle w:val="TableText"/>
            </w:pPr>
            <w:r w:rsidRPr="007B116A">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5B018DA7" w14:textId="77777777" w:rsidR="00C73B5B" w:rsidRPr="004470FF" w:rsidRDefault="00C73B5B" w:rsidP="00A55B34">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65A427D1" w14:textId="77777777" w:rsidR="00C73B5B" w:rsidRPr="008D448E" w:rsidRDefault="00C73B5B" w:rsidP="00A55B34">
            <w:pPr>
              <w:pStyle w:val="TableText"/>
            </w:pPr>
            <w:r>
              <w:t>Value</w:t>
            </w:r>
          </w:p>
        </w:tc>
      </w:tr>
      <w:tr w:rsidR="00C73B5B" w:rsidRPr="00F46627" w14:paraId="1A988372"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3088F10" w14:textId="77777777" w:rsidR="00C73B5B" w:rsidRPr="004470FF" w:rsidRDefault="00C73B5B" w:rsidP="00A55B34">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1A6521DF" w14:textId="77777777" w:rsidR="00C73B5B" w:rsidRPr="008D448E" w:rsidRDefault="00C73B5B" w:rsidP="00A55B34">
            <w:pPr>
              <w:pStyle w:val="TableText"/>
            </w:pPr>
            <w:r>
              <w:t>1</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34D11F4F" w14:textId="77777777" w:rsidR="00C73B5B" w:rsidRPr="004470FF" w:rsidRDefault="00C73B5B" w:rsidP="00A55B34">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55AAF57C" w14:textId="77777777" w:rsidR="00C73B5B" w:rsidRPr="00F46627" w:rsidRDefault="00C73B5B" w:rsidP="00A55B34">
            <w:pPr>
              <w:pStyle w:val="TableText"/>
            </w:pPr>
            <w:r>
              <w:t>N</w:t>
            </w:r>
          </w:p>
        </w:tc>
      </w:tr>
      <w:tr w:rsidR="00C73B5B" w:rsidRPr="008D448E" w14:paraId="20B54DBB"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7F76761" w14:textId="77777777" w:rsidR="00C73B5B" w:rsidRPr="004470FF" w:rsidRDefault="00C73B5B" w:rsidP="00A55B34">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B7787F5" w14:textId="79CBE5E6" w:rsidR="00C73B5B" w:rsidRDefault="00C73B5B" w:rsidP="3ADDC19A">
            <w:pPr>
              <w:pStyle w:val="TableText"/>
              <w:rPr>
                <w:rFonts w:eastAsia="Arial" w:cs="Arial"/>
              </w:rPr>
            </w:pPr>
            <w:r w:rsidRPr="3ADDC19A">
              <w:rPr>
                <w:rFonts w:eastAsia="Arial" w:cs="Arial"/>
              </w:rPr>
              <w:t xml:space="preserve">1 = </w:t>
            </w:r>
            <w:r w:rsidRPr="00AD7DB9">
              <w:fldChar w:fldCharType="begin"/>
            </w:r>
            <w:r w:rsidRPr="00AD7DB9">
              <w:rPr>
                <w:color w:val="4F81BD" w:themeColor="accent1"/>
              </w:rPr>
              <w:instrText>HYPERLINK "https://browser.ihtsdotools.org/?perspective=full&amp;conceptId1=8517006"</w:instrText>
            </w:r>
            <w:r w:rsidRPr="00AD7DB9">
              <w:fldChar w:fldCharType="separate"/>
            </w:r>
            <w:r w:rsidRPr="3ADDC19A">
              <w:rPr>
                <w:rStyle w:val="Hyperlink"/>
                <w:rFonts w:eastAsia="Arial" w:cs="Arial"/>
                <w:color w:val="4F81BD" w:themeColor="accent1"/>
              </w:rPr>
              <w:t>Ex-smok</w:t>
            </w:r>
            <w:r w:rsidR="007C77F7" w:rsidRPr="3ADDC19A">
              <w:rPr>
                <w:rStyle w:val="Hyperlink"/>
                <w:rFonts w:eastAsia="Arial" w:cs="Arial"/>
                <w:color w:val="4F81BD" w:themeColor="accent1"/>
              </w:rPr>
              <w:t>i</w:t>
            </w:r>
            <w:r w:rsidR="007C77F7" w:rsidRPr="00AD7DB9">
              <w:rPr>
                <w:rStyle w:val="Hyperlink"/>
                <w:rFonts w:eastAsia="Arial"/>
                <w:color w:val="4F81BD" w:themeColor="accent1"/>
              </w:rPr>
              <w:t>ng</w:t>
            </w:r>
            <w:r w:rsidRPr="00AD7DB9">
              <w:rPr>
                <w:rStyle w:val="Hyperlink"/>
                <w:rFonts w:eastAsia="Arial"/>
                <w:color w:val="4F81BD" w:themeColor="accent1"/>
              </w:rPr>
              <w:fldChar w:fldCharType="end"/>
            </w:r>
          </w:p>
          <w:p w14:paraId="0E15AA1D" w14:textId="5DA090CF" w:rsidR="00C73B5B" w:rsidRDefault="00C73B5B" w:rsidP="3ADDC19A">
            <w:pPr>
              <w:pStyle w:val="TableText"/>
              <w:rPr>
                <w:rStyle w:val="Hyperlink"/>
                <w:rFonts w:eastAsia="Arial" w:cs="Arial"/>
              </w:rPr>
            </w:pPr>
            <w:r w:rsidRPr="3ADDC19A">
              <w:rPr>
                <w:rFonts w:eastAsia="Arial" w:cs="Arial"/>
              </w:rPr>
              <w:t xml:space="preserve">1 = </w:t>
            </w:r>
            <w:r w:rsidRPr="3ADDC19A">
              <w:fldChar w:fldCharType="begin"/>
            </w:r>
            <w:r w:rsidRPr="00AD7DB9">
              <w:rPr>
                <w:color w:val="4F81BD" w:themeColor="accent1"/>
              </w:rPr>
              <w:instrText>HYPERLINK "https://browser.ihtsdotools.org/?perspective=full&amp;conceptId1=735128000"</w:instrText>
            </w:r>
            <w:r w:rsidRPr="3ADDC19A">
              <w:fldChar w:fldCharType="separate"/>
            </w:r>
            <w:r w:rsidRPr="3ADDC19A">
              <w:rPr>
                <w:rStyle w:val="Hyperlink"/>
                <w:rFonts w:eastAsia="Arial" w:cs="Arial"/>
                <w:color w:val="4F81BD" w:themeColor="accent1"/>
              </w:rPr>
              <w:t>Ex-smok</w:t>
            </w:r>
            <w:r w:rsidR="007C77F7" w:rsidRPr="3ADDC19A">
              <w:rPr>
                <w:rStyle w:val="Hyperlink"/>
                <w:rFonts w:eastAsia="Arial" w:cs="Arial"/>
                <w:color w:val="4F81BD" w:themeColor="accent1"/>
              </w:rPr>
              <w:t>i</w:t>
            </w:r>
            <w:r w:rsidR="007C77F7" w:rsidRPr="00AD7DB9">
              <w:rPr>
                <w:rStyle w:val="Hyperlink"/>
                <w:rFonts w:eastAsia="Arial"/>
                <w:color w:val="4F81BD" w:themeColor="accent1"/>
              </w:rPr>
              <w:t>ng</w:t>
            </w:r>
            <w:r w:rsidRPr="3ADDC19A">
              <w:rPr>
                <w:rStyle w:val="Hyperlink"/>
                <w:rFonts w:eastAsia="Arial" w:cs="Arial"/>
                <w:color w:val="4F81BD" w:themeColor="accent1"/>
              </w:rPr>
              <w:t xml:space="preserve"> for less than </w:t>
            </w:r>
            <w:r w:rsidR="00E104B1" w:rsidRPr="3ADDC19A">
              <w:rPr>
                <w:rStyle w:val="Hyperlink"/>
                <w:rFonts w:eastAsia="Arial" w:cs="Arial"/>
                <w:color w:val="4F81BD" w:themeColor="accent1"/>
              </w:rPr>
              <w:t>1</w:t>
            </w:r>
            <w:r w:rsidRPr="3ADDC19A">
              <w:rPr>
                <w:rStyle w:val="Hyperlink"/>
                <w:rFonts w:eastAsia="Arial" w:cs="Arial"/>
                <w:color w:val="4F81BD" w:themeColor="accent1"/>
              </w:rPr>
              <w:t xml:space="preserve"> year</w:t>
            </w:r>
            <w:r w:rsidRPr="3ADDC19A">
              <w:rPr>
                <w:rStyle w:val="Hyperlink"/>
                <w:rFonts w:eastAsia="Arial" w:cs="Arial"/>
                <w:color w:val="4F81BD" w:themeColor="accent1"/>
              </w:rPr>
              <w:fldChar w:fldCharType="end"/>
            </w:r>
          </w:p>
          <w:p w14:paraId="652EEDA6" w14:textId="0112064A" w:rsidR="00E104B1" w:rsidRDefault="00E104B1" w:rsidP="3ADDC19A">
            <w:pPr>
              <w:pStyle w:val="TableText"/>
              <w:rPr>
                <w:rStyle w:val="Hyperlink"/>
                <w:rFonts w:eastAsia="Arial" w:cs="Arial"/>
              </w:rPr>
            </w:pPr>
            <w:r w:rsidRPr="3ADDC19A">
              <w:rPr>
                <w:rStyle w:val="Hyperlink"/>
                <w:rFonts w:eastAsia="Arial" w:cs="Arial"/>
                <w:b w:val="0"/>
              </w:rPr>
              <w:t xml:space="preserve">1 = </w:t>
            </w:r>
            <w:r w:rsidRPr="3ADDC19A">
              <w:fldChar w:fldCharType="begin"/>
            </w:r>
            <w:r w:rsidRPr="00AD7DB9">
              <w:rPr>
                <w:color w:val="4F81BD" w:themeColor="accent1"/>
              </w:rPr>
              <w:instrText>HYPERLINK "https://browser.ihtsdotools.org/?perspective=full&amp;conceptId1=48031000119106"</w:instrText>
            </w:r>
            <w:r w:rsidRPr="3ADDC19A">
              <w:fldChar w:fldCharType="separate"/>
            </w:r>
            <w:r w:rsidRPr="3ADDC19A">
              <w:rPr>
                <w:rStyle w:val="Hyperlink"/>
                <w:rFonts w:eastAsia="Arial" w:cs="Arial"/>
                <w:color w:val="4F81BD" w:themeColor="accent1"/>
              </w:rPr>
              <w:t>Ex-smoking for more than 1 year</w:t>
            </w:r>
            <w:r w:rsidRPr="3ADDC19A">
              <w:rPr>
                <w:rStyle w:val="Hyperlink"/>
                <w:rFonts w:eastAsia="Arial" w:cs="Arial"/>
                <w:color w:val="4F81BD" w:themeColor="accent1"/>
              </w:rPr>
              <w:fldChar w:fldCharType="end"/>
            </w:r>
          </w:p>
          <w:p w14:paraId="6E3274BC" w14:textId="5EAD16AE" w:rsidR="007C77F7" w:rsidRPr="00C73B5B" w:rsidRDefault="007C77F7" w:rsidP="007F2807">
            <w:pPr>
              <w:pStyle w:val="TableText"/>
              <w:rPr>
                <w:rFonts w:eastAsia="Arial" w:cs="Arial"/>
                <w:szCs w:val="19"/>
              </w:rPr>
            </w:pPr>
            <w:r w:rsidRPr="00CB6C0E">
              <w:rPr>
                <w:rFonts w:eastAsia="Arial" w:cs="Arial"/>
                <w:szCs w:val="19"/>
              </w:rPr>
              <w:t xml:space="preserve">0 </w:t>
            </w:r>
            <w:r>
              <w:rPr>
                <w:rFonts w:eastAsia="Arial" w:cs="Arial"/>
                <w:szCs w:val="19"/>
              </w:rPr>
              <w:t>otherwise</w:t>
            </w:r>
          </w:p>
        </w:tc>
      </w:tr>
      <w:tr w:rsidR="00C73B5B" w:rsidRPr="008D448E" w14:paraId="5CA10A61"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673B51B" w14:textId="77777777" w:rsidR="00C73B5B" w:rsidRPr="004470FF" w:rsidRDefault="00C73B5B" w:rsidP="00A55B34">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FF7B328" w14:textId="77777777" w:rsidR="00C73B5B" w:rsidRPr="008D448E" w:rsidRDefault="00C73B5B" w:rsidP="00A55B34">
            <w:pPr>
              <w:pStyle w:val="TableText"/>
            </w:pPr>
            <w:r>
              <w:rPr>
                <w:rFonts w:eastAsia="Arial" w:cs="Arial"/>
                <w:szCs w:val="19"/>
              </w:rPr>
              <w:t>Mandatory</w:t>
            </w:r>
          </w:p>
        </w:tc>
      </w:tr>
      <w:tr w:rsidR="00C73B5B" w:rsidRPr="008D448E" w14:paraId="36830EBC" w14:textId="77777777" w:rsidTr="3ADDC19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9180707" w14:textId="77777777" w:rsidR="00C73B5B" w:rsidRPr="004470FF" w:rsidRDefault="00C73B5B" w:rsidP="00A55B34">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9D25E94" w14:textId="51300DE6" w:rsidR="00C73B5B" w:rsidRPr="008D448E" w:rsidRDefault="00C73B5B" w:rsidP="00A55B34">
            <w:pPr>
              <w:pStyle w:val="TableText"/>
            </w:pPr>
            <w:r>
              <w:t>Self-reported</w:t>
            </w:r>
            <w:r w:rsidR="003D1973">
              <w:t xml:space="preserve"> and</w:t>
            </w:r>
            <w:r w:rsidR="00541F88">
              <w:t>/or</w:t>
            </w:r>
            <w:r w:rsidR="003D1973">
              <w:t xml:space="preserve"> determined from SNOMED-coded smoking status in the patient record</w:t>
            </w:r>
          </w:p>
        </w:tc>
      </w:tr>
      <w:tr w:rsidR="00C73B5B" w:rsidRPr="008D448E" w14:paraId="6E4E2416" w14:textId="77777777" w:rsidTr="3ADDC19A">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5CD91A43" w14:textId="77777777" w:rsidR="00C73B5B" w:rsidRPr="004470FF" w:rsidRDefault="00C73B5B" w:rsidP="00A55B34">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FD15FA0" w14:textId="77777777" w:rsidR="00C73B5B" w:rsidRPr="008D448E" w:rsidRDefault="00C73B5B" w:rsidP="00A55B34">
            <w:pPr>
              <w:pStyle w:val="TableText"/>
            </w:pPr>
          </w:p>
        </w:tc>
      </w:tr>
    </w:tbl>
    <w:p w14:paraId="621BD5F7" w14:textId="77777777" w:rsidR="00650A90" w:rsidRDefault="00650A90" w:rsidP="00DA35CF">
      <w:pPr>
        <w:pStyle w:val="Heading2"/>
        <w:spacing w:after="120"/>
      </w:pPr>
      <w:bookmarkStart w:id="38" w:name="_Toc5806750"/>
      <w:bookmarkStart w:id="39" w:name="_Toc46146739"/>
      <w:bookmarkStart w:id="40" w:name="_Toc522522082"/>
      <w:r>
        <w:t>Measured risk factors</w:t>
      </w:r>
      <w:bookmarkEnd w:id="38"/>
      <w:bookmarkEnd w:id="39"/>
    </w:p>
    <w:p w14:paraId="60EC5E90" w14:textId="77777777" w:rsidR="00650A90" w:rsidRDefault="00650A90" w:rsidP="00DA35CF">
      <w:pPr>
        <w:pStyle w:val="Heading3"/>
        <w:spacing w:before="300" w:after="120"/>
      </w:pPr>
      <w:bookmarkStart w:id="41" w:name="_Toc522522083"/>
      <w:bookmarkEnd w:id="40"/>
      <w:r>
        <w:t>Blood pressure</w:t>
      </w:r>
      <w:bookmarkEnd w:id="41"/>
    </w:p>
    <w:p w14:paraId="66F4A17D" w14:textId="2615FA1F" w:rsidR="00650A90" w:rsidRDefault="00C46DF5" w:rsidP="00DA35CF">
      <w:r>
        <w:t xml:space="preserve">Blood pressure (BP) is typically recorded as having systolic and diastolic measurements in mmHg. </w:t>
      </w:r>
      <w:r w:rsidR="00650A90" w:rsidRPr="00087856">
        <w:t xml:space="preserve">The ideal </w:t>
      </w:r>
      <w:r>
        <w:t>BP</w:t>
      </w:r>
      <w:r w:rsidR="00650A90" w:rsidRPr="00087856">
        <w:t xml:space="preserve"> for most individuals is likely to be below 120 mmHg systolic and 75</w:t>
      </w:r>
      <w:r>
        <w:t xml:space="preserve"> </w:t>
      </w:r>
      <w:r w:rsidR="00650A90" w:rsidRPr="00087856">
        <w:t>mmHg diastolic. Above this level</w:t>
      </w:r>
      <w:r w:rsidR="00650A90">
        <w:t>,</w:t>
      </w:r>
      <w:r w:rsidR="00650A90" w:rsidRPr="00087856">
        <w:t xml:space="preserve"> the risk of a CVD event increases continuously with increasing </w:t>
      </w:r>
      <w:r>
        <w:t>BP</w:t>
      </w:r>
      <w:r w:rsidR="00650A90" w:rsidRPr="00087856">
        <w:t>.</w:t>
      </w:r>
    </w:p>
    <w:p w14:paraId="178EB112" w14:textId="77777777" w:rsidR="00A57504" w:rsidRDefault="00A57504" w:rsidP="00DA35CF"/>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7"/>
        <w:gridCol w:w="1844"/>
        <w:gridCol w:w="2351"/>
        <w:gridCol w:w="2096"/>
      </w:tblGrid>
      <w:tr w:rsidR="00A57504" w:rsidRPr="008D448E" w14:paraId="238D2D23" w14:textId="77777777" w:rsidTr="006E7E53">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50091AAB" w14:textId="77777777" w:rsidR="00A57504" w:rsidRPr="004470FF" w:rsidRDefault="00A57504" w:rsidP="006E7E53">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850EC7D" w14:textId="0B96FFF3" w:rsidR="00A57504" w:rsidRPr="008D448E" w:rsidRDefault="00A57504" w:rsidP="00A57504">
            <w:pPr>
              <w:pStyle w:val="TableText"/>
            </w:pPr>
            <w:r>
              <w:t>Systolic BP – the</w:t>
            </w:r>
            <w:r w:rsidRPr="00CB6C0E">
              <w:t xml:space="preserve"> average of two seated measurements </w:t>
            </w:r>
            <w:r>
              <w:t>in mmHg</w:t>
            </w:r>
            <w:r w:rsidRPr="00CB6C0E">
              <w:t xml:space="preserve"> taken </w:t>
            </w:r>
            <w:r>
              <w:t>on two separate occasions (a</w:t>
            </w:r>
            <w:r w:rsidRPr="00CB6C0E">
              <w:t>t least 10 minutes apart</w:t>
            </w:r>
            <w:r>
              <w:t>)</w:t>
            </w:r>
          </w:p>
        </w:tc>
      </w:tr>
      <w:tr w:rsidR="00A57504" w:rsidRPr="008D448E" w14:paraId="317AD031" w14:textId="77777777" w:rsidTr="006E7E5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A095441" w14:textId="77777777" w:rsidR="00A57504" w:rsidRPr="004470FF" w:rsidRDefault="00A57504" w:rsidP="006E7E53">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52F238D3" w14:textId="77777777" w:rsidR="00A57504" w:rsidRPr="008D448E" w:rsidRDefault="00A57504" w:rsidP="006E7E53">
            <w:pPr>
              <w:pStyle w:val="TableText"/>
            </w:pPr>
          </w:p>
        </w:tc>
      </w:tr>
      <w:tr w:rsidR="00A57504" w:rsidRPr="008D448E" w14:paraId="6F36761A" w14:textId="77777777" w:rsidTr="006E7E5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F91C3F6" w14:textId="77777777" w:rsidR="00A57504" w:rsidRPr="004470FF" w:rsidRDefault="00A57504" w:rsidP="006E7E53">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26179E3E" w14:textId="77777777" w:rsidR="00A57504" w:rsidRPr="008D448E" w:rsidRDefault="00A57504" w:rsidP="006E7E53">
            <w:pPr>
              <w:pStyle w:val="TableText"/>
            </w:pPr>
            <w:r w:rsidRPr="007B116A">
              <w:t>Numeric</w:t>
            </w:r>
          </w:p>
        </w:tc>
        <w:tc>
          <w:tcPr>
            <w:tcW w:w="1475"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731E7D3F" w14:textId="77777777" w:rsidR="00A57504" w:rsidRPr="004470FF" w:rsidRDefault="00A57504" w:rsidP="006E7E53">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73B7DA16" w14:textId="77777777" w:rsidR="00A57504" w:rsidRPr="008D448E" w:rsidRDefault="00A57504" w:rsidP="006E7E53">
            <w:pPr>
              <w:pStyle w:val="TableText"/>
            </w:pPr>
            <w:r>
              <w:t>Value</w:t>
            </w:r>
          </w:p>
        </w:tc>
      </w:tr>
      <w:tr w:rsidR="00A57504" w:rsidRPr="00F46627" w14:paraId="4E462EC9" w14:textId="77777777" w:rsidTr="006E7E5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75DA3E1" w14:textId="77777777" w:rsidR="00A57504" w:rsidRPr="004470FF" w:rsidRDefault="00A57504" w:rsidP="006E7E53">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7E64BFE2" w14:textId="77777777" w:rsidR="00A57504" w:rsidRPr="008D448E" w:rsidRDefault="00A57504" w:rsidP="006E7E53">
            <w:pPr>
              <w:pStyle w:val="TableText"/>
            </w:pPr>
            <w:r>
              <w:t>3</w:t>
            </w:r>
          </w:p>
        </w:tc>
        <w:tc>
          <w:tcPr>
            <w:tcW w:w="1475"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7A223670" w14:textId="77777777" w:rsidR="00A57504" w:rsidRPr="004470FF" w:rsidRDefault="00A57504" w:rsidP="006E7E53">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0D8F51EA" w14:textId="77777777" w:rsidR="00A57504" w:rsidRPr="00F46627" w:rsidRDefault="00A57504" w:rsidP="006E7E53">
            <w:pPr>
              <w:pStyle w:val="TableText"/>
            </w:pPr>
            <w:r w:rsidRPr="007B116A">
              <w:t>NN</w:t>
            </w:r>
            <w:r>
              <w:t>N</w:t>
            </w:r>
          </w:p>
        </w:tc>
      </w:tr>
      <w:tr w:rsidR="00A57504" w:rsidRPr="008D448E" w14:paraId="64702F98" w14:textId="77777777" w:rsidTr="006E7E5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57DB85F" w14:textId="77777777" w:rsidR="00A57504" w:rsidRPr="004470FF" w:rsidRDefault="00A57504" w:rsidP="006E7E53">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6ADCBCC" w14:textId="44BB15ED" w:rsidR="00A57504" w:rsidRPr="008D448E" w:rsidRDefault="00A57504" w:rsidP="00467499">
            <w:pPr>
              <w:pStyle w:val="TableText"/>
              <w:spacing w:after="0"/>
            </w:pPr>
            <w:r w:rsidRPr="00800D78">
              <w:t>40 ≤</w:t>
            </w:r>
            <w:r>
              <w:t xml:space="preserve"> value ≤ 310</w:t>
            </w:r>
          </w:p>
        </w:tc>
      </w:tr>
      <w:tr w:rsidR="00A57504" w:rsidRPr="008D448E" w14:paraId="04B056EC" w14:textId="77777777" w:rsidTr="006E7E5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EDEB5EE" w14:textId="77777777" w:rsidR="00A57504" w:rsidRPr="004470FF" w:rsidRDefault="00A57504" w:rsidP="006E7E53">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0F651E4" w14:textId="77777777" w:rsidR="00A57504" w:rsidRPr="008D448E" w:rsidRDefault="00A57504" w:rsidP="006E7E53">
            <w:pPr>
              <w:pStyle w:val="TableText"/>
            </w:pPr>
            <w:r>
              <w:t>Mandatory</w:t>
            </w:r>
          </w:p>
        </w:tc>
      </w:tr>
      <w:tr w:rsidR="00A57504" w:rsidRPr="008D448E" w14:paraId="7350C9EA" w14:textId="77777777" w:rsidTr="006E7E5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C034CF6" w14:textId="77777777" w:rsidR="00A57504" w:rsidRPr="004470FF" w:rsidRDefault="00A57504" w:rsidP="006E7E53">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5AC6BAB" w14:textId="77777777" w:rsidR="00A57504" w:rsidRDefault="00A57504" w:rsidP="006E7E53">
            <w:pPr>
              <w:pStyle w:val="TableText"/>
              <w:spacing w:after="0"/>
            </w:pPr>
            <w:r>
              <w:t>Clinical measurement from a sphygmomanometer</w:t>
            </w:r>
          </w:p>
          <w:p w14:paraId="62AB41BB" w14:textId="77777777" w:rsidR="00A57504" w:rsidRDefault="00A57504" w:rsidP="006E7E53">
            <w:pPr>
              <w:pStyle w:val="TableText"/>
              <w:spacing w:before="30" w:after="0"/>
            </w:pPr>
            <w:r>
              <w:t>Although both systolic and diastolic BP are collected, only systolic BP is presently used in the CVD risk equations</w:t>
            </w:r>
          </w:p>
          <w:p w14:paraId="5F058F21" w14:textId="77777777" w:rsidR="00A57504" w:rsidRPr="008D448E" w:rsidRDefault="00A57504" w:rsidP="006E7E53">
            <w:pPr>
              <w:pStyle w:val="TableText"/>
              <w:spacing w:before="30"/>
            </w:pPr>
            <w:r>
              <w:t>BP measurements should be recorded with a date in the patient’s health record</w:t>
            </w:r>
          </w:p>
        </w:tc>
      </w:tr>
      <w:tr w:rsidR="00A57504" w:rsidRPr="008D448E" w14:paraId="4CB6B391" w14:textId="77777777" w:rsidTr="006E7E53">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7D5F098B" w14:textId="77777777" w:rsidR="00A57504" w:rsidRPr="004470FF" w:rsidRDefault="00A57504" w:rsidP="006E7E53">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1FE1D4C" w14:textId="77777777" w:rsidR="00A57504" w:rsidRPr="008D448E" w:rsidRDefault="00A57504" w:rsidP="006E7E53">
            <w:pPr>
              <w:pStyle w:val="TableText"/>
            </w:pPr>
            <w:r w:rsidRPr="00800D78">
              <w:t>Systolic BP must be greater than diastolic BP</w:t>
            </w:r>
          </w:p>
        </w:tc>
      </w:tr>
    </w:tbl>
    <w:p w14:paraId="582BADC5" w14:textId="77777777" w:rsidR="00A57504" w:rsidRDefault="00A57504" w:rsidP="00DA35CF"/>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7"/>
        <w:gridCol w:w="1844"/>
        <w:gridCol w:w="2351"/>
        <w:gridCol w:w="2096"/>
      </w:tblGrid>
      <w:tr w:rsidR="004470FF" w:rsidRPr="008D448E" w14:paraId="5B04BDBB"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710E64F5" w14:textId="77777777" w:rsidR="004470FF" w:rsidRPr="004470FF" w:rsidRDefault="004470FF"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043FB19" w14:textId="2B7039CA" w:rsidR="004470FF" w:rsidRPr="008D448E" w:rsidRDefault="00A57504" w:rsidP="00A57504">
            <w:pPr>
              <w:pStyle w:val="TableText"/>
            </w:pPr>
            <w:r>
              <w:t>Diastolic BP – t</w:t>
            </w:r>
            <w:r w:rsidR="00DA35CF">
              <w:t>he</w:t>
            </w:r>
            <w:r w:rsidR="00DA35CF" w:rsidRPr="00CB6C0E">
              <w:t xml:space="preserve"> average of two seated measurements </w:t>
            </w:r>
            <w:r w:rsidR="00DA35CF">
              <w:t>in mmHg</w:t>
            </w:r>
            <w:r w:rsidR="00DA35CF" w:rsidRPr="00CB6C0E">
              <w:t xml:space="preserve"> taken </w:t>
            </w:r>
            <w:r w:rsidR="00DA35CF">
              <w:t>on two separate occasions (a</w:t>
            </w:r>
            <w:r w:rsidR="00DA35CF" w:rsidRPr="00CB6C0E">
              <w:t>t least 10 minutes apart</w:t>
            </w:r>
            <w:r w:rsidR="00DA35CF">
              <w:t>)</w:t>
            </w:r>
          </w:p>
        </w:tc>
      </w:tr>
      <w:tr w:rsidR="004470FF" w:rsidRPr="008D448E" w14:paraId="706EE7A1"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FEF8BFE" w14:textId="77777777" w:rsidR="004470FF" w:rsidRPr="004470FF" w:rsidRDefault="004470FF"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03DA800B" w14:textId="77777777" w:rsidR="004470FF" w:rsidRPr="008D448E" w:rsidRDefault="004470FF" w:rsidP="007E52DF">
            <w:pPr>
              <w:pStyle w:val="TableText"/>
            </w:pPr>
          </w:p>
        </w:tc>
      </w:tr>
      <w:tr w:rsidR="00DA35CF" w:rsidRPr="008D448E" w14:paraId="5BB9DB9E" w14:textId="77777777" w:rsidTr="00DA35C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9B9102F" w14:textId="77777777" w:rsidR="00DA35CF" w:rsidRPr="004470FF" w:rsidRDefault="00DA35CF" w:rsidP="007E52D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7BAECF49" w14:textId="3CCB06AB" w:rsidR="00DA35CF" w:rsidRPr="008D448E" w:rsidRDefault="00DA35CF" w:rsidP="007E52DF">
            <w:pPr>
              <w:pStyle w:val="TableText"/>
            </w:pPr>
            <w:r w:rsidRPr="007B116A">
              <w:t>Numeric</w:t>
            </w:r>
          </w:p>
        </w:tc>
        <w:tc>
          <w:tcPr>
            <w:tcW w:w="1475"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7C531927" w14:textId="77777777" w:rsidR="00DA35CF" w:rsidRPr="004470FF" w:rsidRDefault="00DA35CF" w:rsidP="007E52DF">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1AF8F41E" w14:textId="534E1EC2" w:rsidR="00DA35CF" w:rsidRPr="008D448E" w:rsidRDefault="00DA35CF" w:rsidP="007E52DF">
            <w:pPr>
              <w:pStyle w:val="TableText"/>
            </w:pPr>
            <w:r>
              <w:t>Value</w:t>
            </w:r>
          </w:p>
        </w:tc>
      </w:tr>
      <w:tr w:rsidR="00DA35CF" w:rsidRPr="00F46627" w14:paraId="230C3755" w14:textId="77777777" w:rsidTr="00DA35C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42B297F" w14:textId="77777777" w:rsidR="00DA35CF" w:rsidRPr="004470FF" w:rsidRDefault="00DA35CF"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06E3B299" w14:textId="53CBB166" w:rsidR="00DA35CF" w:rsidRPr="008D448E" w:rsidRDefault="00DA35CF" w:rsidP="007E52DF">
            <w:pPr>
              <w:pStyle w:val="TableText"/>
            </w:pPr>
            <w:r>
              <w:t>3</w:t>
            </w:r>
          </w:p>
        </w:tc>
        <w:tc>
          <w:tcPr>
            <w:tcW w:w="1475"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684759AB" w14:textId="77777777" w:rsidR="00DA35CF" w:rsidRPr="004470FF" w:rsidRDefault="00DA35CF" w:rsidP="007E52DF">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1447D6E8" w14:textId="42F3F1F5" w:rsidR="00DA35CF" w:rsidRPr="00F46627" w:rsidRDefault="00DA35CF" w:rsidP="007E52DF">
            <w:pPr>
              <w:pStyle w:val="TableText"/>
            </w:pPr>
            <w:r w:rsidRPr="007B116A">
              <w:t>NN</w:t>
            </w:r>
            <w:r>
              <w:t>N</w:t>
            </w:r>
          </w:p>
        </w:tc>
      </w:tr>
      <w:tr w:rsidR="00DA35CF" w:rsidRPr="008D448E" w14:paraId="3B926CA6" w14:textId="77777777" w:rsidTr="00DA35C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6B3826F" w14:textId="77777777" w:rsidR="00DA35CF" w:rsidRPr="004470FF" w:rsidRDefault="00DA35CF"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F9FABE6" w14:textId="2E871E97" w:rsidR="00DA35CF" w:rsidRPr="008D448E" w:rsidRDefault="00DA35CF" w:rsidP="00DA35CF">
            <w:pPr>
              <w:pStyle w:val="TableText"/>
              <w:spacing w:before="30"/>
            </w:pPr>
            <w:r>
              <w:t>20 ≤ d</w:t>
            </w:r>
            <w:r w:rsidRPr="00800D78">
              <w:t>ia</w:t>
            </w:r>
            <w:r>
              <w:t>stolic BP ≤ 200</w:t>
            </w:r>
          </w:p>
        </w:tc>
      </w:tr>
      <w:tr w:rsidR="00DA35CF" w:rsidRPr="008D448E" w14:paraId="222FAB83"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B5EEAD4" w14:textId="77777777" w:rsidR="00DA35CF" w:rsidRPr="004470FF" w:rsidRDefault="00DA35CF"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363AEA5" w14:textId="10AD62B9" w:rsidR="00DA35CF" w:rsidRPr="008D448E" w:rsidRDefault="00DA35CF" w:rsidP="007E52DF">
            <w:pPr>
              <w:pStyle w:val="TableText"/>
            </w:pPr>
            <w:r>
              <w:t>Mandatory</w:t>
            </w:r>
          </w:p>
        </w:tc>
      </w:tr>
      <w:tr w:rsidR="00DA35CF" w:rsidRPr="008D448E" w14:paraId="5229DA97"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9D38394" w14:textId="77777777" w:rsidR="00DA35CF" w:rsidRPr="004470FF" w:rsidRDefault="00DA35CF"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6B0FAD8" w14:textId="1DCC73F6" w:rsidR="00DA35CF" w:rsidRDefault="00DA35CF" w:rsidP="00DA35CF">
            <w:pPr>
              <w:pStyle w:val="TableText"/>
              <w:spacing w:after="0"/>
            </w:pPr>
            <w:r>
              <w:t xml:space="preserve">Clinical measurement from a </w:t>
            </w:r>
            <w:r w:rsidR="00F43F4C">
              <w:t>sphygmomanometer</w:t>
            </w:r>
          </w:p>
          <w:p w14:paraId="2E940DAE" w14:textId="77777777" w:rsidR="00DA35CF" w:rsidRDefault="00DA35CF" w:rsidP="00DA35CF">
            <w:pPr>
              <w:pStyle w:val="TableText"/>
              <w:spacing w:before="30" w:after="0"/>
            </w:pPr>
            <w:r>
              <w:t>Although both systolic and diastolic BP are collected, only systolic BP is presently used in the CVD risk equations</w:t>
            </w:r>
          </w:p>
          <w:p w14:paraId="626B8713" w14:textId="2906FDC5" w:rsidR="00DA35CF" w:rsidRPr="008D448E" w:rsidRDefault="00DA35CF" w:rsidP="00DA35CF">
            <w:pPr>
              <w:pStyle w:val="TableText"/>
              <w:spacing w:before="30"/>
            </w:pPr>
            <w:r>
              <w:t>BP measurements should be recorded with a date</w:t>
            </w:r>
            <w:r w:rsidR="00D473EB">
              <w:t xml:space="preserve"> in the patient’s health record</w:t>
            </w:r>
          </w:p>
        </w:tc>
      </w:tr>
      <w:tr w:rsidR="00DA35CF" w:rsidRPr="008D448E" w14:paraId="4E98FE60" w14:textId="77777777" w:rsidTr="007E52D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AB3A1E8" w14:textId="77777777" w:rsidR="00DA35CF" w:rsidRPr="004470FF" w:rsidRDefault="00DA35CF"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8570CF5" w14:textId="51FE94FB" w:rsidR="00DA35CF" w:rsidRPr="008D448E" w:rsidRDefault="00DA35CF" w:rsidP="007E52DF">
            <w:pPr>
              <w:pStyle w:val="TableText"/>
            </w:pPr>
            <w:r w:rsidRPr="00800D78">
              <w:t>Systolic BP must be greater than diastolic BP</w:t>
            </w:r>
          </w:p>
        </w:tc>
      </w:tr>
    </w:tbl>
    <w:p w14:paraId="3591CCB6" w14:textId="77777777" w:rsidR="00650A90" w:rsidRDefault="00650A90" w:rsidP="00DA35CF">
      <w:pPr>
        <w:pStyle w:val="Heading3"/>
      </w:pPr>
      <w:bookmarkStart w:id="42" w:name="_Toc522522084"/>
      <w:r>
        <w:t>Weight</w:t>
      </w:r>
    </w:p>
    <w:p w14:paraId="35673B95" w14:textId="2C46C4E2" w:rsidR="00650A90" w:rsidRDefault="00650A90" w:rsidP="006407A3">
      <w:r>
        <w:t>Weight in kilograms is used in conjunction with height in metres to cal</w:t>
      </w:r>
      <w:r w:rsidR="004470FF">
        <w:t>culate a body mass index (BMI).</w:t>
      </w:r>
    </w:p>
    <w:p w14:paraId="31FBEB44" w14:textId="77777777" w:rsidR="004470FF" w:rsidRDefault="004470FF" w:rsidP="006407A3"/>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7"/>
        <w:gridCol w:w="1844"/>
        <w:gridCol w:w="2351"/>
        <w:gridCol w:w="2096"/>
      </w:tblGrid>
      <w:tr w:rsidR="004470FF" w:rsidRPr="008D448E" w14:paraId="1DE65335"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6F270114" w14:textId="77777777" w:rsidR="004470FF" w:rsidRPr="004470FF" w:rsidRDefault="004470FF"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6614D7B" w14:textId="6EFB6D43" w:rsidR="004470FF" w:rsidRPr="008D448E" w:rsidRDefault="006407A3" w:rsidP="007E52DF">
            <w:pPr>
              <w:pStyle w:val="TableText"/>
            </w:pPr>
            <w:r>
              <w:t>Body weight</w:t>
            </w:r>
            <w:r w:rsidRPr="00CB6C0E">
              <w:t xml:space="preserve"> </w:t>
            </w:r>
            <w:r>
              <w:t>in kilograms</w:t>
            </w:r>
          </w:p>
        </w:tc>
      </w:tr>
      <w:tr w:rsidR="004470FF" w:rsidRPr="008D448E" w14:paraId="22A92313"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12E4D5" w14:textId="77777777" w:rsidR="004470FF" w:rsidRPr="004470FF" w:rsidRDefault="004470FF"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77E18B47" w14:textId="77777777" w:rsidR="004470FF" w:rsidRPr="008D448E" w:rsidRDefault="004470FF" w:rsidP="007E52DF">
            <w:pPr>
              <w:pStyle w:val="TableText"/>
            </w:pPr>
          </w:p>
        </w:tc>
      </w:tr>
      <w:tr w:rsidR="006407A3" w:rsidRPr="008D448E" w14:paraId="7A5FC1ED"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DB3422E" w14:textId="77777777" w:rsidR="006407A3" w:rsidRPr="004470FF" w:rsidRDefault="006407A3" w:rsidP="007E52D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70FEB3FA" w14:textId="7AB27476" w:rsidR="006407A3" w:rsidRPr="008D448E" w:rsidRDefault="006407A3" w:rsidP="007E52DF">
            <w:pPr>
              <w:pStyle w:val="TableText"/>
            </w:pPr>
            <w:r w:rsidRPr="007B116A">
              <w:t>Numeric</w:t>
            </w:r>
          </w:p>
        </w:tc>
        <w:tc>
          <w:tcPr>
            <w:tcW w:w="1475"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764B72C8" w14:textId="77777777" w:rsidR="006407A3" w:rsidRPr="004470FF" w:rsidRDefault="006407A3" w:rsidP="007E52DF">
            <w:pPr>
              <w:pStyle w:val="TableText"/>
              <w:rPr>
                <w:b/>
              </w:rPr>
            </w:pPr>
            <w:r w:rsidRPr="004470FF">
              <w:rPr>
                <w:b/>
              </w:rPr>
              <w:t>Representational class</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477F5153" w14:textId="299CC507" w:rsidR="006407A3" w:rsidRPr="008D448E" w:rsidRDefault="006407A3" w:rsidP="007E52DF">
            <w:pPr>
              <w:pStyle w:val="TableText"/>
            </w:pPr>
            <w:r>
              <w:t>Value</w:t>
            </w:r>
          </w:p>
        </w:tc>
      </w:tr>
      <w:tr w:rsidR="006407A3" w:rsidRPr="00F46627" w14:paraId="1B510E7F"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69FAD10" w14:textId="77777777" w:rsidR="006407A3" w:rsidRPr="004470FF" w:rsidRDefault="006407A3"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76BF2456" w14:textId="2B2ABD0B" w:rsidR="006407A3" w:rsidRPr="008D448E" w:rsidRDefault="006407A3" w:rsidP="007E52DF">
            <w:pPr>
              <w:pStyle w:val="TableText"/>
            </w:pPr>
            <w:r>
              <w:t>3</w:t>
            </w:r>
          </w:p>
        </w:tc>
        <w:tc>
          <w:tcPr>
            <w:tcW w:w="1475"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1DE1FC2B" w14:textId="77777777" w:rsidR="006407A3" w:rsidRPr="004470FF" w:rsidRDefault="006407A3" w:rsidP="007E52DF">
            <w:pPr>
              <w:pStyle w:val="TableText"/>
              <w:rPr>
                <w:b/>
              </w:rPr>
            </w:pPr>
            <w:r w:rsidRPr="004470FF">
              <w:rPr>
                <w:b/>
              </w:rPr>
              <w:t>Representational layout</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0193B9F1" w14:textId="12C07964" w:rsidR="006407A3" w:rsidRPr="00F46627" w:rsidRDefault="006407A3" w:rsidP="007E52DF">
            <w:pPr>
              <w:pStyle w:val="TableText"/>
            </w:pPr>
            <w:r w:rsidRPr="007B116A">
              <w:t>NN</w:t>
            </w:r>
            <w:r>
              <w:t>N</w:t>
            </w:r>
          </w:p>
        </w:tc>
      </w:tr>
      <w:tr w:rsidR="006407A3" w:rsidRPr="008D448E" w14:paraId="6DA574CC"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FA5DD9B" w14:textId="77777777" w:rsidR="006407A3" w:rsidRPr="004470FF" w:rsidRDefault="006407A3"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9333C84" w14:textId="5B10ABE7" w:rsidR="006407A3" w:rsidRPr="008D448E" w:rsidRDefault="006407A3">
            <w:pPr>
              <w:pStyle w:val="TableText"/>
            </w:pPr>
            <w:r>
              <w:t>30 ≤ value ≤ 350</w:t>
            </w:r>
          </w:p>
        </w:tc>
      </w:tr>
      <w:tr w:rsidR="006407A3" w:rsidRPr="008D448E" w14:paraId="6602788B"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F7E9A5C" w14:textId="77777777" w:rsidR="006407A3" w:rsidRPr="004470FF" w:rsidRDefault="006407A3"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6F4BCF9" w14:textId="299F93B0" w:rsidR="006407A3" w:rsidRPr="008D448E" w:rsidRDefault="001D5CE0" w:rsidP="007E52DF">
            <w:pPr>
              <w:pStyle w:val="TableText"/>
            </w:pPr>
            <w:r>
              <w:t>Mandatory</w:t>
            </w:r>
          </w:p>
        </w:tc>
      </w:tr>
      <w:tr w:rsidR="006407A3" w:rsidRPr="008D448E" w14:paraId="343A512B"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7D74F68" w14:textId="77777777" w:rsidR="006407A3" w:rsidRPr="004470FF" w:rsidRDefault="006407A3"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85E0C04" w14:textId="77777777" w:rsidR="006407A3" w:rsidRDefault="006407A3" w:rsidP="00A54BD5">
            <w:pPr>
              <w:pStyle w:val="TableText"/>
            </w:pPr>
            <w:r>
              <w:t>Measured in a clinical setting</w:t>
            </w:r>
          </w:p>
          <w:p w14:paraId="6A0DF343" w14:textId="2AC3F307" w:rsidR="006407A3" w:rsidRPr="008D448E" w:rsidRDefault="006407A3">
            <w:pPr>
              <w:pStyle w:val="TableText"/>
            </w:pPr>
            <w:r>
              <w:t xml:space="preserve">For calculating </w:t>
            </w:r>
            <w:r w:rsidRPr="00CB6C0E">
              <w:t>BMI</w:t>
            </w:r>
          </w:p>
        </w:tc>
      </w:tr>
      <w:tr w:rsidR="006407A3" w:rsidRPr="008D448E" w14:paraId="1418DA4E" w14:textId="77777777" w:rsidTr="007E52D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C48B3D1" w14:textId="77777777" w:rsidR="006407A3" w:rsidRPr="004470FF" w:rsidRDefault="006407A3"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C27208F" w14:textId="77777777" w:rsidR="006407A3" w:rsidRPr="008D448E" w:rsidRDefault="006407A3" w:rsidP="007E52DF">
            <w:pPr>
              <w:pStyle w:val="TableText"/>
            </w:pPr>
          </w:p>
        </w:tc>
      </w:tr>
    </w:tbl>
    <w:p w14:paraId="30E29CB2" w14:textId="77777777" w:rsidR="00650A90" w:rsidRDefault="00650A90" w:rsidP="006407A3">
      <w:pPr>
        <w:pStyle w:val="Heading3"/>
      </w:pPr>
      <w:r>
        <w:lastRenderedPageBreak/>
        <w:t>Height</w:t>
      </w:r>
    </w:p>
    <w:p w14:paraId="00A22CE3" w14:textId="77777777" w:rsidR="00650A90" w:rsidRDefault="00650A90" w:rsidP="006407A3">
      <w:r>
        <w:t>Weight in kilograms is used in conjunction with height in metres to calculate a body mass index (BMI).</w:t>
      </w:r>
    </w:p>
    <w:p w14:paraId="187B9956" w14:textId="77777777" w:rsidR="004470FF" w:rsidRDefault="004470FF" w:rsidP="006407A3"/>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4470FF" w:rsidRPr="008D448E" w14:paraId="3007D7DB"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61952E0C" w14:textId="77777777" w:rsidR="004470FF" w:rsidRPr="004470FF" w:rsidRDefault="004470FF"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3146232" w14:textId="211C12CA" w:rsidR="004470FF" w:rsidRPr="008D448E" w:rsidRDefault="006407A3" w:rsidP="007E52DF">
            <w:pPr>
              <w:pStyle w:val="TableText"/>
            </w:pPr>
            <w:r>
              <w:t>Body height in metres</w:t>
            </w:r>
          </w:p>
        </w:tc>
      </w:tr>
      <w:tr w:rsidR="004470FF" w:rsidRPr="008D448E" w14:paraId="7F2F66DA"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7F0AF2C" w14:textId="77777777" w:rsidR="004470FF" w:rsidRPr="004470FF" w:rsidRDefault="004470FF"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277CF0D2" w14:textId="77777777" w:rsidR="004470FF" w:rsidRPr="008D448E" w:rsidRDefault="004470FF" w:rsidP="007E52DF">
            <w:pPr>
              <w:pStyle w:val="TableText"/>
            </w:pPr>
          </w:p>
        </w:tc>
      </w:tr>
      <w:tr w:rsidR="006407A3" w:rsidRPr="008D448E" w14:paraId="61EE879C"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889ACBC" w14:textId="77777777" w:rsidR="006407A3" w:rsidRPr="004470FF" w:rsidRDefault="006407A3" w:rsidP="007E52D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4B48595" w14:textId="69CD6BB9" w:rsidR="006407A3" w:rsidRPr="008D448E" w:rsidRDefault="006407A3" w:rsidP="007E52DF">
            <w:pPr>
              <w:pStyle w:val="TableText"/>
            </w:pPr>
            <w:r w:rsidRPr="007B116A">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C758471" w14:textId="77777777" w:rsidR="006407A3" w:rsidRPr="004470FF" w:rsidRDefault="006407A3" w:rsidP="007E52DF">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3669854" w14:textId="088AD514" w:rsidR="006407A3" w:rsidRPr="008D448E" w:rsidRDefault="006407A3" w:rsidP="006407A3">
            <w:pPr>
              <w:pStyle w:val="TableText"/>
            </w:pPr>
            <w:r>
              <w:t>Value</w:t>
            </w:r>
          </w:p>
        </w:tc>
      </w:tr>
      <w:tr w:rsidR="006407A3" w:rsidRPr="00F46627" w14:paraId="3D3A6F23"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6D55540" w14:textId="77777777" w:rsidR="006407A3" w:rsidRPr="004470FF" w:rsidRDefault="006407A3"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134291B" w14:textId="08AA77BF" w:rsidR="006407A3" w:rsidRPr="008D448E" w:rsidRDefault="006407A3" w:rsidP="007E52DF">
            <w:pPr>
              <w:pStyle w:val="TableText"/>
            </w:pPr>
            <w:r>
              <w:t>3</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1919B4C5" w14:textId="77777777" w:rsidR="006407A3" w:rsidRPr="004470FF" w:rsidRDefault="006407A3" w:rsidP="007E52DF">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A38B9BE" w14:textId="50A29715" w:rsidR="006407A3" w:rsidRPr="00F46627" w:rsidRDefault="006407A3" w:rsidP="007E52DF">
            <w:pPr>
              <w:pStyle w:val="TableText"/>
            </w:pPr>
            <w:proofErr w:type="gramStart"/>
            <w:r w:rsidRPr="007B116A">
              <w:t>N</w:t>
            </w:r>
            <w:r>
              <w:t>.</w:t>
            </w:r>
            <w:r w:rsidRPr="007B116A">
              <w:t>N</w:t>
            </w:r>
            <w:r>
              <w:t>N</w:t>
            </w:r>
            <w:proofErr w:type="gramEnd"/>
          </w:p>
        </w:tc>
      </w:tr>
      <w:tr w:rsidR="006407A3" w:rsidRPr="008D448E" w14:paraId="593E2801"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5C665A3" w14:textId="77777777" w:rsidR="006407A3" w:rsidRPr="004470FF" w:rsidRDefault="006407A3"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735E27A" w14:textId="6A0B26A2" w:rsidR="006407A3" w:rsidRPr="008D448E" w:rsidRDefault="006407A3" w:rsidP="007E52DF">
            <w:pPr>
              <w:pStyle w:val="TableText"/>
            </w:pPr>
            <w:r>
              <w:t xml:space="preserve">1.00 ≤ value ≤ </w:t>
            </w:r>
            <w:r w:rsidRPr="00F8157B">
              <w:t>2</w:t>
            </w:r>
            <w:r>
              <w:t>.30</w:t>
            </w:r>
          </w:p>
        </w:tc>
      </w:tr>
      <w:tr w:rsidR="006407A3" w:rsidRPr="008D448E" w14:paraId="3DFF29DB"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091855B" w14:textId="77777777" w:rsidR="006407A3" w:rsidRPr="004470FF" w:rsidRDefault="006407A3"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9B5C97B" w14:textId="48D60A57" w:rsidR="006407A3" w:rsidRPr="008D448E" w:rsidRDefault="006407A3" w:rsidP="007E52DF">
            <w:pPr>
              <w:pStyle w:val="TableText"/>
            </w:pPr>
            <w:r>
              <w:t>Mandatory</w:t>
            </w:r>
          </w:p>
        </w:tc>
      </w:tr>
      <w:tr w:rsidR="006407A3" w:rsidRPr="008D448E" w14:paraId="0C474EB5"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0F59CEA" w14:textId="77777777" w:rsidR="006407A3" w:rsidRPr="004470FF" w:rsidRDefault="006407A3"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6577E40" w14:textId="77777777" w:rsidR="006407A3" w:rsidRDefault="006407A3" w:rsidP="00A54BD5">
            <w:pPr>
              <w:pStyle w:val="TableText"/>
            </w:pPr>
            <w:r>
              <w:t>Measured in a clinical setting</w:t>
            </w:r>
          </w:p>
          <w:p w14:paraId="69917520" w14:textId="49CE4E17" w:rsidR="006407A3" w:rsidRPr="008D448E" w:rsidRDefault="006407A3" w:rsidP="007E52DF">
            <w:pPr>
              <w:pStyle w:val="TableText"/>
            </w:pPr>
            <w:r>
              <w:t xml:space="preserve">For calculating </w:t>
            </w:r>
            <w:r w:rsidRPr="00CB6C0E">
              <w:t>BMI</w:t>
            </w:r>
          </w:p>
        </w:tc>
      </w:tr>
      <w:tr w:rsidR="006407A3" w:rsidRPr="008D448E" w14:paraId="44DC7A15" w14:textId="77777777" w:rsidTr="00A54BD5">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6A31AEC" w14:textId="77777777" w:rsidR="006407A3" w:rsidRPr="004470FF" w:rsidRDefault="006407A3"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A4C86CE" w14:textId="77777777" w:rsidR="006407A3" w:rsidRPr="008D448E" w:rsidRDefault="006407A3" w:rsidP="007E52DF">
            <w:pPr>
              <w:pStyle w:val="TableText"/>
            </w:pPr>
          </w:p>
        </w:tc>
      </w:tr>
    </w:tbl>
    <w:p w14:paraId="6368D571" w14:textId="77777777" w:rsidR="00650A90" w:rsidRDefault="00650A90" w:rsidP="006407A3">
      <w:pPr>
        <w:pStyle w:val="Heading3"/>
      </w:pPr>
      <w:r>
        <w:t xml:space="preserve">Body </w:t>
      </w:r>
      <w:bookmarkEnd w:id="42"/>
      <w:r>
        <w:t>mass index</w:t>
      </w:r>
    </w:p>
    <w:p w14:paraId="47D1405E" w14:textId="3EF0FFDF" w:rsidR="00650A90" w:rsidRDefault="00650A90" w:rsidP="006407A3">
      <w:pPr>
        <w:keepNext/>
      </w:pPr>
      <w:r>
        <w:t>An individual</w:t>
      </w:r>
      <w:r w:rsidR="00395E0C">
        <w:t>’</w:t>
      </w:r>
      <w:r>
        <w:t xml:space="preserve">s body mass index (BMI) is </w:t>
      </w:r>
      <w:r w:rsidR="00C46DF5">
        <w:t>calculated by weight in kilograms divided by height in metres squared (kg/m</w:t>
      </w:r>
      <w:r w:rsidR="00C46DF5">
        <w:rPr>
          <w:vertAlign w:val="superscript"/>
        </w:rPr>
        <w:t>2</w:t>
      </w:r>
      <w:r w:rsidR="00C46DF5">
        <w:t xml:space="preserve">). BMI is </w:t>
      </w:r>
      <w:r>
        <w:t>associated with CVD event risk independently of the presence of diabetes, blood pressure and lipid levels. BMI has been included in general population and diabetes primary prevention equations either as a categorical v</w:t>
      </w:r>
      <w:r w:rsidR="004470FF">
        <w:t>ariable or continuous variable.</w:t>
      </w:r>
    </w:p>
    <w:p w14:paraId="5CA74488" w14:textId="77777777" w:rsidR="008352F4" w:rsidRDefault="008352F4" w:rsidP="006407A3">
      <w:pPr>
        <w:keepNext/>
      </w:pPr>
    </w:p>
    <w:p w14:paraId="1F234020" w14:textId="77777777" w:rsidR="00FD4CAC" w:rsidRDefault="00FD4CAC" w:rsidP="00FD4CAC">
      <w:pPr>
        <w:keepNext/>
      </w:pPr>
      <w:r>
        <w:t>The continuous variable is defined as follows.</w:t>
      </w:r>
    </w:p>
    <w:p w14:paraId="265FBECE" w14:textId="77777777" w:rsidR="00FD4CAC" w:rsidRDefault="00FD4CAC" w:rsidP="00FD4CAC">
      <w:pPr>
        <w:keepNext/>
      </w:pP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7"/>
        <w:gridCol w:w="1844"/>
        <w:gridCol w:w="2351"/>
        <w:gridCol w:w="2096"/>
      </w:tblGrid>
      <w:tr w:rsidR="00FD4CAC" w:rsidRPr="008D448E" w14:paraId="1095064D" w14:textId="77777777" w:rsidTr="0046414A">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2279AA2" w14:textId="77777777" w:rsidR="00FD4CAC" w:rsidRPr="004470FF" w:rsidRDefault="00FD4CAC" w:rsidP="0046414A">
            <w:pPr>
              <w:pStyle w:val="TableText"/>
              <w:keepN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46422BB" w14:textId="77777777" w:rsidR="00FD4CAC" w:rsidRPr="008D448E" w:rsidRDefault="00FD4CAC" w:rsidP="0046414A">
            <w:pPr>
              <w:pStyle w:val="TableText"/>
              <w:keepNext/>
            </w:pPr>
            <w:r>
              <w:t>A m</w:t>
            </w:r>
            <w:r w:rsidRPr="00CB6C0E">
              <w:t xml:space="preserve">easure </w:t>
            </w:r>
            <w:r>
              <w:t xml:space="preserve">in </w:t>
            </w:r>
            <w:r w:rsidRPr="00CB6C0E">
              <w:t>kg/m</w:t>
            </w:r>
            <w:r>
              <w:rPr>
                <w:vertAlign w:val="superscript"/>
              </w:rPr>
              <w:t>2</w:t>
            </w:r>
            <w:r w:rsidRPr="00BD050D">
              <w:t xml:space="preserve"> </w:t>
            </w:r>
            <w:r>
              <w:t xml:space="preserve">derived from </w:t>
            </w:r>
            <w:r w:rsidRPr="00CB6C0E">
              <w:t>weight in</w:t>
            </w:r>
            <w:r>
              <w:t xml:space="preserve"> kilograms and height in metres</w:t>
            </w:r>
          </w:p>
        </w:tc>
      </w:tr>
      <w:tr w:rsidR="00FD4CAC" w:rsidRPr="008D448E" w14:paraId="4AA0D12B" w14:textId="77777777" w:rsidTr="0046414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01F6B73" w14:textId="77777777" w:rsidR="00FD4CAC" w:rsidRPr="004470FF" w:rsidRDefault="00FD4CAC" w:rsidP="0046414A">
            <w:pPr>
              <w:pStyle w:val="TableText"/>
              <w:keepN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1069EC74" w14:textId="77777777" w:rsidR="00FD4CAC" w:rsidRPr="008D448E" w:rsidRDefault="00FD4CAC" w:rsidP="0046414A">
            <w:pPr>
              <w:pStyle w:val="TableText"/>
              <w:keepNext/>
            </w:pPr>
          </w:p>
        </w:tc>
      </w:tr>
      <w:tr w:rsidR="00FD4CAC" w:rsidRPr="008D448E" w14:paraId="732C7AD6" w14:textId="77777777" w:rsidTr="0046414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6852CD9" w14:textId="77777777" w:rsidR="00FD4CAC" w:rsidRPr="004470FF" w:rsidRDefault="00FD4CAC" w:rsidP="0046414A">
            <w:pPr>
              <w:pStyle w:val="TableText"/>
              <w:keepN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0E164C97" w14:textId="77777777" w:rsidR="00FD4CAC" w:rsidRPr="006407A3" w:rsidRDefault="00FD4CAC" w:rsidP="0046414A">
            <w:pPr>
              <w:pStyle w:val="TableText"/>
              <w:keepNext/>
            </w:pPr>
            <w:r w:rsidRPr="007B116A">
              <w:t>Numeric</w:t>
            </w:r>
          </w:p>
        </w:tc>
        <w:tc>
          <w:tcPr>
            <w:tcW w:w="1475"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884E279" w14:textId="77777777" w:rsidR="00FD4CAC" w:rsidRPr="004470FF" w:rsidRDefault="00FD4CAC" w:rsidP="0046414A">
            <w:pPr>
              <w:pStyle w:val="TableText"/>
              <w:keepN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6CF0F679" w14:textId="77777777" w:rsidR="00FD4CAC" w:rsidRPr="008D448E" w:rsidRDefault="00FD4CAC" w:rsidP="0046414A">
            <w:pPr>
              <w:pStyle w:val="TableText"/>
              <w:keepNext/>
            </w:pPr>
            <w:r>
              <w:t>Value</w:t>
            </w:r>
          </w:p>
        </w:tc>
      </w:tr>
      <w:tr w:rsidR="00FD4CAC" w:rsidRPr="00F46627" w14:paraId="1F8038A0" w14:textId="77777777" w:rsidTr="0046414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C715FC1" w14:textId="77777777" w:rsidR="00FD4CAC" w:rsidRPr="004470FF" w:rsidRDefault="00FD4CAC" w:rsidP="0046414A">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747313E6" w14:textId="77777777" w:rsidR="00FD4CAC" w:rsidRPr="008D448E" w:rsidRDefault="00FD4CAC" w:rsidP="0046414A">
            <w:pPr>
              <w:pStyle w:val="TableText"/>
            </w:pPr>
            <w:r>
              <w:t>3</w:t>
            </w:r>
          </w:p>
        </w:tc>
        <w:tc>
          <w:tcPr>
            <w:tcW w:w="1475"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7DCF65DF" w14:textId="77777777" w:rsidR="00FD4CAC" w:rsidRPr="004470FF" w:rsidRDefault="00FD4CAC" w:rsidP="0046414A">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18841E04" w14:textId="77777777" w:rsidR="00FD4CAC" w:rsidRPr="00F46627" w:rsidRDefault="00FD4CAC" w:rsidP="0046414A">
            <w:pPr>
              <w:pStyle w:val="TableText"/>
            </w:pPr>
            <w:proofErr w:type="gramStart"/>
            <w:r w:rsidRPr="007B116A">
              <w:t>NN</w:t>
            </w:r>
            <w:r>
              <w:t>.N</w:t>
            </w:r>
            <w:proofErr w:type="gramEnd"/>
          </w:p>
        </w:tc>
      </w:tr>
      <w:tr w:rsidR="00FD4CAC" w:rsidRPr="008D448E" w14:paraId="08FB950D" w14:textId="77777777" w:rsidTr="0046414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5091C4F" w14:textId="77777777" w:rsidR="00FD4CAC" w:rsidRPr="004470FF" w:rsidRDefault="00FD4CAC" w:rsidP="0046414A">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98FAF6F" w14:textId="77777777" w:rsidR="00FD4CAC" w:rsidRPr="006407A3" w:rsidRDefault="00FD4CAC" w:rsidP="0046414A">
            <w:pPr>
              <w:pStyle w:val="TableText"/>
              <w:rPr>
                <w:spacing w:val="-2"/>
              </w:rPr>
            </w:pPr>
            <w:r w:rsidRPr="006407A3">
              <w:rPr>
                <w:spacing w:val="-2"/>
              </w:rPr>
              <w:t>BMI is a continuous variable for diabetes-specific primary prevention equations</w:t>
            </w:r>
          </w:p>
          <w:p w14:paraId="3849F9A9" w14:textId="77777777" w:rsidR="00FD4CAC" w:rsidRPr="008D448E" w:rsidRDefault="00FD4CAC" w:rsidP="0046414A">
            <w:pPr>
              <w:pStyle w:val="TableText"/>
            </w:pPr>
          </w:p>
        </w:tc>
      </w:tr>
      <w:tr w:rsidR="00FD4CAC" w:rsidRPr="008D448E" w14:paraId="5CD32315" w14:textId="77777777" w:rsidTr="0046414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691C03B" w14:textId="77777777" w:rsidR="00FD4CAC" w:rsidRPr="004470FF" w:rsidRDefault="00FD4CAC" w:rsidP="0046414A">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0886D3B" w14:textId="77777777" w:rsidR="00FD4CAC" w:rsidRPr="008D448E" w:rsidRDefault="00FD4CAC" w:rsidP="0046414A">
            <w:pPr>
              <w:pStyle w:val="TableText"/>
            </w:pPr>
            <w:r>
              <w:t>Mandatory</w:t>
            </w:r>
          </w:p>
        </w:tc>
      </w:tr>
      <w:tr w:rsidR="00FD4CAC" w:rsidRPr="008D448E" w14:paraId="5CDE1DDC" w14:textId="77777777" w:rsidTr="0046414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AF5D4BE" w14:textId="77777777" w:rsidR="00FD4CAC" w:rsidRPr="004470FF" w:rsidRDefault="00FD4CAC" w:rsidP="0046414A">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3EF3705" w14:textId="77777777" w:rsidR="00FD4CAC" w:rsidRDefault="00FD4CAC" w:rsidP="0046414A">
            <w:pPr>
              <w:pStyle w:val="TableText"/>
            </w:pPr>
            <w:r>
              <w:t>Calculated in</w:t>
            </w:r>
            <w:r w:rsidRPr="00CB6C0E">
              <w:t xml:space="preserve"> kg/m</w:t>
            </w:r>
            <w:r>
              <w:rPr>
                <w:vertAlign w:val="superscript"/>
              </w:rPr>
              <w:t>2</w:t>
            </w:r>
            <w:r w:rsidRPr="00BD050D">
              <w:t xml:space="preserve"> </w:t>
            </w:r>
            <w:r>
              <w:t>from height and weight measurements</w:t>
            </w:r>
          </w:p>
          <w:p w14:paraId="7B1E84EB" w14:textId="77777777" w:rsidR="00FD4CAC" w:rsidRPr="008D448E" w:rsidRDefault="00FD4CAC" w:rsidP="0046414A">
            <w:pPr>
              <w:pStyle w:val="TableText"/>
            </w:pPr>
            <w:r>
              <w:t>BMI is used as a continuous measure in the diabetes-specific primary prevention equations</w:t>
            </w:r>
          </w:p>
        </w:tc>
      </w:tr>
      <w:tr w:rsidR="00FD4CAC" w:rsidRPr="008D448E" w14:paraId="2B2A985E" w14:textId="77777777" w:rsidTr="0046414A">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502C6FBD" w14:textId="77777777" w:rsidR="00FD4CAC" w:rsidRPr="004470FF" w:rsidRDefault="00FD4CAC" w:rsidP="0046414A">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3C7984D" w14:textId="77777777" w:rsidR="00FD4CAC" w:rsidRPr="008D448E" w:rsidRDefault="00FD4CAC" w:rsidP="0046414A">
            <w:pPr>
              <w:pStyle w:val="TableText"/>
            </w:pPr>
          </w:p>
        </w:tc>
      </w:tr>
    </w:tbl>
    <w:p w14:paraId="2EDA6C38" w14:textId="77777777" w:rsidR="00FD4CAC" w:rsidRDefault="00FD4CAC" w:rsidP="006407A3">
      <w:pPr>
        <w:keepNext/>
      </w:pPr>
    </w:p>
    <w:p w14:paraId="17FCF6AA" w14:textId="698A9FF7" w:rsidR="008352F4" w:rsidRDefault="008352F4" w:rsidP="006407A3">
      <w:pPr>
        <w:keepNext/>
      </w:pPr>
      <w:r>
        <w:t xml:space="preserve">The categorical variable is </w:t>
      </w:r>
      <w:r w:rsidR="00FD4CAC">
        <w:t>derived from the continuous variable and defined as</w:t>
      </w:r>
      <w:r>
        <w:t xml:space="preserve"> follows.</w:t>
      </w:r>
    </w:p>
    <w:p w14:paraId="027266C0" w14:textId="77777777" w:rsidR="001142E6" w:rsidRDefault="001142E6" w:rsidP="006407A3">
      <w:pPr>
        <w:keepNext/>
      </w:pP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7"/>
        <w:gridCol w:w="1844"/>
        <w:gridCol w:w="2351"/>
        <w:gridCol w:w="2096"/>
      </w:tblGrid>
      <w:tr w:rsidR="001142E6" w:rsidRPr="008D448E" w14:paraId="03327A58" w14:textId="77777777" w:rsidTr="001142E6">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8F32719" w14:textId="77777777" w:rsidR="001142E6" w:rsidRPr="004470FF" w:rsidRDefault="001142E6" w:rsidP="00AA021D">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32F934A" w14:textId="2CAAC800" w:rsidR="001142E6" w:rsidRPr="008D448E" w:rsidRDefault="001142E6" w:rsidP="00AA021D">
            <w:pPr>
              <w:pStyle w:val="TableText"/>
            </w:pPr>
            <w:r>
              <w:t xml:space="preserve">Categorical variable </w:t>
            </w:r>
            <w:r w:rsidR="00A57504">
              <w:t>based on</w:t>
            </w:r>
            <w:r>
              <w:t xml:space="preserve"> a m</w:t>
            </w:r>
            <w:r w:rsidRPr="00CB6C0E">
              <w:t xml:space="preserve">easure </w:t>
            </w:r>
            <w:r>
              <w:t xml:space="preserve">in </w:t>
            </w:r>
            <w:r w:rsidRPr="00CB6C0E">
              <w:t>kg/m</w:t>
            </w:r>
            <w:r>
              <w:rPr>
                <w:vertAlign w:val="superscript"/>
              </w:rPr>
              <w:t>2</w:t>
            </w:r>
            <w:r w:rsidRPr="00BD050D">
              <w:t xml:space="preserve"> </w:t>
            </w:r>
            <w:r w:rsidR="00A57504">
              <w:t>derived from</w:t>
            </w:r>
            <w:r>
              <w:t xml:space="preserve"> </w:t>
            </w:r>
            <w:r w:rsidRPr="00CB6C0E">
              <w:t>weight in</w:t>
            </w:r>
            <w:r>
              <w:t xml:space="preserve"> kilograms and height in metres</w:t>
            </w:r>
          </w:p>
        </w:tc>
      </w:tr>
      <w:tr w:rsidR="001142E6" w:rsidRPr="008D448E" w14:paraId="162BB8CA" w14:textId="77777777" w:rsidTr="001142E6">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28C2A35" w14:textId="77777777" w:rsidR="001142E6" w:rsidRPr="004470FF" w:rsidRDefault="001142E6" w:rsidP="00AA021D">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163BFB7D" w14:textId="77777777" w:rsidR="001142E6" w:rsidRPr="008D448E" w:rsidRDefault="001142E6" w:rsidP="00AA021D">
            <w:pPr>
              <w:pStyle w:val="TableText"/>
            </w:pPr>
          </w:p>
        </w:tc>
      </w:tr>
      <w:tr w:rsidR="001142E6" w:rsidRPr="008D448E" w14:paraId="6661A791" w14:textId="77777777" w:rsidTr="001142E6">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65CD0B6" w14:textId="77777777" w:rsidR="001142E6" w:rsidRPr="004470FF" w:rsidRDefault="001142E6" w:rsidP="00AA021D">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51BF99DA" w14:textId="77777777" w:rsidR="001142E6" w:rsidRPr="006407A3" w:rsidRDefault="001142E6" w:rsidP="00AA021D">
            <w:pPr>
              <w:pStyle w:val="TableText"/>
            </w:pPr>
            <w:r w:rsidRPr="007B116A">
              <w:t>Numeric</w:t>
            </w:r>
          </w:p>
        </w:tc>
        <w:tc>
          <w:tcPr>
            <w:tcW w:w="1475"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3E7E21D4" w14:textId="77777777" w:rsidR="001142E6" w:rsidRPr="004470FF" w:rsidRDefault="001142E6" w:rsidP="00AA021D">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07E48F7F" w14:textId="77777777" w:rsidR="001142E6" w:rsidRPr="008D448E" w:rsidRDefault="001142E6" w:rsidP="00AA021D">
            <w:pPr>
              <w:pStyle w:val="TableText"/>
            </w:pPr>
            <w:r>
              <w:t>Value</w:t>
            </w:r>
          </w:p>
        </w:tc>
      </w:tr>
      <w:tr w:rsidR="001142E6" w:rsidRPr="00F46627" w14:paraId="582F5725" w14:textId="77777777" w:rsidTr="001142E6">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B665ADD" w14:textId="77777777" w:rsidR="001142E6" w:rsidRPr="004470FF" w:rsidRDefault="001142E6">
            <w:pPr>
              <w:pStyle w:val="TableText"/>
              <w:rPr>
                <w:b/>
              </w:rPr>
            </w:pPr>
            <w:r w:rsidRPr="004470FF">
              <w:rPr>
                <w:b/>
              </w:rPr>
              <w:lastRenderedPageBreak/>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30B8AD6C" w14:textId="1F691C11" w:rsidR="001142E6" w:rsidRPr="008D448E" w:rsidRDefault="00FD4CAC">
            <w:pPr>
              <w:pStyle w:val="TableText"/>
            </w:pPr>
            <w:r>
              <w:t>1</w:t>
            </w:r>
          </w:p>
        </w:tc>
        <w:tc>
          <w:tcPr>
            <w:tcW w:w="1475"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37E1D99B" w14:textId="77777777" w:rsidR="001142E6" w:rsidRPr="004470FF" w:rsidRDefault="001142E6">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6E65F32F" w14:textId="71DF2159" w:rsidR="001142E6" w:rsidRPr="00F46627" w:rsidRDefault="001142E6">
            <w:pPr>
              <w:pStyle w:val="TableText"/>
            </w:pPr>
            <w:r w:rsidRPr="007B116A">
              <w:t>N</w:t>
            </w:r>
          </w:p>
        </w:tc>
      </w:tr>
      <w:tr w:rsidR="001142E6" w:rsidRPr="008D448E" w14:paraId="32906E54" w14:textId="77777777" w:rsidTr="001142E6">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B2F170F" w14:textId="77777777" w:rsidR="001142E6" w:rsidRPr="004470FF" w:rsidRDefault="001142E6">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246AC2C" w14:textId="0A96A4E5" w:rsidR="001142E6" w:rsidRDefault="001142E6">
            <w:pPr>
              <w:pStyle w:val="TableText"/>
            </w:pPr>
            <w:r>
              <w:t xml:space="preserve">For </w:t>
            </w:r>
            <w:r w:rsidR="00CA4E0B">
              <w:t>general population primary prevention</w:t>
            </w:r>
            <w:r>
              <w:t xml:space="preserve"> equations, BMI is a categorical variable:</w:t>
            </w:r>
          </w:p>
          <w:p w14:paraId="6C47BAA5" w14:textId="77777777" w:rsidR="001142E6" w:rsidRPr="000472BE" w:rsidRDefault="001142E6">
            <w:pPr>
              <w:pStyle w:val="TableText"/>
            </w:pPr>
            <w:r w:rsidRPr="000472BE">
              <w:t xml:space="preserve">0 </w:t>
            </w:r>
            <w:r>
              <w:t xml:space="preserve">= </w:t>
            </w:r>
            <w:r w:rsidRPr="000472BE">
              <w:t>18.5</w:t>
            </w:r>
            <w:r>
              <w:t xml:space="preserve"> ≤ value &lt; </w:t>
            </w:r>
            <w:r w:rsidRPr="000472BE">
              <w:t>25</w:t>
            </w:r>
            <w:r>
              <w:t>.0</w:t>
            </w:r>
          </w:p>
          <w:p w14:paraId="16D041A9" w14:textId="77777777" w:rsidR="001142E6" w:rsidRDefault="001142E6">
            <w:pPr>
              <w:pStyle w:val="TableText"/>
            </w:pPr>
            <w:r w:rsidRPr="000472BE">
              <w:t xml:space="preserve">1 </w:t>
            </w:r>
            <w:r>
              <w:t xml:space="preserve">= value </w:t>
            </w:r>
            <w:r w:rsidRPr="000472BE">
              <w:t>&lt;18.5</w:t>
            </w:r>
          </w:p>
          <w:p w14:paraId="4E73A239" w14:textId="77777777" w:rsidR="001142E6" w:rsidRDefault="001142E6">
            <w:pPr>
              <w:pStyle w:val="TableText"/>
            </w:pPr>
            <w:r>
              <w:t xml:space="preserve">2 = </w:t>
            </w:r>
            <w:r w:rsidRPr="000472BE">
              <w:t>25</w:t>
            </w:r>
            <w:r>
              <w:t xml:space="preserve">.0 ≤ value &lt; </w:t>
            </w:r>
            <w:r w:rsidRPr="000472BE">
              <w:t>30</w:t>
            </w:r>
            <w:r>
              <w:t>.0</w:t>
            </w:r>
          </w:p>
          <w:p w14:paraId="45233687" w14:textId="77777777" w:rsidR="001142E6" w:rsidRDefault="001142E6">
            <w:pPr>
              <w:pStyle w:val="TableText"/>
            </w:pPr>
            <w:r>
              <w:t xml:space="preserve">3 = </w:t>
            </w:r>
            <w:r w:rsidRPr="000472BE">
              <w:t>30</w:t>
            </w:r>
            <w:r>
              <w:t xml:space="preserve">.0 ≤ value &lt; </w:t>
            </w:r>
            <w:r w:rsidRPr="000472BE">
              <w:t>35</w:t>
            </w:r>
            <w:r>
              <w:t>.0</w:t>
            </w:r>
          </w:p>
          <w:p w14:paraId="72EFC05E" w14:textId="77777777" w:rsidR="001142E6" w:rsidRDefault="001142E6">
            <w:pPr>
              <w:pStyle w:val="TableText"/>
            </w:pPr>
            <w:r>
              <w:t xml:space="preserve">4 = </w:t>
            </w:r>
            <w:r w:rsidRPr="000472BE">
              <w:t>35</w:t>
            </w:r>
            <w:r>
              <w:t xml:space="preserve">.0 ≤ value &lt; </w:t>
            </w:r>
            <w:r w:rsidRPr="000472BE">
              <w:t>40</w:t>
            </w:r>
            <w:r>
              <w:t>.0</w:t>
            </w:r>
          </w:p>
          <w:p w14:paraId="72B3C27E" w14:textId="77777777" w:rsidR="001142E6" w:rsidRPr="000472BE" w:rsidRDefault="001142E6">
            <w:pPr>
              <w:pStyle w:val="TableText"/>
            </w:pPr>
            <w:r>
              <w:t xml:space="preserve">5 = </w:t>
            </w:r>
            <w:r w:rsidRPr="000472BE">
              <w:t>40</w:t>
            </w:r>
            <w:r>
              <w:t>.0 ≤ value</w:t>
            </w:r>
          </w:p>
          <w:p w14:paraId="75394EC9" w14:textId="77777777" w:rsidR="001142E6" w:rsidRPr="008D448E" w:rsidRDefault="001142E6">
            <w:pPr>
              <w:pStyle w:val="TableText"/>
            </w:pPr>
            <w:r>
              <w:t xml:space="preserve">6 = </w:t>
            </w:r>
            <w:r w:rsidRPr="000472BE">
              <w:t>unknown</w:t>
            </w:r>
          </w:p>
        </w:tc>
      </w:tr>
      <w:tr w:rsidR="001142E6" w:rsidRPr="008D448E" w14:paraId="3768A4F3" w14:textId="77777777" w:rsidTr="001142E6">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9E56959" w14:textId="77777777" w:rsidR="001142E6" w:rsidRPr="004470FF" w:rsidRDefault="001142E6">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1077D8F" w14:textId="77777777" w:rsidR="001142E6" w:rsidRPr="008D448E" w:rsidRDefault="001142E6">
            <w:pPr>
              <w:pStyle w:val="TableText"/>
            </w:pPr>
            <w:r>
              <w:t>Mandatory</w:t>
            </w:r>
          </w:p>
        </w:tc>
      </w:tr>
      <w:tr w:rsidR="001142E6" w:rsidRPr="008D448E" w14:paraId="4F506C89" w14:textId="77777777" w:rsidTr="001142E6">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48CDB7D" w14:textId="77777777" w:rsidR="001142E6" w:rsidRPr="004470FF" w:rsidRDefault="001142E6">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ACD22C0" w14:textId="1AA5A05E" w:rsidR="001142E6" w:rsidRDefault="001142E6">
            <w:pPr>
              <w:pStyle w:val="TableText"/>
            </w:pPr>
            <w:r>
              <w:t>Derived from calculation in</w:t>
            </w:r>
            <w:r w:rsidRPr="00CB6C0E">
              <w:t xml:space="preserve"> kg/m</w:t>
            </w:r>
            <w:r>
              <w:rPr>
                <w:vertAlign w:val="superscript"/>
              </w:rPr>
              <w:t>2</w:t>
            </w:r>
            <w:r w:rsidRPr="00BD050D">
              <w:t xml:space="preserve"> </w:t>
            </w:r>
            <w:r>
              <w:t>from height and weight measurements</w:t>
            </w:r>
          </w:p>
          <w:p w14:paraId="52E8FD76" w14:textId="73A7E55D" w:rsidR="001142E6" w:rsidRPr="008D448E" w:rsidRDefault="001142E6">
            <w:pPr>
              <w:pStyle w:val="TableText"/>
            </w:pPr>
            <w:r>
              <w:t>BMI is used as a categorical variable in the general population primary prevention equation and allows for BMI status to be missing or unknown</w:t>
            </w:r>
          </w:p>
        </w:tc>
      </w:tr>
      <w:tr w:rsidR="001142E6" w:rsidRPr="008D448E" w14:paraId="0C323E26" w14:textId="77777777" w:rsidTr="001142E6">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5B60A759" w14:textId="77777777" w:rsidR="001142E6" w:rsidRPr="004470FF" w:rsidRDefault="001142E6">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600EA89" w14:textId="77777777" w:rsidR="001142E6" w:rsidRPr="008D448E" w:rsidRDefault="001142E6">
            <w:pPr>
              <w:pStyle w:val="TableText"/>
            </w:pPr>
          </w:p>
        </w:tc>
      </w:tr>
    </w:tbl>
    <w:p w14:paraId="0E0E6ADD" w14:textId="77777777" w:rsidR="00650A90" w:rsidRDefault="00650A90" w:rsidP="006407A3">
      <w:pPr>
        <w:pStyle w:val="Heading3"/>
      </w:pPr>
      <w:r>
        <w:t>Total cholesterol</w:t>
      </w:r>
    </w:p>
    <w:p w14:paraId="5A26649E" w14:textId="6049B2EC" w:rsidR="00650A90" w:rsidRDefault="00650A90" w:rsidP="006407A3">
      <w:r>
        <w:t>A single non-fasting total cholesterol (TC) and high-density lipoprotein cholesterol (HDL</w:t>
      </w:r>
      <w:r w:rsidR="00550DBF">
        <w:t>-C</w:t>
      </w:r>
      <w:r>
        <w:t>)</w:t>
      </w:r>
      <w:r w:rsidR="00133A10">
        <w:t xml:space="preserve"> test</w:t>
      </w:r>
      <w:r>
        <w:t xml:space="preserve"> is required to calculate a </w:t>
      </w:r>
      <w:proofErr w:type="gramStart"/>
      <w:r>
        <w:t>TC</w:t>
      </w:r>
      <w:r w:rsidR="00550DBF">
        <w:t>:</w:t>
      </w:r>
      <w:r>
        <w:t>HDL</w:t>
      </w:r>
      <w:proofErr w:type="gramEnd"/>
      <w:r w:rsidR="00550DBF">
        <w:t>-C</w:t>
      </w:r>
      <w:r>
        <w:t xml:space="preserve"> ratio in th</w:t>
      </w:r>
      <w:r w:rsidR="004470FF">
        <w:t>e primary prevention equations.</w:t>
      </w:r>
    </w:p>
    <w:p w14:paraId="47D31A68" w14:textId="77777777" w:rsidR="004470FF" w:rsidRDefault="004470FF" w:rsidP="006407A3"/>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6407A3" w:rsidRPr="008D448E" w14:paraId="7987599B"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2E1FB8A6" w14:textId="77777777" w:rsidR="006407A3" w:rsidRPr="004470FF" w:rsidRDefault="006407A3"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1FB876F" w14:textId="71319BC6" w:rsidR="006407A3" w:rsidRPr="008D448E" w:rsidRDefault="006407A3" w:rsidP="007E52DF">
            <w:pPr>
              <w:pStyle w:val="TableText"/>
            </w:pPr>
            <w:r>
              <w:t xml:space="preserve">A </w:t>
            </w:r>
            <w:r w:rsidRPr="00CB6C0E">
              <w:t>single non-fasting</w:t>
            </w:r>
            <w:r>
              <w:t xml:space="preserve"> total cholesterol measurement in mmol/L</w:t>
            </w:r>
          </w:p>
        </w:tc>
      </w:tr>
      <w:tr w:rsidR="006407A3" w:rsidRPr="008D448E" w14:paraId="21CB3424"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885768F" w14:textId="77777777" w:rsidR="006407A3" w:rsidRPr="004470FF" w:rsidRDefault="006407A3"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13223155" w14:textId="1731E1E2" w:rsidR="006407A3" w:rsidRPr="008D448E" w:rsidRDefault="006407A3" w:rsidP="007E52DF">
            <w:pPr>
              <w:pStyle w:val="TableText"/>
            </w:pPr>
            <w:r>
              <w:t>NZPOCS</w:t>
            </w:r>
          </w:p>
        </w:tc>
      </w:tr>
      <w:tr w:rsidR="006407A3" w:rsidRPr="008D448E" w14:paraId="6D4D50A0"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B9C0DA4" w14:textId="77777777" w:rsidR="006407A3" w:rsidRPr="004470FF" w:rsidRDefault="006407A3" w:rsidP="007E52D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7CC407C5" w14:textId="49C5629E" w:rsidR="006407A3" w:rsidRPr="008D448E" w:rsidRDefault="006407A3" w:rsidP="007E52DF">
            <w:pPr>
              <w:pStyle w:val="TableText"/>
            </w:pPr>
            <w:r w:rsidRPr="007B116A">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76AFD71" w14:textId="77777777" w:rsidR="006407A3" w:rsidRPr="004470FF" w:rsidRDefault="006407A3" w:rsidP="007E52DF">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2E8988AE" w14:textId="03F1BD7A" w:rsidR="006407A3" w:rsidRPr="008D448E" w:rsidRDefault="006407A3" w:rsidP="007E52DF">
            <w:pPr>
              <w:pStyle w:val="TableText"/>
            </w:pPr>
            <w:r>
              <w:t>Value</w:t>
            </w:r>
          </w:p>
        </w:tc>
      </w:tr>
      <w:tr w:rsidR="006407A3" w:rsidRPr="00F46627" w14:paraId="47FA22C3"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A1B0D06" w14:textId="77777777" w:rsidR="006407A3" w:rsidRPr="004470FF" w:rsidRDefault="006407A3"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0ACF859C" w14:textId="34652848" w:rsidR="006407A3" w:rsidRPr="008D448E" w:rsidRDefault="006407A3" w:rsidP="007E52DF">
            <w:pPr>
              <w:pStyle w:val="TableText"/>
            </w:pPr>
            <w:r>
              <w:t>4</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564570C3" w14:textId="77777777" w:rsidR="006407A3" w:rsidRPr="004470FF" w:rsidRDefault="006407A3" w:rsidP="007E52DF">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4103C06E" w14:textId="43BF848A" w:rsidR="006407A3" w:rsidRPr="00F46627" w:rsidRDefault="006407A3" w:rsidP="007E52DF">
            <w:pPr>
              <w:pStyle w:val="TableText"/>
            </w:pPr>
            <w:r w:rsidRPr="007B116A">
              <w:t>NN</w:t>
            </w:r>
            <w:r>
              <w:t>N.N</w:t>
            </w:r>
          </w:p>
        </w:tc>
      </w:tr>
      <w:tr w:rsidR="006407A3" w:rsidRPr="008D448E" w14:paraId="6DA103AE"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21474C5" w14:textId="77777777" w:rsidR="006407A3" w:rsidRPr="004470FF" w:rsidRDefault="006407A3"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5D092EA" w14:textId="092168CA" w:rsidR="006407A3" w:rsidRPr="008D448E" w:rsidRDefault="006407A3" w:rsidP="007E52DF">
            <w:pPr>
              <w:pStyle w:val="TableText"/>
            </w:pPr>
            <w:r w:rsidRPr="00BD2987">
              <w:t>1</w:t>
            </w:r>
            <w:r>
              <w:t>.0 ≤ value</w:t>
            </w:r>
            <w:r w:rsidRPr="00BD2987">
              <w:t xml:space="preserve"> </w:t>
            </w:r>
            <w:r>
              <w:t xml:space="preserve">≤ </w:t>
            </w:r>
            <w:r w:rsidRPr="00BD2987">
              <w:t>103.6</w:t>
            </w:r>
          </w:p>
        </w:tc>
      </w:tr>
      <w:tr w:rsidR="006407A3" w:rsidRPr="008D448E" w14:paraId="417C93FD"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51720E5" w14:textId="77777777" w:rsidR="006407A3" w:rsidRPr="004470FF" w:rsidRDefault="006407A3"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355E69A" w14:textId="61A5D973" w:rsidR="006407A3" w:rsidRPr="008D448E" w:rsidRDefault="006407A3" w:rsidP="007E52DF">
            <w:pPr>
              <w:pStyle w:val="TableText"/>
            </w:pPr>
            <w:r>
              <w:t>Mandatory</w:t>
            </w:r>
          </w:p>
        </w:tc>
      </w:tr>
      <w:tr w:rsidR="006407A3" w:rsidRPr="008D448E" w14:paraId="7A44E004"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34615EB" w14:textId="77777777" w:rsidR="006407A3" w:rsidRPr="004470FF" w:rsidRDefault="006407A3"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293E9DE" w14:textId="77777777" w:rsidR="006407A3" w:rsidRDefault="006407A3" w:rsidP="00A54BD5">
            <w:pPr>
              <w:pStyle w:val="TableText"/>
            </w:pPr>
            <w:r>
              <w:t>Laboratory test result with NZPOCS code</w:t>
            </w:r>
          </w:p>
          <w:p w14:paraId="12C3BD61" w14:textId="0661EB2B" w:rsidR="006407A3" w:rsidRPr="008D448E" w:rsidRDefault="006407A3" w:rsidP="007E52DF">
            <w:pPr>
              <w:pStyle w:val="TableText"/>
            </w:pPr>
            <w:r>
              <w:t xml:space="preserve">For calculation of </w:t>
            </w:r>
            <w:proofErr w:type="gramStart"/>
            <w:r>
              <w:t>TC</w:t>
            </w:r>
            <w:r w:rsidR="00550DBF">
              <w:t>:</w:t>
            </w:r>
            <w:r>
              <w:t>HDL</w:t>
            </w:r>
            <w:proofErr w:type="gramEnd"/>
            <w:r w:rsidR="00550DBF">
              <w:t>-C</w:t>
            </w:r>
          </w:p>
        </w:tc>
      </w:tr>
      <w:tr w:rsidR="006407A3" w:rsidRPr="008D448E" w14:paraId="7C29E0C3" w14:textId="77777777" w:rsidTr="007E52D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F52F8FB" w14:textId="77777777" w:rsidR="006407A3" w:rsidRPr="004470FF" w:rsidRDefault="006407A3"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D2694DD" w14:textId="77777777" w:rsidR="006407A3" w:rsidRPr="008D448E" w:rsidRDefault="006407A3" w:rsidP="007E52DF">
            <w:pPr>
              <w:pStyle w:val="TableText"/>
            </w:pPr>
          </w:p>
        </w:tc>
      </w:tr>
    </w:tbl>
    <w:p w14:paraId="5BC0AFE9" w14:textId="77777777" w:rsidR="00650A90" w:rsidRDefault="00650A90" w:rsidP="006407A3">
      <w:pPr>
        <w:pStyle w:val="Heading3"/>
      </w:pPr>
      <w:bookmarkStart w:id="43" w:name="_Toc522522085"/>
      <w:r>
        <w:t>High-density lipoprotein cholesterol</w:t>
      </w:r>
      <w:bookmarkEnd w:id="43"/>
    </w:p>
    <w:p w14:paraId="0A296AF8" w14:textId="75878584" w:rsidR="00650A90" w:rsidRDefault="00650A90" w:rsidP="006407A3">
      <w:r>
        <w:t xml:space="preserve">A single non-fasting total cholesterol (TC) and high-density lipoprotein cholesterol (HDL) is required to calculate a </w:t>
      </w:r>
      <w:proofErr w:type="gramStart"/>
      <w:r>
        <w:t>TC</w:t>
      </w:r>
      <w:r w:rsidR="00550DBF">
        <w:t>:</w:t>
      </w:r>
      <w:r>
        <w:t>HDL</w:t>
      </w:r>
      <w:proofErr w:type="gramEnd"/>
      <w:r w:rsidR="00550DBF">
        <w:t>-C</w:t>
      </w:r>
      <w:r>
        <w:t xml:space="preserve"> ratio in th</w:t>
      </w:r>
      <w:r w:rsidR="004470FF">
        <w:t>e primary prevention equations.</w:t>
      </w:r>
    </w:p>
    <w:p w14:paraId="391EFB53" w14:textId="77777777" w:rsidR="004470FF" w:rsidRDefault="004470FF" w:rsidP="006407A3"/>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6407A3" w:rsidRPr="008D448E" w14:paraId="4A65C593"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30CF25F9" w14:textId="77777777" w:rsidR="006407A3" w:rsidRPr="004470FF" w:rsidRDefault="006407A3"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5F09A8D" w14:textId="64A29580" w:rsidR="006407A3" w:rsidRPr="008D448E" w:rsidRDefault="006407A3" w:rsidP="007E52DF">
            <w:pPr>
              <w:pStyle w:val="TableText"/>
            </w:pPr>
            <w:r w:rsidRPr="00CB6C0E">
              <w:t xml:space="preserve">Use a single non-fasting </w:t>
            </w:r>
            <w:r>
              <w:t>HDL</w:t>
            </w:r>
            <w:r w:rsidR="00550DBF">
              <w:t>-C</w:t>
            </w:r>
            <w:r w:rsidRPr="00CB6C0E">
              <w:t xml:space="preserve"> </w:t>
            </w:r>
            <w:r>
              <w:t>measurement in mmol/L</w:t>
            </w:r>
          </w:p>
        </w:tc>
      </w:tr>
      <w:tr w:rsidR="006407A3" w:rsidRPr="008D448E" w14:paraId="4576420E"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D5974A4" w14:textId="77777777" w:rsidR="006407A3" w:rsidRPr="004470FF" w:rsidRDefault="006407A3"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2BDC820F" w14:textId="033E0A47" w:rsidR="006407A3" w:rsidRPr="008D448E" w:rsidRDefault="006407A3" w:rsidP="007E52DF">
            <w:pPr>
              <w:pStyle w:val="TableText"/>
            </w:pPr>
            <w:r>
              <w:t>NZPOCS</w:t>
            </w:r>
          </w:p>
        </w:tc>
      </w:tr>
      <w:tr w:rsidR="006407A3" w:rsidRPr="008D448E" w14:paraId="6B7D4C07"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4D0ED4C" w14:textId="77777777" w:rsidR="006407A3" w:rsidRPr="004470FF" w:rsidRDefault="006407A3" w:rsidP="007E52D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3E2C7120" w14:textId="0DC53571" w:rsidR="006407A3" w:rsidRPr="008D448E" w:rsidRDefault="006407A3" w:rsidP="007E52DF">
            <w:pPr>
              <w:pStyle w:val="TableText"/>
            </w:pPr>
            <w:r w:rsidRPr="007B116A">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9FC9D69" w14:textId="77777777" w:rsidR="006407A3" w:rsidRPr="004470FF" w:rsidRDefault="006407A3" w:rsidP="007E52DF">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7B2F953D" w14:textId="5E27038C" w:rsidR="006407A3" w:rsidRPr="008D448E" w:rsidRDefault="006407A3" w:rsidP="007E52DF">
            <w:pPr>
              <w:pStyle w:val="TableText"/>
            </w:pPr>
            <w:r>
              <w:t>Value</w:t>
            </w:r>
          </w:p>
        </w:tc>
      </w:tr>
      <w:tr w:rsidR="006407A3" w:rsidRPr="00F46627" w14:paraId="50550B0D"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0DAA6F3" w14:textId="77777777" w:rsidR="006407A3" w:rsidRPr="004470FF" w:rsidRDefault="006407A3"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1F437C3D" w14:textId="619FDB82" w:rsidR="006407A3" w:rsidRPr="008D448E" w:rsidRDefault="006407A3" w:rsidP="007E52DF">
            <w:pPr>
              <w:pStyle w:val="TableText"/>
            </w:pPr>
            <w:r>
              <w:t>3</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7B020055" w14:textId="77777777" w:rsidR="006407A3" w:rsidRPr="004470FF" w:rsidRDefault="006407A3" w:rsidP="007E52DF">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16D3A45C" w14:textId="2AD3288D" w:rsidR="006407A3" w:rsidRPr="00F46627" w:rsidRDefault="006407A3" w:rsidP="007E52DF">
            <w:pPr>
              <w:pStyle w:val="TableText"/>
            </w:pPr>
            <w:proofErr w:type="gramStart"/>
            <w:r w:rsidRPr="007B116A">
              <w:t>NN</w:t>
            </w:r>
            <w:r>
              <w:t>.N</w:t>
            </w:r>
            <w:proofErr w:type="gramEnd"/>
          </w:p>
        </w:tc>
      </w:tr>
      <w:tr w:rsidR="006407A3" w:rsidRPr="008D448E" w14:paraId="115BD048"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995E350" w14:textId="77777777" w:rsidR="006407A3" w:rsidRPr="004470FF" w:rsidRDefault="006407A3"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63E5BFD" w14:textId="6DF67BE1" w:rsidR="006407A3" w:rsidRPr="008D448E" w:rsidRDefault="00AA021D" w:rsidP="007E52DF">
            <w:pPr>
              <w:pStyle w:val="TableText"/>
            </w:pPr>
            <w:r>
              <w:t>0.13</w:t>
            </w:r>
            <w:r w:rsidR="006407A3" w:rsidRPr="00E22002">
              <w:t xml:space="preserve"> </w:t>
            </w:r>
            <w:r w:rsidR="006407A3">
              <w:t>≤ value</w:t>
            </w:r>
            <w:r w:rsidR="006407A3" w:rsidRPr="00E22002">
              <w:t xml:space="preserve"> </w:t>
            </w:r>
            <w:r w:rsidR="006407A3">
              <w:t xml:space="preserve">≤ </w:t>
            </w:r>
            <w:r w:rsidR="006407A3" w:rsidRPr="00E22002">
              <w:t>51.8</w:t>
            </w:r>
          </w:p>
        </w:tc>
      </w:tr>
      <w:tr w:rsidR="006407A3" w:rsidRPr="008D448E" w14:paraId="310802A9"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A5205B1" w14:textId="77777777" w:rsidR="006407A3" w:rsidRPr="004470FF" w:rsidRDefault="006407A3"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7B11F3C" w14:textId="7800E2E5" w:rsidR="006407A3" w:rsidRPr="008D448E" w:rsidRDefault="006407A3" w:rsidP="007E52DF">
            <w:pPr>
              <w:pStyle w:val="TableText"/>
            </w:pPr>
            <w:r>
              <w:t>Mandatory</w:t>
            </w:r>
          </w:p>
        </w:tc>
      </w:tr>
      <w:tr w:rsidR="006407A3" w:rsidRPr="008D448E" w14:paraId="1919D7E7"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B5ADA46" w14:textId="77777777" w:rsidR="006407A3" w:rsidRPr="004470FF" w:rsidRDefault="006407A3" w:rsidP="007E52DF">
            <w:pPr>
              <w:pStyle w:val="TableText"/>
              <w:rPr>
                <w:b/>
              </w:rPr>
            </w:pPr>
            <w:r w:rsidRPr="004470FF">
              <w:rPr>
                <w:b/>
              </w:rPr>
              <w:lastRenderedPageBreak/>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50D66F9" w14:textId="77777777" w:rsidR="006407A3" w:rsidRDefault="006407A3" w:rsidP="00A54BD5">
            <w:pPr>
              <w:pStyle w:val="TableText"/>
            </w:pPr>
            <w:r>
              <w:t>Laboratory test result with NZPOCS code</w:t>
            </w:r>
          </w:p>
          <w:p w14:paraId="077470D9" w14:textId="23FB4D78" w:rsidR="006407A3" w:rsidRPr="008D448E" w:rsidRDefault="006407A3" w:rsidP="007E52DF">
            <w:pPr>
              <w:pStyle w:val="TableText"/>
            </w:pPr>
            <w:r>
              <w:t xml:space="preserve">For calculation of </w:t>
            </w:r>
            <w:proofErr w:type="gramStart"/>
            <w:r>
              <w:t>TC</w:t>
            </w:r>
            <w:r w:rsidR="00550DBF">
              <w:t>:</w:t>
            </w:r>
            <w:r>
              <w:t>HDL</w:t>
            </w:r>
            <w:proofErr w:type="gramEnd"/>
            <w:r w:rsidR="00550DBF">
              <w:t>-C</w:t>
            </w:r>
          </w:p>
        </w:tc>
      </w:tr>
      <w:tr w:rsidR="006407A3" w:rsidRPr="008D448E" w14:paraId="6C00E0BC" w14:textId="77777777" w:rsidTr="007E52D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0F7C6CB2" w14:textId="77777777" w:rsidR="006407A3" w:rsidRPr="004470FF" w:rsidRDefault="006407A3"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362AFD9" w14:textId="77777777" w:rsidR="006407A3" w:rsidRPr="008D448E" w:rsidRDefault="006407A3" w:rsidP="007E52DF">
            <w:pPr>
              <w:pStyle w:val="TableText"/>
            </w:pPr>
          </w:p>
        </w:tc>
      </w:tr>
    </w:tbl>
    <w:p w14:paraId="1E6202B1" w14:textId="77777777" w:rsidR="00650A90" w:rsidRDefault="00650A90" w:rsidP="006407A3">
      <w:pPr>
        <w:pStyle w:val="Heading3"/>
      </w:pPr>
      <w:bookmarkStart w:id="44" w:name="_Toc522522086"/>
      <w:r>
        <w:t>Non fasting total cholesterol to high-density lipoprotein cholesterol ratio</w:t>
      </w:r>
    </w:p>
    <w:p w14:paraId="310E04DD" w14:textId="7AD7A944" w:rsidR="00650A90" w:rsidRDefault="00650A90" w:rsidP="006407A3">
      <w:r>
        <w:t>For CVD risk prediction, the non-fasting total cholesterol to high-density lipoprotein cholesterol ratio (</w:t>
      </w:r>
      <w:proofErr w:type="gramStart"/>
      <w:r>
        <w:t>TC</w:t>
      </w:r>
      <w:r w:rsidR="00550DBF">
        <w:t>:</w:t>
      </w:r>
      <w:r>
        <w:t>HDL</w:t>
      </w:r>
      <w:proofErr w:type="gramEnd"/>
      <w:r w:rsidR="00550DBF">
        <w:t>-C</w:t>
      </w:r>
      <w:r>
        <w:t>) is a better predictor of CVD event risk than any of the other lipid fractions.</w:t>
      </w:r>
    </w:p>
    <w:p w14:paraId="78BA8261" w14:textId="77777777" w:rsidR="004470FF" w:rsidRDefault="004470FF" w:rsidP="006407A3"/>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4470FF" w:rsidRPr="008D448E" w14:paraId="7E9D5A45"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6658637" w14:textId="77777777" w:rsidR="004470FF" w:rsidRPr="004470FF" w:rsidRDefault="004470FF"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FDA8E98" w14:textId="6A37B2E6" w:rsidR="004470FF" w:rsidRPr="008D448E" w:rsidRDefault="006407A3" w:rsidP="007E52DF">
            <w:pPr>
              <w:pStyle w:val="TableText"/>
            </w:pPr>
            <w:r>
              <w:t>S</w:t>
            </w:r>
            <w:r w:rsidRPr="00CB6C0E">
              <w:t>ingle non-fasting total cholesterol to high-density lipoprotein cholesterol (</w:t>
            </w:r>
            <w:proofErr w:type="gramStart"/>
            <w:r w:rsidRPr="00CB6C0E">
              <w:t>TC:HDL</w:t>
            </w:r>
            <w:proofErr w:type="gramEnd"/>
            <w:r w:rsidRPr="00CB6C0E">
              <w:t>-C) ratio</w:t>
            </w:r>
          </w:p>
        </w:tc>
      </w:tr>
      <w:tr w:rsidR="004470FF" w:rsidRPr="008D448E" w14:paraId="34049008"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59D0F69" w14:textId="77777777" w:rsidR="004470FF" w:rsidRPr="004470FF" w:rsidRDefault="004470FF"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25652336" w14:textId="77777777" w:rsidR="004470FF" w:rsidRPr="008D448E" w:rsidRDefault="004470FF" w:rsidP="007E52DF">
            <w:pPr>
              <w:pStyle w:val="TableText"/>
            </w:pPr>
          </w:p>
        </w:tc>
      </w:tr>
      <w:tr w:rsidR="006407A3" w:rsidRPr="008D448E" w14:paraId="73AEA1D2"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E164C56" w14:textId="77777777" w:rsidR="006407A3" w:rsidRPr="004470FF" w:rsidRDefault="006407A3" w:rsidP="007E52D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287B5962" w14:textId="4547D343" w:rsidR="006407A3" w:rsidRPr="008D448E" w:rsidRDefault="006407A3" w:rsidP="007E52DF">
            <w:pPr>
              <w:pStyle w:val="TableText"/>
            </w:pPr>
            <w:r w:rsidRPr="007B116A">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1F20CBC9" w14:textId="77777777" w:rsidR="006407A3" w:rsidRPr="004470FF" w:rsidRDefault="006407A3" w:rsidP="007E52DF">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4836A6ED" w14:textId="4EF5243D" w:rsidR="006407A3" w:rsidRPr="008D448E" w:rsidRDefault="006407A3" w:rsidP="007E52DF">
            <w:pPr>
              <w:pStyle w:val="TableText"/>
            </w:pPr>
            <w:r>
              <w:t>Value</w:t>
            </w:r>
          </w:p>
        </w:tc>
      </w:tr>
      <w:tr w:rsidR="006407A3" w:rsidRPr="00F46627" w14:paraId="5ED46A06"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D82D952" w14:textId="77777777" w:rsidR="006407A3" w:rsidRPr="004470FF" w:rsidRDefault="006407A3"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6FD7E525" w14:textId="6F808B40" w:rsidR="006407A3" w:rsidRPr="008D448E" w:rsidRDefault="006407A3" w:rsidP="007E52DF">
            <w:pPr>
              <w:pStyle w:val="TableText"/>
            </w:pPr>
            <w:r>
              <w:t>4</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487EABC9" w14:textId="77777777" w:rsidR="006407A3" w:rsidRPr="004470FF" w:rsidRDefault="006407A3" w:rsidP="007E52DF">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3E9114B6" w14:textId="5AC5C2B0" w:rsidR="006407A3" w:rsidRPr="00F46627" w:rsidRDefault="006407A3" w:rsidP="007E52DF">
            <w:pPr>
              <w:pStyle w:val="TableText"/>
            </w:pPr>
            <w:proofErr w:type="gramStart"/>
            <w:r w:rsidRPr="007B116A">
              <w:t>NN</w:t>
            </w:r>
            <w:r>
              <w:t>.NN</w:t>
            </w:r>
            <w:proofErr w:type="gramEnd"/>
          </w:p>
        </w:tc>
      </w:tr>
      <w:tr w:rsidR="006407A3" w:rsidRPr="008D448E" w14:paraId="087EF7D0"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5F45534" w14:textId="77777777" w:rsidR="006407A3" w:rsidRPr="004470FF" w:rsidRDefault="006407A3"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9756A61" w14:textId="64B9D37E" w:rsidR="006407A3" w:rsidRPr="008D448E" w:rsidRDefault="006407A3" w:rsidP="007E52DF">
            <w:pPr>
              <w:pStyle w:val="TableText"/>
            </w:pPr>
            <w:r w:rsidRPr="0026771F">
              <w:t xml:space="preserve">1.08 </w:t>
            </w:r>
            <w:r>
              <w:t>≤ value</w:t>
            </w:r>
            <w:r w:rsidRPr="0026771F">
              <w:t xml:space="preserve"> ≤</w:t>
            </w:r>
            <w:r>
              <w:t xml:space="preserve"> </w:t>
            </w:r>
            <w:r w:rsidRPr="0026771F">
              <w:t>30.1</w:t>
            </w:r>
          </w:p>
        </w:tc>
      </w:tr>
      <w:tr w:rsidR="006407A3" w:rsidRPr="008D448E" w14:paraId="1BA1A7AF"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9F5A19C" w14:textId="77777777" w:rsidR="006407A3" w:rsidRPr="004470FF" w:rsidRDefault="006407A3"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F45963E" w14:textId="47F36C5A" w:rsidR="006407A3" w:rsidRPr="008D448E" w:rsidRDefault="006407A3" w:rsidP="007E52DF">
            <w:pPr>
              <w:pStyle w:val="TableText"/>
            </w:pPr>
            <w:r>
              <w:t>Mandatory</w:t>
            </w:r>
          </w:p>
        </w:tc>
      </w:tr>
      <w:tr w:rsidR="006407A3" w:rsidRPr="008D448E" w14:paraId="3FFF4DD0"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3AAB247" w14:textId="77777777" w:rsidR="006407A3" w:rsidRPr="004470FF" w:rsidRDefault="006407A3"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4AA8385" w14:textId="77777777" w:rsidR="006407A3" w:rsidRDefault="006407A3" w:rsidP="007E52DF">
            <w:pPr>
              <w:pStyle w:val="TableText"/>
            </w:pPr>
            <w:r>
              <w:t xml:space="preserve">Calculate from laboratory test results for total cholesterol and </w:t>
            </w:r>
            <w:r w:rsidRPr="00CB6C0E">
              <w:t>high-density lipoprotein cholesterol</w:t>
            </w:r>
          </w:p>
          <w:p w14:paraId="66860F21" w14:textId="2341FFF4" w:rsidR="00550DBF" w:rsidRPr="008D448E" w:rsidRDefault="00550DBF" w:rsidP="007E52DF">
            <w:pPr>
              <w:pStyle w:val="TableText"/>
            </w:pPr>
            <w:r>
              <w:t>Cannot be calculated if an accurate HDL-C measurement is not available (</w:t>
            </w:r>
            <w:proofErr w:type="spellStart"/>
            <w:r>
              <w:t>eg</w:t>
            </w:r>
            <w:proofErr w:type="spellEnd"/>
            <w:r>
              <w:t>, because of elevated</w:t>
            </w:r>
            <w:r w:rsidRPr="00550DBF">
              <w:t xml:space="preserve"> triglyceride </w:t>
            </w:r>
            <w:r>
              <w:t>level)</w:t>
            </w:r>
          </w:p>
        </w:tc>
      </w:tr>
      <w:tr w:rsidR="006407A3" w:rsidRPr="008D448E" w14:paraId="4B99BE4B" w14:textId="77777777" w:rsidTr="007E52D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05902D3" w14:textId="77777777" w:rsidR="006407A3" w:rsidRPr="004470FF" w:rsidRDefault="006407A3"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1CE1F76" w14:textId="77777777" w:rsidR="006407A3" w:rsidRPr="008D448E" w:rsidRDefault="006407A3" w:rsidP="007E52DF">
            <w:pPr>
              <w:pStyle w:val="TableText"/>
            </w:pPr>
          </w:p>
        </w:tc>
      </w:tr>
    </w:tbl>
    <w:p w14:paraId="3807072C" w14:textId="77777777" w:rsidR="00650A90" w:rsidRDefault="00650A90" w:rsidP="0094035F">
      <w:pPr>
        <w:pStyle w:val="Heading3"/>
        <w:spacing w:after="120"/>
      </w:pPr>
      <w:r>
        <w:t>Serum creatinine</w:t>
      </w:r>
      <w:bookmarkEnd w:id="44"/>
    </w:p>
    <w:p w14:paraId="00AAF316" w14:textId="26C9148F" w:rsidR="00650A90" w:rsidRDefault="00650A90" w:rsidP="007E77FB">
      <w:pPr>
        <w:keepNext/>
        <w:spacing w:after="150"/>
      </w:pPr>
      <w:r>
        <w:t xml:space="preserve">Serum creatinine is a laboratory test for kidney function. It is used in the </w:t>
      </w:r>
      <w:r w:rsidRPr="00EE26AB">
        <w:t>CKD-Epi Study equation</w:t>
      </w:r>
      <w:r>
        <w:t xml:space="preserve"> to derive an estimated glo</w:t>
      </w:r>
      <w:r w:rsidR="004470FF">
        <w:t>merular filtration rate (eGFR).</w:t>
      </w: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6407A3" w:rsidRPr="008D448E" w14:paraId="5EF4D504"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16DBAF52" w14:textId="77777777" w:rsidR="006407A3" w:rsidRPr="004470FF" w:rsidRDefault="006407A3" w:rsidP="00EB2768">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4E1A147" w14:textId="3ECE9A34" w:rsidR="006407A3" w:rsidRPr="008D448E" w:rsidRDefault="006407A3" w:rsidP="00EB2768">
            <w:pPr>
              <w:pStyle w:val="TableText"/>
            </w:pPr>
            <w:r>
              <w:t xml:space="preserve">Laboratory test result for serum creatinine measured in </w:t>
            </w:r>
            <w:proofErr w:type="spellStart"/>
            <w:r>
              <w:t>umol</w:t>
            </w:r>
            <w:proofErr w:type="spellEnd"/>
            <w:r>
              <w:t>/L</w:t>
            </w:r>
          </w:p>
        </w:tc>
      </w:tr>
      <w:tr w:rsidR="006407A3" w:rsidRPr="008D448E" w14:paraId="48A56B0D"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19CEB71" w14:textId="77777777" w:rsidR="006407A3" w:rsidRPr="004470FF" w:rsidRDefault="006407A3" w:rsidP="00EB2768">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2C014AF5" w14:textId="16FE9C6D" w:rsidR="006407A3" w:rsidRPr="008D448E" w:rsidRDefault="006407A3" w:rsidP="00EB2768">
            <w:pPr>
              <w:pStyle w:val="TableText"/>
            </w:pPr>
            <w:r>
              <w:t>NZPOCS</w:t>
            </w:r>
          </w:p>
        </w:tc>
      </w:tr>
      <w:tr w:rsidR="006407A3" w:rsidRPr="008D448E" w14:paraId="1C22B8C8"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D08A798" w14:textId="77777777" w:rsidR="006407A3" w:rsidRPr="004470FF" w:rsidRDefault="006407A3" w:rsidP="00EB2768">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20122BD7" w14:textId="4FBD21D2" w:rsidR="006407A3" w:rsidRPr="008D448E" w:rsidRDefault="006407A3" w:rsidP="00EB2768">
            <w:pPr>
              <w:pStyle w:val="TableText"/>
            </w:pPr>
            <w:r w:rsidRPr="007B116A">
              <w:rPr>
                <w:rFonts w:cs="Arial"/>
              </w:rPr>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7428A4BA" w14:textId="77777777" w:rsidR="006407A3" w:rsidRPr="004470FF" w:rsidRDefault="006407A3" w:rsidP="00EB2768">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56447AAA" w14:textId="1E1D961C" w:rsidR="006407A3" w:rsidRPr="008D448E" w:rsidRDefault="006407A3" w:rsidP="00EB2768">
            <w:pPr>
              <w:pStyle w:val="TableText"/>
            </w:pPr>
            <w:r>
              <w:rPr>
                <w:rFonts w:cs="Arial"/>
              </w:rPr>
              <w:t>Value</w:t>
            </w:r>
          </w:p>
        </w:tc>
      </w:tr>
      <w:tr w:rsidR="006407A3" w:rsidRPr="00F46627" w14:paraId="1692F197"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B178F25" w14:textId="77777777" w:rsidR="006407A3" w:rsidRPr="004470FF" w:rsidRDefault="006407A3" w:rsidP="00764A48">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51DB6B03" w14:textId="25C745D7" w:rsidR="006407A3" w:rsidRPr="008D448E" w:rsidRDefault="006407A3">
            <w:pPr>
              <w:pStyle w:val="TableText"/>
            </w:pPr>
            <w:r>
              <w:rPr>
                <w:rFonts w:cs="Arial"/>
              </w:rPr>
              <w:t>4</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69A53392" w14:textId="77777777" w:rsidR="006407A3" w:rsidRPr="004470FF" w:rsidRDefault="006407A3">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01B84DF2" w14:textId="0A139017" w:rsidR="006407A3" w:rsidRPr="00F46627" w:rsidRDefault="006407A3">
            <w:pPr>
              <w:pStyle w:val="TableText"/>
            </w:pPr>
            <w:r w:rsidRPr="007B116A">
              <w:rPr>
                <w:rFonts w:cs="Arial"/>
              </w:rPr>
              <w:t>NN</w:t>
            </w:r>
            <w:r>
              <w:rPr>
                <w:rFonts w:cs="Arial"/>
              </w:rPr>
              <w:t>NN</w:t>
            </w:r>
          </w:p>
        </w:tc>
      </w:tr>
      <w:tr w:rsidR="006407A3" w:rsidRPr="008D448E" w14:paraId="1D7D8919" w14:textId="77777777" w:rsidTr="006407A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E4AFBEF" w14:textId="77777777" w:rsidR="006407A3" w:rsidRPr="004470FF" w:rsidRDefault="006407A3" w:rsidP="00764A48">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DAFD4A5" w14:textId="436B3A75" w:rsidR="006407A3" w:rsidRPr="008D448E" w:rsidRDefault="006407A3">
            <w:pPr>
              <w:pStyle w:val="TableText"/>
            </w:pPr>
            <w:r w:rsidRPr="00E22002">
              <w:t xml:space="preserve">20 </w:t>
            </w:r>
            <w:r>
              <w:t>≤ value</w:t>
            </w:r>
            <w:r w:rsidRPr="00E22002">
              <w:t xml:space="preserve"> &lt;</w:t>
            </w:r>
            <w:r>
              <w:t xml:space="preserve"> </w:t>
            </w:r>
            <w:r w:rsidRPr="00E22002">
              <w:t>5000</w:t>
            </w:r>
          </w:p>
        </w:tc>
      </w:tr>
      <w:tr w:rsidR="006407A3" w:rsidRPr="008D448E" w14:paraId="7BA00AD6"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4013EAC" w14:textId="77777777" w:rsidR="006407A3" w:rsidRPr="004470FF" w:rsidRDefault="006407A3" w:rsidP="00764A48">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ECE4E55" w14:textId="03AE838F" w:rsidR="006407A3" w:rsidRPr="008D448E" w:rsidRDefault="006407A3">
            <w:pPr>
              <w:pStyle w:val="TableText"/>
            </w:pPr>
            <w:r>
              <w:t>Mandatory</w:t>
            </w:r>
          </w:p>
        </w:tc>
      </w:tr>
      <w:tr w:rsidR="006407A3" w:rsidRPr="008D448E" w14:paraId="0903D679"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5CCAC9A" w14:textId="77777777" w:rsidR="006407A3" w:rsidRPr="004470FF" w:rsidRDefault="006407A3" w:rsidP="00764A48">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8F9AB63" w14:textId="77777777" w:rsidR="006407A3" w:rsidRDefault="006407A3">
            <w:pPr>
              <w:pStyle w:val="TableText"/>
              <w:spacing w:after="0"/>
            </w:pPr>
            <w:r>
              <w:t>Laboratory test result with NZPOCS code</w:t>
            </w:r>
          </w:p>
          <w:p w14:paraId="58066955" w14:textId="7D30D5C5" w:rsidR="006407A3" w:rsidRPr="008D448E" w:rsidRDefault="006407A3">
            <w:pPr>
              <w:pStyle w:val="TableText"/>
              <w:spacing w:before="30"/>
            </w:pPr>
            <w:r>
              <w:t>Used to calculate the eGFR using the CKD-Epi Study equation</w:t>
            </w:r>
          </w:p>
        </w:tc>
      </w:tr>
      <w:tr w:rsidR="006407A3" w:rsidRPr="008D448E" w14:paraId="5FFB7E94" w14:textId="77777777" w:rsidTr="007E52D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73478558" w14:textId="77777777" w:rsidR="006407A3" w:rsidRPr="004470FF" w:rsidRDefault="006407A3" w:rsidP="00764A48">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9D37350" w14:textId="77777777" w:rsidR="006407A3" w:rsidRPr="008D448E" w:rsidRDefault="006407A3">
            <w:pPr>
              <w:pStyle w:val="TableText"/>
            </w:pPr>
          </w:p>
        </w:tc>
      </w:tr>
    </w:tbl>
    <w:p w14:paraId="0FFEE15A" w14:textId="77777777" w:rsidR="00650A90" w:rsidRDefault="00650A90" w:rsidP="0094035F">
      <w:pPr>
        <w:pStyle w:val="Heading3"/>
        <w:spacing w:before="300" w:after="120"/>
      </w:pPr>
      <w:bookmarkStart w:id="45" w:name="_Toc522522087"/>
      <w:r>
        <w:t>Estimated glomerular filtration rate</w:t>
      </w:r>
      <w:bookmarkEnd w:id="45"/>
    </w:p>
    <w:p w14:paraId="4017F2CA" w14:textId="09DE7554" w:rsidR="00650A90" w:rsidRDefault="00650A90" w:rsidP="007E77FB">
      <w:pPr>
        <w:spacing w:after="150"/>
        <w:rPr>
          <w:rFonts w:eastAsia="Calibri"/>
        </w:rPr>
      </w:pPr>
      <w:r>
        <w:t xml:space="preserve">The estimated glomerular filtration rate (eGFR) is a measure of kidney function with normal levels being above 90 </w:t>
      </w:r>
      <w:r w:rsidRPr="00B341E1">
        <w:rPr>
          <w:rFonts w:eastAsia="Calibri"/>
        </w:rPr>
        <w:t>m</w:t>
      </w:r>
      <w:r>
        <w:rPr>
          <w:rFonts w:eastAsia="Calibri"/>
        </w:rPr>
        <w:t>L</w:t>
      </w:r>
      <w:r w:rsidRPr="00B341E1">
        <w:rPr>
          <w:rFonts w:eastAsia="Calibri"/>
        </w:rPr>
        <w:t>/min/1.73 m</w:t>
      </w:r>
      <w:r w:rsidRPr="00B341E1">
        <w:rPr>
          <w:rFonts w:eastAsia="Calibri"/>
          <w:vertAlign w:val="superscript"/>
        </w:rPr>
        <w:t>2</w:t>
      </w:r>
      <w:r>
        <w:rPr>
          <w:rFonts w:eastAsia="Calibri"/>
        </w:rPr>
        <w:t xml:space="preserve">. If the eGFR is consistently less than </w:t>
      </w:r>
      <w:r>
        <w:lastRenderedPageBreak/>
        <w:t>30</w:t>
      </w:r>
      <w:r w:rsidR="00230C2F">
        <w:t> </w:t>
      </w:r>
      <w:r w:rsidRPr="00B341E1">
        <w:rPr>
          <w:rFonts w:eastAsia="Calibri"/>
        </w:rPr>
        <w:t>m</w:t>
      </w:r>
      <w:r>
        <w:rPr>
          <w:rFonts w:eastAsia="Calibri"/>
        </w:rPr>
        <w:t>L</w:t>
      </w:r>
      <w:r w:rsidRPr="00B341E1">
        <w:rPr>
          <w:rFonts w:eastAsia="Calibri"/>
        </w:rPr>
        <w:t>/min/1.73 m</w:t>
      </w:r>
      <w:r w:rsidRPr="00B341E1">
        <w:rPr>
          <w:rFonts w:eastAsia="Calibri"/>
          <w:vertAlign w:val="superscript"/>
        </w:rPr>
        <w:t>2</w:t>
      </w:r>
      <w:r>
        <w:rPr>
          <w:rFonts w:eastAsia="Calibri"/>
        </w:rPr>
        <w:t xml:space="preserve">, then the individual has chronic kidney disease stage 4 or 5 (or chronic renal failure). At this level, they </w:t>
      </w:r>
      <w:r w:rsidR="00133A10">
        <w:rPr>
          <w:rFonts w:eastAsia="Calibri"/>
        </w:rPr>
        <w:t xml:space="preserve">are estimated to </w:t>
      </w:r>
      <w:r>
        <w:rPr>
          <w:rFonts w:eastAsia="Calibri"/>
        </w:rPr>
        <w:t>have the CVD risk of someone with prior CVD and are excluded from having a risk score calculated using primary prevention equations</w:t>
      </w:r>
      <w:r w:rsidR="00133A10">
        <w:rPr>
          <w:rFonts w:eastAsia="Calibri"/>
        </w:rPr>
        <w:t>.</w:t>
      </w: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209"/>
        <w:gridCol w:w="2237"/>
      </w:tblGrid>
      <w:tr w:rsidR="0094035F" w:rsidRPr="008D448E" w14:paraId="444B88F8"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603DD45B" w14:textId="77777777" w:rsidR="0094035F" w:rsidRPr="004470FF" w:rsidRDefault="0094035F"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F08810C" w14:textId="7A7A0CFF" w:rsidR="0094035F" w:rsidRPr="008D448E" w:rsidRDefault="0094035F">
            <w:pPr>
              <w:pStyle w:val="TableText"/>
            </w:pPr>
            <w:r>
              <w:t xml:space="preserve">eGFR </w:t>
            </w:r>
            <w:r w:rsidR="00D473EB">
              <w:t xml:space="preserve">in units of </w:t>
            </w:r>
            <w:r w:rsidR="00D473EB" w:rsidRPr="00B341E1">
              <w:rPr>
                <w:rFonts w:eastAsia="Calibri"/>
              </w:rPr>
              <w:t>m</w:t>
            </w:r>
            <w:r w:rsidR="00D473EB">
              <w:rPr>
                <w:rFonts w:eastAsia="Calibri"/>
              </w:rPr>
              <w:t>L</w:t>
            </w:r>
            <w:r w:rsidR="00D473EB" w:rsidRPr="00B341E1">
              <w:rPr>
                <w:rFonts w:eastAsia="Calibri"/>
              </w:rPr>
              <w:t>/min/1.73 m</w:t>
            </w:r>
            <w:r w:rsidR="00D473EB" w:rsidRPr="00B341E1">
              <w:rPr>
                <w:rFonts w:eastAsia="Calibri"/>
                <w:vertAlign w:val="superscript"/>
              </w:rPr>
              <w:t>2</w:t>
            </w:r>
            <w:r w:rsidR="00D46D36">
              <w:rPr>
                <w:rFonts w:eastAsia="Calibri"/>
                <w:vertAlign w:val="superscript"/>
              </w:rPr>
              <w:t xml:space="preserve"> </w:t>
            </w:r>
            <w:r>
              <w:t>derived using a validated equation</w:t>
            </w:r>
          </w:p>
        </w:tc>
      </w:tr>
      <w:tr w:rsidR="0094035F" w:rsidRPr="008D448E" w14:paraId="2F23C336"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0D2633E" w14:textId="77777777" w:rsidR="0094035F" w:rsidRPr="004470FF" w:rsidRDefault="0094035F"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42361080" w14:textId="37517FF5" w:rsidR="0094035F" w:rsidRPr="008D448E" w:rsidRDefault="00D473EB" w:rsidP="007E52DF">
            <w:pPr>
              <w:pStyle w:val="TableText"/>
            </w:pPr>
            <w:r>
              <w:t>NZPOCS</w:t>
            </w:r>
          </w:p>
        </w:tc>
      </w:tr>
      <w:tr w:rsidR="0094035F" w:rsidRPr="008D448E" w14:paraId="35E76DEF" w14:textId="77777777" w:rsidTr="0094035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A04B7C0" w14:textId="77777777" w:rsidR="0094035F" w:rsidRPr="004470FF" w:rsidRDefault="0094035F" w:rsidP="007E52D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7209FF03" w14:textId="2C32C758" w:rsidR="0094035F" w:rsidRPr="008D448E" w:rsidRDefault="0094035F" w:rsidP="007E52DF">
            <w:pPr>
              <w:pStyle w:val="TableText"/>
            </w:pPr>
            <w:r w:rsidRPr="007B116A">
              <w:rPr>
                <w:rFonts w:cs="Arial"/>
              </w:rPr>
              <w:t>Numeric</w:t>
            </w:r>
          </w:p>
        </w:tc>
        <w:tc>
          <w:tcPr>
            <w:tcW w:w="1386"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4891420" w14:textId="77777777" w:rsidR="0094035F" w:rsidRPr="004470FF" w:rsidRDefault="0094035F" w:rsidP="007E52DF">
            <w:pPr>
              <w:pStyle w:val="TableText"/>
              <w:rPr>
                <w:b/>
              </w:rPr>
            </w:pPr>
            <w:r w:rsidRPr="004470FF">
              <w:rPr>
                <w:b/>
              </w:rPr>
              <w:t>Representational class</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auto"/>
          </w:tcPr>
          <w:p w14:paraId="19D5B0AC" w14:textId="4E353AEF" w:rsidR="0094035F" w:rsidRPr="008D448E" w:rsidRDefault="0094035F" w:rsidP="007E52DF">
            <w:pPr>
              <w:pStyle w:val="TableText"/>
            </w:pPr>
            <w:r>
              <w:rPr>
                <w:rFonts w:cs="Arial"/>
              </w:rPr>
              <w:t>Value</w:t>
            </w:r>
          </w:p>
        </w:tc>
      </w:tr>
      <w:tr w:rsidR="0094035F" w:rsidRPr="00F46627" w14:paraId="2EC98FCA" w14:textId="77777777" w:rsidTr="0094035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A712D30" w14:textId="77777777" w:rsidR="0094035F" w:rsidRPr="004470FF" w:rsidRDefault="0094035F"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32DF493B" w14:textId="33163BEF" w:rsidR="0094035F" w:rsidRPr="008D448E" w:rsidRDefault="0094035F" w:rsidP="007E52DF">
            <w:pPr>
              <w:pStyle w:val="TableText"/>
            </w:pPr>
            <w:r>
              <w:rPr>
                <w:rFonts w:cs="Arial"/>
              </w:rPr>
              <w:t>3</w:t>
            </w:r>
          </w:p>
        </w:tc>
        <w:tc>
          <w:tcPr>
            <w:tcW w:w="1386"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3B091827" w14:textId="77777777" w:rsidR="0094035F" w:rsidRPr="004470FF" w:rsidRDefault="0094035F" w:rsidP="007E52DF">
            <w:pPr>
              <w:pStyle w:val="TableText"/>
              <w:rPr>
                <w:b/>
              </w:rPr>
            </w:pPr>
            <w:r w:rsidRPr="004470FF">
              <w:rPr>
                <w:b/>
              </w:rPr>
              <w:t>Representational layout</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auto"/>
          </w:tcPr>
          <w:p w14:paraId="66F06117" w14:textId="20F4BFAE" w:rsidR="0094035F" w:rsidRPr="00F46627" w:rsidRDefault="0094035F" w:rsidP="007E52DF">
            <w:pPr>
              <w:pStyle w:val="TableText"/>
            </w:pPr>
            <w:r>
              <w:rPr>
                <w:rFonts w:cs="Arial"/>
              </w:rPr>
              <w:t>NNN</w:t>
            </w:r>
          </w:p>
        </w:tc>
      </w:tr>
      <w:tr w:rsidR="0094035F" w:rsidRPr="008D448E" w14:paraId="41BD8B6C" w14:textId="77777777" w:rsidTr="0094035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59E0976" w14:textId="77777777" w:rsidR="0094035F" w:rsidRPr="004470FF" w:rsidRDefault="0094035F"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ADD9583" w14:textId="1239F49C" w:rsidR="0094035F" w:rsidRPr="008D448E" w:rsidRDefault="0094035F" w:rsidP="007E52DF">
            <w:pPr>
              <w:pStyle w:val="TableText"/>
            </w:pPr>
            <w:r>
              <w:t>Based on age and serum creatinine valid ranges</w:t>
            </w:r>
          </w:p>
        </w:tc>
      </w:tr>
      <w:tr w:rsidR="0094035F" w:rsidRPr="008D448E" w14:paraId="6B161BB8"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F9A76FE" w14:textId="4CA6B471" w:rsidR="0094035F" w:rsidRPr="004470FF" w:rsidRDefault="00D473EB" w:rsidP="0094035F">
            <w:pPr>
              <w:pStyle w:val="TableText"/>
              <w:rPr>
                <w:b/>
              </w:rPr>
            </w:pPr>
            <w:r>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3D3B011" w14:textId="17C52B3A" w:rsidR="0094035F" w:rsidRPr="008D448E" w:rsidRDefault="00D473EB" w:rsidP="007E52DF">
            <w:pPr>
              <w:pStyle w:val="TableText"/>
            </w:pPr>
            <w:r>
              <w:rPr>
                <w:rFonts w:eastAsia="Calibri"/>
              </w:rPr>
              <w:t>Mandatory</w:t>
            </w:r>
          </w:p>
        </w:tc>
      </w:tr>
      <w:tr w:rsidR="0094035F" w:rsidRPr="008D448E" w14:paraId="70304BEC"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A324DBD" w14:textId="77777777" w:rsidR="0094035F" w:rsidRPr="004470FF" w:rsidRDefault="0094035F"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8F52283" w14:textId="02181994" w:rsidR="0094035F" w:rsidRDefault="0094035F" w:rsidP="007E77FB">
            <w:pPr>
              <w:pStyle w:val="TableText"/>
              <w:spacing w:after="30"/>
            </w:pPr>
            <w:r>
              <w:t xml:space="preserve">Laboratory test result for serum </w:t>
            </w:r>
            <w:r w:rsidRPr="0094035F">
              <w:t xml:space="preserve">creatinine </w:t>
            </w:r>
            <w:r w:rsidR="000276D9">
              <w:t>identified by</w:t>
            </w:r>
            <w:r w:rsidR="000276D9" w:rsidRPr="0094035F">
              <w:t xml:space="preserve"> </w:t>
            </w:r>
            <w:r w:rsidRPr="0094035F">
              <w:t>NZPOCS code</w:t>
            </w:r>
          </w:p>
          <w:p w14:paraId="107ED122" w14:textId="34E5A529" w:rsidR="0094035F" w:rsidRPr="0094035F" w:rsidRDefault="0094035F" w:rsidP="007E77FB">
            <w:pPr>
              <w:pStyle w:val="TableText"/>
              <w:spacing w:before="0" w:after="0"/>
            </w:pPr>
            <w:r>
              <w:t>CKD-Epi Study equation denoted by the formula:</w:t>
            </w:r>
          </w:p>
          <w:p w14:paraId="6F3A059B" w14:textId="12DD32F4" w:rsidR="0094035F" w:rsidRPr="00EE26AB" w:rsidRDefault="0094035F" w:rsidP="007E77FB">
            <w:pPr>
              <w:ind w:left="142"/>
            </w:pPr>
            <w:r w:rsidRPr="00EE26AB">
              <w:rPr>
                <w:noProof/>
                <w:lang w:eastAsia="en-NZ"/>
              </w:rPr>
              <w:drawing>
                <wp:inline distT="0" distB="0" distL="0" distR="0" wp14:anchorId="5F26BEC3" wp14:editId="11F7EA16">
                  <wp:extent cx="3167149" cy="3517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4516"/>
                          <a:stretch/>
                        </pic:blipFill>
                        <pic:spPr bwMode="auto">
                          <a:xfrm>
                            <a:off x="0" y="0"/>
                            <a:ext cx="3212066" cy="356704"/>
                          </a:xfrm>
                          <a:prstGeom prst="rect">
                            <a:avLst/>
                          </a:prstGeom>
                          <a:ln>
                            <a:noFill/>
                          </a:ln>
                          <a:extLst>
                            <a:ext uri="{53640926-AAD7-44D8-BBD7-CCE9431645EC}">
                              <a14:shadowObscured xmlns:a14="http://schemas.microsoft.com/office/drawing/2010/main"/>
                            </a:ext>
                          </a:extLst>
                        </pic:spPr>
                      </pic:pic>
                    </a:graphicData>
                  </a:graphic>
                </wp:inline>
              </w:drawing>
            </w:r>
          </w:p>
          <w:p w14:paraId="1FF5FB7B" w14:textId="77777777" w:rsidR="0094035F" w:rsidRPr="00C67CC3" w:rsidRDefault="0094035F" w:rsidP="007E77FB">
            <w:pPr>
              <w:pStyle w:val="TableBullet"/>
              <w:spacing w:before="0" w:after="30"/>
            </w:pPr>
            <w:proofErr w:type="spellStart"/>
            <w:r w:rsidRPr="00C67CC3">
              <w:t>Scr</w:t>
            </w:r>
            <w:proofErr w:type="spellEnd"/>
            <w:r w:rsidRPr="00C67CC3">
              <w:t xml:space="preserve"> is serum creatinine in mg/dl (use 0.0113 as unit conversion from u/mol)</w:t>
            </w:r>
          </w:p>
          <w:p w14:paraId="3ABD4E03" w14:textId="77777777" w:rsidR="0094035F" w:rsidRPr="00C67CC3" w:rsidRDefault="0094035F" w:rsidP="007E77FB">
            <w:pPr>
              <w:pStyle w:val="TableBullet"/>
              <w:spacing w:before="0" w:after="30"/>
            </w:pPr>
            <w:r w:rsidRPr="00C67CC3">
              <w:t>κ is 0.7 for females and 0.9 for males</w:t>
            </w:r>
          </w:p>
          <w:p w14:paraId="0B66A900" w14:textId="77777777" w:rsidR="0094035F" w:rsidRPr="00C67CC3" w:rsidRDefault="0094035F" w:rsidP="007E77FB">
            <w:pPr>
              <w:pStyle w:val="TableBullet"/>
              <w:spacing w:before="0" w:after="30"/>
            </w:pPr>
            <w:r w:rsidRPr="00C67CC3">
              <w:t>α is -0.329 for females and -0.411 for males</w:t>
            </w:r>
          </w:p>
          <w:p w14:paraId="7C6E2BA7" w14:textId="77777777" w:rsidR="0094035F" w:rsidRPr="00C67CC3" w:rsidRDefault="0094035F" w:rsidP="007E77FB">
            <w:pPr>
              <w:pStyle w:val="TableBullet"/>
              <w:spacing w:before="0" w:after="30"/>
            </w:pPr>
            <w:r w:rsidRPr="00C67CC3">
              <w:t xml:space="preserve">min indicates the minimum of </w:t>
            </w:r>
            <w:proofErr w:type="spellStart"/>
            <w:r w:rsidRPr="00C67CC3">
              <w:t>Scr</w:t>
            </w:r>
            <w:proofErr w:type="spellEnd"/>
            <w:r w:rsidRPr="00C67CC3">
              <w:t>/κ or 1</w:t>
            </w:r>
          </w:p>
          <w:p w14:paraId="298DB0E3" w14:textId="77777777" w:rsidR="0094035F" w:rsidRPr="00C67CC3" w:rsidRDefault="0094035F" w:rsidP="007E77FB">
            <w:pPr>
              <w:pStyle w:val="TableBullet"/>
              <w:spacing w:before="0" w:after="30"/>
            </w:pPr>
            <w:r w:rsidRPr="00C67CC3">
              <w:t xml:space="preserve">max indicates the maximum of </w:t>
            </w:r>
            <w:proofErr w:type="spellStart"/>
            <w:r w:rsidRPr="00C67CC3">
              <w:t>Scr</w:t>
            </w:r>
            <w:proofErr w:type="spellEnd"/>
            <w:r w:rsidRPr="00C67CC3">
              <w:t>/κ or 1</w:t>
            </w:r>
          </w:p>
          <w:p w14:paraId="3BC7BAAC" w14:textId="77777777" w:rsidR="0094035F" w:rsidRPr="00FA0223" w:rsidRDefault="0094035F" w:rsidP="007E77FB">
            <w:pPr>
              <w:pStyle w:val="TableText"/>
              <w:spacing w:before="0" w:after="30"/>
            </w:pPr>
            <w:r>
              <w:t>Note</w:t>
            </w:r>
            <w:r w:rsidRPr="00EE26AB">
              <w:t>: Ethnicity coefficient for A</w:t>
            </w:r>
            <w:r>
              <w:t>frican American is not applied for New Zealand</w:t>
            </w:r>
          </w:p>
          <w:p w14:paraId="06DD3B15" w14:textId="6972DFF3" w:rsidR="0094035F" w:rsidRPr="008D448E" w:rsidRDefault="0094035F" w:rsidP="00A17E7C">
            <w:pPr>
              <w:pStyle w:val="TableText"/>
              <w:spacing w:before="0"/>
            </w:pPr>
            <w:r>
              <w:t>If eGFR &lt; 30</w:t>
            </w:r>
            <w:r w:rsidRPr="00B341E1">
              <w:rPr>
                <w:rFonts w:eastAsia="Calibri"/>
              </w:rPr>
              <w:t xml:space="preserve"> m</w:t>
            </w:r>
            <w:r>
              <w:rPr>
                <w:rFonts w:eastAsia="Calibri"/>
              </w:rPr>
              <w:t>L</w:t>
            </w:r>
            <w:r w:rsidRPr="00B341E1">
              <w:rPr>
                <w:rFonts w:eastAsia="Calibri"/>
              </w:rPr>
              <w:t>/min/1.73 m</w:t>
            </w:r>
            <w:r w:rsidRPr="00B341E1">
              <w:rPr>
                <w:rFonts w:eastAsia="Calibri"/>
                <w:vertAlign w:val="superscript"/>
              </w:rPr>
              <w:t>2</w:t>
            </w:r>
            <w:r>
              <w:rPr>
                <w:rFonts w:eastAsia="Calibri"/>
              </w:rPr>
              <w:t>,</w:t>
            </w:r>
            <w:r>
              <w:t xml:space="preserve"> then </w:t>
            </w:r>
            <w:r w:rsidR="00A17E7C">
              <w:t xml:space="preserve">the patient is </w:t>
            </w:r>
            <w:r w:rsidR="00A17E7C" w:rsidRPr="00AD4090">
              <w:t>excluded</w:t>
            </w:r>
            <w:r w:rsidR="00A17E7C">
              <w:t xml:space="preserve"> from CVD risk calculation using the primary prevention equations. </w:t>
            </w:r>
          </w:p>
        </w:tc>
      </w:tr>
      <w:tr w:rsidR="0094035F" w:rsidRPr="008D448E" w14:paraId="19EB9658" w14:textId="77777777" w:rsidTr="007E52D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07DD9EE3" w14:textId="770656C6" w:rsidR="0094035F" w:rsidRPr="004470FF" w:rsidRDefault="00D473EB"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C253192" w14:textId="77777777" w:rsidR="0094035F" w:rsidRPr="008D448E" w:rsidRDefault="0094035F" w:rsidP="007E52DF">
            <w:pPr>
              <w:pStyle w:val="TableText"/>
            </w:pPr>
          </w:p>
        </w:tc>
      </w:tr>
    </w:tbl>
    <w:p w14:paraId="7F7E93F1" w14:textId="77777777" w:rsidR="00650A90" w:rsidRPr="00B8109D" w:rsidRDefault="00650A90" w:rsidP="00A54BD5">
      <w:pPr>
        <w:pStyle w:val="Heading3"/>
      </w:pPr>
      <w:bookmarkStart w:id="46" w:name="_Toc522522088"/>
      <w:r w:rsidRPr="00B8109D">
        <w:t>HbA</w:t>
      </w:r>
      <w:r w:rsidRPr="00230C2F">
        <w:rPr>
          <w:vertAlign w:val="subscript"/>
        </w:rPr>
        <w:t>1c</w:t>
      </w:r>
      <w:bookmarkEnd w:id="46"/>
    </w:p>
    <w:p w14:paraId="35FE8E0C" w14:textId="77777777" w:rsidR="00650A90" w:rsidRDefault="00650A90" w:rsidP="00A54BD5">
      <w:r>
        <w:t>HbA</w:t>
      </w:r>
      <w:r w:rsidRPr="00230C2F">
        <w:rPr>
          <w:vertAlign w:val="subscript"/>
        </w:rPr>
        <w:t>1c</w:t>
      </w:r>
      <w:r w:rsidRPr="00DD6385">
        <w:t xml:space="preserve"> </w:t>
      </w:r>
      <w:r w:rsidRPr="002E2A16">
        <w:t xml:space="preserve">is a measure of </w:t>
      </w:r>
      <w:r w:rsidRPr="00CB6C0E">
        <w:t>glycated haemoglobin</w:t>
      </w:r>
      <w:r>
        <w:t xml:space="preserve"> and is used for screening for diabetes or monitoring glycaemic control for people with diabetes.</w:t>
      </w:r>
    </w:p>
    <w:p w14:paraId="7DF35B72" w14:textId="77777777" w:rsidR="004470FF" w:rsidRDefault="004470FF" w:rsidP="00A54BD5"/>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7E77FB" w:rsidRPr="008D448E" w14:paraId="653B4D1E" w14:textId="77777777" w:rsidTr="007E52DF">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60EA2220" w14:textId="77777777" w:rsidR="007E77FB" w:rsidRPr="004470FF" w:rsidRDefault="007E77FB" w:rsidP="007E52DF">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12C22AF" w14:textId="73A258DE" w:rsidR="007E77FB" w:rsidRPr="008D448E" w:rsidRDefault="007E77FB" w:rsidP="007E52DF">
            <w:pPr>
              <w:pStyle w:val="TableText"/>
            </w:pPr>
            <w:r>
              <w:t xml:space="preserve">Non-fasting laboratory test measuring </w:t>
            </w:r>
            <w:r w:rsidRPr="00CB6C0E">
              <w:t>glycated haemoglobin</w:t>
            </w:r>
            <w:r>
              <w:t xml:space="preserve"> in mmol/mol</w:t>
            </w:r>
          </w:p>
        </w:tc>
      </w:tr>
      <w:tr w:rsidR="007E77FB" w:rsidRPr="008D448E" w14:paraId="56B42747"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F0A64EC" w14:textId="77777777" w:rsidR="007E77FB" w:rsidRPr="004470FF" w:rsidRDefault="007E77FB" w:rsidP="007E52DF">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3CCE703A" w14:textId="493BE08A" w:rsidR="007E77FB" w:rsidRPr="008D448E" w:rsidRDefault="00D473EB" w:rsidP="007E52DF">
            <w:pPr>
              <w:pStyle w:val="TableText"/>
            </w:pPr>
            <w:r>
              <w:t>NZPOCS</w:t>
            </w:r>
          </w:p>
        </w:tc>
      </w:tr>
      <w:tr w:rsidR="007E77FB" w:rsidRPr="008D448E" w14:paraId="182F214D"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853B033" w14:textId="77777777" w:rsidR="007E77FB" w:rsidRPr="004470FF" w:rsidRDefault="007E77FB" w:rsidP="007E52DF">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1D9B7377" w14:textId="20D58FBE" w:rsidR="007E77FB" w:rsidRPr="008D448E" w:rsidRDefault="007E77FB" w:rsidP="007E52DF">
            <w:pPr>
              <w:pStyle w:val="TableText"/>
            </w:pPr>
            <w:r w:rsidRPr="007B116A">
              <w:rPr>
                <w:rFonts w:cs="Arial"/>
              </w:rPr>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6FA95506" w14:textId="77777777" w:rsidR="007E77FB" w:rsidRPr="004470FF" w:rsidRDefault="007E77FB" w:rsidP="007E52DF">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4E2FBB3E" w14:textId="3F60BCEB" w:rsidR="007E77FB" w:rsidRPr="008D448E" w:rsidRDefault="007E77FB" w:rsidP="007E52DF">
            <w:pPr>
              <w:pStyle w:val="TableText"/>
            </w:pPr>
            <w:r>
              <w:rPr>
                <w:rFonts w:cs="Arial"/>
              </w:rPr>
              <w:t>Value</w:t>
            </w:r>
          </w:p>
        </w:tc>
      </w:tr>
      <w:tr w:rsidR="007E77FB" w:rsidRPr="00F46627" w14:paraId="33ABCAB4"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31D5067" w14:textId="77777777" w:rsidR="007E77FB" w:rsidRPr="004470FF" w:rsidRDefault="007E77FB" w:rsidP="007E52DF">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76A2598E" w14:textId="3BF82F4F" w:rsidR="007E77FB" w:rsidRPr="008D448E" w:rsidRDefault="007E77FB" w:rsidP="007E52DF">
            <w:pPr>
              <w:pStyle w:val="TableText"/>
            </w:pPr>
            <w:r>
              <w:rPr>
                <w:rFonts w:cs="Arial"/>
              </w:rPr>
              <w:t>4</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4D528A21" w14:textId="77777777" w:rsidR="007E77FB" w:rsidRPr="004470FF" w:rsidRDefault="007E77FB" w:rsidP="007E52DF">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728A0341" w14:textId="3F719451" w:rsidR="007E77FB" w:rsidRPr="00F46627" w:rsidRDefault="007E77FB" w:rsidP="007E52DF">
            <w:pPr>
              <w:pStyle w:val="TableText"/>
            </w:pPr>
            <w:r w:rsidRPr="007B116A">
              <w:rPr>
                <w:rFonts w:cs="Arial"/>
              </w:rPr>
              <w:t>NN</w:t>
            </w:r>
            <w:r>
              <w:rPr>
                <w:rFonts w:cs="Arial"/>
              </w:rPr>
              <w:t>NN</w:t>
            </w:r>
          </w:p>
        </w:tc>
      </w:tr>
      <w:tr w:rsidR="007E77FB" w:rsidRPr="008D448E" w14:paraId="0DD06050"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08C190E" w14:textId="77777777" w:rsidR="007E77FB" w:rsidRPr="004470FF" w:rsidRDefault="007E77FB" w:rsidP="007E52DF">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9AA1ABB" w14:textId="3B83DDB5" w:rsidR="007E77FB" w:rsidRPr="008D448E" w:rsidRDefault="007E77FB" w:rsidP="007E52DF">
            <w:pPr>
              <w:pStyle w:val="TableText"/>
            </w:pPr>
            <w:r w:rsidRPr="00EE26AB">
              <w:t xml:space="preserve">20 </w:t>
            </w:r>
            <w:r>
              <w:t xml:space="preserve">&lt; value </w:t>
            </w:r>
            <w:r w:rsidRPr="00EE26AB">
              <w:t>&lt;</w:t>
            </w:r>
            <w:r>
              <w:t xml:space="preserve"> </w:t>
            </w:r>
            <w:r w:rsidRPr="00EE26AB">
              <w:t>5000</w:t>
            </w:r>
          </w:p>
        </w:tc>
      </w:tr>
      <w:tr w:rsidR="007E77FB" w:rsidRPr="008D448E" w14:paraId="776EB5B1"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E0B9197" w14:textId="77777777" w:rsidR="007E77FB" w:rsidRPr="004470FF" w:rsidRDefault="007E77FB" w:rsidP="007E52DF">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CDD0DFE" w14:textId="4CDD47EA" w:rsidR="007E77FB" w:rsidRPr="008D448E" w:rsidRDefault="007E77FB" w:rsidP="007E52DF">
            <w:pPr>
              <w:pStyle w:val="TableText"/>
            </w:pPr>
            <w:r>
              <w:t>Mandatory</w:t>
            </w:r>
          </w:p>
        </w:tc>
      </w:tr>
      <w:tr w:rsidR="007E77FB" w:rsidRPr="008D448E" w14:paraId="07E30F4B" w14:textId="77777777" w:rsidTr="007E52DF">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D3D4135" w14:textId="77777777" w:rsidR="007E77FB" w:rsidRPr="004470FF" w:rsidRDefault="007E77FB" w:rsidP="007E52DF">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1FB7C79" w14:textId="1921FCA8" w:rsidR="007E77FB" w:rsidRPr="008D448E" w:rsidRDefault="007E77FB">
            <w:pPr>
              <w:pStyle w:val="TableText"/>
            </w:pPr>
            <w:r>
              <w:t xml:space="preserve">Laboratory test result </w:t>
            </w:r>
            <w:r w:rsidR="00D473EB">
              <w:t xml:space="preserve">identified by </w:t>
            </w:r>
            <w:r>
              <w:t>NZPOCS code</w:t>
            </w:r>
          </w:p>
        </w:tc>
      </w:tr>
      <w:tr w:rsidR="007E77FB" w:rsidRPr="008D448E" w14:paraId="22A716DD" w14:textId="77777777" w:rsidTr="007E52DF">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CCE61DA" w14:textId="77777777" w:rsidR="007E77FB" w:rsidRPr="004470FF" w:rsidRDefault="007E77FB" w:rsidP="007E52DF">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48CA51E" w14:textId="77777777" w:rsidR="007E77FB" w:rsidRPr="008D448E" w:rsidRDefault="007E77FB" w:rsidP="007E52DF">
            <w:pPr>
              <w:pStyle w:val="TableText"/>
            </w:pPr>
          </w:p>
        </w:tc>
      </w:tr>
    </w:tbl>
    <w:p w14:paraId="54223449" w14:textId="77777777" w:rsidR="00650A90" w:rsidRDefault="00650A90" w:rsidP="00A54BD5">
      <w:pPr>
        <w:pStyle w:val="Heading3"/>
      </w:pPr>
      <w:bookmarkStart w:id="47" w:name="_Toc522522089"/>
      <w:r>
        <w:lastRenderedPageBreak/>
        <w:t>Urinary albumin to creatinine ratio</w:t>
      </w:r>
      <w:bookmarkEnd w:id="47"/>
      <w:r>
        <w:t xml:space="preserve"> (for people with diabetes)</w:t>
      </w:r>
    </w:p>
    <w:p w14:paraId="3F3CC297" w14:textId="5F8F1F05" w:rsidR="00650A90" w:rsidRDefault="00650A90" w:rsidP="00A54BD5">
      <w:pPr>
        <w:rPr>
          <w:rFonts w:eastAsia="Calibri"/>
        </w:rPr>
      </w:pPr>
      <w:r>
        <w:t>The 2018 CVD consensus statement recommends collecting a u</w:t>
      </w:r>
      <w:r w:rsidRPr="001D7803">
        <w:t>rinary albumin to creatinine ratio (ACR)</w:t>
      </w:r>
      <w:r w:rsidR="00D46D36">
        <w:t>, also known as urinary microalbumin,</w:t>
      </w:r>
      <w:r>
        <w:t xml:space="preserve"> at least annually for all people with diagnosed diabetes. This test </w:t>
      </w:r>
      <w:r w:rsidRPr="001D7803">
        <w:t>helps identify kidney disease that can occur as a complication of</w:t>
      </w:r>
      <w:r>
        <w:t xml:space="preserve"> </w:t>
      </w:r>
      <w:r w:rsidRPr="001D7803">
        <w:t>diabetes.</w:t>
      </w:r>
      <w:r w:rsidRPr="008D448E">
        <w:t xml:space="preserve"> </w:t>
      </w:r>
      <w:r>
        <w:t>If a person has an ACR consistently above 30mg/mmol, they are diagnosed as having overt diabetic nephropathy</w:t>
      </w:r>
      <w:r w:rsidR="00F52B5B">
        <w:t xml:space="preserve"> or macroalbuminuria</w:t>
      </w:r>
      <w:r>
        <w:t xml:space="preserve">. </w:t>
      </w:r>
      <w:r>
        <w:rPr>
          <w:rFonts w:eastAsia="Calibri"/>
        </w:rPr>
        <w:t>At this level, they will have the CVD risk of someone with prior CVD and are excluded from having a risk score calculated using primary prevention equations.</w:t>
      </w:r>
    </w:p>
    <w:p w14:paraId="7F24E124" w14:textId="77777777" w:rsidR="004470FF" w:rsidRDefault="004470FF" w:rsidP="004470FF">
      <w:pPr>
        <w:rPr>
          <w:rFonts w:eastAsia="Calibri"/>
        </w:rPr>
      </w:pP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18593D" w:rsidRPr="008D448E" w14:paraId="6F295106" w14:textId="77777777" w:rsidTr="00A54BD5">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95A5F28" w14:textId="77777777" w:rsidR="0018593D" w:rsidRPr="004470FF" w:rsidRDefault="0018593D" w:rsidP="00A54BD5">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B01626A" w14:textId="2B1FE2AB" w:rsidR="0018593D" w:rsidRPr="008D448E" w:rsidRDefault="0018593D">
            <w:pPr>
              <w:pStyle w:val="TableText"/>
            </w:pPr>
            <w:r w:rsidRPr="001D7803">
              <w:t xml:space="preserve">Urinary ACR </w:t>
            </w:r>
            <w:r>
              <w:t>laboratory test measurement in mg/mmol</w:t>
            </w:r>
          </w:p>
        </w:tc>
      </w:tr>
      <w:tr w:rsidR="0018593D" w:rsidRPr="008D448E" w14:paraId="3AA514D0"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F164F30" w14:textId="77777777" w:rsidR="0018593D" w:rsidRPr="004470FF" w:rsidRDefault="0018593D" w:rsidP="00A54BD5">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35E8AF97" w14:textId="2AB235D4" w:rsidR="0018593D" w:rsidRPr="008D448E" w:rsidRDefault="0018593D" w:rsidP="00A54BD5">
            <w:pPr>
              <w:pStyle w:val="TableText"/>
            </w:pPr>
            <w:r>
              <w:t>NZPOCS</w:t>
            </w:r>
          </w:p>
        </w:tc>
      </w:tr>
      <w:tr w:rsidR="0018593D" w:rsidRPr="008D448E" w14:paraId="3D272EE8"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A1C4B0C" w14:textId="77777777" w:rsidR="0018593D" w:rsidRPr="004470FF" w:rsidRDefault="0018593D" w:rsidP="00A54BD5">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5A78033E" w14:textId="6D27EFBA" w:rsidR="0018593D" w:rsidRPr="008D448E" w:rsidRDefault="0018593D" w:rsidP="00A54BD5">
            <w:pPr>
              <w:pStyle w:val="TableText"/>
            </w:pPr>
            <w:r w:rsidRPr="007B116A">
              <w:rPr>
                <w:rFonts w:cs="Arial"/>
              </w:rPr>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9215357" w14:textId="77777777" w:rsidR="0018593D" w:rsidRPr="004470FF" w:rsidRDefault="0018593D" w:rsidP="00A54BD5">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1E870713" w14:textId="60627276" w:rsidR="0018593D" w:rsidRPr="008D448E" w:rsidRDefault="0018593D" w:rsidP="00A54BD5">
            <w:pPr>
              <w:pStyle w:val="TableText"/>
            </w:pPr>
            <w:r>
              <w:rPr>
                <w:rFonts w:cs="Arial"/>
              </w:rPr>
              <w:t>Value</w:t>
            </w:r>
          </w:p>
        </w:tc>
      </w:tr>
      <w:tr w:rsidR="0018593D" w:rsidRPr="00F46627" w14:paraId="0213E682"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33F4D4E" w14:textId="77777777" w:rsidR="0018593D" w:rsidRPr="004470FF" w:rsidRDefault="0018593D" w:rsidP="00A54BD5">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4E8566B4" w14:textId="3024B120" w:rsidR="0018593D" w:rsidRPr="008D448E" w:rsidRDefault="0018593D" w:rsidP="00A54BD5">
            <w:pPr>
              <w:pStyle w:val="TableText"/>
            </w:pPr>
            <w:r>
              <w:rPr>
                <w:rFonts w:cs="Arial"/>
              </w:rPr>
              <w:t>5</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6EC1D829" w14:textId="77777777" w:rsidR="0018593D" w:rsidRPr="004470FF" w:rsidRDefault="0018593D" w:rsidP="00A54BD5">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1D8E95C2" w14:textId="741DBA32" w:rsidR="0018593D" w:rsidRPr="00F46627" w:rsidRDefault="0018593D" w:rsidP="00A54BD5">
            <w:pPr>
              <w:pStyle w:val="TableText"/>
            </w:pPr>
            <w:r w:rsidRPr="007B116A">
              <w:rPr>
                <w:rFonts w:cs="Arial"/>
              </w:rPr>
              <w:t>NN</w:t>
            </w:r>
            <w:r>
              <w:rPr>
                <w:rFonts w:cs="Arial"/>
              </w:rPr>
              <w:t>NN.N</w:t>
            </w:r>
          </w:p>
        </w:tc>
      </w:tr>
      <w:tr w:rsidR="0018593D" w:rsidRPr="008D448E" w14:paraId="24519427"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07EB116" w14:textId="77777777" w:rsidR="0018593D" w:rsidRPr="004470FF" w:rsidRDefault="0018593D" w:rsidP="00A54BD5">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75C8B1D" w14:textId="676D727E" w:rsidR="0018593D" w:rsidRPr="008D448E" w:rsidRDefault="0018593D" w:rsidP="00A54BD5">
            <w:pPr>
              <w:pStyle w:val="TableText"/>
            </w:pPr>
            <w:r>
              <w:t>0.1 &lt; value &lt; 5650.0</w:t>
            </w:r>
          </w:p>
        </w:tc>
      </w:tr>
      <w:tr w:rsidR="0018593D" w:rsidRPr="008D448E" w14:paraId="0A368366"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8AD73FB" w14:textId="77777777" w:rsidR="0018593D" w:rsidRPr="004470FF" w:rsidRDefault="0018593D" w:rsidP="00A54BD5">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1475FE3" w14:textId="6CCE3EB6" w:rsidR="0018593D" w:rsidRPr="008D448E" w:rsidRDefault="0018593D" w:rsidP="00A54BD5">
            <w:pPr>
              <w:pStyle w:val="TableText"/>
            </w:pPr>
            <w:r>
              <w:t>Mandatory</w:t>
            </w:r>
          </w:p>
        </w:tc>
      </w:tr>
      <w:tr w:rsidR="0018593D" w:rsidRPr="008D448E" w14:paraId="3D2E9E62"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85BA42A" w14:textId="77777777" w:rsidR="0018593D" w:rsidRPr="004470FF" w:rsidRDefault="0018593D" w:rsidP="00A54BD5">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F48BE62" w14:textId="77777777" w:rsidR="0018593D" w:rsidRDefault="0018593D" w:rsidP="00F43F4C">
            <w:pPr>
              <w:pStyle w:val="TableText"/>
            </w:pPr>
            <w:r>
              <w:t>Laboratory test result with NZPOCS code</w:t>
            </w:r>
          </w:p>
          <w:p w14:paraId="64BC8F97" w14:textId="77777777" w:rsidR="0018593D" w:rsidRDefault="0018593D" w:rsidP="00F43F4C">
            <w:pPr>
              <w:pStyle w:val="TableText"/>
            </w:pPr>
            <w:r>
              <w:t>Test result needed for diabetes primary prevention equations only</w:t>
            </w:r>
          </w:p>
          <w:p w14:paraId="1EB5BD5F" w14:textId="30DD7377" w:rsidR="0018593D" w:rsidRPr="008D448E" w:rsidRDefault="0018593D" w:rsidP="00A54BD5">
            <w:pPr>
              <w:pStyle w:val="TableText"/>
            </w:pPr>
            <w:r>
              <w:t>If ACR ≥ 30</w:t>
            </w:r>
            <w:r w:rsidRPr="00B341E1">
              <w:rPr>
                <w:rFonts w:eastAsia="Calibri"/>
              </w:rPr>
              <w:t xml:space="preserve"> </w:t>
            </w:r>
            <w:r>
              <w:t>then it is excluded for all primary prevention equations (general population and diabetes specific equations)</w:t>
            </w:r>
          </w:p>
        </w:tc>
      </w:tr>
      <w:tr w:rsidR="0018593D" w:rsidRPr="008D448E" w14:paraId="51996F24" w14:textId="77777777" w:rsidTr="00A54BD5">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07EEA45" w14:textId="77777777" w:rsidR="0018593D" w:rsidRPr="004470FF" w:rsidRDefault="0018593D" w:rsidP="00A54BD5">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FEE3CA5" w14:textId="77777777" w:rsidR="0018593D" w:rsidRPr="008D448E" w:rsidRDefault="0018593D" w:rsidP="00A54BD5">
            <w:pPr>
              <w:pStyle w:val="TableText"/>
            </w:pPr>
          </w:p>
        </w:tc>
      </w:tr>
    </w:tbl>
    <w:p w14:paraId="3A290467" w14:textId="77777777" w:rsidR="00650A90" w:rsidRDefault="00650A90" w:rsidP="006407A3">
      <w:pPr>
        <w:pStyle w:val="Heading2"/>
      </w:pPr>
      <w:bookmarkStart w:id="48" w:name="_Toc5806751"/>
      <w:bookmarkStart w:id="49" w:name="_Toc46146740"/>
      <w:bookmarkStart w:id="50" w:name="_Toc522522090"/>
      <w:r>
        <w:t>Medications</w:t>
      </w:r>
      <w:bookmarkEnd w:id="48"/>
      <w:bookmarkEnd w:id="49"/>
    </w:p>
    <w:p w14:paraId="529AB5C3" w14:textId="3B25A30C" w:rsidR="00650A90" w:rsidRDefault="00650A90" w:rsidP="0018593D">
      <w:r>
        <w:t>Medications in the patient</w:t>
      </w:r>
      <w:r w:rsidR="00954F5C">
        <w:t>’s health</w:t>
      </w:r>
      <w:r>
        <w:t xml:space="preserve"> record should be represented using the New Zealand Medicines Terminology (NZMT).</w:t>
      </w:r>
    </w:p>
    <w:p w14:paraId="3AA36D61" w14:textId="77777777" w:rsidR="0018593D" w:rsidRDefault="0018593D" w:rsidP="0018593D"/>
    <w:p w14:paraId="143BEB96" w14:textId="2AA467BA" w:rsidR="00650A90" w:rsidRDefault="00650A90" w:rsidP="0018593D">
      <w:r>
        <w:t>A mapping between SNOMED CT and NZMT medicinal products is published in the SNOMED NZ Edition to enable interoperability and clinical decision support. The list of medicines and substances under each of the following headings will be published as a reference set in the SNOMED NZ Edition.</w:t>
      </w:r>
    </w:p>
    <w:p w14:paraId="59C982A0" w14:textId="01478A26" w:rsidR="00650A90" w:rsidRDefault="00650A90" w:rsidP="0018593D">
      <w:pPr>
        <w:pStyle w:val="Heading3"/>
      </w:pPr>
      <w:r>
        <w:t>Lipid-lowering medication</w:t>
      </w:r>
      <w:bookmarkEnd w:id="50"/>
    </w:p>
    <w:p w14:paraId="22A5299D" w14:textId="1F771B75" w:rsidR="00650A90" w:rsidRDefault="009E372C" w:rsidP="0018593D">
      <w:r>
        <w:t xml:space="preserve">Being on any </w:t>
      </w:r>
      <w:r w:rsidR="00650A90">
        <w:t xml:space="preserve">lipid-lowering medication, if prescribed in the six months before a CVD risk assessment, </w:t>
      </w:r>
      <w:r>
        <w:t xml:space="preserve">is </w:t>
      </w:r>
      <w:r w:rsidR="00650A90">
        <w:t>included as a variable in the CVD risk equations.</w:t>
      </w:r>
    </w:p>
    <w:p w14:paraId="741F6BC9" w14:textId="77777777" w:rsidR="004470FF" w:rsidRDefault="004470FF" w:rsidP="0018593D"/>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A54BD5" w:rsidRPr="008D448E" w14:paraId="2F3CC5D6" w14:textId="77777777" w:rsidTr="00A54BD5">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7425C270" w14:textId="77777777" w:rsidR="00A54BD5" w:rsidRPr="004470FF" w:rsidRDefault="00A54BD5" w:rsidP="00A54BD5">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1612AD0" w14:textId="77777777" w:rsidR="00790ED8" w:rsidRDefault="00790ED8" w:rsidP="00A54BD5">
            <w:pPr>
              <w:pStyle w:val="TableText"/>
            </w:pPr>
            <w:r>
              <w:t>On lipid-lowering medication</w:t>
            </w:r>
          </w:p>
          <w:p w14:paraId="67A13A0C" w14:textId="1FAB1E17" w:rsidR="00A54BD5" w:rsidRPr="008D448E" w:rsidRDefault="0018593D" w:rsidP="00A54BD5">
            <w:pPr>
              <w:pStyle w:val="TableText"/>
            </w:pPr>
            <w:r>
              <w:t>The patient has been prescribed one or more medications that lower lipids (statins or other medications) in the previous six months</w:t>
            </w:r>
          </w:p>
        </w:tc>
      </w:tr>
      <w:tr w:rsidR="00A54BD5" w:rsidRPr="008D448E" w14:paraId="408EB180"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97E76A9" w14:textId="37B46633" w:rsidR="00A54BD5" w:rsidRPr="004470FF" w:rsidRDefault="00A54BD5" w:rsidP="00A54BD5">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139B1C05" w14:textId="77777777" w:rsidR="00A54BD5" w:rsidRPr="008D448E" w:rsidRDefault="00A54BD5" w:rsidP="00A54BD5">
            <w:pPr>
              <w:pStyle w:val="TableText"/>
            </w:pPr>
          </w:p>
        </w:tc>
      </w:tr>
      <w:tr w:rsidR="0018593D" w:rsidRPr="008D448E" w14:paraId="676C03B4"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D3C527E" w14:textId="77777777" w:rsidR="0018593D" w:rsidRPr="004470FF" w:rsidRDefault="0018593D" w:rsidP="00A54BD5">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4E358131" w14:textId="37652907" w:rsidR="0018593D" w:rsidRPr="008D448E" w:rsidRDefault="00D473EB" w:rsidP="00A54BD5">
            <w:pPr>
              <w:pStyle w:val="TableText"/>
            </w:pPr>
            <w:r>
              <w:rPr>
                <w:rFonts w:cs="Arial"/>
              </w:rPr>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75AA1156" w14:textId="77777777" w:rsidR="0018593D" w:rsidRPr="004470FF" w:rsidRDefault="0018593D" w:rsidP="00A54BD5">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1867F699" w14:textId="3A703686" w:rsidR="0018593D" w:rsidRPr="008D448E" w:rsidRDefault="0018593D" w:rsidP="00A54BD5">
            <w:pPr>
              <w:pStyle w:val="TableText"/>
            </w:pPr>
            <w:r>
              <w:rPr>
                <w:rFonts w:cs="Arial"/>
              </w:rPr>
              <w:t>Value</w:t>
            </w:r>
          </w:p>
        </w:tc>
      </w:tr>
      <w:tr w:rsidR="0018593D" w:rsidRPr="00F46627" w14:paraId="1F9C4E2B"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5D6EC1B" w14:textId="77777777" w:rsidR="0018593D" w:rsidRPr="004470FF" w:rsidRDefault="0018593D" w:rsidP="00A54BD5">
            <w:pPr>
              <w:pStyle w:val="TableText"/>
              <w:rPr>
                <w:b/>
              </w:rPr>
            </w:pPr>
            <w:r w:rsidRPr="004470FF">
              <w:rPr>
                <w:b/>
              </w:rPr>
              <w:lastRenderedPageBreak/>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112C87E0" w14:textId="1494935A" w:rsidR="0018593D" w:rsidRPr="008D448E" w:rsidRDefault="0018593D" w:rsidP="00A54BD5">
            <w:pPr>
              <w:pStyle w:val="TableText"/>
            </w:pPr>
            <w:r>
              <w:rPr>
                <w:rFonts w:cs="Arial"/>
              </w:rPr>
              <w:t>1</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74655B76" w14:textId="77777777" w:rsidR="0018593D" w:rsidRPr="004470FF" w:rsidRDefault="0018593D" w:rsidP="00A54BD5">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6F72BBD2" w14:textId="5A0CAF0B" w:rsidR="0018593D" w:rsidRPr="00F46627" w:rsidRDefault="0018593D" w:rsidP="00A54BD5">
            <w:pPr>
              <w:pStyle w:val="TableText"/>
            </w:pPr>
            <w:r w:rsidRPr="007B116A">
              <w:rPr>
                <w:rFonts w:cs="Arial"/>
              </w:rPr>
              <w:t>N</w:t>
            </w:r>
          </w:p>
        </w:tc>
      </w:tr>
      <w:tr w:rsidR="0018593D" w:rsidRPr="008D448E" w14:paraId="6D74366A"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A6F8A3B" w14:textId="77777777" w:rsidR="0018593D" w:rsidRPr="004470FF" w:rsidRDefault="0018593D" w:rsidP="00A54BD5">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EF07802" w14:textId="77777777" w:rsidR="0018593D" w:rsidRDefault="0018593D" w:rsidP="00F43F4C">
            <w:pPr>
              <w:pStyle w:val="TableText"/>
            </w:pPr>
            <w:r>
              <w:t>0 = No</w:t>
            </w:r>
          </w:p>
          <w:p w14:paraId="3416E5A2" w14:textId="3A3898E1" w:rsidR="0018593D" w:rsidRPr="008D448E" w:rsidRDefault="0018593D" w:rsidP="00A54BD5">
            <w:pPr>
              <w:pStyle w:val="TableText"/>
            </w:pPr>
            <w:r>
              <w:t>1 = Yes</w:t>
            </w:r>
          </w:p>
        </w:tc>
      </w:tr>
      <w:tr w:rsidR="0018593D" w:rsidRPr="008D448E" w14:paraId="49A61240"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E58740D" w14:textId="77777777" w:rsidR="0018593D" w:rsidRPr="004470FF" w:rsidRDefault="0018593D" w:rsidP="00A54BD5">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268CDA5" w14:textId="284DB366" w:rsidR="0018593D" w:rsidRPr="008D448E" w:rsidRDefault="0018593D" w:rsidP="00A54BD5">
            <w:pPr>
              <w:pStyle w:val="TableText"/>
            </w:pPr>
            <w:r>
              <w:t>Mandatory</w:t>
            </w:r>
          </w:p>
        </w:tc>
      </w:tr>
      <w:tr w:rsidR="0018593D" w:rsidRPr="008D448E" w14:paraId="5A029A4F" w14:textId="77777777" w:rsidTr="00A54BD5">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316FCE4" w14:textId="77777777" w:rsidR="0018593D" w:rsidRPr="004470FF" w:rsidRDefault="0018593D" w:rsidP="00A54BD5">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3F06FED" w14:textId="47E82AB8" w:rsidR="0018593D" w:rsidRPr="008D448E" w:rsidRDefault="0018593D" w:rsidP="00A54BD5">
            <w:pPr>
              <w:pStyle w:val="TableText"/>
            </w:pPr>
            <w:r>
              <w:t>Clinical criteria based on long-term medications</w:t>
            </w:r>
          </w:p>
        </w:tc>
      </w:tr>
      <w:tr w:rsidR="0018593D" w:rsidRPr="008D448E" w14:paraId="22B08F7D" w14:textId="77777777" w:rsidTr="00A54BD5">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0E6B6EC" w14:textId="77777777" w:rsidR="0018593D" w:rsidRPr="004470FF" w:rsidRDefault="0018593D" w:rsidP="00A54BD5">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E0436A1" w14:textId="77777777" w:rsidR="0018593D" w:rsidRPr="008D448E" w:rsidRDefault="0018593D" w:rsidP="00A54BD5">
            <w:pPr>
              <w:pStyle w:val="TableText"/>
            </w:pPr>
          </w:p>
        </w:tc>
      </w:tr>
    </w:tbl>
    <w:p w14:paraId="5B541150" w14:textId="43293AC4" w:rsidR="00650A90" w:rsidRDefault="00650A90" w:rsidP="0018593D">
      <w:pPr>
        <w:pStyle w:val="Heading4"/>
      </w:pPr>
      <w:r>
        <w:t xml:space="preserve">Lipid-lowering medications </w:t>
      </w:r>
      <w:r w:rsidR="009E372C">
        <w:t>(</w:t>
      </w:r>
      <w:r>
        <w:t xml:space="preserve">as at </w:t>
      </w:r>
      <w:r w:rsidR="008352F4">
        <w:t>publication date</w:t>
      </w:r>
      <w:r w:rsidR="009E372C">
        <w:t>)</w:t>
      </w:r>
    </w:p>
    <w:p w14:paraId="432902B4" w14:textId="77777777" w:rsidR="00650A90" w:rsidRDefault="00650A90" w:rsidP="0018593D">
      <w:pPr>
        <w:keepNext/>
      </w:pPr>
      <w:r w:rsidRPr="008E0889">
        <w:t>As new statins or other lipid</w:t>
      </w:r>
      <w:r>
        <w:t>-</w:t>
      </w:r>
      <w:r w:rsidRPr="008E0889">
        <w:t>lowering medications are approved</w:t>
      </w:r>
      <w:r>
        <w:t>,</w:t>
      </w:r>
      <w:r w:rsidRPr="008E0889">
        <w:t xml:space="preserve"> they </w:t>
      </w:r>
      <w:r>
        <w:t>will</w:t>
      </w:r>
      <w:r w:rsidRPr="008E0889">
        <w:t xml:space="preserve"> be </w:t>
      </w:r>
      <w:r>
        <w:t>added</w:t>
      </w:r>
      <w:r w:rsidRPr="008E0889">
        <w:t xml:space="preserve"> </w:t>
      </w:r>
      <w:r>
        <w:t>to</w:t>
      </w:r>
      <w:r w:rsidRPr="008E0889">
        <w:t xml:space="preserve"> this list.</w:t>
      </w:r>
    </w:p>
    <w:p w14:paraId="429813CD" w14:textId="77777777" w:rsidR="004470FF" w:rsidRPr="008E0889" w:rsidRDefault="004470FF" w:rsidP="0018593D">
      <w:pPr>
        <w:keepNext/>
      </w:pPr>
    </w:p>
    <w:tbl>
      <w:tblPr>
        <w:tblStyle w:val="TableGrid"/>
        <w:tblW w:w="4931" w:type="pct"/>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614"/>
        <w:gridCol w:w="5354"/>
      </w:tblGrid>
      <w:tr w:rsidR="00650A90" w:rsidRPr="0018593D" w14:paraId="07A6C3DF" w14:textId="77777777" w:rsidTr="0018593D">
        <w:trPr>
          <w:cantSplit/>
        </w:trPr>
        <w:tc>
          <w:tcPr>
            <w:tcW w:w="1640" w:type="pct"/>
            <w:tcBorders>
              <w:top w:val="nil"/>
              <w:bottom w:val="nil"/>
            </w:tcBorders>
            <w:shd w:val="clear" w:color="auto" w:fill="D9D9D9" w:themeFill="background1" w:themeFillShade="D9"/>
          </w:tcPr>
          <w:p w14:paraId="175988A9" w14:textId="77777777" w:rsidR="00650A90" w:rsidRPr="0018593D" w:rsidRDefault="00650A90" w:rsidP="00B85D91">
            <w:pPr>
              <w:pStyle w:val="TableText"/>
              <w:rPr>
                <w:b/>
              </w:rPr>
            </w:pPr>
            <w:r w:rsidRPr="0018593D">
              <w:rPr>
                <w:b/>
              </w:rPr>
              <w:t>Sub-category</w:t>
            </w:r>
          </w:p>
        </w:tc>
        <w:tc>
          <w:tcPr>
            <w:tcW w:w="3360" w:type="pct"/>
            <w:tcBorders>
              <w:top w:val="nil"/>
              <w:bottom w:val="nil"/>
            </w:tcBorders>
            <w:shd w:val="clear" w:color="auto" w:fill="D9D9D9" w:themeFill="background1" w:themeFillShade="D9"/>
          </w:tcPr>
          <w:p w14:paraId="60DC89FE" w14:textId="77777777" w:rsidR="00650A90" w:rsidRPr="0018593D" w:rsidRDefault="00650A90" w:rsidP="00B85D91">
            <w:pPr>
              <w:pStyle w:val="TableText"/>
              <w:rPr>
                <w:b/>
              </w:rPr>
            </w:pPr>
            <w:r w:rsidRPr="0018593D">
              <w:rPr>
                <w:b/>
              </w:rPr>
              <w:t>Product/substance</w:t>
            </w:r>
          </w:p>
        </w:tc>
      </w:tr>
      <w:tr w:rsidR="00650A90" w14:paraId="47AF5394" w14:textId="77777777" w:rsidTr="0018593D">
        <w:trPr>
          <w:cantSplit/>
        </w:trPr>
        <w:tc>
          <w:tcPr>
            <w:tcW w:w="1640" w:type="pct"/>
            <w:tcBorders>
              <w:top w:val="nil"/>
            </w:tcBorders>
            <w:shd w:val="clear" w:color="auto" w:fill="auto"/>
          </w:tcPr>
          <w:p w14:paraId="23B4F963" w14:textId="77777777" w:rsidR="00650A90" w:rsidRPr="003B1D6C" w:rsidRDefault="00650A90" w:rsidP="00B85D91">
            <w:pPr>
              <w:pStyle w:val="TableText"/>
            </w:pPr>
            <w:r w:rsidRPr="003B1D6C">
              <w:t>Statin</w:t>
            </w:r>
          </w:p>
        </w:tc>
        <w:tc>
          <w:tcPr>
            <w:tcW w:w="3360" w:type="pct"/>
            <w:tcBorders>
              <w:top w:val="nil"/>
            </w:tcBorders>
            <w:shd w:val="clear" w:color="auto" w:fill="auto"/>
          </w:tcPr>
          <w:p w14:paraId="70D0075B" w14:textId="37E9950C" w:rsidR="00650A90" w:rsidRPr="00F94457" w:rsidRDefault="00A774AD" w:rsidP="00B85D91">
            <w:pPr>
              <w:pStyle w:val="TableText"/>
              <w:spacing w:after="0"/>
            </w:pPr>
            <w:r>
              <w:t>p</w:t>
            </w:r>
            <w:r w:rsidR="00650A90" w:rsidRPr="00F94457">
              <w:t>ravastatin</w:t>
            </w:r>
          </w:p>
          <w:p w14:paraId="77B71754" w14:textId="1707B78B" w:rsidR="00650A90" w:rsidRPr="00F94457" w:rsidRDefault="00A774AD" w:rsidP="00B85D91">
            <w:pPr>
              <w:pStyle w:val="TableText"/>
              <w:spacing w:before="30" w:after="0"/>
            </w:pPr>
            <w:r>
              <w:t>s</w:t>
            </w:r>
            <w:r w:rsidR="00650A90" w:rsidRPr="00F94457">
              <w:t>imvastatin</w:t>
            </w:r>
          </w:p>
          <w:p w14:paraId="4606F9A9" w14:textId="1E18FC3B" w:rsidR="00650A90" w:rsidRPr="00F94457" w:rsidRDefault="00A774AD" w:rsidP="00B85D91">
            <w:pPr>
              <w:pStyle w:val="TableText"/>
              <w:spacing w:before="30" w:after="0"/>
            </w:pPr>
            <w:r>
              <w:t>a</w:t>
            </w:r>
            <w:r w:rsidR="00650A90" w:rsidRPr="00F94457">
              <w:t>torvastatin</w:t>
            </w:r>
          </w:p>
          <w:p w14:paraId="14A4A3E3" w14:textId="3F9127C5" w:rsidR="00650A90" w:rsidRPr="00F94457" w:rsidRDefault="00000000" w:rsidP="00B85D91">
            <w:pPr>
              <w:pStyle w:val="TableText"/>
              <w:spacing w:before="30" w:after="0"/>
            </w:pPr>
            <w:hyperlink r:id="rId31" w:history="1">
              <w:r w:rsidR="00A774AD">
                <w:t>f</w:t>
              </w:r>
              <w:r w:rsidR="00650A90" w:rsidRPr="00487E20">
                <w:t>luvastatin</w:t>
              </w:r>
            </w:hyperlink>
          </w:p>
          <w:p w14:paraId="0B2FE6A1" w14:textId="6D63A036" w:rsidR="00650A90" w:rsidRPr="003B1D6C" w:rsidRDefault="00A774AD" w:rsidP="00B85D91">
            <w:pPr>
              <w:pStyle w:val="TableText"/>
              <w:spacing w:before="30"/>
            </w:pPr>
            <w:r>
              <w:t>e</w:t>
            </w:r>
            <w:r w:rsidR="00650A90" w:rsidRPr="00F94457">
              <w:t xml:space="preserve">zetimibe </w:t>
            </w:r>
            <w:r>
              <w:t>+</w:t>
            </w:r>
            <w:r w:rsidRPr="00F94457">
              <w:t xml:space="preserve"> </w:t>
            </w:r>
            <w:r w:rsidR="00650A90" w:rsidRPr="00F94457">
              <w:t>simvastatin</w:t>
            </w:r>
          </w:p>
        </w:tc>
      </w:tr>
      <w:tr w:rsidR="00650A90" w14:paraId="4B8AE422" w14:textId="77777777" w:rsidTr="0018593D">
        <w:trPr>
          <w:cantSplit/>
        </w:trPr>
        <w:tc>
          <w:tcPr>
            <w:tcW w:w="1640" w:type="pct"/>
            <w:shd w:val="clear" w:color="auto" w:fill="auto"/>
          </w:tcPr>
          <w:p w14:paraId="2C262B3C" w14:textId="77777777" w:rsidR="00650A90" w:rsidRPr="003B1D6C" w:rsidRDefault="00650A90" w:rsidP="00B85D91">
            <w:pPr>
              <w:pStyle w:val="TableText"/>
            </w:pPr>
            <w:r w:rsidRPr="003B1D6C">
              <w:t>Other lipid</w:t>
            </w:r>
            <w:r>
              <w:t>-</w:t>
            </w:r>
            <w:r w:rsidRPr="003B1D6C">
              <w:t>lowering drugs</w:t>
            </w:r>
          </w:p>
        </w:tc>
        <w:tc>
          <w:tcPr>
            <w:tcW w:w="3360" w:type="pct"/>
            <w:shd w:val="clear" w:color="auto" w:fill="auto"/>
          </w:tcPr>
          <w:p w14:paraId="4F5567CD" w14:textId="220633C7" w:rsidR="00650A90" w:rsidRPr="003B1D6C" w:rsidRDefault="000668B5" w:rsidP="00B85D91">
            <w:pPr>
              <w:pStyle w:val="TableText"/>
              <w:spacing w:after="0"/>
            </w:pPr>
            <w:proofErr w:type="spellStart"/>
            <w:r>
              <w:t>a</w:t>
            </w:r>
            <w:r w:rsidR="00650A90" w:rsidRPr="003B1D6C">
              <w:t>cipimox</w:t>
            </w:r>
            <w:proofErr w:type="spellEnd"/>
          </w:p>
          <w:p w14:paraId="1A7BF67F" w14:textId="62FD0C05" w:rsidR="00650A90" w:rsidRPr="003B1D6C" w:rsidRDefault="000668B5" w:rsidP="00B85D91">
            <w:pPr>
              <w:pStyle w:val="TableText"/>
              <w:spacing w:before="30" w:after="0"/>
            </w:pPr>
            <w:r>
              <w:t>b</w:t>
            </w:r>
            <w:r w:rsidR="00650A90" w:rsidRPr="003B1D6C">
              <w:t>ezafibrate</w:t>
            </w:r>
          </w:p>
          <w:p w14:paraId="20AC2381" w14:textId="20C2F489" w:rsidR="00650A90" w:rsidRPr="003B1D6C" w:rsidRDefault="000668B5" w:rsidP="00B85D91">
            <w:pPr>
              <w:pStyle w:val="TableText"/>
              <w:spacing w:before="30" w:after="0"/>
            </w:pPr>
            <w:r>
              <w:t>c</w:t>
            </w:r>
            <w:r w:rsidR="00650A90" w:rsidRPr="003B1D6C">
              <w:t>holestyramine</w:t>
            </w:r>
          </w:p>
          <w:p w14:paraId="06DADCA4" w14:textId="722BE1A4" w:rsidR="00650A90" w:rsidRPr="003B1D6C" w:rsidRDefault="000668B5" w:rsidP="00B85D91">
            <w:pPr>
              <w:pStyle w:val="TableText"/>
              <w:spacing w:before="30" w:after="0"/>
            </w:pPr>
            <w:r>
              <w:t>c</w:t>
            </w:r>
            <w:r w:rsidR="00650A90" w:rsidRPr="003B1D6C">
              <w:t>lofibrate</w:t>
            </w:r>
          </w:p>
          <w:p w14:paraId="154F2BB7" w14:textId="187C416C" w:rsidR="00650A90" w:rsidRPr="003B1D6C" w:rsidRDefault="000668B5" w:rsidP="00B85D91">
            <w:pPr>
              <w:pStyle w:val="TableText"/>
              <w:spacing w:before="30" w:after="0"/>
            </w:pPr>
            <w:r>
              <w:t>c</w:t>
            </w:r>
            <w:r w:rsidR="00650A90" w:rsidRPr="003B1D6C">
              <w:t>olestipol hydrochloride</w:t>
            </w:r>
          </w:p>
          <w:p w14:paraId="194CBE6F" w14:textId="71E694FD" w:rsidR="00650A90" w:rsidRPr="003B1D6C" w:rsidRDefault="000668B5" w:rsidP="00B85D91">
            <w:pPr>
              <w:pStyle w:val="TableText"/>
              <w:spacing w:before="30" w:after="0"/>
            </w:pPr>
            <w:r>
              <w:t>e</w:t>
            </w:r>
            <w:r w:rsidR="00650A90" w:rsidRPr="003B1D6C">
              <w:t>zetimibe</w:t>
            </w:r>
          </w:p>
          <w:p w14:paraId="30326F95" w14:textId="1CFFA9DF" w:rsidR="00650A90" w:rsidRPr="003B1D6C" w:rsidRDefault="000668B5" w:rsidP="00B85D91">
            <w:pPr>
              <w:pStyle w:val="TableText"/>
              <w:spacing w:before="30" w:after="0"/>
            </w:pPr>
            <w:r>
              <w:t>e</w:t>
            </w:r>
            <w:r w:rsidR="00650A90" w:rsidRPr="003B1D6C">
              <w:t xml:space="preserve">zetimibe </w:t>
            </w:r>
            <w:r>
              <w:t>+</w:t>
            </w:r>
            <w:r w:rsidRPr="003B1D6C">
              <w:t xml:space="preserve"> </w:t>
            </w:r>
            <w:r w:rsidR="00650A90" w:rsidRPr="003B1D6C">
              <w:t>simvastatin</w:t>
            </w:r>
          </w:p>
          <w:p w14:paraId="19EF7701" w14:textId="1724A37C" w:rsidR="00650A90" w:rsidRPr="003B1D6C" w:rsidRDefault="000668B5" w:rsidP="00B85D91">
            <w:pPr>
              <w:pStyle w:val="TableText"/>
              <w:spacing w:before="30" w:after="0"/>
            </w:pPr>
            <w:r>
              <w:t>g</w:t>
            </w:r>
            <w:r w:rsidR="00650A90" w:rsidRPr="003B1D6C">
              <w:t>emfibrozil</w:t>
            </w:r>
          </w:p>
          <w:p w14:paraId="12B52CF8" w14:textId="73A08CDB" w:rsidR="00650A90" w:rsidRPr="003B1D6C" w:rsidRDefault="000668B5" w:rsidP="00B85D91">
            <w:pPr>
              <w:pStyle w:val="TableText"/>
              <w:spacing w:before="30"/>
            </w:pPr>
            <w:r>
              <w:t>n</w:t>
            </w:r>
            <w:r w:rsidR="00650A90" w:rsidRPr="003B1D6C">
              <w:t>icotinic acid</w:t>
            </w:r>
          </w:p>
        </w:tc>
      </w:tr>
    </w:tbl>
    <w:p w14:paraId="2A5ED57A" w14:textId="65A728F3" w:rsidR="00650A90" w:rsidRDefault="00650A90" w:rsidP="0018593D">
      <w:pPr>
        <w:pStyle w:val="Heading3"/>
      </w:pPr>
      <w:bookmarkStart w:id="51" w:name="_Toc522522091"/>
      <w:r>
        <w:t>Blood pressure lowering medication</w:t>
      </w:r>
      <w:bookmarkEnd w:id="51"/>
    </w:p>
    <w:p w14:paraId="13307D18" w14:textId="360B19AD" w:rsidR="00650A90" w:rsidRDefault="009E372C" w:rsidP="0018593D">
      <w:r>
        <w:t xml:space="preserve">Being on a </w:t>
      </w:r>
      <w:r w:rsidR="00650A90">
        <w:t xml:space="preserve">blood pressure lowering medication, if prescribed in the six months before a CVD risk assessment, </w:t>
      </w:r>
      <w:r>
        <w:t xml:space="preserve">is </w:t>
      </w:r>
      <w:r w:rsidR="00650A90">
        <w:t>included as a variable in the CVD risk equations.</w:t>
      </w:r>
    </w:p>
    <w:p w14:paraId="2B5202E7" w14:textId="77777777" w:rsidR="004470FF" w:rsidRDefault="004470FF" w:rsidP="0018593D"/>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AB62EB" w:rsidRPr="008D448E" w14:paraId="6C44BD78" w14:textId="77777777" w:rsidTr="00F43F4C">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294FD550" w14:textId="77777777" w:rsidR="00AB62EB" w:rsidRPr="004470FF" w:rsidRDefault="00AB62EB" w:rsidP="00F43F4C">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EC17717" w14:textId="77777777" w:rsidR="00790ED8" w:rsidRDefault="00790ED8" w:rsidP="00F43F4C">
            <w:pPr>
              <w:pStyle w:val="TableText"/>
            </w:pPr>
            <w:r>
              <w:t>On blood pressure lowering medication</w:t>
            </w:r>
          </w:p>
          <w:p w14:paraId="76B72CF5" w14:textId="11602AEE" w:rsidR="00AB62EB" w:rsidRPr="008D448E" w:rsidRDefault="0018593D" w:rsidP="00F43F4C">
            <w:pPr>
              <w:pStyle w:val="TableText"/>
            </w:pPr>
            <w:r>
              <w:t xml:space="preserve">The patient has been prescribed one or more medications that lower blood pressure – </w:t>
            </w:r>
            <w:proofErr w:type="spellStart"/>
            <w:r>
              <w:t>eg</w:t>
            </w:r>
            <w:proofErr w:type="spellEnd"/>
            <w:r>
              <w:t>, a</w:t>
            </w:r>
            <w:r w:rsidRPr="00CB6C0E">
              <w:t>ngiotensin-converting enzyme (ACE</w:t>
            </w:r>
            <w:r>
              <w:t>) inhibitors</w:t>
            </w:r>
            <w:r w:rsidRPr="00CB6C0E">
              <w:t>, angiotensin II receptor blocker (ARB), beta blockers, calcium channel blockers, thiazides and other BP-lowering medications</w:t>
            </w:r>
            <w:r>
              <w:t xml:space="preserve"> – in the previous six months</w:t>
            </w:r>
          </w:p>
        </w:tc>
      </w:tr>
      <w:tr w:rsidR="00AB62EB" w:rsidRPr="008D448E" w14:paraId="140EEF4A"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4259836" w14:textId="7F02688C" w:rsidR="00AB62EB" w:rsidRPr="004470FF" w:rsidRDefault="00AB62EB" w:rsidP="00F43F4C">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514D0D95" w14:textId="77777777" w:rsidR="00AB62EB" w:rsidRPr="008D448E" w:rsidRDefault="00AB62EB" w:rsidP="00F43F4C">
            <w:pPr>
              <w:pStyle w:val="TableText"/>
            </w:pPr>
          </w:p>
        </w:tc>
      </w:tr>
      <w:tr w:rsidR="0018593D" w:rsidRPr="008D448E" w14:paraId="39ACEB37"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BFE9B6A" w14:textId="77777777" w:rsidR="0018593D" w:rsidRPr="004470FF" w:rsidRDefault="0018593D" w:rsidP="00F43F4C">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119CE776" w14:textId="62E4E3ED" w:rsidR="0018593D" w:rsidRPr="008D448E" w:rsidRDefault="00D473EB" w:rsidP="00F43F4C">
            <w:pPr>
              <w:pStyle w:val="TableText"/>
            </w:pPr>
            <w:r>
              <w:rPr>
                <w:rFonts w:cs="Arial"/>
              </w:rPr>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B6844F3" w14:textId="77777777" w:rsidR="0018593D" w:rsidRPr="004470FF" w:rsidRDefault="0018593D" w:rsidP="00F43F4C">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7A2A091F" w14:textId="3CC79907" w:rsidR="0018593D" w:rsidRPr="008D448E" w:rsidRDefault="0018593D" w:rsidP="00F43F4C">
            <w:pPr>
              <w:pStyle w:val="TableText"/>
            </w:pPr>
            <w:r>
              <w:rPr>
                <w:rFonts w:cs="Arial"/>
              </w:rPr>
              <w:t xml:space="preserve">Value </w:t>
            </w:r>
          </w:p>
        </w:tc>
      </w:tr>
      <w:tr w:rsidR="0018593D" w:rsidRPr="00F46627" w14:paraId="2D21DD9C"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9C867AF" w14:textId="77777777" w:rsidR="0018593D" w:rsidRPr="004470FF" w:rsidRDefault="0018593D" w:rsidP="00F43F4C">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583E8215" w14:textId="23F21078" w:rsidR="0018593D" w:rsidRPr="008D448E" w:rsidRDefault="0018593D" w:rsidP="00F43F4C">
            <w:pPr>
              <w:pStyle w:val="TableText"/>
            </w:pPr>
            <w:r>
              <w:rPr>
                <w:rFonts w:cs="Arial"/>
              </w:rPr>
              <w:t>1</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711153D7" w14:textId="77777777" w:rsidR="0018593D" w:rsidRPr="004470FF" w:rsidRDefault="0018593D" w:rsidP="00F43F4C">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40CA54BE" w14:textId="50468353" w:rsidR="0018593D" w:rsidRPr="00F46627" w:rsidRDefault="0018593D" w:rsidP="00F43F4C">
            <w:pPr>
              <w:pStyle w:val="TableText"/>
            </w:pPr>
            <w:r w:rsidRPr="007B116A">
              <w:rPr>
                <w:rFonts w:cs="Arial"/>
              </w:rPr>
              <w:t>N</w:t>
            </w:r>
          </w:p>
        </w:tc>
      </w:tr>
      <w:tr w:rsidR="0018593D" w:rsidRPr="008D448E" w14:paraId="44AE482A"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73F6252" w14:textId="77777777" w:rsidR="0018593D" w:rsidRPr="004470FF" w:rsidRDefault="0018593D" w:rsidP="00F43F4C">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C5D5B81" w14:textId="77777777" w:rsidR="0018593D" w:rsidRDefault="0018593D" w:rsidP="00F43F4C">
            <w:pPr>
              <w:pStyle w:val="TableText"/>
            </w:pPr>
            <w:r>
              <w:t>0 = No</w:t>
            </w:r>
          </w:p>
          <w:p w14:paraId="25ABA38E" w14:textId="348C4F76" w:rsidR="0018593D" w:rsidRPr="008D448E" w:rsidRDefault="0018593D" w:rsidP="00F43F4C">
            <w:pPr>
              <w:pStyle w:val="TableText"/>
            </w:pPr>
            <w:r>
              <w:t>1 = Yes</w:t>
            </w:r>
          </w:p>
        </w:tc>
      </w:tr>
      <w:tr w:rsidR="0018593D" w:rsidRPr="008D448E" w14:paraId="14D121BB"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D135B55" w14:textId="77777777" w:rsidR="0018593D" w:rsidRPr="004470FF" w:rsidRDefault="0018593D" w:rsidP="00F43F4C">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AA3B12F" w14:textId="05D1356B" w:rsidR="0018593D" w:rsidRPr="008D448E" w:rsidRDefault="0018593D" w:rsidP="00F43F4C">
            <w:pPr>
              <w:pStyle w:val="TableText"/>
            </w:pPr>
            <w:r>
              <w:t>Mandatory</w:t>
            </w:r>
          </w:p>
        </w:tc>
      </w:tr>
      <w:tr w:rsidR="0018593D" w:rsidRPr="008D448E" w14:paraId="00BC5961"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607CB9D" w14:textId="77777777" w:rsidR="0018593D" w:rsidRPr="004470FF" w:rsidRDefault="0018593D" w:rsidP="00F43F4C">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41B2737" w14:textId="45FAEB4A" w:rsidR="0018593D" w:rsidRPr="008D448E" w:rsidRDefault="0018593D" w:rsidP="00F43F4C">
            <w:pPr>
              <w:pStyle w:val="TableText"/>
            </w:pPr>
            <w:r>
              <w:t>Clinical criteria based on long-term medications</w:t>
            </w:r>
          </w:p>
        </w:tc>
      </w:tr>
      <w:tr w:rsidR="0018593D" w:rsidRPr="008D448E" w14:paraId="39DEF233" w14:textId="77777777" w:rsidTr="00F43F4C">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54BD7D08" w14:textId="77777777" w:rsidR="0018593D" w:rsidRPr="004470FF" w:rsidRDefault="0018593D" w:rsidP="00F43F4C">
            <w:pPr>
              <w:pStyle w:val="TableText"/>
              <w:rPr>
                <w:b/>
              </w:rPr>
            </w:pPr>
            <w:r w:rsidRPr="004470FF">
              <w:rPr>
                <w:b/>
              </w:rPr>
              <w:lastRenderedPageBreak/>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4728EDA" w14:textId="77777777" w:rsidR="0018593D" w:rsidRPr="008D448E" w:rsidRDefault="0018593D" w:rsidP="00F43F4C">
            <w:pPr>
              <w:pStyle w:val="TableText"/>
            </w:pPr>
          </w:p>
        </w:tc>
      </w:tr>
    </w:tbl>
    <w:p w14:paraId="5271592C" w14:textId="0208F263" w:rsidR="00650A90" w:rsidRDefault="00650A90" w:rsidP="0018593D">
      <w:pPr>
        <w:pStyle w:val="Heading4"/>
      </w:pPr>
      <w:r>
        <w:t xml:space="preserve">Blood pressure lowering medications </w:t>
      </w:r>
      <w:r w:rsidR="009E372C">
        <w:t>(</w:t>
      </w:r>
      <w:r>
        <w:t xml:space="preserve">as at </w:t>
      </w:r>
      <w:r w:rsidR="008352F4">
        <w:t>publication date</w:t>
      </w:r>
      <w:r w:rsidR="009E372C">
        <w:t>)</w:t>
      </w:r>
    </w:p>
    <w:p w14:paraId="6176CA32" w14:textId="2C477A09" w:rsidR="00650A90" w:rsidRDefault="00650A90" w:rsidP="0018593D">
      <w:pPr>
        <w:keepNext/>
      </w:pPr>
      <w:r w:rsidRPr="00707DA0">
        <w:t>As new blood pressure lowering medications are approved</w:t>
      </w:r>
      <w:r>
        <w:t>,</w:t>
      </w:r>
      <w:r w:rsidRPr="00707DA0">
        <w:t xml:space="preserve"> they </w:t>
      </w:r>
      <w:r w:rsidR="00FF3C18">
        <w:t>will</w:t>
      </w:r>
      <w:r w:rsidRPr="00707DA0">
        <w:t xml:space="preserve"> be </w:t>
      </w:r>
      <w:r>
        <w:t>added to</w:t>
      </w:r>
      <w:r w:rsidRPr="00707DA0">
        <w:t xml:space="preserve"> the list.</w:t>
      </w:r>
    </w:p>
    <w:p w14:paraId="1BFEDFF3" w14:textId="77777777" w:rsidR="0018593D" w:rsidRPr="00707DA0" w:rsidRDefault="0018593D" w:rsidP="0018593D">
      <w:pPr>
        <w:keepNext/>
      </w:pPr>
    </w:p>
    <w:tbl>
      <w:tblPr>
        <w:tblStyle w:val="TableGrid"/>
        <w:tblW w:w="4931" w:type="pct"/>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17"/>
        <w:gridCol w:w="6151"/>
      </w:tblGrid>
      <w:tr w:rsidR="00650A90" w:rsidRPr="0018593D" w14:paraId="61270ED8" w14:textId="77777777" w:rsidTr="0018593D">
        <w:trPr>
          <w:cantSplit/>
        </w:trPr>
        <w:tc>
          <w:tcPr>
            <w:tcW w:w="1140" w:type="pct"/>
            <w:tcBorders>
              <w:top w:val="nil"/>
              <w:bottom w:val="nil"/>
            </w:tcBorders>
            <w:shd w:val="clear" w:color="auto" w:fill="D9D9D9" w:themeFill="background1" w:themeFillShade="D9"/>
          </w:tcPr>
          <w:p w14:paraId="2537B882" w14:textId="77777777" w:rsidR="00650A90" w:rsidRPr="0018593D" w:rsidRDefault="00650A90" w:rsidP="0018593D">
            <w:pPr>
              <w:pStyle w:val="TableText"/>
              <w:rPr>
                <w:b/>
              </w:rPr>
            </w:pPr>
            <w:r w:rsidRPr="0018593D">
              <w:rPr>
                <w:b/>
              </w:rPr>
              <w:t>Sub-category</w:t>
            </w:r>
          </w:p>
        </w:tc>
        <w:tc>
          <w:tcPr>
            <w:tcW w:w="3860" w:type="pct"/>
            <w:tcBorders>
              <w:top w:val="nil"/>
              <w:bottom w:val="nil"/>
            </w:tcBorders>
            <w:shd w:val="clear" w:color="auto" w:fill="D9D9D9" w:themeFill="background1" w:themeFillShade="D9"/>
          </w:tcPr>
          <w:p w14:paraId="65AE0C9F" w14:textId="77777777" w:rsidR="00650A90" w:rsidRPr="0018593D" w:rsidRDefault="00650A90" w:rsidP="0018593D">
            <w:pPr>
              <w:pStyle w:val="TableText"/>
              <w:rPr>
                <w:b/>
              </w:rPr>
            </w:pPr>
            <w:r w:rsidRPr="0018593D">
              <w:rPr>
                <w:b/>
              </w:rPr>
              <w:t>Product/substance</w:t>
            </w:r>
          </w:p>
        </w:tc>
      </w:tr>
      <w:tr w:rsidR="00650A90" w:rsidRPr="00CB6319" w14:paraId="443CA9CD" w14:textId="77777777" w:rsidTr="0018593D">
        <w:trPr>
          <w:cantSplit/>
        </w:trPr>
        <w:tc>
          <w:tcPr>
            <w:tcW w:w="1140" w:type="pct"/>
            <w:tcBorders>
              <w:top w:val="nil"/>
            </w:tcBorders>
            <w:shd w:val="clear" w:color="auto" w:fill="auto"/>
          </w:tcPr>
          <w:p w14:paraId="32716191" w14:textId="77777777" w:rsidR="00650A90" w:rsidRPr="0018593D" w:rsidRDefault="00650A90" w:rsidP="0018593D">
            <w:pPr>
              <w:pStyle w:val="TableText"/>
              <w:ind w:right="142"/>
              <w:rPr>
                <w:rFonts w:cs="Segoe UI"/>
              </w:rPr>
            </w:pPr>
            <w:r w:rsidRPr="0018593D">
              <w:rPr>
                <w:rFonts w:cs="Segoe UI"/>
              </w:rPr>
              <w:t>ACE inhibitor</w:t>
            </w:r>
          </w:p>
        </w:tc>
        <w:tc>
          <w:tcPr>
            <w:tcW w:w="3860" w:type="pct"/>
            <w:tcBorders>
              <w:top w:val="nil"/>
            </w:tcBorders>
            <w:shd w:val="clear" w:color="auto" w:fill="auto"/>
          </w:tcPr>
          <w:p w14:paraId="42B8BD22" w14:textId="01B20492" w:rsidR="00650A90" w:rsidRPr="00CB6319" w:rsidRDefault="000668B5" w:rsidP="000668B5">
            <w:pPr>
              <w:pStyle w:val="TableText"/>
            </w:pPr>
            <w:r>
              <w:t>c</w:t>
            </w:r>
            <w:r w:rsidR="00650A90" w:rsidRPr="00CB6319">
              <w:t xml:space="preserve">aptopril, </w:t>
            </w:r>
            <w:r>
              <w:t>p</w:t>
            </w:r>
            <w:r w:rsidR="00650A90" w:rsidRPr="00CB6319">
              <w:t xml:space="preserve">erindopril, </w:t>
            </w:r>
            <w:r>
              <w:t>l</w:t>
            </w:r>
            <w:r w:rsidR="00650A90" w:rsidRPr="00CB6319">
              <w:t xml:space="preserve">isinopril, </w:t>
            </w:r>
            <w:r>
              <w:t>b</w:t>
            </w:r>
            <w:r w:rsidR="00650A90" w:rsidRPr="00CB6319">
              <w:t xml:space="preserve">enazepril, </w:t>
            </w:r>
            <w:r>
              <w:t>q</w:t>
            </w:r>
            <w:r w:rsidR="00650A90" w:rsidRPr="00CB6319">
              <w:t xml:space="preserve">uinapril, </w:t>
            </w:r>
            <w:r>
              <w:t>c</w:t>
            </w:r>
            <w:r w:rsidR="00650A90" w:rsidRPr="00CB6319">
              <w:t xml:space="preserve">ilazapril, </w:t>
            </w:r>
            <w:r>
              <w:t>e</w:t>
            </w:r>
            <w:r w:rsidR="00650A90" w:rsidRPr="00CB6319">
              <w:t xml:space="preserve">nalapril maleate, </w:t>
            </w:r>
            <w:r>
              <w:t>t</w:t>
            </w:r>
            <w:r w:rsidR="00650A90" w:rsidRPr="00CB6319">
              <w:t xml:space="preserve">randolapril, </w:t>
            </w:r>
            <w:r>
              <w:t>q</w:t>
            </w:r>
            <w:r w:rsidR="00650A90" w:rsidRPr="00CB6319">
              <w:t xml:space="preserve">uinapril </w:t>
            </w:r>
            <w:r>
              <w:t>+</w:t>
            </w:r>
            <w:r w:rsidRPr="00CB6319">
              <w:t xml:space="preserve"> </w:t>
            </w:r>
            <w:r w:rsidR="00650A90" w:rsidRPr="00CB6319">
              <w:t xml:space="preserve">hydrochlorothiazide, </w:t>
            </w:r>
            <w:r>
              <w:t>c</w:t>
            </w:r>
            <w:r w:rsidR="00650A90" w:rsidRPr="00CB6319">
              <w:t xml:space="preserve">aptopril </w:t>
            </w:r>
            <w:r>
              <w:t>+</w:t>
            </w:r>
            <w:r w:rsidRPr="00CB6319">
              <w:t xml:space="preserve"> </w:t>
            </w:r>
            <w:r w:rsidR="00650A90" w:rsidRPr="00CB6319">
              <w:t xml:space="preserve">hydrochlorothiazide, </w:t>
            </w:r>
            <w:r>
              <w:t>l</w:t>
            </w:r>
            <w:r w:rsidR="00650A90" w:rsidRPr="00CB6319">
              <w:t xml:space="preserve">isinopril </w:t>
            </w:r>
            <w:r>
              <w:t>+</w:t>
            </w:r>
            <w:r w:rsidRPr="00CB6319">
              <w:t xml:space="preserve"> </w:t>
            </w:r>
            <w:r w:rsidR="00650A90" w:rsidRPr="00CB6319">
              <w:t xml:space="preserve">hydrochlorothiazide, </w:t>
            </w:r>
            <w:r>
              <w:t>e</w:t>
            </w:r>
            <w:r w:rsidR="00650A90" w:rsidRPr="00CB6319">
              <w:t xml:space="preserve">nalapril maleate </w:t>
            </w:r>
            <w:r>
              <w:t>+</w:t>
            </w:r>
            <w:r w:rsidRPr="00CB6319">
              <w:t xml:space="preserve"> </w:t>
            </w:r>
            <w:r w:rsidR="00650A90" w:rsidRPr="00CB6319">
              <w:t xml:space="preserve">hydrochlorothiazide, </w:t>
            </w:r>
            <w:r>
              <w:t>c</w:t>
            </w:r>
            <w:r w:rsidR="00650A90" w:rsidRPr="00CB6319">
              <w:t xml:space="preserve">ilazapril </w:t>
            </w:r>
            <w:r>
              <w:t>+</w:t>
            </w:r>
            <w:r w:rsidRPr="00CB6319">
              <w:t xml:space="preserve"> </w:t>
            </w:r>
            <w:r w:rsidR="00650A90" w:rsidRPr="00CB6319">
              <w:t>hydrochlorothiazide</w:t>
            </w:r>
          </w:p>
        </w:tc>
      </w:tr>
      <w:tr w:rsidR="00650A90" w:rsidRPr="00CB6319" w14:paraId="3D1EA319" w14:textId="77777777" w:rsidTr="0018593D">
        <w:trPr>
          <w:cantSplit/>
        </w:trPr>
        <w:tc>
          <w:tcPr>
            <w:tcW w:w="1140" w:type="pct"/>
            <w:shd w:val="clear" w:color="auto" w:fill="auto"/>
          </w:tcPr>
          <w:p w14:paraId="664AFF41" w14:textId="77777777" w:rsidR="00650A90" w:rsidRPr="0018593D" w:rsidRDefault="00650A90" w:rsidP="0018593D">
            <w:pPr>
              <w:pStyle w:val="TableText"/>
              <w:ind w:right="142"/>
              <w:rPr>
                <w:rFonts w:cs="Segoe UI"/>
              </w:rPr>
            </w:pPr>
            <w:r w:rsidRPr="0018593D">
              <w:rPr>
                <w:rFonts w:cs="Segoe UI"/>
              </w:rPr>
              <w:t>Angiotensin II receptor blocker</w:t>
            </w:r>
          </w:p>
        </w:tc>
        <w:tc>
          <w:tcPr>
            <w:tcW w:w="3860" w:type="pct"/>
            <w:shd w:val="clear" w:color="auto" w:fill="auto"/>
          </w:tcPr>
          <w:p w14:paraId="662F3C06" w14:textId="297E3D3A" w:rsidR="00650A90" w:rsidRPr="00CB6319" w:rsidRDefault="000668B5" w:rsidP="000668B5">
            <w:pPr>
              <w:pStyle w:val="TableText"/>
            </w:pPr>
            <w:r>
              <w:t>l</w:t>
            </w:r>
            <w:r w:rsidR="00650A90" w:rsidRPr="00CB6319">
              <w:t xml:space="preserve">osartan with hydrochlorothiazide, </w:t>
            </w:r>
            <w:r>
              <w:t>c</w:t>
            </w:r>
            <w:r w:rsidR="00650A90" w:rsidRPr="00CB6319">
              <w:t xml:space="preserve">andesartan </w:t>
            </w:r>
            <w:proofErr w:type="spellStart"/>
            <w:r w:rsidR="00650A90" w:rsidRPr="00CB6319">
              <w:t>cilexetil</w:t>
            </w:r>
            <w:proofErr w:type="spellEnd"/>
            <w:r w:rsidR="00650A90" w:rsidRPr="00CB6319">
              <w:t xml:space="preserve">, </w:t>
            </w:r>
            <w:r>
              <w:t>l</w:t>
            </w:r>
            <w:r w:rsidR="00650A90" w:rsidRPr="00CB6319">
              <w:t xml:space="preserve">osartan potassium, </w:t>
            </w:r>
            <w:r>
              <w:t>l</w:t>
            </w:r>
            <w:r w:rsidR="00650A90" w:rsidRPr="00CB6319">
              <w:t xml:space="preserve">osartan </w:t>
            </w:r>
            <w:r>
              <w:t>+</w:t>
            </w:r>
            <w:r w:rsidRPr="00CB6319">
              <w:t xml:space="preserve"> </w:t>
            </w:r>
            <w:r w:rsidR="00650A90">
              <w:t>h</w:t>
            </w:r>
            <w:r w:rsidR="00650A90" w:rsidRPr="00CB6319">
              <w:t xml:space="preserve">ydrochlorothiazide, </w:t>
            </w:r>
            <w:r>
              <w:t>l</w:t>
            </w:r>
            <w:r w:rsidR="00650A90" w:rsidRPr="00CB6319">
              <w:t xml:space="preserve">osartan potassium </w:t>
            </w:r>
            <w:r>
              <w:t>+</w:t>
            </w:r>
            <w:r w:rsidRPr="00CB6319">
              <w:t xml:space="preserve"> </w:t>
            </w:r>
            <w:r w:rsidR="00650A90" w:rsidRPr="00CB6319">
              <w:t xml:space="preserve">hydrochlorothiazide, </w:t>
            </w:r>
            <w:r>
              <w:t>l</w:t>
            </w:r>
            <w:r w:rsidR="00650A90" w:rsidRPr="00CB6319">
              <w:t>osartan</w:t>
            </w:r>
          </w:p>
        </w:tc>
      </w:tr>
      <w:tr w:rsidR="00650A90" w:rsidRPr="00CB6319" w14:paraId="01195E27" w14:textId="77777777" w:rsidTr="0018593D">
        <w:trPr>
          <w:cantSplit/>
        </w:trPr>
        <w:tc>
          <w:tcPr>
            <w:tcW w:w="1140" w:type="pct"/>
            <w:shd w:val="clear" w:color="auto" w:fill="auto"/>
          </w:tcPr>
          <w:p w14:paraId="5B63C5A8" w14:textId="77777777" w:rsidR="00650A90" w:rsidRPr="0018593D" w:rsidRDefault="00650A90" w:rsidP="0018593D">
            <w:pPr>
              <w:pStyle w:val="TableText"/>
              <w:ind w:right="142"/>
              <w:rPr>
                <w:rFonts w:cs="Segoe UI"/>
              </w:rPr>
            </w:pPr>
            <w:r w:rsidRPr="0018593D">
              <w:rPr>
                <w:rFonts w:cs="Segoe UI"/>
              </w:rPr>
              <w:t>Beta-blocker</w:t>
            </w:r>
          </w:p>
        </w:tc>
        <w:tc>
          <w:tcPr>
            <w:tcW w:w="3860" w:type="pct"/>
            <w:shd w:val="clear" w:color="auto" w:fill="auto"/>
          </w:tcPr>
          <w:p w14:paraId="1DA29420" w14:textId="6016A87A" w:rsidR="00650A90" w:rsidRPr="00CB6319" w:rsidRDefault="000668B5" w:rsidP="00F074FC">
            <w:pPr>
              <w:pStyle w:val="TableText"/>
            </w:pPr>
            <w:r>
              <w:t>c</w:t>
            </w:r>
            <w:r w:rsidR="00650A90" w:rsidRPr="00CB6319">
              <w:t xml:space="preserve">arvedilol, </w:t>
            </w:r>
            <w:proofErr w:type="spellStart"/>
            <w:r>
              <w:t>c</w:t>
            </w:r>
            <w:r w:rsidR="00650A90" w:rsidRPr="00CB6319">
              <w:t>eliprolol</w:t>
            </w:r>
            <w:proofErr w:type="spellEnd"/>
            <w:r w:rsidR="00650A90" w:rsidRPr="00CB6319">
              <w:t xml:space="preserve">, </w:t>
            </w:r>
            <w:r>
              <w:t>t</w:t>
            </w:r>
            <w:r w:rsidR="00650A90" w:rsidRPr="00CB6319">
              <w:t xml:space="preserve">imolol (not eye drops), </w:t>
            </w:r>
            <w:r>
              <w:t>s</w:t>
            </w:r>
            <w:r w:rsidR="00650A90" w:rsidRPr="00CB6319">
              <w:t xml:space="preserve">otalol, </w:t>
            </w:r>
            <w:r>
              <w:t>p</w:t>
            </w:r>
            <w:r w:rsidR="00650A90" w:rsidRPr="00CB6319">
              <w:t xml:space="preserve">ropranolol, </w:t>
            </w:r>
            <w:r>
              <w:t>p</w:t>
            </w:r>
            <w:r w:rsidR="00650A90" w:rsidRPr="00CB6319">
              <w:t xml:space="preserve">indolol, </w:t>
            </w:r>
            <w:r>
              <w:t>o</w:t>
            </w:r>
            <w:r w:rsidR="00650A90" w:rsidRPr="00CB6319">
              <w:t xml:space="preserve">xprenolol, </w:t>
            </w:r>
            <w:r w:rsidR="00F074FC">
              <w:t>n</w:t>
            </w:r>
            <w:r w:rsidR="00650A90" w:rsidRPr="00CB6319">
              <w:t xml:space="preserve">adolol, </w:t>
            </w:r>
            <w:r w:rsidR="00F074FC">
              <w:t>m</w:t>
            </w:r>
            <w:r w:rsidR="00650A90" w:rsidRPr="00CB6319">
              <w:t xml:space="preserve">etoprolol tartrate, </w:t>
            </w:r>
            <w:r w:rsidR="00F074FC">
              <w:t>m</w:t>
            </w:r>
            <w:r w:rsidR="00650A90" w:rsidRPr="00CB6319">
              <w:t xml:space="preserve">etoprolol succinate, </w:t>
            </w:r>
            <w:r w:rsidR="00F074FC">
              <w:t>l</w:t>
            </w:r>
            <w:r w:rsidR="00650A90" w:rsidRPr="00CB6319">
              <w:t xml:space="preserve">abetalol, </w:t>
            </w:r>
            <w:r w:rsidR="00F074FC">
              <w:t>a</w:t>
            </w:r>
            <w:r w:rsidR="00650A90" w:rsidRPr="00CB6319">
              <w:t xml:space="preserve">tenolol, </w:t>
            </w:r>
            <w:proofErr w:type="spellStart"/>
            <w:r w:rsidR="00F074FC">
              <w:t>a</w:t>
            </w:r>
            <w:r w:rsidR="00650A90" w:rsidRPr="00CB6319">
              <w:t>lprenolol</w:t>
            </w:r>
            <w:proofErr w:type="spellEnd"/>
            <w:r w:rsidR="00650A90" w:rsidRPr="00CB6319">
              <w:t xml:space="preserve">, </w:t>
            </w:r>
            <w:r w:rsidR="00F074FC">
              <w:t>a</w:t>
            </w:r>
            <w:r w:rsidR="00650A90" w:rsidRPr="00CB6319">
              <w:t xml:space="preserve">cebutolol, </w:t>
            </w:r>
            <w:r w:rsidR="00F074FC">
              <w:t>a</w:t>
            </w:r>
            <w:r w:rsidR="00650A90" w:rsidRPr="00CB6319">
              <w:t xml:space="preserve">cebutolol </w:t>
            </w:r>
            <w:r w:rsidR="00F074FC">
              <w:t>+</w:t>
            </w:r>
            <w:r w:rsidR="00F074FC" w:rsidRPr="00CB6319">
              <w:t xml:space="preserve"> </w:t>
            </w:r>
            <w:r w:rsidR="00650A90" w:rsidRPr="00CB6319">
              <w:t xml:space="preserve">hydrochlorothiazide, </w:t>
            </w:r>
            <w:r w:rsidR="00F074FC">
              <w:t>p</w:t>
            </w:r>
            <w:r w:rsidR="00650A90" w:rsidRPr="00CB6319">
              <w:t xml:space="preserve">indolol </w:t>
            </w:r>
            <w:r w:rsidR="00F074FC">
              <w:t>+</w:t>
            </w:r>
            <w:r w:rsidR="00F074FC" w:rsidRPr="00CB6319">
              <w:t xml:space="preserve"> </w:t>
            </w:r>
            <w:proofErr w:type="spellStart"/>
            <w:r w:rsidR="00650A90" w:rsidRPr="00CB6319">
              <w:t>clopamide</w:t>
            </w:r>
            <w:proofErr w:type="spellEnd"/>
            <w:r w:rsidR="00650A90" w:rsidRPr="00CB6319">
              <w:t xml:space="preserve">, </w:t>
            </w:r>
            <w:r w:rsidR="00F074FC">
              <w:t>a</w:t>
            </w:r>
            <w:r w:rsidR="00650A90" w:rsidRPr="00CB6319">
              <w:t xml:space="preserve">tenolol </w:t>
            </w:r>
            <w:r w:rsidR="00F074FC">
              <w:t>+</w:t>
            </w:r>
            <w:r w:rsidR="00F074FC" w:rsidRPr="00CB6319">
              <w:t xml:space="preserve"> </w:t>
            </w:r>
            <w:r w:rsidR="00650A90" w:rsidRPr="00CB6319">
              <w:t xml:space="preserve">chlorthalidone, </w:t>
            </w:r>
            <w:r w:rsidR="00F074FC">
              <w:t>b</w:t>
            </w:r>
            <w:r w:rsidR="00650A90" w:rsidRPr="00CB6319">
              <w:t>isoprolol fumarate</w:t>
            </w:r>
          </w:p>
        </w:tc>
      </w:tr>
      <w:tr w:rsidR="00650A90" w:rsidRPr="00CB6319" w14:paraId="4522FFC5" w14:textId="77777777" w:rsidTr="0018593D">
        <w:trPr>
          <w:cantSplit/>
        </w:trPr>
        <w:tc>
          <w:tcPr>
            <w:tcW w:w="1140" w:type="pct"/>
            <w:shd w:val="clear" w:color="auto" w:fill="auto"/>
          </w:tcPr>
          <w:p w14:paraId="453DBF6E" w14:textId="77777777" w:rsidR="00650A90" w:rsidRPr="0018593D" w:rsidRDefault="00650A90" w:rsidP="0018593D">
            <w:pPr>
              <w:pStyle w:val="TableText"/>
              <w:ind w:right="142"/>
              <w:rPr>
                <w:rFonts w:cs="Segoe UI"/>
              </w:rPr>
            </w:pPr>
            <w:r w:rsidRPr="0018593D">
              <w:rPr>
                <w:rFonts w:cs="Segoe UI"/>
              </w:rPr>
              <w:t>Calcium channel blocker</w:t>
            </w:r>
          </w:p>
        </w:tc>
        <w:tc>
          <w:tcPr>
            <w:tcW w:w="3860" w:type="pct"/>
            <w:shd w:val="clear" w:color="auto" w:fill="auto"/>
          </w:tcPr>
          <w:p w14:paraId="6CE5C0D1" w14:textId="0CE7B92F" w:rsidR="00650A90" w:rsidRPr="00CB6319" w:rsidRDefault="00F074FC" w:rsidP="0018593D">
            <w:pPr>
              <w:pStyle w:val="TableText"/>
            </w:pPr>
            <w:r>
              <w:t>a</w:t>
            </w:r>
            <w:r w:rsidR="00650A90" w:rsidRPr="00CB6319">
              <w:t xml:space="preserve">mlodipine, </w:t>
            </w:r>
            <w:r>
              <w:t>d</w:t>
            </w:r>
            <w:r w:rsidR="00650A90" w:rsidRPr="00CB6319">
              <w:t xml:space="preserve">iltiazem hydrochloride, </w:t>
            </w:r>
            <w:r>
              <w:t>f</w:t>
            </w:r>
            <w:r w:rsidR="00650A90" w:rsidRPr="00CB6319">
              <w:t xml:space="preserve">elodipine, </w:t>
            </w:r>
            <w:proofErr w:type="spellStart"/>
            <w:r>
              <w:t>i</w:t>
            </w:r>
            <w:r w:rsidR="00650A90" w:rsidRPr="00CB6319">
              <w:t>sradipine</w:t>
            </w:r>
            <w:proofErr w:type="spellEnd"/>
            <w:r w:rsidR="00650A90" w:rsidRPr="00CB6319">
              <w:t xml:space="preserve">, </w:t>
            </w:r>
            <w:r>
              <w:t>n</w:t>
            </w:r>
            <w:r w:rsidR="00650A90" w:rsidRPr="00CB6319">
              <w:t xml:space="preserve">ifedipine, </w:t>
            </w:r>
            <w:r>
              <w:t>v</w:t>
            </w:r>
            <w:r w:rsidR="00650A90" w:rsidRPr="00CB6319">
              <w:t xml:space="preserve">erapamil hydrochloride, </w:t>
            </w:r>
            <w:r>
              <w:t>v</w:t>
            </w:r>
            <w:r w:rsidR="00650A90" w:rsidRPr="00CB6319">
              <w:t xml:space="preserve">erapamil </w:t>
            </w:r>
            <w:r w:rsidR="00650A90">
              <w:t>h</w:t>
            </w:r>
            <w:r w:rsidR="00650A90" w:rsidRPr="00CB6319">
              <w:t>ydrochloride</w:t>
            </w:r>
          </w:p>
        </w:tc>
      </w:tr>
      <w:tr w:rsidR="00650A90" w:rsidRPr="00CB6319" w14:paraId="6B309C91" w14:textId="77777777" w:rsidTr="0018593D">
        <w:trPr>
          <w:cantSplit/>
        </w:trPr>
        <w:tc>
          <w:tcPr>
            <w:tcW w:w="1140" w:type="pct"/>
            <w:shd w:val="clear" w:color="auto" w:fill="auto"/>
          </w:tcPr>
          <w:p w14:paraId="6ABB0D58" w14:textId="77777777" w:rsidR="00650A90" w:rsidRPr="0018593D" w:rsidRDefault="00650A90" w:rsidP="0018593D">
            <w:pPr>
              <w:pStyle w:val="TableText"/>
              <w:ind w:right="142"/>
              <w:rPr>
                <w:rFonts w:cs="Segoe UI"/>
              </w:rPr>
            </w:pPr>
            <w:r w:rsidRPr="0018593D">
              <w:rPr>
                <w:rFonts w:cs="Segoe UI"/>
              </w:rPr>
              <w:t>Thiazide</w:t>
            </w:r>
          </w:p>
        </w:tc>
        <w:tc>
          <w:tcPr>
            <w:tcW w:w="3860" w:type="pct"/>
            <w:shd w:val="clear" w:color="auto" w:fill="auto"/>
          </w:tcPr>
          <w:p w14:paraId="24FBCE93" w14:textId="74EE8CBA" w:rsidR="00650A90" w:rsidRPr="00CB6319" w:rsidRDefault="00F074FC" w:rsidP="00F074FC">
            <w:pPr>
              <w:pStyle w:val="TableText"/>
            </w:pPr>
            <w:r>
              <w:t>a</w:t>
            </w:r>
            <w:r w:rsidR="00650A90" w:rsidRPr="00CB6319">
              <w:t xml:space="preserve">cebutolol </w:t>
            </w:r>
            <w:r>
              <w:t>+</w:t>
            </w:r>
            <w:r w:rsidRPr="00CB6319">
              <w:t xml:space="preserve"> </w:t>
            </w:r>
            <w:r w:rsidR="00650A90" w:rsidRPr="00CB6319">
              <w:t xml:space="preserve">hydrochlorothiazide, </w:t>
            </w:r>
            <w:r>
              <w:t>a</w:t>
            </w:r>
            <w:r w:rsidR="00650A90" w:rsidRPr="00CB6319">
              <w:t xml:space="preserve">miloride hydrochloride </w:t>
            </w:r>
            <w:r>
              <w:t>+</w:t>
            </w:r>
            <w:r w:rsidRPr="00CB6319">
              <w:t xml:space="preserve"> </w:t>
            </w:r>
            <w:r w:rsidR="00650A90" w:rsidRPr="00CB6319">
              <w:t xml:space="preserve">hydrochlorothiazide, </w:t>
            </w:r>
            <w:r>
              <w:t>a</w:t>
            </w:r>
            <w:r w:rsidR="00650A90" w:rsidRPr="00CB6319">
              <w:t xml:space="preserve">tenolol </w:t>
            </w:r>
            <w:r>
              <w:t>+</w:t>
            </w:r>
            <w:r w:rsidRPr="00CB6319">
              <w:t xml:space="preserve"> </w:t>
            </w:r>
            <w:r w:rsidR="00650A90" w:rsidRPr="00CB6319">
              <w:t xml:space="preserve">chlorthalidone, </w:t>
            </w:r>
            <w:proofErr w:type="spellStart"/>
            <w:r>
              <w:t>b</w:t>
            </w:r>
            <w:r w:rsidR="00650A90" w:rsidRPr="00CB6319">
              <w:t>endroflumethiazide</w:t>
            </w:r>
            <w:proofErr w:type="spellEnd"/>
            <w:r w:rsidR="00650A90" w:rsidRPr="00CB6319">
              <w:t xml:space="preserve"> </w:t>
            </w:r>
            <w:r>
              <w:t>(</w:t>
            </w:r>
            <w:proofErr w:type="spellStart"/>
            <w:r>
              <w:t>b</w:t>
            </w:r>
            <w:r w:rsidR="00650A90" w:rsidRPr="00CB6319">
              <w:t>endrofluazide</w:t>
            </w:r>
            <w:proofErr w:type="spellEnd"/>
            <w:r>
              <w:t>)</w:t>
            </w:r>
            <w:r w:rsidR="00650A90" w:rsidRPr="00CB6319">
              <w:t xml:space="preserve">, </w:t>
            </w:r>
            <w:r>
              <w:t>c</w:t>
            </w:r>
            <w:r w:rsidR="00650A90" w:rsidRPr="00CB6319">
              <w:t xml:space="preserve">aptopril </w:t>
            </w:r>
            <w:r>
              <w:t>+</w:t>
            </w:r>
            <w:r w:rsidRPr="00CB6319">
              <w:t xml:space="preserve"> </w:t>
            </w:r>
            <w:r w:rsidR="00650A90" w:rsidRPr="00CB6319">
              <w:t xml:space="preserve">hydrochlorothiazide, </w:t>
            </w:r>
            <w:r>
              <w:t>c</w:t>
            </w:r>
            <w:r w:rsidR="00650A90" w:rsidRPr="00CB6319">
              <w:t xml:space="preserve">hlorothiazide, </w:t>
            </w:r>
            <w:r>
              <w:t>c</w:t>
            </w:r>
            <w:r w:rsidR="00650A90" w:rsidRPr="00CB6319">
              <w:t xml:space="preserve">hlortalidone </w:t>
            </w:r>
            <w:r>
              <w:t>(</w:t>
            </w:r>
            <w:r w:rsidR="00650A90" w:rsidRPr="00CB6319">
              <w:t>Chlorthalidone</w:t>
            </w:r>
            <w:r>
              <w:t>)</w:t>
            </w:r>
            <w:r w:rsidR="00650A90" w:rsidRPr="00CB6319">
              <w:t>,</w:t>
            </w:r>
            <w:r>
              <w:t xml:space="preserve"> c</w:t>
            </w:r>
            <w:r w:rsidR="00650A90" w:rsidRPr="00CB6319">
              <w:t xml:space="preserve">ilazapril </w:t>
            </w:r>
            <w:r>
              <w:t>+</w:t>
            </w:r>
            <w:r w:rsidRPr="00CB6319">
              <w:t xml:space="preserve"> </w:t>
            </w:r>
            <w:r w:rsidR="00650A90" w:rsidRPr="00CB6319">
              <w:t xml:space="preserve">hydrochlorothiazide, </w:t>
            </w:r>
            <w:r>
              <w:t>c</w:t>
            </w:r>
            <w:r w:rsidR="00650A90" w:rsidRPr="00CB6319">
              <w:t xml:space="preserve">yclopenthiazide, </w:t>
            </w:r>
            <w:r>
              <w:t>e</w:t>
            </w:r>
            <w:r w:rsidR="00650A90" w:rsidRPr="00CB6319">
              <w:t xml:space="preserve">nalapril maleate </w:t>
            </w:r>
            <w:r>
              <w:t>+</w:t>
            </w:r>
            <w:r w:rsidRPr="00CB6319">
              <w:t xml:space="preserve"> </w:t>
            </w:r>
            <w:r w:rsidR="00650A90" w:rsidRPr="00CB6319">
              <w:t xml:space="preserve">hydrochlorothiazide, </w:t>
            </w:r>
            <w:r>
              <w:t>i</w:t>
            </w:r>
            <w:r w:rsidR="00650A90" w:rsidRPr="00CB6319">
              <w:t xml:space="preserve">ndapamide, </w:t>
            </w:r>
            <w:r>
              <w:t>l</w:t>
            </w:r>
            <w:r w:rsidR="00650A90" w:rsidRPr="00CB6319">
              <w:t xml:space="preserve">isinopril </w:t>
            </w:r>
            <w:r>
              <w:t>+</w:t>
            </w:r>
            <w:r w:rsidRPr="00CB6319">
              <w:t xml:space="preserve"> </w:t>
            </w:r>
            <w:r w:rsidR="00650A90" w:rsidRPr="00CB6319">
              <w:t xml:space="preserve">hydrochlorothiazide, </w:t>
            </w:r>
            <w:r>
              <w:t>l</w:t>
            </w:r>
            <w:r w:rsidR="00650A90" w:rsidRPr="00CB6319">
              <w:t xml:space="preserve">osartan, </w:t>
            </w:r>
            <w:r>
              <w:t>l</w:t>
            </w:r>
            <w:r w:rsidR="00650A90" w:rsidRPr="00CB6319">
              <w:t xml:space="preserve">osartan potassium </w:t>
            </w:r>
            <w:r>
              <w:t>+</w:t>
            </w:r>
            <w:r w:rsidRPr="00CB6319">
              <w:t xml:space="preserve"> </w:t>
            </w:r>
            <w:r w:rsidR="00650A90" w:rsidRPr="00CB6319">
              <w:t xml:space="preserve">hydrochlorothiazide, </w:t>
            </w:r>
            <w:r>
              <w:t>l</w:t>
            </w:r>
            <w:r w:rsidR="00650A90" w:rsidRPr="00CB6319">
              <w:t xml:space="preserve">osartan </w:t>
            </w:r>
            <w:r>
              <w:t>+</w:t>
            </w:r>
            <w:r w:rsidRPr="00CB6319">
              <w:t xml:space="preserve"> </w:t>
            </w:r>
            <w:r w:rsidR="00650A90" w:rsidRPr="00CB6319">
              <w:t xml:space="preserve">hydrochlorothiazide, </w:t>
            </w:r>
            <w:r>
              <w:t>l</w:t>
            </w:r>
            <w:r w:rsidR="00650A90" w:rsidRPr="00CB6319">
              <w:t xml:space="preserve">osartan </w:t>
            </w:r>
            <w:r>
              <w:t>+</w:t>
            </w:r>
            <w:r w:rsidRPr="00CB6319">
              <w:t xml:space="preserve"> </w:t>
            </w:r>
            <w:r w:rsidR="00650A90">
              <w:t>h</w:t>
            </w:r>
            <w:r w:rsidR="00650A90" w:rsidRPr="00CB6319">
              <w:t xml:space="preserve">ydrochlorothiazide, </w:t>
            </w:r>
            <w:r>
              <w:t>m</w:t>
            </w:r>
            <w:r w:rsidR="00650A90" w:rsidRPr="00CB6319">
              <w:t xml:space="preserve">ethyclothiazide, </w:t>
            </w:r>
            <w:r>
              <w:t>m</w:t>
            </w:r>
            <w:r w:rsidR="00650A90" w:rsidRPr="00CB6319">
              <w:t xml:space="preserve">ethyldopa </w:t>
            </w:r>
            <w:r>
              <w:t>+</w:t>
            </w:r>
            <w:r w:rsidRPr="00CB6319">
              <w:t xml:space="preserve"> </w:t>
            </w:r>
            <w:r w:rsidR="00650A90" w:rsidRPr="00CB6319">
              <w:t>hydrochlorothiazide,</w:t>
            </w:r>
            <w:r w:rsidR="0018593D">
              <w:t xml:space="preserve"> </w:t>
            </w:r>
            <w:r>
              <w:t>q</w:t>
            </w:r>
            <w:r w:rsidR="00650A90" w:rsidRPr="00CB6319">
              <w:t xml:space="preserve">uinapril </w:t>
            </w:r>
            <w:r>
              <w:t>+</w:t>
            </w:r>
            <w:r w:rsidRPr="00CB6319">
              <w:t xml:space="preserve"> </w:t>
            </w:r>
            <w:r w:rsidR="00650A90" w:rsidRPr="00CB6319">
              <w:t xml:space="preserve">hydrochlorothiazide, </w:t>
            </w:r>
            <w:r>
              <w:t>t</w:t>
            </w:r>
            <w:r w:rsidR="00650A90" w:rsidRPr="00CB6319">
              <w:t xml:space="preserve">riamterene </w:t>
            </w:r>
            <w:r>
              <w:t>+</w:t>
            </w:r>
            <w:r w:rsidRPr="00CB6319">
              <w:t xml:space="preserve"> </w:t>
            </w:r>
            <w:r w:rsidR="00650A90" w:rsidRPr="00CB6319">
              <w:t>hydrochlorothiazide</w:t>
            </w:r>
          </w:p>
        </w:tc>
      </w:tr>
      <w:tr w:rsidR="00650A90" w:rsidRPr="00CB6319" w14:paraId="5743B7A0" w14:textId="77777777" w:rsidTr="0018593D">
        <w:trPr>
          <w:cantSplit/>
        </w:trPr>
        <w:tc>
          <w:tcPr>
            <w:tcW w:w="1140" w:type="pct"/>
            <w:shd w:val="clear" w:color="auto" w:fill="auto"/>
          </w:tcPr>
          <w:p w14:paraId="42F3453C" w14:textId="77777777" w:rsidR="00650A90" w:rsidRPr="0018593D" w:rsidRDefault="00650A90" w:rsidP="0018593D">
            <w:pPr>
              <w:pStyle w:val="TableText"/>
              <w:ind w:right="142"/>
              <w:rPr>
                <w:rFonts w:cs="Segoe UI"/>
              </w:rPr>
            </w:pPr>
            <w:r w:rsidRPr="0018593D">
              <w:rPr>
                <w:rFonts w:cs="Segoe UI"/>
              </w:rPr>
              <w:t>Other blood pressure lowering drugs</w:t>
            </w:r>
          </w:p>
        </w:tc>
        <w:tc>
          <w:tcPr>
            <w:tcW w:w="3860" w:type="pct"/>
            <w:shd w:val="clear" w:color="auto" w:fill="auto"/>
          </w:tcPr>
          <w:p w14:paraId="09B3F17B" w14:textId="6E2F3700" w:rsidR="00650A90" w:rsidRPr="00CB6319" w:rsidRDefault="00DF4D5A" w:rsidP="00DF4D5A">
            <w:pPr>
              <w:pStyle w:val="TableText"/>
            </w:pPr>
            <w:r>
              <w:t>a</w:t>
            </w:r>
            <w:r w:rsidR="00650A90" w:rsidRPr="00CB6319">
              <w:t xml:space="preserve">miloride hydrochloride, </w:t>
            </w:r>
            <w:r>
              <w:t>a</w:t>
            </w:r>
            <w:r w:rsidR="00650A90" w:rsidRPr="00CB6319">
              <w:t xml:space="preserve">miloride hydrochloride </w:t>
            </w:r>
            <w:r>
              <w:t>+</w:t>
            </w:r>
            <w:r w:rsidRPr="00CB6319">
              <w:t xml:space="preserve"> </w:t>
            </w:r>
            <w:r w:rsidR="00650A90" w:rsidRPr="00CB6319">
              <w:t xml:space="preserve">furosemide, </w:t>
            </w:r>
            <w:r>
              <w:t>a</w:t>
            </w:r>
            <w:r w:rsidR="00650A90" w:rsidRPr="00CB6319">
              <w:t xml:space="preserve">miloride hydrochloride </w:t>
            </w:r>
            <w:r>
              <w:t>+</w:t>
            </w:r>
            <w:r w:rsidRPr="00CB6319">
              <w:t xml:space="preserve"> </w:t>
            </w:r>
            <w:r w:rsidR="00650A90" w:rsidRPr="00CB6319">
              <w:t xml:space="preserve">hydrochlorothiazide, </w:t>
            </w:r>
            <w:r>
              <w:t>c</w:t>
            </w:r>
            <w:r w:rsidR="00650A90" w:rsidRPr="00CB6319">
              <w:t xml:space="preserve">lonidine, </w:t>
            </w:r>
            <w:r>
              <w:t>c</w:t>
            </w:r>
            <w:r w:rsidR="00650A90" w:rsidRPr="00CB6319">
              <w:t xml:space="preserve">lonidine hydrochloride, </w:t>
            </w:r>
            <w:r>
              <w:t>h</w:t>
            </w:r>
            <w:r w:rsidR="00650A90" w:rsidRPr="00CB6319">
              <w:t xml:space="preserve">ydralazine hydrochloride, </w:t>
            </w:r>
            <w:r>
              <w:t>m</w:t>
            </w:r>
            <w:r w:rsidR="00650A90" w:rsidRPr="00CB6319">
              <w:t xml:space="preserve">ethyldopa, </w:t>
            </w:r>
            <w:r>
              <w:t>m</w:t>
            </w:r>
            <w:r w:rsidR="00650A90" w:rsidRPr="00CB6319">
              <w:t xml:space="preserve">ethyldopa </w:t>
            </w:r>
            <w:r>
              <w:t>+</w:t>
            </w:r>
            <w:r w:rsidRPr="00CB6319">
              <w:t xml:space="preserve"> </w:t>
            </w:r>
            <w:r w:rsidR="00650A90" w:rsidRPr="00CB6319">
              <w:t xml:space="preserve">hydrochlorothiazide, </w:t>
            </w:r>
            <w:r>
              <w:t>p</w:t>
            </w:r>
            <w:r w:rsidR="00650A90" w:rsidRPr="00CB6319">
              <w:t xml:space="preserve">indolol </w:t>
            </w:r>
            <w:r>
              <w:t>+</w:t>
            </w:r>
            <w:r w:rsidRPr="00CB6319">
              <w:t xml:space="preserve"> </w:t>
            </w:r>
            <w:proofErr w:type="spellStart"/>
            <w:r w:rsidR="00650A90" w:rsidRPr="00CB6319">
              <w:t>clopamide</w:t>
            </w:r>
            <w:proofErr w:type="spellEnd"/>
            <w:r w:rsidR="00650A90" w:rsidRPr="00CB6319">
              <w:t xml:space="preserve">, </w:t>
            </w:r>
            <w:r>
              <w:t>t</w:t>
            </w:r>
            <w:r w:rsidR="00650A90" w:rsidRPr="00CB6319">
              <w:t xml:space="preserve">riamterene </w:t>
            </w:r>
            <w:r>
              <w:t>+</w:t>
            </w:r>
            <w:r w:rsidRPr="00CB6319">
              <w:t xml:space="preserve"> </w:t>
            </w:r>
            <w:r w:rsidR="00650A90" w:rsidRPr="00CB6319">
              <w:t>hydrochlorothiazide</w:t>
            </w:r>
          </w:p>
        </w:tc>
      </w:tr>
    </w:tbl>
    <w:p w14:paraId="5BE85AF3" w14:textId="4D217C58" w:rsidR="00650A90" w:rsidRDefault="00650A90" w:rsidP="0018593D">
      <w:pPr>
        <w:pStyle w:val="Heading3"/>
      </w:pPr>
      <w:bookmarkStart w:id="52" w:name="_Toc522522092"/>
      <w:r w:rsidRPr="003824E0">
        <w:t>Antithro</w:t>
      </w:r>
      <w:r>
        <w:t>mbotic medication</w:t>
      </w:r>
    </w:p>
    <w:p w14:paraId="64406D2B" w14:textId="53C1FEA2" w:rsidR="009E372C" w:rsidRDefault="009E372C" w:rsidP="0018593D">
      <w:r>
        <w:t xml:space="preserve">Being on an </w:t>
      </w:r>
      <w:r w:rsidR="00650A90">
        <w:t xml:space="preserve">antithrombotic medication, if prescribed in the six months before a CVD risk assessment, </w:t>
      </w:r>
      <w:r>
        <w:t xml:space="preserve">is </w:t>
      </w:r>
      <w:r w:rsidR="00650A90">
        <w:t>included in the CVD risk equations.</w:t>
      </w:r>
    </w:p>
    <w:p w14:paraId="6D8438A9" w14:textId="77777777" w:rsidR="009E372C" w:rsidRDefault="009E372C" w:rsidP="0018593D"/>
    <w:p w14:paraId="7BF616B5" w14:textId="4482743B" w:rsidR="00650A90" w:rsidRDefault="00650A90" w:rsidP="0018593D">
      <w:r>
        <w:t xml:space="preserve">The variable </w:t>
      </w:r>
      <w:r w:rsidR="009E372C">
        <w:t>is</w:t>
      </w:r>
      <w:r>
        <w:t xml:space="preserve"> split into the two sub-categories antiplatelet agents and anticoagulants. As further risk equations are likely to be developed for </w:t>
      </w:r>
      <w:proofErr w:type="spellStart"/>
      <w:r>
        <w:t>i</w:t>
      </w:r>
      <w:proofErr w:type="spellEnd"/>
      <w:r>
        <w:t>) atrial fibrillation and ii)</w:t>
      </w:r>
      <w:r w:rsidR="0018593D">
        <w:t> </w:t>
      </w:r>
      <w:r>
        <w:t>bleeding risk from antiplatelet agents, these sub-categories should be collected separately.</w:t>
      </w:r>
      <w:bookmarkEnd w:id="52"/>
    </w:p>
    <w:p w14:paraId="670012BF" w14:textId="77777777" w:rsidR="004470FF" w:rsidRDefault="004470FF" w:rsidP="0018593D"/>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AB62EB" w:rsidRPr="008D448E" w14:paraId="31862545" w14:textId="77777777" w:rsidTr="00F43F4C">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913E7F2" w14:textId="77777777" w:rsidR="00AB62EB" w:rsidRPr="004470FF" w:rsidRDefault="00AB62EB" w:rsidP="00AA021D">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66F6FEE" w14:textId="77777777" w:rsidR="00790ED8" w:rsidRDefault="00790ED8" w:rsidP="00AA021D">
            <w:pPr>
              <w:pStyle w:val="TableText"/>
            </w:pPr>
            <w:r>
              <w:t>On antithrombotic medication</w:t>
            </w:r>
          </w:p>
          <w:p w14:paraId="1BB6090E" w14:textId="1A71AFBC" w:rsidR="00AB62EB" w:rsidRPr="008D448E" w:rsidRDefault="0018593D" w:rsidP="00AA021D">
            <w:pPr>
              <w:pStyle w:val="TableText"/>
            </w:pPr>
            <w:r>
              <w:t>The patient has been prescribed either an antiplatelet or an anticoagulant in the previous six months</w:t>
            </w:r>
          </w:p>
        </w:tc>
      </w:tr>
      <w:tr w:rsidR="00AB62EB" w:rsidRPr="008D448E" w14:paraId="289A78BF"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25090FA" w14:textId="4C25AC84" w:rsidR="00AB62EB" w:rsidRPr="004470FF" w:rsidRDefault="00AB62EB" w:rsidP="00AA021D">
            <w:pPr>
              <w:pStyle w:val="TableText"/>
              <w:rPr>
                <w:b/>
              </w:rPr>
            </w:pPr>
            <w:r w:rsidRPr="004470FF">
              <w:rPr>
                <w:b/>
              </w:rPr>
              <w:lastRenderedPageBreak/>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67D6702E" w14:textId="77777777" w:rsidR="00AB62EB" w:rsidRPr="008D448E" w:rsidRDefault="00AB62EB" w:rsidP="00AA021D">
            <w:pPr>
              <w:pStyle w:val="TableText"/>
            </w:pPr>
          </w:p>
        </w:tc>
      </w:tr>
      <w:tr w:rsidR="0018593D" w:rsidRPr="008D448E" w14:paraId="378FAB19"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916EE4F" w14:textId="77777777" w:rsidR="0018593D" w:rsidRPr="004470FF" w:rsidRDefault="0018593D">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0FC12C03" w14:textId="5BB1D366" w:rsidR="0018593D" w:rsidRPr="008D448E" w:rsidRDefault="009E372C">
            <w:pPr>
              <w:pStyle w:val="TableText"/>
            </w:pPr>
            <w:r>
              <w:rPr>
                <w:rFonts w:cs="Arial"/>
              </w:rPr>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0C2245E" w14:textId="77777777" w:rsidR="0018593D" w:rsidRPr="004470FF" w:rsidRDefault="0018593D">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32F9E33F" w14:textId="2ED9FCB0" w:rsidR="0018593D" w:rsidRPr="008D448E" w:rsidRDefault="0018593D">
            <w:pPr>
              <w:pStyle w:val="TableText"/>
            </w:pPr>
            <w:r>
              <w:rPr>
                <w:rFonts w:cs="Arial"/>
              </w:rPr>
              <w:t>Value</w:t>
            </w:r>
          </w:p>
        </w:tc>
      </w:tr>
      <w:tr w:rsidR="0018593D" w:rsidRPr="00F46627" w14:paraId="189743B3"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DA3C0CD" w14:textId="77777777" w:rsidR="0018593D" w:rsidRPr="004470FF" w:rsidRDefault="0018593D">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2E284B1F" w14:textId="0472CC04" w:rsidR="0018593D" w:rsidRPr="008D448E" w:rsidRDefault="0018593D">
            <w:pPr>
              <w:pStyle w:val="TableText"/>
            </w:pPr>
            <w:r>
              <w:rPr>
                <w:rFonts w:cs="Arial"/>
              </w:rPr>
              <w:t>1</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5AD6A526" w14:textId="77777777" w:rsidR="0018593D" w:rsidRPr="004470FF" w:rsidRDefault="0018593D">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778A882E" w14:textId="7BBFACD2" w:rsidR="0018593D" w:rsidRPr="00F46627" w:rsidRDefault="0018593D">
            <w:pPr>
              <w:pStyle w:val="TableText"/>
            </w:pPr>
            <w:r>
              <w:rPr>
                <w:rFonts w:cs="Arial"/>
              </w:rPr>
              <w:t>N</w:t>
            </w:r>
          </w:p>
        </w:tc>
      </w:tr>
      <w:tr w:rsidR="0018593D" w:rsidRPr="008D448E" w14:paraId="4C6C033B"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E0CEE95" w14:textId="77777777" w:rsidR="0018593D" w:rsidRPr="004470FF" w:rsidRDefault="0018593D">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D367798" w14:textId="77777777" w:rsidR="0018593D" w:rsidRDefault="0018593D">
            <w:pPr>
              <w:pStyle w:val="TableText"/>
            </w:pPr>
            <w:r>
              <w:t>0 = No</w:t>
            </w:r>
          </w:p>
          <w:p w14:paraId="5129D20C" w14:textId="3D96EA72" w:rsidR="0018593D" w:rsidRPr="008D448E" w:rsidRDefault="0018593D">
            <w:pPr>
              <w:pStyle w:val="TableText"/>
            </w:pPr>
            <w:r>
              <w:t>1 = Yes</w:t>
            </w:r>
          </w:p>
        </w:tc>
      </w:tr>
      <w:tr w:rsidR="0018593D" w:rsidRPr="008D448E" w14:paraId="4BB15819"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6C4C559" w14:textId="77777777" w:rsidR="0018593D" w:rsidRPr="004470FF" w:rsidRDefault="0018593D">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5D3DC26" w14:textId="61ACEFC1" w:rsidR="0018593D" w:rsidRPr="008D448E" w:rsidRDefault="0018593D">
            <w:pPr>
              <w:pStyle w:val="TableText"/>
            </w:pPr>
            <w:r>
              <w:t>Mandatory</w:t>
            </w:r>
          </w:p>
        </w:tc>
      </w:tr>
      <w:tr w:rsidR="0018593D" w:rsidRPr="008D448E" w14:paraId="629C9475"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D8D9D0F" w14:textId="77777777" w:rsidR="0018593D" w:rsidRPr="004470FF" w:rsidRDefault="0018593D">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2769EDF" w14:textId="77777777" w:rsidR="0018593D" w:rsidRDefault="0018593D">
            <w:pPr>
              <w:pStyle w:val="TableText"/>
            </w:pPr>
            <w:r>
              <w:t>Clinical criteria based on long-term medications</w:t>
            </w:r>
          </w:p>
          <w:p w14:paraId="6CCF2A74" w14:textId="5BB9B018" w:rsidR="0018593D" w:rsidRPr="008D448E" w:rsidRDefault="0018593D">
            <w:pPr>
              <w:pStyle w:val="TableText"/>
            </w:pPr>
            <w:r>
              <w:t>Combination of antiplatelet or anticoagulant medication used in CVD risk prediction equations</w:t>
            </w:r>
          </w:p>
        </w:tc>
      </w:tr>
      <w:tr w:rsidR="0018593D" w:rsidRPr="008D448E" w14:paraId="6B3D3039" w14:textId="77777777" w:rsidTr="00F43F4C">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BF83122" w14:textId="77777777" w:rsidR="0018593D" w:rsidRPr="004470FF" w:rsidRDefault="0018593D">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B81BD04" w14:textId="77777777" w:rsidR="0018593D" w:rsidRPr="008D448E" w:rsidRDefault="0018593D">
            <w:pPr>
              <w:pStyle w:val="TableText"/>
            </w:pPr>
          </w:p>
        </w:tc>
      </w:tr>
    </w:tbl>
    <w:p w14:paraId="0CEC4B81" w14:textId="77777777" w:rsidR="00650A90" w:rsidRDefault="00650A90" w:rsidP="0018593D">
      <w:pPr>
        <w:pStyle w:val="Heading4"/>
      </w:pPr>
      <w:r w:rsidRPr="003824E0">
        <w:rPr>
          <w:color w:val="365F91" w:themeColor="accent1" w:themeShade="BF"/>
        </w:rPr>
        <w:t>An</w:t>
      </w:r>
      <w:r>
        <w:t>tiplatelet agents</w:t>
      </w: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AB62EB" w:rsidRPr="008D448E" w14:paraId="6BF3552A" w14:textId="77777777" w:rsidTr="00F43F4C">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FDEE720" w14:textId="77777777" w:rsidR="00AB62EB" w:rsidRPr="004470FF" w:rsidRDefault="00AB62EB" w:rsidP="00F43F4C">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EA51FEF" w14:textId="77777777" w:rsidR="009E372C" w:rsidRDefault="009E372C" w:rsidP="00F43F4C">
            <w:pPr>
              <w:pStyle w:val="TableText"/>
            </w:pPr>
            <w:r>
              <w:t>On antiplatelet medication</w:t>
            </w:r>
          </w:p>
          <w:p w14:paraId="75557EEE" w14:textId="1D46E072" w:rsidR="00AB62EB" w:rsidRPr="008D448E" w:rsidRDefault="0018593D" w:rsidP="00F43F4C">
            <w:pPr>
              <w:pStyle w:val="TableText"/>
            </w:pPr>
            <w:r>
              <w:t>The patient has been prescribed one or more medications that are used as antiplatelet agents (</w:t>
            </w:r>
            <w:proofErr w:type="spellStart"/>
            <w:r>
              <w:t>eg</w:t>
            </w:r>
            <w:proofErr w:type="spellEnd"/>
            <w:r>
              <w:t>,</w:t>
            </w:r>
            <w:r w:rsidRPr="00CB6C0E">
              <w:t xml:space="preserve"> </w:t>
            </w:r>
            <w:r>
              <w:t>aspirin</w:t>
            </w:r>
            <w:r w:rsidRPr="00CB6C0E">
              <w:t xml:space="preserve">, </w:t>
            </w:r>
            <w:r>
              <w:t>clopidogrel) in the previous six months</w:t>
            </w:r>
          </w:p>
        </w:tc>
      </w:tr>
      <w:tr w:rsidR="00AB62EB" w:rsidRPr="008D448E" w14:paraId="3BAD2474"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1170AE4" w14:textId="6FC6BF5B" w:rsidR="00AB62EB" w:rsidRPr="004470FF" w:rsidRDefault="00AB62EB" w:rsidP="00F43F4C">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1C09B68E" w14:textId="77777777" w:rsidR="00AB62EB" w:rsidRPr="008D448E" w:rsidRDefault="00AB62EB" w:rsidP="00F43F4C">
            <w:pPr>
              <w:pStyle w:val="TableText"/>
            </w:pPr>
          </w:p>
        </w:tc>
      </w:tr>
      <w:tr w:rsidR="0018593D" w:rsidRPr="008D448E" w14:paraId="3EE4EC5C"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C5C38D3" w14:textId="77777777" w:rsidR="0018593D" w:rsidRPr="004470FF" w:rsidRDefault="0018593D" w:rsidP="00F43F4C">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78FCE9D0" w14:textId="5007D356" w:rsidR="0018593D" w:rsidRPr="008D448E" w:rsidRDefault="0097193D" w:rsidP="00F43F4C">
            <w:pPr>
              <w:pStyle w:val="TableText"/>
            </w:pPr>
            <w:r>
              <w:rPr>
                <w:rFonts w:cs="Arial"/>
              </w:rPr>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19A2D7D0" w14:textId="77777777" w:rsidR="0018593D" w:rsidRPr="004470FF" w:rsidRDefault="0018593D" w:rsidP="00F43F4C">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173DF4CC" w14:textId="5F3E96A3" w:rsidR="0018593D" w:rsidRPr="008D448E" w:rsidRDefault="0018593D" w:rsidP="00F43F4C">
            <w:pPr>
              <w:pStyle w:val="TableText"/>
            </w:pPr>
            <w:r>
              <w:rPr>
                <w:rFonts w:cs="Arial"/>
              </w:rPr>
              <w:t>Value</w:t>
            </w:r>
          </w:p>
        </w:tc>
      </w:tr>
      <w:tr w:rsidR="0018593D" w:rsidRPr="00F46627" w14:paraId="038E086A"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F4C4C60" w14:textId="77777777" w:rsidR="0018593D" w:rsidRPr="004470FF" w:rsidRDefault="0018593D" w:rsidP="00F43F4C">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5D1AFF9A" w14:textId="6D7C2B3E" w:rsidR="0018593D" w:rsidRPr="008D448E" w:rsidRDefault="0018593D" w:rsidP="00F43F4C">
            <w:pPr>
              <w:pStyle w:val="TableText"/>
            </w:pPr>
            <w:r>
              <w:rPr>
                <w:rFonts w:cs="Arial"/>
              </w:rPr>
              <w:t>1</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6FCC9308" w14:textId="77777777" w:rsidR="0018593D" w:rsidRPr="004470FF" w:rsidRDefault="0018593D" w:rsidP="00F43F4C">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16317CD1" w14:textId="7F25CE7E" w:rsidR="0018593D" w:rsidRPr="00F46627" w:rsidRDefault="0018593D" w:rsidP="00F43F4C">
            <w:pPr>
              <w:pStyle w:val="TableText"/>
            </w:pPr>
            <w:r>
              <w:rPr>
                <w:rFonts w:cs="Arial"/>
              </w:rPr>
              <w:t>N</w:t>
            </w:r>
          </w:p>
        </w:tc>
      </w:tr>
      <w:tr w:rsidR="0018593D" w:rsidRPr="008D448E" w14:paraId="05AB725C"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AE57D9B" w14:textId="77777777" w:rsidR="0018593D" w:rsidRPr="004470FF" w:rsidRDefault="0018593D" w:rsidP="00F43F4C">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39C9B60" w14:textId="77777777" w:rsidR="0018593D" w:rsidRDefault="0018593D" w:rsidP="00F43F4C">
            <w:pPr>
              <w:pStyle w:val="TableText"/>
            </w:pPr>
            <w:r>
              <w:t>0 = No</w:t>
            </w:r>
          </w:p>
          <w:p w14:paraId="51109EDD" w14:textId="0A019CA7" w:rsidR="0018593D" w:rsidRPr="008D448E" w:rsidRDefault="0018593D" w:rsidP="00F43F4C">
            <w:pPr>
              <w:pStyle w:val="TableText"/>
            </w:pPr>
            <w:r>
              <w:t>1 = Yes</w:t>
            </w:r>
          </w:p>
        </w:tc>
      </w:tr>
      <w:tr w:rsidR="0018593D" w:rsidRPr="008D448E" w14:paraId="62EBA8F8"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D4EE062" w14:textId="77777777" w:rsidR="0018593D" w:rsidRPr="004470FF" w:rsidRDefault="0018593D" w:rsidP="00F43F4C">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602C27A" w14:textId="7AE35FEC" w:rsidR="0018593D" w:rsidRPr="008D448E" w:rsidRDefault="0018593D" w:rsidP="00F43F4C">
            <w:pPr>
              <w:pStyle w:val="TableText"/>
            </w:pPr>
            <w:r>
              <w:t>Mandatory</w:t>
            </w:r>
          </w:p>
        </w:tc>
      </w:tr>
      <w:tr w:rsidR="0018593D" w:rsidRPr="008D448E" w14:paraId="2C8BE313"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5BE2C75" w14:textId="77777777" w:rsidR="0018593D" w:rsidRPr="004470FF" w:rsidRDefault="0018593D" w:rsidP="00F43F4C">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BBC295E" w14:textId="7FE3D5D8" w:rsidR="0018593D" w:rsidRPr="008D448E" w:rsidRDefault="0018593D" w:rsidP="00F43F4C">
            <w:pPr>
              <w:pStyle w:val="TableText"/>
            </w:pPr>
            <w:r>
              <w:t>Clinical criteria based on long-term medications</w:t>
            </w:r>
          </w:p>
        </w:tc>
      </w:tr>
      <w:tr w:rsidR="0018593D" w:rsidRPr="008D448E" w14:paraId="36265C8E" w14:textId="77777777" w:rsidTr="00F43F4C">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0D932759" w14:textId="77777777" w:rsidR="0018593D" w:rsidRPr="004470FF" w:rsidRDefault="0018593D" w:rsidP="00F43F4C">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15933D5" w14:textId="77777777" w:rsidR="0018593D" w:rsidRPr="008D448E" w:rsidRDefault="0018593D" w:rsidP="00F43F4C">
            <w:pPr>
              <w:pStyle w:val="TableText"/>
            </w:pPr>
          </w:p>
        </w:tc>
      </w:tr>
    </w:tbl>
    <w:p w14:paraId="5E122C03" w14:textId="57435791" w:rsidR="00650A90" w:rsidRDefault="00650A90" w:rsidP="0018593D">
      <w:pPr>
        <w:pStyle w:val="Heading4"/>
      </w:pPr>
      <w:r>
        <w:t xml:space="preserve">Antiplatelet medications </w:t>
      </w:r>
      <w:r w:rsidR="009E372C">
        <w:t>(</w:t>
      </w:r>
      <w:r>
        <w:t xml:space="preserve">as at </w:t>
      </w:r>
      <w:r w:rsidR="008352F4">
        <w:t>publication date</w:t>
      </w:r>
      <w:r w:rsidR="009E372C">
        <w:t>)</w:t>
      </w:r>
    </w:p>
    <w:p w14:paraId="7A2F5750" w14:textId="4D8340E6" w:rsidR="00650A90" w:rsidRDefault="00650A90" w:rsidP="0018593D">
      <w:r>
        <w:t xml:space="preserve">As new antiplatelet medications are approved, they </w:t>
      </w:r>
      <w:r w:rsidR="00FF3C18">
        <w:t>will</w:t>
      </w:r>
      <w:r>
        <w:t xml:space="preserve"> be added to this list.</w:t>
      </w:r>
    </w:p>
    <w:p w14:paraId="7946991D" w14:textId="77777777" w:rsidR="004470FF" w:rsidRDefault="004470FF" w:rsidP="0018593D"/>
    <w:tbl>
      <w:tblPr>
        <w:tblStyle w:val="TableGrid"/>
        <w:tblW w:w="4931" w:type="pct"/>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678"/>
        <w:gridCol w:w="6290"/>
      </w:tblGrid>
      <w:tr w:rsidR="00650A90" w:rsidRPr="008F250A" w14:paraId="6779BF2D" w14:textId="77777777" w:rsidTr="008115BA">
        <w:trPr>
          <w:cantSplit/>
        </w:trPr>
        <w:tc>
          <w:tcPr>
            <w:tcW w:w="1053" w:type="pct"/>
            <w:tcBorders>
              <w:top w:val="nil"/>
              <w:bottom w:val="nil"/>
            </w:tcBorders>
            <w:shd w:val="clear" w:color="auto" w:fill="D9D9D9" w:themeFill="background1" w:themeFillShade="D9"/>
          </w:tcPr>
          <w:p w14:paraId="05358B4E" w14:textId="77777777" w:rsidR="00650A90" w:rsidRPr="008F250A" w:rsidRDefault="00650A90" w:rsidP="008F250A">
            <w:pPr>
              <w:pStyle w:val="TableText"/>
              <w:rPr>
                <w:b/>
              </w:rPr>
            </w:pPr>
            <w:r w:rsidRPr="008F250A">
              <w:rPr>
                <w:b/>
              </w:rPr>
              <w:t>Sub-category</w:t>
            </w:r>
          </w:p>
        </w:tc>
        <w:tc>
          <w:tcPr>
            <w:tcW w:w="3947" w:type="pct"/>
            <w:tcBorders>
              <w:top w:val="nil"/>
              <w:bottom w:val="nil"/>
            </w:tcBorders>
            <w:shd w:val="clear" w:color="auto" w:fill="D9D9D9" w:themeFill="background1" w:themeFillShade="D9"/>
          </w:tcPr>
          <w:p w14:paraId="722DF0BF" w14:textId="77777777" w:rsidR="00650A90" w:rsidRPr="008F250A" w:rsidRDefault="00650A90" w:rsidP="008F250A">
            <w:pPr>
              <w:pStyle w:val="TableText"/>
              <w:rPr>
                <w:b/>
              </w:rPr>
            </w:pPr>
            <w:r w:rsidRPr="008F250A">
              <w:rPr>
                <w:b/>
              </w:rPr>
              <w:t>Product/substance</w:t>
            </w:r>
          </w:p>
        </w:tc>
      </w:tr>
      <w:tr w:rsidR="00650A90" w:rsidRPr="00142B92" w14:paraId="60E8A524" w14:textId="77777777" w:rsidTr="008115BA">
        <w:trPr>
          <w:cantSplit/>
        </w:trPr>
        <w:tc>
          <w:tcPr>
            <w:tcW w:w="1053" w:type="pct"/>
            <w:tcBorders>
              <w:top w:val="nil"/>
            </w:tcBorders>
            <w:shd w:val="clear" w:color="auto" w:fill="auto"/>
          </w:tcPr>
          <w:p w14:paraId="44A821DA" w14:textId="245DF6B5" w:rsidR="00650A90" w:rsidRPr="00DF4D5A" w:rsidRDefault="00DF4D5A" w:rsidP="008F250A">
            <w:pPr>
              <w:pStyle w:val="TableText"/>
              <w:rPr>
                <w:rFonts w:cs="Segoe UI"/>
              </w:rPr>
            </w:pPr>
            <w:r w:rsidRPr="00DA4DF4">
              <w:t>Aspirin</w:t>
            </w:r>
          </w:p>
        </w:tc>
        <w:tc>
          <w:tcPr>
            <w:tcW w:w="3947" w:type="pct"/>
            <w:tcBorders>
              <w:top w:val="nil"/>
            </w:tcBorders>
            <w:shd w:val="clear" w:color="auto" w:fill="auto"/>
          </w:tcPr>
          <w:p w14:paraId="01276F62" w14:textId="43CE5366" w:rsidR="00650A90" w:rsidRPr="00142B92" w:rsidRDefault="00DF4D5A" w:rsidP="008F250A">
            <w:pPr>
              <w:pStyle w:val="TableText"/>
            </w:pPr>
            <w:r>
              <w:t>a</w:t>
            </w:r>
            <w:r w:rsidR="00650A90" w:rsidRPr="00142B92">
              <w:t>spirin</w:t>
            </w:r>
          </w:p>
        </w:tc>
      </w:tr>
      <w:tr w:rsidR="00650A90" w:rsidRPr="00142B92" w14:paraId="23CD6861" w14:textId="77777777" w:rsidTr="008115BA">
        <w:trPr>
          <w:cantSplit/>
        </w:trPr>
        <w:tc>
          <w:tcPr>
            <w:tcW w:w="1053" w:type="pct"/>
            <w:shd w:val="clear" w:color="auto" w:fill="auto"/>
          </w:tcPr>
          <w:p w14:paraId="58144C2A" w14:textId="5D623B22" w:rsidR="00650A90" w:rsidRPr="00DF4D5A" w:rsidRDefault="00DF4D5A" w:rsidP="008F250A">
            <w:pPr>
              <w:pStyle w:val="TableText"/>
              <w:rPr>
                <w:rFonts w:cs="Segoe UI"/>
              </w:rPr>
            </w:pPr>
            <w:r w:rsidRPr="00DA4DF4">
              <w:t>Clopidogrel</w:t>
            </w:r>
          </w:p>
        </w:tc>
        <w:tc>
          <w:tcPr>
            <w:tcW w:w="3947" w:type="pct"/>
            <w:shd w:val="clear" w:color="auto" w:fill="auto"/>
          </w:tcPr>
          <w:p w14:paraId="1DBAD6C1" w14:textId="1C836158" w:rsidR="00650A90" w:rsidRPr="00142B92" w:rsidRDefault="00DF4D5A" w:rsidP="008F250A">
            <w:pPr>
              <w:pStyle w:val="TableText"/>
            </w:pPr>
            <w:r>
              <w:t>c</w:t>
            </w:r>
            <w:r w:rsidR="00650A90" w:rsidRPr="00142B92">
              <w:t>lopidogrel</w:t>
            </w:r>
          </w:p>
        </w:tc>
      </w:tr>
      <w:tr w:rsidR="00650A90" w:rsidRPr="00142B92" w14:paraId="0CB024C0" w14:textId="77777777" w:rsidTr="008115BA">
        <w:trPr>
          <w:cantSplit/>
        </w:trPr>
        <w:tc>
          <w:tcPr>
            <w:tcW w:w="1053" w:type="pct"/>
            <w:shd w:val="clear" w:color="auto" w:fill="auto"/>
          </w:tcPr>
          <w:p w14:paraId="1A2A28E8" w14:textId="77777777" w:rsidR="00650A90" w:rsidRPr="00142B92" w:rsidRDefault="00650A90" w:rsidP="008F250A">
            <w:pPr>
              <w:pStyle w:val="TableText"/>
              <w:rPr>
                <w:rStyle w:val="Hyperlink"/>
                <w:rFonts w:eastAsia="MS Gothic" w:cs="Segoe UI"/>
                <w:szCs w:val="22"/>
              </w:rPr>
            </w:pPr>
            <w:r w:rsidRPr="00142B92">
              <w:rPr>
                <w:rFonts w:cs="Segoe UI"/>
              </w:rPr>
              <w:t>Ticagrelor</w:t>
            </w:r>
          </w:p>
        </w:tc>
        <w:tc>
          <w:tcPr>
            <w:tcW w:w="3947" w:type="pct"/>
            <w:shd w:val="clear" w:color="auto" w:fill="auto"/>
          </w:tcPr>
          <w:p w14:paraId="5E7013B0" w14:textId="773A2636" w:rsidR="00650A90" w:rsidRPr="00142B92" w:rsidRDefault="00DF4D5A" w:rsidP="008F250A">
            <w:pPr>
              <w:pStyle w:val="TableText"/>
            </w:pPr>
            <w:r>
              <w:t>t</w:t>
            </w:r>
            <w:r w:rsidR="00650A90" w:rsidRPr="00142B92">
              <w:t>icagrelor</w:t>
            </w:r>
          </w:p>
        </w:tc>
      </w:tr>
      <w:tr w:rsidR="00650A90" w:rsidRPr="00142B92" w14:paraId="1C7E9B0A" w14:textId="77777777" w:rsidTr="008115BA">
        <w:trPr>
          <w:cantSplit/>
        </w:trPr>
        <w:tc>
          <w:tcPr>
            <w:tcW w:w="1053" w:type="pct"/>
            <w:shd w:val="clear" w:color="auto" w:fill="auto"/>
          </w:tcPr>
          <w:p w14:paraId="5C7E9D1C" w14:textId="77777777" w:rsidR="00650A90" w:rsidRPr="00142B92" w:rsidRDefault="00650A90" w:rsidP="008F250A">
            <w:pPr>
              <w:pStyle w:val="TableText"/>
              <w:rPr>
                <w:rFonts w:cs="Segoe UI"/>
              </w:rPr>
            </w:pPr>
            <w:r w:rsidRPr="00142B92">
              <w:rPr>
                <w:rFonts w:cs="Segoe UI"/>
              </w:rPr>
              <w:t>Other antiplatelet</w:t>
            </w:r>
          </w:p>
        </w:tc>
        <w:tc>
          <w:tcPr>
            <w:tcW w:w="3947" w:type="pct"/>
            <w:shd w:val="clear" w:color="auto" w:fill="auto"/>
          </w:tcPr>
          <w:p w14:paraId="005E2054" w14:textId="0CD8DD22" w:rsidR="00650A90" w:rsidRPr="00142B92" w:rsidRDefault="00DF4D5A" w:rsidP="008F250A">
            <w:pPr>
              <w:pStyle w:val="TableText"/>
            </w:pPr>
            <w:r>
              <w:t>d</w:t>
            </w:r>
            <w:r w:rsidR="00650A90" w:rsidRPr="00142B92">
              <w:t>ipyridamole (1)</w:t>
            </w:r>
          </w:p>
          <w:p w14:paraId="53C7D6C5" w14:textId="76A80A09" w:rsidR="00395E0C" w:rsidRDefault="00DF4D5A" w:rsidP="008F250A">
            <w:pPr>
              <w:pStyle w:val="TableText"/>
            </w:pPr>
            <w:r>
              <w:t>p</w:t>
            </w:r>
            <w:r w:rsidR="00650A90" w:rsidRPr="00142B92">
              <w:t>rasugrel</w:t>
            </w:r>
          </w:p>
          <w:p w14:paraId="3FEA59AA" w14:textId="378FE649" w:rsidR="00650A90" w:rsidRPr="00142B92" w:rsidRDefault="00DF4D5A" w:rsidP="008F250A">
            <w:pPr>
              <w:pStyle w:val="TableText"/>
            </w:pPr>
            <w:r>
              <w:t>t</w:t>
            </w:r>
            <w:r w:rsidR="00650A90" w:rsidRPr="00142B92">
              <w:t>iclopidine</w:t>
            </w:r>
            <w:r>
              <w:t xml:space="preserve"> h</w:t>
            </w:r>
            <w:r w:rsidR="00650A90" w:rsidRPr="00142B92">
              <w:t>ydrochloride</w:t>
            </w:r>
          </w:p>
        </w:tc>
      </w:tr>
    </w:tbl>
    <w:p w14:paraId="400E7EAA" w14:textId="77777777" w:rsidR="00650A90" w:rsidRDefault="00650A90" w:rsidP="008115BA">
      <w:pPr>
        <w:pStyle w:val="Heading4"/>
      </w:pPr>
      <w:r w:rsidRPr="003824E0">
        <w:rPr>
          <w:color w:val="365F91" w:themeColor="accent1" w:themeShade="BF"/>
        </w:rPr>
        <w:t>An</w:t>
      </w:r>
      <w:r>
        <w:t>ticoagulant agents</w:t>
      </w: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AB62EB" w:rsidRPr="008D448E" w14:paraId="333EF56F" w14:textId="77777777" w:rsidTr="00F43F4C">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5984430" w14:textId="77777777" w:rsidR="00AB62EB" w:rsidRPr="004470FF" w:rsidRDefault="00AB62EB" w:rsidP="00916AA9">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3A1129C" w14:textId="77777777" w:rsidR="009E372C" w:rsidRDefault="009E372C" w:rsidP="00916AA9">
            <w:pPr>
              <w:pStyle w:val="TableText"/>
            </w:pPr>
            <w:r>
              <w:t>On anticoagulant medication</w:t>
            </w:r>
          </w:p>
          <w:p w14:paraId="7D7CAE7D" w14:textId="030985D2" w:rsidR="00AB62EB" w:rsidRPr="008D448E" w:rsidRDefault="008115BA" w:rsidP="00916AA9">
            <w:pPr>
              <w:pStyle w:val="TableText"/>
            </w:pPr>
            <w:r>
              <w:t>The patient has been prescribed one or more medications that are used as anticoagulant agents (</w:t>
            </w:r>
            <w:proofErr w:type="spellStart"/>
            <w:r>
              <w:t>eg</w:t>
            </w:r>
            <w:proofErr w:type="spellEnd"/>
            <w:r>
              <w:t>,</w:t>
            </w:r>
            <w:r w:rsidRPr="00CB6C0E">
              <w:t xml:space="preserve"> </w:t>
            </w:r>
            <w:r>
              <w:t>w</w:t>
            </w:r>
            <w:r w:rsidRPr="00CB6C0E">
              <w:t>arfarin, dabigatran</w:t>
            </w:r>
            <w:r>
              <w:t>) in the previous six months</w:t>
            </w:r>
          </w:p>
        </w:tc>
      </w:tr>
      <w:tr w:rsidR="00AB62EB" w:rsidRPr="008D448E" w14:paraId="2BC59602"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15A7F1D" w14:textId="6553D272" w:rsidR="00AB62EB" w:rsidRPr="004470FF" w:rsidRDefault="00AB62EB" w:rsidP="00916AA9">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57CB4291" w14:textId="77777777" w:rsidR="00AB62EB" w:rsidRPr="008D448E" w:rsidRDefault="00AB62EB" w:rsidP="00916AA9">
            <w:pPr>
              <w:pStyle w:val="TableText"/>
            </w:pPr>
          </w:p>
        </w:tc>
      </w:tr>
      <w:tr w:rsidR="008115BA" w:rsidRPr="008D448E" w14:paraId="2193F7EE"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618A2B1" w14:textId="77777777" w:rsidR="008115BA" w:rsidRPr="004470FF" w:rsidRDefault="008115BA" w:rsidP="00916AA9">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0A264396" w14:textId="3F5D8E9F" w:rsidR="008115BA" w:rsidRPr="008D448E" w:rsidRDefault="0097193D" w:rsidP="00916AA9">
            <w:pPr>
              <w:pStyle w:val="TableText"/>
            </w:pPr>
            <w:r>
              <w:rPr>
                <w:rFonts w:cs="Arial"/>
              </w:rPr>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78FB7874" w14:textId="77777777" w:rsidR="008115BA" w:rsidRPr="004470FF" w:rsidRDefault="008115BA" w:rsidP="00916AA9">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6248E55C" w14:textId="7229523E" w:rsidR="008115BA" w:rsidRPr="008D448E" w:rsidRDefault="008115BA" w:rsidP="00916AA9">
            <w:pPr>
              <w:pStyle w:val="TableText"/>
            </w:pPr>
            <w:r>
              <w:rPr>
                <w:rFonts w:cs="Arial"/>
              </w:rPr>
              <w:t>Value</w:t>
            </w:r>
          </w:p>
        </w:tc>
      </w:tr>
      <w:tr w:rsidR="008115BA" w:rsidRPr="00F46627" w14:paraId="69C7127F"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49B2274" w14:textId="77777777" w:rsidR="008115BA" w:rsidRPr="004470FF" w:rsidRDefault="008115BA" w:rsidP="00916AA9">
            <w:pPr>
              <w:pStyle w:val="TableText"/>
              <w:rPr>
                <w:b/>
              </w:rPr>
            </w:pPr>
            <w:r w:rsidRPr="004470FF">
              <w:rPr>
                <w:b/>
              </w:rPr>
              <w:lastRenderedPageBreak/>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0E859070" w14:textId="7578042C" w:rsidR="008115BA" w:rsidRPr="008D448E" w:rsidRDefault="008115BA" w:rsidP="00916AA9">
            <w:pPr>
              <w:pStyle w:val="TableText"/>
            </w:pPr>
            <w:r>
              <w:rPr>
                <w:rFonts w:cs="Arial"/>
              </w:rPr>
              <w:t>1</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3502D96D" w14:textId="77777777" w:rsidR="008115BA" w:rsidRPr="004470FF" w:rsidRDefault="008115BA" w:rsidP="00916AA9">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495C020A" w14:textId="36450178" w:rsidR="008115BA" w:rsidRPr="00F46627" w:rsidRDefault="008115BA" w:rsidP="00916AA9">
            <w:pPr>
              <w:pStyle w:val="TableText"/>
            </w:pPr>
            <w:r>
              <w:rPr>
                <w:rFonts w:cs="Arial"/>
              </w:rPr>
              <w:t>N</w:t>
            </w:r>
          </w:p>
        </w:tc>
      </w:tr>
      <w:tr w:rsidR="008115BA" w:rsidRPr="008D448E" w14:paraId="7C221253"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51D7C50" w14:textId="77777777" w:rsidR="008115BA" w:rsidRPr="004470FF" w:rsidRDefault="008115BA" w:rsidP="00916AA9">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F365D23" w14:textId="03354627" w:rsidR="00F94457" w:rsidRDefault="00F94457" w:rsidP="00916AA9">
            <w:pPr>
              <w:pStyle w:val="TableText"/>
            </w:pPr>
            <w:r>
              <w:t>0 = No</w:t>
            </w:r>
          </w:p>
          <w:p w14:paraId="2736CB4D" w14:textId="162E7475" w:rsidR="008115BA" w:rsidRPr="008D448E" w:rsidRDefault="008115BA" w:rsidP="00916AA9">
            <w:pPr>
              <w:pStyle w:val="TableText"/>
            </w:pPr>
            <w:r>
              <w:t>1 = Yes</w:t>
            </w:r>
          </w:p>
        </w:tc>
      </w:tr>
      <w:tr w:rsidR="008115BA" w:rsidRPr="008D448E" w14:paraId="09E57D0F"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225F3B0" w14:textId="339FB6C5" w:rsidR="008115BA" w:rsidRPr="004470FF" w:rsidRDefault="008115BA" w:rsidP="00916AA9">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502723E" w14:textId="75B20A38" w:rsidR="008115BA" w:rsidRPr="008D448E" w:rsidRDefault="008115BA" w:rsidP="00916AA9">
            <w:pPr>
              <w:pStyle w:val="TableText"/>
            </w:pPr>
            <w:r>
              <w:t>Mandatory</w:t>
            </w:r>
          </w:p>
        </w:tc>
      </w:tr>
      <w:tr w:rsidR="008115BA" w:rsidRPr="008D448E" w14:paraId="17AC4C95" w14:textId="77777777" w:rsidTr="00F43F4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3FB5555" w14:textId="77777777" w:rsidR="008115BA" w:rsidRPr="004470FF" w:rsidRDefault="008115BA" w:rsidP="00916AA9">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C057027" w14:textId="4A3F0ECA" w:rsidR="008115BA" w:rsidRPr="008D448E" w:rsidRDefault="008115BA" w:rsidP="00916AA9">
            <w:pPr>
              <w:pStyle w:val="TableText"/>
            </w:pPr>
            <w:r>
              <w:t>Clinical criteria based on long-term medications</w:t>
            </w:r>
          </w:p>
        </w:tc>
      </w:tr>
      <w:tr w:rsidR="008115BA" w:rsidRPr="008D448E" w14:paraId="29811BA6" w14:textId="77777777" w:rsidTr="00F43F4C">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8029D63" w14:textId="77777777" w:rsidR="008115BA" w:rsidRPr="004470FF" w:rsidRDefault="008115BA" w:rsidP="00916AA9">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75CADB7" w14:textId="77777777" w:rsidR="008115BA" w:rsidRPr="008D448E" w:rsidRDefault="008115BA" w:rsidP="00916AA9">
            <w:pPr>
              <w:pStyle w:val="TableText"/>
            </w:pPr>
          </w:p>
        </w:tc>
      </w:tr>
    </w:tbl>
    <w:p w14:paraId="70DEA9CB" w14:textId="2DD0F839" w:rsidR="00650A90" w:rsidRDefault="00650A90" w:rsidP="008115BA">
      <w:pPr>
        <w:pStyle w:val="Heading4"/>
      </w:pPr>
      <w:bookmarkStart w:id="53" w:name="_Toc522522094"/>
      <w:r>
        <w:t xml:space="preserve">Anticoagulant medications </w:t>
      </w:r>
      <w:r w:rsidR="009E372C">
        <w:t>(</w:t>
      </w:r>
      <w:r>
        <w:t xml:space="preserve">as at </w:t>
      </w:r>
      <w:r w:rsidR="008352F4">
        <w:t>publication date</w:t>
      </w:r>
      <w:r w:rsidR="009E372C">
        <w:t>)</w:t>
      </w:r>
    </w:p>
    <w:p w14:paraId="2924D393" w14:textId="44CF6313" w:rsidR="00650A90" w:rsidRDefault="00650A90" w:rsidP="008115BA">
      <w:r>
        <w:t xml:space="preserve">As new anticoagulant medications are </w:t>
      </w:r>
      <w:proofErr w:type="gramStart"/>
      <w:r>
        <w:t>approved</w:t>
      </w:r>
      <w:proofErr w:type="gramEnd"/>
      <w:r>
        <w:t xml:space="preserve"> they </w:t>
      </w:r>
      <w:r w:rsidR="00FF3C18">
        <w:t>will</w:t>
      </w:r>
      <w:r>
        <w:t xml:space="preserve"> be added to this list.</w:t>
      </w:r>
    </w:p>
    <w:p w14:paraId="043D6BB2" w14:textId="77777777" w:rsidR="008115BA" w:rsidRPr="00486E90" w:rsidRDefault="008115BA" w:rsidP="008115BA"/>
    <w:tbl>
      <w:tblPr>
        <w:tblStyle w:val="TableGrid"/>
        <w:tblW w:w="4931" w:type="pct"/>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678"/>
        <w:gridCol w:w="6290"/>
      </w:tblGrid>
      <w:tr w:rsidR="00650A90" w:rsidRPr="008115BA" w14:paraId="76DB1F71" w14:textId="77777777" w:rsidTr="008115BA">
        <w:trPr>
          <w:cantSplit/>
        </w:trPr>
        <w:tc>
          <w:tcPr>
            <w:tcW w:w="1053" w:type="pct"/>
            <w:tcBorders>
              <w:top w:val="nil"/>
              <w:bottom w:val="nil"/>
            </w:tcBorders>
            <w:shd w:val="clear" w:color="auto" w:fill="D9D9D9" w:themeFill="background1" w:themeFillShade="D9"/>
          </w:tcPr>
          <w:p w14:paraId="04D5676D" w14:textId="77777777" w:rsidR="00650A90" w:rsidRPr="008115BA" w:rsidRDefault="00650A90" w:rsidP="00916AA9">
            <w:pPr>
              <w:pStyle w:val="TableText"/>
              <w:spacing w:line="240" w:lineRule="auto"/>
              <w:rPr>
                <w:b/>
              </w:rPr>
            </w:pPr>
            <w:r w:rsidRPr="008115BA">
              <w:rPr>
                <w:b/>
              </w:rPr>
              <w:t>Sub-category</w:t>
            </w:r>
          </w:p>
        </w:tc>
        <w:tc>
          <w:tcPr>
            <w:tcW w:w="3947" w:type="pct"/>
            <w:tcBorders>
              <w:top w:val="nil"/>
              <w:bottom w:val="nil"/>
            </w:tcBorders>
            <w:shd w:val="clear" w:color="auto" w:fill="D9D9D9" w:themeFill="background1" w:themeFillShade="D9"/>
          </w:tcPr>
          <w:p w14:paraId="09ED7CD8" w14:textId="77777777" w:rsidR="00650A90" w:rsidRPr="008115BA" w:rsidRDefault="00650A90" w:rsidP="00916AA9">
            <w:pPr>
              <w:pStyle w:val="TableText"/>
              <w:spacing w:line="240" w:lineRule="auto"/>
              <w:rPr>
                <w:b/>
              </w:rPr>
            </w:pPr>
            <w:r w:rsidRPr="008115BA">
              <w:rPr>
                <w:b/>
              </w:rPr>
              <w:t>Product/substance</w:t>
            </w:r>
          </w:p>
        </w:tc>
      </w:tr>
      <w:tr w:rsidR="00650A90" w:rsidRPr="00CB6319" w14:paraId="20462562" w14:textId="77777777" w:rsidTr="008115BA">
        <w:trPr>
          <w:cantSplit/>
        </w:trPr>
        <w:tc>
          <w:tcPr>
            <w:tcW w:w="1053" w:type="pct"/>
            <w:tcBorders>
              <w:top w:val="nil"/>
            </w:tcBorders>
            <w:shd w:val="clear" w:color="auto" w:fill="auto"/>
          </w:tcPr>
          <w:p w14:paraId="4F521C00" w14:textId="77777777" w:rsidR="00650A90" w:rsidRPr="00CB6319" w:rsidRDefault="00650A90" w:rsidP="00916AA9">
            <w:pPr>
              <w:pStyle w:val="TableText"/>
              <w:spacing w:line="240" w:lineRule="auto"/>
              <w:rPr>
                <w:rFonts w:cs="Segoe UI"/>
              </w:rPr>
            </w:pPr>
            <w:r>
              <w:rPr>
                <w:rFonts w:cs="Segoe UI"/>
              </w:rPr>
              <w:t>Warfarin</w:t>
            </w:r>
          </w:p>
        </w:tc>
        <w:tc>
          <w:tcPr>
            <w:tcW w:w="3947" w:type="pct"/>
            <w:tcBorders>
              <w:top w:val="nil"/>
            </w:tcBorders>
            <w:shd w:val="clear" w:color="auto" w:fill="auto"/>
          </w:tcPr>
          <w:p w14:paraId="1C08FFB3" w14:textId="26824A6C" w:rsidR="00650A90" w:rsidRPr="00697BCC" w:rsidRDefault="00DF4D5A" w:rsidP="00916AA9">
            <w:pPr>
              <w:pStyle w:val="TableText"/>
              <w:spacing w:line="240" w:lineRule="auto"/>
              <w:rPr>
                <w:rStyle w:val="Hyperlink"/>
                <w:b w:val="0"/>
                <w:color w:val="auto"/>
              </w:rPr>
            </w:pPr>
            <w:r>
              <w:rPr>
                <w:rStyle w:val="Hyperlink"/>
                <w:rFonts w:eastAsia="MS Gothic"/>
                <w:b w:val="0"/>
                <w:color w:val="auto"/>
              </w:rPr>
              <w:t>w</w:t>
            </w:r>
            <w:r w:rsidR="00650A90" w:rsidRPr="00F94457">
              <w:rPr>
                <w:rStyle w:val="Hyperlink"/>
                <w:rFonts w:eastAsia="MS Gothic"/>
                <w:b w:val="0"/>
                <w:color w:val="auto"/>
              </w:rPr>
              <w:t>arfarin sodium</w:t>
            </w:r>
          </w:p>
        </w:tc>
      </w:tr>
      <w:tr w:rsidR="00650A90" w:rsidRPr="00CB6319" w14:paraId="07174285" w14:textId="77777777" w:rsidTr="00DA4DF4">
        <w:trPr>
          <w:cantSplit/>
          <w:trHeight w:val="1373"/>
        </w:trPr>
        <w:tc>
          <w:tcPr>
            <w:tcW w:w="1053" w:type="pct"/>
            <w:shd w:val="clear" w:color="auto" w:fill="auto"/>
          </w:tcPr>
          <w:p w14:paraId="5060D2B8" w14:textId="77777777" w:rsidR="00650A90" w:rsidRPr="00CB6319" w:rsidRDefault="00650A90" w:rsidP="00916AA9">
            <w:pPr>
              <w:pStyle w:val="TableText"/>
              <w:spacing w:line="240" w:lineRule="auto"/>
              <w:rPr>
                <w:rFonts w:cs="Segoe UI"/>
              </w:rPr>
            </w:pPr>
            <w:r>
              <w:rPr>
                <w:rFonts w:cs="Segoe UI"/>
              </w:rPr>
              <w:t>Other anticoagulants</w:t>
            </w:r>
          </w:p>
        </w:tc>
        <w:tc>
          <w:tcPr>
            <w:tcW w:w="3947" w:type="pct"/>
            <w:shd w:val="clear" w:color="auto" w:fill="auto"/>
          </w:tcPr>
          <w:p w14:paraId="2D80BD94" w14:textId="6F6DEB25" w:rsidR="00650A90" w:rsidRPr="00F94457" w:rsidRDefault="00DF4D5A" w:rsidP="00916AA9">
            <w:pPr>
              <w:pStyle w:val="TableText"/>
              <w:spacing w:line="240" w:lineRule="auto"/>
              <w:rPr>
                <w:rStyle w:val="Hyperlink"/>
                <w:b w:val="0"/>
                <w:color w:val="auto"/>
              </w:rPr>
            </w:pPr>
            <w:r>
              <w:rPr>
                <w:rStyle w:val="Hyperlink"/>
                <w:rFonts w:eastAsia="MS Gothic"/>
                <w:b w:val="0"/>
                <w:color w:val="auto"/>
              </w:rPr>
              <w:t>p</w:t>
            </w:r>
            <w:r w:rsidR="00650A90" w:rsidRPr="00F94457">
              <w:rPr>
                <w:rStyle w:val="Hyperlink"/>
                <w:rFonts w:eastAsia="MS Gothic"/>
                <w:b w:val="0"/>
                <w:color w:val="auto"/>
              </w:rPr>
              <w:t>henindione</w:t>
            </w:r>
          </w:p>
          <w:p w14:paraId="0851533B" w14:textId="66E2E971" w:rsidR="00787B94" w:rsidRDefault="00DF4D5A" w:rsidP="00916AA9">
            <w:pPr>
              <w:pStyle w:val="TableText"/>
              <w:spacing w:line="240" w:lineRule="auto"/>
            </w:pPr>
            <w:r>
              <w:t>d</w:t>
            </w:r>
            <w:r w:rsidR="00787B94">
              <w:t>abigatran</w:t>
            </w:r>
          </w:p>
          <w:p w14:paraId="3EF59D59" w14:textId="2A228FC2" w:rsidR="00650A90" w:rsidRPr="00F94457" w:rsidRDefault="00DF4D5A" w:rsidP="00916AA9">
            <w:pPr>
              <w:pStyle w:val="TableText"/>
              <w:spacing w:line="240" w:lineRule="auto"/>
            </w:pPr>
            <w:r>
              <w:t>r</w:t>
            </w:r>
            <w:r w:rsidR="00650A90" w:rsidRPr="00F94457">
              <w:t>ivaroxaban</w:t>
            </w:r>
          </w:p>
          <w:p w14:paraId="3E1357AC" w14:textId="7B6D1F77" w:rsidR="00650A90" w:rsidRPr="00CB6319" w:rsidRDefault="00DF4D5A" w:rsidP="00916AA9">
            <w:pPr>
              <w:pStyle w:val="TableText"/>
              <w:spacing w:line="240" w:lineRule="auto"/>
              <w:rPr>
                <w:rFonts w:ascii="Georgia" w:hAnsi="Georgia" w:cs="Segoe UI"/>
                <w:sz w:val="22"/>
              </w:rPr>
            </w:pPr>
            <w:r>
              <w:t>a</w:t>
            </w:r>
            <w:r w:rsidR="00650A90" w:rsidRPr="00F94457">
              <w:t>pixaban</w:t>
            </w:r>
          </w:p>
        </w:tc>
      </w:tr>
    </w:tbl>
    <w:p w14:paraId="225FA469" w14:textId="77777777" w:rsidR="00650A90" w:rsidRDefault="00650A90" w:rsidP="008115BA">
      <w:pPr>
        <w:pStyle w:val="Heading3"/>
      </w:pPr>
      <w:r>
        <w:t>Diabetes medications</w:t>
      </w:r>
      <w:bookmarkEnd w:id="53"/>
    </w:p>
    <w:p w14:paraId="4A331D8C" w14:textId="007A4420" w:rsidR="00650A90" w:rsidRDefault="009E372C" w:rsidP="008115BA">
      <w:r>
        <w:t xml:space="preserve">Being on any of the </w:t>
      </w:r>
      <w:r w:rsidR="00650A90">
        <w:t xml:space="preserve">following </w:t>
      </w:r>
      <w:r>
        <w:t xml:space="preserve">types of </w:t>
      </w:r>
      <w:r w:rsidR="00650A90">
        <w:t xml:space="preserve">medication used for glycaemic control for diabetes </w:t>
      </w:r>
      <w:r>
        <w:t xml:space="preserve">is an </w:t>
      </w:r>
      <w:r w:rsidR="00650A90">
        <w:t>input to the diabetes-specifi</w:t>
      </w:r>
      <w:r w:rsidR="004470FF">
        <w:t>c primary prevention equations.</w:t>
      </w:r>
    </w:p>
    <w:p w14:paraId="0F5A880C" w14:textId="6D943499" w:rsidR="00650A90" w:rsidRDefault="00650A90" w:rsidP="008115BA">
      <w:pPr>
        <w:pStyle w:val="Heading4"/>
      </w:pPr>
      <w:bookmarkStart w:id="54" w:name="_Toc522522095"/>
      <w:r>
        <w:t xml:space="preserve">Diabetes medications </w:t>
      </w:r>
      <w:r w:rsidR="009E372C">
        <w:t>(</w:t>
      </w:r>
      <w:r>
        <w:t xml:space="preserve">as at </w:t>
      </w:r>
      <w:r w:rsidR="008352F4">
        <w:t>publication date</w:t>
      </w:r>
      <w:r w:rsidR="009E372C">
        <w:t>)</w:t>
      </w:r>
    </w:p>
    <w:p w14:paraId="1F21F2B4" w14:textId="77777777" w:rsidR="00650A90" w:rsidRDefault="00650A90" w:rsidP="008115BA">
      <w:r>
        <w:t>As new diabetes medications are approved, they will be added to this list.</w:t>
      </w:r>
    </w:p>
    <w:p w14:paraId="358F0BDD" w14:textId="77777777" w:rsidR="008115BA" w:rsidRPr="00486E90" w:rsidRDefault="008115BA" w:rsidP="008115BA"/>
    <w:tbl>
      <w:tblPr>
        <w:tblStyle w:val="TableGrid"/>
        <w:tblW w:w="4931" w:type="pct"/>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96"/>
        <w:gridCol w:w="5472"/>
      </w:tblGrid>
      <w:tr w:rsidR="00650A90" w:rsidRPr="008115BA" w14:paraId="6A91602E" w14:textId="77777777" w:rsidTr="00AA021D">
        <w:tc>
          <w:tcPr>
            <w:tcW w:w="1566" w:type="pct"/>
            <w:tcBorders>
              <w:top w:val="nil"/>
              <w:bottom w:val="nil"/>
            </w:tcBorders>
            <w:shd w:val="clear" w:color="auto" w:fill="D9D9D9" w:themeFill="background1" w:themeFillShade="D9"/>
          </w:tcPr>
          <w:p w14:paraId="74689BA9" w14:textId="77777777" w:rsidR="00650A90" w:rsidRPr="008115BA" w:rsidRDefault="00650A90" w:rsidP="00916AA9">
            <w:pPr>
              <w:pStyle w:val="TableText"/>
              <w:spacing w:line="240" w:lineRule="auto"/>
              <w:rPr>
                <w:b/>
              </w:rPr>
            </w:pPr>
            <w:r w:rsidRPr="008115BA">
              <w:rPr>
                <w:b/>
              </w:rPr>
              <w:t>Sub-category</w:t>
            </w:r>
          </w:p>
        </w:tc>
        <w:tc>
          <w:tcPr>
            <w:tcW w:w="3434" w:type="pct"/>
            <w:tcBorders>
              <w:top w:val="nil"/>
              <w:bottom w:val="nil"/>
            </w:tcBorders>
            <w:shd w:val="clear" w:color="auto" w:fill="D9D9D9" w:themeFill="background1" w:themeFillShade="D9"/>
          </w:tcPr>
          <w:p w14:paraId="6C288C0B" w14:textId="77777777" w:rsidR="00650A90" w:rsidRPr="008115BA" w:rsidRDefault="00650A90" w:rsidP="00916AA9">
            <w:pPr>
              <w:pStyle w:val="TableText"/>
              <w:spacing w:line="240" w:lineRule="auto"/>
              <w:rPr>
                <w:b/>
              </w:rPr>
            </w:pPr>
            <w:r w:rsidRPr="008115BA">
              <w:rPr>
                <w:b/>
              </w:rPr>
              <w:t>Product/substance</w:t>
            </w:r>
          </w:p>
        </w:tc>
      </w:tr>
      <w:tr w:rsidR="00650A90" w:rsidRPr="00CB6319" w14:paraId="1AE196E4" w14:textId="77777777" w:rsidTr="00AA021D">
        <w:tc>
          <w:tcPr>
            <w:tcW w:w="1566" w:type="pct"/>
            <w:tcBorders>
              <w:top w:val="nil"/>
            </w:tcBorders>
            <w:shd w:val="clear" w:color="auto" w:fill="auto"/>
          </w:tcPr>
          <w:p w14:paraId="6623AAFC" w14:textId="77777777" w:rsidR="00650A90" w:rsidRPr="00CB6319" w:rsidRDefault="00650A90" w:rsidP="00916AA9">
            <w:pPr>
              <w:pStyle w:val="TableText"/>
              <w:spacing w:line="240" w:lineRule="auto"/>
              <w:rPr>
                <w:rFonts w:cs="Segoe UI"/>
              </w:rPr>
            </w:pPr>
            <w:r>
              <w:rPr>
                <w:rFonts w:cs="Segoe UI"/>
              </w:rPr>
              <w:t>Insulin</w:t>
            </w:r>
          </w:p>
        </w:tc>
        <w:tc>
          <w:tcPr>
            <w:tcW w:w="3434" w:type="pct"/>
            <w:tcBorders>
              <w:top w:val="nil"/>
            </w:tcBorders>
            <w:shd w:val="clear" w:color="auto" w:fill="auto"/>
          </w:tcPr>
          <w:p w14:paraId="0163836E" w14:textId="6C59DE59" w:rsidR="00650A90" w:rsidRPr="00F94457" w:rsidRDefault="00DF4D5A" w:rsidP="00916AA9">
            <w:pPr>
              <w:pStyle w:val="TableText"/>
              <w:spacing w:line="240" w:lineRule="auto"/>
              <w:rPr>
                <w:rStyle w:val="Hyperlink"/>
                <w:b w:val="0"/>
                <w:color w:val="auto"/>
              </w:rPr>
            </w:pPr>
            <w:r>
              <w:rPr>
                <w:rStyle w:val="Hyperlink"/>
                <w:rFonts w:eastAsia="MS Gothic"/>
                <w:b w:val="0"/>
                <w:color w:val="auto"/>
              </w:rPr>
              <w:t>i</w:t>
            </w:r>
            <w:r w:rsidR="00650A90" w:rsidRPr="00F94457">
              <w:rPr>
                <w:rStyle w:val="Hyperlink"/>
                <w:rFonts w:eastAsia="MS Gothic"/>
                <w:b w:val="0"/>
                <w:color w:val="auto"/>
              </w:rPr>
              <w:t>nsulin lispro</w:t>
            </w:r>
          </w:p>
          <w:p w14:paraId="61B5CC6E" w14:textId="4EB3FD6F" w:rsidR="00650A90" w:rsidRPr="00F94457" w:rsidRDefault="00DF4D5A" w:rsidP="00916AA9">
            <w:pPr>
              <w:pStyle w:val="TableText"/>
              <w:spacing w:line="240" w:lineRule="auto"/>
            </w:pPr>
            <w:r>
              <w:t>i</w:t>
            </w:r>
            <w:r w:rsidR="00650A90" w:rsidRPr="00F94457">
              <w:t>nsulin neutral</w:t>
            </w:r>
          </w:p>
          <w:p w14:paraId="16707E04" w14:textId="6A0E63F6" w:rsidR="00650A90" w:rsidRPr="00F94457" w:rsidRDefault="00DF4D5A" w:rsidP="00916AA9">
            <w:pPr>
              <w:pStyle w:val="TableText"/>
              <w:spacing w:line="240" w:lineRule="auto"/>
            </w:pPr>
            <w:r>
              <w:t>i</w:t>
            </w:r>
            <w:r w:rsidR="00650A90" w:rsidRPr="00F94457">
              <w:t>nsulin isophane</w:t>
            </w:r>
          </w:p>
          <w:p w14:paraId="749F2D87" w14:textId="451DD000" w:rsidR="00650A90" w:rsidRPr="00F94457" w:rsidRDefault="00DF4D5A" w:rsidP="00916AA9">
            <w:pPr>
              <w:pStyle w:val="TableText"/>
              <w:spacing w:line="240" w:lineRule="auto"/>
            </w:pPr>
            <w:r>
              <w:t>i</w:t>
            </w:r>
            <w:r w:rsidR="00650A90" w:rsidRPr="00F94457">
              <w:t>nsulin zinc suspension</w:t>
            </w:r>
          </w:p>
          <w:p w14:paraId="19A2783A" w14:textId="23C15E9A" w:rsidR="00650A90" w:rsidRPr="00F94457" w:rsidRDefault="00DF4D5A" w:rsidP="00916AA9">
            <w:pPr>
              <w:pStyle w:val="TableText"/>
              <w:spacing w:line="240" w:lineRule="auto"/>
            </w:pPr>
            <w:r>
              <w:t>i</w:t>
            </w:r>
            <w:r w:rsidR="00650A90" w:rsidRPr="00F94457">
              <w:t xml:space="preserve">nsulin </w:t>
            </w:r>
            <w:proofErr w:type="spellStart"/>
            <w:r w:rsidR="00650A90" w:rsidRPr="00F94457">
              <w:t>aspart</w:t>
            </w:r>
            <w:proofErr w:type="spellEnd"/>
          </w:p>
          <w:p w14:paraId="08EAF701" w14:textId="4C57022D" w:rsidR="00650A90" w:rsidRPr="00F94457" w:rsidRDefault="00DF4D5A" w:rsidP="00916AA9">
            <w:pPr>
              <w:pStyle w:val="TableText"/>
              <w:spacing w:line="240" w:lineRule="auto"/>
            </w:pPr>
            <w:r>
              <w:t>i</w:t>
            </w:r>
            <w:r w:rsidR="00650A90" w:rsidRPr="00F94457">
              <w:t>nsulin glargine</w:t>
            </w:r>
          </w:p>
          <w:p w14:paraId="3912A21A" w14:textId="40FB5615" w:rsidR="00650A90" w:rsidRPr="00F94457" w:rsidRDefault="00DF4D5A" w:rsidP="00916AA9">
            <w:pPr>
              <w:pStyle w:val="TableText"/>
              <w:spacing w:line="240" w:lineRule="auto"/>
            </w:pPr>
            <w:r>
              <w:t>g</w:t>
            </w:r>
            <w:r w:rsidR="00650A90" w:rsidRPr="00F94457">
              <w:t>lucagon hydrochloride</w:t>
            </w:r>
          </w:p>
        </w:tc>
      </w:tr>
      <w:tr w:rsidR="00650A90" w:rsidRPr="00CB6319" w14:paraId="75F73B89" w14:textId="77777777" w:rsidTr="00AA021D">
        <w:tc>
          <w:tcPr>
            <w:tcW w:w="1566" w:type="pct"/>
            <w:shd w:val="clear" w:color="auto" w:fill="auto"/>
          </w:tcPr>
          <w:p w14:paraId="5B665B54" w14:textId="77777777" w:rsidR="00650A90" w:rsidRPr="00CB6319" w:rsidRDefault="00650A90" w:rsidP="00916AA9">
            <w:pPr>
              <w:pStyle w:val="TableText"/>
              <w:spacing w:line="240" w:lineRule="auto"/>
              <w:rPr>
                <w:rFonts w:cs="Segoe UI"/>
              </w:rPr>
            </w:pPr>
            <w:r>
              <w:rPr>
                <w:rFonts w:cs="Segoe UI"/>
              </w:rPr>
              <w:t>Metformin</w:t>
            </w:r>
          </w:p>
        </w:tc>
        <w:tc>
          <w:tcPr>
            <w:tcW w:w="3434" w:type="pct"/>
            <w:shd w:val="clear" w:color="auto" w:fill="auto"/>
          </w:tcPr>
          <w:p w14:paraId="00CA8FB1" w14:textId="05224663" w:rsidR="00650A90" w:rsidRPr="00697BCC" w:rsidRDefault="00DF4D5A" w:rsidP="00916AA9">
            <w:pPr>
              <w:pStyle w:val="TableText"/>
              <w:spacing w:line="240" w:lineRule="auto"/>
              <w:rPr>
                <w:rStyle w:val="Hyperlink"/>
                <w:b w:val="0"/>
                <w:color w:val="auto"/>
              </w:rPr>
            </w:pPr>
            <w:r>
              <w:rPr>
                <w:rStyle w:val="Hyperlink"/>
                <w:rFonts w:eastAsia="MS Gothic"/>
                <w:b w:val="0"/>
                <w:color w:val="auto"/>
              </w:rPr>
              <w:t>m</w:t>
            </w:r>
            <w:r w:rsidR="00650A90" w:rsidRPr="00F94457">
              <w:rPr>
                <w:rStyle w:val="Hyperlink"/>
                <w:rFonts w:eastAsia="MS Gothic"/>
                <w:b w:val="0"/>
                <w:color w:val="auto"/>
              </w:rPr>
              <w:t>etformin hydrochloride</w:t>
            </w:r>
          </w:p>
        </w:tc>
      </w:tr>
      <w:tr w:rsidR="00650A90" w:rsidRPr="00CB6319" w14:paraId="512C6EA9" w14:textId="77777777" w:rsidTr="00AA021D">
        <w:tc>
          <w:tcPr>
            <w:tcW w:w="1566" w:type="pct"/>
            <w:shd w:val="clear" w:color="auto" w:fill="auto"/>
          </w:tcPr>
          <w:p w14:paraId="28B3E67E" w14:textId="77777777" w:rsidR="00650A90" w:rsidRPr="00CB6319" w:rsidRDefault="00650A90" w:rsidP="00916AA9">
            <w:pPr>
              <w:pStyle w:val="TableText"/>
              <w:spacing w:line="240" w:lineRule="auto"/>
              <w:rPr>
                <w:rFonts w:cs="Segoe UI"/>
              </w:rPr>
            </w:pPr>
            <w:r>
              <w:rPr>
                <w:rFonts w:cs="Segoe UI"/>
              </w:rPr>
              <w:t>Other oral-hypoglycaemic agents</w:t>
            </w:r>
          </w:p>
        </w:tc>
        <w:tc>
          <w:tcPr>
            <w:tcW w:w="3434" w:type="pct"/>
            <w:shd w:val="clear" w:color="auto" w:fill="auto"/>
          </w:tcPr>
          <w:p w14:paraId="189E280C" w14:textId="0EF306E1" w:rsidR="00650A90" w:rsidRPr="00F94457" w:rsidRDefault="00DF4D5A" w:rsidP="00916AA9">
            <w:pPr>
              <w:pStyle w:val="TableText"/>
              <w:spacing w:line="240" w:lineRule="auto"/>
              <w:rPr>
                <w:rStyle w:val="Hyperlink"/>
                <w:b w:val="0"/>
                <w:color w:val="auto"/>
              </w:rPr>
            </w:pPr>
            <w:r>
              <w:rPr>
                <w:rStyle w:val="Hyperlink"/>
                <w:rFonts w:eastAsia="MS Gothic"/>
                <w:b w:val="0"/>
                <w:color w:val="auto"/>
              </w:rPr>
              <w:t>s</w:t>
            </w:r>
            <w:r w:rsidR="00650A90" w:rsidRPr="00F94457">
              <w:rPr>
                <w:rStyle w:val="Hyperlink"/>
                <w:rFonts w:eastAsia="MS Gothic"/>
                <w:b w:val="0"/>
                <w:color w:val="auto"/>
              </w:rPr>
              <w:t>ulfonylurea</w:t>
            </w:r>
          </w:p>
          <w:p w14:paraId="067317A6" w14:textId="1C5BA116" w:rsidR="00650A90" w:rsidRPr="00F94457" w:rsidRDefault="00DF4D5A" w:rsidP="00916AA9">
            <w:pPr>
              <w:pStyle w:val="TableText"/>
              <w:spacing w:line="240" w:lineRule="auto"/>
              <w:rPr>
                <w:rStyle w:val="Hyperlink"/>
                <w:b w:val="0"/>
                <w:color w:val="auto"/>
              </w:rPr>
            </w:pPr>
            <w:r>
              <w:rPr>
                <w:rStyle w:val="Hyperlink"/>
                <w:rFonts w:eastAsia="MS Gothic"/>
                <w:b w:val="0"/>
                <w:color w:val="auto"/>
              </w:rPr>
              <w:t>t</w:t>
            </w:r>
            <w:r w:rsidR="00650A90" w:rsidRPr="00F94457">
              <w:rPr>
                <w:rStyle w:val="Hyperlink"/>
                <w:rFonts w:eastAsia="MS Gothic"/>
                <w:b w:val="0"/>
                <w:color w:val="auto"/>
              </w:rPr>
              <w:t>hiazolidinedione</w:t>
            </w:r>
          </w:p>
          <w:p w14:paraId="085EF321" w14:textId="023F7714" w:rsidR="00650A90" w:rsidRPr="00F94457" w:rsidRDefault="00D31DF4" w:rsidP="00916AA9">
            <w:pPr>
              <w:pStyle w:val="TableText"/>
              <w:spacing w:line="240" w:lineRule="auto"/>
              <w:rPr>
                <w:rStyle w:val="Hyperlink"/>
                <w:b w:val="0"/>
                <w:color w:val="auto"/>
              </w:rPr>
            </w:pPr>
            <w:r>
              <w:rPr>
                <w:rStyle w:val="Hyperlink"/>
                <w:rFonts w:eastAsia="MS Gothic"/>
                <w:b w:val="0"/>
                <w:color w:val="auto"/>
              </w:rPr>
              <w:t>r</w:t>
            </w:r>
            <w:r w:rsidR="00650A90" w:rsidRPr="00F94457">
              <w:rPr>
                <w:rStyle w:val="Hyperlink"/>
                <w:rFonts w:eastAsia="MS Gothic"/>
                <w:b w:val="0"/>
                <w:color w:val="auto"/>
              </w:rPr>
              <w:t>osiglitazone</w:t>
            </w:r>
          </w:p>
          <w:p w14:paraId="3DA1F8D4" w14:textId="57C7E293" w:rsidR="00650A90" w:rsidRPr="00F94457" w:rsidRDefault="00D31DF4" w:rsidP="00916AA9">
            <w:pPr>
              <w:pStyle w:val="TableText"/>
              <w:spacing w:line="240" w:lineRule="auto"/>
            </w:pPr>
            <w:r>
              <w:t>p</w:t>
            </w:r>
            <w:r w:rsidR="00650A90" w:rsidRPr="00F94457">
              <w:t>ioglitazone</w:t>
            </w:r>
          </w:p>
          <w:p w14:paraId="09D3AD91" w14:textId="2A4C16F8" w:rsidR="00650A90" w:rsidRPr="00F94457" w:rsidRDefault="00D31DF4" w:rsidP="00916AA9">
            <w:pPr>
              <w:pStyle w:val="TableText"/>
              <w:spacing w:line="240" w:lineRule="auto"/>
            </w:pPr>
            <w:r>
              <w:t>t</w:t>
            </w:r>
            <w:r w:rsidR="00650A90" w:rsidRPr="00F94457">
              <w:t>olbutamide</w:t>
            </w:r>
          </w:p>
          <w:p w14:paraId="18B65145" w14:textId="4419F259" w:rsidR="00650A90" w:rsidRPr="00F94457" w:rsidRDefault="00D31DF4" w:rsidP="00916AA9">
            <w:pPr>
              <w:pStyle w:val="TableText"/>
              <w:spacing w:line="240" w:lineRule="auto"/>
            </w:pPr>
            <w:r>
              <w:t>t</w:t>
            </w:r>
            <w:r w:rsidR="00650A90" w:rsidRPr="00F94457">
              <w:t>olazamide</w:t>
            </w:r>
          </w:p>
          <w:p w14:paraId="25588362" w14:textId="32731A66" w:rsidR="00650A90" w:rsidRPr="00F94457" w:rsidRDefault="00D31DF4" w:rsidP="00916AA9">
            <w:pPr>
              <w:pStyle w:val="TableText"/>
              <w:spacing w:line="240" w:lineRule="auto"/>
            </w:pPr>
            <w:r>
              <w:t>g</w:t>
            </w:r>
            <w:r w:rsidR="00650A90" w:rsidRPr="00F94457">
              <w:t>lipizide</w:t>
            </w:r>
          </w:p>
          <w:p w14:paraId="4FB50CBC" w14:textId="04C87B46" w:rsidR="00650A90" w:rsidRPr="00F94457" w:rsidRDefault="00D31DF4" w:rsidP="00916AA9">
            <w:pPr>
              <w:pStyle w:val="TableText"/>
              <w:spacing w:line="240" w:lineRule="auto"/>
            </w:pPr>
            <w:r>
              <w:t>g</w:t>
            </w:r>
            <w:r w:rsidR="00650A90" w:rsidRPr="00F94457">
              <w:t>liclazide</w:t>
            </w:r>
          </w:p>
          <w:p w14:paraId="6FB662BC" w14:textId="1A2DD318" w:rsidR="00650A90" w:rsidRPr="00F94457" w:rsidRDefault="00D31DF4" w:rsidP="00916AA9">
            <w:pPr>
              <w:pStyle w:val="TableText"/>
              <w:spacing w:line="240" w:lineRule="auto"/>
            </w:pPr>
            <w:proofErr w:type="spellStart"/>
            <w:r>
              <w:t>g</w:t>
            </w:r>
            <w:r w:rsidR="00650A90" w:rsidRPr="00F94457">
              <w:t>libenclamide</w:t>
            </w:r>
            <w:proofErr w:type="spellEnd"/>
          </w:p>
          <w:p w14:paraId="42F6A95A" w14:textId="6B080F11" w:rsidR="00650A90" w:rsidRPr="005C6D25" w:rsidRDefault="00000000" w:rsidP="00916AA9">
            <w:pPr>
              <w:pStyle w:val="TableText"/>
              <w:spacing w:line="240" w:lineRule="auto"/>
              <w:rPr>
                <w:rStyle w:val="Hyperlink"/>
                <w:b w:val="0"/>
                <w:color w:val="auto"/>
              </w:rPr>
            </w:pPr>
            <w:hyperlink r:id="rId32" w:history="1">
              <w:r w:rsidR="00D31DF4">
                <w:rPr>
                  <w:rStyle w:val="Hyperlink"/>
                  <w:rFonts w:eastAsia="MS Gothic"/>
                  <w:b w:val="0"/>
                  <w:color w:val="auto"/>
                </w:rPr>
                <w:t>a</w:t>
              </w:r>
              <w:r w:rsidR="00650A90" w:rsidRPr="005C6D25">
                <w:rPr>
                  <w:rStyle w:val="Hyperlink"/>
                  <w:rFonts w:eastAsia="MS Gothic"/>
                  <w:b w:val="0"/>
                  <w:color w:val="auto"/>
                </w:rPr>
                <w:t>carbose</w:t>
              </w:r>
            </w:hyperlink>
          </w:p>
          <w:p w14:paraId="0BCBC07C" w14:textId="2F36E6BA" w:rsidR="00650A90" w:rsidRPr="00F94457" w:rsidRDefault="00D31DF4" w:rsidP="00916AA9">
            <w:pPr>
              <w:pStyle w:val="TableText"/>
              <w:spacing w:line="240" w:lineRule="auto"/>
            </w:pPr>
            <w:r>
              <w:t>s</w:t>
            </w:r>
            <w:r w:rsidR="00650A90" w:rsidRPr="00F94457">
              <w:t>itagliptin</w:t>
            </w:r>
          </w:p>
          <w:p w14:paraId="22A3FFE8" w14:textId="683E489B" w:rsidR="00650A90" w:rsidRPr="00F94457" w:rsidRDefault="00D31DF4" w:rsidP="00916AA9">
            <w:pPr>
              <w:pStyle w:val="TableText"/>
              <w:spacing w:line="240" w:lineRule="auto"/>
            </w:pPr>
            <w:proofErr w:type="spellStart"/>
            <w:r>
              <w:t>s</w:t>
            </w:r>
            <w:r w:rsidR="00650A90" w:rsidRPr="00F94457">
              <w:t>axagliptin</w:t>
            </w:r>
            <w:proofErr w:type="spellEnd"/>
          </w:p>
          <w:p w14:paraId="089D3D3A" w14:textId="387456BF" w:rsidR="00650A90" w:rsidRPr="00F94457" w:rsidRDefault="00D31DF4" w:rsidP="00916AA9">
            <w:pPr>
              <w:pStyle w:val="TableText"/>
              <w:spacing w:line="240" w:lineRule="auto"/>
            </w:pPr>
            <w:r>
              <w:t>v</w:t>
            </w:r>
            <w:r w:rsidR="00650A90" w:rsidRPr="00F94457">
              <w:t>ildagliptin</w:t>
            </w:r>
          </w:p>
          <w:p w14:paraId="13429AA9" w14:textId="6230C190" w:rsidR="00650A90" w:rsidRPr="00F94457" w:rsidRDefault="00D31DF4" w:rsidP="00916AA9">
            <w:pPr>
              <w:pStyle w:val="TableText"/>
              <w:spacing w:line="240" w:lineRule="auto"/>
            </w:pPr>
            <w:r>
              <w:t>e</w:t>
            </w:r>
            <w:r w:rsidR="00650A90" w:rsidRPr="00F94457">
              <w:t>xenatide</w:t>
            </w:r>
          </w:p>
          <w:p w14:paraId="7D340EE5" w14:textId="037EABE6" w:rsidR="00650A90" w:rsidRPr="00F94457" w:rsidRDefault="00D31DF4" w:rsidP="00916AA9">
            <w:pPr>
              <w:pStyle w:val="TableText"/>
              <w:spacing w:line="240" w:lineRule="auto"/>
            </w:pPr>
            <w:r>
              <w:t>d</w:t>
            </w:r>
            <w:r w:rsidR="00650A90" w:rsidRPr="00F94457">
              <w:t>apagliflozin</w:t>
            </w:r>
          </w:p>
        </w:tc>
      </w:tr>
    </w:tbl>
    <w:p w14:paraId="046A4548" w14:textId="01C9F95F" w:rsidR="004C73AE" w:rsidRDefault="004C73AE" w:rsidP="00594534">
      <w:pPr>
        <w:pStyle w:val="Heading4"/>
      </w:pPr>
      <w:r w:rsidRPr="009A672E">
        <w:lastRenderedPageBreak/>
        <w:t>Insulin</w:t>
      </w: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4C73AE" w:rsidRPr="008D448E" w14:paraId="5C1745EF" w14:textId="77777777" w:rsidTr="00A55B34">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7BF08111" w14:textId="77777777" w:rsidR="004C73AE" w:rsidRPr="004470FF" w:rsidRDefault="004C73AE" w:rsidP="00A55B34">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49465EE" w14:textId="77777777" w:rsidR="004C73AE" w:rsidRPr="008D448E" w:rsidRDefault="004C73AE" w:rsidP="00A55B34">
            <w:pPr>
              <w:pStyle w:val="TableText"/>
            </w:pPr>
            <w:r>
              <w:t>The use of the insulin hormone to support glycaemic control in people with diabetes</w:t>
            </w:r>
          </w:p>
        </w:tc>
      </w:tr>
      <w:tr w:rsidR="004C73AE" w:rsidRPr="008D448E" w14:paraId="2AE9FB1F" w14:textId="77777777" w:rsidTr="00A55B34">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3E2BFF0" w14:textId="77777777" w:rsidR="004C73AE" w:rsidRPr="004470FF" w:rsidRDefault="004C73AE" w:rsidP="00A55B34">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2CEA130F" w14:textId="77777777" w:rsidR="004C73AE" w:rsidRPr="008D448E" w:rsidRDefault="004C73AE" w:rsidP="00A55B34">
            <w:pPr>
              <w:pStyle w:val="TableText"/>
            </w:pPr>
          </w:p>
        </w:tc>
      </w:tr>
      <w:tr w:rsidR="004C73AE" w:rsidRPr="008D448E" w14:paraId="68F088F7" w14:textId="77777777" w:rsidTr="00A55B34">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D53917A" w14:textId="77777777" w:rsidR="004C73AE" w:rsidRPr="004470FF" w:rsidRDefault="004C73AE" w:rsidP="00A55B34">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3A00DE85" w14:textId="77777777" w:rsidR="004C73AE" w:rsidRPr="008D448E" w:rsidRDefault="004C73AE" w:rsidP="00A55B34">
            <w:pPr>
              <w:pStyle w:val="TableText"/>
            </w:pPr>
            <w:r>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E656F0E" w14:textId="77777777" w:rsidR="004C73AE" w:rsidRPr="004470FF" w:rsidRDefault="004C73AE" w:rsidP="00A55B34">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246244A7" w14:textId="77777777" w:rsidR="004C73AE" w:rsidRPr="008D448E" w:rsidRDefault="004C73AE" w:rsidP="00A55B34">
            <w:pPr>
              <w:pStyle w:val="TableText"/>
            </w:pPr>
            <w:r>
              <w:t>Value</w:t>
            </w:r>
          </w:p>
        </w:tc>
      </w:tr>
      <w:tr w:rsidR="004C73AE" w:rsidRPr="00F46627" w14:paraId="044313A9" w14:textId="77777777" w:rsidTr="00A55B34">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EC364D0" w14:textId="77777777" w:rsidR="004C73AE" w:rsidRPr="004470FF" w:rsidRDefault="004C73AE" w:rsidP="00A55B34">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58FF6DC8" w14:textId="77777777" w:rsidR="004C73AE" w:rsidRPr="008D448E" w:rsidRDefault="004C73AE" w:rsidP="00A55B34">
            <w:pPr>
              <w:pStyle w:val="TableText"/>
            </w:pPr>
            <w:r>
              <w:t>1</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5A2372FD" w14:textId="77777777" w:rsidR="004C73AE" w:rsidRPr="004470FF" w:rsidRDefault="004C73AE" w:rsidP="00A55B34">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1CFF2BE1" w14:textId="77777777" w:rsidR="004C73AE" w:rsidRPr="00F46627" w:rsidRDefault="004C73AE" w:rsidP="00A55B34">
            <w:pPr>
              <w:pStyle w:val="TableText"/>
            </w:pPr>
            <w:r>
              <w:rPr>
                <w:rFonts w:cs="Arial"/>
              </w:rPr>
              <w:t>N</w:t>
            </w:r>
          </w:p>
        </w:tc>
      </w:tr>
      <w:tr w:rsidR="004C73AE" w:rsidRPr="008D448E" w14:paraId="61B5C718" w14:textId="77777777" w:rsidTr="00A55B34">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C55E15C" w14:textId="77777777" w:rsidR="004C73AE" w:rsidRPr="004470FF" w:rsidRDefault="004C73AE" w:rsidP="00A55B34">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5B34B48" w14:textId="77777777" w:rsidR="004C73AE" w:rsidRDefault="004C73AE" w:rsidP="00A55B34">
            <w:pPr>
              <w:pStyle w:val="TableText"/>
            </w:pPr>
            <w:r>
              <w:t>0 = None</w:t>
            </w:r>
          </w:p>
          <w:p w14:paraId="6A5BE038" w14:textId="77777777" w:rsidR="004C73AE" w:rsidRPr="008D448E" w:rsidRDefault="004C73AE" w:rsidP="00A55B34">
            <w:pPr>
              <w:pStyle w:val="TableText"/>
            </w:pPr>
            <w:r>
              <w:t>1 = Insulin</w:t>
            </w:r>
          </w:p>
        </w:tc>
      </w:tr>
      <w:tr w:rsidR="004C73AE" w:rsidRPr="008D448E" w14:paraId="3FCE193B" w14:textId="77777777" w:rsidTr="00A55B34">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5A3BC23" w14:textId="77777777" w:rsidR="004C73AE" w:rsidRPr="004470FF" w:rsidRDefault="004C73AE" w:rsidP="00A55B34">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5754B14" w14:textId="77777777" w:rsidR="004C73AE" w:rsidRPr="008D448E" w:rsidRDefault="004C73AE" w:rsidP="00A55B34">
            <w:pPr>
              <w:pStyle w:val="TableText"/>
            </w:pPr>
            <w:r>
              <w:t>Mandatory</w:t>
            </w:r>
          </w:p>
        </w:tc>
      </w:tr>
      <w:tr w:rsidR="004C73AE" w:rsidRPr="008D448E" w14:paraId="6BC27F2B" w14:textId="77777777" w:rsidTr="00A55B34">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0AAB38A" w14:textId="77777777" w:rsidR="004C73AE" w:rsidRPr="004470FF" w:rsidRDefault="004C73AE" w:rsidP="00A55B34">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FB69D70" w14:textId="77777777" w:rsidR="004C73AE" w:rsidRPr="008D448E" w:rsidRDefault="004C73AE" w:rsidP="00A55B34">
            <w:pPr>
              <w:pStyle w:val="TableText"/>
            </w:pPr>
            <w:r>
              <w:t>Clinical criteria based on long-term medications</w:t>
            </w:r>
          </w:p>
        </w:tc>
      </w:tr>
      <w:tr w:rsidR="004C73AE" w:rsidRPr="008D448E" w14:paraId="1ACD54F1" w14:textId="77777777" w:rsidTr="00A55B34">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1F957847" w14:textId="77777777" w:rsidR="004C73AE" w:rsidRPr="004470FF" w:rsidRDefault="004C73AE" w:rsidP="00A55B34">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43405BF" w14:textId="77777777" w:rsidR="004C73AE" w:rsidRPr="008D448E" w:rsidRDefault="004C73AE" w:rsidP="00A55B34">
            <w:pPr>
              <w:pStyle w:val="TableText"/>
            </w:pPr>
          </w:p>
        </w:tc>
      </w:tr>
    </w:tbl>
    <w:p w14:paraId="504F916B" w14:textId="1ED21A00" w:rsidR="001B0392" w:rsidRDefault="001B0392" w:rsidP="00594534">
      <w:pPr>
        <w:pStyle w:val="Heading4"/>
      </w:pPr>
      <w:r w:rsidRPr="009A672E">
        <w:t>Oral hypoglycaemic medications</w:t>
      </w:r>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00" w:firstRow="0" w:lastRow="0" w:firstColumn="0" w:lastColumn="0" w:noHBand="0" w:noVBand="0"/>
      </w:tblPr>
      <w:tblGrid>
        <w:gridCol w:w="1678"/>
        <w:gridCol w:w="1844"/>
        <w:gridCol w:w="2349"/>
        <w:gridCol w:w="2097"/>
      </w:tblGrid>
      <w:tr w:rsidR="001B0392" w:rsidRPr="008D448E" w14:paraId="172D0D81" w14:textId="77777777" w:rsidTr="0046414A">
        <w:trPr>
          <w:cantSplit/>
        </w:trPr>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178AA524" w14:textId="77777777" w:rsidR="001B0392" w:rsidRPr="004470FF" w:rsidRDefault="001B0392" w:rsidP="0046414A">
            <w:pPr>
              <w:pStyle w:val="TableText"/>
              <w:rPr>
                <w:b/>
              </w:rPr>
            </w:pPr>
            <w:r w:rsidRPr="004470FF">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CEE25CD" w14:textId="77777777" w:rsidR="001B0392" w:rsidRPr="008D448E" w:rsidRDefault="001B0392" w:rsidP="0046414A">
            <w:pPr>
              <w:pStyle w:val="TableText"/>
            </w:pPr>
            <w:r>
              <w:t>Oral medications used to support glycaemic control in people with diabetes</w:t>
            </w:r>
          </w:p>
        </w:tc>
      </w:tr>
      <w:tr w:rsidR="001B0392" w:rsidRPr="008D448E" w14:paraId="301F67BD" w14:textId="77777777" w:rsidTr="0046414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66BD426" w14:textId="77777777" w:rsidR="001B0392" w:rsidRPr="004470FF" w:rsidRDefault="001B0392" w:rsidP="0046414A">
            <w:pPr>
              <w:pStyle w:val="TableText"/>
              <w:rPr>
                <w:b/>
              </w:rPr>
            </w:pPr>
            <w:r w:rsidRPr="004470FF">
              <w:rPr>
                <w:b/>
              </w:rPr>
              <w:t>Source standards</w:t>
            </w:r>
          </w:p>
        </w:tc>
        <w:tc>
          <w:tcPr>
            <w:tcW w:w="3947" w:type="pct"/>
            <w:gridSpan w:val="3"/>
            <w:tcBorders>
              <w:top w:val="single" w:sz="4" w:space="0" w:color="A6A6A6" w:themeColor="background1" w:themeShade="A6"/>
              <w:left w:val="nil"/>
              <w:bottom w:val="single" w:sz="4" w:space="0" w:color="D9D9D9" w:themeColor="background1" w:themeShade="D9"/>
              <w:right w:val="nil"/>
            </w:tcBorders>
            <w:shd w:val="clear" w:color="auto" w:fill="auto"/>
          </w:tcPr>
          <w:p w14:paraId="61B677D1" w14:textId="77777777" w:rsidR="001B0392" w:rsidRPr="008D448E" w:rsidRDefault="001B0392" w:rsidP="0046414A">
            <w:pPr>
              <w:pStyle w:val="TableText"/>
            </w:pPr>
          </w:p>
        </w:tc>
      </w:tr>
      <w:tr w:rsidR="001B0392" w:rsidRPr="008D448E" w14:paraId="444F6E3E" w14:textId="77777777" w:rsidTr="0046414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FDB9D32" w14:textId="77777777" w:rsidR="001B0392" w:rsidRPr="004470FF" w:rsidRDefault="001B0392" w:rsidP="0046414A">
            <w:pPr>
              <w:pStyle w:val="TableText"/>
              <w:rPr>
                <w:b/>
              </w:rPr>
            </w:pPr>
            <w:r w:rsidRPr="004470FF">
              <w:rPr>
                <w:b/>
              </w:rPr>
              <w:t>Data type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672A5157" w14:textId="77777777" w:rsidR="001B0392" w:rsidRPr="008D448E" w:rsidRDefault="001B0392" w:rsidP="0046414A">
            <w:pPr>
              <w:pStyle w:val="TableText"/>
            </w:pPr>
            <w:r>
              <w:t>Numeric</w:t>
            </w:r>
          </w:p>
        </w:tc>
        <w:tc>
          <w:tcPr>
            <w:tcW w:w="147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5D7F7010" w14:textId="77777777" w:rsidR="001B0392" w:rsidRPr="004470FF" w:rsidRDefault="001B0392" w:rsidP="0046414A">
            <w:pPr>
              <w:pStyle w:val="TableText"/>
              <w:rPr>
                <w:b/>
              </w:rPr>
            </w:pPr>
            <w:r w:rsidRPr="004470FF">
              <w:rPr>
                <w:b/>
              </w:rPr>
              <w:t>Representational class</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7CFB0082" w14:textId="77777777" w:rsidR="001B0392" w:rsidRPr="008D448E" w:rsidRDefault="001B0392" w:rsidP="0046414A">
            <w:pPr>
              <w:pStyle w:val="TableText"/>
            </w:pPr>
            <w:r>
              <w:t>Value</w:t>
            </w:r>
          </w:p>
        </w:tc>
      </w:tr>
      <w:tr w:rsidR="001B0392" w:rsidRPr="00F46627" w14:paraId="0CACD9AE" w14:textId="77777777" w:rsidTr="0046414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6451378" w14:textId="77777777" w:rsidR="001B0392" w:rsidRPr="004470FF" w:rsidRDefault="001B0392" w:rsidP="0046414A">
            <w:pPr>
              <w:pStyle w:val="TableText"/>
              <w:rPr>
                <w:b/>
              </w:rPr>
            </w:pPr>
            <w:r w:rsidRPr="004470FF">
              <w:rPr>
                <w:b/>
              </w:rPr>
              <w:t>Field size</w:t>
            </w:r>
          </w:p>
        </w:tc>
        <w:tc>
          <w:tcPr>
            <w:tcW w:w="1157" w:type="pct"/>
            <w:tcBorders>
              <w:top w:val="single" w:sz="4" w:space="0" w:color="A6A6A6" w:themeColor="background1" w:themeShade="A6"/>
              <w:left w:val="nil"/>
              <w:bottom w:val="single" w:sz="4" w:space="0" w:color="A6A6A6" w:themeColor="background1" w:themeShade="A6"/>
              <w:right w:val="nil"/>
            </w:tcBorders>
            <w:shd w:val="clear" w:color="auto" w:fill="auto"/>
          </w:tcPr>
          <w:p w14:paraId="1308BF5C" w14:textId="77777777" w:rsidR="001B0392" w:rsidRPr="008D448E" w:rsidRDefault="001B0392" w:rsidP="0046414A">
            <w:pPr>
              <w:pStyle w:val="TableText"/>
            </w:pPr>
            <w:r>
              <w:t>1</w:t>
            </w:r>
          </w:p>
        </w:tc>
        <w:tc>
          <w:tcPr>
            <w:tcW w:w="1474" w:type="pct"/>
            <w:tcBorders>
              <w:top w:val="single" w:sz="4" w:space="0" w:color="FFFFFF" w:themeColor="background1"/>
              <w:left w:val="nil"/>
              <w:bottom w:val="single" w:sz="4" w:space="0" w:color="A6A6A6" w:themeColor="background1" w:themeShade="A6"/>
              <w:right w:val="nil"/>
            </w:tcBorders>
            <w:shd w:val="clear" w:color="auto" w:fill="D9D9D9" w:themeFill="background1" w:themeFillShade="D9"/>
          </w:tcPr>
          <w:p w14:paraId="51A1DAF4" w14:textId="77777777" w:rsidR="001B0392" w:rsidRPr="004470FF" w:rsidRDefault="001B0392" w:rsidP="0046414A">
            <w:pPr>
              <w:pStyle w:val="TableText"/>
              <w:rPr>
                <w:b/>
              </w:rPr>
            </w:pPr>
            <w:r w:rsidRPr="004470FF">
              <w:rPr>
                <w:b/>
              </w:rPr>
              <w:t>Representational layout</w:t>
            </w:r>
          </w:p>
        </w:tc>
        <w:tc>
          <w:tcPr>
            <w:tcW w:w="1316" w:type="pct"/>
            <w:tcBorders>
              <w:top w:val="single" w:sz="4" w:space="0" w:color="A6A6A6" w:themeColor="background1" w:themeShade="A6"/>
              <w:left w:val="nil"/>
              <w:bottom w:val="single" w:sz="4" w:space="0" w:color="A6A6A6" w:themeColor="background1" w:themeShade="A6"/>
              <w:right w:val="nil"/>
            </w:tcBorders>
            <w:shd w:val="clear" w:color="auto" w:fill="auto"/>
          </w:tcPr>
          <w:p w14:paraId="495994C3" w14:textId="77777777" w:rsidR="001B0392" w:rsidRPr="00F46627" w:rsidRDefault="001B0392" w:rsidP="0046414A">
            <w:pPr>
              <w:pStyle w:val="TableText"/>
            </w:pPr>
            <w:r>
              <w:rPr>
                <w:rFonts w:cs="Arial"/>
              </w:rPr>
              <w:t>N</w:t>
            </w:r>
          </w:p>
        </w:tc>
      </w:tr>
      <w:tr w:rsidR="001B0392" w:rsidRPr="008D448E" w14:paraId="09B13B84" w14:textId="77777777" w:rsidTr="0046414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E279DB5" w14:textId="77777777" w:rsidR="001B0392" w:rsidRPr="004470FF" w:rsidRDefault="001B0392" w:rsidP="0046414A">
            <w:pPr>
              <w:pStyle w:val="TableText"/>
              <w:rPr>
                <w:b/>
              </w:rPr>
            </w:pPr>
            <w:r w:rsidRPr="004470FF">
              <w:rPr>
                <w:b/>
              </w:rPr>
              <w:t>Data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0DA1D1E" w14:textId="77777777" w:rsidR="001B0392" w:rsidRDefault="001B0392" w:rsidP="0046414A">
            <w:pPr>
              <w:pStyle w:val="TableText"/>
            </w:pPr>
            <w:r>
              <w:t>0 = None</w:t>
            </w:r>
          </w:p>
          <w:p w14:paraId="3A9BE51C" w14:textId="77777777" w:rsidR="001B0392" w:rsidRPr="008D448E" w:rsidRDefault="001B0392" w:rsidP="0046414A">
            <w:pPr>
              <w:pStyle w:val="TableText"/>
            </w:pPr>
            <w:r>
              <w:t>1 = Metformin or other hypoglycaemic medications</w:t>
            </w:r>
          </w:p>
        </w:tc>
      </w:tr>
      <w:tr w:rsidR="001B0392" w:rsidRPr="008D448E" w14:paraId="29D080AE" w14:textId="77777777" w:rsidTr="0046414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F44F058" w14:textId="77777777" w:rsidR="001B0392" w:rsidRPr="004470FF" w:rsidRDefault="001B0392" w:rsidP="0046414A">
            <w:pPr>
              <w:pStyle w:val="TableText"/>
              <w:rPr>
                <w:b/>
              </w:rPr>
            </w:pPr>
            <w:r w:rsidRPr="004470FF">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2C5656B" w14:textId="77777777" w:rsidR="001B0392" w:rsidRPr="008D448E" w:rsidRDefault="001B0392" w:rsidP="0046414A">
            <w:pPr>
              <w:pStyle w:val="TableText"/>
            </w:pPr>
            <w:r>
              <w:t>Mandatory</w:t>
            </w:r>
          </w:p>
        </w:tc>
      </w:tr>
      <w:tr w:rsidR="001B0392" w:rsidRPr="008D448E" w14:paraId="1BF0BAA8" w14:textId="77777777" w:rsidTr="0046414A">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EE55FA3" w14:textId="77777777" w:rsidR="001B0392" w:rsidRPr="004470FF" w:rsidRDefault="001B0392" w:rsidP="0046414A">
            <w:pPr>
              <w:pStyle w:val="TableText"/>
              <w:rPr>
                <w:b/>
              </w:rPr>
            </w:pPr>
            <w:r w:rsidRPr="004470FF">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092D48C" w14:textId="77777777" w:rsidR="001B0392" w:rsidRPr="008D448E" w:rsidRDefault="001B0392" w:rsidP="0046414A">
            <w:pPr>
              <w:pStyle w:val="TableText"/>
            </w:pPr>
            <w:r>
              <w:t>Clinical criteria based on long-term medications</w:t>
            </w:r>
          </w:p>
        </w:tc>
      </w:tr>
      <w:tr w:rsidR="001B0392" w:rsidRPr="008D448E" w14:paraId="61E5E9F9" w14:textId="77777777" w:rsidTr="0046414A">
        <w:trPr>
          <w:cantSplit/>
        </w:trPr>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7D35708E" w14:textId="77777777" w:rsidR="001B0392" w:rsidRPr="004470FF" w:rsidRDefault="001B0392" w:rsidP="0046414A">
            <w:pPr>
              <w:pStyle w:val="TableText"/>
              <w:rPr>
                <w:b/>
              </w:rPr>
            </w:pPr>
            <w:r w:rsidRPr="004470FF">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62C05C4" w14:textId="77777777" w:rsidR="001B0392" w:rsidRPr="008D448E" w:rsidRDefault="001B0392" w:rsidP="0046414A">
            <w:pPr>
              <w:pStyle w:val="TableText"/>
            </w:pPr>
          </w:p>
        </w:tc>
      </w:tr>
    </w:tbl>
    <w:p w14:paraId="50FB8C3E" w14:textId="77777777" w:rsidR="00650A90" w:rsidRDefault="00650A90" w:rsidP="006407A3">
      <w:pPr>
        <w:pStyle w:val="Heading1"/>
      </w:pPr>
      <w:bookmarkStart w:id="55" w:name="_Toc42092450"/>
      <w:bookmarkStart w:id="56" w:name="_Toc46146741"/>
      <w:bookmarkStart w:id="57" w:name="_Toc42092451"/>
      <w:bookmarkStart w:id="58" w:name="_Toc46146742"/>
      <w:bookmarkStart w:id="59" w:name="_Toc5806752"/>
      <w:bookmarkStart w:id="60" w:name="_Toc46146743"/>
      <w:bookmarkEnd w:id="54"/>
      <w:bookmarkEnd w:id="55"/>
      <w:bookmarkEnd w:id="56"/>
      <w:bookmarkEnd w:id="57"/>
      <w:bookmarkEnd w:id="58"/>
      <w:r>
        <w:lastRenderedPageBreak/>
        <w:t>Primary prevention equations</w:t>
      </w:r>
      <w:bookmarkEnd w:id="59"/>
      <w:bookmarkEnd w:id="60"/>
    </w:p>
    <w:p w14:paraId="2BFE104B" w14:textId="558B6B39" w:rsidR="00395E0C" w:rsidRDefault="00650A90" w:rsidP="008E7986">
      <w:r>
        <w:t xml:space="preserve">The tables in this section provide the </w:t>
      </w:r>
      <w:r w:rsidR="00CF5D47">
        <w:t xml:space="preserve">variables, </w:t>
      </w:r>
      <w:r>
        <w:t xml:space="preserve">coefficients </w:t>
      </w:r>
      <w:r w:rsidR="001656EA">
        <w:t xml:space="preserve">and </w:t>
      </w:r>
      <w:r w:rsidR="009E2045">
        <w:t xml:space="preserve">other </w:t>
      </w:r>
      <w:r w:rsidR="001656EA">
        <w:t xml:space="preserve">calculation </w:t>
      </w:r>
      <w:r w:rsidR="009E2045">
        <w:t>details</w:t>
      </w:r>
      <w:r w:rsidR="001656EA">
        <w:t xml:space="preserve"> </w:t>
      </w:r>
      <w:r>
        <w:t xml:space="preserve">for each of the four </w:t>
      </w:r>
      <w:r w:rsidR="001656EA">
        <w:t xml:space="preserve">current </w:t>
      </w:r>
      <w:r>
        <w:t>primary prevention equations.</w:t>
      </w:r>
    </w:p>
    <w:p w14:paraId="5781B7D4" w14:textId="77777777" w:rsidR="008E7986" w:rsidRDefault="008E7986" w:rsidP="008E7986"/>
    <w:p w14:paraId="79CB336E" w14:textId="4EE11561" w:rsidR="00650A90" w:rsidRDefault="00650A90" w:rsidP="008E7986">
      <w:r>
        <w:t>The equations are:</w:t>
      </w:r>
    </w:p>
    <w:p w14:paraId="03810018" w14:textId="50624280" w:rsidR="00650A90" w:rsidRPr="00BD0C43" w:rsidRDefault="006477D1" w:rsidP="008E7986">
      <w:pPr>
        <w:pStyle w:val="Bullet"/>
        <w:rPr>
          <w:color w:val="4F81BD" w:themeColor="accent1"/>
        </w:rPr>
      </w:pPr>
      <w:r w:rsidRPr="00BD0C43">
        <w:fldChar w:fldCharType="begin"/>
      </w:r>
      <w:r w:rsidRPr="00BD0C43">
        <w:rPr>
          <w:color w:val="4F81BD" w:themeColor="accent1"/>
        </w:rPr>
        <w:instrText>HYPERLINK "https://browser.ihtsdotools.org/?perspective=full&amp;conceptId1=50681000210105&amp;edition=MAIN/SNOMEDCT-NZ/2020-04-01"</w:instrText>
      </w:r>
      <w:r w:rsidRPr="00BD0C43">
        <w:fldChar w:fldCharType="separate"/>
      </w:r>
      <w:r w:rsidR="00650A90" w:rsidRPr="00BD0C43">
        <w:rPr>
          <w:rStyle w:val="Hyperlink"/>
          <w:color w:val="4F81BD" w:themeColor="accent1"/>
        </w:rPr>
        <w:t>PREDICT CVD v.201</w:t>
      </w:r>
      <w:r w:rsidR="00B8473E" w:rsidRPr="00BD0C43">
        <w:rPr>
          <w:rStyle w:val="Hyperlink"/>
          <w:color w:val="4F81BD" w:themeColor="accent1"/>
        </w:rPr>
        <w:t>9</w:t>
      </w:r>
      <w:r w:rsidR="00650A90" w:rsidRPr="00BD0C43">
        <w:rPr>
          <w:rStyle w:val="Hyperlink"/>
          <w:color w:val="4F81BD" w:themeColor="accent1"/>
        </w:rPr>
        <w:t xml:space="preserve"> primary prevention equation for women (30–74 years)</w:t>
      </w:r>
      <w:r w:rsidRPr="00BD0C43">
        <w:rPr>
          <w:rStyle w:val="Hyperlink"/>
          <w:color w:val="4F81BD" w:themeColor="accent1"/>
        </w:rPr>
        <w:fldChar w:fldCharType="end"/>
      </w:r>
    </w:p>
    <w:p w14:paraId="06ED593C" w14:textId="57B7380E" w:rsidR="00650A90" w:rsidRPr="00BD0C43" w:rsidRDefault="006477D1" w:rsidP="008E7986">
      <w:pPr>
        <w:pStyle w:val="Bullet"/>
        <w:rPr>
          <w:color w:val="4F81BD" w:themeColor="accent1"/>
        </w:rPr>
      </w:pPr>
      <w:r w:rsidRPr="00BD0C43">
        <w:fldChar w:fldCharType="begin"/>
      </w:r>
      <w:r w:rsidRPr="00BD0C43">
        <w:rPr>
          <w:color w:val="4F81BD" w:themeColor="accent1"/>
        </w:rPr>
        <w:instrText>HYPERLINK "https://browser.ihtsdotools.org/?perspective=full&amp;conceptId1=50741000210105&amp;edition=MAIN/SNOMEDCT-NZ/2020-04-01"</w:instrText>
      </w:r>
      <w:r w:rsidRPr="00BD0C43">
        <w:fldChar w:fldCharType="separate"/>
      </w:r>
      <w:r w:rsidR="00650A90" w:rsidRPr="00BD0C43">
        <w:rPr>
          <w:rStyle w:val="Hyperlink"/>
          <w:color w:val="4F81BD" w:themeColor="accent1"/>
        </w:rPr>
        <w:t>PREDICT CVD v.201</w:t>
      </w:r>
      <w:r w:rsidR="00B8473E" w:rsidRPr="00BD0C43">
        <w:rPr>
          <w:rStyle w:val="Hyperlink"/>
          <w:color w:val="4F81BD" w:themeColor="accent1"/>
        </w:rPr>
        <w:t>9</w:t>
      </w:r>
      <w:r w:rsidR="00650A90" w:rsidRPr="00BD0C43">
        <w:rPr>
          <w:rStyle w:val="Hyperlink"/>
          <w:color w:val="4F81BD" w:themeColor="accent1"/>
        </w:rPr>
        <w:t xml:space="preserve"> primary prevention equation for men (30–74 years)</w:t>
      </w:r>
      <w:r w:rsidRPr="00BD0C43">
        <w:rPr>
          <w:rStyle w:val="Hyperlink"/>
          <w:color w:val="4F81BD" w:themeColor="accent1"/>
        </w:rPr>
        <w:fldChar w:fldCharType="end"/>
      </w:r>
    </w:p>
    <w:p w14:paraId="5A851555" w14:textId="676DFD16" w:rsidR="00650A90" w:rsidRPr="00BD0C43" w:rsidRDefault="006477D1" w:rsidP="008E7986">
      <w:pPr>
        <w:pStyle w:val="Bullet"/>
        <w:rPr>
          <w:color w:val="4F81BD" w:themeColor="accent1"/>
        </w:rPr>
      </w:pPr>
      <w:r w:rsidRPr="00BD0C43">
        <w:fldChar w:fldCharType="begin"/>
      </w:r>
      <w:r w:rsidRPr="00BD0C43">
        <w:rPr>
          <w:color w:val="4F81BD" w:themeColor="accent1"/>
        </w:rPr>
        <w:instrText>HYPERLINK "https://browser.ihtsdotools.org/?perspective=full&amp;conceptId1=50701000210107&amp;edition=MAIN/SNOMEDCT-NZ/2020-04-01"</w:instrText>
      </w:r>
      <w:r w:rsidRPr="00BD0C43">
        <w:fldChar w:fldCharType="separate"/>
      </w:r>
      <w:r w:rsidR="00650A90" w:rsidRPr="00BD0C43">
        <w:rPr>
          <w:rStyle w:val="Hyperlink"/>
          <w:color w:val="4F81BD" w:themeColor="accent1"/>
        </w:rPr>
        <w:t>PREDICT CVD v.201</w:t>
      </w:r>
      <w:r w:rsidR="00B8473E" w:rsidRPr="00BD0C43">
        <w:rPr>
          <w:rStyle w:val="Hyperlink"/>
          <w:color w:val="4F81BD" w:themeColor="accent1"/>
        </w:rPr>
        <w:t>9</w:t>
      </w:r>
      <w:r w:rsidR="00650A90" w:rsidRPr="00BD0C43">
        <w:rPr>
          <w:rStyle w:val="Hyperlink"/>
          <w:color w:val="4F81BD" w:themeColor="accent1"/>
        </w:rPr>
        <w:t xml:space="preserve"> primary prevention equation for women with diabetes (30–74 years)</w:t>
      </w:r>
      <w:r w:rsidRPr="00BD0C43">
        <w:rPr>
          <w:rStyle w:val="Hyperlink"/>
          <w:color w:val="4F81BD" w:themeColor="accent1"/>
        </w:rPr>
        <w:fldChar w:fldCharType="end"/>
      </w:r>
    </w:p>
    <w:p w14:paraId="3AFF478D" w14:textId="7AD3ACEA" w:rsidR="00F6200D" w:rsidRPr="00BD0C43" w:rsidRDefault="006477D1" w:rsidP="00D37F48">
      <w:pPr>
        <w:pStyle w:val="Bullet"/>
        <w:rPr>
          <w:color w:val="4F81BD" w:themeColor="accent1"/>
        </w:rPr>
      </w:pPr>
      <w:r w:rsidRPr="00BD0C43">
        <w:fldChar w:fldCharType="begin"/>
      </w:r>
      <w:r w:rsidRPr="00BD0C43">
        <w:rPr>
          <w:color w:val="4F81BD" w:themeColor="accent1"/>
        </w:rPr>
        <w:instrText>HYPERLINK "https://browser.ihtsdotools.org/?perspective=full&amp;conceptId1=50711000210109&amp;edition=MAIN/SNOMEDCT-NZ/2020-04-01"</w:instrText>
      </w:r>
      <w:r w:rsidRPr="00BD0C43">
        <w:fldChar w:fldCharType="separate"/>
      </w:r>
      <w:r w:rsidR="00650A90" w:rsidRPr="00BD0C43">
        <w:rPr>
          <w:rStyle w:val="Hyperlink"/>
          <w:color w:val="4F81BD" w:themeColor="accent1"/>
        </w:rPr>
        <w:t>PREDICT CVD v.201</w:t>
      </w:r>
      <w:r w:rsidR="00B8473E" w:rsidRPr="00BD0C43">
        <w:rPr>
          <w:rStyle w:val="Hyperlink"/>
          <w:color w:val="4F81BD" w:themeColor="accent1"/>
        </w:rPr>
        <w:t>9</w:t>
      </w:r>
      <w:r w:rsidR="00650A90" w:rsidRPr="00BD0C43">
        <w:rPr>
          <w:rStyle w:val="Hyperlink"/>
          <w:color w:val="4F81BD" w:themeColor="accent1"/>
        </w:rPr>
        <w:t xml:space="preserve"> primary prevention equation for men with diabetes (30–74 years)</w:t>
      </w:r>
      <w:r w:rsidRPr="00BD0C43">
        <w:rPr>
          <w:rStyle w:val="Hyperlink"/>
          <w:color w:val="4F81BD" w:themeColor="accent1"/>
        </w:rPr>
        <w:fldChar w:fldCharType="end"/>
      </w:r>
      <w:r w:rsidR="00F6200D" w:rsidRPr="00C755DB">
        <w:rPr>
          <w:color w:val="4F81BD" w:themeColor="accent1"/>
        </w:rPr>
        <w:br/>
      </w:r>
    </w:p>
    <w:p w14:paraId="518CDFDF" w14:textId="5881B4AE" w:rsidR="007F2807" w:rsidRDefault="007F2807" w:rsidP="007F2807">
      <w:pPr>
        <w:pStyle w:val="Bullet"/>
        <w:numPr>
          <w:ilvl w:val="0"/>
          <w:numId w:val="0"/>
        </w:numPr>
        <w:spacing w:before="0"/>
      </w:pPr>
      <w:r>
        <w:rPr>
          <w:rFonts w:cs="Segoe UI"/>
          <w:sz w:val="20"/>
        </w:rPr>
        <w:t>Earlier versions of the first two equations</w:t>
      </w:r>
      <w:r w:rsidR="00FC7F73">
        <w:rPr>
          <w:rFonts w:cs="Segoe UI"/>
          <w:sz w:val="20"/>
        </w:rPr>
        <w:t>,</w:t>
      </w:r>
      <w:r>
        <w:rPr>
          <w:rFonts w:cs="Segoe UI"/>
          <w:sz w:val="20"/>
        </w:rPr>
        <w:t xml:space="preserve"> implemented by Enigma </w:t>
      </w:r>
      <w:r w:rsidR="002450DD">
        <w:rPr>
          <w:rFonts w:cs="Segoe UI"/>
          <w:sz w:val="20"/>
        </w:rPr>
        <w:t>Solutions</w:t>
      </w:r>
      <w:r w:rsidR="00FC7F73">
        <w:rPr>
          <w:rFonts w:cs="Segoe UI"/>
          <w:sz w:val="20"/>
        </w:rPr>
        <w:t>,</w:t>
      </w:r>
      <w:r w:rsidR="002450DD">
        <w:rPr>
          <w:rFonts w:cs="Segoe UI"/>
          <w:sz w:val="20"/>
        </w:rPr>
        <w:t xml:space="preserve"> </w:t>
      </w:r>
      <w:r>
        <w:rPr>
          <w:rFonts w:cs="Segoe UI"/>
          <w:sz w:val="20"/>
        </w:rPr>
        <w:t>in 2018 have these names:</w:t>
      </w:r>
    </w:p>
    <w:p w14:paraId="18E2F8A7" w14:textId="72856077" w:rsidR="007F2807" w:rsidRPr="00BD0C43" w:rsidRDefault="006477D1" w:rsidP="007F2807">
      <w:pPr>
        <w:pStyle w:val="Bullet"/>
        <w:rPr>
          <w:color w:val="4F81BD" w:themeColor="accent1"/>
        </w:rPr>
      </w:pPr>
      <w:hyperlink r:id="rId33" w:history="1">
        <w:r w:rsidR="007F2807" w:rsidRPr="00BD0C43">
          <w:rPr>
            <w:rStyle w:val="Hyperlink"/>
            <w:color w:val="4F81BD" w:themeColor="accent1"/>
          </w:rPr>
          <w:t xml:space="preserve">PREDICT CVD v.2018 primary prevention equation for women </w:t>
        </w:r>
        <w:r w:rsidR="00BA41C4" w:rsidRPr="00BD0C43">
          <w:rPr>
            <w:rStyle w:val="Hyperlink"/>
            <w:color w:val="4F81BD" w:themeColor="accent1"/>
          </w:rPr>
          <w:t>(</w:t>
        </w:r>
        <w:r w:rsidR="007F2807" w:rsidRPr="00BD0C43">
          <w:rPr>
            <w:rStyle w:val="Hyperlink"/>
            <w:color w:val="4F81BD" w:themeColor="accent1"/>
          </w:rPr>
          <w:t>30</w:t>
        </w:r>
        <w:r w:rsidR="00BA41C4" w:rsidRPr="00BD0C43">
          <w:rPr>
            <w:rStyle w:val="Hyperlink"/>
            <w:color w:val="4F81BD" w:themeColor="accent1"/>
          </w:rPr>
          <w:t>–</w:t>
        </w:r>
        <w:r w:rsidR="007F2807" w:rsidRPr="00BD0C43">
          <w:rPr>
            <w:rStyle w:val="Hyperlink"/>
            <w:color w:val="4F81BD" w:themeColor="accent1"/>
          </w:rPr>
          <w:t>74 years</w:t>
        </w:r>
        <w:r w:rsidR="00BA41C4" w:rsidRPr="00BD0C43">
          <w:rPr>
            <w:rStyle w:val="Hyperlink"/>
            <w:color w:val="4F81BD" w:themeColor="accent1"/>
          </w:rPr>
          <w:t>)</w:t>
        </w:r>
      </w:hyperlink>
    </w:p>
    <w:p w14:paraId="5669E792" w14:textId="08A7562F" w:rsidR="007F2807" w:rsidRPr="00BD0C43" w:rsidRDefault="006477D1" w:rsidP="007F2807">
      <w:pPr>
        <w:pStyle w:val="Bullet"/>
        <w:rPr>
          <w:color w:val="4F81BD" w:themeColor="accent1"/>
        </w:rPr>
      </w:pPr>
      <w:hyperlink r:id="rId34" w:history="1">
        <w:r w:rsidR="007F2807" w:rsidRPr="00BD0C43">
          <w:rPr>
            <w:rStyle w:val="Hyperlink"/>
            <w:color w:val="4F81BD" w:themeColor="accent1"/>
          </w:rPr>
          <w:t xml:space="preserve">PREDICT CVD v.2018 primary prevention equation for men </w:t>
        </w:r>
        <w:r w:rsidR="00BA41C4" w:rsidRPr="00BD0C43">
          <w:rPr>
            <w:rStyle w:val="Hyperlink"/>
            <w:color w:val="4F81BD" w:themeColor="accent1"/>
          </w:rPr>
          <w:t>(</w:t>
        </w:r>
        <w:r w:rsidR="007F2807" w:rsidRPr="00BD0C43">
          <w:rPr>
            <w:rStyle w:val="Hyperlink"/>
            <w:color w:val="4F81BD" w:themeColor="accent1"/>
          </w:rPr>
          <w:t>30</w:t>
        </w:r>
        <w:r w:rsidR="00BA41C4" w:rsidRPr="00BD0C43">
          <w:rPr>
            <w:rStyle w:val="Hyperlink"/>
            <w:color w:val="4F81BD" w:themeColor="accent1"/>
          </w:rPr>
          <w:t>–</w:t>
        </w:r>
        <w:r w:rsidR="007F2807" w:rsidRPr="00BD0C43">
          <w:rPr>
            <w:rStyle w:val="Hyperlink"/>
            <w:color w:val="4F81BD" w:themeColor="accent1"/>
          </w:rPr>
          <w:t>74 years</w:t>
        </w:r>
      </w:hyperlink>
      <w:r w:rsidR="00BA41C4" w:rsidRPr="00BD0C43">
        <w:rPr>
          <w:color w:val="4F81BD" w:themeColor="accent1"/>
        </w:rPr>
        <w:t>)</w:t>
      </w:r>
    </w:p>
    <w:p w14:paraId="6A0B8B05" w14:textId="57E12E4F" w:rsidR="00440E71" w:rsidRPr="001656EA" w:rsidRDefault="00440E71" w:rsidP="001656EA"/>
    <w:p w14:paraId="4AC1845C" w14:textId="5E6292FD" w:rsidR="00FC7F73" w:rsidRDefault="00FC7F73" w:rsidP="001656EA">
      <w:r>
        <w:t>For clarity and with permission from Enigma</w:t>
      </w:r>
      <w:r w:rsidR="00E73587">
        <w:t xml:space="preserve"> Solutions</w:t>
      </w:r>
      <w:r>
        <w:t xml:space="preserve">, </w:t>
      </w:r>
      <w:r w:rsidR="00C86404">
        <w:t xml:space="preserve">here are the </w:t>
      </w:r>
      <w:hyperlink r:id="rId35" w:history="1">
        <w:r w:rsidR="00C86404" w:rsidRPr="00E73587">
          <w:rPr>
            <w:rStyle w:val="Hyperlink"/>
          </w:rPr>
          <w:t xml:space="preserve">Enigma </w:t>
        </w:r>
        <w:r w:rsidR="00E73587" w:rsidRPr="00E73587">
          <w:rPr>
            <w:rStyle w:val="Hyperlink"/>
          </w:rPr>
          <w:t xml:space="preserve">Your Heart Engine™ </w:t>
        </w:r>
        <w:r w:rsidR="00C86404" w:rsidRPr="00E73587">
          <w:rPr>
            <w:rStyle w:val="Hyperlink"/>
          </w:rPr>
          <w:t>codes</w:t>
        </w:r>
      </w:hyperlink>
      <w:r w:rsidR="00C86404">
        <w:t xml:space="preserve"> for the two sets of equations.</w:t>
      </w:r>
    </w:p>
    <w:p w14:paraId="76ADBC3D" w14:textId="77777777" w:rsidR="00FC7F73" w:rsidRDefault="00FC7F73" w:rsidP="001656EA"/>
    <w:tbl>
      <w:tblPr>
        <w:tblStyle w:val="TableGrid"/>
        <w:tblW w:w="4931" w:type="pct"/>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786"/>
        <w:gridCol w:w="6182"/>
      </w:tblGrid>
      <w:tr w:rsidR="00FC7F73" w:rsidRPr="00C86404" w14:paraId="78635617" w14:textId="77777777" w:rsidTr="00C86404">
        <w:tc>
          <w:tcPr>
            <w:tcW w:w="1121" w:type="pct"/>
            <w:tcBorders>
              <w:top w:val="nil"/>
              <w:bottom w:val="nil"/>
            </w:tcBorders>
            <w:shd w:val="clear" w:color="auto" w:fill="D9D9D9" w:themeFill="background1" w:themeFillShade="D9"/>
          </w:tcPr>
          <w:p w14:paraId="2681B347" w14:textId="6BAE8D84" w:rsidR="00FC7F73" w:rsidRPr="00C86404" w:rsidRDefault="00C86404" w:rsidP="00C86404">
            <w:pPr>
              <w:spacing w:before="60" w:after="60" w:line="240" w:lineRule="auto"/>
              <w:rPr>
                <w:b/>
                <w:sz w:val="18"/>
                <w:szCs w:val="18"/>
              </w:rPr>
            </w:pPr>
            <w:r w:rsidRPr="00C86404">
              <w:rPr>
                <w:b/>
                <w:sz w:val="18"/>
                <w:szCs w:val="18"/>
              </w:rPr>
              <w:t xml:space="preserve">Enigma </w:t>
            </w:r>
            <w:r w:rsidR="00E73587">
              <w:rPr>
                <w:b/>
                <w:sz w:val="18"/>
                <w:szCs w:val="18"/>
              </w:rPr>
              <w:t>code</w:t>
            </w:r>
          </w:p>
        </w:tc>
        <w:tc>
          <w:tcPr>
            <w:tcW w:w="3879" w:type="pct"/>
            <w:tcBorders>
              <w:top w:val="nil"/>
              <w:bottom w:val="nil"/>
            </w:tcBorders>
            <w:shd w:val="clear" w:color="auto" w:fill="D9D9D9" w:themeFill="background1" w:themeFillShade="D9"/>
          </w:tcPr>
          <w:p w14:paraId="58C77F16" w14:textId="7FCB04CC" w:rsidR="00FC7F73" w:rsidRPr="00C86404" w:rsidRDefault="00C86404" w:rsidP="00C86404">
            <w:pPr>
              <w:spacing w:before="60" w:after="60" w:line="240" w:lineRule="auto"/>
              <w:rPr>
                <w:b/>
                <w:sz w:val="18"/>
                <w:szCs w:val="18"/>
              </w:rPr>
            </w:pPr>
            <w:r w:rsidRPr="00C86404">
              <w:rPr>
                <w:b/>
                <w:sz w:val="18"/>
                <w:szCs w:val="18"/>
              </w:rPr>
              <w:t>Set of equations</w:t>
            </w:r>
          </w:p>
        </w:tc>
      </w:tr>
      <w:tr w:rsidR="00FC7F73" w:rsidRPr="00C86404" w14:paraId="2DC669C0" w14:textId="77777777" w:rsidTr="00C86404">
        <w:tc>
          <w:tcPr>
            <w:tcW w:w="1121" w:type="pct"/>
            <w:tcBorders>
              <w:top w:val="nil"/>
            </w:tcBorders>
            <w:shd w:val="clear" w:color="auto" w:fill="auto"/>
          </w:tcPr>
          <w:p w14:paraId="15EAAE2A" w14:textId="486759D8" w:rsidR="00FC7F73" w:rsidRPr="00C86404" w:rsidRDefault="00C86404" w:rsidP="00C86404">
            <w:pPr>
              <w:spacing w:before="60" w:after="60" w:line="240" w:lineRule="auto"/>
              <w:rPr>
                <w:sz w:val="18"/>
                <w:szCs w:val="18"/>
              </w:rPr>
            </w:pPr>
            <w:r>
              <w:rPr>
                <w:sz w:val="18"/>
                <w:szCs w:val="18"/>
              </w:rPr>
              <w:t>YHE-2018-BMI</w:t>
            </w:r>
          </w:p>
        </w:tc>
        <w:tc>
          <w:tcPr>
            <w:tcW w:w="3879" w:type="pct"/>
            <w:tcBorders>
              <w:top w:val="nil"/>
            </w:tcBorders>
            <w:shd w:val="clear" w:color="auto" w:fill="auto"/>
          </w:tcPr>
          <w:p w14:paraId="2790C09D" w14:textId="738BFB86" w:rsidR="00C86404" w:rsidRPr="00C86404" w:rsidRDefault="00C86404" w:rsidP="00C86404">
            <w:pPr>
              <w:pStyle w:val="Bullet"/>
              <w:numPr>
                <w:ilvl w:val="0"/>
                <w:numId w:val="0"/>
              </w:numPr>
              <w:rPr>
                <w:sz w:val="18"/>
                <w:szCs w:val="18"/>
              </w:rPr>
            </w:pPr>
            <w:r w:rsidRPr="00C86404">
              <w:rPr>
                <w:sz w:val="18"/>
                <w:szCs w:val="18"/>
              </w:rPr>
              <w:t>PREDICT CVD v.2018 primary prevention equation for women (30–74 years)</w:t>
            </w:r>
          </w:p>
          <w:p w14:paraId="5A4BECC0" w14:textId="3E96E541" w:rsidR="00FC7F73" w:rsidRPr="00C86404" w:rsidRDefault="00C86404" w:rsidP="00C86404">
            <w:pPr>
              <w:spacing w:before="60" w:after="60"/>
              <w:rPr>
                <w:sz w:val="18"/>
                <w:szCs w:val="18"/>
              </w:rPr>
            </w:pPr>
            <w:r w:rsidRPr="00C86404">
              <w:rPr>
                <w:sz w:val="18"/>
                <w:szCs w:val="18"/>
              </w:rPr>
              <w:t>PREDICT CVD v.2018 primary prevention equation for men (30–74 years)</w:t>
            </w:r>
          </w:p>
        </w:tc>
      </w:tr>
      <w:tr w:rsidR="00FC7F73" w:rsidRPr="00C86404" w14:paraId="58B2FB0E" w14:textId="77777777" w:rsidTr="00C86404">
        <w:tc>
          <w:tcPr>
            <w:tcW w:w="1121" w:type="pct"/>
            <w:shd w:val="clear" w:color="auto" w:fill="auto"/>
          </w:tcPr>
          <w:p w14:paraId="193DD6CB" w14:textId="15B74DDD" w:rsidR="00FC7F73" w:rsidRPr="00C86404" w:rsidRDefault="00C86404" w:rsidP="00C86404">
            <w:pPr>
              <w:spacing w:before="60" w:after="60" w:line="240" w:lineRule="auto"/>
              <w:rPr>
                <w:sz w:val="18"/>
                <w:szCs w:val="18"/>
              </w:rPr>
            </w:pPr>
            <w:r>
              <w:rPr>
                <w:sz w:val="18"/>
                <w:szCs w:val="18"/>
              </w:rPr>
              <w:t>YHE-2019-BMI-DM</w:t>
            </w:r>
          </w:p>
        </w:tc>
        <w:tc>
          <w:tcPr>
            <w:tcW w:w="3879" w:type="pct"/>
            <w:shd w:val="clear" w:color="auto" w:fill="auto"/>
          </w:tcPr>
          <w:p w14:paraId="47A1C5FA" w14:textId="29E4147C" w:rsidR="00C86404" w:rsidRPr="00C86404" w:rsidRDefault="00C86404" w:rsidP="00C86404">
            <w:pPr>
              <w:pStyle w:val="Bullet"/>
              <w:numPr>
                <w:ilvl w:val="0"/>
                <w:numId w:val="0"/>
              </w:numPr>
              <w:rPr>
                <w:sz w:val="18"/>
                <w:szCs w:val="18"/>
              </w:rPr>
            </w:pPr>
            <w:r w:rsidRPr="00C86404">
              <w:rPr>
                <w:sz w:val="18"/>
                <w:szCs w:val="18"/>
              </w:rPr>
              <w:t>PREDICT CVD v.2019 primary prevention equation for women (30–74 years)</w:t>
            </w:r>
          </w:p>
          <w:p w14:paraId="2434D4C6" w14:textId="6E30BA83" w:rsidR="00C86404" w:rsidRPr="00C86404" w:rsidRDefault="00C86404" w:rsidP="00C86404">
            <w:pPr>
              <w:pStyle w:val="Bullet"/>
              <w:numPr>
                <w:ilvl w:val="0"/>
                <w:numId w:val="0"/>
              </w:numPr>
              <w:rPr>
                <w:sz w:val="18"/>
                <w:szCs w:val="18"/>
              </w:rPr>
            </w:pPr>
            <w:r w:rsidRPr="00C86404">
              <w:rPr>
                <w:sz w:val="18"/>
                <w:szCs w:val="18"/>
              </w:rPr>
              <w:t>PREDICT CVD v.2019 primary prevention equation for men (30–74 years)</w:t>
            </w:r>
          </w:p>
          <w:p w14:paraId="19D37850" w14:textId="3BB8F5D7" w:rsidR="00C86404" w:rsidRPr="00C86404" w:rsidRDefault="00C86404" w:rsidP="00C86404">
            <w:pPr>
              <w:pStyle w:val="Bullet"/>
              <w:numPr>
                <w:ilvl w:val="0"/>
                <w:numId w:val="0"/>
              </w:numPr>
              <w:rPr>
                <w:sz w:val="18"/>
                <w:szCs w:val="18"/>
              </w:rPr>
            </w:pPr>
            <w:r w:rsidRPr="00C86404">
              <w:rPr>
                <w:sz w:val="18"/>
                <w:szCs w:val="18"/>
              </w:rPr>
              <w:t>PREDICT CVD v.2019 primary prevention equation for women with diabetes (30–74 years)</w:t>
            </w:r>
          </w:p>
          <w:p w14:paraId="4C078CD7" w14:textId="362C3E83" w:rsidR="00FC7F73" w:rsidRPr="00C86404" w:rsidRDefault="00C86404" w:rsidP="00C86404">
            <w:pPr>
              <w:spacing w:before="60" w:after="60"/>
              <w:rPr>
                <w:sz w:val="18"/>
                <w:szCs w:val="18"/>
              </w:rPr>
            </w:pPr>
            <w:r w:rsidRPr="00C86404">
              <w:rPr>
                <w:sz w:val="18"/>
                <w:szCs w:val="18"/>
              </w:rPr>
              <w:t>PREDICT CVD v.2019 primary prevention equation for men with diabetes (30–74 years)</w:t>
            </w:r>
          </w:p>
        </w:tc>
      </w:tr>
    </w:tbl>
    <w:p w14:paraId="42E87E4F" w14:textId="77777777" w:rsidR="00FC7F73" w:rsidRDefault="00FC7F73" w:rsidP="001656EA"/>
    <w:p w14:paraId="7D3C2ABB" w14:textId="21D983CD" w:rsidR="001656EA" w:rsidRPr="009E2045" w:rsidRDefault="001656EA" w:rsidP="001656EA">
      <w:r>
        <w:t>Each of the equations is denoted by a SNOMED assessment scale concept created for this purpose in the SNOMED NZ Edition</w:t>
      </w:r>
      <w:r w:rsidR="00092198">
        <w:t xml:space="preserve">. These concepts will be grouped under SNOMED concepts equivalent to the two Enigma codes, and these grouper concepts will themselves be grouped under </w:t>
      </w:r>
      <w:r w:rsidR="005E000F" w:rsidRPr="3ADDC19A">
        <w:rPr>
          <w:rFonts w:cs="Segoe UI"/>
          <w:color w:val="000000"/>
          <w:lang w:eastAsia="en-NZ"/>
        </w:rPr>
        <w:t xml:space="preserve">parent concept </w:t>
      </w:r>
      <w:hyperlink r:id="rId36" w:history="1">
        <w:r w:rsidR="00440E71" w:rsidRPr="3ADDC19A">
          <w:rPr>
            <w:rStyle w:val="Hyperlink"/>
            <w:rFonts w:cs="Segoe UI"/>
            <w:color w:val="4F81BD" w:themeColor="accent1"/>
            <w:lang w:eastAsia="en-NZ"/>
          </w:rPr>
          <w:t>New Zealand cardiovascular disease risk assessment primary prevention equations</w:t>
        </w:r>
      </w:hyperlink>
      <w:r w:rsidR="005E000F" w:rsidRPr="3ADDC19A">
        <w:rPr>
          <w:rFonts w:cs="Segoe UI"/>
          <w:color w:val="4F81BD" w:themeColor="accent1"/>
          <w:lang w:eastAsia="en-NZ"/>
        </w:rPr>
        <w:t>.</w:t>
      </w:r>
      <w:r w:rsidR="00C86404" w:rsidRPr="3ADDC19A">
        <w:rPr>
          <w:rFonts w:cs="Segoe UI"/>
          <w:color w:val="4F81BD" w:themeColor="accent1"/>
          <w:lang w:eastAsia="en-NZ"/>
        </w:rPr>
        <w:t xml:space="preserve"> </w:t>
      </w:r>
    </w:p>
    <w:p w14:paraId="25D9EFEE" w14:textId="77777777" w:rsidR="001656EA" w:rsidRDefault="001656EA" w:rsidP="001656EA">
      <w:pPr>
        <w:rPr>
          <w:rFonts w:cs="Segoe UI"/>
          <w:sz w:val="20"/>
        </w:rPr>
      </w:pPr>
    </w:p>
    <w:p w14:paraId="4EC83659" w14:textId="6408E75C" w:rsidR="0087392F" w:rsidRDefault="001656EA" w:rsidP="001656EA">
      <w:pPr>
        <w:rPr>
          <w:rFonts w:cs="Segoe UI"/>
          <w:sz w:val="20"/>
        </w:rPr>
      </w:pPr>
      <w:r w:rsidRPr="00EB2768">
        <w:rPr>
          <w:rFonts w:cs="Segoe UI"/>
          <w:sz w:val="20"/>
        </w:rPr>
        <w:t>Any change to each equation, its variables, coefficients</w:t>
      </w:r>
      <w:r w:rsidR="00CF5D47">
        <w:rPr>
          <w:rFonts w:cs="Segoe UI"/>
          <w:sz w:val="20"/>
        </w:rPr>
        <w:t xml:space="preserve"> or other calculation details</w:t>
      </w:r>
      <w:r w:rsidRPr="00EB2768">
        <w:rPr>
          <w:rFonts w:cs="Segoe UI"/>
          <w:sz w:val="20"/>
        </w:rPr>
        <w:t xml:space="preserve">, will result in </w:t>
      </w:r>
      <w:r w:rsidR="00CF5D47">
        <w:rPr>
          <w:rFonts w:cs="Segoe UI"/>
          <w:sz w:val="20"/>
        </w:rPr>
        <w:t xml:space="preserve">the creation of </w:t>
      </w:r>
      <w:r w:rsidRPr="00EB2768">
        <w:rPr>
          <w:rFonts w:cs="Segoe UI"/>
          <w:sz w:val="20"/>
        </w:rPr>
        <w:t>a new version of the equation, represented by a new SNOMED concept.</w:t>
      </w:r>
    </w:p>
    <w:p w14:paraId="44A095FB" w14:textId="5FA684B1" w:rsidR="00764D52" w:rsidRDefault="00764D52" w:rsidP="001656EA">
      <w:pPr>
        <w:rPr>
          <w:rFonts w:cs="Segoe UI"/>
          <w:sz w:val="20"/>
        </w:rPr>
      </w:pPr>
    </w:p>
    <w:p w14:paraId="293FDD88" w14:textId="1BF1073B" w:rsidR="001656EA" w:rsidRPr="00344EAC" w:rsidRDefault="001656EA" w:rsidP="001656EA">
      <w:pPr>
        <w:pStyle w:val="Heading4"/>
      </w:pPr>
      <w:r>
        <w:lastRenderedPageBreak/>
        <w:t>Performing the calculation</w:t>
      </w:r>
    </w:p>
    <w:p w14:paraId="3F6B4BDC" w14:textId="69F7AFFD" w:rsidR="00650A90" w:rsidRDefault="00065B5D" w:rsidP="008E7986">
      <w:r>
        <w:t xml:space="preserve">Using </w:t>
      </w:r>
      <w:r w:rsidR="00646366">
        <w:t xml:space="preserve">the </w:t>
      </w:r>
      <w:r w:rsidR="003C09A1">
        <w:t>correct equation</w:t>
      </w:r>
      <w:r w:rsidR="002450DD">
        <w:t xml:space="preserve"> for the patient</w:t>
      </w:r>
      <w:r w:rsidR="003C09A1">
        <w:t>, t</w:t>
      </w:r>
      <w:r w:rsidR="00650A90">
        <w:t xml:space="preserve">he </w:t>
      </w:r>
      <w:r>
        <w:t xml:space="preserve">five-year </w:t>
      </w:r>
      <w:r w:rsidR="003C09A1">
        <w:t xml:space="preserve">CVD risk is calculated </w:t>
      </w:r>
      <w:r>
        <w:t>as a percentage</w:t>
      </w:r>
      <w:r w:rsidR="00650A90">
        <w:t>:</w:t>
      </w:r>
    </w:p>
    <w:p w14:paraId="124A03BA" w14:textId="130A0E89" w:rsidR="00650A90" w:rsidRPr="00395E0C" w:rsidRDefault="00650A90" w:rsidP="008E7986">
      <w:pPr>
        <w:pStyle w:val="Quote"/>
      </w:pPr>
      <w:r w:rsidRPr="00DD6385">
        <w:t>(1-Baseline survival function</w:t>
      </w:r>
      <w:r w:rsidRPr="00395E0C">
        <w:rPr>
          <w:vertAlign w:val="superscript"/>
        </w:rPr>
        <w:t xml:space="preserve"> </w:t>
      </w:r>
      <w:r w:rsidR="006D121A">
        <w:rPr>
          <w:vertAlign w:val="superscript"/>
        </w:rPr>
        <w:t xml:space="preserve">exp </w:t>
      </w:r>
      <w:r w:rsidRPr="00395E0C">
        <w:rPr>
          <w:vertAlign w:val="superscript"/>
        </w:rPr>
        <w:t xml:space="preserve">(sum of </w:t>
      </w:r>
      <w:r w:rsidR="006D121A">
        <w:rPr>
          <w:vertAlign w:val="superscript"/>
        </w:rPr>
        <w:t>(</w:t>
      </w:r>
      <w:r w:rsidRPr="00395E0C">
        <w:rPr>
          <w:vertAlign w:val="superscript"/>
        </w:rPr>
        <w:t>coefficients * variables</w:t>
      </w:r>
      <w:r w:rsidR="006D121A">
        <w:rPr>
          <w:vertAlign w:val="superscript"/>
        </w:rPr>
        <w:t>)</w:t>
      </w:r>
      <w:r w:rsidRPr="00395E0C">
        <w:rPr>
          <w:vertAlign w:val="superscript"/>
        </w:rPr>
        <w:t>)</w:t>
      </w:r>
      <w:r w:rsidRPr="00395E0C">
        <w:t>) * 100</w:t>
      </w:r>
    </w:p>
    <w:p w14:paraId="1D296875" w14:textId="77777777" w:rsidR="008E7986" w:rsidRDefault="008E7986" w:rsidP="008E7986"/>
    <w:p w14:paraId="21E3A71E" w14:textId="6DECB7D6" w:rsidR="009E2045" w:rsidRDefault="00065B5D" w:rsidP="00065B5D">
      <w:r>
        <w:t xml:space="preserve">Each equation has a defined set of input variables and coefficients. </w:t>
      </w:r>
      <w:r w:rsidR="00594534">
        <w:t xml:space="preserve">Each variable must have a valid value before the equations can be applied. </w:t>
      </w:r>
      <w:r>
        <w:t>Some variables have a mean for centring</w:t>
      </w:r>
      <w:r w:rsidR="002450DD">
        <w:t>. In these cases,</w:t>
      </w:r>
      <w:r>
        <w:t xml:space="preserve"> </w:t>
      </w:r>
      <w:r w:rsidR="00282AA9">
        <w:t>subtract the mean from the input value before multiplying by the coefficient</w:t>
      </w:r>
      <w:r w:rsidR="002450DD">
        <w:t>.</w:t>
      </w:r>
      <w:r w:rsidR="00282AA9">
        <w:t xml:space="preserve"> </w:t>
      </w:r>
      <w:r w:rsidR="00277B5E">
        <w:t>Other</w:t>
      </w:r>
      <w:r>
        <w:t xml:space="preserve"> </w:t>
      </w:r>
      <w:r w:rsidR="00277B5E">
        <w:t xml:space="preserve">variables </w:t>
      </w:r>
      <w:r>
        <w:t>involve other specified calculations</w:t>
      </w:r>
      <w:r w:rsidR="002450DD">
        <w:t xml:space="preserve">. In these cases, apply the </w:t>
      </w:r>
      <w:r w:rsidR="00277B5E">
        <w:t xml:space="preserve">specified calculation and </w:t>
      </w:r>
      <w:r w:rsidR="00282AA9">
        <w:t>multiply the result by the coefficient</w:t>
      </w:r>
      <w:r>
        <w:t>.</w:t>
      </w:r>
      <w:r w:rsidR="00F634F6">
        <w:t xml:space="preserve"> </w:t>
      </w:r>
    </w:p>
    <w:p w14:paraId="674A4B0D" w14:textId="7F92A727" w:rsidR="0045304A" w:rsidRDefault="0045304A" w:rsidP="0045304A">
      <w:pPr>
        <w:pStyle w:val="Heading4"/>
      </w:pPr>
      <w:r>
        <w:t>Rounding the score</w:t>
      </w:r>
    </w:p>
    <w:p w14:paraId="3C7DB104" w14:textId="05CAF67D" w:rsidR="00650A90" w:rsidRDefault="00650A90" w:rsidP="008E7986">
      <w:r>
        <w:t>There is a statistical confidence interval around each estimated risk. Given this imprecision, it is appropriate to round up or down the calculated score to the nearest whole number. For example, if the CVD risk is calculated as 14.641%, the rounded risk score to quote is 15%.</w:t>
      </w:r>
    </w:p>
    <w:p w14:paraId="5898FF7C" w14:textId="77777777" w:rsidR="008E7986" w:rsidRDefault="008E7986" w:rsidP="008E7986"/>
    <w:p w14:paraId="020A7536" w14:textId="3E7B9F4F" w:rsidR="007536A6" w:rsidRDefault="00650A90" w:rsidP="008E7986">
      <w:r>
        <w:t>All calculated CVD risk scores must be saved in the patient</w:t>
      </w:r>
      <w:r w:rsidR="00395E0C">
        <w:t>’</w:t>
      </w:r>
      <w:r>
        <w:t>s health record, noting the equation used. The rationale for this is so that new CVD risk scores are clearly distinguishable from previous Framingham scores</w:t>
      </w:r>
      <w:r w:rsidR="0097193D">
        <w:t xml:space="preserve"> and from each other</w:t>
      </w:r>
      <w:r>
        <w:t xml:space="preserve">. </w:t>
      </w:r>
    </w:p>
    <w:p w14:paraId="3BB8639F" w14:textId="65A9DCE5" w:rsidR="00973285" w:rsidRPr="00906B8B" w:rsidRDefault="00973285" w:rsidP="00973285">
      <w:pPr>
        <w:pStyle w:val="Heading4"/>
      </w:pPr>
      <w:r>
        <w:t>Risk scores that are v</w:t>
      </w:r>
      <w:r w:rsidRPr="00906B8B">
        <w:t xml:space="preserve">ery low </w:t>
      </w:r>
      <w:r>
        <w:t>or</w:t>
      </w:r>
      <w:r w:rsidRPr="00906B8B">
        <w:t xml:space="preserve"> very high</w:t>
      </w:r>
    </w:p>
    <w:p w14:paraId="5363EE43" w14:textId="052CCC91" w:rsidR="00973285" w:rsidRPr="001656EA" w:rsidRDefault="00973285" w:rsidP="001656EA">
      <w:r w:rsidRPr="001656EA">
        <w:t>No person is at 0% risk of a CVD event. Therefore, where a patient’s risk is less than 1%, the actual risk displayed should be rounded up to 1%.</w:t>
      </w:r>
      <w:r w:rsidR="008B1EFB" w:rsidRPr="009E2045">
        <w:t xml:space="preserve"> </w:t>
      </w:r>
      <w:r w:rsidRPr="009E2045">
        <w:t xml:space="preserve">It </w:t>
      </w:r>
      <w:r w:rsidR="008B1EFB" w:rsidRPr="009E2045">
        <w:t xml:space="preserve">is </w:t>
      </w:r>
      <w:r w:rsidRPr="009E2045">
        <w:t xml:space="preserve">incredibly unlikely for any patient to have a have a CVD risk score over 80%. However, due to the way a CVD risk score is </w:t>
      </w:r>
      <w:r w:rsidR="009E2045">
        <w:t>calculated</w:t>
      </w:r>
      <w:r w:rsidRPr="009E2045">
        <w:t xml:space="preserve">, it is technically possible for a </w:t>
      </w:r>
      <w:r w:rsidR="009E2045">
        <w:t>result</w:t>
      </w:r>
      <w:r w:rsidRPr="009E2045">
        <w:t xml:space="preserve"> over 100%. If such a risk score is produced (</w:t>
      </w:r>
      <w:proofErr w:type="spellStart"/>
      <w:r w:rsidRPr="009E2045">
        <w:t>eg</w:t>
      </w:r>
      <w:proofErr w:type="spellEnd"/>
      <w:r w:rsidRPr="001656EA">
        <w:t>, for people testing a calculator and inputting unlikely clinical parameters) then it should be rounded down to 99%.</w:t>
      </w:r>
    </w:p>
    <w:p w14:paraId="4DB31C2C" w14:textId="3BDD25B5" w:rsidR="00973285" w:rsidRDefault="001656EA" w:rsidP="00973285">
      <w:pPr>
        <w:pStyle w:val="Heading4"/>
      </w:pPr>
      <w:r>
        <w:t>R</w:t>
      </w:r>
      <w:r w:rsidR="00973285">
        <w:t xml:space="preserve">isk assessment </w:t>
      </w:r>
      <w:r>
        <w:t>outside the 30 to 74 years age range</w:t>
      </w:r>
    </w:p>
    <w:p w14:paraId="6B4CA1A4" w14:textId="77777777" w:rsidR="00973285" w:rsidRDefault="00973285" w:rsidP="00973285">
      <w:r w:rsidRPr="0087392F">
        <w:t>The primary prevention risk prediction equations were developed from a cohort of people aged 30 to 74 years who were eligible for CVD risk prediction according to the 2003 CVD risk assessment and management guidelines and subsequent updates (New Zealand Guidelines Group 2003).</w:t>
      </w:r>
    </w:p>
    <w:p w14:paraId="75E212BA" w14:textId="77777777" w:rsidR="00973285" w:rsidRPr="0087392F" w:rsidRDefault="00973285" w:rsidP="00973285"/>
    <w:p w14:paraId="7CF5570A" w14:textId="6D17FCA4" w:rsidR="00973285" w:rsidRDefault="00973285" w:rsidP="00973285">
      <w:r w:rsidRPr="0087392F">
        <w:t xml:space="preserve">People aged 18-29 years are outside of the age range for which the algorithms were developed and estimating their CVD risk with these equations will only provide a very approximate estimate. Clinical judgement is therefore recommended when using these equations in younger people. However, a risk calculation may be potentially useful to guide clinical decision making for some younger people considered to be at high CVD risk. With this caveat, </w:t>
      </w:r>
      <w:r w:rsidR="009E2045">
        <w:t>the guidelines</w:t>
      </w:r>
      <w:r w:rsidRPr="0087392F">
        <w:t xml:space="preserve"> recommend using age 30 years as input to the calculator for those aged 18-29 years. </w:t>
      </w:r>
    </w:p>
    <w:p w14:paraId="6B190301" w14:textId="77777777" w:rsidR="00973285" w:rsidRPr="0087392F" w:rsidRDefault="00973285" w:rsidP="00973285"/>
    <w:p w14:paraId="39953E9E" w14:textId="77777777" w:rsidR="00973285" w:rsidRDefault="00973285" w:rsidP="00973285">
      <w:r w:rsidRPr="0087392F">
        <w:t>People aged 75-79 years are also outside of the range for which the algorithms were developed but assessment of the equations performance (calibration) shows that they perform reasonably well. Therefore</w:t>
      </w:r>
      <w:r>
        <w:t>,</w:t>
      </w:r>
      <w:r w:rsidRPr="0087392F">
        <w:t xml:space="preserve"> inpu</w:t>
      </w:r>
      <w:r>
        <w:t>t</w:t>
      </w:r>
      <w:r w:rsidRPr="0087392F">
        <w:t xml:space="preserve">ting the actual age of people aged 75 to 79 years is appropriate. </w:t>
      </w:r>
    </w:p>
    <w:p w14:paraId="2D8FF39D" w14:textId="77777777" w:rsidR="00973285" w:rsidRPr="0087392F" w:rsidRDefault="00973285" w:rsidP="00973285"/>
    <w:p w14:paraId="06819B11" w14:textId="754B2799" w:rsidR="00973285" w:rsidRDefault="00973285" w:rsidP="00973285">
      <w:r w:rsidRPr="0087392F">
        <w:lastRenderedPageBreak/>
        <w:t>For people</w:t>
      </w:r>
      <w:r>
        <w:t xml:space="preserve"> </w:t>
      </w:r>
      <w:r w:rsidRPr="0087392F">
        <w:t xml:space="preserve">aged 80 years and older, the CVD risk equations do not perform well. Clinical judgement is therefore recommended when using these equations in these older people. However, a risk calculation may be potentially useful to guide clinical decision making. With this caveat, </w:t>
      </w:r>
      <w:r w:rsidR="009E2045">
        <w:t>the guidelines</w:t>
      </w:r>
      <w:r w:rsidRPr="0087392F">
        <w:t xml:space="preserve"> recommend using age 80 years as the age input to the calculator when estimating risk in people aged 80 years and older. </w:t>
      </w:r>
    </w:p>
    <w:p w14:paraId="3526842A" w14:textId="77777777" w:rsidR="00973285" w:rsidRPr="0087392F" w:rsidRDefault="00973285" w:rsidP="00973285"/>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92"/>
        <w:gridCol w:w="1958"/>
        <w:gridCol w:w="4819"/>
      </w:tblGrid>
      <w:tr w:rsidR="00973285" w:rsidRPr="00777C43" w14:paraId="389E2E61" w14:textId="77777777" w:rsidTr="00EB2768">
        <w:tc>
          <w:tcPr>
            <w:tcW w:w="801" w:type="pct"/>
            <w:shd w:val="clear" w:color="auto" w:fill="D9D9D9" w:themeFill="background1" w:themeFillShade="D9"/>
          </w:tcPr>
          <w:p w14:paraId="21A90073" w14:textId="77777777" w:rsidR="00973285" w:rsidRPr="00436E5F" w:rsidRDefault="00973285" w:rsidP="00424485">
            <w:pPr>
              <w:pStyle w:val="NormalWeb"/>
              <w:spacing w:before="60" w:beforeAutospacing="0" w:after="60" w:afterAutospacing="0"/>
              <w:rPr>
                <w:rFonts w:ascii="Segoe UI" w:hAnsi="Segoe UI" w:cs="Segoe UI"/>
                <w:b/>
                <w:sz w:val="18"/>
                <w:szCs w:val="18"/>
                <w:lang w:eastAsia="en-US"/>
              </w:rPr>
            </w:pPr>
            <w:r w:rsidRPr="00436E5F">
              <w:rPr>
                <w:rFonts w:ascii="Segoe UI" w:hAnsi="Segoe UI" w:cs="Segoe UI"/>
                <w:b/>
                <w:sz w:val="18"/>
                <w:szCs w:val="18"/>
                <w:lang w:eastAsia="en-US"/>
              </w:rPr>
              <w:t>Age</w:t>
            </w:r>
          </w:p>
        </w:tc>
        <w:tc>
          <w:tcPr>
            <w:tcW w:w="1213" w:type="pct"/>
            <w:shd w:val="clear" w:color="auto" w:fill="D9D9D9" w:themeFill="background1" w:themeFillShade="D9"/>
          </w:tcPr>
          <w:p w14:paraId="6B82F04D" w14:textId="77777777" w:rsidR="00973285" w:rsidRPr="00436E5F" w:rsidRDefault="00973285" w:rsidP="00424485">
            <w:pPr>
              <w:pStyle w:val="NormalWeb"/>
              <w:spacing w:before="60" w:beforeAutospacing="0" w:after="60" w:afterAutospacing="0"/>
              <w:rPr>
                <w:rFonts w:ascii="Segoe UI" w:hAnsi="Segoe UI" w:cs="Segoe UI"/>
                <w:b/>
                <w:sz w:val="18"/>
                <w:szCs w:val="18"/>
                <w:lang w:eastAsia="en-US"/>
              </w:rPr>
            </w:pPr>
            <w:r w:rsidRPr="00436E5F">
              <w:rPr>
                <w:rFonts w:ascii="Segoe UI" w:hAnsi="Segoe UI" w:cs="Segoe UI"/>
                <w:b/>
                <w:sz w:val="18"/>
                <w:szCs w:val="18"/>
                <w:lang w:eastAsia="en-US"/>
              </w:rPr>
              <w:t>Input to calculator</w:t>
            </w:r>
          </w:p>
        </w:tc>
        <w:tc>
          <w:tcPr>
            <w:tcW w:w="2986" w:type="pct"/>
            <w:shd w:val="clear" w:color="auto" w:fill="D9D9D9" w:themeFill="background1" w:themeFillShade="D9"/>
          </w:tcPr>
          <w:p w14:paraId="1949A07A" w14:textId="77777777" w:rsidR="00973285" w:rsidRPr="00436E5F" w:rsidRDefault="00973285" w:rsidP="00424485">
            <w:pPr>
              <w:pStyle w:val="NormalWeb"/>
              <w:spacing w:before="60" w:beforeAutospacing="0" w:after="60" w:afterAutospacing="0"/>
              <w:rPr>
                <w:rFonts w:ascii="Segoe UI" w:hAnsi="Segoe UI" w:cs="Segoe UI"/>
                <w:b/>
                <w:sz w:val="18"/>
                <w:szCs w:val="18"/>
                <w:lang w:eastAsia="en-US"/>
              </w:rPr>
            </w:pPr>
            <w:r w:rsidRPr="00436E5F">
              <w:rPr>
                <w:rFonts w:ascii="Segoe UI" w:hAnsi="Segoe UI" w:cs="Segoe UI"/>
                <w:b/>
                <w:sz w:val="18"/>
                <w:szCs w:val="18"/>
                <w:lang w:eastAsia="en-US"/>
              </w:rPr>
              <w:t>Note</w:t>
            </w:r>
          </w:p>
        </w:tc>
      </w:tr>
      <w:tr w:rsidR="00973285" w:rsidRPr="00777C43" w14:paraId="61E8B7C1" w14:textId="77777777" w:rsidTr="00424485">
        <w:tc>
          <w:tcPr>
            <w:tcW w:w="801" w:type="pct"/>
          </w:tcPr>
          <w:p w14:paraId="276612B6" w14:textId="77777777" w:rsidR="00973285" w:rsidRPr="00436E5F" w:rsidRDefault="00973285" w:rsidP="00424485">
            <w:pPr>
              <w:pStyle w:val="NormalWeb"/>
              <w:spacing w:before="60" w:beforeAutospacing="0" w:after="60" w:afterAutospacing="0"/>
              <w:rPr>
                <w:rFonts w:ascii="Segoe UI" w:hAnsi="Segoe UI" w:cs="Segoe UI"/>
                <w:sz w:val="18"/>
                <w:szCs w:val="18"/>
                <w:lang w:eastAsia="en-US"/>
              </w:rPr>
            </w:pPr>
            <w:r w:rsidRPr="00436E5F">
              <w:rPr>
                <w:rFonts w:ascii="Segoe UI" w:hAnsi="Segoe UI" w:cs="Segoe UI"/>
                <w:sz w:val="18"/>
                <w:szCs w:val="18"/>
                <w:lang w:eastAsia="en-US"/>
              </w:rPr>
              <w:t>18-29 years</w:t>
            </w:r>
          </w:p>
        </w:tc>
        <w:tc>
          <w:tcPr>
            <w:tcW w:w="1213" w:type="pct"/>
          </w:tcPr>
          <w:p w14:paraId="11E890EF" w14:textId="77777777" w:rsidR="00973285" w:rsidRPr="00436E5F" w:rsidRDefault="00973285" w:rsidP="00424485">
            <w:pPr>
              <w:pStyle w:val="NormalWeb"/>
              <w:spacing w:before="60" w:beforeAutospacing="0" w:after="60" w:afterAutospacing="0"/>
              <w:rPr>
                <w:rFonts w:ascii="Segoe UI" w:hAnsi="Segoe UI" w:cs="Segoe UI"/>
                <w:sz w:val="18"/>
                <w:szCs w:val="18"/>
                <w:lang w:eastAsia="en-US"/>
              </w:rPr>
            </w:pPr>
            <w:r w:rsidRPr="00436E5F">
              <w:rPr>
                <w:rFonts w:ascii="Segoe UI" w:hAnsi="Segoe UI" w:cs="Segoe UI"/>
                <w:sz w:val="18"/>
                <w:szCs w:val="18"/>
                <w:lang w:eastAsia="en-US"/>
              </w:rPr>
              <w:t>Input age 30 years</w:t>
            </w:r>
          </w:p>
        </w:tc>
        <w:tc>
          <w:tcPr>
            <w:tcW w:w="2986" w:type="pct"/>
          </w:tcPr>
          <w:p w14:paraId="220CD8DF" w14:textId="77777777" w:rsidR="00973285" w:rsidRPr="00436E5F" w:rsidRDefault="00973285" w:rsidP="00424485">
            <w:pPr>
              <w:pStyle w:val="NormalWeb"/>
              <w:spacing w:before="60" w:beforeAutospacing="0" w:after="60" w:afterAutospacing="0"/>
              <w:rPr>
                <w:rFonts w:ascii="Segoe UI" w:hAnsi="Segoe UI" w:cs="Segoe UI"/>
                <w:sz w:val="18"/>
                <w:szCs w:val="18"/>
                <w:lang w:eastAsia="en-US"/>
              </w:rPr>
            </w:pPr>
            <w:r w:rsidRPr="00436E5F">
              <w:rPr>
                <w:rFonts w:ascii="Segoe UI" w:hAnsi="Segoe UI" w:cs="Segoe UI"/>
                <w:sz w:val="18"/>
                <w:szCs w:val="18"/>
                <w:lang w:eastAsia="en-US"/>
              </w:rPr>
              <w:t>Outside age range for which the algorithms were developed; CVD risk is an approximation only</w:t>
            </w:r>
          </w:p>
        </w:tc>
      </w:tr>
      <w:tr w:rsidR="00973285" w:rsidRPr="00777C43" w14:paraId="68D8FD95" w14:textId="77777777" w:rsidTr="00424485">
        <w:tc>
          <w:tcPr>
            <w:tcW w:w="801" w:type="pct"/>
          </w:tcPr>
          <w:p w14:paraId="37DE51AA" w14:textId="77777777" w:rsidR="00973285" w:rsidRPr="00436E5F" w:rsidRDefault="00973285" w:rsidP="00424485">
            <w:pPr>
              <w:pStyle w:val="NormalWeb"/>
              <w:spacing w:before="60" w:beforeAutospacing="0" w:after="60" w:afterAutospacing="0"/>
              <w:rPr>
                <w:rFonts w:ascii="Segoe UI" w:hAnsi="Segoe UI" w:cs="Segoe UI"/>
                <w:sz w:val="18"/>
                <w:szCs w:val="18"/>
                <w:lang w:eastAsia="en-US"/>
              </w:rPr>
            </w:pPr>
            <w:r w:rsidRPr="00436E5F">
              <w:rPr>
                <w:rFonts w:ascii="Segoe UI" w:hAnsi="Segoe UI" w:cs="Segoe UI"/>
                <w:sz w:val="18"/>
                <w:szCs w:val="18"/>
                <w:lang w:eastAsia="en-US"/>
              </w:rPr>
              <w:t>30-74 years</w:t>
            </w:r>
          </w:p>
        </w:tc>
        <w:tc>
          <w:tcPr>
            <w:tcW w:w="1213" w:type="pct"/>
          </w:tcPr>
          <w:p w14:paraId="66EFA579" w14:textId="77777777" w:rsidR="00973285" w:rsidRPr="00436E5F" w:rsidRDefault="00973285" w:rsidP="00424485">
            <w:pPr>
              <w:pStyle w:val="NormalWeb"/>
              <w:spacing w:before="60" w:beforeAutospacing="0" w:after="60" w:afterAutospacing="0"/>
              <w:rPr>
                <w:rFonts w:ascii="Segoe UI" w:hAnsi="Segoe UI" w:cs="Segoe UI"/>
                <w:sz w:val="18"/>
                <w:szCs w:val="18"/>
                <w:lang w:eastAsia="en-US"/>
              </w:rPr>
            </w:pPr>
            <w:r w:rsidRPr="00436E5F">
              <w:rPr>
                <w:rFonts w:ascii="Segoe UI" w:hAnsi="Segoe UI" w:cs="Segoe UI"/>
                <w:sz w:val="18"/>
                <w:szCs w:val="18"/>
                <w:lang w:eastAsia="en-US"/>
              </w:rPr>
              <w:t>Input actual age</w:t>
            </w:r>
          </w:p>
        </w:tc>
        <w:tc>
          <w:tcPr>
            <w:tcW w:w="2986" w:type="pct"/>
          </w:tcPr>
          <w:p w14:paraId="12ABEE13" w14:textId="77777777" w:rsidR="00973285" w:rsidRPr="00436E5F" w:rsidRDefault="00973285" w:rsidP="00424485">
            <w:pPr>
              <w:pStyle w:val="NormalWeb"/>
              <w:spacing w:before="60" w:beforeAutospacing="0" w:after="60" w:afterAutospacing="0"/>
              <w:rPr>
                <w:rFonts w:ascii="Segoe UI" w:hAnsi="Segoe UI" w:cs="Segoe UI"/>
                <w:sz w:val="18"/>
                <w:szCs w:val="18"/>
                <w:lang w:eastAsia="en-US"/>
              </w:rPr>
            </w:pPr>
            <w:r w:rsidRPr="00436E5F">
              <w:rPr>
                <w:rFonts w:ascii="Segoe UI" w:hAnsi="Segoe UI" w:cs="Segoe UI"/>
                <w:sz w:val="18"/>
                <w:szCs w:val="18"/>
                <w:lang w:eastAsia="en-US"/>
              </w:rPr>
              <w:t>Age group used to derive equations</w:t>
            </w:r>
          </w:p>
        </w:tc>
      </w:tr>
      <w:tr w:rsidR="00973285" w:rsidRPr="00777C43" w14:paraId="75DE6F45" w14:textId="77777777" w:rsidTr="00424485">
        <w:tc>
          <w:tcPr>
            <w:tcW w:w="801" w:type="pct"/>
          </w:tcPr>
          <w:p w14:paraId="67851D2F" w14:textId="77777777" w:rsidR="00973285" w:rsidRPr="00436E5F" w:rsidRDefault="00973285" w:rsidP="00424485">
            <w:pPr>
              <w:pStyle w:val="NormalWeb"/>
              <w:spacing w:before="60" w:beforeAutospacing="0" w:after="60" w:afterAutospacing="0"/>
              <w:rPr>
                <w:rFonts w:ascii="Segoe UI" w:hAnsi="Segoe UI" w:cs="Segoe UI"/>
                <w:sz w:val="18"/>
                <w:szCs w:val="18"/>
                <w:lang w:eastAsia="en-US"/>
              </w:rPr>
            </w:pPr>
            <w:r w:rsidRPr="00436E5F">
              <w:rPr>
                <w:rFonts w:ascii="Segoe UI" w:hAnsi="Segoe UI" w:cs="Segoe UI"/>
                <w:sz w:val="18"/>
                <w:szCs w:val="18"/>
                <w:lang w:eastAsia="en-US"/>
              </w:rPr>
              <w:t>75 -79 years</w:t>
            </w:r>
          </w:p>
        </w:tc>
        <w:tc>
          <w:tcPr>
            <w:tcW w:w="1213" w:type="pct"/>
          </w:tcPr>
          <w:p w14:paraId="78BD8F07" w14:textId="77777777" w:rsidR="00973285" w:rsidRPr="00436E5F" w:rsidRDefault="00973285" w:rsidP="00424485">
            <w:pPr>
              <w:pStyle w:val="NormalWeb"/>
              <w:spacing w:before="60" w:beforeAutospacing="0" w:after="60" w:afterAutospacing="0"/>
              <w:rPr>
                <w:rFonts w:ascii="Segoe UI" w:hAnsi="Segoe UI" w:cs="Segoe UI"/>
                <w:sz w:val="18"/>
                <w:szCs w:val="18"/>
                <w:lang w:eastAsia="en-US"/>
              </w:rPr>
            </w:pPr>
            <w:r w:rsidRPr="00436E5F">
              <w:rPr>
                <w:rFonts w:ascii="Segoe UI" w:hAnsi="Segoe UI" w:cs="Segoe UI"/>
                <w:sz w:val="18"/>
                <w:szCs w:val="18"/>
                <w:lang w:eastAsia="en-US"/>
              </w:rPr>
              <w:t>Input actual age</w:t>
            </w:r>
          </w:p>
        </w:tc>
        <w:tc>
          <w:tcPr>
            <w:tcW w:w="2986" w:type="pct"/>
          </w:tcPr>
          <w:p w14:paraId="1B250285" w14:textId="77777777" w:rsidR="00973285" w:rsidRPr="00436E5F" w:rsidRDefault="00973285" w:rsidP="00424485">
            <w:pPr>
              <w:pStyle w:val="NormalWeb"/>
              <w:spacing w:before="60" w:beforeAutospacing="0" w:after="60" w:afterAutospacing="0"/>
              <w:rPr>
                <w:rFonts w:ascii="Segoe UI" w:hAnsi="Segoe UI" w:cs="Segoe UI"/>
                <w:sz w:val="18"/>
                <w:szCs w:val="18"/>
                <w:lang w:eastAsia="en-US"/>
              </w:rPr>
            </w:pPr>
            <w:r w:rsidRPr="00436E5F">
              <w:rPr>
                <w:rFonts w:ascii="Segoe UI" w:hAnsi="Segoe UI" w:cs="Segoe UI"/>
                <w:sz w:val="18"/>
                <w:szCs w:val="18"/>
                <w:lang w:eastAsia="en-US"/>
              </w:rPr>
              <w:t>Outside age range for which the algorithms were developed but current equations perform reasonably well</w:t>
            </w:r>
          </w:p>
        </w:tc>
      </w:tr>
      <w:tr w:rsidR="00973285" w:rsidRPr="00777C43" w14:paraId="50965C18" w14:textId="77777777" w:rsidTr="00424485">
        <w:tc>
          <w:tcPr>
            <w:tcW w:w="801" w:type="pct"/>
          </w:tcPr>
          <w:p w14:paraId="715FAACA" w14:textId="77777777" w:rsidR="00973285" w:rsidRPr="00436E5F" w:rsidRDefault="00973285" w:rsidP="00424485">
            <w:pPr>
              <w:pStyle w:val="NormalWeb"/>
              <w:spacing w:before="60" w:beforeAutospacing="0" w:after="60" w:afterAutospacing="0"/>
              <w:rPr>
                <w:rFonts w:ascii="Segoe UI" w:hAnsi="Segoe UI" w:cs="Segoe UI"/>
                <w:sz w:val="18"/>
                <w:szCs w:val="18"/>
                <w:lang w:eastAsia="en-US"/>
              </w:rPr>
            </w:pPr>
            <w:r w:rsidRPr="00436E5F">
              <w:rPr>
                <w:rFonts w:ascii="Segoe UI" w:hAnsi="Segoe UI" w:cs="Segoe UI"/>
                <w:sz w:val="18"/>
                <w:szCs w:val="18"/>
                <w:lang w:eastAsia="en-US"/>
              </w:rPr>
              <w:t>80+ years</w:t>
            </w:r>
          </w:p>
        </w:tc>
        <w:tc>
          <w:tcPr>
            <w:tcW w:w="1213" w:type="pct"/>
          </w:tcPr>
          <w:p w14:paraId="7E2809FB" w14:textId="77777777" w:rsidR="00973285" w:rsidRPr="00436E5F" w:rsidRDefault="00973285" w:rsidP="00424485">
            <w:pPr>
              <w:pStyle w:val="NormalWeb"/>
              <w:spacing w:before="60" w:beforeAutospacing="0" w:after="60" w:afterAutospacing="0"/>
              <w:rPr>
                <w:rFonts w:ascii="Segoe UI" w:hAnsi="Segoe UI" w:cs="Segoe UI"/>
                <w:sz w:val="18"/>
                <w:szCs w:val="18"/>
                <w:lang w:eastAsia="en-US"/>
              </w:rPr>
            </w:pPr>
            <w:r w:rsidRPr="00436E5F">
              <w:rPr>
                <w:rFonts w:ascii="Segoe UI" w:hAnsi="Segoe UI" w:cs="Segoe UI"/>
                <w:sz w:val="18"/>
                <w:szCs w:val="18"/>
                <w:lang w:eastAsia="en-US"/>
              </w:rPr>
              <w:t>Input age 80 years</w:t>
            </w:r>
          </w:p>
        </w:tc>
        <w:tc>
          <w:tcPr>
            <w:tcW w:w="2986" w:type="pct"/>
          </w:tcPr>
          <w:p w14:paraId="6113D319" w14:textId="77777777" w:rsidR="00973285" w:rsidRPr="00436E5F" w:rsidRDefault="00973285" w:rsidP="00424485">
            <w:pPr>
              <w:pStyle w:val="NormalWeb"/>
              <w:spacing w:before="60" w:beforeAutospacing="0" w:after="60" w:afterAutospacing="0"/>
              <w:rPr>
                <w:rFonts w:ascii="Segoe UI" w:hAnsi="Segoe UI" w:cs="Segoe UI"/>
                <w:sz w:val="18"/>
                <w:szCs w:val="18"/>
                <w:lang w:eastAsia="en-US"/>
              </w:rPr>
            </w:pPr>
            <w:r w:rsidRPr="00436E5F">
              <w:rPr>
                <w:rFonts w:ascii="Segoe UI" w:hAnsi="Segoe UI" w:cs="Segoe UI"/>
                <w:sz w:val="18"/>
                <w:szCs w:val="18"/>
                <w:lang w:eastAsia="en-US"/>
              </w:rPr>
              <w:t>Outside age range for which the algorithms were developed; CVD risk is an approximation only</w:t>
            </w:r>
          </w:p>
        </w:tc>
      </w:tr>
    </w:tbl>
    <w:p w14:paraId="618A320A" w14:textId="79573902" w:rsidR="0045304A" w:rsidRDefault="0045304A" w:rsidP="0045304A">
      <w:pPr>
        <w:pStyle w:val="Heading4"/>
      </w:pPr>
      <w:r>
        <w:t>Recording the assessed risk score</w:t>
      </w:r>
    </w:p>
    <w:p w14:paraId="0F09F0C2" w14:textId="280708F6" w:rsidR="00395E0C" w:rsidRPr="009E2045" w:rsidRDefault="006477D1" w:rsidP="008E7986">
      <w:hyperlink r:id="rId37" w:history="1">
        <w:r w:rsidR="0045304A" w:rsidRPr="3ADDC19A">
          <w:rPr>
            <w:rStyle w:val="Hyperlink"/>
            <w:rFonts w:cs="Segoe UI"/>
            <w:color w:val="4F81BD" w:themeColor="accent1"/>
            <w:lang w:eastAsia="en-NZ"/>
          </w:rPr>
          <w:t>New Zealand cardiovascular disease 5-year risk score</w:t>
        </w:r>
      </w:hyperlink>
      <w:r w:rsidR="0045304A" w:rsidRPr="3ADDC19A">
        <w:rPr>
          <w:rFonts w:cs="Segoe UI"/>
          <w:color w:val="000000"/>
          <w:lang w:eastAsia="en-NZ"/>
        </w:rPr>
        <w:t xml:space="preserve"> is the </w:t>
      </w:r>
      <w:r w:rsidR="009E2045" w:rsidRPr="3ADDC19A">
        <w:rPr>
          <w:rFonts w:cs="Segoe UI"/>
          <w:color w:val="000000"/>
          <w:lang w:eastAsia="en-NZ"/>
        </w:rPr>
        <w:t xml:space="preserve">SNOMED CT </w:t>
      </w:r>
      <w:r w:rsidR="0045304A" w:rsidRPr="3ADDC19A">
        <w:rPr>
          <w:rFonts w:cs="Segoe UI"/>
          <w:color w:val="000000"/>
          <w:lang w:eastAsia="en-NZ"/>
        </w:rPr>
        <w:t>observable entity</w:t>
      </w:r>
      <w:r w:rsidR="0045304A">
        <w:t xml:space="preserve"> concept used to denote the assessed risk score in the patient record.</w:t>
      </w:r>
      <w:r w:rsidR="009E2045">
        <w:rPr>
          <w:szCs w:val="21"/>
        </w:rPr>
        <w:t xml:space="preserve"> </w:t>
      </w:r>
      <w:r w:rsidR="00A46CD5">
        <w:t>E</w:t>
      </w:r>
      <w:r w:rsidR="008352F4">
        <w:t xml:space="preserve">ach risk score should be recorded with </w:t>
      </w:r>
      <w:r w:rsidR="009E2045">
        <w:t xml:space="preserve">both this observable entity concept and </w:t>
      </w:r>
      <w:r w:rsidR="00F634F6">
        <w:t>the SNOMED CT identifier</w:t>
      </w:r>
      <w:r w:rsidR="00A46CD5">
        <w:t xml:space="preserve"> for the assessment scale concept representing the </w:t>
      </w:r>
      <w:r w:rsidR="009E2045">
        <w:t xml:space="preserve">correct version of the correct </w:t>
      </w:r>
      <w:r w:rsidR="00A46CD5">
        <w:t>equation</w:t>
      </w:r>
      <w:r w:rsidR="00F634F6">
        <w:t>.</w:t>
      </w:r>
    </w:p>
    <w:p w14:paraId="45926421" w14:textId="6E0F4D51" w:rsidR="00650A90" w:rsidRPr="00707DA0" w:rsidRDefault="00650A90" w:rsidP="008E7986">
      <w:pPr>
        <w:pStyle w:val="Heading2"/>
      </w:pPr>
      <w:bookmarkStart w:id="61" w:name="_Toc42092453"/>
      <w:bookmarkStart w:id="62" w:name="_Toc46146744"/>
      <w:bookmarkStart w:id="63" w:name="_Toc42092454"/>
      <w:bookmarkStart w:id="64" w:name="_Toc46146745"/>
      <w:bookmarkStart w:id="65" w:name="_Toc5806753"/>
      <w:bookmarkStart w:id="66" w:name="_Toc46146746"/>
      <w:bookmarkEnd w:id="61"/>
      <w:bookmarkEnd w:id="62"/>
      <w:bookmarkEnd w:id="63"/>
      <w:bookmarkEnd w:id="64"/>
      <w:r>
        <w:t>PREDICT CVD v.201</w:t>
      </w:r>
      <w:r w:rsidR="000F15BB">
        <w:t>9</w:t>
      </w:r>
      <w:r>
        <w:t xml:space="preserve"> primary prevention equation for women (30–74 years)</w:t>
      </w:r>
      <w:bookmarkEnd w:id="65"/>
      <w:bookmarkEnd w:id="66"/>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4337"/>
        <w:gridCol w:w="1814"/>
        <w:gridCol w:w="1817"/>
      </w:tblGrid>
      <w:tr w:rsidR="00650A90" w:rsidRPr="008E7986" w14:paraId="4D0831C8" w14:textId="77777777" w:rsidTr="00487E20">
        <w:trPr>
          <w:cantSplit/>
        </w:trPr>
        <w:tc>
          <w:tcPr>
            <w:tcW w:w="2722" w:type="pct"/>
            <w:tcBorders>
              <w:top w:val="nil"/>
              <w:bottom w:val="nil"/>
            </w:tcBorders>
            <w:shd w:val="clear" w:color="auto" w:fill="D9D9D9" w:themeFill="background1" w:themeFillShade="D9"/>
          </w:tcPr>
          <w:p w14:paraId="1C1810B2" w14:textId="77777777" w:rsidR="00650A90" w:rsidRPr="008E7986" w:rsidRDefault="00650A90" w:rsidP="008E7986">
            <w:pPr>
              <w:pStyle w:val="TableText"/>
              <w:keepNext/>
              <w:rPr>
                <w:b/>
                <w:bCs/>
              </w:rPr>
            </w:pPr>
            <w:r w:rsidRPr="008E7986">
              <w:rPr>
                <w:b/>
              </w:rPr>
              <w:t>Variable</w:t>
            </w:r>
          </w:p>
        </w:tc>
        <w:tc>
          <w:tcPr>
            <w:tcW w:w="1138" w:type="pct"/>
            <w:tcBorders>
              <w:top w:val="nil"/>
              <w:bottom w:val="nil"/>
            </w:tcBorders>
            <w:shd w:val="clear" w:color="auto" w:fill="D9D9D9" w:themeFill="background1" w:themeFillShade="D9"/>
          </w:tcPr>
          <w:p w14:paraId="624533CF" w14:textId="3489EDCE" w:rsidR="00650A90" w:rsidRPr="008E7986" w:rsidRDefault="00650A90" w:rsidP="00065B5D">
            <w:pPr>
              <w:pStyle w:val="TableText"/>
              <w:keepNext/>
              <w:jc w:val="center"/>
              <w:rPr>
                <w:b/>
                <w:bCs/>
              </w:rPr>
            </w:pPr>
            <w:r w:rsidRPr="008E7986">
              <w:rPr>
                <w:b/>
              </w:rPr>
              <w:t>Coefficient</w:t>
            </w:r>
          </w:p>
        </w:tc>
        <w:tc>
          <w:tcPr>
            <w:tcW w:w="1140" w:type="pct"/>
            <w:tcBorders>
              <w:top w:val="nil"/>
              <w:bottom w:val="nil"/>
            </w:tcBorders>
            <w:shd w:val="clear" w:color="auto" w:fill="D9D9D9" w:themeFill="background1" w:themeFillShade="D9"/>
          </w:tcPr>
          <w:p w14:paraId="13E1806A" w14:textId="19C5A23A" w:rsidR="00650A90" w:rsidRPr="008E7986" w:rsidRDefault="00650A90" w:rsidP="008E7986">
            <w:pPr>
              <w:pStyle w:val="TableText"/>
              <w:keepNext/>
              <w:jc w:val="center"/>
              <w:rPr>
                <w:b/>
                <w:bCs/>
              </w:rPr>
            </w:pPr>
            <w:r w:rsidRPr="008E7986">
              <w:rPr>
                <w:b/>
              </w:rPr>
              <w:t>Mean for centring</w:t>
            </w:r>
          </w:p>
        </w:tc>
      </w:tr>
      <w:tr w:rsidR="00650A90" w:rsidRPr="00627692" w14:paraId="3D5EC368" w14:textId="77777777" w:rsidTr="00487E20">
        <w:trPr>
          <w:cantSplit/>
        </w:trPr>
        <w:tc>
          <w:tcPr>
            <w:tcW w:w="2722" w:type="pct"/>
            <w:tcBorders>
              <w:top w:val="nil"/>
            </w:tcBorders>
            <w:shd w:val="clear" w:color="auto" w:fill="auto"/>
          </w:tcPr>
          <w:p w14:paraId="4E6AA63D" w14:textId="25DDFDB9" w:rsidR="00650A90" w:rsidRPr="008E7986" w:rsidRDefault="00650A90" w:rsidP="008E7986">
            <w:pPr>
              <w:pStyle w:val="TableText"/>
              <w:keepNext/>
              <w:rPr>
                <w:bCs/>
              </w:rPr>
            </w:pPr>
            <w:r w:rsidRPr="008E7986">
              <w:t>Age</w:t>
            </w:r>
            <w:r w:rsidR="00AB156F">
              <w:t xml:space="preserve"> (centred)</w:t>
            </w:r>
          </w:p>
        </w:tc>
        <w:tc>
          <w:tcPr>
            <w:tcW w:w="1138" w:type="pct"/>
            <w:tcBorders>
              <w:top w:val="nil"/>
            </w:tcBorders>
            <w:shd w:val="clear" w:color="auto" w:fill="auto"/>
          </w:tcPr>
          <w:p w14:paraId="6C78512B" w14:textId="77777777" w:rsidR="00650A90" w:rsidRPr="008E7986" w:rsidRDefault="00650A90" w:rsidP="008E7986">
            <w:pPr>
              <w:pStyle w:val="TableText"/>
              <w:keepNext/>
              <w:tabs>
                <w:tab w:val="decimal" w:pos="652"/>
              </w:tabs>
            </w:pPr>
            <w:r w:rsidRPr="008E7986">
              <w:t>0.0734393</w:t>
            </w:r>
          </w:p>
        </w:tc>
        <w:tc>
          <w:tcPr>
            <w:tcW w:w="1140" w:type="pct"/>
            <w:tcBorders>
              <w:top w:val="nil"/>
            </w:tcBorders>
            <w:shd w:val="clear" w:color="auto" w:fill="auto"/>
          </w:tcPr>
          <w:p w14:paraId="5ECEC4BF" w14:textId="77777777" w:rsidR="00650A90" w:rsidRPr="008E7986" w:rsidRDefault="00650A90" w:rsidP="008E7986">
            <w:pPr>
              <w:pStyle w:val="TableText"/>
              <w:keepNext/>
              <w:jc w:val="center"/>
            </w:pPr>
            <w:r w:rsidRPr="008E7986">
              <w:t>56.05801</w:t>
            </w:r>
          </w:p>
        </w:tc>
      </w:tr>
      <w:tr w:rsidR="00650A90" w:rsidRPr="00627692" w14:paraId="308DF625" w14:textId="77777777" w:rsidTr="00487E20">
        <w:trPr>
          <w:cantSplit/>
        </w:trPr>
        <w:tc>
          <w:tcPr>
            <w:tcW w:w="2722" w:type="pct"/>
            <w:shd w:val="clear" w:color="auto" w:fill="auto"/>
          </w:tcPr>
          <w:p w14:paraId="777B3575" w14:textId="77777777" w:rsidR="00650A90" w:rsidRPr="008E7986" w:rsidRDefault="00650A90" w:rsidP="008E7986">
            <w:pPr>
              <w:pStyle w:val="TableText"/>
              <w:keepNext/>
              <w:rPr>
                <w:bCs/>
              </w:rPr>
            </w:pPr>
            <w:r w:rsidRPr="008E7986">
              <w:t>Māori</w:t>
            </w:r>
          </w:p>
        </w:tc>
        <w:tc>
          <w:tcPr>
            <w:tcW w:w="1138" w:type="pct"/>
            <w:shd w:val="clear" w:color="auto" w:fill="auto"/>
          </w:tcPr>
          <w:p w14:paraId="4CBED10C" w14:textId="77777777" w:rsidR="00650A90" w:rsidRPr="008E7986" w:rsidRDefault="00650A90" w:rsidP="008E7986">
            <w:pPr>
              <w:pStyle w:val="TableText"/>
              <w:keepNext/>
              <w:tabs>
                <w:tab w:val="decimal" w:pos="652"/>
              </w:tabs>
            </w:pPr>
            <w:r w:rsidRPr="008E7986">
              <w:t>0.4164622</w:t>
            </w:r>
          </w:p>
        </w:tc>
        <w:tc>
          <w:tcPr>
            <w:tcW w:w="1140" w:type="pct"/>
            <w:shd w:val="clear" w:color="auto" w:fill="auto"/>
          </w:tcPr>
          <w:p w14:paraId="4F66A9D3" w14:textId="77777777" w:rsidR="00650A90" w:rsidRPr="008E7986" w:rsidRDefault="00650A90" w:rsidP="008E7986">
            <w:pPr>
              <w:pStyle w:val="TableText"/>
              <w:keepNext/>
              <w:jc w:val="center"/>
            </w:pPr>
          </w:p>
        </w:tc>
      </w:tr>
      <w:tr w:rsidR="00650A90" w:rsidRPr="00627692" w14:paraId="1BB89CF8" w14:textId="77777777" w:rsidTr="00487E20">
        <w:trPr>
          <w:cantSplit/>
        </w:trPr>
        <w:tc>
          <w:tcPr>
            <w:tcW w:w="2722" w:type="pct"/>
            <w:shd w:val="clear" w:color="auto" w:fill="auto"/>
          </w:tcPr>
          <w:p w14:paraId="5128B1E5" w14:textId="77777777" w:rsidR="00650A90" w:rsidRPr="008E7986" w:rsidRDefault="00650A90" w:rsidP="008E7986">
            <w:pPr>
              <w:pStyle w:val="TableText"/>
              <w:keepNext/>
              <w:rPr>
                <w:bCs/>
              </w:rPr>
            </w:pPr>
            <w:r w:rsidRPr="008E7986">
              <w:t>Pacific</w:t>
            </w:r>
          </w:p>
        </w:tc>
        <w:tc>
          <w:tcPr>
            <w:tcW w:w="1138" w:type="pct"/>
            <w:shd w:val="clear" w:color="auto" w:fill="auto"/>
          </w:tcPr>
          <w:p w14:paraId="213D90D5" w14:textId="77777777" w:rsidR="00650A90" w:rsidRPr="008E7986" w:rsidRDefault="00650A90" w:rsidP="008E7986">
            <w:pPr>
              <w:pStyle w:val="TableText"/>
              <w:keepNext/>
              <w:tabs>
                <w:tab w:val="decimal" w:pos="652"/>
              </w:tabs>
            </w:pPr>
            <w:r w:rsidRPr="008E7986">
              <w:t>0.2268597</w:t>
            </w:r>
          </w:p>
        </w:tc>
        <w:tc>
          <w:tcPr>
            <w:tcW w:w="1140" w:type="pct"/>
            <w:shd w:val="clear" w:color="auto" w:fill="auto"/>
          </w:tcPr>
          <w:p w14:paraId="51EA11C5" w14:textId="77777777" w:rsidR="00650A90" w:rsidRPr="008E7986" w:rsidRDefault="00650A90" w:rsidP="008E7986">
            <w:pPr>
              <w:pStyle w:val="TableText"/>
              <w:keepNext/>
              <w:jc w:val="center"/>
            </w:pPr>
          </w:p>
        </w:tc>
      </w:tr>
      <w:tr w:rsidR="00650A90" w:rsidRPr="00627692" w14:paraId="3C56B427" w14:textId="77777777" w:rsidTr="00487E20">
        <w:trPr>
          <w:cantSplit/>
        </w:trPr>
        <w:tc>
          <w:tcPr>
            <w:tcW w:w="2722" w:type="pct"/>
            <w:shd w:val="clear" w:color="auto" w:fill="auto"/>
          </w:tcPr>
          <w:p w14:paraId="146A86E0" w14:textId="4FBB57D4" w:rsidR="00650A90" w:rsidRPr="008E7986" w:rsidRDefault="00650A90" w:rsidP="008E7986">
            <w:pPr>
              <w:pStyle w:val="TableText"/>
              <w:keepNext/>
              <w:rPr>
                <w:bCs/>
              </w:rPr>
            </w:pPr>
            <w:r w:rsidRPr="008E7986">
              <w:t>Indian/</w:t>
            </w:r>
            <w:r w:rsidR="00BD613F">
              <w:t xml:space="preserve">Other </w:t>
            </w:r>
            <w:r w:rsidRPr="008E7986">
              <w:t>South Asian</w:t>
            </w:r>
          </w:p>
        </w:tc>
        <w:tc>
          <w:tcPr>
            <w:tcW w:w="1138" w:type="pct"/>
            <w:shd w:val="clear" w:color="auto" w:fill="auto"/>
          </w:tcPr>
          <w:p w14:paraId="55C4FC5E" w14:textId="77777777" w:rsidR="00650A90" w:rsidRPr="008E7986" w:rsidRDefault="00650A90" w:rsidP="008E7986">
            <w:pPr>
              <w:pStyle w:val="TableText"/>
              <w:keepNext/>
              <w:tabs>
                <w:tab w:val="decimal" w:pos="652"/>
              </w:tabs>
            </w:pPr>
            <w:r w:rsidRPr="008E7986">
              <w:t>0.2086713</w:t>
            </w:r>
          </w:p>
        </w:tc>
        <w:tc>
          <w:tcPr>
            <w:tcW w:w="1140" w:type="pct"/>
            <w:shd w:val="clear" w:color="auto" w:fill="auto"/>
          </w:tcPr>
          <w:p w14:paraId="01127672" w14:textId="77777777" w:rsidR="00650A90" w:rsidRPr="008E7986" w:rsidRDefault="00650A90" w:rsidP="008E7986">
            <w:pPr>
              <w:pStyle w:val="TableText"/>
              <w:keepNext/>
              <w:jc w:val="center"/>
            </w:pPr>
          </w:p>
        </w:tc>
      </w:tr>
      <w:tr w:rsidR="00650A90" w:rsidRPr="00627692" w14:paraId="6C027C6B" w14:textId="77777777" w:rsidTr="00487E20">
        <w:trPr>
          <w:cantSplit/>
        </w:trPr>
        <w:tc>
          <w:tcPr>
            <w:tcW w:w="2722" w:type="pct"/>
            <w:shd w:val="clear" w:color="auto" w:fill="auto"/>
          </w:tcPr>
          <w:p w14:paraId="654A139C" w14:textId="77777777" w:rsidR="00650A90" w:rsidRPr="008E7986" w:rsidRDefault="00650A90" w:rsidP="008E7986">
            <w:pPr>
              <w:pStyle w:val="TableText"/>
              <w:keepNext/>
              <w:rPr>
                <w:bCs/>
              </w:rPr>
            </w:pPr>
            <w:r w:rsidRPr="008E7986">
              <w:t>Chinese/Asian</w:t>
            </w:r>
          </w:p>
        </w:tc>
        <w:tc>
          <w:tcPr>
            <w:tcW w:w="1138" w:type="pct"/>
            <w:shd w:val="clear" w:color="auto" w:fill="auto"/>
          </w:tcPr>
          <w:p w14:paraId="65DF2C00" w14:textId="77777777" w:rsidR="00650A90" w:rsidRPr="008E7986" w:rsidRDefault="00650A90" w:rsidP="008E7986">
            <w:pPr>
              <w:pStyle w:val="TableText"/>
              <w:keepNext/>
              <w:tabs>
                <w:tab w:val="decimal" w:pos="652"/>
              </w:tabs>
            </w:pPr>
            <w:r w:rsidRPr="008E7986">
              <w:t>-0.2680559</w:t>
            </w:r>
          </w:p>
        </w:tc>
        <w:tc>
          <w:tcPr>
            <w:tcW w:w="1140" w:type="pct"/>
            <w:shd w:val="clear" w:color="auto" w:fill="auto"/>
          </w:tcPr>
          <w:p w14:paraId="3DA7DE28" w14:textId="77777777" w:rsidR="00650A90" w:rsidRPr="008E7986" w:rsidRDefault="00650A90" w:rsidP="008E7986">
            <w:pPr>
              <w:pStyle w:val="TableText"/>
              <w:keepNext/>
              <w:jc w:val="center"/>
            </w:pPr>
          </w:p>
        </w:tc>
      </w:tr>
      <w:tr w:rsidR="00650A90" w:rsidRPr="00627692" w14:paraId="063FD3AB" w14:textId="77777777" w:rsidTr="00487E20">
        <w:trPr>
          <w:cantSplit/>
        </w:trPr>
        <w:tc>
          <w:tcPr>
            <w:tcW w:w="2722" w:type="pct"/>
            <w:shd w:val="clear" w:color="auto" w:fill="auto"/>
          </w:tcPr>
          <w:p w14:paraId="366C178C" w14:textId="1D738B36" w:rsidR="00650A90" w:rsidRPr="008E7986" w:rsidRDefault="00650A90" w:rsidP="008E7986">
            <w:pPr>
              <w:pStyle w:val="TableText"/>
              <w:rPr>
                <w:bCs/>
              </w:rPr>
            </w:pPr>
            <w:proofErr w:type="spellStart"/>
            <w:r w:rsidRPr="008E7986">
              <w:t>NZDep</w:t>
            </w:r>
            <w:proofErr w:type="spellEnd"/>
            <w:r w:rsidRPr="008E7986">
              <w:t xml:space="preserve"> quintile</w:t>
            </w:r>
            <w:r w:rsidR="00AB156F">
              <w:t xml:space="preserve"> (centred)</w:t>
            </w:r>
          </w:p>
        </w:tc>
        <w:tc>
          <w:tcPr>
            <w:tcW w:w="1138" w:type="pct"/>
            <w:shd w:val="clear" w:color="auto" w:fill="auto"/>
          </w:tcPr>
          <w:p w14:paraId="6BD0274E" w14:textId="77777777" w:rsidR="00650A90" w:rsidRPr="008E7986" w:rsidRDefault="00650A90" w:rsidP="008E7986">
            <w:pPr>
              <w:pStyle w:val="TableText"/>
              <w:tabs>
                <w:tab w:val="decimal" w:pos="652"/>
              </w:tabs>
            </w:pPr>
            <w:r w:rsidRPr="008E7986">
              <w:t>0.0957229</w:t>
            </w:r>
          </w:p>
        </w:tc>
        <w:tc>
          <w:tcPr>
            <w:tcW w:w="1140" w:type="pct"/>
            <w:shd w:val="clear" w:color="auto" w:fill="auto"/>
          </w:tcPr>
          <w:p w14:paraId="2B80C62F" w14:textId="77777777" w:rsidR="00650A90" w:rsidRPr="008E7986" w:rsidRDefault="00650A90" w:rsidP="008E7986">
            <w:pPr>
              <w:pStyle w:val="TableText"/>
              <w:jc w:val="center"/>
            </w:pPr>
            <w:r w:rsidRPr="008E7986">
              <w:t>2.994877</w:t>
            </w:r>
          </w:p>
        </w:tc>
      </w:tr>
      <w:tr w:rsidR="00650A90" w:rsidRPr="00627692" w14:paraId="6CD40F6D" w14:textId="77777777" w:rsidTr="00487E20">
        <w:trPr>
          <w:cantSplit/>
        </w:trPr>
        <w:tc>
          <w:tcPr>
            <w:tcW w:w="2722" w:type="pct"/>
            <w:shd w:val="clear" w:color="auto" w:fill="auto"/>
          </w:tcPr>
          <w:p w14:paraId="59A7EB63" w14:textId="15059660" w:rsidR="00650A90" w:rsidRPr="008E7986" w:rsidRDefault="00650A90" w:rsidP="008E7986">
            <w:pPr>
              <w:pStyle w:val="TableText"/>
              <w:rPr>
                <w:bCs/>
              </w:rPr>
            </w:pPr>
            <w:r w:rsidRPr="008E7986">
              <w:t>Ex-smok</w:t>
            </w:r>
            <w:r w:rsidR="007C77F7">
              <w:t>ing</w:t>
            </w:r>
          </w:p>
        </w:tc>
        <w:tc>
          <w:tcPr>
            <w:tcW w:w="1138" w:type="pct"/>
            <w:shd w:val="clear" w:color="auto" w:fill="auto"/>
          </w:tcPr>
          <w:p w14:paraId="19FE0B82" w14:textId="77777777" w:rsidR="00650A90" w:rsidRPr="008E7986" w:rsidRDefault="00650A90" w:rsidP="008E7986">
            <w:pPr>
              <w:pStyle w:val="TableText"/>
              <w:tabs>
                <w:tab w:val="decimal" w:pos="652"/>
              </w:tabs>
            </w:pPr>
            <w:r w:rsidRPr="008E7986">
              <w:t>0.1444243</w:t>
            </w:r>
          </w:p>
        </w:tc>
        <w:tc>
          <w:tcPr>
            <w:tcW w:w="1140" w:type="pct"/>
            <w:shd w:val="clear" w:color="auto" w:fill="auto"/>
          </w:tcPr>
          <w:p w14:paraId="420C4C33" w14:textId="77777777" w:rsidR="00650A90" w:rsidRPr="008E7986" w:rsidRDefault="00650A90" w:rsidP="008E7986">
            <w:pPr>
              <w:pStyle w:val="TableText"/>
              <w:jc w:val="center"/>
            </w:pPr>
          </w:p>
        </w:tc>
      </w:tr>
      <w:tr w:rsidR="00650A90" w:rsidRPr="00627692" w14:paraId="531ED391" w14:textId="77777777" w:rsidTr="00487E20">
        <w:trPr>
          <w:cantSplit/>
        </w:trPr>
        <w:tc>
          <w:tcPr>
            <w:tcW w:w="2722" w:type="pct"/>
            <w:shd w:val="clear" w:color="auto" w:fill="auto"/>
          </w:tcPr>
          <w:p w14:paraId="1E60ACB4" w14:textId="126697CD" w:rsidR="00650A90" w:rsidRPr="008E7986" w:rsidRDefault="00650A90" w:rsidP="008E7986">
            <w:pPr>
              <w:pStyle w:val="TableText"/>
              <w:rPr>
                <w:bCs/>
              </w:rPr>
            </w:pPr>
            <w:r w:rsidRPr="008E7986">
              <w:t>Current</w:t>
            </w:r>
            <w:r w:rsidR="007C77F7">
              <w:t>ly</w:t>
            </w:r>
            <w:r w:rsidRPr="008E7986">
              <w:t xml:space="preserve"> smok</w:t>
            </w:r>
            <w:r w:rsidR="007C77F7">
              <w:t>ing</w:t>
            </w:r>
          </w:p>
        </w:tc>
        <w:tc>
          <w:tcPr>
            <w:tcW w:w="1138" w:type="pct"/>
            <w:shd w:val="clear" w:color="auto" w:fill="auto"/>
          </w:tcPr>
          <w:p w14:paraId="7DCE42A3" w14:textId="77777777" w:rsidR="00650A90" w:rsidRPr="008E7986" w:rsidRDefault="00650A90" w:rsidP="008E7986">
            <w:pPr>
              <w:pStyle w:val="TableText"/>
              <w:tabs>
                <w:tab w:val="decimal" w:pos="652"/>
              </w:tabs>
            </w:pPr>
            <w:r w:rsidRPr="008E7986">
              <w:t>0.6768396</w:t>
            </w:r>
          </w:p>
        </w:tc>
        <w:tc>
          <w:tcPr>
            <w:tcW w:w="1140" w:type="pct"/>
            <w:shd w:val="clear" w:color="auto" w:fill="auto"/>
          </w:tcPr>
          <w:p w14:paraId="6CDF71D4" w14:textId="77777777" w:rsidR="00650A90" w:rsidRPr="008E7986" w:rsidRDefault="00650A90" w:rsidP="008E7986">
            <w:pPr>
              <w:pStyle w:val="TableText"/>
              <w:jc w:val="center"/>
            </w:pPr>
          </w:p>
        </w:tc>
      </w:tr>
      <w:tr w:rsidR="00650A90" w:rsidRPr="00627692" w14:paraId="00ADEB44" w14:textId="77777777" w:rsidTr="00487E20">
        <w:trPr>
          <w:cantSplit/>
        </w:trPr>
        <w:tc>
          <w:tcPr>
            <w:tcW w:w="2722" w:type="pct"/>
            <w:shd w:val="clear" w:color="auto" w:fill="auto"/>
          </w:tcPr>
          <w:p w14:paraId="60A73DC3" w14:textId="77777777" w:rsidR="00650A90" w:rsidRPr="008E7986" w:rsidRDefault="00650A90" w:rsidP="008E7986">
            <w:pPr>
              <w:pStyle w:val="TableText"/>
              <w:rPr>
                <w:bCs/>
              </w:rPr>
            </w:pPr>
            <w:r w:rsidRPr="008E7986">
              <w:t>Family history of premature CVD</w:t>
            </w:r>
          </w:p>
        </w:tc>
        <w:tc>
          <w:tcPr>
            <w:tcW w:w="1138" w:type="pct"/>
            <w:shd w:val="clear" w:color="auto" w:fill="auto"/>
          </w:tcPr>
          <w:p w14:paraId="0AF944C0" w14:textId="77777777" w:rsidR="00650A90" w:rsidRPr="008E7986" w:rsidRDefault="00650A90" w:rsidP="008E7986">
            <w:pPr>
              <w:pStyle w:val="TableText"/>
              <w:tabs>
                <w:tab w:val="decimal" w:pos="652"/>
              </w:tabs>
            </w:pPr>
            <w:r w:rsidRPr="008E7986">
              <w:t>0.0645588</w:t>
            </w:r>
          </w:p>
        </w:tc>
        <w:tc>
          <w:tcPr>
            <w:tcW w:w="1140" w:type="pct"/>
            <w:shd w:val="clear" w:color="auto" w:fill="auto"/>
          </w:tcPr>
          <w:p w14:paraId="17CF243D" w14:textId="77777777" w:rsidR="00650A90" w:rsidRPr="008E7986" w:rsidRDefault="00650A90" w:rsidP="008E7986">
            <w:pPr>
              <w:pStyle w:val="TableText"/>
              <w:jc w:val="center"/>
            </w:pPr>
          </w:p>
        </w:tc>
      </w:tr>
      <w:tr w:rsidR="00650A90" w:rsidRPr="00627692" w14:paraId="16954B14" w14:textId="77777777" w:rsidTr="00487E20">
        <w:trPr>
          <w:cantSplit/>
        </w:trPr>
        <w:tc>
          <w:tcPr>
            <w:tcW w:w="2722" w:type="pct"/>
            <w:shd w:val="clear" w:color="auto" w:fill="auto"/>
          </w:tcPr>
          <w:p w14:paraId="2B273E89" w14:textId="77777777" w:rsidR="00650A90" w:rsidRPr="008E7986" w:rsidRDefault="00650A90" w:rsidP="008E7986">
            <w:pPr>
              <w:pStyle w:val="TableText"/>
              <w:rPr>
                <w:bCs/>
              </w:rPr>
            </w:pPr>
            <w:r w:rsidRPr="008E7986">
              <w:t>Atrial fibrillation</w:t>
            </w:r>
          </w:p>
        </w:tc>
        <w:tc>
          <w:tcPr>
            <w:tcW w:w="1138" w:type="pct"/>
            <w:shd w:val="clear" w:color="auto" w:fill="auto"/>
          </w:tcPr>
          <w:p w14:paraId="1B96D568" w14:textId="77777777" w:rsidR="00650A90" w:rsidRPr="008E7986" w:rsidRDefault="00650A90" w:rsidP="008E7986">
            <w:pPr>
              <w:pStyle w:val="TableText"/>
              <w:tabs>
                <w:tab w:val="decimal" w:pos="652"/>
              </w:tabs>
            </w:pPr>
            <w:r w:rsidRPr="008E7986">
              <w:t>0.9293084</w:t>
            </w:r>
          </w:p>
        </w:tc>
        <w:tc>
          <w:tcPr>
            <w:tcW w:w="1140" w:type="pct"/>
            <w:shd w:val="clear" w:color="auto" w:fill="auto"/>
          </w:tcPr>
          <w:p w14:paraId="0485A846" w14:textId="77777777" w:rsidR="00650A90" w:rsidRPr="008E7986" w:rsidRDefault="00650A90" w:rsidP="008E7986">
            <w:pPr>
              <w:pStyle w:val="TableText"/>
              <w:jc w:val="center"/>
            </w:pPr>
          </w:p>
        </w:tc>
      </w:tr>
      <w:tr w:rsidR="00650A90" w:rsidRPr="00627692" w14:paraId="326A8F06" w14:textId="77777777" w:rsidTr="00487E20">
        <w:trPr>
          <w:cantSplit/>
        </w:trPr>
        <w:tc>
          <w:tcPr>
            <w:tcW w:w="2722" w:type="pct"/>
            <w:shd w:val="clear" w:color="auto" w:fill="auto"/>
          </w:tcPr>
          <w:p w14:paraId="786DFE97" w14:textId="77777777" w:rsidR="00650A90" w:rsidRPr="008E7986" w:rsidRDefault="00650A90" w:rsidP="008E7986">
            <w:pPr>
              <w:pStyle w:val="TableText"/>
              <w:rPr>
                <w:bCs/>
              </w:rPr>
            </w:pPr>
            <w:r w:rsidRPr="008E7986">
              <w:t>Diabetes</w:t>
            </w:r>
          </w:p>
        </w:tc>
        <w:tc>
          <w:tcPr>
            <w:tcW w:w="1138" w:type="pct"/>
            <w:shd w:val="clear" w:color="auto" w:fill="auto"/>
          </w:tcPr>
          <w:p w14:paraId="2ECCD184" w14:textId="77777777" w:rsidR="00650A90" w:rsidRPr="008E7986" w:rsidRDefault="00650A90" w:rsidP="008E7986">
            <w:pPr>
              <w:pStyle w:val="TableText"/>
              <w:tabs>
                <w:tab w:val="decimal" w:pos="652"/>
              </w:tabs>
            </w:pPr>
            <w:r w:rsidRPr="008E7986">
              <w:t>0.4967444</w:t>
            </w:r>
          </w:p>
        </w:tc>
        <w:tc>
          <w:tcPr>
            <w:tcW w:w="1140" w:type="pct"/>
            <w:shd w:val="clear" w:color="auto" w:fill="auto"/>
          </w:tcPr>
          <w:p w14:paraId="028E9158" w14:textId="77777777" w:rsidR="00650A90" w:rsidRPr="008E7986" w:rsidRDefault="00650A90" w:rsidP="008E7986">
            <w:pPr>
              <w:pStyle w:val="TableText"/>
              <w:jc w:val="center"/>
            </w:pPr>
          </w:p>
        </w:tc>
      </w:tr>
      <w:tr w:rsidR="00650A90" w:rsidRPr="00627692" w14:paraId="61331A30" w14:textId="77777777" w:rsidTr="00487E20">
        <w:trPr>
          <w:cantSplit/>
        </w:trPr>
        <w:tc>
          <w:tcPr>
            <w:tcW w:w="2722" w:type="pct"/>
            <w:shd w:val="clear" w:color="auto" w:fill="auto"/>
          </w:tcPr>
          <w:p w14:paraId="3CFD998C" w14:textId="27B55F31" w:rsidR="00650A90" w:rsidRPr="008E7986" w:rsidRDefault="00650A90" w:rsidP="00954F5C">
            <w:pPr>
              <w:pStyle w:val="TableText"/>
              <w:rPr>
                <w:bCs/>
              </w:rPr>
            </w:pPr>
            <w:r w:rsidRPr="008E7986">
              <w:t>Systolic BP</w:t>
            </w:r>
            <w:r w:rsidR="00462BDC">
              <w:t xml:space="preserve"> </w:t>
            </w:r>
            <w:r w:rsidR="00AB156F">
              <w:t>(centred)</w:t>
            </w:r>
          </w:p>
        </w:tc>
        <w:tc>
          <w:tcPr>
            <w:tcW w:w="1138" w:type="pct"/>
            <w:shd w:val="clear" w:color="auto" w:fill="auto"/>
          </w:tcPr>
          <w:p w14:paraId="67F85B76" w14:textId="77777777" w:rsidR="00650A90" w:rsidRPr="008E7986" w:rsidRDefault="00650A90" w:rsidP="008E7986">
            <w:pPr>
              <w:pStyle w:val="TableText"/>
              <w:tabs>
                <w:tab w:val="decimal" w:pos="652"/>
              </w:tabs>
            </w:pPr>
            <w:r w:rsidRPr="008E7986">
              <w:t>0.0176523</w:t>
            </w:r>
          </w:p>
        </w:tc>
        <w:tc>
          <w:tcPr>
            <w:tcW w:w="1140" w:type="pct"/>
            <w:shd w:val="clear" w:color="auto" w:fill="auto"/>
          </w:tcPr>
          <w:p w14:paraId="3DD9A246" w14:textId="77777777" w:rsidR="00650A90" w:rsidRPr="008E7986" w:rsidRDefault="00650A90" w:rsidP="008E7986">
            <w:pPr>
              <w:pStyle w:val="TableText"/>
              <w:jc w:val="center"/>
            </w:pPr>
            <w:r w:rsidRPr="008E7986">
              <w:t>128.6736</w:t>
            </w:r>
          </w:p>
        </w:tc>
      </w:tr>
      <w:tr w:rsidR="00650A90" w:rsidRPr="00627692" w14:paraId="5D8F38D7" w14:textId="77777777" w:rsidTr="00487E20">
        <w:trPr>
          <w:cantSplit/>
        </w:trPr>
        <w:tc>
          <w:tcPr>
            <w:tcW w:w="2722" w:type="pct"/>
            <w:shd w:val="clear" w:color="auto" w:fill="auto"/>
          </w:tcPr>
          <w:p w14:paraId="00809D93" w14:textId="04DA4C6C" w:rsidR="00650A90" w:rsidRPr="008E7986" w:rsidRDefault="00650A90" w:rsidP="008E7986">
            <w:pPr>
              <w:pStyle w:val="TableText"/>
              <w:rPr>
                <w:bCs/>
              </w:rPr>
            </w:pPr>
            <w:proofErr w:type="gramStart"/>
            <w:r w:rsidRPr="008E7986">
              <w:t>TC</w:t>
            </w:r>
            <w:r w:rsidR="007F2807">
              <w:t>:</w:t>
            </w:r>
            <w:r w:rsidRPr="008E7986">
              <w:t>HDL</w:t>
            </w:r>
            <w:proofErr w:type="gramEnd"/>
            <w:r w:rsidR="007F2807">
              <w:t>-C</w:t>
            </w:r>
            <w:r w:rsidR="00AB156F">
              <w:t xml:space="preserve"> (centred)</w:t>
            </w:r>
          </w:p>
        </w:tc>
        <w:tc>
          <w:tcPr>
            <w:tcW w:w="1138" w:type="pct"/>
            <w:shd w:val="clear" w:color="auto" w:fill="auto"/>
          </w:tcPr>
          <w:p w14:paraId="6129C6B9" w14:textId="77777777" w:rsidR="00650A90" w:rsidRPr="008E7986" w:rsidRDefault="00650A90" w:rsidP="008E7986">
            <w:pPr>
              <w:pStyle w:val="TableText"/>
              <w:tabs>
                <w:tab w:val="decimal" w:pos="652"/>
              </w:tabs>
            </w:pPr>
            <w:r w:rsidRPr="008E7986">
              <w:t>0.1361335</w:t>
            </w:r>
          </w:p>
        </w:tc>
        <w:tc>
          <w:tcPr>
            <w:tcW w:w="1140" w:type="pct"/>
            <w:shd w:val="clear" w:color="auto" w:fill="auto"/>
          </w:tcPr>
          <w:p w14:paraId="1AB99B80" w14:textId="77777777" w:rsidR="00650A90" w:rsidRPr="008E7986" w:rsidRDefault="00650A90" w:rsidP="008E7986">
            <w:pPr>
              <w:pStyle w:val="TableText"/>
              <w:jc w:val="center"/>
            </w:pPr>
            <w:r w:rsidRPr="008E7986">
              <w:t>3.715383</w:t>
            </w:r>
          </w:p>
        </w:tc>
      </w:tr>
      <w:tr w:rsidR="00650A90" w:rsidRPr="00627692" w14:paraId="6328368B" w14:textId="77777777" w:rsidTr="00487E20">
        <w:trPr>
          <w:cantSplit/>
        </w:trPr>
        <w:tc>
          <w:tcPr>
            <w:tcW w:w="2722" w:type="pct"/>
            <w:shd w:val="clear" w:color="auto" w:fill="auto"/>
          </w:tcPr>
          <w:p w14:paraId="5A848AE9" w14:textId="09417446" w:rsidR="00650A90" w:rsidRPr="008E7986" w:rsidRDefault="00650A90" w:rsidP="008E7986">
            <w:pPr>
              <w:pStyle w:val="TableText"/>
              <w:rPr>
                <w:bCs/>
              </w:rPr>
            </w:pPr>
            <w:r w:rsidRPr="008E7986">
              <w:lastRenderedPageBreak/>
              <w:t>BMI</w:t>
            </w:r>
            <w:r w:rsidR="00790ED8">
              <w:t>:</w:t>
            </w:r>
          </w:p>
        </w:tc>
        <w:tc>
          <w:tcPr>
            <w:tcW w:w="1138" w:type="pct"/>
            <w:shd w:val="clear" w:color="auto" w:fill="auto"/>
          </w:tcPr>
          <w:p w14:paraId="29D201AF" w14:textId="77777777" w:rsidR="00650A90" w:rsidRPr="008E7986" w:rsidRDefault="00650A90" w:rsidP="008E7986">
            <w:pPr>
              <w:pStyle w:val="TableText"/>
              <w:tabs>
                <w:tab w:val="decimal" w:pos="652"/>
              </w:tabs>
            </w:pPr>
          </w:p>
        </w:tc>
        <w:tc>
          <w:tcPr>
            <w:tcW w:w="1140" w:type="pct"/>
            <w:shd w:val="clear" w:color="auto" w:fill="auto"/>
          </w:tcPr>
          <w:p w14:paraId="789765C5" w14:textId="77777777" w:rsidR="00650A90" w:rsidRPr="008E7986" w:rsidRDefault="00650A90" w:rsidP="008E7986">
            <w:pPr>
              <w:pStyle w:val="TableText"/>
              <w:jc w:val="center"/>
            </w:pPr>
          </w:p>
        </w:tc>
      </w:tr>
      <w:tr w:rsidR="00650A90" w:rsidRPr="00627692" w14:paraId="616FC26C" w14:textId="77777777" w:rsidTr="00487E20">
        <w:trPr>
          <w:cantSplit/>
        </w:trPr>
        <w:tc>
          <w:tcPr>
            <w:tcW w:w="2722" w:type="pct"/>
            <w:shd w:val="clear" w:color="auto" w:fill="auto"/>
          </w:tcPr>
          <w:p w14:paraId="18C155A1" w14:textId="77777777" w:rsidR="00650A90" w:rsidRPr="008E7986" w:rsidRDefault="00650A90" w:rsidP="00487E20">
            <w:pPr>
              <w:pStyle w:val="TableText"/>
              <w:numPr>
                <w:ilvl w:val="0"/>
                <w:numId w:val="36"/>
              </w:numPr>
            </w:pPr>
            <w:r w:rsidRPr="008E7986">
              <w:t>Normal (18.5–24.9)</w:t>
            </w:r>
          </w:p>
        </w:tc>
        <w:tc>
          <w:tcPr>
            <w:tcW w:w="1138" w:type="pct"/>
            <w:shd w:val="clear" w:color="auto" w:fill="auto"/>
          </w:tcPr>
          <w:p w14:paraId="4BFEC0E1" w14:textId="04D803D6" w:rsidR="00650A90" w:rsidRPr="008E7986" w:rsidRDefault="00650A90" w:rsidP="00AC75FA">
            <w:pPr>
              <w:pStyle w:val="TableText"/>
              <w:jc w:val="center"/>
            </w:pPr>
          </w:p>
        </w:tc>
        <w:tc>
          <w:tcPr>
            <w:tcW w:w="1140" w:type="pct"/>
            <w:shd w:val="clear" w:color="auto" w:fill="auto"/>
          </w:tcPr>
          <w:p w14:paraId="073A44D8" w14:textId="77777777" w:rsidR="00650A90" w:rsidRPr="008E7986" w:rsidRDefault="00650A90" w:rsidP="008E7986">
            <w:pPr>
              <w:pStyle w:val="TableText"/>
              <w:jc w:val="center"/>
            </w:pPr>
          </w:p>
        </w:tc>
      </w:tr>
      <w:tr w:rsidR="00650A90" w:rsidRPr="00627692" w14:paraId="54F1BCED" w14:textId="77777777" w:rsidTr="00487E20">
        <w:trPr>
          <w:cantSplit/>
        </w:trPr>
        <w:tc>
          <w:tcPr>
            <w:tcW w:w="2722" w:type="pct"/>
            <w:shd w:val="clear" w:color="auto" w:fill="auto"/>
          </w:tcPr>
          <w:p w14:paraId="17828CAB" w14:textId="4A9F9BD6" w:rsidR="00650A90" w:rsidRPr="008E7986" w:rsidRDefault="00650A90" w:rsidP="00487E20">
            <w:pPr>
              <w:pStyle w:val="TableText"/>
              <w:numPr>
                <w:ilvl w:val="0"/>
                <w:numId w:val="36"/>
              </w:numPr>
            </w:pPr>
            <w:r w:rsidRPr="008E7986">
              <w:t>Underweight (&lt;18.5)</w:t>
            </w:r>
          </w:p>
        </w:tc>
        <w:tc>
          <w:tcPr>
            <w:tcW w:w="1138" w:type="pct"/>
            <w:shd w:val="clear" w:color="auto" w:fill="auto"/>
          </w:tcPr>
          <w:p w14:paraId="065B3106" w14:textId="77777777" w:rsidR="00650A90" w:rsidRPr="008E7986" w:rsidRDefault="00650A90" w:rsidP="008E7986">
            <w:pPr>
              <w:pStyle w:val="TableText"/>
              <w:tabs>
                <w:tab w:val="decimal" w:pos="652"/>
              </w:tabs>
            </w:pPr>
            <w:r w:rsidRPr="008E7986">
              <w:t>0.6277962</w:t>
            </w:r>
          </w:p>
        </w:tc>
        <w:tc>
          <w:tcPr>
            <w:tcW w:w="1140" w:type="pct"/>
            <w:shd w:val="clear" w:color="auto" w:fill="auto"/>
          </w:tcPr>
          <w:p w14:paraId="73746FCB" w14:textId="77777777" w:rsidR="00650A90" w:rsidRPr="008E7986" w:rsidRDefault="00650A90" w:rsidP="008E7986">
            <w:pPr>
              <w:pStyle w:val="TableText"/>
              <w:jc w:val="center"/>
            </w:pPr>
          </w:p>
        </w:tc>
      </w:tr>
      <w:tr w:rsidR="00650A90" w:rsidRPr="00627692" w14:paraId="2A6E4120" w14:textId="77777777" w:rsidTr="00487E20">
        <w:trPr>
          <w:cantSplit/>
        </w:trPr>
        <w:tc>
          <w:tcPr>
            <w:tcW w:w="2722" w:type="pct"/>
            <w:shd w:val="clear" w:color="auto" w:fill="auto"/>
          </w:tcPr>
          <w:p w14:paraId="58E9A571" w14:textId="77777777" w:rsidR="00650A90" w:rsidRPr="008E7986" w:rsidRDefault="00650A90" w:rsidP="00487E20">
            <w:pPr>
              <w:pStyle w:val="TableText"/>
              <w:numPr>
                <w:ilvl w:val="0"/>
                <w:numId w:val="36"/>
              </w:numPr>
            </w:pPr>
            <w:r w:rsidRPr="008E7986">
              <w:t>Overweight (25.0–29.9)</w:t>
            </w:r>
          </w:p>
        </w:tc>
        <w:tc>
          <w:tcPr>
            <w:tcW w:w="1138" w:type="pct"/>
            <w:shd w:val="clear" w:color="auto" w:fill="auto"/>
          </w:tcPr>
          <w:p w14:paraId="167CB59F" w14:textId="77777777" w:rsidR="00650A90" w:rsidRPr="008E7986" w:rsidRDefault="00650A90" w:rsidP="008E7986">
            <w:pPr>
              <w:pStyle w:val="TableText"/>
              <w:tabs>
                <w:tab w:val="decimal" w:pos="652"/>
              </w:tabs>
            </w:pPr>
            <w:r w:rsidRPr="008E7986">
              <w:t>0.0018215</w:t>
            </w:r>
          </w:p>
        </w:tc>
        <w:tc>
          <w:tcPr>
            <w:tcW w:w="1140" w:type="pct"/>
            <w:shd w:val="clear" w:color="auto" w:fill="auto"/>
          </w:tcPr>
          <w:p w14:paraId="495058DF" w14:textId="77777777" w:rsidR="00650A90" w:rsidRPr="008E7986" w:rsidRDefault="00650A90" w:rsidP="008E7986">
            <w:pPr>
              <w:pStyle w:val="TableText"/>
              <w:jc w:val="center"/>
            </w:pPr>
          </w:p>
        </w:tc>
      </w:tr>
      <w:tr w:rsidR="00650A90" w:rsidRPr="00627692" w14:paraId="10DFA6B6" w14:textId="77777777" w:rsidTr="00487E20">
        <w:trPr>
          <w:cantSplit/>
        </w:trPr>
        <w:tc>
          <w:tcPr>
            <w:tcW w:w="2722" w:type="pct"/>
            <w:shd w:val="clear" w:color="auto" w:fill="auto"/>
          </w:tcPr>
          <w:p w14:paraId="62C5217E" w14:textId="77777777" w:rsidR="00650A90" w:rsidRPr="008E7986" w:rsidRDefault="00650A90" w:rsidP="00487E20">
            <w:pPr>
              <w:pStyle w:val="TableText"/>
              <w:numPr>
                <w:ilvl w:val="0"/>
                <w:numId w:val="36"/>
              </w:numPr>
            </w:pPr>
            <w:r w:rsidRPr="008E7986">
              <w:t>Obesity class 1 (30.0–34.9)</w:t>
            </w:r>
          </w:p>
        </w:tc>
        <w:tc>
          <w:tcPr>
            <w:tcW w:w="1138" w:type="pct"/>
            <w:shd w:val="clear" w:color="auto" w:fill="auto"/>
          </w:tcPr>
          <w:p w14:paraId="3FA2D9CE" w14:textId="77777777" w:rsidR="00650A90" w:rsidRPr="008E7986" w:rsidRDefault="00650A90" w:rsidP="008E7986">
            <w:pPr>
              <w:pStyle w:val="TableText"/>
              <w:tabs>
                <w:tab w:val="decimal" w:pos="652"/>
              </w:tabs>
            </w:pPr>
            <w:r w:rsidRPr="008E7986">
              <w:t>-0.0169324</w:t>
            </w:r>
          </w:p>
        </w:tc>
        <w:tc>
          <w:tcPr>
            <w:tcW w:w="1140" w:type="pct"/>
            <w:shd w:val="clear" w:color="auto" w:fill="auto"/>
          </w:tcPr>
          <w:p w14:paraId="658A976A" w14:textId="77777777" w:rsidR="00650A90" w:rsidRPr="008E7986" w:rsidRDefault="00650A90" w:rsidP="008E7986">
            <w:pPr>
              <w:pStyle w:val="TableText"/>
              <w:jc w:val="center"/>
            </w:pPr>
          </w:p>
        </w:tc>
      </w:tr>
      <w:tr w:rsidR="00650A90" w:rsidRPr="00627692" w14:paraId="1B302401" w14:textId="77777777" w:rsidTr="00487E20">
        <w:trPr>
          <w:cantSplit/>
        </w:trPr>
        <w:tc>
          <w:tcPr>
            <w:tcW w:w="2722" w:type="pct"/>
            <w:shd w:val="clear" w:color="auto" w:fill="auto"/>
          </w:tcPr>
          <w:p w14:paraId="6F0B487D" w14:textId="77777777" w:rsidR="00650A90" w:rsidRPr="008E7986" w:rsidRDefault="00650A90" w:rsidP="00487E20">
            <w:pPr>
              <w:pStyle w:val="TableText"/>
              <w:numPr>
                <w:ilvl w:val="0"/>
                <w:numId w:val="36"/>
              </w:numPr>
            </w:pPr>
            <w:r w:rsidRPr="008E7986">
              <w:t>Obesity class 2 (35.0–39.9)</w:t>
            </w:r>
          </w:p>
        </w:tc>
        <w:tc>
          <w:tcPr>
            <w:tcW w:w="1138" w:type="pct"/>
            <w:shd w:val="clear" w:color="auto" w:fill="auto"/>
          </w:tcPr>
          <w:p w14:paraId="1EE8E257" w14:textId="77777777" w:rsidR="00650A90" w:rsidRPr="008E7986" w:rsidRDefault="00650A90" w:rsidP="008E7986">
            <w:pPr>
              <w:pStyle w:val="TableText"/>
              <w:tabs>
                <w:tab w:val="decimal" w:pos="652"/>
              </w:tabs>
            </w:pPr>
            <w:r w:rsidRPr="008E7986">
              <w:t>0.0343351</w:t>
            </w:r>
          </w:p>
        </w:tc>
        <w:tc>
          <w:tcPr>
            <w:tcW w:w="1140" w:type="pct"/>
            <w:shd w:val="clear" w:color="auto" w:fill="auto"/>
          </w:tcPr>
          <w:p w14:paraId="673FF1E7" w14:textId="77777777" w:rsidR="00650A90" w:rsidRPr="008E7986" w:rsidRDefault="00650A90" w:rsidP="008E7986">
            <w:pPr>
              <w:pStyle w:val="TableText"/>
              <w:jc w:val="center"/>
            </w:pPr>
          </w:p>
        </w:tc>
      </w:tr>
      <w:tr w:rsidR="00650A90" w:rsidRPr="00627692" w14:paraId="19B10FF4" w14:textId="77777777" w:rsidTr="00487E20">
        <w:trPr>
          <w:cantSplit/>
        </w:trPr>
        <w:tc>
          <w:tcPr>
            <w:tcW w:w="2722" w:type="pct"/>
            <w:shd w:val="clear" w:color="auto" w:fill="auto"/>
          </w:tcPr>
          <w:p w14:paraId="20E20239" w14:textId="77777777" w:rsidR="00650A90" w:rsidRPr="008E7986" w:rsidRDefault="00650A90" w:rsidP="00487E20">
            <w:pPr>
              <w:pStyle w:val="TableText"/>
              <w:numPr>
                <w:ilvl w:val="0"/>
                <w:numId w:val="36"/>
              </w:numPr>
            </w:pPr>
            <w:r w:rsidRPr="008E7986">
              <w:t>Obesity class 3 (40.0+)</w:t>
            </w:r>
          </w:p>
        </w:tc>
        <w:tc>
          <w:tcPr>
            <w:tcW w:w="1138" w:type="pct"/>
            <w:shd w:val="clear" w:color="auto" w:fill="auto"/>
          </w:tcPr>
          <w:p w14:paraId="197BFF9A" w14:textId="77777777" w:rsidR="00650A90" w:rsidRPr="008E7986" w:rsidRDefault="00650A90" w:rsidP="008E7986">
            <w:pPr>
              <w:pStyle w:val="TableText"/>
              <w:tabs>
                <w:tab w:val="decimal" w:pos="652"/>
              </w:tabs>
            </w:pPr>
            <w:r w:rsidRPr="008E7986">
              <w:t>0.3196519</w:t>
            </w:r>
          </w:p>
        </w:tc>
        <w:tc>
          <w:tcPr>
            <w:tcW w:w="1140" w:type="pct"/>
            <w:shd w:val="clear" w:color="auto" w:fill="auto"/>
          </w:tcPr>
          <w:p w14:paraId="450987F1" w14:textId="77777777" w:rsidR="00650A90" w:rsidRPr="008E7986" w:rsidRDefault="00650A90" w:rsidP="008E7986">
            <w:pPr>
              <w:pStyle w:val="TableText"/>
              <w:jc w:val="center"/>
            </w:pPr>
          </w:p>
        </w:tc>
      </w:tr>
      <w:tr w:rsidR="00650A90" w:rsidRPr="00627692" w14:paraId="6005C420" w14:textId="77777777" w:rsidTr="00487E20">
        <w:trPr>
          <w:cantSplit/>
        </w:trPr>
        <w:tc>
          <w:tcPr>
            <w:tcW w:w="2722" w:type="pct"/>
            <w:shd w:val="clear" w:color="auto" w:fill="auto"/>
          </w:tcPr>
          <w:p w14:paraId="38BDD098" w14:textId="77777777" w:rsidR="00650A90" w:rsidRPr="008E7986" w:rsidRDefault="00650A90" w:rsidP="00487E20">
            <w:pPr>
              <w:pStyle w:val="TableText"/>
              <w:numPr>
                <w:ilvl w:val="0"/>
                <w:numId w:val="36"/>
              </w:numPr>
            </w:pPr>
            <w:r w:rsidRPr="008E7986">
              <w:t>BMI unknown</w:t>
            </w:r>
          </w:p>
        </w:tc>
        <w:tc>
          <w:tcPr>
            <w:tcW w:w="1138" w:type="pct"/>
            <w:shd w:val="clear" w:color="auto" w:fill="auto"/>
          </w:tcPr>
          <w:p w14:paraId="64F81F99" w14:textId="77777777" w:rsidR="00650A90" w:rsidRPr="008E7986" w:rsidRDefault="00650A90" w:rsidP="008E7986">
            <w:pPr>
              <w:pStyle w:val="TableText"/>
              <w:tabs>
                <w:tab w:val="decimal" w:pos="652"/>
              </w:tabs>
            </w:pPr>
            <w:r w:rsidRPr="008E7986">
              <w:t>0.0213595</w:t>
            </w:r>
          </w:p>
        </w:tc>
        <w:tc>
          <w:tcPr>
            <w:tcW w:w="1140" w:type="pct"/>
            <w:shd w:val="clear" w:color="auto" w:fill="auto"/>
          </w:tcPr>
          <w:p w14:paraId="1DE11C42" w14:textId="77777777" w:rsidR="00650A90" w:rsidRPr="008E7986" w:rsidRDefault="00650A90" w:rsidP="008E7986">
            <w:pPr>
              <w:pStyle w:val="TableText"/>
              <w:jc w:val="center"/>
            </w:pPr>
          </w:p>
        </w:tc>
      </w:tr>
      <w:tr w:rsidR="00650A90" w:rsidRPr="00627692" w14:paraId="1AD41ECD" w14:textId="77777777" w:rsidTr="00487E20">
        <w:trPr>
          <w:cantSplit/>
        </w:trPr>
        <w:tc>
          <w:tcPr>
            <w:tcW w:w="2722" w:type="pct"/>
            <w:shd w:val="clear" w:color="auto" w:fill="auto"/>
          </w:tcPr>
          <w:p w14:paraId="5841E9A6" w14:textId="378652C2" w:rsidR="00650A90" w:rsidRPr="008E7986" w:rsidRDefault="00650A90" w:rsidP="008E7986">
            <w:pPr>
              <w:pStyle w:val="TableText"/>
              <w:rPr>
                <w:bCs/>
              </w:rPr>
            </w:pPr>
            <w:r w:rsidRPr="008E7986">
              <w:t>On BP-</w:t>
            </w:r>
            <w:r w:rsidR="008E7986">
              <w:t>lowering medication</w:t>
            </w:r>
          </w:p>
        </w:tc>
        <w:tc>
          <w:tcPr>
            <w:tcW w:w="1138" w:type="pct"/>
            <w:shd w:val="clear" w:color="auto" w:fill="auto"/>
          </w:tcPr>
          <w:p w14:paraId="73AD5FF7" w14:textId="77777777" w:rsidR="00650A90" w:rsidRPr="008E7986" w:rsidRDefault="00650A90" w:rsidP="008E7986">
            <w:pPr>
              <w:pStyle w:val="TableText"/>
              <w:tabs>
                <w:tab w:val="decimal" w:pos="652"/>
              </w:tabs>
            </w:pPr>
            <w:r w:rsidRPr="008E7986">
              <w:t>0.3487781</w:t>
            </w:r>
          </w:p>
        </w:tc>
        <w:tc>
          <w:tcPr>
            <w:tcW w:w="1140" w:type="pct"/>
            <w:shd w:val="clear" w:color="auto" w:fill="auto"/>
          </w:tcPr>
          <w:p w14:paraId="5D477EB0" w14:textId="77777777" w:rsidR="00650A90" w:rsidRPr="008E7986" w:rsidRDefault="00650A90" w:rsidP="008E7986">
            <w:pPr>
              <w:pStyle w:val="TableText"/>
              <w:jc w:val="center"/>
            </w:pPr>
          </w:p>
        </w:tc>
      </w:tr>
      <w:tr w:rsidR="00650A90" w:rsidRPr="00627692" w14:paraId="0FCD7BEE" w14:textId="77777777" w:rsidTr="00487E20">
        <w:trPr>
          <w:cantSplit/>
        </w:trPr>
        <w:tc>
          <w:tcPr>
            <w:tcW w:w="2722" w:type="pct"/>
            <w:shd w:val="clear" w:color="auto" w:fill="auto"/>
          </w:tcPr>
          <w:p w14:paraId="56AE516C" w14:textId="77777777" w:rsidR="00650A90" w:rsidRPr="008E7986" w:rsidRDefault="00650A90" w:rsidP="008E7986">
            <w:pPr>
              <w:pStyle w:val="TableText"/>
              <w:rPr>
                <w:bCs/>
              </w:rPr>
            </w:pPr>
            <w:r w:rsidRPr="008E7986">
              <w:t>On lipid-lowering medication</w:t>
            </w:r>
          </w:p>
        </w:tc>
        <w:tc>
          <w:tcPr>
            <w:tcW w:w="1138" w:type="pct"/>
            <w:shd w:val="clear" w:color="auto" w:fill="auto"/>
          </w:tcPr>
          <w:p w14:paraId="787689DA" w14:textId="77777777" w:rsidR="00650A90" w:rsidRPr="008E7986" w:rsidRDefault="00650A90" w:rsidP="008E7986">
            <w:pPr>
              <w:pStyle w:val="TableText"/>
              <w:tabs>
                <w:tab w:val="decimal" w:pos="652"/>
              </w:tabs>
            </w:pPr>
            <w:r w:rsidRPr="008E7986">
              <w:t>-0.0568366</w:t>
            </w:r>
          </w:p>
        </w:tc>
        <w:tc>
          <w:tcPr>
            <w:tcW w:w="1140" w:type="pct"/>
            <w:shd w:val="clear" w:color="auto" w:fill="auto"/>
          </w:tcPr>
          <w:p w14:paraId="7693666E" w14:textId="77777777" w:rsidR="00650A90" w:rsidRPr="008E7986" w:rsidRDefault="00650A90" w:rsidP="008E7986">
            <w:pPr>
              <w:pStyle w:val="TableText"/>
              <w:jc w:val="center"/>
            </w:pPr>
          </w:p>
        </w:tc>
      </w:tr>
      <w:tr w:rsidR="00650A90" w:rsidRPr="00627692" w14:paraId="1BE57915" w14:textId="77777777" w:rsidTr="00487E20">
        <w:trPr>
          <w:cantSplit/>
        </w:trPr>
        <w:tc>
          <w:tcPr>
            <w:tcW w:w="2722" w:type="pct"/>
            <w:shd w:val="clear" w:color="auto" w:fill="auto"/>
          </w:tcPr>
          <w:p w14:paraId="59181793" w14:textId="77777777" w:rsidR="00650A90" w:rsidRPr="008E7986" w:rsidRDefault="00650A90" w:rsidP="008E7986">
            <w:pPr>
              <w:pStyle w:val="TableText"/>
              <w:rPr>
                <w:bCs/>
              </w:rPr>
            </w:pPr>
            <w:r w:rsidRPr="008E7986">
              <w:t>On either antiplatelet or anticoagulant medications</w:t>
            </w:r>
          </w:p>
        </w:tc>
        <w:tc>
          <w:tcPr>
            <w:tcW w:w="1138" w:type="pct"/>
            <w:shd w:val="clear" w:color="auto" w:fill="auto"/>
          </w:tcPr>
          <w:p w14:paraId="0C4D5280" w14:textId="77777777" w:rsidR="00650A90" w:rsidRPr="008E7986" w:rsidRDefault="00650A90" w:rsidP="008E7986">
            <w:pPr>
              <w:pStyle w:val="TableText"/>
              <w:tabs>
                <w:tab w:val="decimal" w:pos="652"/>
              </w:tabs>
            </w:pPr>
            <w:r w:rsidRPr="008E7986">
              <w:t>0.1393368</w:t>
            </w:r>
          </w:p>
        </w:tc>
        <w:tc>
          <w:tcPr>
            <w:tcW w:w="1140" w:type="pct"/>
            <w:shd w:val="clear" w:color="auto" w:fill="auto"/>
          </w:tcPr>
          <w:p w14:paraId="0D62A1CA" w14:textId="77777777" w:rsidR="00650A90" w:rsidRPr="008E7986" w:rsidRDefault="00650A90" w:rsidP="008E7986">
            <w:pPr>
              <w:pStyle w:val="TableText"/>
              <w:jc w:val="center"/>
            </w:pPr>
          </w:p>
        </w:tc>
      </w:tr>
      <w:tr w:rsidR="00650A90" w:rsidRPr="00627692" w14:paraId="1F99382D" w14:textId="77777777" w:rsidTr="00487E20">
        <w:trPr>
          <w:cantSplit/>
        </w:trPr>
        <w:tc>
          <w:tcPr>
            <w:tcW w:w="2722" w:type="pct"/>
            <w:shd w:val="clear" w:color="auto" w:fill="auto"/>
          </w:tcPr>
          <w:p w14:paraId="4D62E508" w14:textId="6E17DAF1" w:rsidR="00650A90" w:rsidRPr="008E7986" w:rsidRDefault="00650A90" w:rsidP="008E7986">
            <w:pPr>
              <w:pStyle w:val="TableText"/>
              <w:rPr>
                <w:bCs/>
              </w:rPr>
            </w:pPr>
            <w:r w:rsidRPr="008E7986">
              <w:t xml:space="preserve">Age </w:t>
            </w:r>
            <w:r w:rsidR="00AB156F">
              <w:t xml:space="preserve">(centred) </w:t>
            </w:r>
            <w:r w:rsidRPr="008E7986">
              <w:t xml:space="preserve">x </w:t>
            </w:r>
            <w:r w:rsidR="00954F5C">
              <w:t>d</w:t>
            </w:r>
            <w:r w:rsidRPr="008E7986">
              <w:t>iab</w:t>
            </w:r>
            <w:r w:rsidR="00954F5C">
              <w:t>etes</w:t>
            </w:r>
          </w:p>
        </w:tc>
        <w:tc>
          <w:tcPr>
            <w:tcW w:w="1138" w:type="pct"/>
            <w:shd w:val="clear" w:color="auto" w:fill="auto"/>
          </w:tcPr>
          <w:p w14:paraId="65F94BE8" w14:textId="77777777" w:rsidR="00650A90" w:rsidRPr="008E7986" w:rsidRDefault="00650A90" w:rsidP="008E7986">
            <w:pPr>
              <w:pStyle w:val="TableText"/>
              <w:tabs>
                <w:tab w:val="decimal" w:pos="652"/>
              </w:tabs>
            </w:pPr>
            <w:r w:rsidRPr="008E7986">
              <w:t>-0.0189779</w:t>
            </w:r>
          </w:p>
        </w:tc>
        <w:tc>
          <w:tcPr>
            <w:tcW w:w="1140" w:type="pct"/>
            <w:shd w:val="clear" w:color="auto" w:fill="auto"/>
          </w:tcPr>
          <w:p w14:paraId="27E1E19E" w14:textId="77777777" w:rsidR="00650A90" w:rsidRPr="008E7986" w:rsidRDefault="00650A90" w:rsidP="008E7986">
            <w:pPr>
              <w:pStyle w:val="TableText"/>
              <w:jc w:val="center"/>
            </w:pPr>
          </w:p>
        </w:tc>
      </w:tr>
      <w:tr w:rsidR="00650A90" w:rsidRPr="00627692" w14:paraId="49E21D17" w14:textId="77777777" w:rsidTr="00487E20">
        <w:trPr>
          <w:cantSplit/>
        </w:trPr>
        <w:tc>
          <w:tcPr>
            <w:tcW w:w="2722" w:type="pct"/>
            <w:shd w:val="clear" w:color="auto" w:fill="auto"/>
          </w:tcPr>
          <w:p w14:paraId="540CDEA7" w14:textId="24374437" w:rsidR="00650A90" w:rsidRPr="008E7986" w:rsidRDefault="00650A90" w:rsidP="008E7986">
            <w:pPr>
              <w:pStyle w:val="TableText"/>
              <w:rPr>
                <w:bCs/>
              </w:rPr>
            </w:pPr>
            <w:r w:rsidRPr="008E7986">
              <w:t xml:space="preserve">Age </w:t>
            </w:r>
            <w:r w:rsidR="00AB156F">
              <w:t xml:space="preserve">(centred) </w:t>
            </w:r>
            <w:r w:rsidRPr="008E7986">
              <w:t xml:space="preserve">x </w:t>
            </w:r>
            <w:r w:rsidR="00954F5C">
              <w:t xml:space="preserve">systolic </w:t>
            </w:r>
            <w:r w:rsidRPr="008E7986">
              <w:t>BP</w:t>
            </w:r>
            <w:r w:rsidR="00AB156F">
              <w:t xml:space="preserve"> (centred)</w:t>
            </w:r>
          </w:p>
        </w:tc>
        <w:tc>
          <w:tcPr>
            <w:tcW w:w="1138" w:type="pct"/>
            <w:shd w:val="clear" w:color="auto" w:fill="auto"/>
          </w:tcPr>
          <w:p w14:paraId="0CC69160" w14:textId="77777777" w:rsidR="00650A90" w:rsidRPr="008E7986" w:rsidRDefault="00650A90" w:rsidP="008E7986">
            <w:pPr>
              <w:pStyle w:val="TableText"/>
              <w:tabs>
                <w:tab w:val="decimal" w:pos="652"/>
              </w:tabs>
            </w:pPr>
            <w:r w:rsidRPr="008E7986">
              <w:t>-0.000471</w:t>
            </w:r>
          </w:p>
        </w:tc>
        <w:tc>
          <w:tcPr>
            <w:tcW w:w="1140" w:type="pct"/>
            <w:shd w:val="clear" w:color="auto" w:fill="auto"/>
          </w:tcPr>
          <w:p w14:paraId="38C3C826" w14:textId="77777777" w:rsidR="00650A90" w:rsidRPr="008E7986" w:rsidRDefault="00650A90" w:rsidP="008E7986">
            <w:pPr>
              <w:pStyle w:val="TableText"/>
              <w:jc w:val="center"/>
            </w:pPr>
          </w:p>
        </w:tc>
      </w:tr>
      <w:tr w:rsidR="00650A90" w:rsidRPr="00627692" w14:paraId="68CAB857" w14:textId="77777777" w:rsidTr="00487E20">
        <w:trPr>
          <w:cantSplit/>
        </w:trPr>
        <w:tc>
          <w:tcPr>
            <w:tcW w:w="2722" w:type="pct"/>
            <w:shd w:val="clear" w:color="auto" w:fill="auto"/>
          </w:tcPr>
          <w:p w14:paraId="0282D98B" w14:textId="0AC9D51F" w:rsidR="00650A90" w:rsidRPr="008E7986" w:rsidRDefault="00F82CE9">
            <w:pPr>
              <w:pStyle w:val="TableText"/>
              <w:rPr>
                <w:bCs/>
              </w:rPr>
            </w:pPr>
            <w:r>
              <w:t xml:space="preserve">On </w:t>
            </w:r>
            <w:r w:rsidR="00650A90" w:rsidRPr="008E7986">
              <w:t>BP</w:t>
            </w:r>
            <w:r>
              <w:t>-</w:t>
            </w:r>
            <w:r w:rsidR="00650A90" w:rsidRPr="008E7986">
              <w:t xml:space="preserve">lowering medication x </w:t>
            </w:r>
            <w:r w:rsidR="00954F5C">
              <w:t xml:space="preserve">systolic </w:t>
            </w:r>
            <w:r w:rsidR="00650A90" w:rsidRPr="008E7986">
              <w:t>BP</w:t>
            </w:r>
            <w:r w:rsidR="00AB156F">
              <w:t xml:space="preserve"> (centred)</w:t>
            </w:r>
          </w:p>
        </w:tc>
        <w:tc>
          <w:tcPr>
            <w:tcW w:w="1138" w:type="pct"/>
            <w:shd w:val="clear" w:color="auto" w:fill="auto"/>
          </w:tcPr>
          <w:p w14:paraId="70E06955" w14:textId="77777777" w:rsidR="00650A90" w:rsidRPr="008E7986" w:rsidRDefault="00650A90" w:rsidP="008E7986">
            <w:pPr>
              <w:pStyle w:val="TableText"/>
              <w:tabs>
                <w:tab w:val="decimal" w:pos="652"/>
              </w:tabs>
            </w:pPr>
            <w:r w:rsidRPr="008E7986">
              <w:t>-0.0054002</w:t>
            </w:r>
          </w:p>
        </w:tc>
        <w:tc>
          <w:tcPr>
            <w:tcW w:w="1140" w:type="pct"/>
            <w:shd w:val="clear" w:color="auto" w:fill="auto"/>
          </w:tcPr>
          <w:p w14:paraId="6C35D8CA" w14:textId="77777777" w:rsidR="00650A90" w:rsidRPr="008E7986" w:rsidRDefault="00650A90" w:rsidP="008E7986">
            <w:pPr>
              <w:pStyle w:val="TableText"/>
              <w:jc w:val="center"/>
            </w:pPr>
          </w:p>
        </w:tc>
      </w:tr>
      <w:tr w:rsidR="00650A90" w:rsidRPr="00627692" w14:paraId="0131DC89" w14:textId="77777777" w:rsidTr="00487E20">
        <w:trPr>
          <w:cantSplit/>
        </w:trPr>
        <w:tc>
          <w:tcPr>
            <w:tcW w:w="2722" w:type="pct"/>
            <w:shd w:val="clear" w:color="auto" w:fill="auto"/>
          </w:tcPr>
          <w:p w14:paraId="440EBE4B" w14:textId="77777777" w:rsidR="00650A90" w:rsidRPr="008E7986" w:rsidRDefault="00650A90" w:rsidP="008E7986">
            <w:pPr>
              <w:pStyle w:val="TableText"/>
              <w:rPr>
                <w:bCs/>
              </w:rPr>
            </w:pPr>
            <w:r w:rsidRPr="008E7986">
              <w:t>Baseline survival function (women) at five years</w:t>
            </w:r>
          </w:p>
        </w:tc>
        <w:tc>
          <w:tcPr>
            <w:tcW w:w="1138" w:type="pct"/>
            <w:shd w:val="clear" w:color="auto" w:fill="auto"/>
          </w:tcPr>
          <w:p w14:paraId="04A7112D" w14:textId="77777777" w:rsidR="00650A90" w:rsidRPr="008E7986" w:rsidRDefault="00650A90" w:rsidP="008E7986">
            <w:pPr>
              <w:pStyle w:val="TableText"/>
              <w:tabs>
                <w:tab w:val="decimal" w:pos="652"/>
              </w:tabs>
            </w:pPr>
            <w:r w:rsidRPr="008E7986">
              <w:t>0.9845026</w:t>
            </w:r>
          </w:p>
        </w:tc>
        <w:tc>
          <w:tcPr>
            <w:tcW w:w="1140" w:type="pct"/>
            <w:shd w:val="clear" w:color="auto" w:fill="auto"/>
          </w:tcPr>
          <w:p w14:paraId="184A9B3B" w14:textId="77777777" w:rsidR="00650A90" w:rsidRPr="008E7986" w:rsidRDefault="00650A90" w:rsidP="008E7986">
            <w:pPr>
              <w:pStyle w:val="TableText"/>
              <w:jc w:val="center"/>
            </w:pPr>
          </w:p>
        </w:tc>
      </w:tr>
    </w:tbl>
    <w:p w14:paraId="70E62CCA" w14:textId="44EA5526" w:rsidR="00650A90" w:rsidRDefault="00650A90" w:rsidP="006407A3">
      <w:pPr>
        <w:pStyle w:val="Heading2"/>
      </w:pPr>
      <w:bookmarkStart w:id="67" w:name="_Toc42092456"/>
      <w:bookmarkStart w:id="68" w:name="_Toc46146747"/>
      <w:bookmarkStart w:id="69" w:name="_Toc5806754"/>
      <w:bookmarkStart w:id="70" w:name="_Toc46146748"/>
      <w:bookmarkEnd w:id="67"/>
      <w:bookmarkEnd w:id="68"/>
      <w:r>
        <w:t>PREDICT CVD v.201</w:t>
      </w:r>
      <w:r w:rsidR="000F15BB">
        <w:t>9</w:t>
      </w:r>
      <w:r>
        <w:t xml:space="preserve"> primary prevention equation for men (30–74 years)</w:t>
      </w:r>
      <w:bookmarkEnd w:id="69"/>
      <w:bookmarkEnd w:id="70"/>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4479"/>
        <w:gridCol w:w="1672"/>
        <w:gridCol w:w="1817"/>
      </w:tblGrid>
      <w:tr w:rsidR="00650A90" w:rsidRPr="008E7986" w14:paraId="163EA69A" w14:textId="77777777" w:rsidTr="00487E20">
        <w:trPr>
          <w:cantSplit/>
          <w:trHeight w:val="20"/>
        </w:trPr>
        <w:tc>
          <w:tcPr>
            <w:tcW w:w="2811" w:type="pct"/>
            <w:tcBorders>
              <w:top w:val="nil"/>
              <w:bottom w:val="nil"/>
            </w:tcBorders>
            <w:shd w:val="clear" w:color="auto" w:fill="D9D9D9" w:themeFill="background1" w:themeFillShade="D9"/>
          </w:tcPr>
          <w:p w14:paraId="495123FD" w14:textId="77777777" w:rsidR="00650A90" w:rsidRPr="008E7986" w:rsidRDefault="00650A90" w:rsidP="008E7986">
            <w:pPr>
              <w:pStyle w:val="TableText"/>
              <w:rPr>
                <w:b/>
                <w:bCs/>
              </w:rPr>
            </w:pPr>
            <w:r w:rsidRPr="008E7986">
              <w:rPr>
                <w:b/>
              </w:rPr>
              <w:t>Variable</w:t>
            </w:r>
          </w:p>
        </w:tc>
        <w:tc>
          <w:tcPr>
            <w:tcW w:w="1049" w:type="pct"/>
            <w:tcBorders>
              <w:top w:val="nil"/>
              <w:bottom w:val="nil"/>
            </w:tcBorders>
            <w:shd w:val="clear" w:color="auto" w:fill="D9D9D9" w:themeFill="background1" w:themeFillShade="D9"/>
          </w:tcPr>
          <w:p w14:paraId="48DE87C9" w14:textId="7C01BD08" w:rsidR="00650A90" w:rsidRPr="008E7986" w:rsidRDefault="00650A90" w:rsidP="001233CA">
            <w:pPr>
              <w:pStyle w:val="TableText"/>
              <w:jc w:val="center"/>
              <w:rPr>
                <w:b/>
                <w:bCs/>
              </w:rPr>
            </w:pPr>
            <w:r w:rsidRPr="008E7986">
              <w:rPr>
                <w:b/>
              </w:rPr>
              <w:t>Coefficient</w:t>
            </w:r>
          </w:p>
        </w:tc>
        <w:tc>
          <w:tcPr>
            <w:tcW w:w="1140" w:type="pct"/>
            <w:tcBorders>
              <w:top w:val="nil"/>
              <w:bottom w:val="nil"/>
            </w:tcBorders>
            <w:shd w:val="clear" w:color="auto" w:fill="D9D9D9" w:themeFill="background1" w:themeFillShade="D9"/>
          </w:tcPr>
          <w:p w14:paraId="1C0C12EC" w14:textId="4DED528D" w:rsidR="00650A90" w:rsidRPr="008E7986" w:rsidRDefault="00650A90" w:rsidP="008E7986">
            <w:pPr>
              <w:pStyle w:val="TableText"/>
              <w:jc w:val="center"/>
              <w:rPr>
                <w:b/>
                <w:bCs/>
              </w:rPr>
            </w:pPr>
            <w:r w:rsidRPr="008E7986">
              <w:rPr>
                <w:b/>
              </w:rPr>
              <w:t>Mean for centring</w:t>
            </w:r>
          </w:p>
        </w:tc>
      </w:tr>
      <w:tr w:rsidR="00650A90" w:rsidRPr="008E7986" w14:paraId="7B267FBD" w14:textId="77777777" w:rsidTr="00487E20">
        <w:trPr>
          <w:cantSplit/>
          <w:trHeight w:val="20"/>
        </w:trPr>
        <w:tc>
          <w:tcPr>
            <w:tcW w:w="2811" w:type="pct"/>
            <w:tcBorders>
              <w:top w:val="nil"/>
            </w:tcBorders>
            <w:shd w:val="clear" w:color="auto" w:fill="auto"/>
          </w:tcPr>
          <w:p w14:paraId="7C8A24A1" w14:textId="03DD9E23" w:rsidR="00650A90" w:rsidRPr="008E7986" w:rsidRDefault="00650A90" w:rsidP="008E7986">
            <w:pPr>
              <w:pStyle w:val="TableText"/>
              <w:rPr>
                <w:bCs/>
              </w:rPr>
            </w:pPr>
            <w:r w:rsidRPr="008E7986">
              <w:t>Age</w:t>
            </w:r>
            <w:r w:rsidR="00AB156F">
              <w:t xml:space="preserve"> (centred)</w:t>
            </w:r>
          </w:p>
        </w:tc>
        <w:tc>
          <w:tcPr>
            <w:tcW w:w="1049" w:type="pct"/>
            <w:tcBorders>
              <w:top w:val="nil"/>
            </w:tcBorders>
            <w:shd w:val="clear" w:color="auto" w:fill="auto"/>
          </w:tcPr>
          <w:p w14:paraId="5AAC27A7" w14:textId="77777777" w:rsidR="00650A90" w:rsidRPr="008E7986" w:rsidRDefault="00650A90">
            <w:pPr>
              <w:pStyle w:val="TableText"/>
              <w:tabs>
                <w:tab w:val="decimal" w:pos="534"/>
              </w:tabs>
            </w:pPr>
            <w:r w:rsidRPr="008E7986">
              <w:t>0.0669484</w:t>
            </w:r>
          </w:p>
        </w:tc>
        <w:tc>
          <w:tcPr>
            <w:tcW w:w="1140" w:type="pct"/>
            <w:tcBorders>
              <w:top w:val="nil"/>
            </w:tcBorders>
            <w:shd w:val="clear" w:color="auto" w:fill="auto"/>
          </w:tcPr>
          <w:p w14:paraId="197A128E" w14:textId="77777777" w:rsidR="00650A90" w:rsidRPr="008E7986" w:rsidRDefault="00650A90" w:rsidP="008E7986">
            <w:pPr>
              <w:pStyle w:val="TableText"/>
              <w:jc w:val="center"/>
            </w:pPr>
            <w:r w:rsidRPr="008E7986">
              <w:t>51.59444</w:t>
            </w:r>
          </w:p>
        </w:tc>
      </w:tr>
      <w:tr w:rsidR="00650A90" w:rsidRPr="008E7986" w14:paraId="6BFB0F73" w14:textId="77777777" w:rsidTr="00487E20">
        <w:trPr>
          <w:cantSplit/>
          <w:trHeight w:val="20"/>
        </w:trPr>
        <w:tc>
          <w:tcPr>
            <w:tcW w:w="2811" w:type="pct"/>
            <w:shd w:val="clear" w:color="auto" w:fill="auto"/>
          </w:tcPr>
          <w:p w14:paraId="0EFF71AB" w14:textId="77777777" w:rsidR="00650A90" w:rsidRPr="008E7986" w:rsidRDefault="00650A90" w:rsidP="008E7986">
            <w:pPr>
              <w:pStyle w:val="TableText"/>
              <w:rPr>
                <w:bCs/>
              </w:rPr>
            </w:pPr>
            <w:r w:rsidRPr="008E7986">
              <w:t>Māori</w:t>
            </w:r>
          </w:p>
        </w:tc>
        <w:tc>
          <w:tcPr>
            <w:tcW w:w="1049" w:type="pct"/>
            <w:shd w:val="clear" w:color="auto" w:fill="auto"/>
          </w:tcPr>
          <w:p w14:paraId="78B87845" w14:textId="77777777" w:rsidR="00650A90" w:rsidRPr="008E7986" w:rsidRDefault="00650A90">
            <w:pPr>
              <w:pStyle w:val="TableText"/>
              <w:tabs>
                <w:tab w:val="decimal" w:pos="534"/>
              </w:tabs>
            </w:pPr>
            <w:r w:rsidRPr="008E7986">
              <w:t>0.3166164</w:t>
            </w:r>
          </w:p>
        </w:tc>
        <w:tc>
          <w:tcPr>
            <w:tcW w:w="1140" w:type="pct"/>
            <w:shd w:val="clear" w:color="auto" w:fill="auto"/>
          </w:tcPr>
          <w:p w14:paraId="57EAF663" w14:textId="77777777" w:rsidR="00650A90" w:rsidRPr="008E7986" w:rsidRDefault="00650A90" w:rsidP="008E7986">
            <w:pPr>
              <w:pStyle w:val="TableText"/>
              <w:jc w:val="center"/>
            </w:pPr>
          </w:p>
        </w:tc>
      </w:tr>
      <w:tr w:rsidR="00650A90" w:rsidRPr="008E7986" w14:paraId="4D6AF7FF" w14:textId="77777777" w:rsidTr="00487E20">
        <w:trPr>
          <w:cantSplit/>
          <w:trHeight w:val="20"/>
        </w:trPr>
        <w:tc>
          <w:tcPr>
            <w:tcW w:w="2811" w:type="pct"/>
            <w:shd w:val="clear" w:color="auto" w:fill="auto"/>
          </w:tcPr>
          <w:p w14:paraId="198CA6AA" w14:textId="77777777" w:rsidR="00650A90" w:rsidRPr="008E7986" w:rsidRDefault="00650A90" w:rsidP="008E7986">
            <w:pPr>
              <w:pStyle w:val="TableText"/>
              <w:rPr>
                <w:bCs/>
              </w:rPr>
            </w:pPr>
            <w:r w:rsidRPr="008E7986">
              <w:t>Pacific</w:t>
            </w:r>
          </w:p>
        </w:tc>
        <w:tc>
          <w:tcPr>
            <w:tcW w:w="1049" w:type="pct"/>
            <w:shd w:val="clear" w:color="auto" w:fill="auto"/>
          </w:tcPr>
          <w:p w14:paraId="43E29336" w14:textId="77777777" w:rsidR="00650A90" w:rsidRPr="008E7986" w:rsidRDefault="00650A90">
            <w:pPr>
              <w:pStyle w:val="TableText"/>
              <w:tabs>
                <w:tab w:val="decimal" w:pos="534"/>
              </w:tabs>
            </w:pPr>
            <w:r w:rsidRPr="008E7986">
              <w:t>0.2217931</w:t>
            </w:r>
          </w:p>
        </w:tc>
        <w:tc>
          <w:tcPr>
            <w:tcW w:w="1140" w:type="pct"/>
            <w:shd w:val="clear" w:color="auto" w:fill="auto"/>
          </w:tcPr>
          <w:p w14:paraId="66365515" w14:textId="77777777" w:rsidR="00650A90" w:rsidRPr="008E7986" w:rsidRDefault="00650A90" w:rsidP="008E7986">
            <w:pPr>
              <w:pStyle w:val="TableText"/>
              <w:jc w:val="center"/>
            </w:pPr>
          </w:p>
        </w:tc>
      </w:tr>
      <w:tr w:rsidR="00650A90" w:rsidRPr="008E7986" w14:paraId="012E0289" w14:textId="77777777" w:rsidTr="00487E20">
        <w:trPr>
          <w:cantSplit/>
          <w:trHeight w:val="20"/>
        </w:trPr>
        <w:tc>
          <w:tcPr>
            <w:tcW w:w="2811" w:type="pct"/>
            <w:shd w:val="clear" w:color="auto" w:fill="auto"/>
          </w:tcPr>
          <w:p w14:paraId="1BB8C4A9" w14:textId="14BA7230" w:rsidR="00650A90" w:rsidRPr="008E7986" w:rsidRDefault="00650A90" w:rsidP="008E7986">
            <w:pPr>
              <w:pStyle w:val="TableText"/>
              <w:rPr>
                <w:bCs/>
              </w:rPr>
            </w:pPr>
            <w:r w:rsidRPr="008E7986">
              <w:t>Indian/</w:t>
            </w:r>
            <w:r w:rsidR="00BD613F">
              <w:t xml:space="preserve">Other </w:t>
            </w:r>
            <w:r w:rsidRPr="008E7986">
              <w:t>South Asian</w:t>
            </w:r>
          </w:p>
        </w:tc>
        <w:tc>
          <w:tcPr>
            <w:tcW w:w="1049" w:type="pct"/>
            <w:shd w:val="clear" w:color="auto" w:fill="auto"/>
          </w:tcPr>
          <w:p w14:paraId="1A5D44C3" w14:textId="77777777" w:rsidR="00650A90" w:rsidRPr="008E7986" w:rsidRDefault="00650A90">
            <w:pPr>
              <w:pStyle w:val="TableText"/>
              <w:tabs>
                <w:tab w:val="decimal" w:pos="534"/>
              </w:tabs>
            </w:pPr>
            <w:r w:rsidRPr="008E7986">
              <w:t>0.3666816</w:t>
            </w:r>
          </w:p>
        </w:tc>
        <w:tc>
          <w:tcPr>
            <w:tcW w:w="1140" w:type="pct"/>
            <w:shd w:val="clear" w:color="auto" w:fill="auto"/>
          </w:tcPr>
          <w:p w14:paraId="0723BD9E" w14:textId="77777777" w:rsidR="00650A90" w:rsidRPr="008E7986" w:rsidRDefault="00650A90" w:rsidP="008E7986">
            <w:pPr>
              <w:pStyle w:val="TableText"/>
              <w:jc w:val="center"/>
            </w:pPr>
          </w:p>
        </w:tc>
      </w:tr>
      <w:tr w:rsidR="00650A90" w:rsidRPr="008E7986" w14:paraId="4108D8A0" w14:textId="77777777" w:rsidTr="00487E20">
        <w:trPr>
          <w:cantSplit/>
          <w:trHeight w:val="20"/>
        </w:trPr>
        <w:tc>
          <w:tcPr>
            <w:tcW w:w="2811" w:type="pct"/>
            <w:shd w:val="clear" w:color="auto" w:fill="auto"/>
          </w:tcPr>
          <w:p w14:paraId="5D23F4B8" w14:textId="77777777" w:rsidR="00650A90" w:rsidRPr="008E7986" w:rsidRDefault="00650A90" w:rsidP="008E7986">
            <w:pPr>
              <w:pStyle w:val="TableText"/>
              <w:rPr>
                <w:bCs/>
              </w:rPr>
            </w:pPr>
            <w:r w:rsidRPr="008E7986">
              <w:t>Chinese/Asian</w:t>
            </w:r>
          </w:p>
        </w:tc>
        <w:tc>
          <w:tcPr>
            <w:tcW w:w="1049" w:type="pct"/>
            <w:shd w:val="clear" w:color="auto" w:fill="auto"/>
          </w:tcPr>
          <w:p w14:paraId="47702477" w14:textId="77777777" w:rsidR="00650A90" w:rsidRPr="008E7986" w:rsidRDefault="00650A90">
            <w:pPr>
              <w:pStyle w:val="TableText"/>
              <w:tabs>
                <w:tab w:val="decimal" w:pos="534"/>
              </w:tabs>
            </w:pPr>
            <w:r w:rsidRPr="008E7986">
              <w:t>-0.4131973</w:t>
            </w:r>
          </w:p>
        </w:tc>
        <w:tc>
          <w:tcPr>
            <w:tcW w:w="1140" w:type="pct"/>
            <w:shd w:val="clear" w:color="auto" w:fill="auto"/>
          </w:tcPr>
          <w:p w14:paraId="3433C492" w14:textId="77777777" w:rsidR="00650A90" w:rsidRPr="008E7986" w:rsidRDefault="00650A90" w:rsidP="008E7986">
            <w:pPr>
              <w:pStyle w:val="TableText"/>
              <w:jc w:val="center"/>
            </w:pPr>
          </w:p>
        </w:tc>
      </w:tr>
      <w:tr w:rsidR="00650A90" w:rsidRPr="008E7986" w14:paraId="04C1FECD" w14:textId="77777777" w:rsidTr="00487E20">
        <w:trPr>
          <w:cantSplit/>
          <w:trHeight w:val="20"/>
        </w:trPr>
        <w:tc>
          <w:tcPr>
            <w:tcW w:w="2811" w:type="pct"/>
            <w:shd w:val="clear" w:color="auto" w:fill="auto"/>
          </w:tcPr>
          <w:p w14:paraId="0B6B45D3" w14:textId="68084994" w:rsidR="00650A90" w:rsidRPr="008E7986" w:rsidRDefault="00650A90" w:rsidP="008E7986">
            <w:pPr>
              <w:pStyle w:val="TableText"/>
              <w:rPr>
                <w:bCs/>
              </w:rPr>
            </w:pPr>
            <w:proofErr w:type="spellStart"/>
            <w:r w:rsidRPr="008E7986">
              <w:t>NZDep</w:t>
            </w:r>
            <w:proofErr w:type="spellEnd"/>
            <w:r w:rsidRPr="008E7986">
              <w:t xml:space="preserve"> quintile</w:t>
            </w:r>
            <w:r w:rsidR="00AB156F">
              <w:t xml:space="preserve"> (centred)</w:t>
            </w:r>
          </w:p>
        </w:tc>
        <w:tc>
          <w:tcPr>
            <w:tcW w:w="1049" w:type="pct"/>
            <w:shd w:val="clear" w:color="auto" w:fill="auto"/>
          </w:tcPr>
          <w:p w14:paraId="2D625F02" w14:textId="77777777" w:rsidR="00650A90" w:rsidRPr="008E7986" w:rsidRDefault="00650A90">
            <w:pPr>
              <w:pStyle w:val="TableText"/>
              <w:tabs>
                <w:tab w:val="decimal" w:pos="534"/>
              </w:tabs>
            </w:pPr>
            <w:r w:rsidRPr="008E7986">
              <w:t>0.0631146</w:t>
            </w:r>
          </w:p>
        </w:tc>
        <w:tc>
          <w:tcPr>
            <w:tcW w:w="1140" w:type="pct"/>
            <w:shd w:val="clear" w:color="auto" w:fill="auto"/>
          </w:tcPr>
          <w:p w14:paraId="31E3A1C6" w14:textId="77777777" w:rsidR="00650A90" w:rsidRPr="008E7986" w:rsidRDefault="00650A90" w:rsidP="008E7986">
            <w:pPr>
              <w:pStyle w:val="TableText"/>
              <w:jc w:val="center"/>
            </w:pPr>
            <w:r w:rsidRPr="008E7986">
              <w:t>2.975732</w:t>
            </w:r>
          </w:p>
        </w:tc>
      </w:tr>
      <w:tr w:rsidR="00650A90" w:rsidRPr="008E7986" w14:paraId="65A93DF9" w14:textId="77777777" w:rsidTr="00487E20">
        <w:trPr>
          <w:cantSplit/>
          <w:trHeight w:val="20"/>
        </w:trPr>
        <w:tc>
          <w:tcPr>
            <w:tcW w:w="2811" w:type="pct"/>
            <w:shd w:val="clear" w:color="auto" w:fill="auto"/>
          </w:tcPr>
          <w:p w14:paraId="2158B818" w14:textId="6F1B0B5D" w:rsidR="00650A90" w:rsidRPr="008E7986" w:rsidRDefault="00650A90" w:rsidP="008E7986">
            <w:pPr>
              <w:pStyle w:val="TableText"/>
              <w:rPr>
                <w:bCs/>
              </w:rPr>
            </w:pPr>
            <w:r w:rsidRPr="008E7986">
              <w:t>Ex-smok</w:t>
            </w:r>
            <w:r w:rsidR="007C77F7">
              <w:t>ing</w:t>
            </w:r>
          </w:p>
        </w:tc>
        <w:tc>
          <w:tcPr>
            <w:tcW w:w="1049" w:type="pct"/>
            <w:shd w:val="clear" w:color="auto" w:fill="auto"/>
          </w:tcPr>
          <w:p w14:paraId="639B3E58" w14:textId="77777777" w:rsidR="00650A90" w:rsidRPr="008E7986" w:rsidRDefault="00650A90">
            <w:pPr>
              <w:pStyle w:val="TableText"/>
              <w:tabs>
                <w:tab w:val="decimal" w:pos="534"/>
              </w:tabs>
            </w:pPr>
            <w:r w:rsidRPr="008E7986">
              <w:t>0.0748648</w:t>
            </w:r>
          </w:p>
        </w:tc>
        <w:tc>
          <w:tcPr>
            <w:tcW w:w="1140" w:type="pct"/>
            <w:shd w:val="clear" w:color="auto" w:fill="auto"/>
          </w:tcPr>
          <w:p w14:paraId="55B396B3" w14:textId="77777777" w:rsidR="00650A90" w:rsidRPr="008E7986" w:rsidRDefault="00650A90" w:rsidP="008E7986">
            <w:pPr>
              <w:pStyle w:val="TableText"/>
              <w:jc w:val="center"/>
            </w:pPr>
          </w:p>
        </w:tc>
      </w:tr>
      <w:tr w:rsidR="00650A90" w:rsidRPr="008E7986" w14:paraId="64A62708" w14:textId="77777777" w:rsidTr="00487E20">
        <w:trPr>
          <w:cantSplit/>
          <w:trHeight w:val="20"/>
        </w:trPr>
        <w:tc>
          <w:tcPr>
            <w:tcW w:w="2811" w:type="pct"/>
            <w:shd w:val="clear" w:color="auto" w:fill="auto"/>
          </w:tcPr>
          <w:p w14:paraId="28BB5758" w14:textId="7B8FD74F" w:rsidR="00650A90" w:rsidRPr="008E7986" w:rsidRDefault="00650A90" w:rsidP="008E7986">
            <w:pPr>
              <w:pStyle w:val="TableText"/>
              <w:rPr>
                <w:bCs/>
              </w:rPr>
            </w:pPr>
            <w:r w:rsidRPr="008E7986">
              <w:t>Current</w:t>
            </w:r>
            <w:r w:rsidR="007C77F7">
              <w:t>ly</w:t>
            </w:r>
            <w:r w:rsidRPr="008E7986">
              <w:t xml:space="preserve"> smok</w:t>
            </w:r>
            <w:r w:rsidR="007C77F7">
              <w:t>ing</w:t>
            </w:r>
          </w:p>
        </w:tc>
        <w:tc>
          <w:tcPr>
            <w:tcW w:w="1049" w:type="pct"/>
            <w:shd w:val="clear" w:color="auto" w:fill="auto"/>
          </w:tcPr>
          <w:p w14:paraId="3612954C" w14:textId="77777777" w:rsidR="00650A90" w:rsidRPr="008E7986" w:rsidRDefault="00650A90">
            <w:pPr>
              <w:pStyle w:val="TableText"/>
              <w:tabs>
                <w:tab w:val="decimal" w:pos="534"/>
              </w:tabs>
            </w:pPr>
            <w:r w:rsidRPr="008E7986">
              <w:t>0.5317607</w:t>
            </w:r>
          </w:p>
        </w:tc>
        <w:tc>
          <w:tcPr>
            <w:tcW w:w="1140" w:type="pct"/>
            <w:shd w:val="clear" w:color="auto" w:fill="auto"/>
          </w:tcPr>
          <w:p w14:paraId="01F665A5" w14:textId="77777777" w:rsidR="00650A90" w:rsidRPr="008E7986" w:rsidRDefault="00650A90" w:rsidP="008E7986">
            <w:pPr>
              <w:pStyle w:val="TableText"/>
              <w:jc w:val="center"/>
            </w:pPr>
          </w:p>
        </w:tc>
      </w:tr>
      <w:tr w:rsidR="00650A90" w:rsidRPr="008E7986" w14:paraId="65C1ECEB" w14:textId="77777777" w:rsidTr="00487E20">
        <w:trPr>
          <w:cantSplit/>
          <w:trHeight w:val="20"/>
        </w:trPr>
        <w:tc>
          <w:tcPr>
            <w:tcW w:w="2811" w:type="pct"/>
            <w:shd w:val="clear" w:color="auto" w:fill="auto"/>
          </w:tcPr>
          <w:p w14:paraId="553451AC" w14:textId="77777777" w:rsidR="00650A90" w:rsidRPr="008E7986" w:rsidRDefault="00650A90" w:rsidP="008E7986">
            <w:pPr>
              <w:pStyle w:val="TableText"/>
              <w:rPr>
                <w:bCs/>
              </w:rPr>
            </w:pPr>
            <w:r w:rsidRPr="008E7986">
              <w:t>Family history of premature CVD</w:t>
            </w:r>
          </w:p>
        </w:tc>
        <w:tc>
          <w:tcPr>
            <w:tcW w:w="1049" w:type="pct"/>
            <w:shd w:val="clear" w:color="auto" w:fill="auto"/>
          </w:tcPr>
          <w:p w14:paraId="532E1650" w14:textId="77777777" w:rsidR="00650A90" w:rsidRPr="008E7986" w:rsidRDefault="00650A90">
            <w:pPr>
              <w:pStyle w:val="TableText"/>
              <w:tabs>
                <w:tab w:val="decimal" w:pos="534"/>
              </w:tabs>
            </w:pPr>
            <w:r w:rsidRPr="008E7986">
              <w:t>0.1275721</w:t>
            </w:r>
          </w:p>
        </w:tc>
        <w:tc>
          <w:tcPr>
            <w:tcW w:w="1140" w:type="pct"/>
            <w:shd w:val="clear" w:color="auto" w:fill="auto"/>
          </w:tcPr>
          <w:p w14:paraId="2A1AEB4F" w14:textId="77777777" w:rsidR="00650A90" w:rsidRPr="008E7986" w:rsidRDefault="00650A90" w:rsidP="008E7986">
            <w:pPr>
              <w:pStyle w:val="TableText"/>
              <w:jc w:val="center"/>
            </w:pPr>
          </w:p>
        </w:tc>
      </w:tr>
      <w:tr w:rsidR="00650A90" w:rsidRPr="008E7986" w14:paraId="77FED7E2" w14:textId="77777777" w:rsidTr="00487E20">
        <w:trPr>
          <w:cantSplit/>
          <w:trHeight w:val="20"/>
        </w:trPr>
        <w:tc>
          <w:tcPr>
            <w:tcW w:w="2811" w:type="pct"/>
            <w:shd w:val="clear" w:color="auto" w:fill="auto"/>
          </w:tcPr>
          <w:p w14:paraId="5BAAEE8D" w14:textId="77777777" w:rsidR="00650A90" w:rsidRPr="008E7986" w:rsidRDefault="00650A90" w:rsidP="008E7986">
            <w:pPr>
              <w:pStyle w:val="TableText"/>
              <w:rPr>
                <w:bCs/>
              </w:rPr>
            </w:pPr>
            <w:r w:rsidRPr="008E7986">
              <w:t>Atrial fibrillation</w:t>
            </w:r>
          </w:p>
        </w:tc>
        <w:tc>
          <w:tcPr>
            <w:tcW w:w="1049" w:type="pct"/>
            <w:shd w:val="clear" w:color="auto" w:fill="auto"/>
          </w:tcPr>
          <w:p w14:paraId="478E88BD" w14:textId="77777777" w:rsidR="00650A90" w:rsidRPr="008E7986" w:rsidRDefault="00650A90">
            <w:pPr>
              <w:pStyle w:val="TableText"/>
              <w:tabs>
                <w:tab w:val="decimal" w:pos="534"/>
              </w:tabs>
            </w:pPr>
            <w:r w:rsidRPr="008E7986">
              <w:t>0.6250334</w:t>
            </w:r>
          </w:p>
        </w:tc>
        <w:tc>
          <w:tcPr>
            <w:tcW w:w="1140" w:type="pct"/>
            <w:shd w:val="clear" w:color="auto" w:fill="auto"/>
          </w:tcPr>
          <w:p w14:paraId="42209B9E" w14:textId="77777777" w:rsidR="00650A90" w:rsidRPr="008E7986" w:rsidRDefault="00650A90" w:rsidP="008E7986">
            <w:pPr>
              <w:pStyle w:val="TableText"/>
              <w:jc w:val="center"/>
            </w:pPr>
          </w:p>
        </w:tc>
      </w:tr>
      <w:tr w:rsidR="00650A90" w:rsidRPr="008E7986" w14:paraId="4F86439E" w14:textId="77777777" w:rsidTr="00487E20">
        <w:trPr>
          <w:cantSplit/>
          <w:trHeight w:val="20"/>
        </w:trPr>
        <w:tc>
          <w:tcPr>
            <w:tcW w:w="2811" w:type="pct"/>
            <w:shd w:val="clear" w:color="auto" w:fill="auto"/>
          </w:tcPr>
          <w:p w14:paraId="06ACF0FE" w14:textId="77777777" w:rsidR="00650A90" w:rsidRPr="008E7986" w:rsidRDefault="00650A90" w:rsidP="008E7986">
            <w:pPr>
              <w:pStyle w:val="TableText"/>
              <w:rPr>
                <w:bCs/>
              </w:rPr>
            </w:pPr>
            <w:r w:rsidRPr="008E7986">
              <w:t>Diabetes</w:t>
            </w:r>
          </w:p>
        </w:tc>
        <w:tc>
          <w:tcPr>
            <w:tcW w:w="1049" w:type="pct"/>
            <w:shd w:val="clear" w:color="auto" w:fill="auto"/>
          </w:tcPr>
          <w:p w14:paraId="33A5E55D" w14:textId="77777777" w:rsidR="00650A90" w:rsidRPr="008E7986" w:rsidRDefault="00650A90">
            <w:pPr>
              <w:pStyle w:val="TableText"/>
              <w:tabs>
                <w:tab w:val="decimal" w:pos="534"/>
              </w:tabs>
            </w:pPr>
            <w:r w:rsidRPr="008E7986">
              <w:t>0.4107586</w:t>
            </w:r>
          </w:p>
        </w:tc>
        <w:tc>
          <w:tcPr>
            <w:tcW w:w="1140" w:type="pct"/>
            <w:shd w:val="clear" w:color="auto" w:fill="auto"/>
          </w:tcPr>
          <w:p w14:paraId="7E5CF740" w14:textId="77777777" w:rsidR="00650A90" w:rsidRPr="008E7986" w:rsidRDefault="00650A90" w:rsidP="008E7986">
            <w:pPr>
              <w:pStyle w:val="TableText"/>
              <w:jc w:val="center"/>
            </w:pPr>
          </w:p>
        </w:tc>
      </w:tr>
      <w:tr w:rsidR="00650A90" w:rsidRPr="008E7986" w14:paraId="6390089E" w14:textId="77777777" w:rsidTr="00487E20">
        <w:trPr>
          <w:cantSplit/>
          <w:trHeight w:val="20"/>
        </w:trPr>
        <w:tc>
          <w:tcPr>
            <w:tcW w:w="2811" w:type="pct"/>
            <w:shd w:val="clear" w:color="auto" w:fill="auto"/>
          </w:tcPr>
          <w:p w14:paraId="6CDCD77E" w14:textId="326D1E9C" w:rsidR="00650A90" w:rsidRPr="008E7986" w:rsidRDefault="00650A90" w:rsidP="00954F5C">
            <w:pPr>
              <w:pStyle w:val="TableText"/>
              <w:rPr>
                <w:bCs/>
              </w:rPr>
            </w:pPr>
            <w:r w:rsidRPr="008E7986">
              <w:t xml:space="preserve">Systolic </w:t>
            </w:r>
            <w:proofErr w:type="gramStart"/>
            <w:r w:rsidRPr="008E7986">
              <w:t>BP</w:t>
            </w:r>
            <w:r w:rsidR="00AB156F">
              <w:t>(</w:t>
            </w:r>
            <w:proofErr w:type="gramEnd"/>
            <w:r w:rsidR="00AB156F">
              <w:t>centred)</w:t>
            </w:r>
          </w:p>
        </w:tc>
        <w:tc>
          <w:tcPr>
            <w:tcW w:w="1049" w:type="pct"/>
            <w:shd w:val="clear" w:color="auto" w:fill="auto"/>
          </w:tcPr>
          <w:p w14:paraId="6F43E778" w14:textId="77777777" w:rsidR="00650A90" w:rsidRPr="008E7986" w:rsidRDefault="00650A90">
            <w:pPr>
              <w:pStyle w:val="TableText"/>
              <w:tabs>
                <w:tab w:val="decimal" w:pos="534"/>
              </w:tabs>
            </w:pPr>
            <w:r w:rsidRPr="008E7986">
              <w:t>0.0179827</w:t>
            </w:r>
          </w:p>
        </w:tc>
        <w:tc>
          <w:tcPr>
            <w:tcW w:w="1140" w:type="pct"/>
            <w:shd w:val="clear" w:color="auto" w:fill="auto"/>
          </w:tcPr>
          <w:p w14:paraId="1B13D99C" w14:textId="77777777" w:rsidR="00650A90" w:rsidRPr="008E7986" w:rsidRDefault="00650A90" w:rsidP="008E7986">
            <w:pPr>
              <w:pStyle w:val="TableText"/>
              <w:jc w:val="center"/>
            </w:pPr>
            <w:r w:rsidRPr="008E7986">
              <w:t>128.8637</w:t>
            </w:r>
          </w:p>
        </w:tc>
      </w:tr>
      <w:tr w:rsidR="00650A90" w:rsidRPr="008E7986" w14:paraId="774147B2" w14:textId="77777777" w:rsidTr="00487E20">
        <w:trPr>
          <w:cantSplit/>
          <w:trHeight w:val="20"/>
        </w:trPr>
        <w:tc>
          <w:tcPr>
            <w:tcW w:w="2811" w:type="pct"/>
            <w:shd w:val="clear" w:color="auto" w:fill="auto"/>
          </w:tcPr>
          <w:p w14:paraId="27A77229" w14:textId="5843DA86" w:rsidR="00650A90" w:rsidRPr="008E7986" w:rsidRDefault="00650A90" w:rsidP="008E7986">
            <w:pPr>
              <w:pStyle w:val="TableText"/>
              <w:rPr>
                <w:bCs/>
              </w:rPr>
            </w:pPr>
            <w:proofErr w:type="gramStart"/>
            <w:r w:rsidRPr="008E7986">
              <w:t>TC</w:t>
            </w:r>
            <w:r w:rsidR="007F2807">
              <w:t>:</w:t>
            </w:r>
            <w:r w:rsidRPr="008E7986">
              <w:t>HDL</w:t>
            </w:r>
            <w:proofErr w:type="gramEnd"/>
            <w:r w:rsidR="007F2807">
              <w:t>-C</w:t>
            </w:r>
            <w:r w:rsidR="00AB156F">
              <w:t xml:space="preserve"> (centred)</w:t>
            </w:r>
          </w:p>
        </w:tc>
        <w:tc>
          <w:tcPr>
            <w:tcW w:w="1049" w:type="pct"/>
            <w:shd w:val="clear" w:color="auto" w:fill="auto"/>
          </w:tcPr>
          <w:p w14:paraId="5DD363C9" w14:textId="77777777" w:rsidR="00650A90" w:rsidRPr="008E7986" w:rsidRDefault="00650A90">
            <w:pPr>
              <w:pStyle w:val="TableText"/>
              <w:tabs>
                <w:tab w:val="decimal" w:pos="534"/>
              </w:tabs>
            </w:pPr>
            <w:r w:rsidRPr="008E7986">
              <w:t>0.1296756</w:t>
            </w:r>
          </w:p>
        </w:tc>
        <w:tc>
          <w:tcPr>
            <w:tcW w:w="1140" w:type="pct"/>
            <w:shd w:val="clear" w:color="auto" w:fill="auto"/>
          </w:tcPr>
          <w:p w14:paraId="11A80E82" w14:textId="77777777" w:rsidR="00650A90" w:rsidRPr="008E7986" w:rsidRDefault="00650A90" w:rsidP="008E7986">
            <w:pPr>
              <w:pStyle w:val="TableText"/>
              <w:jc w:val="center"/>
            </w:pPr>
            <w:r w:rsidRPr="008E7986">
              <w:t>4.385853</w:t>
            </w:r>
          </w:p>
        </w:tc>
      </w:tr>
      <w:tr w:rsidR="00650A90" w:rsidRPr="008E7986" w14:paraId="18E3786A" w14:textId="77777777" w:rsidTr="00487E20">
        <w:trPr>
          <w:cantSplit/>
          <w:trHeight w:val="20"/>
        </w:trPr>
        <w:tc>
          <w:tcPr>
            <w:tcW w:w="2811" w:type="pct"/>
            <w:shd w:val="clear" w:color="auto" w:fill="auto"/>
          </w:tcPr>
          <w:p w14:paraId="1E6879E4" w14:textId="2113858D" w:rsidR="00650A90" w:rsidRPr="008E7986" w:rsidRDefault="00650A90" w:rsidP="008E7986">
            <w:pPr>
              <w:pStyle w:val="TableText"/>
              <w:rPr>
                <w:bCs/>
              </w:rPr>
            </w:pPr>
            <w:r w:rsidRPr="008E7986">
              <w:t>BMI</w:t>
            </w:r>
            <w:r w:rsidR="00790ED8">
              <w:t>:</w:t>
            </w:r>
          </w:p>
        </w:tc>
        <w:tc>
          <w:tcPr>
            <w:tcW w:w="1049" w:type="pct"/>
            <w:shd w:val="clear" w:color="auto" w:fill="auto"/>
          </w:tcPr>
          <w:p w14:paraId="2918EDD5" w14:textId="77777777" w:rsidR="00650A90" w:rsidRPr="008E7986" w:rsidRDefault="00650A90">
            <w:pPr>
              <w:pStyle w:val="TableText"/>
              <w:tabs>
                <w:tab w:val="decimal" w:pos="534"/>
              </w:tabs>
            </w:pPr>
          </w:p>
        </w:tc>
        <w:tc>
          <w:tcPr>
            <w:tcW w:w="1140" w:type="pct"/>
            <w:shd w:val="clear" w:color="auto" w:fill="auto"/>
          </w:tcPr>
          <w:p w14:paraId="3C68BB3A" w14:textId="77777777" w:rsidR="00650A90" w:rsidRPr="008E7986" w:rsidRDefault="00650A90" w:rsidP="008E7986">
            <w:pPr>
              <w:pStyle w:val="TableText"/>
              <w:jc w:val="center"/>
            </w:pPr>
          </w:p>
        </w:tc>
      </w:tr>
      <w:tr w:rsidR="00650A90" w:rsidRPr="008E7986" w14:paraId="7D26C18A" w14:textId="77777777" w:rsidTr="00487E20">
        <w:trPr>
          <w:cantSplit/>
          <w:trHeight w:val="20"/>
        </w:trPr>
        <w:tc>
          <w:tcPr>
            <w:tcW w:w="2811" w:type="pct"/>
            <w:shd w:val="clear" w:color="auto" w:fill="auto"/>
          </w:tcPr>
          <w:p w14:paraId="698F33E7" w14:textId="77777777" w:rsidR="00650A90" w:rsidRPr="008E7986" w:rsidRDefault="00650A90" w:rsidP="00487E20">
            <w:pPr>
              <w:pStyle w:val="TableText"/>
              <w:numPr>
                <w:ilvl w:val="0"/>
                <w:numId w:val="38"/>
              </w:numPr>
            </w:pPr>
            <w:r w:rsidRPr="008E7986">
              <w:t>Normal (18.5–24.9)</w:t>
            </w:r>
          </w:p>
        </w:tc>
        <w:tc>
          <w:tcPr>
            <w:tcW w:w="1049" w:type="pct"/>
            <w:shd w:val="clear" w:color="auto" w:fill="auto"/>
          </w:tcPr>
          <w:p w14:paraId="35C70401" w14:textId="1F3C0CF5" w:rsidR="00650A90" w:rsidRPr="008E7986" w:rsidRDefault="00650A90">
            <w:pPr>
              <w:pStyle w:val="TableText"/>
              <w:jc w:val="center"/>
            </w:pPr>
          </w:p>
        </w:tc>
        <w:tc>
          <w:tcPr>
            <w:tcW w:w="1140" w:type="pct"/>
            <w:shd w:val="clear" w:color="auto" w:fill="auto"/>
          </w:tcPr>
          <w:p w14:paraId="2EF16119" w14:textId="77777777" w:rsidR="00650A90" w:rsidRPr="008E7986" w:rsidRDefault="00650A90" w:rsidP="008E7986">
            <w:pPr>
              <w:pStyle w:val="TableText"/>
              <w:jc w:val="center"/>
            </w:pPr>
          </w:p>
        </w:tc>
      </w:tr>
      <w:tr w:rsidR="00650A90" w:rsidRPr="008E7986" w14:paraId="35B61401" w14:textId="77777777" w:rsidTr="00487E20">
        <w:trPr>
          <w:cantSplit/>
          <w:trHeight w:val="20"/>
        </w:trPr>
        <w:tc>
          <w:tcPr>
            <w:tcW w:w="2811" w:type="pct"/>
            <w:shd w:val="clear" w:color="auto" w:fill="auto"/>
          </w:tcPr>
          <w:p w14:paraId="52DBB395" w14:textId="77777777" w:rsidR="00650A90" w:rsidRPr="008E7986" w:rsidRDefault="00650A90" w:rsidP="00487E20">
            <w:pPr>
              <w:pStyle w:val="TableText"/>
              <w:numPr>
                <w:ilvl w:val="0"/>
                <w:numId w:val="38"/>
              </w:numPr>
            </w:pPr>
            <w:r w:rsidRPr="008E7986">
              <w:lastRenderedPageBreak/>
              <w:t>Underweight (&lt; 18.5)</w:t>
            </w:r>
          </w:p>
        </w:tc>
        <w:tc>
          <w:tcPr>
            <w:tcW w:w="1049" w:type="pct"/>
            <w:shd w:val="clear" w:color="auto" w:fill="auto"/>
          </w:tcPr>
          <w:p w14:paraId="51853CE9" w14:textId="77777777" w:rsidR="00650A90" w:rsidRPr="008E7986" w:rsidRDefault="00650A90">
            <w:pPr>
              <w:pStyle w:val="TableText"/>
              <w:tabs>
                <w:tab w:val="decimal" w:pos="534"/>
              </w:tabs>
            </w:pPr>
            <w:r w:rsidRPr="008E7986">
              <w:t>0.5488212</w:t>
            </w:r>
          </w:p>
        </w:tc>
        <w:tc>
          <w:tcPr>
            <w:tcW w:w="1140" w:type="pct"/>
            <w:shd w:val="clear" w:color="auto" w:fill="auto"/>
          </w:tcPr>
          <w:p w14:paraId="7F7E920E" w14:textId="77777777" w:rsidR="00650A90" w:rsidRPr="008E7986" w:rsidRDefault="00650A90" w:rsidP="008E7986">
            <w:pPr>
              <w:pStyle w:val="TableText"/>
              <w:jc w:val="center"/>
            </w:pPr>
          </w:p>
        </w:tc>
      </w:tr>
      <w:tr w:rsidR="00650A90" w:rsidRPr="008E7986" w14:paraId="7B9A9509" w14:textId="77777777" w:rsidTr="00487E20">
        <w:trPr>
          <w:cantSplit/>
          <w:trHeight w:val="20"/>
        </w:trPr>
        <w:tc>
          <w:tcPr>
            <w:tcW w:w="2811" w:type="pct"/>
            <w:shd w:val="clear" w:color="auto" w:fill="auto"/>
          </w:tcPr>
          <w:p w14:paraId="252A3A04" w14:textId="77777777" w:rsidR="00650A90" w:rsidRPr="008E7986" w:rsidRDefault="00650A90" w:rsidP="00487E20">
            <w:pPr>
              <w:pStyle w:val="TableText"/>
              <w:numPr>
                <w:ilvl w:val="0"/>
                <w:numId w:val="38"/>
              </w:numPr>
            </w:pPr>
            <w:r w:rsidRPr="008E7986">
              <w:t>Overweight (25.0–29.9)</w:t>
            </w:r>
          </w:p>
        </w:tc>
        <w:tc>
          <w:tcPr>
            <w:tcW w:w="1049" w:type="pct"/>
            <w:shd w:val="clear" w:color="auto" w:fill="auto"/>
          </w:tcPr>
          <w:p w14:paraId="60006226" w14:textId="77777777" w:rsidR="00650A90" w:rsidRPr="008E7986" w:rsidRDefault="00650A90">
            <w:pPr>
              <w:pStyle w:val="TableText"/>
              <w:tabs>
                <w:tab w:val="decimal" w:pos="534"/>
              </w:tabs>
            </w:pPr>
            <w:r w:rsidRPr="008E7986">
              <w:t>-0.033177</w:t>
            </w:r>
          </w:p>
        </w:tc>
        <w:tc>
          <w:tcPr>
            <w:tcW w:w="1140" w:type="pct"/>
            <w:shd w:val="clear" w:color="auto" w:fill="auto"/>
          </w:tcPr>
          <w:p w14:paraId="09C23C93" w14:textId="77777777" w:rsidR="00650A90" w:rsidRPr="008E7986" w:rsidRDefault="00650A90" w:rsidP="008E7986">
            <w:pPr>
              <w:pStyle w:val="TableText"/>
              <w:jc w:val="center"/>
            </w:pPr>
          </w:p>
        </w:tc>
      </w:tr>
      <w:tr w:rsidR="00650A90" w:rsidRPr="008E7986" w14:paraId="6D693DE3" w14:textId="77777777" w:rsidTr="00487E20">
        <w:trPr>
          <w:cantSplit/>
          <w:trHeight w:val="20"/>
        </w:trPr>
        <w:tc>
          <w:tcPr>
            <w:tcW w:w="2811" w:type="pct"/>
            <w:shd w:val="clear" w:color="auto" w:fill="auto"/>
          </w:tcPr>
          <w:p w14:paraId="74547EF7" w14:textId="77777777" w:rsidR="00650A90" w:rsidRPr="008E7986" w:rsidRDefault="00650A90" w:rsidP="00487E20">
            <w:pPr>
              <w:pStyle w:val="TableText"/>
              <w:numPr>
                <w:ilvl w:val="0"/>
                <w:numId w:val="38"/>
              </w:numPr>
            </w:pPr>
            <w:r w:rsidRPr="008E7986">
              <w:t>Obesity class 1 (30.0–34.9)</w:t>
            </w:r>
          </w:p>
        </w:tc>
        <w:tc>
          <w:tcPr>
            <w:tcW w:w="1049" w:type="pct"/>
            <w:shd w:val="clear" w:color="auto" w:fill="auto"/>
          </w:tcPr>
          <w:p w14:paraId="6897BDF1" w14:textId="77777777" w:rsidR="00650A90" w:rsidRPr="008E7986" w:rsidRDefault="00650A90">
            <w:pPr>
              <w:pStyle w:val="TableText"/>
              <w:tabs>
                <w:tab w:val="decimal" w:pos="534"/>
              </w:tabs>
            </w:pPr>
            <w:r w:rsidRPr="008E7986">
              <w:t>-0.0025986</w:t>
            </w:r>
          </w:p>
        </w:tc>
        <w:tc>
          <w:tcPr>
            <w:tcW w:w="1140" w:type="pct"/>
            <w:shd w:val="clear" w:color="auto" w:fill="auto"/>
          </w:tcPr>
          <w:p w14:paraId="205EBC44" w14:textId="77777777" w:rsidR="00650A90" w:rsidRPr="008E7986" w:rsidRDefault="00650A90" w:rsidP="008E7986">
            <w:pPr>
              <w:pStyle w:val="TableText"/>
              <w:jc w:val="center"/>
            </w:pPr>
          </w:p>
        </w:tc>
      </w:tr>
      <w:tr w:rsidR="00650A90" w:rsidRPr="008E7986" w14:paraId="5D9A648A" w14:textId="77777777" w:rsidTr="00487E20">
        <w:trPr>
          <w:cantSplit/>
          <w:trHeight w:val="20"/>
        </w:trPr>
        <w:tc>
          <w:tcPr>
            <w:tcW w:w="2811" w:type="pct"/>
            <w:shd w:val="clear" w:color="auto" w:fill="auto"/>
          </w:tcPr>
          <w:p w14:paraId="79782EB7" w14:textId="77777777" w:rsidR="00650A90" w:rsidRPr="008E7986" w:rsidRDefault="00650A90" w:rsidP="00487E20">
            <w:pPr>
              <w:pStyle w:val="TableText"/>
              <w:numPr>
                <w:ilvl w:val="0"/>
                <w:numId w:val="38"/>
              </w:numPr>
            </w:pPr>
            <w:r w:rsidRPr="008E7986">
              <w:t>Obesity class 2 (35.0–39.9)</w:t>
            </w:r>
          </w:p>
        </w:tc>
        <w:tc>
          <w:tcPr>
            <w:tcW w:w="1049" w:type="pct"/>
            <w:shd w:val="clear" w:color="auto" w:fill="auto"/>
          </w:tcPr>
          <w:p w14:paraId="12A5090F" w14:textId="77777777" w:rsidR="00650A90" w:rsidRPr="008E7986" w:rsidRDefault="00650A90">
            <w:pPr>
              <w:pStyle w:val="TableText"/>
              <w:tabs>
                <w:tab w:val="decimal" w:pos="534"/>
              </w:tabs>
            </w:pPr>
            <w:r w:rsidRPr="008E7986">
              <w:t>0.1202739</w:t>
            </w:r>
          </w:p>
        </w:tc>
        <w:tc>
          <w:tcPr>
            <w:tcW w:w="1140" w:type="pct"/>
            <w:shd w:val="clear" w:color="auto" w:fill="auto"/>
          </w:tcPr>
          <w:p w14:paraId="6059518C" w14:textId="77777777" w:rsidR="00650A90" w:rsidRPr="008E7986" w:rsidRDefault="00650A90" w:rsidP="008E7986">
            <w:pPr>
              <w:pStyle w:val="TableText"/>
              <w:jc w:val="center"/>
            </w:pPr>
          </w:p>
        </w:tc>
      </w:tr>
      <w:tr w:rsidR="00650A90" w:rsidRPr="008E7986" w14:paraId="7DBA296A" w14:textId="77777777" w:rsidTr="00487E20">
        <w:trPr>
          <w:cantSplit/>
          <w:trHeight w:val="20"/>
        </w:trPr>
        <w:tc>
          <w:tcPr>
            <w:tcW w:w="2811" w:type="pct"/>
            <w:shd w:val="clear" w:color="auto" w:fill="auto"/>
          </w:tcPr>
          <w:p w14:paraId="070FE591" w14:textId="77777777" w:rsidR="00650A90" w:rsidRPr="008E7986" w:rsidRDefault="00650A90" w:rsidP="00487E20">
            <w:pPr>
              <w:pStyle w:val="TableText"/>
              <w:numPr>
                <w:ilvl w:val="0"/>
                <w:numId w:val="38"/>
              </w:numPr>
            </w:pPr>
            <w:r w:rsidRPr="008E7986">
              <w:t>Obesity class 3 (40.0+)</w:t>
            </w:r>
          </w:p>
        </w:tc>
        <w:tc>
          <w:tcPr>
            <w:tcW w:w="1049" w:type="pct"/>
            <w:shd w:val="clear" w:color="auto" w:fill="auto"/>
          </w:tcPr>
          <w:p w14:paraId="07E6A094" w14:textId="77777777" w:rsidR="00650A90" w:rsidRPr="008E7986" w:rsidRDefault="00650A90">
            <w:pPr>
              <w:pStyle w:val="TableText"/>
              <w:tabs>
                <w:tab w:val="decimal" w:pos="534"/>
              </w:tabs>
            </w:pPr>
            <w:r w:rsidRPr="008E7986">
              <w:t>0.3799261</w:t>
            </w:r>
          </w:p>
        </w:tc>
        <w:tc>
          <w:tcPr>
            <w:tcW w:w="1140" w:type="pct"/>
            <w:shd w:val="clear" w:color="auto" w:fill="auto"/>
          </w:tcPr>
          <w:p w14:paraId="35AB0A62" w14:textId="77777777" w:rsidR="00650A90" w:rsidRPr="008E7986" w:rsidRDefault="00650A90" w:rsidP="008E7986">
            <w:pPr>
              <w:pStyle w:val="TableText"/>
              <w:jc w:val="center"/>
            </w:pPr>
          </w:p>
        </w:tc>
      </w:tr>
      <w:tr w:rsidR="00650A90" w:rsidRPr="008E7986" w14:paraId="26BBEFE2" w14:textId="77777777" w:rsidTr="00487E20">
        <w:trPr>
          <w:cantSplit/>
          <w:trHeight w:val="20"/>
        </w:trPr>
        <w:tc>
          <w:tcPr>
            <w:tcW w:w="2811" w:type="pct"/>
            <w:shd w:val="clear" w:color="auto" w:fill="auto"/>
          </w:tcPr>
          <w:p w14:paraId="69D3C336" w14:textId="77777777" w:rsidR="00650A90" w:rsidRPr="008E7986" w:rsidRDefault="00650A90" w:rsidP="00487E20">
            <w:pPr>
              <w:pStyle w:val="TableText"/>
              <w:numPr>
                <w:ilvl w:val="0"/>
                <w:numId w:val="38"/>
              </w:numPr>
            </w:pPr>
            <w:r w:rsidRPr="008E7986">
              <w:t>BMI unknown</w:t>
            </w:r>
          </w:p>
        </w:tc>
        <w:tc>
          <w:tcPr>
            <w:tcW w:w="1049" w:type="pct"/>
            <w:shd w:val="clear" w:color="auto" w:fill="auto"/>
          </w:tcPr>
          <w:p w14:paraId="7BF4EA9F" w14:textId="77777777" w:rsidR="00650A90" w:rsidRPr="008E7986" w:rsidRDefault="00650A90">
            <w:pPr>
              <w:pStyle w:val="TableText"/>
              <w:tabs>
                <w:tab w:val="decimal" w:pos="534"/>
              </w:tabs>
            </w:pPr>
            <w:r w:rsidRPr="008E7986">
              <w:t>-0.073928</w:t>
            </w:r>
          </w:p>
        </w:tc>
        <w:tc>
          <w:tcPr>
            <w:tcW w:w="1140" w:type="pct"/>
            <w:shd w:val="clear" w:color="auto" w:fill="auto"/>
          </w:tcPr>
          <w:p w14:paraId="7DD9C733" w14:textId="77777777" w:rsidR="00650A90" w:rsidRPr="008E7986" w:rsidRDefault="00650A90" w:rsidP="008E7986">
            <w:pPr>
              <w:pStyle w:val="TableText"/>
              <w:jc w:val="center"/>
            </w:pPr>
          </w:p>
        </w:tc>
      </w:tr>
      <w:tr w:rsidR="00650A90" w:rsidRPr="008E7986" w14:paraId="4AA5424E" w14:textId="77777777" w:rsidTr="00487E20">
        <w:trPr>
          <w:cantSplit/>
          <w:trHeight w:val="20"/>
        </w:trPr>
        <w:tc>
          <w:tcPr>
            <w:tcW w:w="2811" w:type="pct"/>
            <w:shd w:val="clear" w:color="auto" w:fill="auto"/>
          </w:tcPr>
          <w:p w14:paraId="12EE6A6D" w14:textId="7D53CE4B" w:rsidR="00650A90" w:rsidRPr="008E7986" w:rsidRDefault="00650A90" w:rsidP="008E7986">
            <w:pPr>
              <w:pStyle w:val="TableText"/>
              <w:rPr>
                <w:bCs/>
              </w:rPr>
            </w:pPr>
            <w:r w:rsidRPr="008E7986">
              <w:t>On BP-</w:t>
            </w:r>
            <w:r w:rsidR="008E7986">
              <w:t>lowering medication</w:t>
            </w:r>
          </w:p>
        </w:tc>
        <w:tc>
          <w:tcPr>
            <w:tcW w:w="1049" w:type="pct"/>
            <w:shd w:val="clear" w:color="auto" w:fill="auto"/>
          </w:tcPr>
          <w:p w14:paraId="5F758959" w14:textId="77777777" w:rsidR="00650A90" w:rsidRPr="008E7986" w:rsidRDefault="00650A90">
            <w:pPr>
              <w:pStyle w:val="TableText"/>
              <w:tabs>
                <w:tab w:val="decimal" w:pos="534"/>
              </w:tabs>
            </w:pPr>
            <w:r w:rsidRPr="008E7986">
              <w:t>0.2847596</w:t>
            </w:r>
          </w:p>
        </w:tc>
        <w:tc>
          <w:tcPr>
            <w:tcW w:w="1140" w:type="pct"/>
            <w:shd w:val="clear" w:color="auto" w:fill="auto"/>
          </w:tcPr>
          <w:p w14:paraId="3B230C8D" w14:textId="77777777" w:rsidR="00650A90" w:rsidRPr="008E7986" w:rsidRDefault="00650A90" w:rsidP="008E7986">
            <w:pPr>
              <w:pStyle w:val="TableText"/>
              <w:jc w:val="center"/>
            </w:pPr>
          </w:p>
        </w:tc>
      </w:tr>
      <w:tr w:rsidR="00650A90" w:rsidRPr="008E7986" w14:paraId="554EC99F" w14:textId="77777777" w:rsidTr="00487E20">
        <w:trPr>
          <w:cantSplit/>
          <w:trHeight w:val="20"/>
        </w:trPr>
        <w:tc>
          <w:tcPr>
            <w:tcW w:w="2811" w:type="pct"/>
            <w:shd w:val="clear" w:color="auto" w:fill="auto"/>
          </w:tcPr>
          <w:p w14:paraId="40ED964F" w14:textId="77777777" w:rsidR="00650A90" w:rsidRPr="008E7986" w:rsidRDefault="00650A90" w:rsidP="008E7986">
            <w:pPr>
              <w:pStyle w:val="TableText"/>
              <w:rPr>
                <w:bCs/>
              </w:rPr>
            </w:pPr>
            <w:r w:rsidRPr="008E7986">
              <w:t>On lipid-lowering medication</w:t>
            </w:r>
          </w:p>
        </w:tc>
        <w:tc>
          <w:tcPr>
            <w:tcW w:w="1049" w:type="pct"/>
            <w:shd w:val="clear" w:color="auto" w:fill="auto"/>
          </w:tcPr>
          <w:p w14:paraId="75AC24B8" w14:textId="77777777" w:rsidR="00650A90" w:rsidRPr="008E7986" w:rsidRDefault="00650A90">
            <w:pPr>
              <w:pStyle w:val="TableText"/>
              <w:tabs>
                <w:tab w:val="decimal" w:pos="534"/>
              </w:tabs>
            </w:pPr>
            <w:r w:rsidRPr="008E7986">
              <w:t>-0.0256429</w:t>
            </w:r>
          </w:p>
        </w:tc>
        <w:tc>
          <w:tcPr>
            <w:tcW w:w="1140" w:type="pct"/>
            <w:shd w:val="clear" w:color="auto" w:fill="auto"/>
          </w:tcPr>
          <w:p w14:paraId="6809A6BF" w14:textId="77777777" w:rsidR="00650A90" w:rsidRPr="008E7986" w:rsidRDefault="00650A90" w:rsidP="008E7986">
            <w:pPr>
              <w:pStyle w:val="TableText"/>
              <w:jc w:val="center"/>
            </w:pPr>
          </w:p>
        </w:tc>
      </w:tr>
      <w:tr w:rsidR="00650A90" w:rsidRPr="008E7986" w14:paraId="402836DC" w14:textId="77777777" w:rsidTr="00487E20">
        <w:trPr>
          <w:cantSplit/>
          <w:trHeight w:val="20"/>
        </w:trPr>
        <w:tc>
          <w:tcPr>
            <w:tcW w:w="2811" w:type="pct"/>
            <w:shd w:val="clear" w:color="auto" w:fill="auto"/>
          </w:tcPr>
          <w:p w14:paraId="4A99C99A" w14:textId="77777777" w:rsidR="00650A90" w:rsidRPr="008E7986" w:rsidRDefault="00650A90" w:rsidP="008E7986">
            <w:pPr>
              <w:pStyle w:val="TableText"/>
              <w:rPr>
                <w:bCs/>
              </w:rPr>
            </w:pPr>
            <w:r w:rsidRPr="008E7986">
              <w:t>On either antiplatelet or anticoagulant medications</w:t>
            </w:r>
          </w:p>
        </w:tc>
        <w:tc>
          <w:tcPr>
            <w:tcW w:w="1049" w:type="pct"/>
            <w:shd w:val="clear" w:color="auto" w:fill="auto"/>
          </w:tcPr>
          <w:p w14:paraId="08D807EB" w14:textId="77777777" w:rsidR="00650A90" w:rsidRPr="008E7986" w:rsidRDefault="00650A90">
            <w:pPr>
              <w:pStyle w:val="TableText"/>
              <w:tabs>
                <w:tab w:val="decimal" w:pos="534"/>
              </w:tabs>
            </w:pPr>
            <w:r w:rsidRPr="008E7986">
              <w:t>0.0701999</w:t>
            </w:r>
          </w:p>
        </w:tc>
        <w:tc>
          <w:tcPr>
            <w:tcW w:w="1140" w:type="pct"/>
            <w:shd w:val="clear" w:color="auto" w:fill="auto"/>
          </w:tcPr>
          <w:p w14:paraId="62B47638" w14:textId="77777777" w:rsidR="00650A90" w:rsidRPr="008E7986" w:rsidRDefault="00650A90" w:rsidP="008E7986">
            <w:pPr>
              <w:pStyle w:val="TableText"/>
              <w:jc w:val="center"/>
            </w:pPr>
          </w:p>
        </w:tc>
      </w:tr>
      <w:tr w:rsidR="00650A90" w:rsidRPr="008E7986" w14:paraId="6175B96E" w14:textId="77777777" w:rsidTr="00487E20">
        <w:trPr>
          <w:cantSplit/>
          <w:trHeight w:val="20"/>
        </w:trPr>
        <w:tc>
          <w:tcPr>
            <w:tcW w:w="2811" w:type="pct"/>
            <w:shd w:val="clear" w:color="auto" w:fill="auto"/>
          </w:tcPr>
          <w:p w14:paraId="61CD5AB4" w14:textId="5DC9D504" w:rsidR="00650A90" w:rsidRPr="008E7986" w:rsidRDefault="00650A90" w:rsidP="008E7986">
            <w:pPr>
              <w:pStyle w:val="TableText"/>
              <w:rPr>
                <w:bCs/>
              </w:rPr>
            </w:pPr>
            <w:r w:rsidRPr="008E7986">
              <w:t xml:space="preserve">Age </w:t>
            </w:r>
            <w:r w:rsidR="00AB156F">
              <w:t xml:space="preserve">(centred) </w:t>
            </w:r>
            <w:r w:rsidRPr="008E7986">
              <w:t xml:space="preserve">x </w:t>
            </w:r>
            <w:r w:rsidR="00F82CE9">
              <w:t>d</w:t>
            </w:r>
            <w:r w:rsidRPr="008E7986">
              <w:t>iab</w:t>
            </w:r>
            <w:r w:rsidR="00F82CE9">
              <w:t>etes</w:t>
            </w:r>
          </w:p>
        </w:tc>
        <w:tc>
          <w:tcPr>
            <w:tcW w:w="1049" w:type="pct"/>
            <w:shd w:val="clear" w:color="auto" w:fill="auto"/>
          </w:tcPr>
          <w:p w14:paraId="1E1DA1DB" w14:textId="77777777" w:rsidR="00650A90" w:rsidRPr="008E7986" w:rsidRDefault="00650A90">
            <w:pPr>
              <w:pStyle w:val="TableText"/>
              <w:tabs>
                <w:tab w:val="decimal" w:pos="534"/>
              </w:tabs>
            </w:pPr>
            <w:r w:rsidRPr="008E7986">
              <w:t>-0.0124356</w:t>
            </w:r>
          </w:p>
        </w:tc>
        <w:tc>
          <w:tcPr>
            <w:tcW w:w="1140" w:type="pct"/>
            <w:shd w:val="clear" w:color="auto" w:fill="auto"/>
          </w:tcPr>
          <w:p w14:paraId="71D708B3" w14:textId="77777777" w:rsidR="00650A90" w:rsidRPr="008E7986" w:rsidRDefault="00650A90" w:rsidP="008E7986">
            <w:pPr>
              <w:pStyle w:val="TableText"/>
              <w:jc w:val="center"/>
            </w:pPr>
          </w:p>
        </w:tc>
      </w:tr>
      <w:tr w:rsidR="00650A90" w:rsidRPr="008E7986" w14:paraId="00DF0638" w14:textId="77777777" w:rsidTr="00487E20">
        <w:trPr>
          <w:cantSplit/>
          <w:trHeight w:val="20"/>
        </w:trPr>
        <w:tc>
          <w:tcPr>
            <w:tcW w:w="2811" w:type="pct"/>
            <w:shd w:val="clear" w:color="auto" w:fill="auto"/>
          </w:tcPr>
          <w:p w14:paraId="7C579B48" w14:textId="22FDD545" w:rsidR="00650A90" w:rsidRPr="008E7986" w:rsidRDefault="00650A90" w:rsidP="008E7986">
            <w:pPr>
              <w:pStyle w:val="TableText"/>
              <w:rPr>
                <w:bCs/>
              </w:rPr>
            </w:pPr>
            <w:r w:rsidRPr="008E7986">
              <w:t xml:space="preserve">Age </w:t>
            </w:r>
            <w:r w:rsidR="00AB156F">
              <w:t xml:space="preserve">(centred) </w:t>
            </w:r>
            <w:r w:rsidRPr="008E7986">
              <w:t xml:space="preserve">x </w:t>
            </w:r>
            <w:r w:rsidR="00F82CE9">
              <w:t xml:space="preserve">systolic </w:t>
            </w:r>
            <w:r w:rsidRPr="008E7986">
              <w:t>BP</w:t>
            </w:r>
            <w:r w:rsidR="00AB156F">
              <w:t xml:space="preserve"> (centred)</w:t>
            </w:r>
          </w:p>
        </w:tc>
        <w:tc>
          <w:tcPr>
            <w:tcW w:w="1049" w:type="pct"/>
            <w:shd w:val="clear" w:color="auto" w:fill="auto"/>
          </w:tcPr>
          <w:p w14:paraId="47ED0FB1" w14:textId="77777777" w:rsidR="00650A90" w:rsidRPr="008E7986" w:rsidRDefault="00650A90">
            <w:pPr>
              <w:pStyle w:val="TableText"/>
              <w:tabs>
                <w:tab w:val="decimal" w:pos="534"/>
              </w:tabs>
            </w:pPr>
            <w:r w:rsidRPr="008E7986">
              <w:t>-0.0004931</w:t>
            </w:r>
          </w:p>
        </w:tc>
        <w:tc>
          <w:tcPr>
            <w:tcW w:w="1140" w:type="pct"/>
            <w:shd w:val="clear" w:color="auto" w:fill="auto"/>
          </w:tcPr>
          <w:p w14:paraId="6C7FE0C6" w14:textId="77777777" w:rsidR="00650A90" w:rsidRPr="008E7986" w:rsidRDefault="00650A90" w:rsidP="008E7986">
            <w:pPr>
              <w:pStyle w:val="TableText"/>
              <w:jc w:val="center"/>
            </w:pPr>
          </w:p>
        </w:tc>
      </w:tr>
      <w:tr w:rsidR="00650A90" w:rsidRPr="008E7986" w14:paraId="4FA5AA7E" w14:textId="77777777" w:rsidTr="00487E20">
        <w:trPr>
          <w:cantSplit/>
          <w:trHeight w:val="20"/>
        </w:trPr>
        <w:tc>
          <w:tcPr>
            <w:tcW w:w="2811" w:type="pct"/>
            <w:shd w:val="clear" w:color="auto" w:fill="auto"/>
          </w:tcPr>
          <w:p w14:paraId="06FE303E" w14:textId="2963FB57" w:rsidR="00650A90" w:rsidRPr="008E7986" w:rsidRDefault="00F82CE9" w:rsidP="008E7986">
            <w:pPr>
              <w:pStyle w:val="TableText"/>
              <w:rPr>
                <w:bCs/>
              </w:rPr>
            </w:pPr>
            <w:r>
              <w:t xml:space="preserve">On </w:t>
            </w:r>
            <w:r w:rsidR="00650A90" w:rsidRPr="008E7986">
              <w:t>BP</w:t>
            </w:r>
            <w:r>
              <w:t>-</w:t>
            </w:r>
            <w:r w:rsidR="00650A90" w:rsidRPr="008E7986">
              <w:t xml:space="preserve">lowering medication x </w:t>
            </w:r>
            <w:r>
              <w:t xml:space="preserve">systolic </w:t>
            </w:r>
            <w:r w:rsidR="00650A90" w:rsidRPr="008E7986">
              <w:t>BP</w:t>
            </w:r>
            <w:r w:rsidR="00AB156F">
              <w:t xml:space="preserve"> (centred)</w:t>
            </w:r>
          </w:p>
        </w:tc>
        <w:tc>
          <w:tcPr>
            <w:tcW w:w="1049" w:type="pct"/>
            <w:shd w:val="clear" w:color="auto" w:fill="auto"/>
          </w:tcPr>
          <w:p w14:paraId="608D8035" w14:textId="77777777" w:rsidR="00650A90" w:rsidRPr="008E7986" w:rsidRDefault="00650A90">
            <w:pPr>
              <w:pStyle w:val="TableText"/>
              <w:tabs>
                <w:tab w:val="decimal" w:pos="534"/>
              </w:tabs>
            </w:pPr>
            <w:r w:rsidRPr="008E7986">
              <w:t>-0.0049226</w:t>
            </w:r>
          </w:p>
        </w:tc>
        <w:tc>
          <w:tcPr>
            <w:tcW w:w="1140" w:type="pct"/>
            <w:shd w:val="clear" w:color="auto" w:fill="auto"/>
          </w:tcPr>
          <w:p w14:paraId="2F7C53C0" w14:textId="77777777" w:rsidR="00650A90" w:rsidRPr="008E7986" w:rsidRDefault="00650A90" w:rsidP="008E7986">
            <w:pPr>
              <w:pStyle w:val="TableText"/>
              <w:jc w:val="center"/>
            </w:pPr>
          </w:p>
        </w:tc>
      </w:tr>
      <w:tr w:rsidR="00650A90" w:rsidRPr="008E7986" w14:paraId="6A56B599" w14:textId="77777777" w:rsidTr="00487E20">
        <w:trPr>
          <w:cantSplit/>
          <w:trHeight w:val="20"/>
        </w:trPr>
        <w:tc>
          <w:tcPr>
            <w:tcW w:w="2811" w:type="pct"/>
            <w:shd w:val="clear" w:color="auto" w:fill="auto"/>
          </w:tcPr>
          <w:p w14:paraId="218A7107" w14:textId="77777777" w:rsidR="00650A90" w:rsidRPr="008E7986" w:rsidRDefault="00650A90" w:rsidP="008E7986">
            <w:pPr>
              <w:pStyle w:val="TableText"/>
              <w:rPr>
                <w:bCs/>
              </w:rPr>
            </w:pPr>
            <w:r w:rsidRPr="008E7986">
              <w:t>Baseline survival function (men) at five years</w:t>
            </w:r>
          </w:p>
        </w:tc>
        <w:tc>
          <w:tcPr>
            <w:tcW w:w="1049" w:type="pct"/>
            <w:shd w:val="clear" w:color="auto" w:fill="auto"/>
          </w:tcPr>
          <w:p w14:paraId="571ED76F" w14:textId="77777777" w:rsidR="00650A90" w:rsidRPr="008E7986" w:rsidRDefault="00650A90">
            <w:pPr>
              <w:pStyle w:val="TableText"/>
              <w:tabs>
                <w:tab w:val="decimal" w:pos="534"/>
              </w:tabs>
            </w:pPr>
            <w:r w:rsidRPr="008E7986">
              <w:t>0.9712501</w:t>
            </w:r>
          </w:p>
        </w:tc>
        <w:tc>
          <w:tcPr>
            <w:tcW w:w="1140" w:type="pct"/>
            <w:shd w:val="clear" w:color="auto" w:fill="auto"/>
          </w:tcPr>
          <w:p w14:paraId="553B9883" w14:textId="77777777" w:rsidR="00650A90" w:rsidRPr="008E7986" w:rsidRDefault="00650A90" w:rsidP="008E7986">
            <w:pPr>
              <w:pStyle w:val="TableText"/>
              <w:jc w:val="center"/>
            </w:pPr>
          </w:p>
        </w:tc>
      </w:tr>
    </w:tbl>
    <w:p w14:paraId="1B81B0E3" w14:textId="432717BD" w:rsidR="00650A90" w:rsidRPr="00071660" w:rsidRDefault="00650A90" w:rsidP="006407A3">
      <w:pPr>
        <w:pStyle w:val="Heading2"/>
      </w:pPr>
      <w:bookmarkStart w:id="71" w:name="_Toc42092458"/>
      <w:bookmarkStart w:id="72" w:name="_Toc46146749"/>
      <w:bookmarkStart w:id="73" w:name="_Toc5806755"/>
      <w:bookmarkStart w:id="74" w:name="_Toc46146750"/>
      <w:bookmarkEnd w:id="71"/>
      <w:bookmarkEnd w:id="72"/>
      <w:r>
        <w:t>PREDICT CVD v.201</w:t>
      </w:r>
      <w:r w:rsidR="000F15BB">
        <w:t>9</w:t>
      </w:r>
      <w:r>
        <w:t xml:space="preserve"> primary prevention equation for women with diabetes</w:t>
      </w:r>
      <w:r w:rsidR="003B020C">
        <w:t xml:space="preserve"> </w:t>
      </w:r>
      <w:r>
        <w:t>(30–74 years)</w:t>
      </w:r>
      <w:bookmarkEnd w:id="73"/>
      <w:bookmarkEnd w:id="74"/>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345"/>
        <w:gridCol w:w="1560"/>
        <w:gridCol w:w="3063"/>
      </w:tblGrid>
      <w:tr w:rsidR="00650A90" w:rsidRPr="00BC58A8" w14:paraId="11BE6E21" w14:textId="77777777" w:rsidTr="00AA021D">
        <w:trPr>
          <w:cantSplit/>
        </w:trPr>
        <w:tc>
          <w:tcPr>
            <w:tcW w:w="2099" w:type="pct"/>
            <w:tcBorders>
              <w:top w:val="nil"/>
              <w:bottom w:val="nil"/>
            </w:tcBorders>
            <w:shd w:val="clear" w:color="auto" w:fill="D9D9D9" w:themeFill="background1" w:themeFillShade="D9"/>
          </w:tcPr>
          <w:p w14:paraId="596BA312" w14:textId="77777777" w:rsidR="00650A90" w:rsidRPr="00BC58A8" w:rsidRDefault="00650A90" w:rsidP="00BC58A8">
            <w:pPr>
              <w:pStyle w:val="TableText"/>
              <w:rPr>
                <w:b/>
                <w:bCs/>
              </w:rPr>
            </w:pPr>
            <w:r w:rsidRPr="00BC58A8">
              <w:rPr>
                <w:b/>
              </w:rPr>
              <w:t>Variable</w:t>
            </w:r>
          </w:p>
        </w:tc>
        <w:tc>
          <w:tcPr>
            <w:tcW w:w="979" w:type="pct"/>
            <w:tcBorders>
              <w:top w:val="nil"/>
              <w:bottom w:val="nil"/>
            </w:tcBorders>
            <w:shd w:val="clear" w:color="auto" w:fill="D9D9D9" w:themeFill="background1" w:themeFillShade="D9"/>
          </w:tcPr>
          <w:p w14:paraId="115BC2A2" w14:textId="28BCD5BA" w:rsidR="00650A90" w:rsidRPr="00BC58A8" w:rsidRDefault="00650A90" w:rsidP="001233CA">
            <w:pPr>
              <w:pStyle w:val="TableText"/>
              <w:jc w:val="center"/>
              <w:rPr>
                <w:b/>
                <w:bCs/>
              </w:rPr>
            </w:pPr>
            <w:r w:rsidRPr="00BC58A8">
              <w:rPr>
                <w:b/>
              </w:rPr>
              <w:t>Coefficient</w:t>
            </w:r>
          </w:p>
        </w:tc>
        <w:tc>
          <w:tcPr>
            <w:tcW w:w="1922" w:type="pct"/>
            <w:tcBorders>
              <w:top w:val="nil"/>
              <w:bottom w:val="nil"/>
            </w:tcBorders>
            <w:shd w:val="clear" w:color="auto" w:fill="D9D9D9" w:themeFill="background1" w:themeFillShade="D9"/>
          </w:tcPr>
          <w:p w14:paraId="08467335" w14:textId="2484D001" w:rsidR="00650A90" w:rsidRPr="00BC58A8" w:rsidRDefault="00650A90" w:rsidP="00BC58A8">
            <w:pPr>
              <w:pStyle w:val="TableText"/>
              <w:jc w:val="center"/>
              <w:rPr>
                <w:b/>
                <w:bCs/>
              </w:rPr>
            </w:pPr>
            <w:r w:rsidRPr="00BC58A8">
              <w:rPr>
                <w:b/>
              </w:rPr>
              <w:t xml:space="preserve">Mean for </w:t>
            </w:r>
            <w:r w:rsidR="00F43F4C" w:rsidRPr="00BC58A8">
              <w:rPr>
                <w:b/>
              </w:rPr>
              <w:t>centring</w:t>
            </w:r>
          </w:p>
        </w:tc>
      </w:tr>
      <w:tr w:rsidR="00650A90" w:rsidRPr="00627692" w14:paraId="6B1D6B2C" w14:textId="77777777" w:rsidTr="00AA021D">
        <w:trPr>
          <w:cantSplit/>
        </w:trPr>
        <w:tc>
          <w:tcPr>
            <w:tcW w:w="2099" w:type="pct"/>
            <w:tcBorders>
              <w:top w:val="nil"/>
            </w:tcBorders>
            <w:shd w:val="clear" w:color="auto" w:fill="auto"/>
          </w:tcPr>
          <w:p w14:paraId="5193B277" w14:textId="759A6008" w:rsidR="00650A90" w:rsidRPr="008E7986" w:rsidRDefault="00650A90" w:rsidP="00BC58A8">
            <w:pPr>
              <w:pStyle w:val="TableText"/>
              <w:rPr>
                <w:bCs/>
              </w:rPr>
            </w:pPr>
            <w:r w:rsidRPr="008E7986">
              <w:t>Age</w:t>
            </w:r>
            <w:r w:rsidR="00AB156F">
              <w:t xml:space="preserve"> (centred)</w:t>
            </w:r>
          </w:p>
        </w:tc>
        <w:tc>
          <w:tcPr>
            <w:tcW w:w="979" w:type="pct"/>
            <w:tcBorders>
              <w:top w:val="nil"/>
            </w:tcBorders>
            <w:shd w:val="clear" w:color="auto" w:fill="auto"/>
          </w:tcPr>
          <w:p w14:paraId="2A326E33" w14:textId="77777777" w:rsidR="00650A90" w:rsidRPr="008E7986" w:rsidRDefault="00650A90" w:rsidP="009E372C">
            <w:pPr>
              <w:pStyle w:val="TableText"/>
              <w:tabs>
                <w:tab w:val="decimal" w:pos="629"/>
              </w:tabs>
            </w:pPr>
            <w:r w:rsidRPr="008E7986">
              <w:rPr>
                <w:rFonts w:cs="Courier New"/>
              </w:rPr>
              <w:t>0.0424465</w:t>
            </w:r>
          </w:p>
        </w:tc>
        <w:tc>
          <w:tcPr>
            <w:tcW w:w="1922" w:type="pct"/>
            <w:tcBorders>
              <w:top w:val="nil"/>
            </w:tcBorders>
            <w:shd w:val="clear" w:color="auto" w:fill="auto"/>
          </w:tcPr>
          <w:p w14:paraId="6BBA74BD" w14:textId="77777777" w:rsidR="00650A90" w:rsidRPr="008E7986" w:rsidRDefault="00650A90">
            <w:pPr>
              <w:pStyle w:val="TableText"/>
              <w:jc w:val="center"/>
              <w:rPr>
                <w:rFonts w:cs="Courier New"/>
              </w:rPr>
            </w:pPr>
            <w:r w:rsidRPr="008E7986">
              <w:rPr>
                <w:rFonts w:cs="Courier New"/>
              </w:rPr>
              <w:t>53.598009</w:t>
            </w:r>
          </w:p>
        </w:tc>
      </w:tr>
      <w:tr w:rsidR="00650A90" w:rsidRPr="00627692" w14:paraId="57E4C0A7" w14:textId="77777777" w:rsidTr="00AA021D">
        <w:trPr>
          <w:cantSplit/>
        </w:trPr>
        <w:tc>
          <w:tcPr>
            <w:tcW w:w="2099" w:type="pct"/>
            <w:shd w:val="clear" w:color="auto" w:fill="auto"/>
          </w:tcPr>
          <w:p w14:paraId="62A56234" w14:textId="77777777" w:rsidR="00650A90" w:rsidRPr="008E7986" w:rsidRDefault="00650A90" w:rsidP="00BC58A8">
            <w:pPr>
              <w:pStyle w:val="TableText"/>
              <w:rPr>
                <w:bCs/>
              </w:rPr>
            </w:pPr>
            <w:r w:rsidRPr="008E7986">
              <w:t>Māori</w:t>
            </w:r>
          </w:p>
        </w:tc>
        <w:tc>
          <w:tcPr>
            <w:tcW w:w="979" w:type="pct"/>
            <w:shd w:val="clear" w:color="auto" w:fill="auto"/>
          </w:tcPr>
          <w:p w14:paraId="7DB56264" w14:textId="77777777" w:rsidR="00650A90" w:rsidRPr="008E7986" w:rsidRDefault="00650A90" w:rsidP="009E372C">
            <w:pPr>
              <w:pStyle w:val="TableText"/>
              <w:tabs>
                <w:tab w:val="decimal" w:pos="629"/>
              </w:tabs>
            </w:pPr>
            <w:r w:rsidRPr="008E7986">
              <w:rPr>
                <w:rFonts w:cs="Courier New"/>
              </w:rPr>
              <w:t>0.0770441</w:t>
            </w:r>
          </w:p>
        </w:tc>
        <w:tc>
          <w:tcPr>
            <w:tcW w:w="1922" w:type="pct"/>
            <w:shd w:val="clear" w:color="auto" w:fill="auto"/>
          </w:tcPr>
          <w:p w14:paraId="328CA00C" w14:textId="77777777" w:rsidR="00650A90" w:rsidRPr="008E7986" w:rsidRDefault="00650A90">
            <w:pPr>
              <w:pStyle w:val="TableText"/>
              <w:jc w:val="center"/>
              <w:rPr>
                <w:rFonts w:cs="Courier New"/>
              </w:rPr>
            </w:pPr>
          </w:p>
        </w:tc>
      </w:tr>
      <w:tr w:rsidR="00650A90" w:rsidRPr="00627692" w14:paraId="2B3D41E7" w14:textId="77777777" w:rsidTr="00AA021D">
        <w:trPr>
          <w:cantSplit/>
        </w:trPr>
        <w:tc>
          <w:tcPr>
            <w:tcW w:w="2099" w:type="pct"/>
            <w:shd w:val="clear" w:color="auto" w:fill="auto"/>
          </w:tcPr>
          <w:p w14:paraId="7DBFADC4" w14:textId="77777777" w:rsidR="00650A90" w:rsidRPr="008E7986" w:rsidRDefault="00650A90" w:rsidP="00BC58A8">
            <w:pPr>
              <w:pStyle w:val="TableText"/>
              <w:rPr>
                <w:bCs/>
              </w:rPr>
            </w:pPr>
            <w:r w:rsidRPr="008E7986">
              <w:t>Pacific</w:t>
            </w:r>
          </w:p>
        </w:tc>
        <w:tc>
          <w:tcPr>
            <w:tcW w:w="979" w:type="pct"/>
            <w:shd w:val="clear" w:color="auto" w:fill="auto"/>
          </w:tcPr>
          <w:p w14:paraId="3D7A3602" w14:textId="77777777" w:rsidR="00650A90" w:rsidRPr="008E7986" w:rsidRDefault="00650A90" w:rsidP="009E372C">
            <w:pPr>
              <w:pStyle w:val="TableText"/>
              <w:tabs>
                <w:tab w:val="decimal" w:pos="629"/>
              </w:tabs>
            </w:pPr>
            <w:r w:rsidRPr="008E7986">
              <w:rPr>
                <w:rFonts w:cs="Courier New"/>
              </w:rPr>
              <w:t>-0.2533</w:t>
            </w:r>
          </w:p>
        </w:tc>
        <w:tc>
          <w:tcPr>
            <w:tcW w:w="1922" w:type="pct"/>
            <w:shd w:val="clear" w:color="auto" w:fill="auto"/>
          </w:tcPr>
          <w:p w14:paraId="1476C3AB" w14:textId="77777777" w:rsidR="00650A90" w:rsidRPr="008E7986" w:rsidRDefault="00650A90">
            <w:pPr>
              <w:pStyle w:val="TableText"/>
              <w:jc w:val="center"/>
              <w:rPr>
                <w:rFonts w:cs="Courier New"/>
              </w:rPr>
            </w:pPr>
          </w:p>
        </w:tc>
      </w:tr>
      <w:tr w:rsidR="00650A90" w:rsidRPr="00627692" w14:paraId="0E6D485E" w14:textId="77777777" w:rsidTr="00AA021D">
        <w:trPr>
          <w:cantSplit/>
        </w:trPr>
        <w:tc>
          <w:tcPr>
            <w:tcW w:w="2099" w:type="pct"/>
            <w:shd w:val="clear" w:color="auto" w:fill="auto"/>
          </w:tcPr>
          <w:p w14:paraId="6815F908" w14:textId="77A19EE3" w:rsidR="00650A90" w:rsidRPr="008E7986" w:rsidRDefault="00650A90" w:rsidP="00BC58A8">
            <w:pPr>
              <w:pStyle w:val="TableText"/>
              <w:rPr>
                <w:bCs/>
              </w:rPr>
            </w:pPr>
            <w:r w:rsidRPr="008E7986">
              <w:t>Indian/</w:t>
            </w:r>
            <w:r w:rsidR="00BD613F">
              <w:t xml:space="preserve">Other </w:t>
            </w:r>
            <w:r w:rsidRPr="008E7986">
              <w:t>South Asian</w:t>
            </w:r>
          </w:p>
        </w:tc>
        <w:tc>
          <w:tcPr>
            <w:tcW w:w="979" w:type="pct"/>
            <w:shd w:val="clear" w:color="auto" w:fill="auto"/>
          </w:tcPr>
          <w:p w14:paraId="2DFF9800" w14:textId="5F801A0C" w:rsidR="00650A90" w:rsidRPr="008E7986" w:rsidRDefault="00650A90" w:rsidP="009E372C">
            <w:pPr>
              <w:pStyle w:val="TableText"/>
              <w:tabs>
                <w:tab w:val="decimal" w:pos="629"/>
              </w:tabs>
            </w:pPr>
            <w:r w:rsidRPr="008E7986">
              <w:rPr>
                <w:rFonts w:cs="Courier New"/>
              </w:rPr>
              <w:t>0.138371</w:t>
            </w:r>
          </w:p>
        </w:tc>
        <w:tc>
          <w:tcPr>
            <w:tcW w:w="1922" w:type="pct"/>
            <w:shd w:val="clear" w:color="auto" w:fill="auto"/>
          </w:tcPr>
          <w:p w14:paraId="417707A6" w14:textId="77777777" w:rsidR="00650A90" w:rsidRPr="008E7986" w:rsidRDefault="00650A90">
            <w:pPr>
              <w:pStyle w:val="TableText"/>
              <w:jc w:val="center"/>
              <w:rPr>
                <w:rFonts w:cs="Courier New"/>
              </w:rPr>
            </w:pPr>
          </w:p>
        </w:tc>
      </w:tr>
      <w:tr w:rsidR="00650A90" w:rsidRPr="00627692" w14:paraId="2A7FD1C6" w14:textId="77777777" w:rsidTr="00AA021D">
        <w:trPr>
          <w:cantSplit/>
        </w:trPr>
        <w:tc>
          <w:tcPr>
            <w:tcW w:w="2099" w:type="pct"/>
            <w:shd w:val="clear" w:color="auto" w:fill="auto"/>
          </w:tcPr>
          <w:p w14:paraId="117E088E" w14:textId="77777777" w:rsidR="00650A90" w:rsidRPr="008E7986" w:rsidRDefault="00650A90" w:rsidP="00BC58A8">
            <w:pPr>
              <w:pStyle w:val="TableText"/>
              <w:rPr>
                <w:bCs/>
              </w:rPr>
            </w:pPr>
            <w:r w:rsidRPr="008E7986">
              <w:t>Chinese/Asian</w:t>
            </w:r>
          </w:p>
        </w:tc>
        <w:tc>
          <w:tcPr>
            <w:tcW w:w="979" w:type="pct"/>
            <w:shd w:val="clear" w:color="auto" w:fill="auto"/>
          </w:tcPr>
          <w:p w14:paraId="2B1AF13A" w14:textId="77777777" w:rsidR="00650A90" w:rsidRPr="008E7986" w:rsidRDefault="00650A90" w:rsidP="009E372C">
            <w:pPr>
              <w:pStyle w:val="TableText"/>
              <w:tabs>
                <w:tab w:val="decimal" w:pos="629"/>
              </w:tabs>
            </w:pPr>
            <w:r w:rsidRPr="008E7986">
              <w:rPr>
                <w:rFonts w:cs="Courier New"/>
              </w:rPr>
              <w:t>-0.3611259</w:t>
            </w:r>
          </w:p>
        </w:tc>
        <w:tc>
          <w:tcPr>
            <w:tcW w:w="1922" w:type="pct"/>
            <w:shd w:val="clear" w:color="auto" w:fill="auto"/>
          </w:tcPr>
          <w:p w14:paraId="43A4F60B" w14:textId="77777777" w:rsidR="00650A90" w:rsidRPr="008E7986" w:rsidRDefault="00650A90">
            <w:pPr>
              <w:pStyle w:val="TableText"/>
              <w:jc w:val="center"/>
              <w:rPr>
                <w:rFonts w:cs="Courier New"/>
              </w:rPr>
            </w:pPr>
          </w:p>
        </w:tc>
      </w:tr>
      <w:tr w:rsidR="00650A90" w:rsidRPr="00627692" w14:paraId="4F921213" w14:textId="77777777" w:rsidTr="00AA021D">
        <w:trPr>
          <w:cantSplit/>
        </w:trPr>
        <w:tc>
          <w:tcPr>
            <w:tcW w:w="2099" w:type="pct"/>
            <w:shd w:val="clear" w:color="auto" w:fill="auto"/>
          </w:tcPr>
          <w:p w14:paraId="049F613D" w14:textId="3E62FECE" w:rsidR="00650A90" w:rsidRPr="008E7986" w:rsidRDefault="00650A90" w:rsidP="00BC58A8">
            <w:pPr>
              <w:pStyle w:val="TableText"/>
              <w:rPr>
                <w:bCs/>
              </w:rPr>
            </w:pPr>
            <w:proofErr w:type="spellStart"/>
            <w:r w:rsidRPr="008E7986">
              <w:t>NZDep</w:t>
            </w:r>
            <w:proofErr w:type="spellEnd"/>
            <w:r w:rsidRPr="008E7986">
              <w:t xml:space="preserve"> quintile</w:t>
            </w:r>
            <w:r w:rsidR="00AB156F">
              <w:t xml:space="preserve"> (centred)</w:t>
            </w:r>
          </w:p>
        </w:tc>
        <w:tc>
          <w:tcPr>
            <w:tcW w:w="979" w:type="pct"/>
            <w:shd w:val="clear" w:color="auto" w:fill="auto"/>
          </w:tcPr>
          <w:p w14:paraId="71621F7F" w14:textId="77777777" w:rsidR="00650A90" w:rsidRPr="008E7986" w:rsidRDefault="00650A90" w:rsidP="009E372C">
            <w:pPr>
              <w:pStyle w:val="TableText"/>
              <w:tabs>
                <w:tab w:val="decimal" w:pos="629"/>
              </w:tabs>
            </w:pPr>
            <w:r w:rsidRPr="008E7986">
              <w:rPr>
                <w:rFonts w:cs="Courier New"/>
              </w:rPr>
              <w:t>0.0699105</w:t>
            </w:r>
          </w:p>
        </w:tc>
        <w:tc>
          <w:tcPr>
            <w:tcW w:w="1922" w:type="pct"/>
            <w:shd w:val="clear" w:color="auto" w:fill="auto"/>
          </w:tcPr>
          <w:p w14:paraId="5C5F5022" w14:textId="77777777" w:rsidR="00650A90" w:rsidRPr="008E7986" w:rsidRDefault="00650A90">
            <w:pPr>
              <w:pStyle w:val="TableText"/>
              <w:jc w:val="center"/>
              <w:rPr>
                <w:rFonts w:cs="Courier New"/>
              </w:rPr>
            </w:pPr>
            <w:r w:rsidRPr="008E7986">
              <w:rPr>
                <w:rFonts w:cs="Courier New"/>
              </w:rPr>
              <w:t>3.657006</w:t>
            </w:r>
          </w:p>
        </w:tc>
      </w:tr>
      <w:tr w:rsidR="00650A90" w:rsidRPr="00627692" w14:paraId="493C29EE" w14:textId="77777777" w:rsidTr="00AA021D">
        <w:trPr>
          <w:cantSplit/>
        </w:trPr>
        <w:tc>
          <w:tcPr>
            <w:tcW w:w="2099" w:type="pct"/>
            <w:shd w:val="clear" w:color="auto" w:fill="auto"/>
          </w:tcPr>
          <w:p w14:paraId="31CC480F" w14:textId="5BB9C77F" w:rsidR="00650A90" w:rsidRPr="008E7986" w:rsidRDefault="00650A90" w:rsidP="00BC58A8">
            <w:pPr>
              <w:pStyle w:val="TableText"/>
              <w:rPr>
                <w:bCs/>
              </w:rPr>
            </w:pPr>
            <w:r w:rsidRPr="008E7986">
              <w:t>Current</w:t>
            </w:r>
            <w:r w:rsidR="007C77F7">
              <w:t>ly</w:t>
            </w:r>
            <w:r w:rsidRPr="008E7986">
              <w:t xml:space="preserve"> smok</w:t>
            </w:r>
            <w:r w:rsidR="007C77F7">
              <w:t>ing</w:t>
            </w:r>
          </w:p>
        </w:tc>
        <w:tc>
          <w:tcPr>
            <w:tcW w:w="979" w:type="pct"/>
            <w:shd w:val="clear" w:color="auto" w:fill="auto"/>
          </w:tcPr>
          <w:p w14:paraId="04F5232C" w14:textId="77777777" w:rsidR="00650A90" w:rsidRPr="008E7986" w:rsidRDefault="00650A90" w:rsidP="009E372C">
            <w:pPr>
              <w:pStyle w:val="TableText"/>
              <w:tabs>
                <w:tab w:val="decimal" w:pos="629"/>
              </w:tabs>
            </w:pPr>
            <w:r w:rsidRPr="008E7986">
              <w:rPr>
                <w:rFonts w:cs="Courier New"/>
              </w:rPr>
              <w:t>0.4391752</w:t>
            </w:r>
          </w:p>
        </w:tc>
        <w:tc>
          <w:tcPr>
            <w:tcW w:w="1922" w:type="pct"/>
            <w:shd w:val="clear" w:color="auto" w:fill="auto"/>
          </w:tcPr>
          <w:p w14:paraId="4B52F98B" w14:textId="77777777" w:rsidR="00650A90" w:rsidRPr="008E7986" w:rsidRDefault="00650A90">
            <w:pPr>
              <w:pStyle w:val="TableText"/>
              <w:jc w:val="center"/>
              <w:rPr>
                <w:rFonts w:cs="Courier New"/>
              </w:rPr>
            </w:pPr>
          </w:p>
        </w:tc>
      </w:tr>
      <w:tr w:rsidR="00650A90" w:rsidRPr="00627692" w14:paraId="09AECA62" w14:textId="77777777" w:rsidTr="00AA021D">
        <w:trPr>
          <w:cantSplit/>
        </w:trPr>
        <w:tc>
          <w:tcPr>
            <w:tcW w:w="2099" w:type="pct"/>
            <w:shd w:val="clear" w:color="auto" w:fill="auto"/>
          </w:tcPr>
          <w:p w14:paraId="24216089" w14:textId="77777777" w:rsidR="00650A90" w:rsidRPr="008E7986" w:rsidRDefault="00650A90" w:rsidP="00BC58A8">
            <w:pPr>
              <w:pStyle w:val="TableText"/>
              <w:rPr>
                <w:bCs/>
              </w:rPr>
            </w:pPr>
            <w:r w:rsidRPr="008E7986">
              <w:t>Family history of premature CVD</w:t>
            </w:r>
          </w:p>
        </w:tc>
        <w:tc>
          <w:tcPr>
            <w:tcW w:w="979" w:type="pct"/>
            <w:shd w:val="clear" w:color="auto" w:fill="auto"/>
          </w:tcPr>
          <w:p w14:paraId="2F812FC7" w14:textId="77777777" w:rsidR="00650A90" w:rsidRPr="008E7986" w:rsidRDefault="00650A90" w:rsidP="00487E20">
            <w:pPr>
              <w:pStyle w:val="TableText"/>
              <w:tabs>
                <w:tab w:val="decimal" w:pos="629"/>
              </w:tabs>
            </w:pPr>
            <w:r w:rsidRPr="008E7986">
              <w:rPr>
                <w:rFonts w:cs="Courier New"/>
              </w:rPr>
              <w:t>0.1063846</w:t>
            </w:r>
          </w:p>
        </w:tc>
        <w:tc>
          <w:tcPr>
            <w:tcW w:w="1922" w:type="pct"/>
            <w:shd w:val="clear" w:color="auto" w:fill="auto"/>
          </w:tcPr>
          <w:p w14:paraId="0A12AE20" w14:textId="77777777" w:rsidR="00650A90" w:rsidRPr="008E7986" w:rsidRDefault="00650A90">
            <w:pPr>
              <w:pStyle w:val="TableText"/>
              <w:jc w:val="center"/>
              <w:rPr>
                <w:rFonts w:cs="Courier New"/>
              </w:rPr>
            </w:pPr>
          </w:p>
        </w:tc>
      </w:tr>
      <w:tr w:rsidR="00650A90" w:rsidRPr="00627692" w14:paraId="4D828BB8" w14:textId="77777777" w:rsidTr="00AA021D">
        <w:trPr>
          <w:cantSplit/>
        </w:trPr>
        <w:tc>
          <w:tcPr>
            <w:tcW w:w="2099" w:type="pct"/>
            <w:shd w:val="clear" w:color="auto" w:fill="auto"/>
          </w:tcPr>
          <w:p w14:paraId="1196D364" w14:textId="77777777" w:rsidR="00650A90" w:rsidRPr="008E7986" w:rsidRDefault="00650A90" w:rsidP="00BC58A8">
            <w:pPr>
              <w:pStyle w:val="TableText"/>
              <w:rPr>
                <w:bCs/>
              </w:rPr>
            </w:pPr>
            <w:r w:rsidRPr="008E7986">
              <w:t>Atrial fibrillation</w:t>
            </w:r>
          </w:p>
        </w:tc>
        <w:tc>
          <w:tcPr>
            <w:tcW w:w="979" w:type="pct"/>
            <w:shd w:val="clear" w:color="auto" w:fill="auto"/>
          </w:tcPr>
          <w:p w14:paraId="6238693C" w14:textId="77777777" w:rsidR="00650A90" w:rsidRPr="008E7986" w:rsidRDefault="00650A90" w:rsidP="00487E20">
            <w:pPr>
              <w:pStyle w:val="TableText"/>
              <w:tabs>
                <w:tab w:val="decimal" w:pos="629"/>
              </w:tabs>
            </w:pPr>
            <w:r w:rsidRPr="008E7986">
              <w:rPr>
                <w:rFonts w:cs="Courier New"/>
              </w:rPr>
              <w:t>0.7864886</w:t>
            </w:r>
          </w:p>
        </w:tc>
        <w:tc>
          <w:tcPr>
            <w:tcW w:w="1922" w:type="pct"/>
            <w:shd w:val="clear" w:color="auto" w:fill="auto"/>
          </w:tcPr>
          <w:p w14:paraId="292A0EB2" w14:textId="77777777" w:rsidR="00650A90" w:rsidRPr="008E7986" w:rsidRDefault="00650A90">
            <w:pPr>
              <w:pStyle w:val="TableText"/>
              <w:jc w:val="center"/>
              <w:rPr>
                <w:rFonts w:cs="Courier New"/>
              </w:rPr>
            </w:pPr>
          </w:p>
        </w:tc>
      </w:tr>
      <w:tr w:rsidR="00650A90" w:rsidRPr="00627692" w14:paraId="10D1885D" w14:textId="77777777" w:rsidTr="00AA021D">
        <w:trPr>
          <w:cantSplit/>
        </w:trPr>
        <w:tc>
          <w:tcPr>
            <w:tcW w:w="2099" w:type="pct"/>
            <w:shd w:val="clear" w:color="auto" w:fill="auto"/>
          </w:tcPr>
          <w:p w14:paraId="2436EF82" w14:textId="51FC612F" w:rsidR="00650A90" w:rsidRPr="008E7986" w:rsidRDefault="00650A90" w:rsidP="00BC58A8">
            <w:pPr>
              <w:pStyle w:val="TableText"/>
              <w:rPr>
                <w:bCs/>
              </w:rPr>
            </w:pPr>
            <w:r w:rsidRPr="008E7986">
              <w:t xml:space="preserve">Systolic </w:t>
            </w:r>
            <w:proofErr w:type="gramStart"/>
            <w:r w:rsidRPr="008E7986">
              <w:t>BP</w:t>
            </w:r>
            <w:r w:rsidR="00AB156F">
              <w:t>(</w:t>
            </w:r>
            <w:proofErr w:type="gramEnd"/>
            <w:r w:rsidR="00AB156F">
              <w:t>centred)</w:t>
            </w:r>
          </w:p>
        </w:tc>
        <w:tc>
          <w:tcPr>
            <w:tcW w:w="979" w:type="pct"/>
            <w:shd w:val="clear" w:color="auto" w:fill="auto"/>
          </w:tcPr>
          <w:p w14:paraId="6A8F03A6" w14:textId="77777777" w:rsidR="00650A90" w:rsidRPr="008E7986" w:rsidRDefault="00650A90" w:rsidP="00487E20">
            <w:pPr>
              <w:pStyle w:val="TableText"/>
              <w:tabs>
                <w:tab w:val="decimal" w:pos="629"/>
              </w:tabs>
            </w:pPr>
            <w:r w:rsidRPr="008E7986">
              <w:rPr>
                <w:rFonts w:cs="Courier New"/>
              </w:rPr>
              <w:t>0.0127053</w:t>
            </w:r>
          </w:p>
        </w:tc>
        <w:tc>
          <w:tcPr>
            <w:tcW w:w="1922" w:type="pct"/>
            <w:shd w:val="clear" w:color="auto" w:fill="auto"/>
          </w:tcPr>
          <w:p w14:paraId="0B8BE4B4" w14:textId="77777777" w:rsidR="00650A90" w:rsidRPr="008E7986" w:rsidRDefault="00650A90">
            <w:pPr>
              <w:pStyle w:val="TableText"/>
              <w:jc w:val="center"/>
              <w:rPr>
                <w:rFonts w:cs="Courier New"/>
              </w:rPr>
            </w:pPr>
            <w:r w:rsidRPr="008E7986">
              <w:rPr>
                <w:rFonts w:cs="Courier New"/>
              </w:rPr>
              <w:t>131.380365</w:t>
            </w:r>
          </w:p>
        </w:tc>
      </w:tr>
      <w:tr w:rsidR="00650A90" w:rsidRPr="00627692" w14:paraId="17CBF6D8" w14:textId="77777777" w:rsidTr="00AA021D">
        <w:trPr>
          <w:cantSplit/>
        </w:trPr>
        <w:tc>
          <w:tcPr>
            <w:tcW w:w="2099" w:type="pct"/>
            <w:shd w:val="clear" w:color="auto" w:fill="auto"/>
          </w:tcPr>
          <w:p w14:paraId="51690963" w14:textId="01273466" w:rsidR="00650A90" w:rsidRPr="008E7986" w:rsidRDefault="00650A90" w:rsidP="00BC58A8">
            <w:pPr>
              <w:pStyle w:val="TableText"/>
              <w:rPr>
                <w:bCs/>
              </w:rPr>
            </w:pPr>
            <w:proofErr w:type="gramStart"/>
            <w:r w:rsidRPr="008E7986">
              <w:t>TC</w:t>
            </w:r>
            <w:r w:rsidR="007F2807">
              <w:t>:</w:t>
            </w:r>
            <w:r w:rsidRPr="008E7986">
              <w:t>HDL</w:t>
            </w:r>
            <w:proofErr w:type="gramEnd"/>
            <w:r w:rsidR="007F2807">
              <w:t>-C</w:t>
            </w:r>
            <w:r w:rsidR="00AB156F">
              <w:t xml:space="preserve"> (centred)</w:t>
            </w:r>
          </w:p>
        </w:tc>
        <w:tc>
          <w:tcPr>
            <w:tcW w:w="979" w:type="pct"/>
            <w:shd w:val="clear" w:color="auto" w:fill="auto"/>
          </w:tcPr>
          <w:p w14:paraId="4599FE3F" w14:textId="77777777" w:rsidR="00650A90" w:rsidRPr="008E7986" w:rsidRDefault="00650A90">
            <w:pPr>
              <w:pStyle w:val="TableText"/>
              <w:tabs>
                <w:tab w:val="decimal" w:pos="629"/>
              </w:tabs>
            </w:pPr>
            <w:r w:rsidRPr="008E7986">
              <w:rPr>
                <w:rFonts w:cs="Courier New"/>
              </w:rPr>
              <w:t>0.1139678</w:t>
            </w:r>
          </w:p>
        </w:tc>
        <w:tc>
          <w:tcPr>
            <w:tcW w:w="1922" w:type="pct"/>
            <w:shd w:val="clear" w:color="auto" w:fill="auto"/>
          </w:tcPr>
          <w:p w14:paraId="3FBB8437" w14:textId="77777777" w:rsidR="00650A90" w:rsidRPr="008E7986" w:rsidRDefault="00650A90">
            <w:pPr>
              <w:pStyle w:val="TableText"/>
              <w:jc w:val="center"/>
              <w:rPr>
                <w:rFonts w:cs="Courier New"/>
              </w:rPr>
            </w:pPr>
            <w:r w:rsidRPr="008E7986">
              <w:rPr>
                <w:rFonts w:cs="Courier New"/>
              </w:rPr>
              <w:t>3.970698</w:t>
            </w:r>
          </w:p>
        </w:tc>
      </w:tr>
      <w:tr w:rsidR="00650A90" w:rsidRPr="00627692" w14:paraId="79FFE3D2" w14:textId="77777777" w:rsidTr="00AA021D">
        <w:trPr>
          <w:cantSplit/>
        </w:trPr>
        <w:tc>
          <w:tcPr>
            <w:tcW w:w="2099" w:type="pct"/>
            <w:shd w:val="clear" w:color="auto" w:fill="auto"/>
          </w:tcPr>
          <w:p w14:paraId="06C96D2D" w14:textId="0755945A" w:rsidR="00650A90" w:rsidRPr="008E7986" w:rsidRDefault="00650A90" w:rsidP="00BC58A8">
            <w:pPr>
              <w:pStyle w:val="TableText"/>
              <w:rPr>
                <w:bCs/>
              </w:rPr>
            </w:pPr>
            <w:r w:rsidRPr="008E7986">
              <w:t>BMI</w:t>
            </w:r>
            <w:r w:rsidR="00AB156F">
              <w:t xml:space="preserve"> (centred)</w:t>
            </w:r>
          </w:p>
        </w:tc>
        <w:tc>
          <w:tcPr>
            <w:tcW w:w="979" w:type="pct"/>
            <w:shd w:val="clear" w:color="auto" w:fill="auto"/>
          </w:tcPr>
          <w:p w14:paraId="786E0D5E" w14:textId="35E64F61" w:rsidR="00650A90" w:rsidRPr="008E7986" w:rsidRDefault="00650A90" w:rsidP="00487E20">
            <w:pPr>
              <w:pStyle w:val="TableText"/>
              <w:tabs>
                <w:tab w:val="decimal" w:pos="629"/>
              </w:tabs>
            </w:pPr>
            <w:r w:rsidRPr="008E7986">
              <w:rPr>
                <w:rFonts w:cs="Courier New"/>
              </w:rPr>
              <w:t>0.0073966</w:t>
            </w:r>
          </w:p>
        </w:tc>
        <w:tc>
          <w:tcPr>
            <w:tcW w:w="1922" w:type="pct"/>
            <w:shd w:val="clear" w:color="auto" w:fill="auto"/>
          </w:tcPr>
          <w:p w14:paraId="3103CDEE" w14:textId="77777777" w:rsidR="00650A90" w:rsidRPr="008E7986" w:rsidRDefault="00650A90">
            <w:pPr>
              <w:pStyle w:val="TableText"/>
              <w:jc w:val="center"/>
              <w:rPr>
                <w:rFonts w:cs="Courier New"/>
              </w:rPr>
            </w:pPr>
            <w:r w:rsidRPr="008E7986">
              <w:rPr>
                <w:rFonts w:cs="Courier New"/>
              </w:rPr>
              <w:t>33.515572</w:t>
            </w:r>
          </w:p>
        </w:tc>
      </w:tr>
      <w:tr w:rsidR="00650A90" w:rsidRPr="00627692" w14:paraId="73BE0C1A" w14:textId="77777777" w:rsidTr="00AA021D">
        <w:trPr>
          <w:cantSplit/>
        </w:trPr>
        <w:tc>
          <w:tcPr>
            <w:tcW w:w="2099" w:type="pct"/>
            <w:shd w:val="clear" w:color="auto" w:fill="auto"/>
          </w:tcPr>
          <w:p w14:paraId="68D3F09D" w14:textId="5A291686" w:rsidR="00650A90" w:rsidRPr="008E7986" w:rsidRDefault="00650A90">
            <w:pPr>
              <w:pStyle w:val="TableText"/>
              <w:rPr>
                <w:bCs/>
              </w:rPr>
            </w:pPr>
            <w:r w:rsidRPr="008E7986">
              <w:t xml:space="preserve">Years since diagnosis of </w:t>
            </w:r>
            <w:r w:rsidR="00F82CE9">
              <w:t>type 2 diabetes</w:t>
            </w:r>
            <w:r w:rsidR="00AB156F">
              <w:t xml:space="preserve"> (centred)</w:t>
            </w:r>
          </w:p>
        </w:tc>
        <w:tc>
          <w:tcPr>
            <w:tcW w:w="979" w:type="pct"/>
            <w:shd w:val="clear" w:color="auto" w:fill="auto"/>
          </w:tcPr>
          <w:p w14:paraId="25C2A482" w14:textId="77777777" w:rsidR="00650A90" w:rsidRPr="008E7986" w:rsidRDefault="00650A90" w:rsidP="00487E20">
            <w:pPr>
              <w:pStyle w:val="TableText"/>
              <w:tabs>
                <w:tab w:val="decimal" w:pos="629"/>
              </w:tabs>
            </w:pPr>
            <w:r w:rsidRPr="008E7986">
              <w:rPr>
                <w:rFonts w:cs="Courier New"/>
              </w:rPr>
              <w:t>0.0163962</w:t>
            </w:r>
          </w:p>
        </w:tc>
        <w:tc>
          <w:tcPr>
            <w:tcW w:w="1922" w:type="pct"/>
            <w:shd w:val="clear" w:color="auto" w:fill="auto"/>
          </w:tcPr>
          <w:p w14:paraId="372DD12A" w14:textId="77777777" w:rsidR="00650A90" w:rsidRPr="008E7986" w:rsidRDefault="00650A90">
            <w:pPr>
              <w:pStyle w:val="TableText"/>
              <w:jc w:val="center"/>
              <w:rPr>
                <w:rFonts w:cs="Courier New"/>
              </w:rPr>
            </w:pPr>
            <w:r w:rsidRPr="008E7986">
              <w:rPr>
                <w:rFonts w:cs="Courier New"/>
              </w:rPr>
              <w:t>5.406364</w:t>
            </w:r>
          </w:p>
        </w:tc>
      </w:tr>
      <w:tr w:rsidR="00650A90" w:rsidRPr="00627692" w14:paraId="2D25D697" w14:textId="77777777" w:rsidTr="00AA021D">
        <w:trPr>
          <w:cantSplit/>
        </w:trPr>
        <w:tc>
          <w:tcPr>
            <w:tcW w:w="2099" w:type="pct"/>
            <w:shd w:val="clear" w:color="auto" w:fill="auto"/>
          </w:tcPr>
          <w:p w14:paraId="5CE32519" w14:textId="786EAE05" w:rsidR="00650A90" w:rsidRPr="008E7986" w:rsidRDefault="00650A90" w:rsidP="00BC58A8">
            <w:pPr>
              <w:pStyle w:val="TableText"/>
              <w:rPr>
                <w:bCs/>
              </w:rPr>
            </w:pPr>
            <w:r w:rsidRPr="008E7986">
              <w:t>eGFR</w:t>
            </w:r>
            <w:r w:rsidR="00AB156F">
              <w:t xml:space="preserve"> (centred)</w:t>
            </w:r>
          </w:p>
        </w:tc>
        <w:tc>
          <w:tcPr>
            <w:tcW w:w="979" w:type="pct"/>
            <w:shd w:val="clear" w:color="auto" w:fill="auto"/>
          </w:tcPr>
          <w:p w14:paraId="11132041" w14:textId="77777777" w:rsidR="00650A90" w:rsidRPr="008E7986" w:rsidRDefault="00650A90" w:rsidP="00487E20">
            <w:pPr>
              <w:pStyle w:val="TableText"/>
              <w:tabs>
                <w:tab w:val="decimal" w:pos="629"/>
              </w:tabs>
            </w:pPr>
            <w:r w:rsidRPr="008E7986">
              <w:rPr>
                <w:rFonts w:cs="Courier New"/>
              </w:rPr>
              <w:t>-0.0090784</w:t>
            </w:r>
          </w:p>
        </w:tc>
        <w:tc>
          <w:tcPr>
            <w:tcW w:w="1922" w:type="pct"/>
            <w:shd w:val="clear" w:color="auto" w:fill="auto"/>
          </w:tcPr>
          <w:p w14:paraId="25C90DDE" w14:textId="77777777" w:rsidR="00650A90" w:rsidRPr="008E7986" w:rsidRDefault="00650A90">
            <w:pPr>
              <w:pStyle w:val="TableText"/>
              <w:jc w:val="center"/>
              <w:rPr>
                <w:rFonts w:cs="Courier New"/>
              </w:rPr>
            </w:pPr>
            <w:r w:rsidRPr="008E7986">
              <w:rPr>
                <w:rFonts w:cs="Courier New"/>
              </w:rPr>
              <w:t>89.558866</w:t>
            </w:r>
          </w:p>
        </w:tc>
      </w:tr>
      <w:tr w:rsidR="00650A90" w:rsidRPr="00627692" w14:paraId="42CF1CDA" w14:textId="77777777" w:rsidTr="00AA021D">
        <w:trPr>
          <w:cantSplit/>
        </w:trPr>
        <w:tc>
          <w:tcPr>
            <w:tcW w:w="2099" w:type="pct"/>
            <w:shd w:val="clear" w:color="auto" w:fill="auto"/>
          </w:tcPr>
          <w:p w14:paraId="1FA629A3" w14:textId="321AEF5F" w:rsidR="00650A90" w:rsidRPr="008E7986" w:rsidRDefault="00650A90" w:rsidP="00BC58A8">
            <w:pPr>
              <w:pStyle w:val="TableText"/>
              <w:rPr>
                <w:bCs/>
              </w:rPr>
            </w:pPr>
            <w:r w:rsidRPr="008E7986">
              <w:lastRenderedPageBreak/>
              <w:t>ACR</w:t>
            </w:r>
            <w:r w:rsidR="009316A6">
              <w:t xml:space="preserve"> (centred, log transformed and scaled)</w:t>
            </w:r>
          </w:p>
        </w:tc>
        <w:tc>
          <w:tcPr>
            <w:tcW w:w="979" w:type="pct"/>
            <w:shd w:val="clear" w:color="auto" w:fill="auto"/>
          </w:tcPr>
          <w:p w14:paraId="44981055" w14:textId="77777777" w:rsidR="00650A90" w:rsidRPr="008E7986" w:rsidRDefault="00650A90" w:rsidP="00487E20">
            <w:pPr>
              <w:pStyle w:val="TableText"/>
              <w:tabs>
                <w:tab w:val="decimal" w:pos="629"/>
              </w:tabs>
            </w:pPr>
            <w:r w:rsidRPr="008E7986">
              <w:rPr>
                <w:rFonts w:cs="Courier New"/>
              </w:rPr>
              <w:t>0.1842885</w:t>
            </w:r>
          </w:p>
        </w:tc>
        <w:tc>
          <w:tcPr>
            <w:tcW w:w="1922" w:type="pct"/>
            <w:shd w:val="clear" w:color="auto" w:fill="auto"/>
          </w:tcPr>
          <w:p w14:paraId="0A671174" w14:textId="096B177C" w:rsidR="003D1973" w:rsidRDefault="00282AA9" w:rsidP="00487E20">
            <w:pPr>
              <w:pStyle w:val="TableText"/>
              <w:jc w:val="center"/>
              <w:rPr>
                <w:rFonts w:cs="Courier New"/>
              </w:rPr>
            </w:pPr>
            <w:r>
              <w:rPr>
                <w:rFonts w:cs="Courier New"/>
              </w:rPr>
              <w:t>Calculation</w:t>
            </w:r>
            <w:r w:rsidR="003D1973">
              <w:rPr>
                <w:rFonts w:cs="Courier New"/>
              </w:rPr>
              <w:t xml:space="preserve"> producing centred value: </w:t>
            </w:r>
          </w:p>
          <w:p w14:paraId="4C826E52" w14:textId="0D3E5A81" w:rsidR="00650A90" w:rsidRPr="008E7986" w:rsidRDefault="00650A90" w:rsidP="00906070">
            <w:pPr>
              <w:pStyle w:val="TableText"/>
              <w:jc w:val="center"/>
              <w:rPr>
                <w:rFonts w:cs="Courier New"/>
              </w:rPr>
            </w:pPr>
            <w:r w:rsidRPr="008E7986">
              <w:rPr>
                <w:rFonts w:cs="Courier New"/>
              </w:rPr>
              <w:t>l</w:t>
            </w:r>
            <w:r w:rsidR="00906070">
              <w:rPr>
                <w:rFonts w:cs="Courier New"/>
              </w:rPr>
              <w:t>og</w:t>
            </w:r>
            <w:r w:rsidR="00906070" w:rsidRPr="00AA021D">
              <w:rPr>
                <w:rFonts w:cs="Courier New"/>
                <w:vertAlign w:val="subscript"/>
              </w:rPr>
              <w:t>e</w:t>
            </w:r>
            <w:r w:rsidRPr="008E7986">
              <w:rPr>
                <w:rFonts w:cs="Courier New"/>
              </w:rPr>
              <w:t>(X)</w:t>
            </w:r>
            <w:r w:rsidR="0072556C">
              <w:rPr>
                <w:rFonts w:cs="Courier New"/>
              </w:rPr>
              <w:t xml:space="preserve"> </w:t>
            </w:r>
            <w:r w:rsidRPr="008E7986">
              <w:rPr>
                <w:rFonts w:cs="Courier New"/>
              </w:rPr>
              <w:t>+</w:t>
            </w:r>
            <w:r w:rsidR="0072556C">
              <w:rPr>
                <w:rFonts w:cs="Courier New"/>
              </w:rPr>
              <w:t xml:space="preserve"> </w:t>
            </w:r>
            <w:r w:rsidRPr="008E7986">
              <w:rPr>
                <w:rFonts w:cs="Courier New"/>
              </w:rPr>
              <w:t>4.314302355</w:t>
            </w:r>
            <w:r w:rsidR="00906070">
              <w:rPr>
                <w:rFonts w:cs="Courier New"/>
              </w:rPr>
              <w:br/>
            </w:r>
            <w:r w:rsidRPr="008E7986">
              <w:rPr>
                <w:rFonts w:cs="Courier New"/>
              </w:rPr>
              <w:t>where</w:t>
            </w:r>
            <w:r w:rsidR="00906070">
              <w:rPr>
                <w:rFonts w:cs="Courier New"/>
              </w:rPr>
              <w:t xml:space="preserve"> </w:t>
            </w:r>
            <w:r w:rsidRPr="008E7986">
              <w:rPr>
                <w:rFonts w:cs="Courier New"/>
              </w:rPr>
              <w:t>X</w:t>
            </w:r>
            <w:r w:rsidR="00906070">
              <w:rPr>
                <w:rFonts w:cs="Courier New"/>
              </w:rPr>
              <w:t xml:space="preserve"> </w:t>
            </w:r>
            <w:r w:rsidRPr="008E7986">
              <w:rPr>
                <w:rFonts w:cs="Courier New"/>
              </w:rPr>
              <w:t>=</w:t>
            </w:r>
            <w:r w:rsidR="00906070">
              <w:rPr>
                <w:rFonts w:cs="Courier New"/>
              </w:rPr>
              <w:br/>
            </w:r>
            <w:r w:rsidRPr="008E7986">
              <w:rPr>
                <w:rFonts w:cs="Courier New"/>
              </w:rPr>
              <w:t>(ACR</w:t>
            </w:r>
            <w:r w:rsidR="0072556C">
              <w:rPr>
                <w:rFonts w:cs="Courier New"/>
              </w:rPr>
              <w:t xml:space="preserve"> </w:t>
            </w:r>
            <w:r w:rsidRPr="008E7986">
              <w:rPr>
                <w:rFonts w:cs="Courier New"/>
              </w:rPr>
              <w:t>+</w:t>
            </w:r>
            <w:r w:rsidR="0072556C">
              <w:rPr>
                <w:rFonts w:cs="Courier New"/>
              </w:rPr>
              <w:t xml:space="preserve"> </w:t>
            </w:r>
            <w:r w:rsidRPr="008E7986">
              <w:rPr>
                <w:rFonts w:cs="Courier New"/>
              </w:rPr>
              <w:t>0.0099999997764826)/1000</w:t>
            </w:r>
          </w:p>
        </w:tc>
      </w:tr>
      <w:tr w:rsidR="00650A90" w:rsidRPr="00627692" w14:paraId="385C2F15" w14:textId="77777777" w:rsidTr="00AA021D">
        <w:trPr>
          <w:cantSplit/>
        </w:trPr>
        <w:tc>
          <w:tcPr>
            <w:tcW w:w="2099" w:type="pct"/>
            <w:shd w:val="clear" w:color="auto" w:fill="auto"/>
          </w:tcPr>
          <w:p w14:paraId="1E92A19A" w14:textId="4916E3A9" w:rsidR="00650A90" w:rsidRPr="008E7986" w:rsidRDefault="00650A90" w:rsidP="00BC58A8">
            <w:pPr>
              <w:pStyle w:val="TableText"/>
              <w:rPr>
                <w:bCs/>
                <w:vertAlign w:val="subscript"/>
              </w:rPr>
            </w:pPr>
            <w:r w:rsidRPr="008E7986">
              <w:t>HbA1c</w:t>
            </w:r>
            <w:r w:rsidR="00AB156F">
              <w:t xml:space="preserve"> (centred)</w:t>
            </w:r>
          </w:p>
        </w:tc>
        <w:tc>
          <w:tcPr>
            <w:tcW w:w="979" w:type="pct"/>
            <w:shd w:val="clear" w:color="auto" w:fill="auto"/>
          </w:tcPr>
          <w:p w14:paraId="7A4E5294" w14:textId="77777777" w:rsidR="00650A90" w:rsidRPr="008E7986" w:rsidRDefault="00650A90" w:rsidP="00487E20">
            <w:pPr>
              <w:pStyle w:val="TableText"/>
              <w:tabs>
                <w:tab w:val="decimal" w:pos="629"/>
              </w:tabs>
            </w:pPr>
            <w:r w:rsidRPr="008E7986">
              <w:rPr>
                <w:rFonts w:cs="Courier New"/>
              </w:rPr>
              <w:t>0.0076733</w:t>
            </w:r>
          </w:p>
        </w:tc>
        <w:tc>
          <w:tcPr>
            <w:tcW w:w="1922" w:type="pct"/>
            <w:shd w:val="clear" w:color="auto" w:fill="auto"/>
          </w:tcPr>
          <w:p w14:paraId="29C2FC77" w14:textId="77777777" w:rsidR="00650A90" w:rsidRPr="008E7986" w:rsidRDefault="00650A90">
            <w:pPr>
              <w:pStyle w:val="TableText"/>
              <w:jc w:val="center"/>
              <w:rPr>
                <w:rFonts w:cs="Courier New"/>
              </w:rPr>
            </w:pPr>
            <w:r w:rsidRPr="008E7986">
              <w:rPr>
                <w:rFonts w:cs="Courier New"/>
              </w:rPr>
              <w:t>63.618622</w:t>
            </w:r>
          </w:p>
        </w:tc>
      </w:tr>
      <w:tr w:rsidR="00650A90" w:rsidRPr="00627692" w14:paraId="361E2B5B" w14:textId="77777777" w:rsidTr="00AA021D">
        <w:trPr>
          <w:cantSplit/>
        </w:trPr>
        <w:tc>
          <w:tcPr>
            <w:tcW w:w="2099" w:type="pct"/>
            <w:shd w:val="clear" w:color="auto" w:fill="auto"/>
          </w:tcPr>
          <w:p w14:paraId="438707E7" w14:textId="77777777" w:rsidR="00650A90" w:rsidRPr="008E7986" w:rsidRDefault="00650A90" w:rsidP="00BC58A8">
            <w:pPr>
              <w:pStyle w:val="TableText"/>
              <w:rPr>
                <w:bCs/>
              </w:rPr>
            </w:pPr>
            <w:r w:rsidRPr="008E7986">
              <w:t>On oral hypoglycaemic medication</w:t>
            </w:r>
          </w:p>
        </w:tc>
        <w:tc>
          <w:tcPr>
            <w:tcW w:w="979" w:type="pct"/>
            <w:shd w:val="clear" w:color="auto" w:fill="auto"/>
          </w:tcPr>
          <w:p w14:paraId="2E470980" w14:textId="7D86DA1A" w:rsidR="00650A90" w:rsidRPr="008E7986" w:rsidRDefault="00650A90" w:rsidP="00487E20">
            <w:pPr>
              <w:pStyle w:val="TableText"/>
              <w:tabs>
                <w:tab w:val="decimal" w:pos="629"/>
              </w:tabs>
            </w:pPr>
            <w:r w:rsidRPr="008E7986">
              <w:rPr>
                <w:rFonts w:cs="Courier New"/>
              </w:rPr>
              <w:t>0.1248604</w:t>
            </w:r>
          </w:p>
        </w:tc>
        <w:tc>
          <w:tcPr>
            <w:tcW w:w="1922" w:type="pct"/>
            <w:shd w:val="clear" w:color="auto" w:fill="auto"/>
          </w:tcPr>
          <w:p w14:paraId="76445282" w14:textId="77777777" w:rsidR="00650A90" w:rsidRPr="008E7986" w:rsidRDefault="00650A90">
            <w:pPr>
              <w:pStyle w:val="TableText"/>
              <w:jc w:val="center"/>
              <w:rPr>
                <w:rFonts w:cs="Courier New"/>
              </w:rPr>
            </w:pPr>
          </w:p>
        </w:tc>
      </w:tr>
      <w:tr w:rsidR="00650A90" w:rsidRPr="00627692" w14:paraId="3261CB4C" w14:textId="77777777" w:rsidTr="00AA021D">
        <w:trPr>
          <w:cantSplit/>
        </w:trPr>
        <w:tc>
          <w:tcPr>
            <w:tcW w:w="2099" w:type="pct"/>
            <w:shd w:val="clear" w:color="auto" w:fill="auto"/>
          </w:tcPr>
          <w:p w14:paraId="3E720BB7" w14:textId="77777777" w:rsidR="00650A90" w:rsidRPr="008E7986" w:rsidRDefault="00650A90" w:rsidP="00BC58A8">
            <w:pPr>
              <w:pStyle w:val="TableText"/>
              <w:rPr>
                <w:bCs/>
              </w:rPr>
            </w:pPr>
            <w:r w:rsidRPr="008E7986">
              <w:t>On insulin</w:t>
            </w:r>
          </w:p>
        </w:tc>
        <w:tc>
          <w:tcPr>
            <w:tcW w:w="979" w:type="pct"/>
            <w:shd w:val="clear" w:color="auto" w:fill="auto"/>
          </w:tcPr>
          <w:p w14:paraId="38383429" w14:textId="77777777" w:rsidR="00650A90" w:rsidRPr="008E7986" w:rsidRDefault="00650A90" w:rsidP="00487E20">
            <w:pPr>
              <w:pStyle w:val="TableText"/>
              <w:tabs>
                <w:tab w:val="decimal" w:pos="629"/>
              </w:tabs>
            </w:pPr>
            <w:r w:rsidRPr="008E7986">
              <w:rPr>
                <w:rFonts w:cs="Courier New"/>
              </w:rPr>
              <w:t>0.3535548</w:t>
            </w:r>
          </w:p>
        </w:tc>
        <w:tc>
          <w:tcPr>
            <w:tcW w:w="1922" w:type="pct"/>
            <w:shd w:val="clear" w:color="auto" w:fill="auto"/>
          </w:tcPr>
          <w:p w14:paraId="5F35EA13" w14:textId="77777777" w:rsidR="00650A90" w:rsidRPr="008E7986" w:rsidRDefault="00650A90">
            <w:pPr>
              <w:pStyle w:val="TableText"/>
              <w:jc w:val="center"/>
              <w:rPr>
                <w:rFonts w:cs="Courier New"/>
              </w:rPr>
            </w:pPr>
          </w:p>
        </w:tc>
      </w:tr>
      <w:tr w:rsidR="00650A90" w:rsidRPr="00627692" w14:paraId="23AE89E2" w14:textId="77777777" w:rsidTr="00AA021D">
        <w:trPr>
          <w:cantSplit/>
        </w:trPr>
        <w:tc>
          <w:tcPr>
            <w:tcW w:w="2099" w:type="pct"/>
            <w:shd w:val="clear" w:color="auto" w:fill="auto"/>
          </w:tcPr>
          <w:p w14:paraId="6CC0E7C4" w14:textId="133292C9" w:rsidR="00650A90" w:rsidRPr="008E7986" w:rsidRDefault="00650A90" w:rsidP="00BC58A8">
            <w:pPr>
              <w:pStyle w:val="TableText"/>
              <w:rPr>
                <w:bCs/>
              </w:rPr>
            </w:pPr>
            <w:r w:rsidRPr="008E7986">
              <w:t>On BP-</w:t>
            </w:r>
            <w:r w:rsidR="00BC58A8">
              <w:t>lowering medication</w:t>
            </w:r>
          </w:p>
        </w:tc>
        <w:tc>
          <w:tcPr>
            <w:tcW w:w="979" w:type="pct"/>
            <w:shd w:val="clear" w:color="auto" w:fill="auto"/>
          </w:tcPr>
          <w:p w14:paraId="3F883D25" w14:textId="77777777" w:rsidR="00650A90" w:rsidRPr="008E7986" w:rsidRDefault="00650A90" w:rsidP="00487E20">
            <w:pPr>
              <w:pStyle w:val="TableText"/>
              <w:tabs>
                <w:tab w:val="decimal" w:pos="629"/>
              </w:tabs>
            </w:pPr>
            <w:r w:rsidRPr="008E7986">
              <w:rPr>
                <w:rFonts w:cs="Courier New"/>
              </w:rPr>
              <w:t>0.0988141</w:t>
            </w:r>
          </w:p>
        </w:tc>
        <w:tc>
          <w:tcPr>
            <w:tcW w:w="1922" w:type="pct"/>
            <w:shd w:val="clear" w:color="auto" w:fill="auto"/>
          </w:tcPr>
          <w:p w14:paraId="689E8057" w14:textId="77777777" w:rsidR="00650A90" w:rsidRPr="008E7986" w:rsidRDefault="00650A90">
            <w:pPr>
              <w:pStyle w:val="TableText"/>
              <w:jc w:val="center"/>
              <w:rPr>
                <w:rFonts w:cs="Courier New"/>
              </w:rPr>
            </w:pPr>
          </w:p>
        </w:tc>
      </w:tr>
      <w:tr w:rsidR="00650A90" w:rsidRPr="00627692" w14:paraId="0B45F111" w14:textId="77777777" w:rsidTr="00AA021D">
        <w:trPr>
          <w:cantSplit/>
        </w:trPr>
        <w:tc>
          <w:tcPr>
            <w:tcW w:w="2099" w:type="pct"/>
            <w:shd w:val="clear" w:color="auto" w:fill="auto"/>
          </w:tcPr>
          <w:p w14:paraId="79EC7BBD" w14:textId="77777777" w:rsidR="00650A90" w:rsidRPr="008E7986" w:rsidRDefault="00650A90" w:rsidP="00BC58A8">
            <w:pPr>
              <w:pStyle w:val="TableText"/>
              <w:rPr>
                <w:bCs/>
              </w:rPr>
            </w:pPr>
            <w:r w:rsidRPr="008E7986">
              <w:t>On lipid-lowering medication</w:t>
            </w:r>
          </w:p>
        </w:tc>
        <w:tc>
          <w:tcPr>
            <w:tcW w:w="979" w:type="pct"/>
            <w:shd w:val="clear" w:color="auto" w:fill="auto"/>
          </w:tcPr>
          <w:p w14:paraId="0053FD4C" w14:textId="396A164D" w:rsidR="00650A90" w:rsidRPr="008E7986" w:rsidRDefault="00650A90" w:rsidP="00487E20">
            <w:pPr>
              <w:pStyle w:val="TableText"/>
              <w:tabs>
                <w:tab w:val="decimal" w:pos="629"/>
              </w:tabs>
            </w:pPr>
            <w:r w:rsidRPr="008E7986">
              <w:rPr>
                <w:rFonts w:cs="Courier New"/>
              </w:rPr>
              <w:t>-0.1595083</w:t>
            </w:r>
          </w:p>
        </w:tc>
        <w:tc>
          <w:tcPr>
            <w:tcW w:w="1922" w:type="pct"/>
            <w:shd w:val="clear" w:color="auto" w:fill="auto"/>
          </w:tcPr>
          <w:p w14:paraId="3128F4D9" w14:textId="77777777" w:rsidR="00650A90" w:rsidRPr="008E7986" w:rsidRDefault="00650A90">
            <w:pPr>
              <w:pStyle w:val="TableText"/>
              <w:jc w:val="center"/>
              <w:rPr>
                <w:rFonts w:cs="Courier New"/>
              </w:rPr>
            </w:pPr>
          </w:p>
        </w:tc>
      </w:tr>
      <w:tr w:rsidR="00650A90" w:rsidRPr="00627692" w14:paraId="2EA62457" w14:textId="77777777" w:rsidTr="00AA021D">
        <w:trPr>
          <w:cantSplit/>
        </w:trPr>
        <w:tc>
          <w:tcPr>
            <w:tcW w:w="2099" w:type="pct"/>
            <w:shd w:val="clear" w:color="auto" w:fill="auto"/>
          </w:tcPr>
          <w:p w14:paraId="153DDEF0" w14:textId="77777777" w:rsidR="00650A90" w:rsidRPr="008E7986" w:rsidRDefault="00650A90" w:rsidP="00BC58A8">
            <w:pPr>
              <w:pStyle w:val="TableText"/>
              <w:rPr>
                <w:bCs/>
              </w:rPr>
            </w:pPr>
            <w:r w:rsidRPr="008E7986">
              <w:t>On either antiplatelet or anticoagulant medications</w:t>
            </w:r>
          </w:p>
        </w:tc>
        <w:tc>
          <w:tcPr>
            <w:tcW w:w="979" w:type="pct"/>
            <w:shd w:val="clear" w:color="auto" w:fill="auto"/>
          </w:tcPr>
          <w:p w14:paraId="019E54CA" w14:textId="77777777" w:rsidR="00650A90" w:rsidRPr="008E7986" w:rsidRDefault="00650A90" w:rsidP="00487E20">
            <w:pPr>
              <w:pStyle w:val="TableText"/>
              <w:tabs>
                <w:tab w:val="decimal" w:pos="629"/>
              </w:tabs>
            </w:pPr>
            <w:r w:rsidRPr="008E7986">
              <w:rPr>
                <w:rFonts w:cs="Courier New"/>
              </w:rPr>
              <w:t>0.0605766</w:t>
            </w:r>
          </w:p>
        </w:tc>
        <w:tc>
          <w:tcPr>
            <w:tcW w:w="1922" w:type="pct"/>
            <w:shd w:val="clear" w:color="auto" w:fill="auto"/>
          </w:tcPr>
          <w:p w14:paraId="32277451" w14:textId="77777777" w:rsidR="00650A90" w:rsidRPr="008E7986" w:rsidRDefault="00650A90">
            <w:pPr>
              <w:pStyle w:val="TableText"/>
              <w:jc w:val="center"/>
              <w:rPr>
                <w:rFonts w:cs="Courier New"/>
              </w:rPr>
            </w:pPr>
          </w:p>
        </w:tc>
      </w:tr>
      <w:tr w:rsidR="00650A90" w:rsidRPr="00627692" w14:paraId="01DDD87B" w14:textId="77777777" w:rsidTr="00AA021D">
        <w:trPr>
          <w:cantSplit/>
        </w:trPr>
        <w:tc>
          <w:tcPr>
            <w:tcW w:w="2099" w:type="pct"/>
            <w:shd w:val="clear" w:color="auto" w:fill="auto"/>
          </w:tcPr>
          <w:p w14:paraId="36CCE593" w14:textId="77777777" w:rsidR="00650A90" w:rsidRPr="008E7986" w:rsidRDefault="00650A90" w:rsidP="00BC58A8">
            <w:pPr>
              <w:pStyle w:val="TableText"/>
              <w:rPr>
                <w:bCs/>
              </w:rPr>
            </w:pPr>
            <w:r w:rsidRPr="008E7986">
              <w:t>Baseline survival function (women) at five years</w:t>
            </w:r>
          </w:p>
        </w:tc>
        <w:tc>
          <w:tcPr>
            <w:tcW w:w="979" w:type="pct"/>
            <w:shd w:val="clear" w:color="auto" w:fill="auto"/>
          </w:tcPr>
          <w:p w14:paraId="6D9010ED" w14:textId="77777777" w:rsidR="00650A90" w:rsidRPr="008E7986" w:rsidRDefault="00650A90" w:rsidP="00487E20">
            <w:pPr>
              <w:pStyle w:val="TableText"/>
              <w:tabs>
                <w:tab w:val="decimal" w:pos="629"/>
              </w:tabs>
            </w:pPr>
            <w:r w:rsidRPr="008E7986">
              <w:t>0.945571</w:t>
            </w:r>
          </w:p>
        </w:tc>
        <w:tc>
          <w:tcPr>
            <w:tcW w:w="1922" w:type="pct"/>
            <w:shd w:val="clear" w:color="auto" w:fill="auto"/>
          </w:tcPr>
          <w:p w14:paraId="4AE6587F" w14:textId="77777777" w:rsidR="00650A90" w:rsidRPr="008E7986" w:rsidRDefault="00650A90">
            <w:pPr>
              <w:pStyle w:val="TableText"/>
              <w:jc w:val="center"/>
            </w:pPr>
          </w:p>
        </w:tc>
      </w:tr>
    </w:tbl>
    <w:p w14:paraId="36C6A014" w14:textId="54A7989E" w:rsidR="00650A90" w:rsidRPr="00620548" w:rsidRDefault="00650A90" w:rsidP="006407A3">
      <w:pPr>
        <w:pStyle w:val="Heading2"/>
      </w:pPr>
      <w:bookmarkStart w:id="75" w:name="_Toc42092460"/>
      <w:bookmarkStart w:id="76" w:name="_Toc46146751"/>
      <w:bookmarkStart w:id="77" w:name="_Toc42092461"/>
      <w:bookmarkStart w:id="78" w:name="_Toc46146752"/>
      <w:bookmarkStart w:id="79" w:name="_Toc5806756"/>
      <w:bookmarkStart w:id="80" w:name="_Toc46146753"/>
      <w:bookmarkEnd w:id="75"/>
      <w:bookmarkEnd w:id="76"/>
      <w:bookmarkEnd w:id="77"/>
      <w:bookmarkEnd w:id="78"/>
      <w:r w:rsidRPr="00620548">
        <w:t>PREDICT CVD v.201</w:t>
      </w:r>
      <w:r w:rsidR="000F15BB">
        <w:t>9</w:t>
      </w:r>
      <w:r w:rsidRPr="00620548">
        <w:t xml:space="preserve"> primary prevention equation for men with diabetes</w:t>
      </w:r>
      <w:r>
        <w:t xml:space="preserve"> (30–74 years)</w:t>
      </w:r>
      <w:bookmarkEnd w:id="79"/>
      <w:bookmarkEnd w:id="80"/>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A0" w:firstRow="1" w:lastRow="0" w:firstColumn="1" w:lastColumn="0" w:noHBand="1" w:noVBand="1"/>
      </w:tblPr>
      <w:tblGrid>
        <w:gridCol w:w="3205"/>
        <w:gridCol w:w="1700"/>
        <w:gridCol w:w="3063"/>
      </w:tblGrid>
      <w:tr w:rsidR="00906070" w:rsidRPr="00BC58A8" w14:paraId="3C34FBA0" w14:textId="77777777" w:rsidTr="00906070">
        <w:trPr>
          <w:cantSplit/>
        </w:trPr>
        <w:tc>
          <w:tcPr>
            <w:tcW w:w="2011" w:type="pct"/>
            <w:tcBorders>
              <w:top w:val="nil"/>
              <w:bottom w:val="nil"/>
            </w:tcBorders>
            <w:shd w:val="clear" w:color="auto" w:fill="D9D9D9" w:themeFill="background1" w:themeFillShade="D9"/>
          </w:tcPr>
          <w:p w14:paraId="7CF7FE59" w14:textId="77777777" w:rsidR="00650A90" w:rsidRPr="00BC58A8" w:rsidRDefault="00650A90" w:rsidP="00BC58A8">
            <w:pPr>
              <w:pStyle w:val="TableText"/>
              <w:rPr>
                <w:b/>
                <w:bCs/>
              </w:rPr>
            </w:pPr>
            <w:r w:rsidRPr="00BC58A8">
              <w:rPr>
                <w:b/>
              </w:rPr>
              <w:t>Variable</w:t>
            </w:r>
          </w:p>
        </w:tc>
        <w:tc>
          <w:tcPr>
            <w:tcW w:w="1067" w:type="pct"/>
            <w:tcBorders>
              <w:top w:val="nil"/>
              <w:bottom w:val="nil"/>
            </w:tcBorders>
            <w:shd w:val="clear" w:color="auto" w:fill="D9D9D9" w:themeFill="background1" w:themeFillShade="D9"/>
          </w:tcPr>
          <w:p w14:paraId="50E5A06E" w14:textId="65484045" w:rsidR="00650A90" w:rsidRPr="00BC58A8" w:rsidRDefault="00650A90" w:rsidP="001233CA">
            <w:pPr>
              <w:pStyle w:val="TableText"/>
              <w:jc w:val="center"/>
              <w:rPr>
                <w:b/>
                <w:bCs/>
              </w:rPr>
            </w:pPr>
            <w:r w:rsidRPr="00BC58A8">
              <w:rPr>
                <w:b/>
              </w:rPr>
              <w:t>Coefficient</w:t>
            </w:r>
          </w:p>
        </w:tc>
        <w:tc>
          <w:tcPr>
            <w:tcW w:w="1922" w:type="pct"/>
            <w:tcBorders>
              <w:top w:val="nil"/>
              <w:bottom w:val="nil"/>
            </w:tcBorders>
            <w:shd w:val="clear" w:color="auto" w:fill="D9D9D9" w:themeFill="background1" w:themeFillShade="D9"/>
          </w:tcPr>
          <w:p w14:paraId="14487ECB" w14:textId="162C759B" w:rsidR="00650A90" w:rsidRPr="00BC58A8" w:rsidRDefault="00650A90" w:rsidP="00BC58A8">
            <w:pPr>
              <w:pStyle w:val="TableText"/>
              <w:jc w:val="center"/>
              <w:rPr>
                <w:b/>
                <w:bCs/>
              </w:rPr>
            </w:pPr>
            <w:r w:rsidRPr="00BC58A8">
              <w:rPr>
                <w:b/>
              </w:rPr>
              <w:t xml:space="preserve">Mean for </w:t>
            </w:r>
            <w:r w:rsidR="00F43F4C" w:rsidRPr="00BC58A8">
              <w:rPr>
                <w:b/>
              </w:rPr>
              <w:t>centring</w:t>
            </w:r>
          </w:p>
        </w:tc>
      </w:tr>
      <w:tr w:rsidR="00650A90" w:rsidRPr="003F2F69" w14:paraId="6938EC8F" w14:textId="77777777" w:rsidTr="00AA021D">
        <w:trPr>
          <w:cantSplit/>
        </w:trPr>
        <w:tc>
          <w:tcPr>
            <w:tcW w:w="2011" w:type="pct"/>
            <w:tcBorders>
              <w:top w:val="nil"/>
            </w:tcBorders>
            <w:shd w:val="clear" w:color="auto" w:fill="auto"/>
          </w:tcPr>
          <w:p w14:paraId="57A606B6" w14:textId="0E28AF54" w:rsidR="00650A90" w:rsidRPr="00BC58A8" w:rsidRDefault="00650A90" w:rsidP="00BC58A8">
            <w:pPr>
              <w:pStyle w:val="TableText"/>
              <w:rPr>
                <w:bCs/>
              </w:rPr>
            </w:pPr>
            <w:r w:rsidRPr="00BC58A8">
              <w:t>Age</w:t>
            </w:r>
            <w:r w:rsidR="00AB156F">
              <w:t xml:space="preserve"> (centred)</w:t>
            </w:r>
          </w:p>
        </w:tc>
        <w:tc>
          <w:tcPr>
            <w:tcW w:w="1067" w:type="pct"/>
            <w:tcBorders>
              <w:top w:val="nil"/>
            </w:tcBorders>
            <w:shd w:val="clear" w:color="auto" w:fill="auto"/>
          </w:tcPr>
          <w:p w14:paraId="175C48F0" w14:textId="77777777" w:rsidR="00650A90" w:rsidRPr="00BC58A8" w:rsidRDefault="00650A90" w:rsidP="00BC58A8">
            <w:pPr>
              <w:pStyle w:val="TableText"/>
              <w:tabs>
                <w:tab w:val="decimal" w:pos="652"/>
              </w:tabs>
            </w:pPr>
            <w:r w:rsidRPr="00BC58A8">
              <w:rPr>
                <w:rFonts w:cs="Courier New"/>
              </w:rPr>
              <w:t>0.0472422</w:t>
            </w:r>
          </w:p>
        </w:tc>
        <w:tc>
          <w:tcPr>
            <w:tcW w:w="1922" w:type="pct"/>
            <w:tcBorders>
              <w:top w:val="nil"/>
            </w:tcBorders>
            <w:shd w:val="clear" w:color="auto" w:fill="auto"/>
          </w:tcPr>
          <w:p w14:paraId="4A66EA57" w14:textId="77777777" w:rsidR="00650A90" w:rsidRPr="00BC58A8" w:rsidRDefault="00650A90" w:rsidP="00BC58A8">
            <w:pPr>
              <w:pStyle w:val="TableText"/>
              <w:jc w:val="center"/>
              <w:rPr>
                <w:rFonts w:cs="Courier New"/>
              </w:rPr>
            </w:pPr>
            <w:r w:rsidRPr="00BC58A8">
              <w:rPr>
                <w:rFonts w:cs="Courier New"/>
              </w:rPr>
              <w:t>53.738152</w:t>
            </w:r>
          </w:p>
        </w:tc>
      </w:tr>
      <w:tr w:rsidR="00650A90" w:rsidRPr="003F2F69" w14:paraId="79086AD2" w14:textId="77777777" w:rsidTr="00AA021D">
        <w:trPr>
          <w:cantSplit/>
        </w:trPr>
        <w:tc>
          <w:tcPr>
            <w:tcW w:w="2011" w:type="pct"/>
            <w:shd w:val="clear" w:color="auto" w:fill="auto"/>
          </w:tcPr>
          <w:p w14:paraId="47D82BCD" w14:textId="77777777" w:rsidR="00650A90" w:rsidRPr="00BC58A8" w:rsidRDefault="00650A90" w:rsidP="00BC58A8">
            <w:pPr>
              <w:pStyle w:val="TableText"/>
              <w:rPr>
                <w:bCs/>
              </w:rPr>
            </w:pPr>
            <w:r w:rsidRPr="00BC58A8">
              <w:t>Māori</w:t>
            </w:r>
          </w:p>
        </w:tc>
        <w:tc>
          <w:tcPr>
            <w:tcW w:w="1067" w:type="pct"/>
            <w:shd w:val="clear" w:color="auto" w:fill="auto"/>
          </w:tcPr>
          <w:p w14:paraId="4B1528FF" w14:textId="77777777" w:rsidR="00650A90" w:rsidRPr="00BC58A8" w:rsidRDefault="00650A90" w:rsidP="00BC58A8">
            <w:pPr>
              <w:pStyle w:val="TableText"/>
              <w:tabs>
                <w:tab w:val="decimal" w:pos="652"/>
              </w:tabs>
            </w:pPr>
            <w:r w:rsidRPr="00BC58A8">
              <w:rPr>
                <w:rFonts w:cs="Courier New"/>
              </w:rPr>
              <w:t>-0.0553093</w:t>
            </w:r>
          </w:p>
        </w:tc>
        <w:tc>
          <w:tcPr>
            <w:tcW w:w="1922" w:type="pct"/>
            <w:shd w:val="clear" w:color="auto" w:fill="auto"/>
          </w:tcPr>
          <w:p w14:paraId="05D28A18" w14:textId="77777777" w:rsidR="00650A90" w:rsidRPr="00BC58A8" w:rsidRDefault="00650A90" w:rsidP="00BC58A8">
            <w:pPr>
              <w:pStyle w:val="TableText"/>
              <w:jc w:val="center"/>
              <w:rPr>
                <w:rFonts w:cs="Courier New"/>
              </w:rPr>
            </w:pPr>
          </w:p>
        </w:tc>
      </w:tr>
      <w:tr w:rsidR="00650A90" w:rsidRPr="003F2F69" w14:paraId="27CCF1CE" w14:textId="77777777" w:rsidTr="00AA021D">
        <w:trPr>
          <w:cantSplit/>
        </w:trPr>
        <w:tc>
          <w:tcPr>
            <w:tcW w:w="2011" w:type="pct"/>
            <w:shd w:val="clear" w:color="auto" w:fill="auto"/>
          </w:tcPr>
          <w:p w14:paraId="52F6EBA8" w14:textId="77777777" w:rsidR="00650A90" w:rsidRPr="00BC58A8" w:rsidRDefault="00650A90" w:rsidP="00BC58A8">
            <w:pPr>
              <w:pStyle w:val="TableText"/>
              <w:rPr>
                <w:bCs/>
              </w:rPr>
            </w:pPr>
            <w:r w:rsidRPr="00BC58A8">
              <w:t>Pacific</w:t>
            </w:r>
          </w:p>
        </w:tc>
        <w:tc>
          <w:tcPr>
            <w:tcW w:w="1067" w:type="pct"/>
            <w:shd w:val="clear" w:color="auto" w:fill="auto"/>
          </w:tcPr>
          <w:p w14:paraId="65BB5F20" w14:textId="77777777" w:rsidR="00650A90" w:rsidRPr="00BC58A8" w:rsidRDefault="00650A90" w:rsidP="00BC58A8">
            <w:pPr>
              <w:pStyle w:val="TableText"/>
              <w:tabs>
                <w:tab w:val="decimal" w:pos="652"/>
              </w:tabs>
            </w:pPr>
            <w:r w:rsidRPr="00BC58A8">
              <w:rPr>
                <w:rFonts w:cs="Courier New"/>
              </w:rPr>
              <w:t>-0.210811</w:t>
            </w:r>
          </w:p>
        </w:tc>
        <w:tc>
          <w:tcPr>
            <w:tcW w:w="1922" w:type="pct"/>
            <w:shd w:val="clear" w:color="auto" w:fill="auto"/>
          </w:tcPr>
          <w:p w14:paraId="603D3952" w14:textId="77777777" w:rsidR="00650A90" w:rsidRPr="00BC58A8" w:rsidRDefault="00650A90" w:rsidP="00BC58A8">
            <w:pPr>
              <w:pStyle w:val="TableText"/>
              <w:jc w:val="center"/>
              <w:rPr>
                <w:rFonts w:cs="Courier New"/>
              </w:rPr>
            </w:pPr>
          </w:p>
        </w:tc>
      </w:tr>
      <w:tr w:rsidR="00650A90" w:rsidRPr="003F2F69" w14:paraId="39777CFE" w14:textId="77777777" w:rsidTr="00AA021D">
        <w:trPr>
          <w:cantSplit/>
        </w:trPr>
        <w:tc>
          <w:tcPr>
            <w:tcW w:w="2011" w:type="pct"/>
            <w:shd w:val="clear" w:color="auto" w:fill="auto"/>
          </w:tcPr>
          <w:p w14:paraId="7C653EB4" w14:textId="0E595910" w:rsidR="00650A90" w:rsidRPr="00BC58A8" w:rsidRDefault="00650A90" w:rsidP="00BC58A8">
            <w:pPr>
              <w:pStyle w:val="TableText"/>
              <w:rPr>
                <w:bCs/>
              </w:rPr>
            </w:pPr>
            <w:r w:rsidRPr="00BC58A8">
              <w:t>Indian/</w:t>
            </w:r>
            <w:r w:rsidR="00BD613F">
              <w:t xml:space="preserve">Other </w:t>
            </w:r>
            <w:r w:rsidRPr="00BC58A8">
              <w:t>South Asian</w:t>
            </w:r>
          </w:p>
        </w:tc>
        <w:tc>
          <w:tcPr>
            <w:tcW w:w="1067" w:type="pct"/>
            <w:shd w:val="clear" w:color="auto" w:fill="auto"/>
          </w:tcPr>
          <w:p w14:paraId="53237B8C" w14:textId="77777777" w:rsidR="00650A90" w:rsidRPr="00BC58A8" w:rsidRDefault="00650A90" w:rsidP="00BC58A8">
            <w:pPr>
              <w:pStyle w:val="TableText"/>
              <w:tabs>
                <w:tab w:val="decimal" w:pos="652"/>
              </w:tabs>
            </w:pPr>
            <w:r w:rsidRPr="00BC58A8">
              <w:rPr>
                <w:rFonts w:cs="Courier New"/>
              </w:rPr>
              <w:t>0.1522338</w:t>
            </w:r>
          </w:p>
        </w:tc>
        <w:tc>
          <w:tcPr>
            <w:tcW w:w="1922" w:type="pct"/>
            <w:shd w:val="clear" w:color="auto" w:fill="auto"/>
          </w:tcPr>
          <w:p w14:paraId="134782F4" w14:textId="77777777" w:rsidR="00650A90" w:rsidRPr="00BC58A8" w:rsidRDefault="00650A90" w:rsidP="00BC58A8">
            <w:pPr>
              <w:pStyle w:val="TableText"/>
              <w:jc w:val="center"/>
              <w:rPr>
                <w:rFonts w:cs="Courier New"/>
              </w:rPr>
            </w:pPr>
          </w:p>
        </w:tc>
      </w:tr>
      <w:tr w:rsidR="00650A90" w:rsidRPr="003F2F69" w14:paraId="5DF3B8A7" w14:textId="77777777" w:rsidTr="00AA021D">
        <w:trPr>
          <w:cantSplit/>
        </w:trPr>
        <w:tc>
          <w:tcPr>
            <w:tcW w:w="2011" w:type="pct"/>
            <w:shd w:val="clear" w:color="auto" w:fill="auto"/>
          </w:tcPr>
          <w:p w14:paraId="3802F883" w14:textId="77777777" w:rsidR="00650A90" w:rsidRPr="00BC58A8" w:rsidRDefault="00650A90" w:rsidP="00BC58A8">
            <w:pPr>
              <w:pStyle w:val="TableText"/>
              <w:rPr>
                <w:bCs/>
              </w:rPr>
            </w:pPr>
            <w:r w:rsidRPr="00BC58A8">
              <w:t>Chinese/Asian</w:t>
            </w:r>
          </w:p>
        </w:tc>
        <w:tc>
          <w:tcPr>
            <w:tcW w:w="1067" w:type="pct"/>
            <w:shd w:val="clear" w:color="auto" w:fill="auto"/>
          </w:tcPr>
          <w:p w14:paraId="65048411" w14:textId="77777777" w:rsidR="00650A90" w:rsidRPr="00BC58A8" w:rsidRDefault="00650A90" w:rsidP="00BC58A8">
            <w:pPr>
              <w:pStyle w:val="TableText"/>
              <w:tabs>
                <w:tab w:val="decimal" w:pos="652"/>
              </w:tabs>
            </w:pPr>
            <w:r w:rsidRPr="00BC58A8">
              <w:rPr>
                <w:rFonts w:cs="Courier New"/>
              </w:rPr>
              <w:t>-0.3852922</w:t>
            </w:r>
          </w:p>
        </w:tc>
        <w:tc>
          <w:tcPr>
            <w:tcW w:w="1922" w:type="pct"/>
            <w:shd w:val="clear" w:color="auto" w:fill="auto"/>
          </w:tcPr>
          <w:p w14:paraId="794B6F24" w14:textId="77777777" w:rsidR="00650A90" w:rsidRPr="00BC58A8" w:rsidRDefault="00650A90" w:rsidP="00BC58A8">
            <w:pPr>
              <w:pStyle w:val="TableText"/>
              <w:jc w:val="center"/>
              <w:rPr>
                <w:rFonts w:cs="Courier New"/>
              </w:rPr>
            </w:pPr>
          </w:p>
        </w:tc>
      </w:tr>
      <w:tr w:rsidR="00650A90" w:rsidRPr="003F2F69" w14:paraId="7196EE52" w14:textId="77777777" w:rsidTr="00AA021D">
        <w:trPr>
          <w:cantSplit/>
        </w:trPr>
        <w:tc>
          <w:tcPr>
            <w:tcW w:w="2011" w:type="pct"/>
            <w:shd w:val="clear" w:color="auto" w:fill="auto"/>
          </w:tcPr>
          <w:p w14:paraId="69FFD32E" w14:textId="1B4A8CD7" w:rsidR="00650A90" w:rsidRPr="00BC58A8" w:rsidRDefault="00650A90" w:rsidP="00BC58A8">
            <w:pPr>
              <w:pStyle w:val="TableText"/>
              <w:rPr>
                <w:bCs/>
              </w:rPr>
            </w:pPr>
            <w:proofErr w:type="spellStart"/>
            <w:r w:rsidRPr="00BC58A8">
              <w:t>NZDep</w:t>
            </w:r>
            <w:proofErr w:type="spellEnd"/>
            <w:r w:rsidRPr="00BC58A8">
              <w:t xml:space="preserve"> quintile</w:t>
            </w:r>
            <w:r w:rsidR="00AB156F">
              <w:t xml:space="preserve"> (centred)</w:t>
            </w:r>
          </w:p>
        </w:tc>
        <w:tc>
          <w:tcPr>
            <w:tcW w:w="1067" w:type="pct"/>
            <w:shd w:val="clear" w:color="auto" w:fill="auto"/>
          </w:tcPr>
          <w:p w14:paraId="165576DC" w14:textId="77777777" w:rsidR="00650A90" w:rsidRPr="00BC58A8" w:rsidRDefault="00650A90" w:rsidP="00BC58A8">
            <w:pPr>
              <w:pStyle w:val="TableText"/>
              <w:tabs>
                <w:tab w:val="decimal" w:pos="652"/>
              </w:tabs>
            </w:pPr>
            <w:r w:rsidRPr="00BC58A8">
              <w:rPr>
                <w:rFonts w:cs="Courier New"/>
              </w:rPr>
              <w:t>0.0413719</w:t>
            </w:r>
          </w:p>
        </w:tc>
        <w:tc>
          <w:tcPr>
            <w:tcW w:w="1922" w:type="pct"/>
            <w:shd w:val="clear" w:color="auto" w:fill="auto"/>
          </w:tcPr>
          <w:p w14:paraId="67BDA605" w14:textId="77777777" w:rsidR="00650A90" w:rsidRPr="00BC58A8" w:rsidRDefault="00650A90" w:rsidP="00BC58A8">
            <w:pPr>
              <w:pStyle w:val="TableText"/>
              <w:jc w:val="center"/>
              <w:rPr>
                <w:rFonts w:cs="Courier New"/>
              </w:rPr>
            </w:pPr>
            <w:r w:rsidRPr="00BC58A8">
              <w:rPr>
                <w:rFonts w:cs="Courier New"/>
              </w:rPr>
              <w:t>3.410281</w:t>
            </w:r>
          </w:p>
        </w:tc>
      </w:tr>
      <w:tr w:rsidR="00650A90" w:rsidRPr="003F2F69" w14:paraId="58ED5096" w14:textId="77777777" w:rsidTr="00AA021D">
        <w:trPr>
          <w:cantSplit/>
        </w:trPr>
        <w:tc>
          <w:tcPr>
            <w:tcW w:w="2011" w:type="pct"/>
            <w:shd w:val="clear" w:color="auto" w:fill="auto"/>
          </w:tcPr>
          <w:p w14:paraId="4641BE31" w14:textId="7421EE6B" w:rsidR="00650A90" w:rsidRPr="00BC58A8" w:rsidRDefault="00650A90" w:rsidP="00BC58A8">
            <w:pPr>
              <w:pStyle w:val="TableText"/>
              <w:rPr>
                <w:bCs/>
              </w:rPr>
            </w:pPr>
            <w:r w:rsidRPr="00BC58A8">
              <w:t>Current</w:t>
            </w:r>
            <w:r w:rsidR="007C77F7">
              <w:t>ly</w:t>
            </w:r>
            <w:r w:rsidRPr="00BC58A8">
              <w:t xml:space="preserve"> smok</w:t>
            </w:r>
            <w:r w:rsidR="007C77F7">
              <w:t>ing</w:t>
            </w:r>
          </w:p>
        </w:tc>
        <w:tc>
          <w:tcPr>
            <w:tcW w:w="1067" w:type="pct"/>
            <w:shd w:val="clear" w:color="auto" w:fill="auto"/>
          </w:tcPr>
          <w:p w14:paraId="632A481F" w14:textId="77777777" w:rsidR="00650A90" w:rsidRPr="00BC58A8" w:rsidRDefault="00650A90" w:rsidP="00BC58A8">
            <w:pPr>
              <w:pStyle w:val="TableText"/>
              <w:tabs>
                <w:tab w:val="decimal" w:pos="652"/>
              </w:tabs>
            </w:pPr>
            <w:r w:rsidRPr="00BC58A8">
              <w:rPr>
                <w:rFonts w:cs="Courier New"/>
              </w:rPr>
              <w:t>0.3509447</w:t>
            </w:r>
          </w:p>
        </w:tc>
        <w:tc>
          <w:tcPr>
            <w:tcW w:w="1922" w:type="pct"/>
            <w:shd w:val="clear" w:color="auto" w:fill="auto"/>
          </w:tcPr>
          <w:p w14:paraId="681DC3CC" w14:textId="77777777" w:rsidR="00650A90" w:rsidRPr="00BC58A8" w:rsidRDefault="00650A90" w:rsidP="00BC58A8">
            <w:pPr>
              <w:pStyle w:val="TableText"/>
              <w:jc w:val="center"/>
              <w:rPr>
                <w:rFonts w:cs="Courier New"/>
              </w:rPr>
            </w:pPr>
          </w:p>
        </w:tc>
      </w:tr>
      <w:tr w:rsidR="00650A90" w:rsidRPr="003F2F69" w14:paraId="0630D93F" w14:textId="77777777" w:rsidTr="00AA021D">
        <w:trPr>
          <w:cantSplit/>
        </w:trPr>
        <w:tc>
          <w:tcPr>
            <w:tcW w:w="2011" w:type="pct"/>
            <w:shd w:val="clear" w:color="auto" w:fill="auto"/>
          </w:tcPr>
          <w:p w14:paraId="23395E6A" w14:textId="77777777" w:rsidR="00650A90" w:rsidRPr="00BC58A8" w:rsidRDefault="00650A90" w:rsidP="00BC58A8">
            <w:pPr>
              <w:pStyle w:val="TableText"/>
              <w:rPr>
                <w:bCs/>
              </w:rPr>
            </w:pPr>
            <w:r w:rsidRPr="00BC58A8">
              <w:t>Family history of premature CVD</w:t>
            </w:r>
          </w:p>
        </w:tc>
        <w:tc>
          <w:tcPr>
            <w:tcW w:w="1067" w:type="pct"/>
            <w:shd w:val="clear" w:color="auto" w:fill="auto"/>
          </w:tcPr>
          <w:p w14:paraId="6AE7CCC4" w14:textId="77777777" w:rsidR="00650A90" w:rsidRPr="00BC58A8" w:rsidRDefault="00650A90" w:rsidP="00BC58A8">
            <w:pPr>
              <w:pStyle w:val="TableText"/>
              <w:tabs>
                <w:tab w:val="decimal" w:pos="652"/>
              </w:tabs>
            </w:pPr>
            <w:r w:rsidRPr="00BC58A8">
              <w:rPr>
                <w:rFonts w:cs="Courier New"/>
              </w:rPr>
              <w:t>0.2093793</w:t>
            </w:r>
          </w:p>
        </w:tc>
        <w:tc>
          <w:tcPr>
            <w:tcW w:w="1922" w:type="pct"/>
            <w:shd w:val="clear" w:color="auto" w:fill="auto"/>
          </w:tcPr>
          <w:p w14:paraId="59A76740" w14:textId="77777777" w:rsidR="00650A90" w:rsidRPr="00BC58A8" w:rsidRDefault="00650A90" w:rsidP="00BC58A8">
            <w:pPr>
              <w:pStyle w:val="TableText"/>
              <w:jc w:val="center"/>
              <w:rPr>
                <w:rFonts w:cs="Courier New"/>
              </w:rPr>
            </w:pPr>
          </w:p>
        </w:tc>
      </w:tr>
      <w:tr w:rsidR="00650A90" w:rsidRPr="003F2F69" w14:paraId="11454675" w14:textId="77777777" w:rsidTr="00AA021D">
        <w:trPr>
          <w:cantSplit/>
        </w:trPr>
        <w:tc>
          <w:tcPr>
            <w:tcW w:w="2011" w:type="pct"/>
            <w:shd w:val="clear" w:color="auto" w:fill="auto"/>
          </w:tcPr>
          <w:p w14:paraId="1B0AF4F2" w14:textId="77777777" w:rsidR="00650A90" w:rsidRPr="00BC58A8" w:rsidRDefault="00650A90" w:rsidP="00BC58A8">
            <w:pPr>
              <w:pStyle w:val="TableText"/>
              <w:rPr>
                <w:bCs/>
              </w:rPr>
            </w:pPr>
            <w:r w:rsidRPr="00BC58A8">
              <w:t>Atrial fibrillation</w:t>
            </w:r>
          </w:p>
        </w:tc>
        <w:tc>
          <w:tcPr>
            <w:tcW w:w="1067" w:type="pct"/>
            <w:shd w:val="clear" w:color="auto" w:fill="auto"/>
          </w:tcPr>
          <w:p w14:paraId="0E639E17" w14:textId="77777777" w:rsidR="00650A90" w:rsidRPr="00BC58A8" w:rsidRDefault="00650A90" w:rsidP="00BC58A8">
            <w:pPr>
              <w:pStyle w:val="TableText"/>
              <w:tabs>
                <w:tab w:val="decimal" w:pos="652"/>
              </w:tabs>
            </w:pPr>
            <w:r w:rsidRPr="00BC58A8">
              <w:rPr>
                <w:rFonts w:cs="Courier New"/>
              </w:rPr>
              <w:t>0.5284553</w:t>
            </w:r>
          </w:p>
        </w:tc>
        <w:tc>
          <w:tcPr>
            <w:tcW w:w="1922" w:type="pct"/>
            <w:shd w:val="clear" w:color="auto" w:fill="auto"/>
          </w:tcPr>
          <w:p w14:paraId="1EB49859" w14:textId="77777777" w:rsidR="00650A90" w:rsidRPr="00BC58A8" w:rsidRDefault="00650A90" w:rsidP="00BC58A8">
            <w:pPr>
              <w:pStyle w:val="TableText"/>
              <w:jc w:val="center"/>
              <w:rPr>
                <w:rFonts w:cs="Courier New"/>
              </w:rPr>
            </w:pPr>
          </w:p>
        </w:tc>
      </w:tr>
      <w:tr w:rsidR="00650A90" w:rsidRPr="003F2F69" w14:paraId="3BAD7A92" w14:textId="77777777" w:rsidTr="00AA021D">
        <w:trPr>
          <w:cantSplit/>
        </w:trPr>
        <w:tc>
          <w:tcPr>
            <w:tcW w:w="2011" w:type="pct"/>
            <w:shd w:val="clear" w:color="auto" w:fill="auto"/>
          </w:tcPr>
          <w:p w14:paraId="29ACABDB" w14:textId="034E4815" w:rsidR="00650A90" w:rsidRPr="00BC58A8" w:rsidRDefault="00650A90" w:rsidP="00BC58A8">
            <w:pPr>
              <w:pStyle w:val="TableText"/>
              <w:rPr>
                <w:bCs/>
              </w:rPr>
            </w:pPr>
            <w:r w:rsidRPr="00BC58A8">
              <w:t>Systolic BP</w:t>
            </w:r>
            <w:r w:rsidR="00D46D36">
              <w:t xml:space="preserve"> </w:t>
            </w:r>
            <w:r w:rsidR="00AB156F">
              <w:t>(centred)</w:t>
            </w:r>
          </w:p>
        </w:tc>
        <w:tc>
          <w:tcPr>
            <w:tcW w:w="1067" w:type="pct"/>
            <w:shd w:val="clear" w:color="auto" w:fill="auto"/>
          </w:tcPr>
          <w:p w14:paraId="6049B09F" w14:textId="77777777" w:rsidR="00650A90" w:rsidRPr="00BC58A8" w:rsidRDefault="00650A90" w:rsidP="00BC58A8">
            <w:pPr>
              <w:pStyle w:val="TableText"/>
              <w:tabs>
                <w:tab w:val="decimal" w:pos="652"/>
              </w:tabs>
            </w:pPr>
            <w:r w:rsidRPr="00BC58A8">
              <w:rPr>
                <w:rFonts w:cs="Courier New"/>
              </w:rPr>
              <w:t>0.0054797</w:t>
            </w:r>
          </w:p>
        </w:tc>
        <w:tc>
          <w:tcPr>
            <w:tcW w:w="1922" w:type="pct"/>
            <w:shd w:val="clear" w:color="auto" w:fill="auto"/>
          </w:tcPr>
          <w:p w14:paraId="0609A938" w14:textId="77777777" w:rsidR="00650A90" w:rsidRPr="00BC58A8" w:rsidRDefault="00650A90" w:rsidP="00BC58A8">
            <w:pPr>
              <w:pStyle w:val="TableText"/>
              <w:jc w:val="center"/>
              <w:rPr>
                <w:rFonts w:cs="Courier New"/>
              </w:rPr>
            </w:pPr>
            <w:r w:rsidRPr="00BC58A8">
              <w:rPr>
                <w:rFonts w:cs="Courier New"/>
              </w:rPr>
              <w:t>131.662168</w:t>
            </w:r>
          </w:p>
        </w:tc>
      </w:tr>
      <w:tr w:rsidR="00650A90" w:rsidRPr="003F2F69" w14:paraId="12967714" w14:textId="77777777" w:rsidTr="00AA021D">
        <w:trPr>
          <w:cantSplit/>
        </w:trPr>
        <w:tc>
          <w:tcPr>
            <w:tcW w:w="2011" w:type="pct"/>
            <w:shd w:val="clear" w:color="auto" w:fill="auto"/>
          </w:tcPr>
          <w:p w14:paraId="094419D8" w14:textId="54C4709C" w:rsidR="00650A90" w:rsidRPr="00BC58A8" w:rsidRDefault="00650A90" w:rsidP="00BC58A8">
            <w:pPr>
              <w:pStyle w:val="TableText"/>
              <w:rPr>
                <w:bCs/>
              </w:rPr>
            </w:pPr>
            <w:proofErr w:type="gramStart"/>
            <w:r w:rsidRPr="00BC58A8">
              <w:t>TC</w:t>
            </w:r>
            <w:r w:rsidR="007F2807">
              <w:t>:</w:t>
            </w:r>
            <w:r w:rsidRPr="00BC58A8">
              <w:t>HDL</w:t>
            </w:r>
            <w:proofErr w:type="gramEnd"/>
            <w:r w:rsidR="007F2807">
              <w:t>-C</w:t>
            </w:r>
            <w:r w:rsidR="00AB156F">
              <w:t xml:space="preserve"> (centred)</w:t>
            </w:r>
          </w:p>
        </w:tc>
        <w:tc>
          <w:tcPr>
            <w:tcW w:w="1067" w:type="pct"/>
            <w:shd w:val="clear" w:color="auto" w:fill="auto"/>
          </w:tcPr>
          <w:p w14:paraId="14A02F0A" w14:textId="77777777" w:rsidR="00650A90" w:rsidRPr="00BC58A8" w:rsidRDefault="00650A90" w:rsidP="00BC58A8">
            <w:pPr>
              <w:pStyle w:val="TableText"/>
              <w:tabs>
                <w:tab w:val="decimal" w:pos="652"/>
              </w:tabs>
            </w:pPr>
            <w:r w:rsidRPr="00BC58A8">
              <w:rPr>
                <w:rFonts w:cs="Courier New"/>
              </w:rPr>
              <w:t>0.0805627</w:t>
            </w:r>
          </w:p>
        </w:tc>
        <w:tc>
          <w:tcPr>
            <w:tcW w:w="1922" w:type="pct"/>
            <w:shd w:val="clear" w:color="auto" w:fill="auto"/>
          </w:tcPr>
          <w:p w14:paraId="6039559E" w14:textId="77777777" w:rsidR="00650A90" w:rsidRPr="00BC58A8" w:rsidRDefault="00650A90" w:rsidP="00BC58A8">
            <w:pPr>
              <w:pStyle w:val="TableText"/>
              <w:jc w:val="center"/>
              <w:rPr>
                <w:rFonts w:cs="Courier New"/>
              </w:rPr>
            </w:pPr>
            <w:r w:rsidRPr="00BC58A8">
              <w:rPr>
                <w:rFonts w:cs="Courier New"/>
              </w:rPr>
              <w:t>4.330372</w:t>
            </w:r>
          </w:p>
        </w:tc>
      </w:tr>
      <w:tr w:rsidR="00650A90" w:rsidRPr="003F2F69" w14:paraId="4F96868F" w14:textId="77777777" w:rsidTr="00AA021D">
        <w:trPr>
          <w:cantSplit/>
        </w:trPr>
        <w:tc>
          <w:tcPr>
            <w:tcW w:w="2011" w:type="pct"/>
            <w:shd w:val="clear" w:color="auto" w:fill="auto"/>
          </w:tcPr>
          <w:p w14:paraId="3162E43A" w14:textId="18E95344" w:rsidR="00650A90" w:rsidRPr="00BC58A8" w:rsidRDefault="00650A90" w:rsidP="00BC58A8">
            <w:pPr>
              <w:pStyle w:val="TableText"/>
              <w:rPr>
                <w:bCs/>
              </w:rPr>
            </w:pPr>
            <w:r w:rsidRPr="00BC58A8">
              <w:t>BMI</w:t>
            </w:r>
            <w:r w:rsidR="00AB156F">
              <w:t xml:space="preserve"> (centred)</w:t>
            </w:r>
          </w:p>
        </w:tc>
        <w:tc>
          <w:tcPr>
            <w:tcW w:w="1067" w:type="pct"/>
            <w:shd w:val="clear" w:color="auto" w:fill="auto"/>
          </w:tcPr>
          <w:p w14:paraId="39DA541F" w14:textId="77777777" w:rsidR="00650A90" w:rsidRPr="00BC58A8" w:rsidRDefault="00650A90" w:rsidP="00BC58A8">
            <w:pPr>
              <w:pStyle w:val="TableText"/>
              <w:tabs>
                <w:tab w:val="decimal" w:pos="652"/>
              </w:tabs>
            </w:pPr>
            <w:r w:rsidRPr="00BC58A8">
              <w:rPr>
                <w:rFonts w:cs="Courier New"/>
              </w:rPr>
              <w:t>0.0117137</w:t>
            </w:r>
          </w:p>
        </w:tc>
        <w:tc>
          <w:tcPr>
            <w:tcW w:w="1922" w:type="pct"/>
            <w:shd w:val="clear" w:color="auto" w:fill="auto"/>
          </w:tcPr>
          <w:p w14:paraId="07D9F4F1" w14:textId="77777777" w:rsidR="00650A90" w:rsidRPr="00BC58A8" w:rsidRDefault="00650A90" w:rsidP="00BC58A8">
            <w:pPr>
              <w:pStyle w:val="TableText"/>
              <w:jc w:val="center"/>
              <w:rPr>
                <w:rFonts w:cs="Courier New"/>
              </w:rPr>
            </w:pPr>
            <w:r w:rsidRPr="00BC58A8">
              <w:rPr>
                <w:rFonts w:cs="Courier New"/>
              </w:rPr>
              <w:t>31.338254</w:t>
            </w:r>
          </w:p>
        </w:tc>
      </w:tr>
      <w:tr w:rsidR="00650A90" w:rsidRPr="003F2F69" w14:paraId="7EA486C1" w14:textId="77777777" w:rsidTr="00AA021D">
        <w:trPr>
          <w:cantSplit/>
        </w:trPr>
        <w:tc>
          <w:tcPr>
            <w:tcW w:w="2011" w:type="pct"/>
            <w:shd w:val="clear" w:color="auto" w:fill="auto"/>
          </w:tcPr>
          <w:p w14:paraId="5CB500F3" w14:textId="6D3007C5" w:rsidR="00650A90" w:rsidRPr="00BC58A8" w:rsidRDefault="00650A90">
            <w:pPr>
              <w:pStyle w:val="TableText"/>
              <w:rPr>
                <w:bCs/>
              </w:rPr>
            </w:pPr>
            <w:r w:rsidRPr="00BC58A8">
              <w:t xml:space="preserve">Years since diagnosis of </w:t>
            </w:r>
            <w:r w:rsidR="00F82CE9">
              <w:t>type 2 diabetes</w:t>
            </w:r>
            <w:r w:rsidR="00AB156F">
              <w:t xml:space="preserve"> (centred)</w:t>
            </w:r>
          </w:p>
        </w:tc>
        <w:tc>
          <w:tcPr>
            <w:tcW w:w="1067" w:type="pct"/>
            <w:shd w:val="clear" w:color="auto" w:fill="auto"/>
          </w:tcPr>
          <w:p w14:paraId="26F264C9" w14:textId="77777777" w:rsidR="00650A90" w:rsidRPr="00BC58A8" w:rsidRDefault="00650A90" w:rsidP="00BC58A8">
            <w:pPr>
              <w:pStyle w:val="TableText"/>
              <w:tabs>
                <w:tab w:val="decimal" w:pos="652"/>
              </w:tabs>
            </w:pPr>
            <w:r w:rsidRPr="00BC58A8">
              <w:rPr>
                <w:rFonts w:cs="Courier New"/>
              </w:rPr>
              <w:t>0.0162351</w:t>
            </w:r>
          </w:p>
        </w:tc>
        <w:tc>
          <w:tcPr>
            <w:tcW w:w="1922" w:type="pct"/>
            <w:shd w:val="clear" w:color="auto" w:fill="auto"/>
          </w:tcPr>
          <w:p w14:paraId="3C114C2F" w14:textId="77777777" w:rsidR="00650A90" w:rsidRPr="00BC58A8" w:rsidRDefault="00650A90" w:rsidP="00BC58A8">
            <w:pPr>
              <w:pStyle w:val="TableText"/>
              <w:jc w:val="center"/>
              <w:rPr>
                <w:rFonts w:cs="Courier New"/>
              </w:rPr>
            </w:pPr>
            <w:r w:rsidRPr="00BC58A8">
              <w:rPr>
                <w:rFonts w:cs="Courier New"/>
              </w:rPr>
              <w:t>5.183025</w:t>
            </w:r>
          </w:p>
        </w:tc>
      </w:tr>
      <w:tr w:rsidR="00650A90" w:rsidRPr="003F2F69" w14:paraId="3BC15285" w14:textId="77777777" w:rsidTr="00AA021D">
        <w:trPr>
          <w:cantSplit/>
        </w:trPr>
        <w:tc>
          <w:tcPr>
            <w:tcW w:w="2011" w:type="pct"/>
            <w:shd w:val="clear" w:color="auto" w:fill="auto"/>
          </w:tcPr>
          <w:p w14:paraId="08D29899" w14:textId="161A7C5F" w:rsidR="00650A90" w:rsidRPr="00BC58A8" w:rsidRDefault="00650A90" w:rsidP="00BC58A8">
            <w:pPr>
              <w:pStyle w:val="TableText"/>
              <w:rPr>
                <w:bCs/>
              </w:rPr>
            </w:pPr>
            <w:r w:rsidRPr="00BC58A8">
              <w:t>eGFR</w:t>
            </w:r>
            <w:r w:rsidR="00AB156F">
              <w:t xml:space="preserve"> (centred)</w:t>
            </w:r>
          </w:p>
        </w:tc>
        <w:tc>
          <w:tcPr>
            <w:tcW w:w="1067" w:type="pct"/>
            <w:shd w:val="clear" w:color="auto" w:fill="auto"/>
          </w:tcPr>
          <w:p w14:paraId="1234CA13" w14:textId="77777777" w:rsidR="00650A90" w:rsidRPr="00BC58A8" w:rsidRDefault="00650A90" w:rsidP="00BC58A8">
            <w:pPr>
              <w:pStyle w:val="TableText"/>
              <w:tabs>
                <w:tab w:val="decimal" w:pos="652"/>
              </w:tabs>
            </w:pPr>
            <w:r w:rsidRPr="00BC58A8">
              <w:rPr>
                <w:rFonts w:cs="Courier New"/>
              </w:rPr>
              <w:t>-0.0025889</w:t>
            </w:r>
          </w:p>
        </w:tc>
        <w:tc>
          <w:tcPr>
            <w:tcW w:w="1922" w:type="pct"/>
            <w:shd w:val="clear" w:color="auto" w:fill="auto"/>
          </w:tcPr>
          <w:p w14:paraId="0E38FFFD" w14:textId="77777777" w:rsidR="00650A90" w:rsidRPr="00BC58A8" w:rsidRDefault="00650A90" w:rsidP="00BC58A8">
            <w:pPr>
              <w:pStyle w:val="TableText"/>
              <w:jc w:val="center"/>
              <w:rPr>
                <w:rFonts w:cs="Courier New"/>
              </w:rPr>
            </w:pPr>
            <w:r w:rsidRPr="00BC58A8">
              <w:rPr>
                <w:rFonts w:cs="Courier New"/>
              </w:rPr>
              <w:t>88.788314</w:t>
            </w:r>
          </w:p>
        </w:tc>
      </w:tr>
      <w:tr w:rsidR="00650A90" w:rsidRPr="003F2F69" w14:paraId="74F4FC4F" w14:textId="77777777" w:rsidTr="00AA021D">
        <w:trPr>
          <w:cantSplit/>
        </w:trPr>
        <w:tc>
          <w:tcPr>
            <w:tcW w:w="2011" w:type="pct"/>
            <w:shd w:val="clear" w:color="auto" w:fill="auto"/>
          </w:tcPr>
          <w:p w14:paraId="02878858" w14:textId="5C9DFAF6" w:rsidR="00650A90" w:rsidRPr="00BC58A8" w:rsidRDefault="00650A90" w:rsidP="00BC58A8">
            <w:pPr>
              <w:pStyle w:val="TableText"/>
              <w:rPr>
                <w:bCs/>
              </w:rPr>
            </w:pPr>
            <w:r w:rsidRPr="00BC58A8">
              <w:t>ACR</w:t>
            </w:r>
            <w:r w:rsidR="009316A6">
              <w:t xml:space="preserve"> (centred, log transformed and scaled)</w:t>
            </w:r>
          </w:p>
        </w:tc>
        <w:tc>
          <w:tcPr>
            <w:tcW w:w="1067" w:type="pct"/>
            <w:shd w:val="clear" w:color="auto" w:fill="auto"/>
          </w:tcPr>
          <w:p w14:paraId="24864B26" w14:textId="77777777" w:rsidR="00650A90" w:rsidRPr="00BC58A8" w:rsidRDefault="00650A90" w:rsidP="00906070">
            <w:pPr>
              <w:pStyle w:val="TableText"/>
              <w:tabs>
                <w:tab w:val="decimal" w:pos="652"/>
              </w:tabs>
              <w:jc w:val="both"/>
            </w:pPr>
            <w:r w:rsidRPr="00BC58A8">
              <w:rPr>
                <w:rFonts w:cs="Courier New"/>
              </w:rPr>
              <w:t>0.1815067</w:t>
            </w:r>
          </w:p>
        </w:tc>
        <w:tc>
          <w:tcPr>
            <w:tcW w:w="1922" w:type="pct"/>
            <w:shd w:val="clear" w:color="auto" w:fill="auto"/>
          </w:tcPr>
          <w:p w14:paraId="068B4C4D" w14:textId="37A5E212" w:rsidR="003D1973" w:rsidRDefault="00282AA9" w:rsidP="00487E20">
            <w:pPr>
              <w:pStyle w:val="TableText"/>
              <w:jc w:val="center"/>
              <w:rPr>
                <w:rFonts w:cs="Courier New"/>
              </w:rPr>
            </w:pPr>
            <w:r>
              <w:rPr>
                <w:rFonts w:cs="Courier New"/>
              </w:rPr>
              <w:t>Calculation</w:t>
            </w:r>
            <w:r w:rsidR="003D1973">
              <w:rPr>
                <w:rFonts w:cs="Courier New"/>
              </w:rPr>
              <w:t xml:space="preserve"> producing centred value:</w:t>
            </w:r>
          </w:p>
          <w:p w14:paraId="73ED62D2" w14:textId="0B02AE41" w:rsidR="00650A90" w:rsidRPr="00BC58A8" w:rsidRDefault="00906070" w:rsidP="00906070">
            <w:pPr>
              <w:pStyle w:val="TableText"/>
              <w:jc w:val="center"/>
              <w:rPr>
                <w:rFonts w:cs="Courier New"/>
              </w:rPr>
            </w:pPr>
            <w:r w:rsidRPr="008E7986">
              <w:rPr>
                <w:rFonts w:cs="Courier New"/>
              </w:rPr>
              <w:t>l</w:t>
            </w:r>
            <w:r>
              <w:rPr>
                <w:rFonts w:cs="Courier New"/>
              </w:rPr>
              <w:t>og</w:t>
            </w:r>
            <w:r w:rsidRPr="00A13879">
              <w:rPr>
                <w:rFonts w:cs="Courier New"/>
                <w:vertAlign w:val="subscript"/>
              </w:rPr>
              <w:t>e</w:t>
            </w:r>
            <w:r w:rsidR="00650A90" w:rsidRPr="00BC58A8">
              <w:rPr>
                <w:rFonts w:cs="Courier New"/>
              </w:rPr>
              <w:t>(X)</w:t>
            </w:r>
            <w:r w:rsidR="0072556C">
              <w:rPr>
                <w:rFonts w:cs="Courier New"/>
              </w:rPr>
              <w:t xml:space="preserve"> </w:t>
            </w:r>
            <w:r w:rsidR="00650A90" w:rsidRPr="00BC58A8">
              <w:rPr>
                <w:rFonts w:cs="Courier New"/>
              </w:rPr>
              <w:t>+</w:t>
            </w:r>
            <w:r w:rsidR="0072556C">
              <w:rPr>
                <w:rFonts w:cs="Courier New"/>
              </w:rPr>
              <w:t xml:space="preserve"> </w:t>
            </w:r>
            <w:r w:rsidR="00650A90" w:rsidRPr="00BC58A8">
              <w:rPr>
                <w:rFonts w:cs="Courier New"/>
              </w:rPr>
              <w:t>4.275179</w:t>
            </w:r>
            <w:r>
              <w:rPr>
                <w:rFonts w:cs="Courier New"/>
              </w:rPr>
              <w:br/>
            </w:r>
            <w:r w:rsidR="00650A90" w:rsidRPr="00BC58A8">
              <w:rPr>
                <w:rFonts w:cs="Courier New"/>
              </w:rPr>
              <w:t>where X</w:t>
            </w:r>
            <w:r>
              <w:rPr>
                <w:rFonts w:cs="Courier New"/>
              </w:rPr>
              <w:t xml:space="preserve"> </w:t>
            </w:r>
            <w:r w:rsidR="00650A90" w:rsidRPr="00BC58A8">
              <w:rPr>
                <w:rFonts w:cs="Courier New"/>
              </w:rPr>
              <w:t>=</w:t>
            </w:r>
            <w:r>
              <w:rPr>
                <w:rFonts w:cs="Courier New"/>
              </w:rPr>
              <w:br/>
            </w:r>
            <w:r w:rsidR="00650A90" w:rsidRPr="00BC58A8">
              <w:rPr>
                <w:rFonts w:cs="Courier New"/>
              </w:rPr>
              <w:t>(ACR</w:t>
            </w:r>
            <w:r w:rsidR="0072556C">
              <w:rPr>
                <w:rFonts w:cs="Courier New"/>
              </w:rPr>
              <w:t xml:space="preserve"> </w:t>
            </w:r>
            <w:r w:rsidR="00650A90" w:rsidRPr="00BC58A8">
              <w:rPr>
                <w:rFonts w:cs="Courier New"/>
              </w:rPr>
              <w:t>+</w:t>
            </w:r>
            <w:r w:rsidR="0072556C">
              <w:rPr>
                <w:rFonts w:cs="Courier New"/>
              </w:rPr>
              <w:t xml:space="preserve"> </w:t>
            </w:r>
            <w:r w:rsidR="00650A90" w:rsidRPr="00BC58A8">
              <w:rPr>
                <w:rFonts w:cs="Courier New"/>
              </w:rPr>
              <w:t>0.0099999997764826</w:t>
            </w:r>
            <w:r>
              <w:rPr>
                <w:rFonts w:cs="Courier New"/>
              </w:rPr>
              <w:t>)/1000</w:t>
            </w:r>
          </w:p>
        </w:tc>
      </w:tr>
      <w:tr w:rsidR="00650A90" w:rsidRPr="003F2F69" w14:paraId="5D35AE4E" w14:textId="77777777" w:rsidTr="00AA021D">
        <w:trPr>
          <w:cantSplit/>
        </w:trPr>
        <w:tc>
          <w:tcPr>
            <w:tcW w:w="2011" w:type="pct"/>
            <w:shd w:val="clear" w:color="auto" w:fill="auto"/>
          </w:tcPr>
          <w:p w14:paraId="758063CC" w14:textId="33BAF766" w:rsidR="00650A90" w:rsidRPr="00BC58A8" w:rsidRDefault="00650A90" w:rsidP="00BC58A8">
            <w:pPr>
              <w:pStyle w:val="TableText"/>
              <w:rPr>
                <w:bCs/>
              </w:rPr>
            </w:pPr>
            <w:r w:rsidRPr="00BC58A8">
              <w:t>HbA1c</w:t>
            </w:r>
            <w:r w:rsidR="009A6209">
              <w:t xml:space="preserve"> (centred)</w:t>
            </w:r>
          </w:p>
        </w:tc>
        <w:tc>
          <w:tcPr>
            <w:tcW w:w="1067" w:type="pct"/>
            <w:shd w:val="clear" w:color="auto" w:fill="auto"/>
          </w:tcPr>
          <w:p w14:paraId="5981881D" w14:textId="77777777" w:rsidR="00650A90" w:rsidRPr="00BC58A8" w:rsidRDefault="00650A90" w:rsidP="00BC58A8">
            <w:pPr>
              <w:pStyle w:val="TableText"/>
              <w:tabs>
                <w:tab w:val="decimal" w:pos="652"/>
              </w:tabs>
            </w:pPr>
            <w:r w:rsidRPr="00BC58A8">
              <w:rPr>
                <w:rFonts w:cs="Courier New"/>
              </w:rPr>
              <w:t>0.0074805</w:t>
            </w:r>
          </w:p>
        </w:tc>
        <w:tc>
          <w:tcPr>
            <w:tcW w:w="1922" w:type="pct"/>
            <w:shd w:val="clear" w:color="auto" w:fill="auto"/>
          </w:tcPr>
          <w:p w14:paraId="594F95E1" w14:textId="77777777" w:rsidR="00650A90" w:rsidRPr="00BC58A8" w:rsidRDefault="00650A90" w:rsidP="00BC58A8">
            <w:pPr>
              <w:pStyle w:val="TableText"/>
              <w:jc w:val="center"/>
              <w:rPr>
                <w:rFonts w:cs="Courier New"/>
              </w:rPr>
            </w:pPr>
            <w:r w:rsidRPr="00BC58A8">
              <w:rPr>
                <w:rFonts w:cs="Courier New"/>
              </w:rPr>
              <w:t>63.889441</w:t>
            </w:r>
          </w:p>
        </w:tc>
      </w:tr>
      <w:tr w:rsidR="00650A90" w:rsidRPr="003F2F69" w14:paraId="56B4B17E" w14:textId="77777777" w:rsidTr="00AA021D">
        <w:trPr>
          <w:cantSplit/>
        </w:trPr>
        <w:tc>
          <w:tcPr>
            <w:tcW w:w="2011" w:type="pct"/>
            <w:shd w:val="clear" w:color="auto" w:fill="auto"/>
          </w:tcPr>
          <w:p w14:paraId="6F6CD0CE" w14:textId="77777777" w:rsidR="00650A90" w:rsidRPr="00BC58A8" w:rsidRDefault="00650A90" w:rsidP="00BC58A8">
            <w:pPr>
              <w:pStyle w:val="TableText"/>
              <w:rPr>
                <w:bCs/>
              </w:rPr>
            </w:pPr>
            <w:r w:rsidRPr="00BC58A8">
              <w:lastRenderedPageBreak/>
              <w:t>On oral hypoglycaemic medication</w:t>
            </w:r>
          </w:p>
        </w:tc>
        <w:tc>
          <w:tcPr>
            <w:tcW w:w="1067" w:type="pct"/>
            <w:shd w:val="clear" w:color="auto" w:fill="auto"/>
          </w:tcPr>
          <w:p w14:paraId="3C93734F" w14:textId="77777777" w:rsidR="00650A90" w:rsidRPr="00BC58A8" w:rsidRDefault="00650A90" w:rsidP="00BC58A8">
            <w:pPr>
              <w:pStyle w:val="TableText"/>
              <w:tabs>
                <w:tab w:val="decimal" w:pos="652"/>
              </w:tabs>
            </w:pPr>
            <w:r w:rsidRPr="00BC58A8">
              <w:rPr>
                <w:rFonts w:cs="Courier New"/>
              </w:rPr>
              <w:t>0.0051476</w:t>
            </w:r>
          </w:p>
        </w:tc>
        <w:tc>
          <w:tcPr>
            <w:tcW w:w="1922" w:type="pct"/>
            <w:shd w:val="clear" w:color="auto" w:fill="auto"/>
          </w:tcPr>
          <w:p w14:paraId="7FBB7CEE" w14:textId="77777777" w:rsidR="00650A90" w:rsidRPr="00BC58A8" w:rsidRDefault="00650A90" w:rsidP="00BC58A8">
            <w:pPr>
              <w:pStyle w:val="TableText"/>
              <w:jc w:val="center"/>
              <w:rPr>
                <w:rFonts w:cs="Courier New"/>
              </w:rPr>
            </w:pPr>
          </w:p>
        </w:tc>
      </w:tr>
      <w:tr w:rsidR="00650A90" w:rsidRPr="003F2F69" w14:paraId="7041C906" w14:textId="77777777" w:rsidTr="00AA021D">
        <w:trPr>
          <w:cantSplit/>
        </w:trPr>
        <w:tc>
          <w:tcPr>
            <w:tcW w:w="2011" w:type="pct"/>
            <w:shd w:val="clear" w:color="auto" w:fill="auto"/>
          </w:tcPr>
          <w:p w14:paraId="6D0A125A" w14:textId="77777777" w:rsidR="00650A90" w:rsidRPr="00BC58A8" w:rsidRDefault="00650A90" w:rsidP="00BC58A8">
            <w:pPr>
              <w:pStyle w:val="TableText"/>
              <w:rPr>
                <w:bCs/>
              </w:rPr>
            </w:pPr>
            <w:r w:rsidRPr="00BC58A8">
              <w:t>On insulin</w:t>
            </w:r>
          </w:p>
        </w:tc>
        <w:tc>
          <w:tcPr>
            <w:tcW w:w="1067" w:type="pct"/>
            <w:shd w:val="clear" w:color="auto" w:fill="auto"/>
          </w:tcPr>
          <w:p w14:paraId="366EEFE5" w14:textId="77777777" w:rsidR="00650A90" w:rsidRPr="00BC58A8" w:rsidRDefault="00650A90" w:rsidP="00BC58A8">
            <w:pPr>
              <w:pStyle w:val="TableText"/>
              <w:tabs>
                <w:tab w:val="decimal" w:pos="652"/>
              </w:tabs>
            </w:pPr>
            <w:r w:rsidRPr="00BC58A8">
              <w:rPr>
                <w:rFonts w:cs="Courier New"/>
              </w:rPr>
              <w:t>0.1846547</w:t>
            </w:r>
          </w:p>
        </w:tc>
        <w:tc>
          <w:tcPr>
            <w:tcW w:w="1922" w:type="pct"/>
            <w:shd w:val="clear" w:color="auto" w:fill="auto"/>
          </w:tcPr>
          <w:p w14:paraId="58F5FEEE" w14:textId="77777777" w:rsidR="00650A90" w:rsidRPr="00BC58A8" w:rsidRDefault="00650A90" w:rsidP="00BC58A8">
            <w:pPr>
              <w:pStyle w:val="TableText"/>
              <w:jc w:val="center"/>
              <w:rPr>
                <w:rFonts w:cs="Courier New"/>
              </w:rPr>
            </w:pPr>
          </w:p>
        </w:tc>
      </w:tr>
      <w:tr w:rsidR="00650A90" w:rsidRPr="003F2F69" w14:paraId="64278F2D" w14:textId="77777777" w:rsidTr="00AA021D">
        <w:trPr>
          <w:cantSplit/>
        </w:trPr>
        <w:tc>
          <w:tcPr>
            <w:tcW w:w="2011" w:type="pct"/>
            <w:shd w:val="clear" w:color="auto" w:fill="auto"/>
          </w:tcPr>
          <w:p w14:paraId="26C9DFD8" w14:textId="2C94F796" w:rsidR="00650A90" w:rsidRPr="00BC58A8" w:rsidRDefault="00650A90" w:rsidP="00BC58A8">
            <w:pPr>
              <w:pStyle w:val="TableText"/>
              <w:rPr>
                <w:bCs/>
              </w:rPr>
            </w:pPr>
            <w:r w:rsidRPr="00BC58A8">
              <w:t>On BP-</w:t>
            </w:r>
            <w:r w:rsidR="00BC58A8">
              <w:t>lowering medication</w:t>
            </w:r>
          </w:p>
        </w:tc>
        <w:tc>
          <w:tcPr>
            <w:tcW w:w="1067" w:type="pct"/>
            <w:shd w:val="clear" w:color="auto" w:fill="auto"/>
          </w:tcPr>
          <w:p w14:paraId="299D3444" w14:textId="77777777" w:rsidR="00650A90" w:rsidRPr="00BC58A8" w:rsidRDefault="00650A90" w:rsidP="00BC58A8">
            <w:pPr>
              <w:pStyle w:val="TableText"/>
              <w:tabs>
                <w:tab w:val="decimal" w:pos="652"/>
              </w:tabs>
            </w:pPr>
            <w:r w:rsidRPr="00BC58A8">
              <w:rPr>
                <w:rFonts w:cs="Courier New"/>
              </w:rPr>
              <w:t>0.1532122</w:t>
            </w:r>
          </w:p>
        </w:tc>
        <w:tc>
          <w:tcPr>
            <w:tcW w:w="1922" w:type="pct"/>
            <w:shd w:val="clear" w:color="auto" w:fill="auto"/>
          </w:tcPr>
          <w:p w14:paraId="0EEAE388" w14:textId="77777777" w:rsidR="00650A90" w:rsidRPr="00BC58A8" w:rsidRDefault="00650A90" w:rsidP="00BC58A8">
            <w:pPr>
              <w:pStyle w:val="TableText"/>
              <w:jc w:val="center"/>
              <w:rPr>
                <w:rFonts w:cs="Courier New"/>
              </w:rPr>
            </w:pPr>
          </w:p>
        </w:tc>
      </w:tr>
      <w:tr w:rsidR="00650A90" w:rsidRPr="003F2F69" w14:paraId="0ECA7472" w14:textId="77777777" w:rsidTr="00AA021D">
        <w:trPr>
          <w:cantSplit/>
        </w:trPr>
        <w:tc>
          <w:tcPr>
            <w:tcW w:w="2011" w:type="pct"/>
            <w:shd w:val="clear" w:color="auto" w:fill="auto"/>
          </w:tcPr>
          <w:p w14:paraId="5CACA915" w14:textId="77777777" w:rsidR="00650A90" w:rsidRPr="00BC58A8" w:rsidRDefault="00650A90" w:rsidP="00BC58A8">
            <w:pPr>
              <w:pStyle w:val="TableText"/>
              <w:rPr>
                <w:bCs/>
              </w:rPr>
            </w:pPr>
            <w:r w:rsidRPr="00BC58A8">
              <w:t>On lipid-lowering medication</w:t>
            </w:r>
          </w:p>
        </w:tc>
        <w:tc>
          <w:tcPr>
            <w:tcW w:w="1067" w:type="pct"/>
            <w:shd w:val="clear" w:color="auto" w:fill="auto"/>
          </w:tcPr>
          <w:p w14:paraId="66DF6E82" w14:textId="77777777" w:rsidR="00650A90" w:rsidRPr="00BC58A8" w:rsidRDefault="00650A90" w:rsidP="00BC58A8">
            <w:pPr>
              <w:pStyle w:val="TableText"/>
              <w:tabs>
                <w:tab w:val="decimal" w:pos="652"/>
              </w:tabs>
            </w:pPr>
            <w:r w:rsidRPr="00BC58A8">
              <w:rPr>
                <w:rFonts w:cs="Courier New"/>
              </w:rPr>
              <w:t>-0.0344494</w:t>
            </w:r>
          </w:p>
        </w:tc>
        <w:tc>
          <w:tcPr>
            <w:tcW w:w="1922" w:type="pct"/>
            <w:shd w:val="clear" w:color="auto" w:fill="auto"/>
          </w:tcPr>
          <w:p w14:paraId="249F4FF0" w14:textId="77777777" w:rsidR="00650A90" w:rsidRPr="00BC58A8" w:rsidRDefault="00650A90" w:rsidP="00BC58A8">
            <w:pPr>
              <w:pStyle w:val="TableText"/>
              <w:jc w:val="center"/>
              <w:rPr>
                <w:rFonts w:cs="Courier New"/>
              </w:rPr>
            </w:pPr>
          </w:p>
        </w:tc>
      </w:tr>
      <w:tr w:rsidR="00650A90" w:rsidRPr="003F2F69" w14:paraId="7879ECA9" w14:textId="77777777" w:rsidTr="00AA021D">
        <w:trPr>
          <w:cantSplit/>
        </w:trPr>
        <w:tc>
          <w:tcPr>
            <w:tcW w:w="2011" w:type="pct"/>
            <w:shd w:val="clear" w:color="auto" w:fill="auto"/>
          </w:tcPr>
          <w:p w14:paraId="07E1ED1E" w14:textId="77777777" w:rsidR="00650A90" w:rsidRPr="00BC58A8" w:rsidRDefault="00650A90" w:rsidP="00BC58A8">
            <w:pPr>
              <w:pStyle w:val="TableText"/>
              <w:rPr>
                <w:bCs/>
              </w:rPr>
            </w:pPr>
            <w:r w:rsidRPr="00BC58A8">
              <w:t>On either antiplatelet or anticoagulant medications</w:t>
            </w:r>
          </w:p>
        </w:tc>
        <w:tc>
          <w:tcPr>
            <w:tcW w:w="1067" w:type="pct"/>
            <w:shd w:val="clear" w:color="auto" w:fill="auto"/>
          </w:tcPr>
          <w:p w14:paraId="0152581E" w14:textId="77777777" w:rsidR="00650A90" w:rsidRPr="00BC58A8" w:rsidRDefault="00650A90" w:rsidP="00BC58A8">
            <w:pPr>
              <w:pStyle w:val="TableText"/>
              <w:tabs>
                <w:tab w:val="decimal" w:pos="652"/>
              </w:tabs>
            </w:pPr>
            <w:r w:rsidRPr="00BC58A8">
              <w:rPr>
                <w:rFonts w:cs="Courier New"/>
              </w:rPr>
              <w:t>0.0474684</w:t>
            </w:r>
          </w:p>
        </w:tc>
        <w:tc>
          <w:tcPr>
            <w:tcW w:w="1922" w:type="pct"/>
            <w:shd w:val="clear" w:color="auto" w:fill="auto"/>
          </w:tcPr>
          <w:p w14:paraId="4F0B1D90" w14:textId="77777777" w:rsidR="00650A90" w:rsidRPr="00BC58A8" w:rsidRDefault="00650A90" w:rsidP="00BC58A8">
            <w:pPr>
              <w:pStyle w:val="TableText"/>
              <w:jc w:val="center"/>
              <w:rPr>
                <w:rFonts w:cs="Courier New"/>
              </w:rPr>
            </w:pPr>
          </w:p>
        </w:tc>
      </w:tr>
      <w:tr w:rsidR="00650A90" w:rsidRPr="003F2F69" w14:paraId="75A737A9" w14:textId="77777777" w:rsidTr="00AA021D">
        <w:trPr>
          <w:cantSplit/>
        </w:trPr>
        <w:tc>
          <w:tcPr>
            <w:tcW w:w="2011" w:type="pct"/>
            <w:shd w:val="clear" w:color="auto" w:fill="auto"/>
          </w:tcPr>
          <w:p w14:paraId="78790268" w14:textId="77777777" w:rsidR="00650A90" w:rsidRPr="00BC58A8" w:rsidRDefault="00650A90" w:rsidP="00BC58A8">
            <w:pPr>
              <w:pStyle w:val="TableText"/>
              <w:rPr>
                <w:bCs/>
              </w:rPr>
            </w:pPr>
            <w:r w:rsidRPr="00BC58A8">
              <w:t>Baseline survival function (men) at five years</w:t>
            </w:r>
          </w:p>
        </w:tc>
        <w:tc>
          <w:tcPr>
            <w:tcW w:w="1067" w:type="pct"/>
            <w:shd w:val="clear" w:color="auto" w:fill="auto"/>
          </w:tcPr>
          <w:p w14:paraId="555E4917" w14:textId="77777777" w:rsidR="00650A90" w:rsidRPr="00BC58A8" w:rsidRDefault="00650A90" w:rsidP="00BC58A8">
            <w:pPr>
              <w:pStyle w:val="TableText"/>
              <w:tabs>
                <w:tab w:val="decimal" w:pos="652"/>
              </w:tabs>
            </w:pPr>
            <w:r w:rsidRPr="00BC58A8">
              <w:t>0.9121175</w:t>
            </w:r>
          </w:p>
        </w:tc>
        <w:tc>
          <w:tcPr>
            <w:tcW w:w="1922" w:type="pct"/>
            <w:shd w:val="clear" w:color="auto" w:fill="auto"/>
          </w:tcPr>
          <w:p w14:paraId="1D26D432" w14:textId="77777777" w:rsidR="00650A90" w:rsidRPr="00BC58A8" w:rsidRDefault="00650A90" w:rsidP="00BC58A8">
            <w:pPr>
              <w:pStyle w:val="TableText"/>
              <w:jc w:val="center"/>
            </w:pPr>
          </w:p>
        </w:tc>
      </w:tr>
    </w:tbl>
    <w:p w14:paraId="407D9C10" w14:textId="77777777" w:rsidR="00875DE3" w:rsidRDefault="00875DE3" w:rsidP="00875DE3">
      <w:pPr>
        <w:pStyle w:val="Heading1"/>
      </w:pPr>
      <w:bookmarkStart w:id="81" w:name="_Toc46146754"/>
      <w:bookmarkStart w:id="82" w:name="_Toc522522064"/>
      <w:r>
        <w:lastRenderedPageBreak/>
        <w:t>Test cases and worked examples</w:t>
      </w:r>
      <w:bookmarkEnd w:id="81"/>
    </w:p>
    <w:p w14:paraId="1B9EAACF" w14:textId="4D8C699D" w:rsidR="00875DE3" w:rsidRDefault="00875DE3" w:rsidP="00875DE3">
      <w:r>
        <w:t>T</w:t>
      </w:r>
      <w:r w:rsidRPr="006255C0">
        <w:t xml:space="preserve">est cases and worked examples have been developed to assist software suppliers to check the behaviour of their calculators. </w:t>
      </w:r>
      <w:r>
        <w:t xml:space="preserve">See the associated spreadsheet for the test cases. </w:t>
      </w:r>
      <w:r w:rsidRPr="006255C0">
        <w:t>Th</w:t>
      </w:r>
      <w:r w:rsidR="00CF5D47">
        <w:t>e</w:t>
      </w:r>
      <w:r w:rsidRPr="006255C0">
        <w:t xml:space="preserve"> set of test cases, although not exhaustive, represents a reasonable clinical range of patient profiles.</w:t>
      </w:r>
    </w:p>
    <w:p w14:paraId="310B8504" w14:textId="77777777" w:rsidR="00875DE3" w:rsidRDefault="00875DE3" w:rsidP="00875DE3"/>
    <w:p w14:paraId="21FABEAD" w14:textId="7C2FB418" w:rsidR="00875DE3" w:rsidRDefault="00875DE3" w:rsidP="00875DE3">
      <w:r>
        <w:t xml:space="preserve">The following </w:t>
      </w:r>
      <w:r w:rsidR="00CF5D47">
        <w:t xml:space="preserve">four </w:t>
      </w:r>
      <w:r>
        <w:t>worked examples show how a risk score is calculated using each of the equations</w:t>
      </w:r>
      <w:r w:rsidR="007A0945">
        <w:t>. Refer to the above tables and rules</w:t>
      </w:r>
      <w:r>
        <w:t xml:space="preserve">. </w:t>
      </w:r>
      <w:r w:rsidRPr="00852C96">
        <w:t>To aid accuracy we have presented the calculated score to three decimal points.</w:t>
      </w:r>
    </w:p>
    <w:p w14:paraId="2B71AC9E" w14:textId="77777777" w:rsidR="00875DE3" w:rsidRDefault="00875DE3" w:rsidP="00875DE3">
      <w:pPr>
        <w:pStyle w:val="Heading2"/>
      </w:pPr>
      <w:bookmarkStart w:id="83" w:name="_Toc46146755"/>
      <w:r>
        <w:t>Patient A</w:t>
      </w:r>
      <w:bookmarkEnd w:id="83"/>
    </w:p>
    <w:p w14:paraId="42F804F6" w14:textId="1AAEB1DD" w:rsidR="00875DE3" w:rsidRPr="00662BA8" w:rsidRDefault="00875DE3" w:rsidP="00875DE3">
      <w:pPr>
        <w:rPr>
          <w:rFonts w:cs="Segoe UI"/>
          <w:b/>
          <w:szCs w:val="21"/>
        </w:rPr>
      </w:pPr>
      <w:r w:rsidRPr="00662BA8">
        <w:rPr>
          <w:rFonts w:cs="Segoe UI"/>
          <w:b/>
          <w:szCs w:val="21"/>
        </w:rPr>
        <w:t>PREDICT CVD v.201</w:t>
      </w:r>
      <w:r w:rsidR="000F15BB">
        <w:rPr>
          <w:rFonts w:cs="Segoe UI"/>
          <w:b/>
          <w:szCs w:val="21"/>
        </w:rPr>
        <w:t>9</w:t>
      </w:r>
      <w:r w:rsidRPr="00662BA8">
        <w:rPr>
          <w:rFonts w:cs="Segoe UI"/>
          <w:b/>
          <w:szCs w:val="21"/>
        </w:rPr>
        <w:t xml:space="preserve"> primary prevention equation</w:t>
      </w:r>
      <w:r>
        <w:rPr>
          <w:rFonts w:cs="Segoe UI"/>
          <w:b/>
          <w:szCs w:val="21"/>
        </w:rPr>
        <w:t xml:space="preserve"> for women</w:t>
      </w:r>
      <w:r w:rsidRPr="00662BA8">
        <w:rPr>
          <w:rFonts w:cs="Segoe UI"/>
          <w:b/>
          <w:szCs w:val="21"/>
        </w:rPr>
        <w:t xml:space="preserve"> (for the general population)</w:t>
      </w:r>
    </w:p>
    <w:p w14:paraId="3FE329DC" w14:textId="77777777" w:rsidR="00875DE3" w:rsidRDefault="00875DE3" w:rsidP="00875DE3">
      <w:pPr>
        <w:rPr>
          <w:rFonts w:cs="Segoe UI"/>
          <w:szCs w:val="21"/>
        </w:rPr>
      </w:pPr>
    </w:p>
    <w:p w14:paraId="08C9A442" w14:textId="5CA40DF1" w:rsidR="00875DE3" w:rsidRDefault="00875DE3" w:rsidP="00875DE3">
      <w:pPr>
        <w:rPr>
          <w:rFonts w:cs="Segoe UI"/>
          <w:szCs w:val="21"/>
        </w:rPr>
      </w:pPr>
      <w:r w:rsidRPr="00852C96">
        <w:rPr>
          <w:rFonts w:cs="Segoe UI"/>
          <w:szCs w:val="21"/>
        </w:rPr>
        <w:t xml:space="preserve">Patient A is an Indian woman aged 55 years, with diabetes and a BMI of 41 kg/m2. She is a former smoker, lives in an area categorised as </w:t>
      </w:r>
      <w:proofErr w:type="spellStart"/>
      <w:r w:rsidRPr="00852C96">
        <w:rPr>
          <w:rFonts w:cs="Segoe UI"/>
          <w:szCs w:val="21"/>
        </w:rPr>
        <w:t>NZDep</w:t>
      </w:r>
      <w:proofErr w:type="spellEnd"/>
      <w:r w:rsidRPr="00852C96">
        <w:rPr>
          <w:rFonts w:cs="Segoe UI"/>
          <w:szCs w:val="21"/>
        </w:rPr>
        <w:t xml:space="preserve"> quintile 5, has a family history of premature CVD and has atrial fibrillation. Her systolic blood pressure is 120mmHg and her </w:t>
      </w:r>
      <w:proofErr w:type="gramStart"/>
      <w:r w:rsidRPr="00852C96">
        <w:rPr>
          <w:rFonts w:cs="Segoe UI"/>
          <w:szCs w:val="21"/>
        </w:rPr>
        <w:t>TC:HDL</w:t>
      </w:r>
      <w:proofErr w:type="gramEnd"/>
      <w:r w:rsidRPr="00852C96">
        <w:rPr>
          <w:rFonts w:cs="Segoe UI"/>
          <w:szCs w:val="21"/>
        </w:rPr>
        <w:t xml:space="preserve"> is 3.2 units. She is taking blood pressure-lowering medication, a statin and an antithrombotic medication.</w:t>
      </w:r>
    </w:p>
    <w:p w14:paraId="3AAF2875" w14:textId="77777777" w:rsidR="00875DE3" w:rsidRPr="00852C96" w:rsidRDefault="00875DE3" w:rsidP="00875DE3">
      <w:pPr>
        <w:rPr>
          <w:rFonts w:cs="Segoe UI"/>
          <w:szCs w:val="21"/>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2122"/>
        <w:gridCol w:w="1356"/>
        <w:gridCol w:w="3118"/>
        <w:gridCol w:w="1473"/>
      </w:tblGrid>
      <w:tr w:rsidR="0013291D" w:rsidRPr="0087392F" w14:paraId="058ED09B" w14:textId="77777777" w:rsidTr="00AA021D">
        <w:trPr>
          <w:trHeight w:val="20"/>
        </w:trPr>
        <w:tc>
          <w:tcPr>
            <w:tcW w:w="1315" w:type="pct"/>
            <w:shd w:val="clear" w:color="auto" w:fill="D9D9D9" w:themeFill="background1" w:themeFillShade="D9"/>
            <w:tcMar>
              <w:top w:w="0" w:type="dxa"/>
              <w:left w:w="108" w:type="dxa"/>
              <w:bottom w:w="0" w:type="dxa"/>
              <w:right w:w="108" w:type="dxa"/>
            </w:tcMar>
          </w:tcPr>
          <w:p w14:paraId="6CAFD7FC" w14:textId="77777777" w:rsidR="0013291D" w:rsidRPr="0087392F" w:rsidRDefault="0013291D" w:rsidP="00906070">
            <w:pPr>
              <w:spacing w:before="60" w:after="60"/>
              <w:rPr>
                <w:rFonts w:cs="Segoe UI"/>
                <w:sz w:val="18"/>
                <w:szCs w:val="18"/>
                <w:lang w:val="en-GB"/>
              </w:rPr>
            </w:pPr>
            <w:r w:rsidRPr="0087392F">
              <w:rPr>
                <w:rFonts w:cs="Segoe UI"/>
                <w:b/>
                <w:sz w:val="18"/>
                <w:szCs w:val="18"/>
              </w:rPr>
              <w:t>Variable</w:t>
            </w:r>
          </w:p>
        </w:tc>
        <w:tc>
          <w:tcPr>
            <w:tcW w:w="840" w:type="pct"/>
            <w:shd w:val="clear" w:color="auto" w:fill="D9D9D9" w:themeFill="background1" w:themeFillShade="D9"/>
            <w:tcMar>
              <w:top w:w="0" w:type="dxa"/>
              <w:left w:w="108" w:type="dxa"/>
              <w:bottom w:w="0" w:type="dxa"/>
              <w:right w:w="108" w:type="dxa"/>
            </w:tcMar>
          </w:tcPr>
          <w:p w14:paraId="123B2CD5" w14:textId="77777777" w:rsidR="0013291D" w:rsidRPr="00436E5F" w:rsidRDefault="0013291D" w:rsidP="00906070">
            <w:pPr>
              <w:spacing w:before="60" w:after="60"/>
              <w:rPr>
                <w:rFonts w:cs="Segoe UI"/>
                <w:b/>
                <w:sz w:val="18"/>
                <w:szCs w:val="18"/>
              </w:rPr>
            </w:pPr>
            <w:r>
              <w:rPr>
                <w:rFonts w:cs="Segoe UI"/>
                <w:b/>
                <w:sz w:val="18"/>
                <w:szCs w:val="18"/>
              </w:rPr>
              <w:t>Value</w:t>
            </w:r>
          </w:p>
        </w:tc>
        <w:tc>
          <w:tcPr>
            <w:tcW w:w="1932" w:type="pct"/>
            <w:shd w:val="clear" w:color="auto" w:fill="D9D9D9" w:themeFill="background1" w:themeFillShade="D9"/>
            <w:tcMar>
              <w:top w:w="0" w:type="dxa"/>
              <w:left w:w="108" w:type="dxa"/>
              <w:bottom w:w="0" w:type="dxa"/>
              <w:right w:w="108" w:type="dxa"/>
            </w:tcMar>
          </w:tcPr>
          <w:p w14:paraId="0333AD84" w14:textId="011255BB" w:rsidR="0013291D" w:rsidRPr="0087392F" w:rsidRDefault="0013291D" w:rsidP="00906070">
            <w:pPr>
              <w:spacing w:before="60" w:after="60"/>
              <w:rPr>
                <w:rFonts w:cs="Segoe UI"/>
                <w:sz w:val="18"/>
                <w:szCs w:val="18"/>
              </w:rPr>
            </w:pPr>
            <w:r w:rsidRPr="00B05358">
              <w:rPr>
                <w:rFonts w:cs="Segoe UI"/>
                <w:b/>
                <w:sz w:val="18"/>
                <w:szCs w:val="18"/>
              </w:rPr>
              <w:t xml:space="preserve">Coefficient x </w:t>
            </w:r>
            <w:r>
              <w:rPr>
                <w:rFonts w:cs="Segoe UI"/>
                <w:b/>
                <w:sz w:val="18"/>
                <w:szCs w:val="18"/>
              </w:rPr>
              <w:t>variable</w:t>
            </w:r>
          </w:p>
        </w:tc>
        <w:tc>
          <w:tcPr>
            <w:tcW w:w="913" w:type="pct"/>
            <w:shd w:val="clear" w:color="auto" w:fill="D9D9D9" w:themeFill="background1" w:themeFillShade="D9"/>
            <w:tcMar>
              <w:top w:w="0" w:type="dxa"/>
              <w:left w:w="108" w:type="dxa"/>
              <w:bottom w:w="0" w:type="dxa"/>
              <w:right w:w="108" w:type="dxa"/>
            </w:tcMar>
          </w:tcPr>
          <w:p w14:paraId="70945507" w14:textId="77777777" w:rsidR="0013291D" w:rsidRPr="0087392F" w:rsidRDefault="0013291D" w:rsidP="00906070">
            <w:pPr>
              <w:spacing w:before="60" w:after="60"/>
              <w:rPr>
                <w:rFonts w:cs="Segoe UI"/>
                <w:sz w:val="18"/>
                <w:szCs w:val="18"/>
                <w:lang w:val="en-GB"/>
              </w:rPr>
            </w:pPr>
            <w:r w:rsidRPr="00B05358">
              <w:rPr>
                <w:rFonts w:cs="Segoe UI"/>
                <w:b/>
                <w:sz w:val="18"/>
                <w:szCs w:val="18"/>
              </w:rPr>
              <w:t>Product</w:t>
            </w:r>
          </w:p>
        </w:tc>
      </w:tr>
      <w:tr w:rsidR="0013291D" w:rsidRPr="0087392F" w14:paraId="24AEF300" w14:textId="77777777" w:rsidTr="00AA021D">
        <w:trPr>
          <w:trHeight w:val="20"/>
        </w:trPr>
        <w:tc>
          <w:tcPr>
            <w:tcW w:w="1315" w:type="pct"/>
            <w:tcMar>
              <w:top w:w="0" w:type="dxa"/>
              <w:left w:w="108" w:type="dxa"/>
              <w:bottom w:w="0" w:type="dxa"/>
              <w:right w:w="108" w:type="dxa"/>
            </w:tcMar>
            <w:hideMark/>
          </w:tcPr>
          <w:p w14:paraId="52E57372" w14:textId="376FAAAB" w:rsidR="0013291D" w:rsidRPr="0087392F" w:rsidRDefault="0013291D" w:rsidP="00906070">
            <w:pPr>
              <w:spacing w:before="60" w:after="60"/>
              <w:rPr>
                <w:rFonts w:cs="Segoe UI"/>
                <w:sz w:val="18"/>
                <w:szCs w:val="18"/>
              </w:rPr>
            </w:pPr>
            <w:r w:rsidRPr="0087392F">
              <w:rPr>
                <w:rFonts w:cs="Segoe UI"/>
                <w:sz w:val="18"/>
                <w:szCs w:val="18"/>
                <w:lang w:val="en-GB"/>
              </w:rPr>
              <w:t>Age, years</w:t>
            </w:r>
          </w:p>
        </w:tc>
        <w:tc>
          <w:tcPr>
            <w:tcW w:w="840" w:type="pct"/>
            <w:tcMar>
              <w:top w:w="0" w:type="dxa"/>
              <w:left w:w="108" w:type="dxa"/>
              <w:bottom w:w="0" w:type="dxa"/>
              <w:right w:w="108" w:type="dxa"/>
            </w:tcMar>
            <w:hideMark/>
          </w:tcPr>
          <w:p w14:paraId="2DE39FC8" w14:textId="77777777" w:rsidR="0013291D" w:rsidRPr="0087392F" w:rsidRDefault="0013291D" w:rsidP="00906070">
            <w:pPr>
              <w:spacing w:before="60" w:after="60"/>
              <w:rPr>
                <w:rFonts w:cs="Segoe UI"/>
                <w:sz w:val="18"/>
                <w:szCs w:val="18"/>
              </w:rPr>
            </w:pPr>
            <w:r w:rsidRPr="0087392F">
              <w:rPr>
                <w:rFonts w:cs="Segoe UI"/>
                <w:sz w:val="18"/>
                <w:szCs w:val="18"/>
              </w:rPr>
              <w:t>55</w:t>
            </w:r>
            <w:r>
              <w:rPr>
                <w:rFonts w:cs="Segoe UI"/>
                <w:sz w:val="18"/>
                <w:szCs w:val="18"/>
              </w:rPr>
              <w:t xml:space="preserve"> years</w:t>
            </w:r>
          </w:p>
        </w:tc>
        <w:tc>
          <w:tcPr>
            <w:tcW w:w="1932" w:type="pct"/>
            <w:tcMar>
              <w:top w:w="0" w:type="dxa"/>
              <w:left w:w="108" w:type="dxa"/>
              <w:bottom w:w="0" w:type="dxa"/>
              <w:right w:w="108" w:type="dxa"/>
            </w:tcMar>
            <w:hideMark/>
          </w:tcPr>
          <w:p w14:paraId="10757C8C" w14:textId="77777777" w:rsidR="0013291D" w:rsidRPr="0087392F" w:rsidRDefault="0013291D" w:rsidP="00906070">
            <w:pPr>
              <w:spacing w:before="60" w:after="60"/>
              <w:rPr>
                <w:rFonts w:cs="Segoe UI"/>
                <w:sz w:val="18"/>
                <w:szCs w:val="18"/>
              </w:rPr>
            </w:pPr>
            <w:r w:rsidRPr="0087392F">
              <w:rPr>
                <w:rFonts w:cs="Segoe UI"/>
                <w:sz w:val="18"/>
                <w:szCs w:val="18"/>
              </w:rPr>
              <w:t>0.0734393</w:t>
            </w:r>
            <w:r w:rsidRPr="0087392F">
              <w:rPr>
                <w:rFonts w:cs="Segoe UI"/>
                <w:sz w:val="18"/>
                <w:szCs w:val="18"/>
                <w:lang w:val="en-GB"/>
              </w:rPr>
              <w:t xml:space="preserve"> x (</w:t>
            </w:r>
            <w:r w:rsidRPr="0087392F">
              <w:rPr>
                <w:rFonts w:cs="Segoe UI"/>
                <w:sz w:val="18"/>
                <w:szCs w:val="18"/>
              </w:rPr>
              <w:t>55 – 56.05801)</w:t>
            </w:r>
          </w:p>
        </w:tc>
        <w:tc>
          <w:tcPr>
            <w:tcW w:w="913" w:type="pct"/>
            <w:tcMar>
              <w:top w:w="0" w:type="dxa"/>
              <w:left w:w="108" w:type="dxa"/>
              <w:bottom w:w="0" w:type="dxa"/>
              <w:right w:w="108" w:type="dxa"/>
            </w:tcMar>
            <w:hideMark/>
          </w:tcPr>
          <w:p w14:paraId="0637C5E1" w14:textId="77777777" w:rsidR="0013291D" w:rsidRPr="0087392F" w:rsidRDefault="0013291D" w:rsidP="00906070">
            <w:pPr>
              <w:spacing w:before="60" w:after="60"/>
              <w:rPr>
                <w:rFonts w:cs="Segoe UI"/>
                <w:sz w:val="18"/>
                <w:szCs w:val="18"/>
              </w:rPr>
            </w:pPr>
            <w:r w:rsidRPr="0087392F">
              <w:rPr>
                <w:rFonts w:cs="Segoe UI"/>
                <w:sz w:val="18"/>
                <w:szCs w:val="18"/>
                <w:lang w:val="en-GB"/>
              </w:rPr>
              <w:t>-0.0776995</w:t>
            </w:r>
          </w:p>
        </w:tc>
      </w:tr>
      <w:tr w:rsidR="0013291D" w:rsidRPr="0087392F" w14:paraId="68606722" w14:textId="77777777" w:rsidTr="00AA021D">
        <w:trPr>
          <w:trHeight w:val="20"/>
        </w:trPr>
        <w:tc>
          <w:tcPr>
            <w:tcW w:w="1315" w:type="pct"/>
            <w:tcMar>
              <w:top w:w="0" w:type="dxa"/>
              <w:left w:w="108" w:type="dxa"/>
              <w:bottom w:w="0" w:type="dxa"/>
              <w:right w:w="108" w:type="dxa"/>
            </w:tcMar>
            <w:hideMark/>
          </w:tcPr>
          <w:p w14:paraId="3617C187" w14:textId="77777777" w:rsidR="0013291D" w:rsidRPr="0087392F" w:rsidRDefault="0013291D" w:rsidP="00906070">
            <w:pPr>
              <w:spacing w:before="60" w:after="60"/>
              <w:rPr>
                <w:rFonts w:cs="Segoe UI"/>
                <w:sz w:val="18"/>
                <w:szCs w:val="18"/>
              </w:rPr>
            </w:pPr>
            <w:r w:rsidRPr="0087392F">
              <w:rPr>
                <w:rFonts w:cs="Segoe UI"/>
                <w:sz w:val="18"/>
                <w:szCs w:val="18"/>
                <w:lang w:val="en-GB"/>
              </w:rPr>
              <w:t>Māori</w:t>
            </w:r>
          </w:p>
        </w:tc>
        <w:tc>
          <w:tcPr>
            <w:tcW w:w="840" w:type="pct"/>
            <w:tcMar>
              <w:top w:w="0" w:type="dxa"/>
              <w:left w:w="108" w:type="dxa"/>
              <w:bottom w:w="0" w:type="dxa"/>
              <w:right w:w="108" w:type="dxa"/>
            </w:tcMar>
          </w:tcPr>
          <w:p w14:paraId="5DDEB8D6" w14:textId="77777777" w:rsidR="0013291D" w:rsidRPr="0087392F" w:rsidRDefault="0013291D" w:rsidP="00906070">
            <w:pPr>
              <w:spacing w:before="60" w:after="60"/>
              <w:rPr>
                <w:rFonts w:cs="Segoe UI"/>
                <w:sz w:val="18"/>
                <w:szCs w:val="18"/>
              </w:rPr>
            </w:pPr>
          </w:p>
        </w:tc>
        <w:tc>
          <w:tcPr>
            <w:tcW w:w="1932" w:type="pct"/>
            <w:tcMar>
              <w:top w:w="0" w:type="dxa"/>
              <w:left w:w="108" w:type="dxa"/>
              <w:bottom w:w="0" w:type="dxa"/>
              <w:right w:w="108" w:type="dxa"/>
            </w:tcMar>
            <w:hideMark/>
          </w:tcPr>
          <w:p w14:paraId="4465CF0C" w14:textId="77777777" w:rsidR="0013291D" w:rsidRPr="0087392F" w:rsidRDefault="0013291D" w:rsidP="00906070">
            <w:pPr>
              <w:spacing w:before="60" w:after="60"/>
              <w:rPr>
                <w:rFonts w:cs="Segoe UI"/>
                <w:sz w:val="18"/>
                <w:szCs w:val="18"/>
              </w:rPr>
            </w:pPr>
            <w:r w:rsidRPr="0087392F">
              <w:rPr>
                <w:rFonts w:cs="Segoe UI"/>
                <w:sz w:val="18"/>
                <w:szCs w:val="18"/>
              </w:rPr>
              <w:t>0.4164622 x 0</w:t>
            </w:r>
          </w:p>
        </w:tc>
        <w:tc>
          <w:tcPr>
            <w:tcW w:w="913" w:type="pct"/>
            <w:tcMar>
              <w:top w:w="0" w:type="dxa"/>
              <w:left w:w="108" w:type="dxa"/>
              <w:bottom w:w="0" w:type="dxa"/>
              <w:right w:w="108" w:type="dxa"/>
            </w:tcMar>
          </w:tcPr>
          <w:p w14:paraId="10C4C904" w14:textId="77777777" w:rsidR="0013291D" w:rsidRPr="0087392F" w:rsidRDefault="0013291D" w:rsidP="00906070">
            <w:pPr>
              <w:spacing w:before="60" w:after="60"/>
              <w:rPr>
                <w:rFonts w:cs="Segoe UI"/>
                <w:sz w:val="18"/>
                <w:szCs w:val="18"/>
              </w:rPr>
            </w:pPr>
            <w:r w:rsidRPr="0087392F">
              <w:rPr>
                <w:rFonts w:cs="Segoe UI"/>
                <w:sz w:val="18"/>
                <w:szCs w:val="18"/>
              </w:rPr>
              <w:t>0</w:t>
            </w:r>
          </w:p>
        </w:tc>
      </w:tr>
      <w:tr w:rsidR="0013291D" w:rsidRPr="0087392F" w14:paraId="68689403" w14:textId="77777777" w:rsidTr="00AA021D">
        <w:trPr>
          <w:trHeight w:val="20"/>
        </w:trPr>
        <w:tc>
          <w:tcPr>
            <w:tcW w:w="1315" w:type="pct"/>
            <w:tcMar>
              <w:top w:w="0" w:type="dxa"/>
              <w:left w:w="108" w:type="dxa"/>
              <w:bottom w:w="0" w:type="dxa"/>
              <w:right w:w="108" w:type="dxa"/>
            </w:tcMar>
            <w:hideMark/>
          </w:tcPr>
          <w:p w14:paraId="55616488" w14:textId="77777777" w:rsidR="0013291D" w:rsidRPr="0087392F" w:rsidRDefault="0013291D" w:rsidP="00906070">
            <w:pPr>
              <w:spacing w:before="60" w:after="60"/>
              <w:rPr>
                <w:rFonts w:cs="Segoe UI"/>
                <w:sz w:val="18"/>
                <w:szCs w:val="18"/>
              </w:rPr>
            </w:pPr>
            <w:r w:rsidRPr="0087392F">
              <w:rPr>
                <w:rFonts w:cs="Segoe UI"/>
                <w:sz w:val="18"/>
                <w:szCs w:val="18"/>
              </w:rPr>
              <w:t>Pacific</w:t>
            </w:r>
          </w:p>
        </w:tc>
        <w:tc>
          <w:tcPr>
            <w:tcW w:w="840" w:type="pct"/>
            <w:tcMar>
              <w:top w:w="0" w:type="dxa"/>
              <w:left w:w="108" w:type="dxa"/>
              <w:bottom w:w="0" w:type="dxa"/>
              <w:right w:w="108" w:type="dxa"/>
            </w:tcMar>
          </w:tcPr>
          <w:p w14:paraId="74976EA1" w14:textId="77777777" w:rsidR="0013291D" w:rsidRPr="0087392F"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707C096D" w14:textId="77777777" w:rsidR="0013291D" w:rsidRPr="0087392F" w:rsidRDefault="0013291D" w:rsidP="00906070">
            <w:pPr>
              <w:spacing w:before="60" w:after="60"/>
              <w:rPr>
                <w:rFonts w:cs="Segoe UI"/>
                <w:sz w:val="18"/>
                <w:szCs w:val="18"/>
              </w:rPr>
            </w:pPr>
            <w:r w:rsidRPr="0087392F">
              <w:rPr>
                <w:rFonts w:cs="Segoe UI"/>
                <w:sz w:val="18"/>
                <w:szCs w:val="18"/>
              </w:rPr>
              <w:t>0.2268597 x 0</w:t>
            </w:r>
          </w:p>
        </w:tc>
        <w:tc>
          <w:tcPr>
            <w:tcW w:w="913" w:type="pct"/>
            <w:tcMar>
              <w:top w:w="0" w:type="dxa"/>
              <w:left w:w="108" w:type="dxa"/>
              <w:bottom w:w="0" w:type="dxa"/>
              <w:right w:w="108" w:type="dxa"/>
            </w:tcMar>
          </w:tcPr>
          <w:p w14:paraId="61828D03" w14:textId="77777777" w:rsidR="0013291D" w:rsidRPr="0087392F" w:rsidRDefault="0013291D" w:rsidP="00906070">
            <w:pPr>
              <w:spacing w:before="60" w:after="60"/>
              <w:rPr>
                <w:rFonts w:cs="Segoe UI"/>
                <w:sz w:val="18"/>
                <w:szCs w:val="18"/>
              </w:rPr>
            </w:pPr>
            <w:r w:rsidRPr="0087392F">
              <w:rPr>
                <w:rFonts w:cs="Segoe UI"/>
                <w:sz w:val="18"/>
                <w:szCs w:val="18"/>
              </w:rPr>
              <w:t>0</w:t>
            </w:r>
          </w:p>
        </w:tc>
      </w:tr>
      <w:tr w:rsidR="0013291D" w:rsidRPr="0087392F" w14:paraId="6ABCA729" w14:textId="77777777" w:rsidTr="00AA021D">
        <w:trPr>
          <w:trHeight w:val="20"/>
        </w:trPr>
        <w:tc>
          <w:tcPr>
            <w:tcW w:w="1315" w:type="pct"/>
            <w:tcMar>
              <w:top w:w="0" w:type="dxa"/>
              <w:left w:w="108" w:type="dxa"/>
              <w:bottom w:w="0" w:type="dxa"/>
              <w:right w:w="108" w:type="dxa"/>
            </w:tcMar>
            <w:hideMark/>
          </w:tcPr>
          <w:p w14:paraId="0F0334D3" w14:textId="77777777" w:rsidR="0013291D" w:rsidRPr="002F17DC" w:rsidRDefault="0013291D" w:rsidP="00906070">
            <w:pPr>
              <w:spacing w:before="60" w:after="60"/>
              <w:rPr>
                <w:rFonts w:cs="Segoe UI"/>
                <w:sz w:val="18"/>
                <w:szCs w:val="18"/>
              </w:rPr>
            </w:pPr>
            <w:r w:rsidRPr="002F17DC">
              <w:rPr>
                <w:rFonts w:cs="Segoe UI"/>
                <w:sz w:val="18"/>
                <w:szCs w:val="18"/>
              </w:rPr>
              <w:t>Indian/Other South Asian</w:t>
            </w:r>
          </w:p>
        </w:tc>
        <w:tc>
          <w:tcPr>
            <w:tcW w:w="840" w:type="pct"/>
            <w:tcMar>
              <w:top w:w="0" w:type="dxa"/>
              <w:left w:w="108" w:type="dxa"/>
              <w:bottom w:w="0" w:type="dxa"/>
              <w:right w:w="108" w:type="dxa"/>
            </w:tcMar>
          </w:tcPr>
          <w:p w14:paraId="000EAF5F"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1932" w:type="pct"/>
            <w:tcMar>
              <w:top w:w="0" w:type="dxa"/>
              <w:left w:w="108" w:type="dxa"/>
              <w:bottom w:w="0" w:type="dxa"/>
              <w:right w:w="108" w:type="dxa"/>
            </w:tcMar>
          </w:tcPr>
          <w:p w14:paraId="4E6A9160" w14:textId="77777777" w:rsidR="0013291D" w:rsidRPr="002F17DC" w:rsidRDefault="0013291D" w:rsidP="00906070">
            <w:pPr>
              <w:spacing w:before="60" w:after="60"/>
              <w:rPr>
                <w:rFonts w:cs="Segoe UI"/>
                <w:sz w:val="18"/>
                <w:szCs w:val="18"/>
              </w:rPr>
            </w:pPr>
            <w:r w:rsidRPr="002F17DC">
              <w:rPr>
                <w:rFonts w:cs="Segoe UI"/>
                <w:sz w:val="18"/>
                <w:szCs w:val="18"/>
              </w:rPr>
              <w:t>0.2086713 x 1</w:t>
            </w:r>
          </w:p>
        </w:tc>
        <w:tc>
          <w:tcPr>
            <w:tcW w:w="913" w:type="pct"/>
            <w:tcMar>
              <w:top w:w="0" w:type="dxa"/>
              <w:left w:w="108" w:type="dxa"/>
              <w:bottom w:w="0" w:type="dxa"/>
              <w:right w:w="108" w:type="dxa"/>
            </w:tcMar>
          </w:tcPr>
          <w:p w14:paraId="6957DCC0" w14:textId="77777777" w:rsidR="0013291D" w:rsidRPr="002F17DC" w:rsidRDefault="0013291D" w:rsidP="00906070">
            <w:pPr>
              <w:spacing w:before="60" w:after="60"/>
              <w:rPr>
                <w:rFonts w:cs="Segoe UI"/>
                <w:sz w:val="18"/>
                <w:szCs w:val="18"/>
              </w:rPr>
            </w:pPr>
            <w:r w:rsidRPr="002F17DC">
              <w:rPr>
                <w:rFonts w:cs="Segoe UI"/>
                <w:sz w:val="18"/>
                <w:szCs w:val="18"/>
              </w:rPr>
              <w:t>0.2086713</w:t>
            </w:r>
          </w:p>
        </w:tc>
      </w:tr>
      <w:tr w:rsidR="0013291D" w:rsidRPr="0087392F" w14:paraId="10EE92D6" w14:textId="77777777" w:rsidTr="00AA021D">
        <w:trPr>
          <w:trHeight w:val="20"/>
        </w:trPr>
        <w:tc>
          <w:tcPr>
            <w:tcW w:w="1315" w:type="pct"/>
            <w:tcMar>
              <w:top w:w="0" w:type="dxa"/>
              <w:left w:w="108" w:type="dxa"/>
              <w:bottom w:w="0" w:type="dxa"/>
              <w:right w:w="108" w:type="dxa"/>
            </w:tcMar>
            <w:hideMark/>
          </w:tcPr>
          <w:p w14:paraId="6265C1EF" w14:textId="77777777" w:rsidR="0013291D" w:rsidRPr="002F17DC" w:rsidRDefault="0013291D" w:rsidP="00906070">
            <w:pPr>
              <w:spacing w:before="60" w:after="60"/>
              <w:rPr>
                <w:rFonts w:cs="Segoe UI"/>
                <w:sz w:val="18"/>
                <w:szCs w:val="18"/>
              </w:rPr>
            </w:pPr>
            <w:r w:rsidRPr="002F17DC">
              <w:rPr>
                <w:rFonts w:cs="Segoe UI"/>
                <w:sz w:val="18"/>
                <w:szCs w:val="18"/>
              </w:rPr>
              <w:t>Chinese/Asian</w:t>
            </w:r>
          </w:p>
        </w:tc>
        <w:tc>
          <w:tcPr>
            <w:tcW w:w="840" w:type="pct"/>
            <w:tcMar>
              <w:top w:w="0" w:type="dxa"/>
              <w:left w:w="108" w:type="dxa"/>
              <w:bottom w:w="0" w:type="dxa"/>
              <w:right w:w="108" w:type="dxa"/>
            </w:tcMar>
          </w:tcPr>
          <w:p w14:paraId="1812382C"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0E019DC5" w14:textId="77777777" w:rsidR="0013291D" w:rsidRPr="002F17DC" w:rsidRDefault="0013291D" w:rsidP="00906070">
            <w:pPr>
              <w:spacing w:before="60" w:after="60"/>
              <w:rPr>
                <w:rFonts w:cs="Segoe UI"/>
                <w:sz w:val="18"/>
                <w:szCs w:val="18"/>
                <w:lang w:val="en-GB"/>
              </w:rPr>
            </w:pPr>
            <w:r w:rsidRPr="002F17DC">
              <w:rPr>
                <w:rFonts w:cs="Segoe UI"/>
                <w:sz w:val="18"/>
                <w:szCs w:val="18"/>
              </w:rPr>
              <w:t>-0.2680559 x 0</w:t>
            </w:r>
          </w:p>
        </w:tc>
        <w:tc>
          <w:tcPr>
            <w:tcW w:w="913" w:type="pct"/>
            <w:tcMar>
              <w:top w:w="0" w:type="dxa"/>
              <w:left w:w="108" w:type="dxa"/>
              <w:bottom w:w="0" w:type="dxa"/>
              <w:right w:w="108" w:type="dxa"/>
            </w:tcMar>
          </w:tcPr>
          <w:p w14:paraId="6F0E415E" w14:textId="77777777" w:rsidR="0013291D" w:rsidRPr="002F17DC" w:rsidRDefault="0013291D" w:rsidP="00906070">
            <w:pPr>
              <w:spacing w:before="60" w:after="60"/>
              <w:rPr>
                <w:rFonts w:cs="Segoe UI"/>
                <w:sz w:val="18"/>
                <w:szCs w:val="18"/>
              </w:rPr>
            </w:pPr>
            <w:r w:rsidRPr="002F17DC">
              <w:rPr>
                <w:rFonts w:cs="Segoe UI"/>
                <w:sz w:val="18"/>
                <w:szCs w:val="18"/>
              </w:rPr>
              <w:t>0</w:t>
            </w:r>
          </w:p>
        </w:tc>
      </w:tr>
      <w:tr w:rsidR="0013291D" w:rsidRPr="0087392F" w14:paraId="381C95CC" w14:textId="77777777" w:rsidTr="00AA021D">
        <w:trPr>
          <w:trHeight w:val="20"/>
        </w:trPr>
        <w:tc>
          <w:tcPr>
            <w:tcW w:w="1315" w:type="pct"/>
            <w:tcMar>
              <w:top w:w="0" w:type="dxa"/>
              <w:left w:w="108" w:type="dxa"/>
              <w:bottom w:w="0" w:type="dxa"/>
              <w:right w:w="108" w:type="dxa"/>
            </w:tcMar>
            <w:hideMark/>
          </w:tcPr>
          <w:p w14:paraId="2B83CD92" w14:textId="51F343C1" w:rsidR="0013291D" w:rsidRPr="002F17DC" w:rsidRDefault="0013291D" w:rsidP="00906070">
            <w:pPr>
              <w:spacing w:before="60" w:after="60"/>
              <w:rPr>
                <w:rFonts w:cs="Segoe UI"/>
                <w:sz w:val="18"/>
                <w:szCs w:val="18"/>
              </w:rPr>
            </w:pPr>
            <w:proofErr w:type="spellStart"/>
            <w:r w:rsidRPr="002F17DC">
              <w:rPr>
                <w:rFonts w:cs="Segoe UI"/>
                <w:sz w:val="18"/>
                <w:szCs w:val="18"/>
              </w:rPr>
              <w:t>NZDep</w:t>
            </w:r>
            <w:proofErr w:type="spellEnd"/>
            <w:r w:rsidRPr="002F17DC">
              <w:rPr>
                <w:rFonts w:cs="Segoe UI"/>
                <w:sz w:val="18"/>
                <w:szCs w:val="18"/>
              </w:rPr>
              <w:t xml:space="preserve"> quintile</w:t>
            </w:r>
          </w:p>
        </w:tc>
        <w:tc>
          <w:tcPr>
            <w:tcW w:w="840" w:type="pct"/>
            <w:tcMar>
              <w:top w:w="0" w:type="dxa"/>
              <w:left w:w="108" w:type="dxa"/>
              <w:bottom w:w="0" w:type="dxa"/>
              <w:right w:w="108" w:type="dxa"/>
            </w:tcMar>
            <w:hideMark/>
          </w:tcPr>
          <w:p w14:paraId="09097E40" w14:textId="77777777" w:rsidR="0013291D" w:rsidRPr="002F17DC" w:rsidRDefault="0013291D" w:rsidP="00906070">
            <w:pPr>
              <w:spacing w:before="60" w:after="60"/>
              <w:rPr>
                <w:rFonts w:cs="Segoe UI"/>
                <w:sz w:val="18"/>
                <w:szCs w:val="18"/>
              </w:rPr>
            </w:pPr>
            <w:r w:rsidRPr="002F17DC">
              <w:rPr>
                <w:rFonts w:cs="Segoe UI"/>
                <w:sz w:val="18"/>
                <w:szCs w:val="18"/>
              </w:rPr>
              <w:t>5</w:t>
            </w:r>
          </w:p>
        </w:tc>
        <w:tc>
          <w:tcPr>
            <w:tcW w:w="1932" w:type="pct"/>
            <w:tcMar>
              <w:top w:w="0" w:type="dxa"/>
              <w:left w:w="108" w:type="dxa"/>
              <w:bottom w:w="0" w:type="dxa"/>
              <w:right w:w="108" w:type="dxa"/>
            </w:tcMar>
            <w:hideMark/>
          </w:tcPr>
          <w:p w14:paraId="4C3D234F" w14:textId="77777777" w:rsidR="0013291D" w:rsidRPr="002F17DC" w:rsidRDefault="0013291D" w:rsidP="00906070">
            <w:pPr>
              <w:spacing w:before="60" w:after="60"/>
              <w:rPr>
                <w:rFonts w:cs="Segoe UI"/>
                <w:sz w:val="18"/>
                <w:szCs w:val="18"/>
              </w:rPr>
            </w:pPr>
            <w:r w:rsidRPr="002F17DC">
              <w:rPr>
                <w:rFonts w:cs="Segoe UI"/>
                <w:sz w:val="18"/>
                <w:szCs w:val="18"/>
              </w:rPr>
              <w:t>0.0957229</w:t>
            </w:r>
            <w:r w:rsidRPr="002F17DC">
              <w:rPr>
                <w:rFonts w:cs="Segoe UI"/>
                <w:sz w:val="18"/>
                <w:szCs w:val="18"/>
                <w:lang w:val="en-GB"/>
              </w:rPr>
              <w:t xml:space="preserve"> x (5 - </w:t>
            </w:r>
            <w:r w:rsidRPr="002F17DC">
              <w:rPr>
                <w:rFonts w:cs="Segoe UI"/>
                <w:sz w:val="18"/>
                <w:szCs w:val="18"/>
              </w:rPr>
              <w:t>2.994877)</w:t>
            </w:r>
          </w:p>
        </w:tc>
        <w:tc>
          <w:tcPr>
            <w:tcW w:w="913" w:type="pct"/>
            <w:tcMar>
              <w:top w:w="0" w:type="dxa"/>
              <w:left w:w="108" w:type="dxa"/>
              <w:bottom w:w="0" w:type="dxa"/>
              <w:right w:w="108" w:type="dxa"/>
            </w:tcMar>
          </w:tcPr>
          <w:p w14:paraId="6080612B" w14:textId="77777777" w:rsidR="0013291D" w:rsidRPr="002F17DC" w:rsidRDefault="0013291D" w:rsidP="00906070">
            <w:pPr>
              <w:spacing w:before="60" w:after="60"/>
              <w:rPr>
                <w:rFonts w:cs="Segoe UI"/>
                <w:sz w:val="18"/>
                <w:szCs w:val="18"/>
              </w:rPr>
            </w:pPr>
            <w:r w:rsidRPr="002F17DC">
              <w:rPr>
                <w:rFonts w:cs="Segoe UI"/>
                <w:sz w:val="18"/>
                <w:szCs w:val="18"/>
              </w:rPr>
              <w:t>0.1919362</w:t>
            </w:r>
          </w:p>
        </w:tc>
      </w:tr>
      <w:tr w:rsidR="0013291D" w:rsidRPr="0087392F" w14:paraId="5737D743" w14:textId="77777777" w:rsidTr="00AA021D">
        <w:trPr>
          <w:trHeight w:val="20"/>
        </w:trPr>
        <w:tc>
          <w:tcPr>
            <w:tcW w:w="1315" w:type="pct"/>
            <w:tcMar>
              <w:top w:w="0" w:type="dxa"/>
              <w:left w:w="108" w:type="dxa"/>
              <w:bottom w:w="0" w:type="dxa"/>
              <w:right w:w="108" w:type="dxa"/>
            </w:tcMar>
            <w:hideMark/>
          </w:tcPr>
          <w:p w14:paraId="3BAB9185" w14:textId="77777777" w:rsidR="0013291D" w:rsidRPr="002F17DC" w:rsidRDefault="0013291D" w:rsidP="00906070">
            <w:pPr>
              <w:spacing w:before="60" w:after="60"/>
              <w:rPr>
                <w:rFonts w:cs="Segoe UI"/>
                <w:sz w:val="18"/>
                <w:szCs w:val="18"/>
              </w:rPr>
            </w:pPr>
            <w:r w:rsidRPr="002F17DC">
              <w:rPr>
                <w:rFonts w:cs="Segoe UI"/>
                <w:sz w:val="18"/>
                <w:szCs w:val="18"/>
              </w:rPr>
              <w:t>Ex-smok</w:t>
            </w:r>
            <w:r>
              <w:rPr>
                <w:rFonts w:cs="Segoe UI"/>
                <w:sz w:val="18"/>
                <w:szCs w:val="18"/>
              </w:rPr>
              <w:t>ing</w:t>
            </w:r>
          </w:p>
        </w:tc>
        <w:tc>
          <w:tcPr>
            <w:tcW w:w="840" w:type="pct"/>
            <w:tcMar>
              <w:top w:w="0" w:type="dxa"/>
              <w:left w:w="108" w:type="dxa"/>
              <w:bottom w:w="0" w:type="dxa"/>
              <w:right w:w="108" w:type="dxa"/>
            </w:tcMar>
            <w:hideMark/>
          </w:tcPr>
          <w:p w14:paraId="05A9DA00"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1932" w:type="pct"/>
            <w:tcMar>
              <w:top w:w="0" w:type="dxa"/>
              <w:left w:w="108" w:type="dxa"/>
              <w:bottom w:w="0" w:type="dxa"/>
              <w:right w:w="108" w:type="dxa"/>
            </w:tcMar>
            <w:hideMark/>
          </w:tcPr>
          <w:p w14:paraId="601CF0B7" w14:textId="77777777" w:rsidR="0013291D" w:rsidRPr="002F17DC" w:rsidRDefault="0013291D" w:rsidP="00906070">
            <w:pPr>
              <w:spacing w:before="60" w:after="60"/>
              <w:rPr>
                <w:rFonts w:cs="Segoe UI"/>
                <w:sz w:val="18"/>
                <w:szCs w:val="18"/>
              </w:rPr>
            </w:pPr>
            <w:r w:rsidRPr="002F17DC">
              <w:rPr>
                <w:rFonts w:cs="Segoe UI"/>
                <w:sz w:val="18"/>
                <w:szCs w:val="18"/>
              </w:rPr>
              <w:t>0.1444243</w:t>
            </w:r>
            <w:r w:rsidRPr="002F17DC">
              <w:rPr>
                <w:rFonts w:cs="Segoe UI"/>
                <w:sz w:val="18"/>
                <w:szCs w:val="18"/>
                <w:lang w:val="en-GB"/>
              </w:rPr>
              <w:t xml:space="preserve"> x 1 </w:t>
            </w:r>
          </w:p>
        </w:tc>
        <w:tc>
          <w:tcPr>
            <w:tcW w:w="913" w:type="pct"/>
            <w:tcMar>
              <w:top w:w="0" w:type="dxa"/>
              <w:left w:w="108" w:type="dxa"/>
              <w:bottom w:w="0" w:type="dxa"/>
              <w:right w:w="108" w:type="dxa"/>
            </w:tcMar>
            <w:hideMark/>
          </w:tcPr>
          <w:p w14:paraId="514B7798" w14:textId="77777777" w:rsidR="0013291D" w:rsidRPr="002F17DC" w:rsidRDefault="0013291D" w:rsidP="00906070">
            <w:pPr>
              <w:spacing w:before="60" w:after="60"/>
              <w:rPr>
                <w:rFonts w:cs="Segoe UI"/>
                <w:sz w:val="18"/>
                <w:szCs w:val="18"/>
              </w:rPr>
            </w:pPr>
            <w:r w:rsidRPr="002F17DC">
              <w:rPr>
                <w:rFonts w:cs="Segoe UI"/>
                <w:sz w:val="18"/>
                <w:szCs w:val="18"/>
              </w:rPr>
              <w:t>0.1444243</w:t>
            </w:r>
          </w:p>
        </w:tc>
      </w:tr>
      <w:tr w:rsidR="0013291D" w:rsidRPr="0087392F" w14:paraId="15B18BB3" w14:textId="77777777" w:rsidTr="00AA021D">
        <w:trPr>
          <w:trHeight w:val="20"/>
        </w:trPr>
        <w:tc>
          <w:tcPr>
            <w:tcW w:w="1315" w:type="pct"/>
            <w:tcMar>
              <w:top w:w="0" w:type="dxa"/>
              <w:left w:w="108" w:type="dxa"/>
              <w:bottom w:w="0" w:type="dxa"/>
              <w:right w:w="108" w:type="dxa"/>
            </w:tcMar>
            <w:hideMark/>
          </w:tcPr>
          <w:p w14:paraId="144A0567" w14:textId="77777777" w:rsidR="0013291D" w:rsidRPr="002F17DC" w:rsidRDefault="0013291D" w:rsidP="00906070">
            <w:pPr>
              <w:spacing w:before="60" w:after="60"/>
              <w:rPr>
                <w:rFonts w:cs="Segoe UI"/>
                <w:sz w:val="18"/>
                <w:szCs w:val="18"/>
              </w:rPr>
            </w:pPr>
            <w:r w:rsidRPr="002F17DC">
              <w:rPr>
                <w:rFonts w:cs="Segoe UI"/>
                <w:sz w:val="18"/>
                <w:szCs w:val="18"/>
              </w:rPr>
              <w:t>Current</w:t>
            </w:r>
            <w:r>
              <w:rPr>
                <w:rFonts w:cs="Segoe UI"/>
                <w:sz w:val="18"/>
                <w:szCs w:val="18"/>
              </w:rPr>
              <w:t>ly</w:t>
            </w:r>
            <w:r w:rsidRPr="002F17DC">
              <w:rPr>
                <w:rFonts w:cs="Segoe UI"/>
                <w:sz w:val="18"/>
                <w:szCs w:val="18"/>
              </w:rPr>
              <w:t xml:space="preserve"> smok</w:t>
            </w:r>
            <w:r>
              <w:rPr>
                <w:rFonts w:cs="Segoe UI"/>
                <w:sz w:val="18"/>
                <w:szCs w:val="18"/>
              </w:rPr>
              <w:t>ing</w:t>
            </w:r>
          </w:p>
        </w:tc>
        <w:tc>
          <w:tcPr>
            <w:tcW w:w="840" w:type="pct"/>
            <w:tcMar>
              <w:top w:w="0" w:type="dxa"/>
              <w:left w:w="108" w:type="dxa"/>
              <w:bottom w:w="0" w:type="dxa"/>
              <w:right w:w="108" w:type="dxa"/>
            </w:tcMar>
          </w:tcPr>
          <w:p w14:paraId="6F7932EA"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hideMark/>
          </w:tcPr>
          <w:p w14:paraId="17A32855" w14:textId="77777777" w:rsidR="0013291D" w:rsidRPr="002F17DC" w:rsidRDefault="0013291D" w:rsidP="00906070">
            <w:pPr>
              <w:spacing w:before="60" w:after="60"/>
              <w:rPr>
                <w:rFonts w:cs="Segoe UI"/>
                <w:sz w:val="18"/>
                <w:szCs w:val="18"/>
              </w:rPr>
            </w:pPr>
            <w:r w:rsidRPr="002F17DC">
              <w:rPr>
                <w:rFonts w:cs="Segoe UI"/>
                <w:sz w:val="18"/>
                <w:szCs w:val="18"/>
              </w:rPr>
              <w:t>0.6768396 x 0</w:t>
            </w:r>
          </w:p>
        </w:tc>
        <w:tc>
          <w:tcPr>
            <w:tcW w:w="913" w:type="pct"/>
            <w:tcMar>
              <w:top w:w="0" w:type="dxa"/>
              <w:left w:w="108" w:type="dxa"/>
              <w:bottom w:w="0" w:type="dxa"/>
              <w:right w:w="108" w:type="dxa"/>
            </w:tcMar>
          </w:tcPr>
          <w:p w14:paraId="694EF8F4" w14:textId="77777777" w:rsidR="0013291D" w:rsidRPr="002F17DC" w:rsidRDefault="0013291D" w:rsidP="00906070">
            <w:pPr>
              <w:spacing w:before="60" w:after="60"/>
              <w:rPr>
                <w:rFonts w:cs="Segoe UI"/>
                <w:sz w:val="18"/>
                <w:szCs w:val="18"/>
              </w:rPr>
            </w:pPr>
            <w:r w:rsidRPr="002F17DC">
              <w:rPr>
                <w:rFonts w:cs="Segoe UI"/>
                <w:sz w:val="18"/>
                <w:szCs w:val="18"/>
              </w:rPr>
              <w:t>0</w:t>
            </w:r>
          </w:p>
        </w:tc>
      </w:tr>
      <w:tr w:rsidR="0013291D" w:rsidRPr="0087392F" w14:paraId="750C0941" w14:textId="77777777" w:rsidTr="00AA021D">
        <w:trPr>
          <w:trHeight w:val="20"/>
        </w:trPr>
        <w:tc>
          <w:tcPr>
            <w:tcW w:w="1315" w:type="pct"/>
            <w:tcMar>
              <w:top w:w="0" w:type="dxa"/>
              <w:left w:w="108" w:type="dxa"/>
              <w:bottom w:w="0" w:type="dxa"/>
              <w:right w:w="108" w:type="dxa"/>
            </w:tcMar>
            <w:hideMark/>
          </w:tcPr>
          <w:p w14:paraId="57490A72" w14:textId="77777777" w:rsidR="0013291D" w:rsidRPr="002F17DC" w:rsidRDefault="0013291D" w:rsidP="00906070">
            <w:pPr>
              <w:spacing w:before="60" w:after="60"/>
              <w:rPr>
                <w:rFonts w:cs="Segoe UI"/>
                <w:sz w:val="18"/>
                <w:szCs w:val="18"/>
              </w:rPr>
            </w:pPr>
            <w:r w:rsidRPr="002F17DC">
              <w:rPr>
                <w:rFonts w:cs="Segoe UI"/>
                <w:sz w:val="18"/>
                <w:szCs w:val="18"/>
              </w:rPr>
              <w:t>Fam. hist. CVD</w:t>
            </w:r>
          </w:p>
        </w:tc>
        <w:tc>
          <w:tcPr>
            <w:tcW w:w="840" w:type="pct"/>
            <w:tcMar>
              <w:top w:w="0" w:type="dxa"/>
              <w:left w:w="108" w:type="dxa"/>
              <w:bottom w:w="0" w:type="dxa"/>
              <w:right w:w="108" w:type="dxa"/>
            </w:tcMar>
            <w:hideMark/>
          </w:tcPr>
          <w:p w14:paraId="55A068F1"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1932" w:type="pct"/>
            <w:tcMar>
              <w:top w:w="0" w:type="dxa"/>
              <w:left w:w="108" w:type="dxa"/>
              <w:bottom w:w="0" w:type="dxa"/>
              <w:right w:w="108" w:type="dxa"/>
            </w:tcMar>
            <w:hideMark/>
          </w:tcPr>
          <w:p w14:paraId="05E6CC82" w14:textId="77777777" w:rsidR="0013291D" w:rsidRPr="002F17DC" w:rsidRDefault="0013291D" w:rsidP="00906070">
            <w:pPr>
              <w:spacing w:before="60" w:after="60"/>
              <w:rPr>
                <w:rFonts w:cs="Segoe UI"/>
                <w:sz w:val="18"/>
                <w:szCs w:val="18"/>
              </w:rPr>
            </w:pPr>
            <w:r w:rsidRPr="002F17DC">
              <w:rPr>
                <w:rFonts w:cs="Segoe UI"/>
                <w:sz w:val="18"/>
                <w:szCs w:val="18"/>
              </w:rPr>
              <w:t>0.0645588 x 1</w:t>
            </w:r>
          </w:p>
        </w:tc>
        <w:tc>
          <w:tcPr>
            <w:tcW w:w="913" w:type="pct"/>
            <w:tcMar>
              <w:top w:w="0" w:type="dxa"/>
              <w:left w:w="108" w:type="dxa"/>
              <w:bottom w:w="0" w:type="dxa"/>
              <w:right w:w="108" w:type="dxa"/>
            </w:tcMar>
          </w:tcPr>
          <w:p w14:paraId="02403A5F" w14:textId="77777777" w:rsidR="0013291D" w:rsidRPr="002F17DC" w:rsidRDefault="0013291D" w:rsidP="00906070">
            <w:pPr>
              <w:spacing w:before="60" w:after="60"/>
              <w:rPr>
                <w:rFonts w:cs="Segoe UI"/>
                <w:sz w:val="18"/>
                <w:szCs w:val="18"/>
              </w:rPr>
            </w:pPr>
            <w:r w:rsidRPr="002F17DC">
              <w:rPr>
                <w:rFonts w:cs="Segoe UI"/>
                <w:sz w:val="18"/>
                <w:szCs w:val="18"/>
              </w:rPr>
              <w:t>0.0645588</w:t>
            </w:r>
          </w:p>
        </w:tc>
      </w:tr>
      <w:tr w:rsidR="0013291D" w:rsidRPr="0087392F" w14:paraId="15CCDF38" w14:textId="77777777" w:rsidTr="00AA021D">
        <w:trPr>
          <w:trHeight w:val="20"/>
        </w:trPr>
        <w:tc>
          <w:tcPr>
            <w:tcW w:w="1315" w:type="pct"/>
            <w:tcMar>
              <w:top w:w="0" w:type="dxa"/>
              <w:left w:w="108" w:type="dxa"/>
              <w:bottom w:w="0" w:type="dxa"/>
              <w:right w:w="108" w:type="dxa"/>
            </w:tcMar>
            <w:hideMark/>
          </w:tcPr>
          <w:p w14:paraId="69CBEC0A" w14:textId="77777777" w:rsidR="0013291D" w:rsidRPr="0087392F" w:rsidRDefault="0013291D" w:rsidP="00906070">
            <w:pPr>
              <w:spacing w:before="60" w:after="60"/>
              <w:rPr>
                <w:rFonts w:cs="Segoe UI"/>
                <w:sz w:val="18"/>
                <w:szCs w:val="18"/>
              </w:rPr>
            </w:pPr>
            <w:r w:rsidRPr="0087392F">
              <w:rPr>
                <w:rFonts w:cs="Segoe UI"/>
                <w:sz w:val="18"/>
                <w:szCs w:val="18"/>
              </w:rPr>
              <w:t>Atrial fibrillation</w:t>
            </w:r>
          </w:p>
        </w:tc>
        <w:tc>
          <w:tcPr>
            <w:tcW w:w="840" w:type="pct"/>
            <w:tcMar>
              <w:top w:w="0" w:type="dxa"/>
              <w:left w:w="108" w:type="dxa"/>
              <w:bottom w:w="0" w:type="dxa"/>
              <w:right w:w="108" w:type="dxa"/>
            </w:tcMar>
            <w:hideMark/>
          </w:tcPr>
          <w:p w14:paraId="43DAC982" w14:textId="77777777" w:rsidR="0013291D" w:rsidRPr="0087392F" w:rsidRDefault="0013291D" w:rsidP="00906070">
            <w:pPr>
              <w:spacing w:before="60" w:after="60"/>
              <w:rPr>
                <w:rFonts w:cs="Segoe UI"/>
                <w:sz w:val="18"/>
                <w:szCs w:val="18"/>
              </w:rPr>
            </w:pPr>
            <w:r w:rsidRPr="0087392F">
              <w:rPr>
                <w:rFonts w:cs="Segoe UI"/>
                <w:sz w:val="18"/>
                <w:szCs w:val="18"/>
              </w:rPr>
              <w:t>Yes</w:t>
            </w:r>
          </w:p>
        </w:tc>
        <w:tc>
          <w:tcPr>
            <w:tcW w:w="1932" w:type="pct"/>
            <w:tcMar>
              <w:top w:w="0" w:type="dxa"/>
              <w:left w:w="108" w:type="dxa"/>
              <w:bottom w:w="0" w:type="dxa"/>
              <w:right w:w="108" w:type="dxa"/>
            </w:tcMar>
            <w:hideMark/>
          </w:tcPr>
          <w:p w14:paraId="3B71507A" w14:textId="77777777" w:rsidR="0013291D" w:rsidRPr="0087392F" w:rsidRDefault="0013291D" w:rsidP="00906070">
            <w:pPr>
              <w:spacing w:before="60" w:after="60"/>
              <w:rPr>
                <w:rFonts w:cs="Segoe UI"/>
                <w:sz w:val="18"/>
                <w:szCs w:val="18"/>
                <w:lang w:val="en-GB"/>
              </w:rPr>
            </w:pPr>
            <w:r w:rsidRPr="0087392F">
              <w:rPr>
                <w:rFonts w:cs="Segoe UI"/>
                <w:sz w:val="18"/>
                <w:szCs w:val="18"/>
              </w:rPr>
              <w:t>0.9293084 x 1</w:t>
            </w:r>
          </w:p>
        </w:tc>
        <w:tc>
          <w:tcPr>
            <w:tcW w:w="913" w:type="pct"/>
            <w:tcMar>
              <w:top w:w="0" w:type="dxa"/>
              <w:left w:w="108" w:type="dxa"/>
              <w:bottom w:w="0" w:type="dxa"/>
              <w:right w:w="108" w:type="dxa"/>
            </w:tcMar>
          </w:tcPr>
          <w:p w14:paraId="05292068" w14:textId="77777777" w:rsidR="0013291D" w:rsidRPr="0087392F" w:rsidRDefault="0013291D" w:rsidP="00906070">
            <w:pPr>
              <w:spacing w:before="60" w:after="60"/>
              <w:rPr>
                <w:rFonts w:cs="Segoe UI"/>
                <w:sz w:val="18"/>
                <w:szCs w:val="18"/>
                <w:lang w:val="en-GB"/>
              </w:rPr>
            </w:pPr>
            <w:r w:rsidRPr="0087392F">
              <w:rPr>
                <w:rFonts w:cs="Segoe UI"/>
                <w:sz w:val="18"/>
                <w:szCs w:val="18"/>
              </w:rPr>
              <w:t>0.9293084</w:t>
            </w:r>
          </w:p>
        </w:tc>
      </w:tr>
      <w:tr w:rsidR="0013291D" w:rsidRPr="0087392F" w14:paraId="281AEAF1" w14:textId="77777777" w:rsidTr="00AA021D">
        <w:trPr>
          <w:trHeight w:val="20"/>
        </w:trPr>
        <w:tc>
          <w:tcPr>
            <w:tcW w:w="1315" w:type="pct"/>
            <w:tcMar>
              <w:top w:w="0" w:type="dxa"/>
              <w:left w:w="108" w:type="dxa"/>
              <w:bottom w:w="0" w:type="dxa"/>
              <w:right w:w="108" w:type="dxa"/>
            </w:tcMar>
            <w:hideMark/>
          </w:tcPr>
          <w:p w14:paraId="6F9C2BFA" w14:textId="77777777" w:rsidR="0013291D" w:rsidRPr="0087392F" w:rsidRDefault="0013291D" w:rsidP="00906070">
            <w:pPr>
              <w:spacing w:before="60" w:after="60"/>
              <w:rPr>
                <w:rFonts w:cs="Segoe UI"/>
                <w:sz w:val="18"/>
                <w:szCs w:val="18"/>
              </w:rPr>
            </w:pPr>
            <w:r w:rsidRPr="0087392F">
              <w:rPr>
                <w:rFonts w:cs="Segoe UI"/>
                <w:sz w:val="18"/>
                <w:szCs w:val="18"/>
              </w:rPr>
              <w:t>Diabetes</w:t>
            </w:r>
          </w:p>
        </w:tc>
        <w:tc>
          <w:tcPr>
            <w:tcW w:w="840" w:type="pct"/>
            <w:tcMar>
              <w:top w:w="0" w:type="dxa"/>
              <w:left w:w="108" w:type="dxa"/>
              <w:bottom w:w="0" w:type="dxa"/>
              <w:right w:w="108" w:type="dxa"/>
            </w:tcMar>
            <w:hideMark/>
          </w:tcPr>
          <w:p w14:paraId="78DD5ECA" w14:textId="77777777" w:rsidR="0013291D" w:rsidRPr="0087392F" w:rsidRDefault="0013291D" w:rsidP="00906070">
            <w:pPr>
              <w:spacing w:before="60" w:after="60"/>
              <w:rPr>
                <w:rFonts w:cs="Segoe UI"/>
                <w:sz w:val="18"/>
                <w:szCs w:val="18"/>
              </w:rPr>
            </w:pPr>
            <w:r w:rsidRPr="0087392F">
              <w:rPr>
                <w:rFonts w:cs="Segoe UI"/>
                <w:sz w:val="18"/>
                <w:szCs w:val="18"/>
              </w:rPr>
              <w:t>Yes</w:t>
            </w:r>
          </w:p>
        </w:tc>
        <w:tc>
          <w:tcPr>
            <w:tcW w:w="1932" w:type="pct"/>
            <w:tcMar>
              <w:top w:w="0" w:type="dxa"/>
              <w:left w:w="108" w:type="dxa"/>
              <w:bottom w:w="0" w:type="dxa"/>
              <w:right w:w="108" w:type="dxa"/>
            </w:tcMar>
            <w:hideMark/>
          </w:tcPr>
          <w:p w14:paraId="5F8A7001" w14:textId="77777777" w:rsidR="0013291D" w:rsidRPr="0087392F" w:rsidRDefault="0013291D" w:rsidP="00906070">
            <w:pPr>
              <w:spacing w:before="60" w:after="60"/>
              <w:rPr>
                <w:rFonts w:cs="Segoe UI"/>
                <w:sz w:val="18"/>
                <w:szCs w:val="18"/>
              </w:rPr>
            </w:pPr>
            <w:r w:rsidRPr="0087392F">
              <w:rPr>
                <w:rFonts w:cs="Segoe UI"/>
                <w:sz w:val="18"/>
                <w:szCs w:val="18"/>
              </w:rPr>
              <w:t>0.4967444</w:t>
            </w:r>
            <w:r w:rsidRPr="0087392F">
              <w:rPr>
                <w:rFonts w:cs="Segoe UI"/>
                <w:sz w:val="18"/>
                <w:szCs w:val="18"/>
                <w:lang w:val="en-GB"/>
              </w:rPr>
              <w:t xml:space="preserve"> x 1 </w:t>
            </w:r>
          </w:p>
        </w:tc>
        <w:tc>
          <w:tcPr>
            <w:tcW w:w="913" w:type="pct"/>
            <w:tcMar>
              <w:top w:w="0" w:type="dxa"/>
              <w:left w:w="108" w:type="dxa"/>
              <w:bottom w:w="0" w:type="dxa"/>
              <w:right w:w="108" w:type="dxa"/>
            </w:tcMar>
            <w:hideMark/>
          </w:tcPr>
          <w:p w14:paraId="5CF7C3AF" w14:textId="77777777" w:rsidR="0013291D" w:rsidRPr="0087392F" w:rsidRDefault="0013291D" w:rsidP="00906070">
            <w:pPr>
              <w:spacing w:before="60" w:after="60"/>
              <w:rPr>
                <w:rFonts w:cs="Segoe UI"/>
                <w:sz w:val="18"/>
                <w:szCs w:val="18"/>
              </w:rPr>
            </w:pPr>
            <w:r w:rsidRPr="0087392F">
              <w:rPr>
                <w:rFonts w:cs="Segoe UI"/>
                <w:sz w:val="18"/>
                <w:szCs w:val="18"/>
              </w:rPr>
              <w:t>0.4967444</w:t>
            </w:r>
          </w:p>
        </w:tc>
      </w:tr>
      <w:tr w:rsidR="0013291D" w:rsidRPr="0087392F" w14:paraId="138D4DAE" w14:textId="77777777" w:rsidTr="00AA021D">
        <w:trPr>
          <w:trHeight w:val="20"/>
        </w:trPr>
        <w:tc>
          <w:tcPr>
            <w:tcW w:w="1315" w:type="pct"/>
            <w:tcMar>
              <w:top w:w="0" w:type="dxa"/>
              <w:left w:w="108" w:type="dxa"/>
              <w:bottom w:w="0" w:type="dxa"/>
              <w:right w:w="108" w:type="dxa"/>
            </w:tcMar>
            <w:hideMark/>
          </w:tcPr>
          <w:p w14:paraId="2BB3D547" w14:textId="7C7B1C0D" w:rsidR="0013291D" w:rsidRPr="002F17DC" w:rsidRDefault="0013291D" w:rsidP="00906070">
            <w:pPr>
              <w:spacing w:before="60" w:after="60"/>
              <w:rPr>
                <w:rFonts w:cs="Segoe UI"/>
                <w:sz w:val="18"/>
                <w:szCs w:val="18"/>
              </w:rPr>
            </w:pPr>
            <w:r w:rsidRPr="002F17DC">
              <w:rPr>
                <w:rFonts w:cs="Segoe UI"/>
                <w:sz w:val="18"/>
                <w:szCs w:val="18"/>
              </w:rPr>
              <w:t>SBP, mmHg</w:t>
            </w:r>
          </w:p>
        </w:tc>
        <w:tc>
          <w:tcPr>
            <w:tcW w:w="840" w:type="pct"/>
            <w:tcMar>
              <w:top w:w="0" w:type="dxa"/>
              <w:left w:w="108" w:type="dxa"/>
              <w:bottom w:w="0" w:type="dxa"/>
              <w:right w:w="108" w:type="dxa"/>
            </w:tcMar>
            <w:hideMark/>
          </w:tcPr>
          <w:p w14:paraId="6A4AD116" w14:textId="77777777" w:rsidR="0013291D" w:rsidRPr="002F17DC" w:rsidRDefault="0013291D" w:rsidP="00906070">
            <w:pPr>
              <w:spacing w:before="60" w:after="60"/>
              <w:rPr>
                <w:rFonts w:cs="Segoe UI"/>
                <w:sz w:val="18"/>
                <w:szCs w:val="18"/>
              </w:rPr>
            </w:pPr>
            <w:r w:rsidRPr="002F17DC">
              <w:rPr>
                <w:rFonts w:cs="Segoe UI"/>
                <w:sz w:val="18"/>
                <w:szCs w:val="18"/>
              </w:rPr>
              <w:t>120</w:t>
            </w:r>
          </w:p>
        </w:tc>
        <w:tc>
          <w:tcPr>
            <w:tcW w:w="1932" w:type="pct"/>
            <w:tcMar>
              <w:top w:w="0" w:type="dxa"/>
              <w:left w:w="108" w:type="dxa"/>
              <w:bottom w:w="0" w:type="dxa"/>
              <w:right w:w="108" w:type="dxa"/>
            </w:tcMar>
            <w:hideMark/>
          </w:tcPr>
          <w:p w14:paraId="534438D2" w14:textId="77777777" w:rsidR="0013291D" w:rsidRPr="002F17DC" w:rsidRDefault="0013291D" w:rsidP="00906070">
            <w:pPr>
              <w:spacing w:before="60" w:after="60"/>
              <w:rPr>
                <w:rFonts w:cs="Segoe UI"/>
                <w:sz w:val="18"/>
                <w:szCs w:val="18"/>
              </w:rPr>
            </w:pPr>
            <w:r w:rsidRPr="002F17DC">
              <w:rPr>
                <w:rFonts w:cs="Segoe UI"/>
                <w:sz w:val="18"/>
                <w:szCs w:val="18"/>
              </w:rPr>
              <w:t>0.0176523</w:t>
            </w:r>
            <w:r w:rsidRPr="002F17DC">
              <w:rPr>
                <w:rFonts w:cs="Segoe UI"/>
                <w:sz w:val="18"/>
                <w:szCs w:val="18"/>
                <w:lang w:val="en-GB"/>
              </w:rPr>
              <w:t xml:space="preserve"> x (120 - </w:t>
            </w:r>
            <w:r w:rsidRPr="002F17DC">
              <w:rPr>
                <w:rFonts w:cs="Segoe UI"/>
                <w:sz w:val="18"/>
                <w:szCs w:val="18"/>
              </w:rPr>
              <w:t>128.6736)</w:t>
            </w:r>
          </w:p>
        </w:tc>
        <w:tc>
          <w:tcPr>
            <w:tcW w:w="913" w:type="pct"/>
            <w:tcMar>
              <w:top w:w="0" w:type="dxa"/>
              <w:left w:w="108" w:type="dxa"/>
              <w:bottom w:w="0" w:type="dxa"/>
              <w:right w:w="108" w:type="dxa"/>
            </w:tcMar>
          </w:tcPr>
          <w:p w14:paraId="7B44A57B" w14:textId="77777777" w:rsidR="0013291D" w:rsidRPr="002F17DC" w:rsidRDefault="0013291D" w:rsidP="00906070">
            <w:pPr>
              <w:spacing w:before="60" w:after="60"/>
              <w:rPr>
                <w:rFonts w:cs="Segoe UI"/>
                <w:sz w:val="18"/>
                <w:szCs w:val="18"/>
              </w:rPr>
            </w:pPr>
            <w:r w:rsidRPr="002F17DC">
              <w:rPr>
                <w:rFonts w:cs="Segoe UI"/>
                <w:sz w:val="18"/>
                <w:szCs w:val="18"/>
              </w:rPr>
              <w:t>-0.1531090</w:t>
            </w:r>
          </w:p>
        </w:tc>
      </w:tr>
      <w:tr w:rsidR="0013291D" w:rsidRPr="0087392F" w14:paraId="52C66FE1" w14:textId="77777777" w:rsidTr="00AA021D">
        <w:trPr>
          <w:trHeight w:val="20"/>
        </w:trPr>
        <w:tc>
          <w:tcPr>
            <w:tcW w:w="1315" w:type="pct"/>
            <w:tcMar>
              <w:top w:w="0" w:type="dxa"/>
              <w:left w:w="108" w:type="dxa"/>
              <w:bottom w:w="0" w:type="dxa"/>
              <w:right w:w="108" w:type="dxa"/>
            </w:tcMar>
            <w:hideMark/>
          </w:tcPr>
          <w:p w14:paraId="2EE9D890" w14:textId="19F00FDE" w:rsidR="0013291D" w:rsidRPr="002F17DC" w:rsidRDefault="0013291D" w:rsidP="00906070">
            <w:pPr>
              <w:spacing w:before="60" w:after="60"/>
              <w:rPr>
                <w:rFonts w:cs="Segoe UI"/>
                <w:sz w:val="18"/>
                <w:szCs w:val="18"/>
              </w:rPr>
            </w:pPr>
            <w:proofErr w:type="gramStart"/>
            <w:r w:rsidRPr="002F17DC">
              <w:rPr>
                <w:rFonts w:cs="Segoe UI"/>
                <w:sz w:val="18"/>
                <w:szCs w:val="18"/>
              </w:rPr>
              <w:t>TC:HDL</w:t>
            </w:r>
            <w:proofErr w:type="gramEnd"/>
          </w:p>
        </w:tc>
        <w:tc>
          <w:tcPr>
            <w:tcW w:w="840" w:type="pct"/>
            <w:tcMar>
              <w:top w:w="0" w:type="dxa"/>
              <w:left w:w="108" w:type="dxa"/>
              <w:bottom w:w="0" w:type="dxa"/>
              <w:right w:w="108" w:type="dxa"/>
            </w:tcMar>
            <w:hideMark/>
          </w:tcPr>
          <w:p w14:paraId="358251C3" w14:textId="77777777" w:rsidR="0013291D" w:rsidRPr="002F17DC" w:rsidRDefault="0013291D" w:rsidP="00906070">
            <w:pPr>
              <w:spacing w:before="60" w:after="60"/>
              <w:rPr>
                <w:rFonts w:cs="Segoe UI"/>
                <w:sz w:val="18"/>
                <w:szCs w:val="18"/>
              </w:rPr>
            </w:pPr>
            <w:r w:rsidRPr="002F17DC">
              <w:rPr>
                <w:rFonts w:cs="Segoe UI"/>
                <w:sz w:val="18"/>
                <w:szCs w:val="18"/>
              </w:rPr>
              <w:t>3.2</w:t>
            </w:r>
          </w:p>
        </w:tc>
        <w:tc>
          <w:tcPr>
            <w:tcW w:w="1932" w:type="pct"/>
            <w:tcMar>
              <w:top w:w="0" w:type="dxa"/>
              <w:left w:w="108" w:type="dxa"/>
              <w:bottom w:w="0" w:type="dxa"/>
              <w:right w:w="108" w:type="dxa"/>
            </w:tcMar>
            <w:hideMark/>
          </w:tcPr>
          <w:p w14:paraId="63877D5B" w14:textId="77777777" w:rsidR="0013291D" w:rsidRPr="002F17DC" w:rsidRDefault="0013291D" w:rsidP="00906070">
            <w:pPr>
              <w:spacing w:before="60" w:after="60"/>
              <w:rPr>
                <w:rFonts w:cs="Segoe UI"/>
                <w:sz w:val="18"/>
                <w:szCs w:val="18"/>
              </w:rPr>
            </w:pPr>
            <w:r w:rsidRPr="002F17DC">
              <w:rPr>
                <w:rFonts w:cs="Segoe UI"/>
                <w:sz w:val="18"/>
                <w:szCs w:val="18"/>
              </w:rPr>
              <w:t>0.1361335</w:t>
            </w:r>
            <w:r w:rsidRPr="002F17DC">
              <w:rPr>
                <w:rFonts w:cs="Segoe UI"/>
                <w:sz w:val="18"/>
                <w:szCs w:val="18"/>
                <w:lang w:val="en-GB"/>
              </w:rPr>
              <w:t xml:space="preserve"> x (3.2 - </w:t>
            </w:r>
            <w:r w:rsidRPr="002F17DC">
              <w:rPr>
                <w:rFonts w:cs="Segoe UI"/>
                <w:sz w:val="18"/>
                <w:szCs w:val="18"/>
              </w:rPr>
              <w:t>3.715383)</w:t>
            </w:r>
          </w:p>
        </w:tc>
        <w:tc>
          <w:tcPr>
            <w:tcW w:w="913" w:type="pct"/>
            <w:tcMar>
              <w:top w:w="0" w:type="dxa"/>
              <w:left w:w="108" w:type="dxa"/>
              <w:bottom w:w="0" w:type="dxa"/>
              <w:right w:w="108" w:type="dxa"/>
            </w:tcMar>
          </w:tcPr>
          <w:p w14:paraId="5FE0EBE4" w14:textId="77777777" w:rsidR="0013291D" w:rsidRPr="002F17DC" w:rsidRDefault="0013291D" w:rsidP="00906070">
            <w:pPr>
              <w:spacing w:before="60" w:after="60"/>
              <w:rPr>
                <w:rFonts w:cs="Segoe UI"/>
                <w:sz w:val="18"/>
                <w:szCs w:val="18"/>
              </w:rPr>
            </w:pPr>
            <w:r w:rsidRPr="002F17DC">
              <w:rPr>
                <w:rFonts w:cs="Segoe UI"/>
                <w:sz w:val="18"/>
                <w:szCs w:val="18"/>
              </w:rPr>
              <w:t>-0.0701609</w:t>
            </w:r>
          </w:p>
        </w:tc>
      </w:tr>
      <w:tr w:rsidR="0013291D" w:rsidRPr="0087392F" w14:paraId="4A7C42D5" w14:textId="77777777" w:rsidTr="00AA021D">
        <w:trPr>
          <w:trHeight w:val="20"/>
        </w:trPr>
        <w:tc>
          <w:tcPr>
            <w:tcW w:w="1315" w:type="pct"/>
            <w:tcMar>
              <w:top w:w="0" w:type="dxa"/>
              <w:left w:w="108" w:type="dxa"/>
              <w:bottom w:w="0" w:type="dxa"/>
              <w:right w:w="108" w:type="dxa"/>
            </w:tcMar>
          </w:tcPr>
          <w:p w14:paraId="607339E6" w14:textId="3B395E71" w:rsidR="0013291D" w:rsidRPr="002F17DC" w:rsidRDefault="0013291D" w:rsidP="00906070">
            <w:pPr>
              <w:spacing w:before="60" w:after="60"/>
              <w:rPr>
                <w:rFonts w:cs="Segoe UI"/>
                <w:sz w:val="18"/>
                <w:szCs w:val="18"/>
              </w:rPr>
            </w:pPr>
            <w:r w:rsidRPr="002F17DC">
              <w:rPr>
                <w:rFonts w:cs="Segoe UI"/>
                <w:sz w:val="18"/>
                <w:szCs w:val="18"/>
              </w:rPr>
              <w:t>BMI &lt;</w:t>
            </w:r>
            <w:r w:rsidR="003C1A76">
              <w:rPr>
                <w:rFonts w:cs="Segoe UI"/>
                <w:sz w:val="18"/>
                <w:szCs w:val="18"/>
              </w:rPr>
              <w:t xml:space="preserve"> </w:t>
            </w:r>
            <w:r w:rsidRPr="002F17DC">
              <w:rPr>
                <w:rFonts w:cs="Segoe UI"/>
                <w:sz w:val="18"/>
                <w:szCs w:val="18"/>
              </w:rPr>
              <w:t>18.5</w:t>
            </w:r>
            <w:r w:rsidR="003C1A76">
              <w:rPr>
                <w:rFonts w:cs="Segoe UI"/>
                <w:sz w:val="18"/>
                <w:szCs w:val="18"/>
              </w:rPr>
              <w:t xml:space="preserve"> </w:t>
            </w:r>
            <w:r w:rsidRPr="002F17DC">
              <w:rPr>
                <w:rFonts w:cs="Segoe UI"/>
                <w:sz w:val="18"/>
                <w:szCs w:val="18"/>
              </w:rPr>
              <w:t>kg/m</w:t>
            </w:r>
            <w:r w:rsidRPr="002F17DC">
              <w:rPr>
                <w:rFonts w:cs="Segoe UI"/>
                <w:sz w:val="18"/>
                <w:szCs w:val="18"/>
                <w:vertAlign w:val="superscript"/>
              </w:rPr>
              <w:t>2</w:t>
            </w:r>
          </w:p>
        </w:tc>
        <w:tc>
          <w:tcPr>
            <w:tcW w:w="840" w:type="pct"/>
            <w:tcMar>
              <w:top w:w="0" w:type="dxa"/>
              <w:left w:w="108" w:type="dxa"/>
              <w:bottom w:w="0" w:type="dxa"/>
              <w:right w:w="108" w:type="dxa"/>
            </w:tcMar>
          </w:tcPr>
          <w:p w14:paraId="54B6B8AA"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00D728FB" w14:textId="77777777" w:rsidR="0013291D" w:rsidRPr="002F17DC" w:rsidRDefault="0013291D" w:rsidP="00906070">
            <w:pPr>
              <w:spacing w:before="60" w:after="60"/>
              <w:rPr>
                <w:rFonts w:cs="Segoe UI"/>
                <w:sz w:val="18"/>
                <w:szCs w:val="18"/>
              </w:rPr>
            </w:pPr>
            <w:r w:rsidRPr="002F17DC">
              <w:rPr>
                <w:rFonts w:cs="Segoe UI"/>
                <w:sz w:val="18"/>
                <w:szCs w:val="18"/>
              </w:rPr>
              <w:t>0.6277962 x 0</w:t>
            </w:r>
          </w:p>
        </w:tc>
        <w:tc>
          <w:tcPr>
            <w:tcW w:w="913" w:type="pct"/>
            <w:tcMar>
              <w:top w:w="0" w:type="dxa"/>
              <w:left w:w="108" w:type="dxa"/>
              <w:bottom w:w="0" w:type="dxa"/>
              <w:right w:w="108" w:type="dxa"/>
            </w:tcMar>
          </w:tcPr>
          <w:p w14:paraId="594BC2C7" w14:textId="77777777" w:rsidR="0013291D" w:rsidRPr="002F17DC" w:rsidRDefault="0013291D" w:rsidP="00906070">
            <w:pPr>
              <w:spacing w:before="60" w:after="60"/>
              <w:rPr>
                <w:rFonts w:cs="Segoe UI"/>
                <w:sz w:val="18"/>
                <w:szCs w:val="18"/>
              </w:rPr>
            </w:pPr>
            <w:r w:rsidRPr="002F17DC">
              <w:rPr>
                <w:rFonts w:cs="Segoe UI"/>
                <w:sz w:val="18"/>
                <w:szCs w:val="18"/>
              </w:rPr>
              <w:t>0</w:t>
            </w:r>
          </w:p>
        </w:tc>
      </w:tr>
      <w:tr w:rsidR="0013291D" w:rsidRPr="0087392F" w14:paraId="21C1D969" w14:textId="77777777" w:rsidTr="00AA021D">
        <w:trPr>
          <w:trHeight w:val="20"/>
        </w:trPr>
        <w:tc>
          <w:tcPr>
            <w:tcW w:w="1315" w:type="pct"/>
            <w:tcMar>
              <w:top w:w="0" w:type="dxa"/>
              <w:left w:w="108" w:type="dxa"/>
              <w:bottom w:w="0" w:type="dxa"/>
              <w:right w:w="108" w:type="dxa"/>
            </w:tcMar>
          </w:tcPr>
          <w:p w14:paraId="1C1CB1F5" w14:textId="77777777" w:rsidR="0013291D" w:rsidRPr="002F17DC" w:rsidRDefault="0013291D" w:rsidP="00906070">
            <w:pPr>
              <w:spacing w:before="60" w:after="60"/>
              <w:rPr>
                <w:rFonts w:cs="Segoe UI"/>
                <w:sz w:val="18"/>
                <w:szCs w:val="18"/>
              </w:rPr>
            </w:pPr>
            <w:r w:rsidRPr="002F17DC">
              <w:rPr>
                <w:rFonts w:cs="Segoe UI"/>
                <w:sz w:val="18"/>
                <w:szCs w:val="18"/>
              </w:rPr>
              <w:lastRenderedPageBreak/>
              <w:t>BMI 25.0–29.9 kg/m</w:t>
            </w:r>
            <w:r w:rsidRPr="002F17DC">
              <w:rPr>
                <w:rFonts w:cs="Segoe UI"/>
                <w:sz w:val="18"/>
                <w:szCs w:val="18"/>
                <w:vertAlign w:val="superscript"/>
              </w:rPr>
              <w:t>2</w:t>
            </w:r>
          </w:p>
        </w:tc>
        <w:tc>
          <w:tcPr>
            <w:tcW w:w="840" w:type="pct"/>
            <w:tcMar>
              <w:top w:w="0" w:type="dxa"/>
              <w:left w:w="108" w:type="dxa"/>
              <w:bottom w:w="0" w:type="dxa"/>
              <w:right w:w="108" w:type="dxa"/>
            </w:tcMar>
          </w:tcPr>
          <w:p w14:paraId="25ABD132"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4B8543CE" w14:textId="77777777" w:rsidR="0013291D" w:rsidRPr="002F17DC" w:rsidRDefault="0013291D" w:rsidP="00906070">
            <w:pPr>
              <w:spacing w:before="60" w:after="60"/>
              <w:rPr>
                <w:rFonts w:cs="Segoe UI"/>
                <w:sz w:val="18"/>
                <w:szCs w:val="18"/>
              </w:rPr>
            </w:pPr>
            <w:r w:rsidRPr="002F17DC">
              <w:rPr>
                <w:rFonts w:cs="Segoe UI"/>
                <w:sz w:val="18"/>
                <w:szCs w:val="18"/>
              </w:rPr>
              <w:t>0.0018215 x 0</w:t>
            </w:r>
          </w:p>
        </w:tc>
        <w:tc>
          <w:tcPr>
            <w:tcW w:w="913" w:type="pct"/>
            <w:tcMar>
              <w:top w:w="0" w:type="dxa"/>
              <w:left w:w="108" w:type="dxa"/>
              <w:bottom w:w="0" w:type="dxa"/>
              <w:right w:w="108" w:type="dxa"/>
            </w:tcMar>
          </w:tcPr>
          <w:p w14:paraId="52870B1B" w14:textId="77777777" w:rsidR="0013291D" w:rsidRPr="002F17DC" w:rsidRDefault="0013291D" w:rsidP="00906070">
            <w:pPr>
              <w:spacing w:before="60" w:after="60"/>
              <w:rPr>
                <w:rFonts w:cs="Segoe UI"/>
                <w:sz w:val="18"/>
                <w:szCs w:val="18"/>
              </w:rPr>
            </w:pPr>
            <w:r w:rsidRPr="002F17DC">
              <w:rPr>
                <w:rFonts w:cs="Segoe UI"/>
                <w:sz w:val="18"/>
                <w:szCs w:val="18"/>
              </w:rPr>
              <w:t>0</w:t>
            </w:r>
          </w:p>
        </w:tc>
      </w:tr>
      <w:tr w:rsidR="0013291D" w:rsidRPr="0087392F" w14:paraId="759EA549" w14:textId="77777777" w:rsidTr="00AA021D">
        <w:trPr>
          <w:trHeight w:val="20"/>
        </w:trPr>
        <w:tc>
          <w:tcPr>
            <w:tcW w:w="1315" w:type="pct"/>
            <w:tcMar>
              <w:top w:w="0" w:type="dxa"/>
              <w:left w:w="108" w:type="dxa"/>
              <w:bottom w:w="0" w:type="dxa"/>
              <w:right w:w="108" w:type="dxa"/>
            </w:tcMar>
          </w:tcPr>
          <w:p w14:paraId="24BE5961" w14:textId="77777777" w:rsidR="0013291D" w:rsidRPr="002F17DC" w:rsidRDefault="0013291D" w:rsidP="00906070">
            <w:pPr>
              <w:spacing w:before="60" w:after="60"/>
              <w:rPr>
                <w:rFonts w:cs="Segoe UI"/>
                <w:sz w:val="18"/>
                <w:szCs w:val="18"/>
              </w:rPr>
            </w:pPr>
            <w:r w:rsidRPr="002F17DC">
              <w:rPr>
                <w:rFonts w:cs="Segoe UI"/>
                <w:sz w:val="18"/>
                <w:szCs w:val="18"/>
              </w:rPr>
              <w:t>BMI 30.0–34.9 kg/m</w:t>
            </w:r>
            <w:r w:rsidRPr="002F17DC">
              <w:rPr>
                <w:rFonts w:cs="Segoe UI"/>
                <w:sz w:val="18"/>
                <w:szCs w:val="18"/>
                <w:vertAlign w:val="superscript"/>
              </w:rPr>
              <w:t>2</w:t>
            </w:r>
          </w:p>
        </w:tc>
        <w:tc>
          <w:tcPr>
            <w:tcW w:w="840" w:type="pct"/>
            <w:tcMar>
              <w:top w:w="0" w:type="dxa"/>
              <w:left w:w="108" w:type="dxa"/>
              <w:bottom w:w="0" w:type="dxa"/>
              <w:right w:w="108" w:type="dxa"/>
            </w:tcMar>
          </w:tcPr>
          <w:p w14:paraId="47B3646D"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482092DF" w14:textId="77777777" w:rsidR="0013291D" w:rsidRPr="002F17DC" w:rsidRDefault="0013291D" w:rsidP="00906070">
            <w:pPr>
              <w:spacing w:before="60" w:after="60"/>
              <w:rPr>
                <w:rFonts w:cs="Segoe UI"/>
                <w:sz w:val="18"/>
                <w:szCs w:val="18"/>
              </w:rPr>
            </w:pPr>
            <w:r w:rsidRPr="002F17DC">
              <w:rPr>
                <w:rFonts w:cs="Segoe UI"/>
                <w:sz w:val="18"/>
                <w:szCs w:val="18"/>
              </w:rPr>
              <w:t xml:space="preserve">-0.0169324 </w:t>
            </w:r>
            <w:r w:rsidRPr="002F17DC">
              <w:rPr>
                <w:rFonts w:cs="Segoe UI"/>
                <w:sz w:val="18"/>
                <w:szCs w:val="18"/>
                <w:lang w:val="en-GB"/>
              </w:rPr>
              <w:t>x 0</w:t>
            </w:r>
          </w:p>
        </w:tc>
        <w:tc>
          <w:tcPr>
            <w:tcW w:w="913" w:type="pct"/>
            <w:tcMar>
              <w:top w:w="0" w:type="dxa"/>
              <w:left w:w="108" w:type="dxa"/>
              <w:bottom w:w="0" w:type="dxa"/>
              <w:right w:w="108" w:type="dxa"/>
            </w:tcMar>
          </w:tcPr>
          <w:p w14:paraId="24AF56B8" w14:textId="77777777" w:rsidR="0013291D" w:rsidRPr="002F17DC" w:rsidRDefault="0013291D" w:rsidP="00906070">
            <w:pPr>
              <w:spacing w:before="60" w:after="60"/>
              <w:rPr>
                <w:rFonts w:cs="Segoe UI"/>
                <w:sz w:val="18"/>
                <w:szCs w:val="18"/>
              </w:rPr>
            </w:pPr>
            <w:r w:rsidRPr="002F17DC">
              <w:rPr>
                <w:rFonts w:cs="Segoe UI"/>
                <w:sz w:val="18"/>
                <w:szCs w:val="18"/>
              </w:rPr>
              <w:t>0</w:t>
            </w:r>
          </w:p>
        </w:tc>
      </w:tr>
      <w:tr w:rsidR="0013291D" w:rsidRPr="0087392F" w14:paraId="235686F4" w14:textId="77777777" w:rsidTr="00AA021D">
        <w:trPr>
          <w:trHeight w:val="20"/>
        </w:trPr>
        <w:tc>
          <w:tcPr>
            <w:tcW w:w="1315" w:type="pct"/>
            <w:tcMar>
              <w:top w:w="0" w:type="dxa"/>
              <w:left w:w="108" w:type="dxa"/>
              <w:bottom w:w="0" w:type="dxa"/>
              <w:right w:w="108" w:type="dxa"/>
            </w:tcMar>
          </w:tcPr>
          <w:p w14:paraId="6237D68E" w14:textId="77777777" w:rsidR="0013291D" w:rsidRPr="002F17DC" w:rsidRDefault="0013291D" w:rsidP="00906070">
            <w:pPr>
              <w:spacing w:before="60" w:after="60"/>
              <w:rPr>
                <w:rFonts w:cs="Segoe UI"/>
                <w:sz w:val="18"/>
                <w:szCs w:val="18"/>
              </w:rPr>
            </w:pPr>
            <w:r w:rsidRPr="002F17DC">
              <w:rPr>
                <w:rFonts w:cs="Segoe UI"/>
                <w:sz w:val="18"/>
                <w:szCs w:val="18"/>
              </w:rPr>
              <w:t>BMI 35.0–39.9 kg/m</w:t>
            </w:r>
            <w:r w:rsidRPr="002F17DC">
              <w:rPr>
                <w:rFonts w:cs="Segoe UI"/>
                <w:sz w:val="18"/>
                <w:szCs w:val="18"/>
                <w:vertAlign w:val="superscript"/>
              </w:rPr>
              <w:t>2</w:t>
            </w:r>
          </w:p>
        </w:tc>
        <w:tc>
          <w:tcPr>
            <w:tcW w:w="840" w:type="pct"/>
            <w:tcMar>
              <w:top w:w="0" w:type="dxa"/>
              <w:left w:w="108" w:type="dxa"/>
              <w:bottom w:w="0" w:type="dxa"/>
              <w:right w:w="108" w:type="dxa"/>
            </w:tcMar>
          </w:tcPr>
          <w:p w14:paraId="0C6B7A2A"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123A51C9" w14:textId="77777777" w:rsidR="0013291D" w:rsidRPr="002F17DC" w:rsidRDefault="0013291D" w:rsidP="00906070">
            <w:pPr>
              <w:spacing w:before="60" w:after="60"/>
              <w:rPr>
                <w:rFonts w:cs="Segoe UI"/>
                <w:sz w:val="18"/>
                <w:szCs w:val="18"/>
              </w:rPr>
            </w:pPr>
            <w:r w:rsidRPr="002F17DC">
              <w:rPr>
                <w:rFonts w:cs="Segoe UI"/>
                <w:sz w:val="18"/>
                <w:szCs w:val="18"/>
              </w:rPr>
              <w:t>0.0343351 x 0</w:t>
            </w:r>
          </w:p>
        </w:tc>
        <w:tc>
          <w:tcPr>
            <w:tcW w:w="913" w:type="pct"/>
            <w:tcMar>
              <w:top w:w="0" w:type="dxa"/>
              <w:left w:w="108" w:type="dxa"/>
              <w:bottom w:w="0" w:type="dxa"/>
              <w:right w:w="108" w:type="dxa"/>
            </w:tcMar>
          </w:tcPr>
          <w:p w14:paraId="62604C28" w14:textId="77777777" w:rsidR="0013291D" w:rsidRPr="002F17DC" w:rsidRDefault="0013291D" w:rsidP="00906070">
            <w:pPr>
              <w:spacing w:before="60" w:after="60"/>
              <w:rPr>
                <w:rFonts w:cs="Segoe UI"/>
                <w:sz w:val="18"/>
                <w:szCs w:val="18"/>
              </w:rPr>
            </w:pPr>
            <w:r w:rsidRPr="002F17DC">
              <w:rPr>
                <w:rFonts w:cs="Segoe UI"/>
                <w:sz w:val="18"/>
                <w:szCs w:val="18"/>
              </w:rPr>
              <w:t>0</w:t>
            </w:r>
          </w:p>
        </w:tc>
      </w:tr>
      <w:tr w:rsidR="0013291D" w:rsidRPr="0087392F" w14:paraId="4346BBD4" w14:textId="77777777" w:rsidTr="00AA021D">
        <w:trPr>
          <w:trHeight w:val="20"/>
        </w:trPr>
        <w:tc>
          <w:tcPr>
            <w:tcW w:w="1315" w:type="pct"/>
            <w:tcMar>
              <w:top w:w="0" w:type="dxa"/>
              <w:left w:w="108" w:type="dxa"/>
              <w:bottom w:w="0" w:type="dxa"/>
              <w:right w:w="108" w:type="dxa"/>
            </w:tcMar>
          </w:tcPr>
          <w:p w14:paraId="4984121C" w14:textId="77777777" w:rsidR="0013291D" w:rsidRPr="002F17DC" w:rsidRDefault="0013291D" w:rsidP="00906070">
            <w:pPr>
              <w:spacing w:before="60" w:after="60"/>
              <w:rPr>
                <w:rFonts w:cs="Segoe UI"/>
                <w:sz w:val="18"/>
                <w:szCs w:val="18"/>
              </w:rPr>
            </w:pPr>
            <w:r w:rsidRPr="002F17DC">
              <w:rPr>
                <w:rFonts w:cs="Segoe UI"/>
                <w:sz w:val="18"/>
                <w:szCs w:val="18"/>
              </w:rPr>
              <w:t>BMI 40.0+ kg/m</w:t>
            </w:r>
            <w:r w:rsidRPr="002F17DC">
              <w:rPr>
                <w:rFonts w:cs="Segoe UI"/>
                <w:sz w:val="18"/>
                <w:szCs w:val="18"/>
                <w:vertAlign w:val="superscript"/>
              </w:rPr>
              <w:t>2</w:t>
            </w:r>
          </w:p>
        </w:tc>
        <w:tc>
          <w:tcPr>
            <w:tcW w:w="840" w:type="pct"/>
            <w:tcMar>
              <w:top w:w="0" w:type="dxa"/>
              <w:left w:w="108" w:type="dxa"/>
              <w:bottom w:w="0" w:type="dxa"/>
              <w:right w:w="108" w:type="dxa"/>
            </w:tcMar>
          </w:tcPr>
          <w:p w14:paraId="22026BBE" w14:textId="77777777" w:rsidR="0013291D" w:rsidRPr="002F17DC" w:rsidRDefault="0013291D" w:rsidP="00906070">
            <w:pPr>
              <w:spacing w:before="60" w:after="60"/>
              <w:rPr>
                <w:rFonts w:cs="Segoe UI"/>
                <w:sz w:val="18"/>
                <w:szCs w:val="18"/>
              </w:rPr>
            </w:pPr>
            <w:r w:rsidRPr="002F17DC">
              <w:rPr>
                <w:rFonts w:cs="Segoe UI"/>
                <w:sz w:val="18"/>
                <w:szCs w:val="18"/>
              </w:rPr>
              <w:t>41</w:t>
            </w:r>
          </w:p>
        </w:tc>
        <w:tc>
          <w:tcPr>
            <w:tcW w:w="1932" w:type="pct"/>
            <w:tcMar>
              <w:top w:w="0" w:type="dxa"/>
              <w:left w:w="108" w:type="dxa"/>
              <w:bottom w:w="0" w:type="dxa"/>
              <w:right w:w="108" w:type="dxa"/>
            </w:tcMar>
          </w:tcPr>
          <w:p w14:paraId="51EC2CC4" w14:textId="77777777" w:rsidR="0013291D" w:rsidRPr="002F17DC" w:rsidRDefault="0013291D" w:rsidP="00906070">
            <w:pPr>
              <w:spacing w:before="60" w:after="60"/>
              <w:rPr>
                <w:rFonts w:cs="Segoe UI"/>
                <w:sz w:val="18"/>
                <w:szCs w:val="18"/>
              </w:rPr>
            </w:pPr>
            <w:r w:rsidRPr="002F17DC">
              <w:rPr>
                <w:rFonts w:cs="Segoe UI"/>
                <w:sz w:val="18"/>
                <w:szCs w:val="18"/>
              </w:rPr>
              <w:t>0.3196519 x 1</w:t>
            </w:r>
          </w:p>
        </w:tc>
        <w:tc>
          <w:tcPr>
            <w:tcW w:w="913" w:type="pct"/>
            <w:tcMar>
              <w:top w:w="0" w:type="dxa"/>
              <w:left w:w="108" w:type="dxa"/>
              <w:bottom w:w="0" w:type="dxa"/>
              <w:right w:w="108" w:type="dxa"/>
            </w:tcMar>
          </w:tcPr>
          <w:p w14:paraId="6C7E45C0" w14:textId="77777777" w:rsidR="0013291D" w:rsidRPr="002F17DC" w:rsidRDefault="0013291D" w:rsidP="00906070">
            <w:pPr>
              <w:spacing w:before="60" w:after="60"/>
              <w:rPr>
                <w:rFonts w:cs="Segoe UI"/>
                <w:sz w:val="18"/>
                <w:szCs w:val="18"/>
              </w:rPr>
            </w:pPr>
            <w:r w:rsidRPr="002F17DC">
              <w:rPr>
                <w:rFonts w:cs="Segoe UI"/>
                <w:sz w:val="18"/>
                <w:szCs w:val="18"/>
              </w:rPr>
              <w:t>0.3196519</w:t>
            </w:r>
          </w:p>
        </w:tc>
      </w:tr>
      <w:tr w:rsidR="0013291D" w:rsidRPr="0087392F" w14:paraId="2636D112" w14:textId="77777777" w:rsidTr="00AA021D">
        <w:trPr>
          <w:trHeight w:val="20"/>
        </w:trPr>
        <w:tc>
          <w:tcPr>
            <w:tcW w:w="1315" w:type="pct"/>
            <w:tcMar>
              <w:top w:w="0" w:type="dxa"/>
              <w:left w:w="108" w:type="dxa"/>
              <w:bottom w:w="0" w:type="dxa"/>
              <w:right w:w="108" w:type="dxa"/>
            </w:tcMar>
          </w:tcPr>
          <w:p w14:paraId="0BA08F35" w14:textId="77777777" w:rsidR="0013291D" w:rsidRPr="002F17DC" w:rsidRDefault="0013291D" w:rsidP="00906070">
            <w:pPr>
              <w:spacing w:before="60" w:after="60"/>
              <w:rPr>
                <w:rFonts w:cs="Segoe UI"/>
                <w:sz w:val="18"/>
                <w:szCs w:val="18"/>
              </w:rPr>
            </w:pPr>
            <w:r w:rsidRPr="002F17DC">
              <w:rPr>
                <w:rFonts w:cs="Segoe UI"/>
                <w:sz w:val="18"/>
                <w:szCs w:val="18"/>
              </w:rPr>
              <w:t>BMI unknown</w:t>
            </w:r>
          </w:p>
        </w:tc>
        <w:tc>
          <w:tcPr>
            <w:tcW w:w="840" w:type="pct"/>
            <w:tcMar>
              <w:top w:w="0" w:type="dxa"/>
              <w:left w:w="108" w:type="dxa"/>
              <w:bottom w:w="0" w:type="dxa"/>
              <w:right w:w="108" w:type="dxa"/>
            </w:tcMar>
          </w:tcPr>
          <w:p w14:paraId="5DF70EDA"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6A01BC86" w14:textId="77777777" w:rsidR="0013291D" w:rsidRPr="002F17DC" w:rsidRDefault="0013291D" w:rsidP="00906070">
            <w:pPr>
              <w:spacing w:before="60" w:after="60"/>
              <w:rPr>
                <w:rFonts w:cs="Segoe UI"/>
                <w:sz w:val="18"/>
                <w:szCs w:val="18"/>
              </w:rPr>
            </w:pPr>
            <w:r w:rsidRPr="002F17DC">
              <w:rPr>
                <w:rFonts w:cs="Segoe UI"/>
                <w:sz w:val="18"/>
                <w:szCs w:val="18"/>
              </w:rPr>
              <w:t>0.0213595 x 0</w:t>
            </w:r>
          </w:p>
        </w:tc>
        <w:tc>
          <w:tcPr>
            <w:tcW w:w="913" w:type="pct"/>
            <w:tcMar>
              <w:top w:w="0" w:type="dxa"/>
              <w:left w:w="108" w:type="dxa"/>
              <w:bottom w:w="0" w:type="dxa"/>
              <w:right w:w="108" w:type="dxa"/>
            </w:tcMar>
          </w:tcPr>
          <w:p w14:paraId="5FAA6022" w14:textId="77777777" w:rsidR="0013291D" w:rsidRPr="002F17DC" w:rsidRDefault="0013291D" w:rsidP="00906070">
            <w:pPr>
              <w:spacing w:before="60" w:after="60"/>
              <w:rPr>
                <w:rFonts w:cs="Segoe UI"/>
                <w:sz w:val="18"/>
                <w:szCs w:val="18"/>
              </w:rPr>
            </w:pPr>
            <w:r w:rsidRPr="002F17DC">
              <w:rPr>
                <w:rFonts w:cs="Segoe UI"/>
                <w:sz w:val="18"/>
                <w:szCs w:val="18"/>
              </w:rPr>
              <w:t>0</w:t>
            </w:r>
          </w:p>
        </w:tc>
      </w:tr>
      <w:tr w:rsidR="0013291D" w:rsidRPr="0087392F" w14:paraId="7B331CC9" w14:textId="77777777" w:rsidTr="00AA021D">
        <w:trPr>
          <w:trHeight w:val="20"/>
        </w:trPr>
        <w:tc>
          <w:tcPr>
            <w:tcW w:w="1315" w:type="pct"/>
            <w:tcMar>
              <w:top w:w="0" w:type="dxa"/>
              <w:left w:w="108" w:type="dxa"/>
              <w:bottom w:w="0" w:type="dxa"/>
              <w:right w:w="108" w:type="dxa"/>
            </w:tcMar>
          </w:tcPr>
          <w:p w14:paraId="1FFF556A" w14:textId="77777777" w:rsidR="0013291D" w:rsidRPr="002F17DC" w:rsidRDefault="0013291D" w:rsidP="00906070">
            <w:pPr>
              <w:spacing w:before="60" w:after="60"/>
              <w:rPr>
                <w:rFonts w:cs="Segoe UI"/>
                <w:sz w:val="18"/>
                <w:szCs w:val="18"/>
              </w:rPr>
            </w:pPr>
            <w:r w:rsidRPr="002F17DC">
              <w:rPr>
                <w:rFonts w:cs="Segoe UI"/>
                <w:sz w:val="18"/>
                <w:szCs w:val="18"/>
              </w:rPr>
              <w:t xml:space="preserve">BP lowering </w:t>
            </w:r>
            <w:proofErr w:type="spellStart"/>
            <w:r w:rsidRPr="002F17DC">
              <w:rPr>
                <w:rFonts w:cs="Segoe UI"/>
                <w:sz w:val="18"/>
                <w:szCs w:val="18"/>
              </w:rPr>
              <w:t>med</w:t>
            </w:r>
            <w:r w:rsidRPr="002F17DC">
              <w:rPr>
                <w:rFonts w:cs="Segoe UI"/>
                <w:sz w:val="18"/>
                <w:szCs w:val="18"/>
                <w:vertAlign w:val="superscript"/>
              </w:rPr>
              <w:t>n</w:t>
            </w:r>
            <w:proofErr w:type="spellEnd"/>
          </w:p>
        </w:tc>
        <w:tc>
          <w:tcPr>
            <w:tcW w:w="840" w:type="pct"/>
            <w:tcMar>
              <w:top w:w="0" w:type="dxa"/>
              <w:left w:w="108" w:type="dxa"/>
              <w:bottom w:w="0" w:type="dxa"/>
              <w:right w:w="108" w:type="dxa"/>
            </w:tcMar>
          </w:tcPr>
          <w:p w14:paraId="425FEB84"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1932" w:type="pct"/>
            <w:tcMar>
              <w:top w:w="0" w:type="dxa"/>
              <w:left w:w="108" w:type="dxa"/>
              <w:bottom w:w="0" w:type="dxa"/>
              <w:right w:w="108" w:type="dxa"/>
            </w:tcMar>
          </w:tcPr>
          <w:p w14:paraId="74DB012A" w14:textId="77777777" w:rsidR="0013291D" w:rsidRPr="002F17DC" w:rsidRDefault="0013291D" w:rsidP="00906070">
            <w:pPr>
              <w:spacing w:before="60" w:after="60"/>
              <w:rPr>
                <w:rFonts w:cs="Segoe UI"/>
                <w:sz w:val="18"/>
                <w:szCs w:val="18"/>
              </w:rPr>
            </w:pPr>
            <w:r w:rsidRPr="002F17DC">
              <w:rPr>
                <w:rFonts w:cs="Segoe UI"/>
                <w:sz w:val="18"/>
                <w:szCs w:val="18"/>
              </w:rPr>
              <w:t>0.3487781</w:t>
            </w:r>
            <w:r w:rsidRPr="002F17DC">
              <w:rPr>
                <w:rFonts w:cs="Segoe UI"/>
                <w:sz w:val="18"/>
                <w:szCs w:val="18"/>
                <w:lang w:val="en-GB"/>
              </w:rPr>
              <w:t xml:space="preserve"> x 1</w:t>
            </w:r>
          </w:p>
        </w:tc>
        <w:tc>
          <w:tcPr>
            <w:tcW w:w="913" w:type="pct"/>
            <w:tcMar>
              <w:top w:w="0" w:type="dxa"/>
              <w:left w:w="108" w:type="dxa"/>
              <w:bottom w:w="0" w:type="dxa"/>
              <w:right w:w="108" w:type="dxa"/>
            </w:tcMar>
          </w:tcPr>
          <w:p w14:paraId="10C89CC6" w14:textId="77777777" w:rsidR="0013291D" w:rsidRPr="002F17DC" w:rsidRDefault="0013291D" w:rsidP="00906070">
            <w:pPr>
              <w:spacing w:before="60" w:after="60"/>
              <w:rPr>
                <w:rFonts w:cs="Segoe UI"/>
                <w:sz w:val="18"/>
                <w:szCs w:val="18"/>
              </w:rPr>
            </w:pPr>
            <w:r w:rsidRPr="002F17DC">
              <w:rPr>
                <w:rFonts w:cs="Segoe UI"/>
                <w:sz w:val="18"/>
                <w:szCs w:val="18"/>
              </w:rPr>
              <w:t>0.3487781</w:t>
            </w:r>
          </w:p>
        </w:tc>
      </w:tr>
      <w:tr w:rsidR="0013291D" w:rsidRPr="0087392F" w14:paraId="1577C841" w14:textId="77777777" w:rsidTr="00AA021D">
        <w:trPr>
          <w:trHeight w:val="20"/>
        </w:trPr>
        <w:tc>
          <w:tcPr>
            <w:tcW w:w="1315" w:type="pct"/>
            <w:tcMar>
              <w:top w:w="0" w:type="dxa"/>
              <w:left w:w="108" w:type="dxa"/>
              <w:bottom w:w="0" w:type="dxa"/>
              <w:right w:w="108" w:type="dxa"/>
            </w:tcMar>
          </w:tcPr>
          <w:p w14:paraId="72E44872" w14:textId="77777777" w:rsidR="0013291D" w:rsidRPr="002F17DC" w:rsidRDefault="0013291D" w:rsidP="00906070">
            <w:pPr>
              <w:spacing w:before="60" w:after="60"/>
              <w:rPr>
                <w:rFonts w:cs="Segoe UI"/>
                <w:sz w:val="18"/>
                <w:szCs w:val="18"/>
              </w:rPr>
            </w:pPr>
            <w:r w:rsidRPr="002F17DC">
              <w:rPr>
                <w:rFonts w:cs="Segoe UI"/>
                <w:sz w:val="18"/>
                <w:szCs w:val="18"/>
              </w:rPr>
              <w:t xml:space="preserve">Lipid lowering </w:t>
            </w:r>
            <w:proofErr w:type="spellStart"/>
            <w:r w:rsidRPr="002F17DC">
              <w:rPr>
                <w:rFonts w:cs="Segoe UI"/>
                <w:sz w:val="18"/>
                <w:szCs w:val="18"/>
              </w:rPr>
              <w:t>med</w:t>
            </w:r>
            <w:r w:rsidRPr="002F17DC">
              <w:rPr>
                <w:rFonts w:cs="Segoe UI"/>
                <w:sz w:val="18"/>
                <w:szCs w:val="18"/>
                <w:vertAlign w:val="superscript"/>
              </w:rPr>
              <w:t>n</w:t>
            </w:r>
            <w:proofErr w:type="spellEnd"/>
          </w:p>
        </w:tc>
        <w:tc>
          <w:tcPr>
            <w:tcW w:w="840" w:type="pct"/>
            <w:tcMar>
              <w:top w:w="0" w:type="dxa"/>
              <w:left w:w="108" w:type="dxa"/>
              <w:bottom w:w="0" w:type="dxa"/>
              <w:right w:w="108" w:type="dxa"/>
            </w:tcMar>
          </w:tcPr>
          <w:p w14:paraId="62FC237D"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1932" w:type="pct"/>
            <w:tcMar>
              <w:top w:w="0" w:type="dxa"/>
              <w:left w:w="108" w:type="dxa"/>
              <w:bottom w:w="0" w:type="dxa"/>
              <w:right w:w="108" w:type="dxa"/>
            </w:tcMar>
          </w:tcPr>
          <w:p w14:paraId="7DEA57DC" w14:textId="77777777" w:rsidR="0013291D" w:rsidRPr="002F17DC" w:rsidRDefault="0013291D" w:rsidP="00906070">
            <w:pPr>
              <w:spacing w:before="60" w:after="60"/>
              <w:rPr>
                <w:rFonts w:cs="Segoe UI"/>
                <w:sz w:val="18"/>
                <w:szCs w:val="18"/>
              </w:rPr>
            </w:pPr>
            <w:r w:rsidRPr="002F17DC">
              <w:rPr>
                <w:rFonts w:cs="Segoe UI"/>
                <w:sz w:val="18"/>
                <w:szCs w:val="18"/>
              </w:rPr>
              <w:t>-0.0568366 x 1</w:t>
            </w:r>
          </w:p>
        </w:tc>
        <w:tc>
          <w:tcPr>
            <w:tcW w:w="913" w:type="pct"/>
            <w:tcMar>
              <w:top w:w="0" w:type="dxa"/>
              <w:left w:w="108" w:type="dxa"/>
              <w:bottom w:w="0" w:type="dxa"/>
              <w:right w:w="108" w:type="dxa"/>
            </w:tcMar>
          </w:tcPr>
          <w:p w14:paraId="223990E1" w14:textId="77777777" w:rsidR="0013291D" w:rsidRPr="002F17DC" w:rsidRDefault="0013291D" w:rsidP="00906070">
            <w:pPr>
              <w:spacing w:before="60" w:after="60"/>
              <w:rPr>
                <w:rFonts w:cs="Segoe UI"/>
                <w:sz w:val="18"/>
                <w:szCs w:val="18"/>
              </w:rPr>
            </w:pPr>
            <w:r w:rsidRPr="002F17DC">
              <w:rPr>
                <w:rFonts w:cs="Segoe UI"/>
                <w:sz w:val="18"/>
                <w:szCs w:val="18"/>
              </w:rPr>
              <w:t>-0.0568366</w:t>
            </w:r>
          </w:p>
        </w:tc>
      </w:tr>
      <w:tr w:rsidR="0013291D" w:rsidRPr="0087392F" w14:paraId="4C517B70" w14:textId="77777777" w:rsidTr="00AA021D">
        <w:trPr>
          <w:trHeight w:val="20"/>
        </w:trPr>
        <w:tc>
          <w:tcPr>
            <w:tcW w:w="1315" w:type="pct"/>
            <w:tcMar>
              <w:top w:w="0" w:type="dxa"/>
              <w:left w:w="108" w:type="dxa"/>
              <w:bottom w:w="0" w:type="dxa"/>
              <w:right w:w="108" w:type="dxa"/>
            </w:tcMar>
          </w:tcPr>
          <w:p w14:paraId="2F4A2827" w14:textId="77777777" w:rsidR="0013291D" w:rsidRPr="002F17DC" w:rsidRDefault="0013291D" w:rsidP="00906070">
            <w:pPr>
              <w:spacing w:before="60" w:after="60"/>
              <w:rPr>
                <w:rFonts w:cs="Segoe UI"/>
                <w:sz w:val="18"/>
                <w:szCs w:val="18"/>
              </w:rPr>
            </w:pPr>
            <w:r w:rsidRPr="002F17DC">
              <w:rPr>
                <w:rFonts w:cs="Segoe UI"/>
                <w:sz w:val="18"/>
                <w:szCs w:val="18"/>
              </w:rPr>
              <w:t>Antiplatelet or anticoagulant</w:t>
            </w:r>
          </w:p>
        </w:tc>
        <w:tc>
          <w:tcPr>
            <w:tcW w:w="840" w:type="pct"/>
            <w:tcMar>
              <w:top w:w="0" w:type="dxa"/>
              <w:left w:w="108" w:type="dxa"/>
              <w:bottom w:w="0" w:type="dxa"/>
              <w:right w:w="108" w:type="dxa"/>
            </w:tcMar>
          </w:tcPr>
          <w:p w14:paraId="6BFA5EF4"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1932" w:type="pct"/>
            <w:tcMar>
              <w:top w:w="0" w:type="dxa"/>
              <w:left w:w="108" w:type="dxa"/>
              <w:bottom w:w="0" w:type="dxa"/>
              <w:right w:w="108" w:type="dxa"/>
            </w:tcMar>
          </w:tcPr>
          <w:p w14:paraId="7F19A9CD" w14:textId="77777777" w:rsidR="0013291D" w:rsidRPr="002F17DC" w:rsidRDefault="0013291D" w:rsidP="00906070">
            <w:pPr>
              <w:spacing w:before="60" w:after="60"/>
              <w:rPr>
                <w:rFonts w:cs="Segoe UI"/>
                <w:sz w:val="18"/>
                <w:szCs w:val="18"/>
              </w:rPr>
            </w:pPr>
            <w:r w:rsidRPr="002F17DC">
              <w:rPr>
                <w:rFonts w:cs="Segoe UI"/>
                <w:sz w:val="18"/>
                <w:szCs w:val="18"/>
              </w:rPr>
              <w:t>0.1393368 x 1</w:t>
            </w:r>
          </w:p>
        </w:tc>
        <w:tc>
          <w:tcPr>
            <w:tcW w:w="913" w:type="pct"/>
            <w:tcMar>
              <w:top w:w="0" w:type="dxa"/>
              <w:left w:w="108" w:type="dxa"/>
              <w:bottom w:w="0" w:type="dxa"/>
              <w:right w:w="108" w:type="dxa"/>
            </w:tcMar>
          </w:tcPr>
          <w:p w14:paraId="169424B9" w14:textId="77777777" w:rsidR="0013291D" w:rsidRPr="002F17DC" w:rsidRDefault="0013291D" w:rsidP="00906070">
            <w:pPr>
              <w:spacing w:before="60" w:after="60"/>
              <w:rPr>
                <w:rFonts w:cs="Segoe UI"/>
                <w:sz w:val="18"/>
                <w:szCs w:val="18"/>
              </w:rPr>
            </w:pPr>
            <w:r w:rsidRPr="002F17DC">
              <w:rPr>
                <w:rFonts w:cs="Segoe UI"/>
                <w:sz w:val="18"/>
                <w:szCs w:val="18"/>
              </w:rPr>
              <w:t>0.1393368</w:t>
            </w:r>
          </w:p>
        </w:tc>
      </w:tr>
      <w:tr w:rsidR="0013291D" w:rsidRPr="0087392F" w14:paraId="02E18EBB" w14:textId="77777777" w:rsidTr="00AA021D">
        <w:trPr>
          <w:trHeight w:val="20"/>
        </w:trPr>
        <w:tc>
          <w:tcPr>
            <w:tcW w:w="1315" w:type="pct"/>
            <w:tcMar>
              <w:top w:w="0" w:type="dxa"/>
              <w:left w:w="108" w:type="dxa"/>
              <w:bottom w:w="0" w:type="dxa"/>
              <w:right w:w="108" w:type="dxa"/>
            </w:tcMar>
            <w:hideMark/>
          </w:tcPr>
          <w:p w14:paraId="6CF9544C" w14:textId="5A95C27F" w:rsidR="0013291D" w:rsidRPr="002F17DC" w:rsidRDefault="0013291D" w:rsidP="00906070">
            <w:pPr>
              <w:spacing w:before="60" w:after="60"/>
              <w:rPr>
                <w:rFonts w:cs="Segoe UI"/>
                <w:sz w:val="18"/>
                <w:szCs w:val="18"/>
                <w:lang w:val="en-GB"/>
              </w:rPr>
            </w:pPr>
            <w:r w:rsidRPr="002F17DC">
              <w:rPr>
                <w:rFonts w:cs="Segoe UI"/>
                <w:sz w:val="18"/>
                <w:szCs w:val="18"/>
                <w:lang w:val="en-GB"/>
              </w:rPr>
              <w:t xml:space="preserve">Age x </w:t>
            </w:r>
            <w:r w:rsidR="00F654B9">
              <w:rPr>
                <w:rFonts w:cs="Segoe UI"/>
                <w:sz w:val="18"/>
                <w:szCs w:val="18"/>
                <w:lang w:val="en-GB"/>
              </w:rPr>
              <w:t>d</w:t>
            </w:r>
            <w:r w:rsidRPr="002F17DC">
              <w:rPr>
                <w:rFonts w:cs="Segoe UI"/>
                <w:sz w:val="18"/>
                <w:szCs w:val="18"/>
                <w:lang w:val="en-GB"/>
              </w:rPr>
              <w:t>iabetes</w:t>
            </w:r>
          </w:p>
        </w:tc>
        <w:tc>
          <w:tcPr>
            <w:tcW w:w="840" w:type="pct"/>
            <w:tcMar>
              <w:top w:w="0" w:type="dxa"/>
              <w:left w:w="108" w:type="dxa"/>
              <w:bottom w:w="0" w:type="dxa"/>
              <w:right w:w="108" w:type="dxa"/>
            </w:tcMar>
          </w:tcPr>
          <w:p w14:paraId="5DAC88E6" w14:textId="77777777" w:rsidR="0013291D" w:rsidRPr="002F17DC" w:rsidRDefault="0013291D" w:rsidP="00906070">
            <w:pPr>
              <w:spacing w:before="60" w:after="60"/>
              <w:rPr>
                <w:rFonts w:cs="Segoe UI"/>
                <w:sz w:val="18"/>
                <w:szCs w:val="18"/>
              </w:rPr>
            </w:pPr>
            <w:r w:rsidRPr="002F17DC">
              <w:rPr>
                <w:rFonts w:cs="Segoe UI"/>
                <w:sz w:val="18"/>
                <w:szCs w:val="18"/>
              </w:rPr>
              <w:t>55</w:t>
            </w:r>
            <w:r>
              <w:rPr>
                <w:rFonts w:cs="Segoe UI"/>
                <w:sz w:val="18"/>
                <w:szCs w:val="18"/>
              </w:rPr>
              <w:t>, 1</w:t>
            </w:r>
          </w:p>
        </w:tc>
        <w:tc>
          <w:tcPr>
            <w:tcW w:w="1932" w:type="pct"/>
            <w:tcMar>
              <w:top w:w="0" w:type="dxa"/>
              <w:left w:w="108" w:type="dxa"/>
              <w:bottom w:w="0" w:type="dxa"/>
              <w:right w:w="108" w:type="dxa"/>
            </w:tcMar>
            <w:hideMark/>
          </w:tcPr>
          <w:p w14:paraId="3F0CC29C" w14:textId="07B96DB7" w:rsidR="0013291D" w:rsidRPr="002F17DC" w:rsidRDefault="0013291D" w:rsidP="00906070">
            <w:pPr>
              <w:spacing w:before="60" w:after="60"/>
              <w:rPr>
                <w:rFonts w:cs="Segoe UI"/>
                <w:sz w:val="18"/>
                <w:szCs w:val="18"/>
              </w:rPr>
            </w:pPr>
            <w:r w:rsidRPr="002F17DC">
              <w:rPr>
                <w:rFonts w:cs="Segoe UI"/>
                <w:sz w:val="18"/>
                <w:szCs w:val="18"/>
              </w:rPr>
              <w:t>-0.0189779</w:t>
            </w:r>
            <w:r w:rsidRPr="002F17DC">
              <w:rPr>
                <w:rFonts w:cs="Segoe UI"/>
                <w:sz w:val="18"/>
                <w:szCs w:val="18"/>
                <w:lang w:val="en-GB"/>
              </w:rPr>
              <w:t xml:space="preserve"> x (</w:t>
            </w:r>
            <w:r w:rsidRPr="002F17DC">
              <w:rPr>
                <w:rFonts w:cs="Segoe UI"/>
                <w:sz w:val="18"/>
                <w:szCs w:val="18"/>
              </w:rPr>
              <w:t xml:space="preserve">55 – 56.05801) </w:t>
            </w:r>
            <w:r w:rsidRPr="002F17DC">
              <w:rPr>
                <w:rFonts w:cs="Segoe UI"/>
                <w:sz w:val="18"/>
                <w:szCs w:val="18"/>
                <w:lang w:val="en-GB"/>
              </w:rPr>
              <w:t>x 1</w:t>
            </w:r>
          </w:p>
        </w:tc>
        <w:tc>
          <w:tcPr>
            <w:tcW w:w="913" w:type="pct"/>
            <w:tcMar>
              <w:top w:w="0" w:type="dxa"/>
              <w:left w:w="108" w:type="dxa"/>
              <w:bottom w:w="0" w:type="dxa"/>
              <w:right w:w="108" w:type="dxa"/>
            </w:tcMar>
            <w:hideMark/>
          </w:tcPr>
          <w:p w14:paraId="6792B974" w14:textId="77777777" w:rsidR="0013291D" w:rsidRPr="002F17DC" w:rsidRDefault="0013291D" w:rsidP="00906070">
            <w:pPr>
              <w:spacing w:before="60" w:after="60"/>
              <w:rPr>
                <w:rFonts w:cs="Segoe UI"/>
                <w:sz w:val="18"/>
                <w:szCs w:val="18"/>
              </w:rPr>
            </w:pPr>
            <w:r w:rsidRPr="002F17DC">
              <w:rPr>
                <w:rFonts w:cs="Segoe UI"/>
                <w:sz w:val="18"/>
                <w:szCs w:val="18"/>
              </w:rPr>
              <w:t>0.0200788</w:t>
            </w:r>
          </w:p>
        </w:tc>
      </w:tr>
      <w:tr w:rsidR="0013291D" w:rsidRPr="0087392F" w14:paraId="29BC2C54" w14:textId="77777777" w:rsidTr="00AA021D">
        <w:trPr>
          <w:trHeight w:val="20"/>
        </w:trPr>
        <w:tc>
          <w:tcPr>
            <w:tcW w:w="1315" w:type="pct"/>
            <w:tcMar>
              <w:top w:w="0" w:type="dxa"/>
              <w:left w:w="108" w:type="dxa"/>
              <w:bottom w:w="0" w:type="dxa"/>
              <w:right w:w="108" w:type="dxa"/>
            </w:tcMar>
            <w:hideMark/>
          </w:tcPr>
          <w:p w14:paraId="222D4B84" w14:textId="4EFFD941" w:rsidR="0013291D" w:rsidRPr="002F17DC" w:rsidRDefault="0013291D" w:rsidP="00906070">
            <w:pPr>
              <w:spacing w:before="60" w:after="60"/>
              <w:rPr>
                <w:rFonts w:cs="Segoe UI"/>
                <w:sz w:val="18"/>
                <w:szCs w:val="18"/>
                <w:lang w:val="en-GB"/>
              </w:rPr>
            </w:pPr>
            <w:r w:rsidRPr="002F17DC">
              <w:rPr>
                <w:rFonts w:cs="Segoe UI"/>
                <w:sz w:val="18"/>
                <w:szCs w:val="18"/>
                <w:lang w:val="en-GB"/>
              </w:rPr>
              <w:t>Age x SBP</w:t>
            </w:r>
          </w:p>
        </w:tc>
        <w:tc>
          <w:tcPr>
            <w:tcW w:w="840" w:type="pct"/>
            <w:tcMar>
              <w:top w:w="0" w:type="dxa"/>
              <w:left w:w="108" w:type="dxa"/>
              <w:bottom w:w="0" w:type="dxa"/>
              <w:right w:w="108" w:type="dxa"/>
            </w:tcMar>
          </w:tcPr>
          <w:p w14:paraId="05120002" w14:textId="77777777" w:rsidR="0013291D" w:rsidRPr="002F17DC" w:rsidRDefault="0013291D" w:rsidP="00906070">
            <w:pPr>
              <w:spacing w:before="60" w:after="60"/>
              <w:rPr>
                <w:rFonts w:cs="Segoe UI"/>
                <w:sz w:val="18"/>
                <w:szCs w:val="18"/>
              </w:rPr>
            </w:pPr>
            <w:r w:rsidRPr="002F17DC">
              <w:rPr>
                <w:rFonts w:cs="Segoe UI"/>
                <w:sz w:val="18"/>
                <w:szCs w:val="18"/>
              </w:rPr>
              <w:t>55</w:t>
            </w:r>
            <w:r>
              <w:rPr>
                <w:rFonts w:cs="Segoe UI"/>
                <w:sz w:val="18"/>
                <w:szCs w:val="18"/>
              </w:rPr>
              <w:t xml:space="preserve">, </w:t>
            </w:r>
            <w:r w:rsidRPr="002F17DC">
              <w:rPr>
                <w:rFonts w:cs="Segoe UI"/>
                <w:sz w:val="18"/>
                <w:szCs w:val="18"/>
              </w:rPr>
              <w:t>120</w:t>
            </w:r>
          </w:p>
        </w:tc>
        <w:tc>
          <w:tcPr>
            <w:tcW w:w="1932" w:type="pct"/>
            <w:tcMar>
              <w:top w:w="0" w:type="dxa"/>
              <w:left w:w="108" w:type="dxa"/>
              <w:bottom w:w="0" w:type="dxa"/>
              <w:right w:w="108" w:type="dxa"/>
            </w:tcMar>
            <w:hideMark/>
          </w:tcPr>
          <w:p w14:paraId="1E96FE68" w14:textId="77777777" w:rsidR="0013291D" w:rsidRPr="002F17DC" w:rsidRDefault="0013291D" w:rsidP="00906070">
            <w:pPr>
              <w:spacing w:before="60" w:after="60"/>
              <w:rPr>
                <w:rFonts w:cs="Segoe UI"/>
                <w:sz w:val="18"/>
                <w:szCs w:val="18"/>
              </w:rPr>
            </w:pPr>
            <w:r w:rsidRPr="002F17DC">
              <w:rPr>
                <w:rFonts w:cs="Segoe UI"/>
                <w:sz w:val="18"/>
                <w:szCs w:val="18"/>
              </w:rPr>
              <w:t>-0.000471</w:t>
            </w:r>
            <w:r w:rsidRPr="002F17DC">
              <w:rPr>
                <w:rFonts w:cs="Segoe UI"/>
                <w:sz w:val="18"/>
                <w:szCs w:val="18"/>
                <w:lang w:val="en-GB"/>
              </w:rPr>
              <w:t xml:space="preserve"> x (</w:t>
            </w:r>
            <w:r w:rsidRPr="002F17DC">
              <w:rPr>
                <w:rFonts w:cs="Segoe UI"/>
                <w:sz w:val="18"/>
                <w:szCs w:val="18"/>
              </w:rPr>
              <w:t xml:space="preserve">55 – 56.05801) </w:t>
            </w:r>
            <w:r w:rsidRPr="002F17DC">
              <w:rPr>
                <w:rFonts w:cs="Segoe UI"/>
                <w:sz w:val="18"/>
                <w:szCs w:val="18"/>
                <w:lang w:val="en-GB"/>
              </w:rPr>
              <w:t xml:space="preserve">x (120 - </w:t>
            </w:r>
            <w:r w:rsidRPr="002F17DC">
              <w:rPr>
                <w:rFonts w:cs="Segoe UI"/>
                <w:sz w:val="18"/>
                <w:szCs w:val="18"/>
              </w:rPr>
              <w:t>128.6736)</w:t>
            </w:r>
          </w:p>
        </w:tc>
        <w:tc>
          <w:tcPr>
            <w:tcW w:w="913" w:type="pct"/>
            <w:tcMar>
              <w:top w:w="0" w:type="dxa"/>
              <w:left w:w="108" w:type="dxa"/>
              <w:bottom w:w="0" w:type="dxa"/>
              <w:right w:w="108" w:type="dxa"/>
            </w:tcMar>
            <w:hideMark/>
          </w:tcPr>
          <w:p w14:paraId="21AA9FAB" w14:textId="77777777" w:rsidR="0013291D" w:rsidRPr="002F17DC" w:rsidRDefault="0013291D" w:rsidP="00906070">
            <w:pPr>
              <w:spacing w:before="60" w:after="60"/>
              <w:rPr>
                <w:rFonts w:cs="Segoe UI"/>
                <w:sz w:val="18"/>
                <w:szCs w:val="18"/>
              </w:rPr>
            </w:pPr>
            <w:r w:rsidRPr="002F17DC">
              <w:rPr>
                <w:rFonts w:cs="Segoe UI"/>
                <w:sz w:val="18"/>
                <w:szCs w:val="18"/>
              </w:rPr>
              <w:t>-0.0043223</w:t>
            </w:r>
          </w:p>
        </w:tc>
      </w:tr>
      <w:tr w:rsidR="0013291D" w:rsidRPr="0087392F" w14:paraId="288C39FB" w14:textId="77777777" w:rsidTr="00AA021D">
        <w:trPr>
          <w:trHeight w:val="20"/>
        </w:trPr>
        <w:tc>
          <w:tcPr>
            <w:tcW w:w="1315" w:type="pct"/>
            <w:tcMar>
              <w:top w:w="0" w:type="dxa"/>
              <w:left w:w="108" w:type="dxa"/>
              <w:bottom w:w="0" w:type="dxa"/>
              <w:right w:w="108" w:type="dxa"/>
            </w:tcMar>
            <w:hideMark/>
          </w:tcPr>
          <w:p w14:paraId="32FD57C0" w14:textId="483E706C" w:rsidR="0013291D" w:rsidRPr="002F17DC" w:rsidRDefault="0013291D" w:rsidP="00906070">
            <w:pPr>
              <w:spacing w:before="60" w:after="60"/>
              <w:rPr>
                <w:rFonts w:cs="Segoe UI"/>
                <w:sz w:val="18"/>
                <w:szCs w:val="18"/>
              </w:rPr>
            </w:pPr>
            <w:r w:rsidRPr="002F17DC">
              <w:rPr>
                <w:rFonts w:cs="Segoe UI"/>
                <w:sz w:val="18"/>
                <w:szCs w:val="18"/>
              </w:rPr>
              <w:t>BP lowering med</w:t>
            </w:r>
            <w:r w:rsidRPr="002F17DC">
              <w:rPr>
                <w:rFonts w:cs="Segoe UI"/>
                <w:sz w:val="18"/>
                <w:szCs w:val="18"/>
                <w:lang w:val="en-GB"/>
              </w:rPr>
              <w:t xml:space="preserve"> x SBP</w:t>
            </w:r>
          </w:p>
        </w:tc>
        <w:tc>
          <w:tcPr>
            <w:tcW w:w="840" w:type="pct"/>
            <w:tcMar>
              <w:top w:w="0" w:type="dxa"/>
              <w:left w:w="108" w:type="dxa"/>
              <w:bottom w:w="0" w:type="dxa"/>
              <w:right w:w="108" w:type="dxa"/>
            </w:tcMar>
          </w:tcPr>
          <w:p w14:paraId="210F0F65" w14:textId="77777777" w:rsidR="0013291D" w:rsidRPr="002F17DC" w:rsidRDefault="0013291D" w:rsidP="00906070">
            <w:pPr>
              <w:spacing w:before="60" w:after="60"/>
              <w:rPr>
                <w:rFonts w:cs="Segoe UI"/>
                <w:sz w:val="18"/>
                <w:szCs w:val="18"/>
              </w:rPr>
            </w:pPr>
            <w:r>
              <w:rPr>
                <w:rFonts w:cs="Segoe UI"/>
                <w:sz w:val="18"/>
                <w:szCs w:val="18"/>
              </w:rPr>
              <w:t>1, 120</w:t>
            </w:r>
          </w:p>
        </w:tc>
        <w:tc>
          <w:tcPr>
            <w:tcW w:w="1932" w:type="pct"/>
            <w:tcMar>
              <w:top w:w="0" w:type="dxa"/>
              <w:left w:w="108" w:type="dxa"/>
              <w:bottom w:w="0" w:type="dxa"/>
              <w:right w:w="108" w:type="dxa"/>
            </w:tcMar>
            <w:hideMark/>
          </w:tcPr>
          <w:p w14:paraId="59CE499E" w14:textId="77777777" w:rsidR="0013291D" w:rsidRPr="002F17DC" w:rsidRDefault="0013291D" w:rsidP="00906070">
            <w:pPr>
              <w:spacing w:before="60" w:after="60"/>
              <w:rPr>
                <w:rFonts w:cs="Segoe UI"/>
                <w:sz w:val="18"/>
                <w:szCs w:val="18"/>
              </w:rPr>
            </w:pPr>
            <w:r w:rsidRPr="002F17DC">
              <w:rPr>
                <w:rFonts w:cs="Segoe UI"/>
                <w:sz w:val="18"/>
                <w:szCs w:val="18"/>
              </w:rPr>
              <w:t>-0.0054002</w:t>
            </w:r>
            <w:r w:rsidRPr="002F17DC">
              <w:rPr>
                <w:rFonts w:cs="Segoe UI"/>
                <w:sz w:val="18"/>
                <w:szCs w:val="18"/>
                <w:lang w:val="en-GB"/>
              </w:rPr>
              <w:t xml:space="preserve"> x 1 x (120 - </w:t>
            </w:r>
            <w:r w:rsidRPr="002F17DC">
              <w:rPr>
                <w:rFonts w:cs="Segoe UI"/>
                <w:sz w:val="18"/>
                <w:szCs w:val="18"/>
              </w:rPr>
              <w:t>128.6736)</w:t>
            </w:r>
          </w:p>
        </w:tc>
        <w:tc>
          <w:tcPr>
            <w:tcW w:w="913" w:type="pct"/>
            <w:tcMar>
              <w:top w:w="0" w:type="dxa"/>
              <w:left w:w="108" w:type="dxa"/>
              <w:bottom w:w="0" w:type="dxa"/>
              <w:right w:w="108" w:type="dxa"/>
            </w:tcMar>
            <w:hideMark/>
          </w:tcPr>
          <w:p w14:paraId="59EB0784" w14:textId="77777777" w:rsidR="0013291D" w:rsidRPr="002F17DC" w:rsidRDefault="0013291D" w:rsidP="00906070">
            <w:pPr>
              <w:spacing w:before="60" w:after="60"/>
              <w:rPr>
                <w:rFonts w:cs="Segoe UI"/>
                <w:sz w:val="18"/>
                <w:szCs w:val="18"/>
              </w:rPr>
            </w:pPr>
            <w:r w:rsidRPr="002F17DC">
              <w:rPr>
                <w:rFonts w:cs="Segoe UI"/>
                <w:sz w:val="18"/>
                <w:szCs w:val="18"/>
              </w:rPr>
              <w:t>0.0468392</w:t>
            </w:r>
          </w:p>
        </w:tc>
      </w:tr>
      <w:tr w:rsidR="00F654B9" w:rsidRPr="0087392F" w14:paraId="415B22D5" w14:textId="77777777" w:rsidTr="00AA021D">
        <w:trPr>
          <w:trHeight w:val="20"/>
        </w:trPr>
        <w:tc>
          <w:tcPr>
            <w:tcW w:w="1315" w:type="pct"/>
            <w:tcMar>
              <w:top w:w="0" w:type="dxa"/>
              <w:left w:w="108" w:type="dxa"/>
              <w:bottom w:w="0" w:type="dxa"/>
              <w:right w:w="108" w:type="dxa"/>
            </w:tcMar>
          </w:tcPr>
          <w:p w14:paraId="5E0522AA" w14:textId="6503DB3C" w:rsidR="00F654B9" w:rsidRPr="002F17DC" w:rsidRDefault="00F654B9" w:rsidP="00906070">
            <w:pPr>
              <w:spacing w:before="60" w:after="60"/>
              <w:rPr>
                <w:rFonts w:cs="Segoe UI"/>
                <w:sz w:val="18"/>
                <w:szCs w:val="18"/>
              </w:rPr>
            </w:pPr>
            <w:r w:rsidRPr="002F17DC">
              <w:rPr>
                <w:rFonts w:cs="Segoe UI"/>
                <w:sz w:val="18"/>
                <w:szCs w:val="18"/>
              </w:rPr>
              <w:t xml:space="preserve">Baseline survival function at </w:t>
            </w:r>
            <w:r>
              <w:rPr>
                <w:rFonts w:cs="Segoe UI"/>
                <w:sz w:val="18"/>
                <w:szCs w:val="18"/>
              </w:rPr>
              <w:t>five years</w:t>
            </w:r>
          </w:p>
        </w:tc>
        <w:tc>
          <w:tcPr>
            <w:tcW w:w="840" w:type="pct"/>
            <w:tcMar>
              <w:top w:w="0" w:type="dxa"/>
              <w:left w:w="108" w:type="dxa"/>
              <w:bottom w:w="0" w:type="dxa"/>
              <w:right w:w="108" w:type="dxa"/>
            </w:tcMar>
          </w:tcPr>
          <w:p w14:paraId="060FCF52" w14:textId="60542BA8" w:rsidR="00F654B9" w:rsidRDefault="00F654B9" w:rsidP="00906070">
            <w:pPr>
              <w:spacing w:before="60" w:after="60"/>
              <w:rPr>
                <w:rFonts w:cs="Segoe UI"/>
                <w:sz w:val="18"/>
                <w:szCs w:val="18"/>
              </w:rPr>
            </w:pPr>
            <w:r w:rsidRPr="00AA021D">
              <w:rPr>
                <w:rFonts w:cs="Segoe UI"/>
                <w:sz w:val="18"/>
                <w:szCs w:val="18"/>
              </w:rPr>
              <w:t>0.9845026</w:t>
            </w:r>
          </w:p>
        </w:tc>
        <w:tc>
          <w:tcPr>
            <w:tcW w:w="1932" w:type="pct"/>
            <w:tcMar>
              <w:top w:w="0" w:type="dxa"/>
              <w:left w:w="108" w:type="dxa"/>
              <w:bottom w:w="0" w:type="dxa"/>
              <w:right w:w="108" w:type="dxa"/>
            </w:tcMar>
          </w:tcPr>
          <w:p w14:paraId="27911E0F" w14:textId="77777777" w:rsidR="00F654B9" w:rsidRPr="002F17DC" w:rsidRDefault="00F654B9" w:rsidP="00906070">
            <w:pPr>
              <w:spacing w:before="60" w:after="60"/>
              <w:rPr>
                <w:rFonts w:cs="Segoe UI"/>
                <w:sz w:val="18"/>
                <w:szCs w:val="18"/>
              </w:rPr>
            </w:pPr>
          </w:p>
        </w:tc>
        <w:tc>
          <w:tcPr>
            <w:tcW w:w="913" w:type="pct"/>
            <w:tcMar>
              <w:top w:w="0" w:type="dxa"/>
              <w:left w:w="108" w:type="dxa"/>
              <w:bottom w:w="0" w:type="dxa"/>
              <w:right w:w="108" w:type="dxa"/>
            </w:tcMar>
          </w:tcPr>
          <w:p w14:paraId="053AF1CE" w14:textId="77777777" w:rsidR="00F654B9" w:rsidRPr="002F17DC" w:rsidRDefault="00F654B9" w:rsidP="00906070">
            <w:pPr>
              <w:spacing w:before="60" w:after="60"/>
              <w:rPr>
                <w:rFonts w:cs="Segoe UI"/>
                <w:sz w:val="18"/>
                <w:szCs w:val="18"/>
              </w:rPr>
            </w:pPr>
          </w:p>
        </w:tc>
      </w:tr>
      <w:tr w:rsidR="00F654B9" w:rsidRPr="0087392F" w14:paraId="57CD6131" w14:textId="77777777" w:rsidTr="00AA021D">
        <w:trPr>
          <w:trHeight w:val="20"/>
        </w:trPr>
        <w:tc>
          <w:tcPr>
            <w:tcW w:w="1315" w:type="pct"/>
            <w:tcMar>
              <w:top w:w="0" w:type="dxa"/>
              <w:left w:w="108" w:type="dxa"/>
              <w:bottom w:w="0" w:type="dxa"/>
              <w:right w:w="108" w:type="dxa"/>
            </w:tcMar>
          </w:tcPr>
          <w:p w14:paraId="0650EFD5" w14:textId="77777777" w:rsidR="00F654B9" w:rsidRPr="002F17DC" w:rsidRDefault="00F654B9" w:rsidP="00906070">
            <w:pPr>
              <w:spacing w:before="60" w:after="60"/>
              <w:rPr>
                <w:rFonts w:cs="Segoe UI"/>
                <w:sz w:val="18"/>
                <w:szCs w:val="18"/>
              </w:rPr>
            </w:pPr>
          </w:p>
        </w:tc>
        <w:tc>
          <w:tcPr>
            <w:tcW w:w="840" w:type="pct"/>
            <w:tcMar>
              <w:top w:w="0" w:type="dxa"/>
              <w:left w:w="108" w:type="dxa"/>
              <w:bottom w:w="0" w:type="dxa"/>
              <w:right w:w="108" w:type="dxa"/>
            </w:tcMar>
          </w:tcPr>
          <w:p w14:paraId="6A0D852F" w14:textId="77777777" w:rsidR="00F654B9" w:rsidRPr="00F654B9" w:rsidRDefault="00F654B9" w:rsidP="00906070">
            <w:pPr>
              <w:spacing w:before="60" w:after="60"/>
              <w:rPr>
                <w:rFonts w:cs="Segoe UI"/>
                <w:sz w:val="18"/>
                <w:szCs w:val="18"/>
              </w:rPr>
            </w:pPr>
          </w:p>
        </w:tc>
        <w:tc>
          <w:tcPr>
            <w:tcW w:w="1932" w:type="pct"/>
            <w:tcMar>
              <w:top w:w="0" w:type="dxa"/>
              <w:left w:w="108" w:type="dxa"/>
              <w:bottom w:w="0" w:type="dxa"/>
              <w:right w:w="108" w:type="dxa"/>
            </w:tcMar>
          </w:tcPr>
          <w:p w14:paraId="23BB4EDE" w14:textId="1CD264B3" w:rsidR="00F654B9" w:rsidRPr="002F17DC" w:rsidRDefault="00F654B9" w:rsidP="00906070">
            <w:pPr>
              <w:spacing w:before="60" w:after="60"/>
              <w:rPr>
                <w:rFonts w:cs="Segoe UI"/>
                <w:sz w:val="18"/>
                <w:szCs w:val="18"/>
              </w:rPr>
            </w:pPr>
            <w:r w:rsidRPr="002F17DC">
              <w:rPr>
                <w:rFonts w:cs="Segoe UI"/>
                <w:b/>
                <w:bCs/>
                <w:sz w:val="18"/>
                <w:szCs w:val="18"/>
              </w:rPr>
              <w:t>Sum (</w:t>
            </w:r>
            <w:r>
              <w:rPr>
                <w:rFonts w:cs="Segoe UI"/>
                <w:b/>
                <w:bCs/>
                <w:sz w:val="18"/>
                <w:szCs w:val="18"/>
              </w:rPr>
              <w:t>c</w:t>
            </w:r>
            <w:r w:rsidRPr="002F17DC">
              <w:rPr>
                <w:rFonts w:cs="Segoe UI"/>
                <w:b/>
                <w:bCs/>
                <w:sz w:val="18"/>
                <w:szCs w:val="18"/>
              </w:rPr>
              <w:t xml:space="preserve">oefficient x </w:t>
            </w:r>
            <w:r>
              <w:rPr>
                <w:rFonts w:cs="Segoe UI"/>
                <w:b/>
                <w:bCs/>
                <w:sz w:val="18"/>
                <w:szCs w:val="18"/>
              </w:rPr>
              <w:t>v</w:t>
            </w:r>
            <w:r w:rsidRPr="002F17DC">
              <w:rPr>
                <w:rFonts w:cs="Segoe UI"/>
                <w:b/>
                <w:bCs/>
                <w:sz w:val="18"/>
                <w:szCs w:val="18"/>
              </w:rPr>
              <w:t>ariable)</w:t>
            </w:r>
          </w:p>
        </w:tc>
        <w:tc>
          <w:tcPr>
            <w:tcW w:w="913" w:type="pct"/>
            <w:tcMar>
              <w:top w:w="0" w:type="dxa"/>
              <w:left w:w="108" w:type="dxa"/>
              <w:bottom w:w="0" w:type="dxa"/>
              <w:right w:w="108" w:type="dxa"/>
            </w:tcMar>
          </w:tcPr>
          <w:p w14:paraId="63CD589D" w14:textId="59795F88" w:rsidR="00F654B9" w:rsidRPr="002F17DC" w:rsidRDefault="00F654B9" w:rsidP="00906070">
            <w:pPr>
              <w:spacing w:before="60" w:after="60"/>
              <w:rPr>
                <w:rFonts w:cs="Segoe UI"/>
                <w:sz w:val="18"/>
                <w:szCs w:val="18"/>
              </w:rPr>
            </w:pPr>
            <w:r w:rsidRPr="002F17DC">
              <w:rPr>
                <w:rFonts w:cs="Segoe UI"/>
                <w:b/>
                <w:bCs/>
                <w:sz w:val="18"/>
                <w:szCs w:val="18"/>
              </w:rPr>
              <w:t>2.5481999</w:t>
            </w:r>
          </w:p>
        </w:tc>
      </w:tr>
    </w:tbl>
    <w:p w14:paraId="2DA37341" w14:textId="77777777" w:rsidR="00875DE3" w:rsidRPr="00852C96" w:rsidRDefault="00875DE3" w:rsidP="00875DE3">
      <w:pPr>
        <w:rPr>
          <w:rFonts w:cs="Segoe UI"/>
          <w:szCs w:val="21"/>
        </w:rPr>
      </w:pPr>
    </w:p>
    <w:p w14:paraId="647AA803" w14:textId="77777777" w:rsidR="00875DE3" w:rsidRPr="00852C96" w:rsidRDefault="00875DE3" w:rsidP="00875DE3">
      <w:pPr>
        <w:rPr>
          <w:rFonts w:cs="Segoe UI"/>
          <w:szCs w:val="21"/>
          <w:lang w:val="en-GB"/>
        </w:rPr>
      </w:pPr>
      <w:r w:rsidRPr="00852C96">
        <w:rPr>
          <w:rFonts w:cs="Segoe UI"/>
          <w:szCs w:val="21"/>
          <w:lang w:val="en-GB"/>
        </w:rPr>
        <w:t xml:space="preserve">For Patient A, 5-year CVD risk = </w:t>
      </w:r>
      <w:r w:rsidRPr="00852C96">
        <w:rPr>
          <w:rFonts w:cs="Segoe UI"/>
          <w:bCs/>
          <w:szCs w:val="21"/>
          <w:lang w:val="en-GB"/>
        </w:rPr>
        <w:t xml:space="preserve">(1- </w:t>
      </w:r>
      <w:r w:rsidRPr="00852C96">
        <w:rPr>
          <w:rFonts w:cs="Segoe UI"/>
          <w:szCs w:val="21"/>
        </w:rPr>
        <w:t>0.9845026</w:t>
      </w:r>
      <w:r w:rsidRPr="00852C96">
        <w:rPr>
          <w:rFonts w:cs="Segoe UI"/>
          <w:bCs/>
          <w:szCs w:val="21"/>
          <w:lang w:val="en-GB"/>
        </w:rPr>
        <w:t xml:space="preserve"> </w:t>
      </w:r>
      <w:r w:rsidRPr="00852C96">
        <w:rPr>
          <w:rFonts w:cs="Segoe UI"/>
          <w:bCs/>
          <w:szCs w:val="21"/>
          <w:vertAlign w:val="superscript"/>
          <w:lang w:val="en-GB"/>
        </w:rPr>
        <w:t>exp (2.5481999)</w:t>
      </w:r>
      <w:r w:rsidRPr="00852C96">
        <w:rPr>
          <w:rFonts w:cs="Segoe UI"/>
          <w:bCs/>
          <w:szCs w:val="21"/>
          <w:lang w:val="en-GB"/>
        </w:rPr>
        <w:t>) x 100 = 0.181 x 100 = 18%</w:t>
      </w:r>
    </w:p>
    <w:p w14:paraId="508C55C1" w14:textId="77777777" w:rsidR="00875DE3" w:rsidRDefault="00875DE3" w:rsidP="00875DE3">
      <w:pPr>
        <w:pStyle w:val="Heading2"/>
      </w:pPr>
      <w:bookmarkStart w:id="84" w:name="_Toc46146756"/>
      <w:r>
        <w:t>Patient B</w:t>
      </w:r>
      <w:bookmarkEnd w:id="84"/>
    </w:p>
    <w:p w14:paraId="32C29EB6" w14:textId="48C83A76" w:rsidR="00875DE3" w:rsidRDefault="00875DE3" w:rsidP="00875DE3">
      <w:r w:rsidRPr="006A2A47">
        <w:rPr>
          <w:rFonts w:cs="Segoe UI"/>
          <w:b/>
          <w:szCs w:val="21"/>
        </w:rPr>
        <w:t>PREDICT CVD v.201</w:t>
      </w:r>
      <w:r w:rsidR="000F15BB">
        <w:rPr>
          <w:rFonts w:cs="Segoe UI"/>
          <w:b/>
          <w:szCs w:val="21"/>
        </w:rPr>
        <w:t>9</w:t>
      </w:r>
      <w:r w:rsidRPr="006A2A47">
        <w:rPr>
          <w:rFonts w:cs="Segoe UI"/>
          <w:b/>
          <w:szCs w:val="21"/>
        </w:rPr>
        <w:t xml:space="preserve"> primary prevention equation</w:t>
      </w:r>
      <w:r>
        <w:rPr>
          <w:rFonts w:cs="Segoe UI"/>
          <w:b/>
          <w:szCs w:val="21"/>
        </w:rPr>
        <w:t xml:space="preserve"> for men</w:t>
      </w:r>
      <w:r w:rsidRPr="006A2A47">
        <w:rPr>
          <w:rFonts w:cs="Segoe UI"/>
          <w:b/>
          <w:szCs w:val="21"/>
        </w:rPr>
        <w:t xml:space="preserve"> (for the general population)</w:t>
      </w:r>
    </w:p>
    <w:p w14:paraId="512724EF" w14:textId="77777777" w:rsidR="0072556C" w:rsidRDefault="0072556C" w:rsidP="0072556C">
      <w:pPr>
        <w:rPr>
          <w:rFonts w:cs="Segoe UI"/>
          <w:szCs w:val="21"/>
        </w:rPr>
      </w:pPr>
    </w:p>
    <w:p w14:paraId="6F4F7E89" w14:textId="7CDBE4C2" w:rsidR="00875DE3" w:rsidRDefault="00875DE3" w:rsidP="00875DE3">
      <w:r w:rsidRPr="002F17DC">
        <w:t xml:space="preserve">Patient B is a European man aged 82 years who lives in an area categorised as </w:t>
      </w:r>
      <w:proofErr w:type="spellStart"/>
      <w:r w:rsidRPr="002F17DC">
        <w:t>NZDep</w:t>
      </w:r>
      <w:proofErr w:type="spellEnd"/>
      <w:r w:rsidRPr="002F17DC">
        <w:t xml:space="preserve"> quintile 1. He has never smoked, does not have diabetes or atrial fibrillation, and has no family history of premature CVD. His BMI is 23 kg/m2, SBP is 128 mmHg, and </w:t>
      </w:r>
      <w:proofErr w:type="gramStart"/>
      <w:r w:rsidRPr="002F17DC">
        <w:t>TC:HDL</w:t>
      </w:r>
      <w:proofErr w:type="gramEnd"/>
      <w:r w:rsidRPr="002F17DC">
        <w:t xml:space="preserve"> is 4 units. He does not take any blood pressure lowering, lipid lowering, antiplatelet or anticoagulant medication. </w:t>
      </w:r>
    </w:p>
    <w:p w14:paraId="57B6467A" w14:textId="77777777" w:rsidR="00875DE3" w:rsidRPr="00852C96" w:rsidRDefault="00875DE3" w:rsidP="00875DE3">
      <w:pPr>
        <w:rPr>
          <w:rFonts w:cs="Segoe UI"/>
          <w:szCs w:val="21"/>
        </w:rPr>
      </w:pPr>
    </w:p>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Pr>
      <w:tblGrid>
        <w:gridCol w:w="2117"/>
        <w:gridCol w:w="1356"/>
        <w:gridCol w:w="3114"/>
        <w:gridCol w:w="1472"/>
      </w:tblGrid>
      <w:tr w:rsidR="0013291D" w:rsidRPr="002F17DC" w14:paraId="7EA32905" w14:textId="77777777" w:rsidTr="00AA021D">
        <w:trPr>
          <w:trHeight w:val="20"/>
        </w:trPr>
        <w:tc>
          <w:tcPr>
            <w:tcW w:w="1313" w:type="pct"/>
            <w:shd w:val="clear" w:color="auto" w:fill="D9D9D9" w:themeFill="background1" w:themeFillShade="D9"/>
            <w:tcMar>
              <w:top w:w="0" w:type="dxa"/>
              <w:left w:w="108" w:type="dxa"/>
              <w:bottom w:w="0" w:type="dxa"/>
              <w:right w:w="108" w:type="dxa"/>
            </w:tcMar>
          </w:tcPr>
          <w:p w14:paraId="06BAA824" w14:textId="77777777" w:rsidR="0013291D" w:rsidRPr="002F17DC" w:rsidRDefault="0013291D" w:rsidP="00906070">
            <w:pPr>
              <w:spacing w:before="60" w:after="60"/>
              <w:rPr>
                <w:rFonts w:cs="Segoe UI"/>
                <w:sz w:val="18"/>
                <w:szCs w:val="18"/>
                <w:lang w:val="en-GB"/>
              </w:rPr>
            </w:pPr>
            <w:r w:rsidRPr="002F17DC">
              <w:rPr>
                <w:rFonts w:cs="Segoe UI"/>
                <w:b/>
                <w:sz w:val="18"/>
                <w:szCs w:val="18"/>
              </w:rPr>
              <w:t>Variable</w:t>
            </w:r>
          </w:p>
        </w:tc>
        <w:tc>
          <w:tcPr>
            <w:tcW w:w="841" w:type="pct"/>
            <w:shd w:val="clear" w:color="auto" w:fill="D9D9D9" w:themeFill="background1" w:themeFillShade="D9"/>
            <w:tcMar>
              <w:top w:w="0" w:type="dxa"/>
              <w:left w:w="108" w:type="dxa"/>
              <w:bottom w:w="0" w:type="dxa"/>
              <w:right w:w="108" w:type="dxa"/>
            </w:tcMar>
          </w:tcPr>
          <w:p w14:paraId="0E595F15" w14:textId="77777777" w:rsidR="0013291D" w:rsidRPr="00436E5F" w:rsidRDefault="0013291D" w:rsidP="00906070">
            <w:pPr>
              <w:spacing w:before="60" w:after="60"/>
              <w:rPr>
                <w:rFonts w:cs="Segoe UI"/>
                <w:b/>
                <w:sz w:val="18"/>
                <w:szCs w:val="18"/>
              </w:rPr>
            </w:pPr>
            <w:r>
              <w:rPr>
                <w:rFonts w:cs="Segoe UI"/>
                <w:b/>
                <w:sz w:val="18"/>
                <w:szCs w:val="18"/>
              </w:rPr>
              <w:t>Value</w:t>
            </w:r>
          </w:p>
        </w:tc>
        <w:tc>
          <w:tcPr>
            <w:tcW w:w="1932" w:type="pct"/>
            <w:shd w:val="clear" w:color="auto" w:fill="D9D9D9" w:themeFill="background1" w:themeFillShade="D9"/>
            <w:tcMar>
              <w:top w:w="0" w:type="dxa"/>
              <w:left w:w="108" w:type="dxa"/>
              <w:bottom w:w="0" w:type="dxa"/>
              <w:right w:w="108" w:type="dxa"/>
            </w:tcMar>
          </w:tcPr>
          <w:p w14:paraId="15A1554A" w14:textId="4D132EA0" w:rsidR="0013291D" w:rsidRPr="002F17DC" w:rsidRDefault="0013291D" w:rsidP="00906070">
            <w:pPr>
              <w:spacing w:before="60" w:after="60"/>
              <w:rPr>
                <w:rFonts w:cs="Segoe UI"/>
                <w:sz w:val="18"/>
                <w:szCs w:val="18"/>
              </w:rPr>
            </w:pPr>
            <w:r w:rsidRPr="00B05358">
              <w:rPr>
                <w:rFonts w:cs="Segoe UI"/>
                <w:b/>
                <w:sz w:val="18"/>
                <w:szCs w:val="18"/>
              </w:rPr>
              <w:t xml:space="preserve">Coefficient x </w:t>
            </w:r>
            <w:r>
              <w:rPr>
                <w:rFonts w:cs="Segoe UI"/>
                <w:b/>
                <w:sz w:val="18"/>
                <w:szCs w:val="18"/>
              </w:rPr>
              <w:t>variable</w:t>
            </w:r>
          </w:p>
        </w:tc>
        <w:tc>
          <w:tcPr>
            <w:tcW w:w="913" w:type="pct"/>
            <w:shd w:val="clear" w:color="auto" w:fill="D9D9D9" w:themeFill="background1" w:themeFillShade="D9"/>
            <w:tcMar>
              <w:top w:w="0" w:type="dxa"/>
              <w:left w:w="108" w:type="dxa"/>
              <w:bottom w:w="0" w:type="dxa"/>
              <w:right w:w="108" w:type="dxa"/>
            </w:tcMar>
          </w:tcPr>
          <w:p w14:paraId="6951B53F" w14:textId="77777777" w:rsidR="0013291D" w:rsidRPr="002F17DC" w:rsidRDefault="0013291D" w:rsidP="00906070">
            <w:pPr>
              <w:spacing w:before="60" w:after="60"/>
              <w:rPr>
                <w:rFonts w:cs="Segoe UI"/>
                <w:sz w:val="18"/>
                <w:szCs w:val="18"/>
                <w:lang w:val="en-GB"/>
              </w:rPr>
            </w:pPr>
            <w:r w:rsidRPr="00B05358">
              <w:rPr>
                <w:rFonts w:cs="Segoe UI"/>
                <w:b/>
                <w:sz w:val="18"/>
                <w:szCs w:val="18"/>
              </w:rPr>
              <w:t>Product</w:t>
            </w:r>
          </w:p>
        </w:tc>
      </w:tr>
      <w:tr w:rsidR="0013291D" w:rsidRPr="002F17DC" w14:paraId="563AA152" w14:textId="77777777" w:rsidTr="00AA021D">
        <w:trPr>
          <w:trHeight w:val="20"/>
        </w:trPr>
        <w:tc>
          <w:tcPr>
            <w:tcW w:w="1313" w:type="pct"/>
            <w:tcMar>
              <w:top w:w="0" w:type="dxa"/>
              <w:left w:w="108" w:type="dxa"/>
              <w:bottom w:w="0" w:type="dxa"/>
              <w:right w:w="108" w:type="dxa"/>
            </w:tcMar>
            <w:hideMark/>
          </w:tcPr>
          <w:p w14:paraId="54699DAD" w14:textId="1E6BC8F6" w:rsidR="0013291D" w:rsidRPr="002F17DC" w:rsidRDefault="0013291D" w:rsidP="00906070">
            <w:pPr>
              <w:spacing w:before="60" w:after="60"/>
              <w:rPr>
                <w:rFonts w:cs="Segoe UI"/>
                <w:sz w:val="18"/>
                <w:szCs w:val="18"/>
              </w:rPr>
            </w:pPr>
            <w:r w:rsidRPr="002F17DC">
              <w:rPr>
                <w:rFonts w:cs="Segoe UI"/>
                <w:sz w:val="18"/>
                <w:szCs w:val="18"/>
                <w:lang w:val="en-GB"/>
              </w:rPr>
              <w:t>Age, years</w:t>
            </w:r>
          </w:p>
        </w:tc>
        <w:tc>
          <w:tcPr>
            <w:tcW w:w="841" w:type="pct"/>
            <w:tcMar>
              <w:top w:w="0" w:type="dxa"/>
              <w:left w:w="108" w:type="dxa"/>
              <w:bottom w:w="0" w:type="dxa"/>
              <w:right w:w="108" w:type="dxa"/>
            </w:tcMar>
            <w:hideMark/>
          </w:tcPr>
          <w:p w14:paraId="1C652563" w14:textId="77777777" w:rsidR="0013291D" w:rsidRPr="002F17DC" w:rsidRDefault="0013291D" w:rsidP="00906070">
            <w:pPr>
              <w:spacing w:before="60" w:after="60"/>
              <w:rPr>
                <w:rFonts w:cs="Segoe UI"/>
                <w:sz w:val="18"/>
                <w:szCs w:val="18"/>
              </w:rPr>
            </w:pPr>
            <w:r w:rsidRPr="002F17DC">
              <w:rPr>
                <w:rFonts w:cs="Segoe UI"/>
                <w:sz w:val="18"/>
                <w:szCs w:val="18"/>
              </w:rPr>
              <w:t>82 years</w:t>
            </w:r>
          </w:p>
        </w:tc>
        <w:tc>
          <w:tcPr>
            <w:tcW w:w="1932" w:type="pct"/>
            <w:tcMar>
              <w:top w:w="0" w:type="dxa"/>
              <w:left w:w="108" w:type="dxa"/>
              <w:bottom w:w="0" w:type="dxa"/>
              <w:right w:w="108" w:type="dxa"/>
            </w:tcMar>
          </w:tcPr>
          <w:p w14:paraId="6F5812B7" w14:textId="37B93443" w:rsidR="0013291D" w:rsidRPr="002F17DC" w:rsidRDefault="0013291D" w:rsidP="00906070">
            <w:pPr>
              <w:spacing w:before="60" w:after="60"/>
              <w:rPr>
                <w:rFonts w:cs="Segoe UI"/>
                <w:sz w:val="18"/>
                <w:szCs w:val="18"/>
              </w:rPr>
            </w:pPr>
            <w:r w:rsidRPr="002F17DC">
              <w:rPr>
                <w:rFonts w:cs="Segoe UI"/>
                <w:sz w:val="18"/>
                <w:szCs w:val="18"/>
              </w:rPr>
              <w:t>0.0669484</w:t>
            </w:r>
            <w:r w:rsidRPr="002F17DC">
              <w:rPr>
                <w:rFonts w:cs="Segoe UI"/>
                <w:sz w:val="18"/>
                <w:szCs w:val="18"/>
                <w:lang w:val="en-GB"/>
              </w:rPr>
              <w:t>x (</w:t>
            </w:r>
            <w:r w:rsidRPr="002F17DC">
              <w:rPr>
                <w:rFonts w:cs="Segoe UI"/>
                <w:sz w:val="18"/>
                <w:szCs w:val="18"/>
              </w:rPr>
              <w:t>80 – 51.59444)</w:t>
            </w:r>
          </w:p>
        </w:tc>
        <w:tc>
          <w:tcPr>
            <w:tcW w:w="913" w:type="pct"/>
            <w:tcMar>
              <w:top w:w="0" w:type="dxa"/>
              <w:left w:w="108" w:type="dxa"/>
              <w:bottom w:w="0" w:type="dxa"/>
              <w:right w:w="108" w:type="dxa"/>
            </w:tcMar>
          </w:tcPr>
          <w:p w14:paraId="20D2E8D3" w14:textId="77777777" w:rsidR="0013291D" w:rsidRPr="002F17DC" w:rsidRDefault="0013291D">
            <w:pPr>
              <w:spacing w:before="60" w:after="60"/>
              <w:rPr>
                <w:rFonts w:cs="Segoe UI"/>
                <w:sz w:val="18"/>
                <w:szCs w:val="18"/>
              </w:rPr>
            </w:pPr>
            <w:r w:rsidRPr="002F17DC">
              <w:rPr>
                <w:rFonts w:cs="Segoe UI"/>
                <w:sz w:val="18"/>
                <w:szCs w:val="18"/>
              </w:rPr>
              <w:t>1.9017068</w:t>
            </w:r>
          </w:p>
        </w:tc>
      </w:tr>
      <w:tr w:rsidR="0013291D" w:rsidRPr="002F17DC" w14:paraId="2A4F54B1" w14:textId="77777777" w:rsidTr="00AA021D">
        <w:trPr>
          <w:trHeight w:val="20"/>
        </w:trPr>
        <w:tc>
          <w:tcPr>
            <w:tcW w:w="1313" w:type="pct"/>
            <w:tcMar>
              <w:top w:w="0" w:type="dxa"/>
              <w:left w:w="108" w:type="dxa"/>
              <w:bottom w:w="0" w:type="dxa"/>
              <w:right w:w="108" w:type="dxa"/>
            </w:tcMar>
            <w:hideMark/>
          </w:tcPr>
          <w:p w14:paraId="01AFF0BB" w14:textId="77777777" w:rsidR="0013291D" w:rsidRPr="002F17DC" w:rsidRDefault="0013291D" w:rsidP="00906070">
            <w:pPr>
              <w:spacing w:before="60" w:after="60"/>
              <w:rPr>
                <w:rFonts w:cs="Segoe UI"/>
                <w:sz w:val="18"/>
                <w:szCs w:val="18"/>
              </w:rPr>
            </w:pPr>
            <w:r w:rsidRPr="002F17DC">
              <w:rPr>
                <w:rFonts w:cs="Segoe UI"/>
                <w:sz w:val="18"/>
                <w:szCs w:val="18"/>
                <w:lang w:val="en-GB"/>
              </w:rPr>
              <w:t>Māori</w:t>
            </w:r>
          </w:p>
        </w:tc>
        <w:tc>
          <w:tcPr>
            <w:tcW w:w="841" w:type="pct"/>
            <w:tcMar>
              <w:top w:w="0" w:type="dxa"/>
              <w:left w:w="108" w:type="dxa"/>
              <w:bottom w:w="0" w:type="dxa"/>
              <w:right w:w="108" w:type="dxa"/>
            </w:tcMar>
          </w:tcPr>
          <w:p w14:paraId="487DF7AD"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2393897B" w14:textId="77777777" w:rsidR="0013291D" w:rsidRPr="002F17DC" w:rsidRDefault="0013291D" w:rsidP="00906070">
            <w:pPr>
              <w:spacing w:before="60" w:after="60"/>
              <w:rPr>
                <w:rFonts w:cs="Segoe UI"/>
                <w:sz w:val="18"/>
                <w:szCs w:val="18"/>
              </w:rPr>
            </w:pPr>
            <w:r w:rsidRPr="002F17DC">
              <w:rPr>
                <w:rFonts w:cs="Segoe UI"/>
                <w:sz w:val="18"/>
                <w:szCs w:val="18"/>
              </w:rPr>
              <w:t>0.3166164 x 0</w:t>
            </w:r>
          </w:p>
        </w:tc>
        <w:tc>
          <w:tcPr>
            <w:tcW w:w="913" w:type="pct"/>
            <w:tcMar>
              <w:top w:w="0" w:type="dxa"/>
              <w:left w:w="108" w:type="dxa"/>
              <w:bottom w:w="0" w:type="dxa"/>
              <w:right w:w="108" w:type="dxa"/>
            </w:tcMar>
          </w:tcPr>
          <w:p w14:paraId="6E0E0128"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578F71FE" w14:textId="77777777" w:rsidTr="00AA021D">
        <w:trPr>
          <w:trHeight w:val="20"/>
        </w:trPr>
        <w:tc>
          <w:tcPr>
            <w:tcW w:w="1313" w:type="pct"/>
            <w:tcMar>
              <w:top w:w="0" w:type="dxa"/>
              <w:left w:w="108" w:type="dxa"/>
              <w:bottom w:w="0" w:type="dxa"/>
              <w:right w:w="108" w:type="dxa"/>
            </w:tcMar>
            <w:hideMark/>
          </w:tcPr>
          <w:p w14:paraId="4070D933" w14:textId="77777777" w:rsidR="0013291D" w:rsidRPr="002F17DC" w:rsidRDefault="0013291D" w:rsidP="00906070">
            <w:pPr>
              <w:spacing w:before="60" w:after="60"/>
              <w:rPr>
                <w:rFonts w:cs="Segoe UI"/>
                <w:sz w:val="18"/>
                <w:szCs w:val="18"/>
              </w:rPr>
            </w:pPr>
            <w:r w:rsidRPr="002F17DC">
              <w:rPr>
                <w:rFonts w:cs="Segoe UI"/>
                <w:sz w:val="18"/>
                <w:szCs w:val="18"/>
              </w:rPr>
              <w:t>Pacific</w:t>
            </w:r>
          </w:p>
        </w:tc>
        <w:tc>
          <w:tcPr>
            <w:tcW w:w="841" w:type="pct"/>
            <w:tcMar>
              <w:top w:w="0" w:type="dxa"/>
              <w:left w:w="108" w:type="dxa"/>
              <w:bottom w:w="0" w:type="dxa"/>
              <w:right w:w="108" w:type="dxa"/>
            </w:tcMar>
          </w:tcPr>
          <w:p w14:paraId="4D99DD1A"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22C412B4" w14:textId="77777777" w:rsidR="0013291D" w:rsidRPr="002F17DC" w:rsidRDefault="0013291D" w:rsidP="00906070">
            <w:pPr>
              <w:spacing w:before="60" w:after="60"/>
              <w:rPr>
                <w:rFonts w:cs="Segoe UI"/>
                <w:sz w:val="18"/>
                <w:szCs w:val="18"/>
              </w:rPr>
            </w:pPr>
            <w:r w:rsidRPr="002F17DC">
              <w:rPr>
                <w:rFonts w:cs="Segoe UI"/>
                <w:sz w:val="18"/>
                <w:szCs w:val="18"/>
              </w:rPr>
              <w:t>0.2217931 x 0</w:t>
            </w:r>
          </w:p>
        </w:tc>
        <w:tc>
          <w:tcPr>
            <w:tcW w:w="913" w:type="pct"/>
            <w:tcMar>
              <w:top w:w="0" w:type="dxa"/>
              <w:left w:w="108" w:type="dxa"/>
              <w:bottom w:w="0" w:type="dxa"/>
              <w:right w:w="108" w:type="dxa"/>
            </w:tcMar>
          </w:tcPr>
          <w:p w14:paraId="570E3837"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26DE0451" w14:textId="77777777" w:rsidTr="00AA021D">
        <w:trPr>
          <w:trHeight w:val="20"/>
        </w:trPr>
        <w:tc>
          <w:tcPr>
            <w:tcW w:w="1313" w:type="pct"/>
            <w:tcMar>
              <w:top w:w="0" w:type="dxa"/>
              <w:left w:w="108" w:type="dxa"/>
              <w:bottom w:w="0" w:type="dxa"/>
              <w:right w:w="108" w:type="dxa"/>
            </w:tcMar>
            <w:hideMark/>
          </w:tcPr>
          <w:p w14:paraId="3514F936" w14:textId="77777777" w:rsidR="0013291D" w:rsidRPr="002F17DC" w:rsidRDefault="0013291D" w:rsidP="00906070">
            <w:pPr>
              <w:spacing w:before="60" w:after="60"/>
              <w:rPr>
                <w:rFonts w:cs="Segoe UI"/>
                <w:sz w:val="18"/>
                <w:szCs w:val="18"/>
              </w:rPr>
            </w:pPr>
            <w:r w:rsidRPr="002F17DC">
              <w:rPr>
                <w:rFonts w:cs="Segoe UI"/>
                <w:sz w:val="18"/>
                <w:szCs w:val="18"/>
              </w:rPr>
              <w:t>Indian/Other South Asian</w:t>
            </w:r>
          </w:p>
        </w:tc>
        <w:tc>
          <w:tcPr>
            <w:tcW w:w="841" w:type="pct"/>
            <w:tcMar>
              <w:top w:w="0" w:type="dxa"/>
              <w:left w:w="108" w:type="dxa"/>
              <w:bottom w:w="0" w:type="dxa"/>
              <w:right w:w="108" w:type="dxa"/>
            </w:tcMar>
          </w:tcPr>
          <w:p w14:paraId="7D119094"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25E47CD9" w14:textId="77777777" w:rsidR="0013291D" w:rsidRPr="002F17DC" w:rsidRDefault="0013291D" w:rsidP="00906070">
            <w:pPr>
              <w:spacing w:before="60" w:after="60"/>
              <w:rPr>
                <w:rFonts w:cs="Segoe UI"/>
                <w:sz w:val="18"/>
                <w:szCs w:val="18"/>
              </w:rPr>
            </w:pPr>
            <w:r w:rsidRPr="002F17DC">
              <w:rPr>
                <w:rFonts w:cs="Segoe UI"/>
                <w:sz w:val="18"/>
                <w:szCs w:val="18"/>
              </w:rPr>
              <w:t>0.3666816 x 0</w:t>
            </w:r>
          </w:p>
        </w:tc>
        <w:tc>
          <w:tcPr>
            <w:tcW w:w="913" w:type="pct"/>
            <w:tcMar>
              <w:top w:w="0" w:type="dxa"/>
              <w:left w:w="108" w:type="dxa"/>
              <w:bottom w:w="0" w:type="dxa"/>
              <w:right w:w="108" w:type="dxa"/>
            </w:tcMar>
          </w:tcPr>
          <w:p w14:paraId="4996523F"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1A3BCCA9" w14:textId="77777777" w:rsidTr="00AA021D">
        <w:trPr>
          <w:trHeight w:val="20"/>
        </w:trPr>
        <w:tc>
          <w:tcPr>
            <w:tcW w:w="1313" w:type="pct"/>
            <w:tcMar>
              <w:top w:w="0" w:type="dxa"/>
              <w:left w:w="108" w:type="dxa"/>
              <w:bottom w:w="0" w:type="dxa"/>
              <w:right w:w="108" w:type="dxa"/>
            </w:tcMar>
            <w:hideMark/>
          </w:tcPr>
          <w:p w14:paraId="2E587191" w14:textId="77777777" w:rsidR="0013291D" w:rsidRPr="002F17DC" w:rsidRDefault="0013291D" w:rsidP="00906070">
            <w:pPr>
              <w:spacing w:before="60" w:after="60"/>
              <w:rPr>
                <w:rFonts w:cs="Segoe UI"/>
                <w:sz w:val="18"/>
                <w:szCs w:val="18"/>
              </w:rPr>
            </w:pPr>
            <w:r w:rsidRPr="002F17DC">
              <w:rPr>
                <w:rFonts w:cs="Segoe UI"/>
                <w:sz w:val="18"/>
                <w:szCs w:val="18"/>
              </w:rPr>
              <w:t>Chinese/Asian</w:t>
            </w:r>
          </w:p>
        </w:tc>
        <w:tc>
          <w:tcPr>
            <w:tcW w:w="841" w:type="pct"/>
            <w:tcMar>
              <w:top w:w="0" w:type="dxa"/>
              <w:left w:w="108" w:type="dxa"/>
              <w:bottom w:w="0" w:type="dxa"/>
              <w:right w:w="108" w:type="dxa"/>
            </w:tcMar>
          </w:tcPr>
          <w:p w14:paraId="13BA56D5"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6EA1D2BD" w14:textId="77777777" w:rsidR="0013291D" w:rsidRPr="002F17DC" w:rsidRDefault="0013291D" w:rsidP="00906070">
            <w:pPr>
              <w:spacing w:before="60" w:after="60"/>
              <w:rPr>
                <w:rFonts w:cs="Segoe UI"/>
                <w:sz w:val="18"/>
                <w:szCs w:val="18"/>
                <w:lang w:val="en-GB"/>
              </w:rPr>
            </w:pPr>
            <w:r w:rsidRPr="002F17DC">
              <w:rPr>
                <w:rFonts w:cs="Segoe UI"/>
                <w:sz w:val="18"/>
                <w:szCs w:val="18"/>
              </w:rPr>
              <w:t>-0.4131973 x 0</w:t>
            </w:r>
          </w:p>
        </w:tc>
        <w:tc>
          <w:tcPr>
            <w:tcW w:w="913" w:type="pct"/>
            <w:tcMar>
              <w:top w:w="0" w:type="dxa"/>
              <w:left w:w="108" w:type="dxa"/>
              <w:bottom w:w="0" w:type="dxa"/>
              <w:right w:w="108" w:type="dxa"/>
            </w:tcMar>
          </w:tcPr>
          <w:p w14:paraId="511E80B0"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41DB0009" w14:textId="77777777" w:rsidTr="00AA021D">
        <w:trPr>
          <w:trHeight w:val="20"/>
        </w:trPr>
        <w:tc>
          <w:tcPr>
            <w:tcW w:w="1313" w:type="pct"/>
            <w:tcMar>
              <w:top w:w="0" w:type="dxa"/>
              <w:left w:w="108" w:type="dxa"/>
              <w:bottom w:w="0" w:type="dxa"/>
              <w:right w:w="108" w:type="dxa"/>
            </w:tcMar>
            <w:hideMark/>
          </w:tcPr>
          <w:p w14:paraId="03273861" w14:textId="28094429" w:rsidR="0013291D" w:rsidRPr="002F17DC" w:rsidRDefault="0013291D" w:rsidP="00906070">
            <w:pPr>
              <w:spacing w:before="60" w:after="60"/>
              <w:rPr>
                <w:rFonts w:cs="Segoe UI"/>
                <w:sz w:val="18"/>
                <w:szCs w:val="18"/>
              </w:rPr>
            </w:pPr>
            <w:proofErr w:type="spellStart"/>
            <w:r w:rsidRPr="002F17DC">
              <w:rPr>
                <w:rFonts w:cs="Segoe UI"/>
                <w:sz w:val="18"/>
                <w:szCs w:val="18"/>
              </w:rPr>
              <w:t>NZDep</w:t>
            </w:r>
            <w:proofErr w:type="spellEnd"/>
            <w:r w:rsidRPr="002F17DC">
              <w:rPr>
                <w:rFonts w:cs="Segoe UI"/>
                <w:sz w:val="18"/>
                <w:szCs w:val="18"/>
              </w:rPr>
              <w:t xml:space="preserve"> quintile</w:t>
            </w:r>
          </w:p>
        </w:tc>
        <w:tc>
          <w:tcPr>
            <w:tcW w:w="841" w:type="pct"/>
            <w:tcMar>
              <w:top w:w="0" w:type="dxa"/>
              <w:left w:w="108" w:type="dxa"/>
              <w:bottom w:w="0" w:type="dxa"/>
              <w:right w:w="108" w:type="dxa"/>
            </w:tcMar>
          </w:tcPr>
          <w:p w14:paraId="349F4796" w14:textId="77777777" w:rsidR="0013291D" w:rsidRPr="002F17DC" w:rsidRDefault="0013291D" w:rsidP="00906070">
            <w:pPr>
              <w:spacing w:before="60" w:after="60"/>
              <w:rPr>
                <w:rFonts w:cs="Segoe UI"/>
                <w:sz w:val="18"/>
                <w:szCs w:val="18"/>
              </w:rPr>
            </w:pPr>
            <w:r w:rsidRPr="002F17DC">
              <w:rPr>
                <w:rFonts w:cs="Segoe UI"/>
                <w:sz w:val="18"/>
                <w:szCs w:val="18"/>
              </w:rPr>
              <w:t>Quintile 1</w:t>
            </w:r>
          </w:p>
        </w:tc>
        <w:tc>
          <w:tcPr>
            <w:tcW w:w="1932" w:type="pct"/>
            <w:tcMar>
              <w:top w:w="0" w:type="dxa"/>
              <w:left w:w="108" w:type="dxa"/>
              <w:bottom w:w="0" w:type="dxa"/>
              <w:right w:w="108" w:type="dxa"/>
            </w:tcMar>
          </w:tcPr>
          <w:p w14:paraId="5D8A2327" w14:textId="77777777" w:rsidR="0013291D" w:rsidRPr="002F17DC" w:rsidRDefault="0013291D" w:rsidP="00906070">
            <w:pPr>
              <w:spacing w:before="60" w:after="60"/>
              <w:rPr>
                <w:rFonts w:cs="Segoe UI"/>
                <w:sz w:val="18"/>
                <w:szCs w:val="18"/>
              </w:rPr>
            </w:pPr>
            <w:r w:rsidRPr="002F17DC">
              <w:rPr>
                <w:rFonts w:cs="Segoe UI"/>
                <w:sz w:val="18"/>
                <w:szCs w:val="18"/>
              </w:rPr>
              <w:t xml:space="preserve">0.0631146 </w:t>
            </w:r>
            <w:r w:rsidRPr="002F17DC">
              <w:rPr>
                <w:rFonts w:cs="Segoe UI"/>
                <w:sz w:val="18"/>
                <w:szCs w:val="18"/>
                <w:lang w:val="en-GB"/>
              </w:rPr>
              <w:t xml:space="preserve">x (1 - </w:t>
            </w:r>
            <w:r w:rsidRPr="002F17DC">
              <w:rPr>
                <w:rFonts w:cs="Segoe UI"/>
                <w:sz w:val="18"/>
                <w:szCs w:val="18"/>
              </w:rPr>
              <w:t>2.975732)</w:t>
            </w:r>
          </w:p>
        </w:tc>
        <w:tc>
          <w:tcPr>
            <w:tcW w:w="913" w:type="pct"/>
            <w:tcMar>
              <w:top w:w="0" w:type="dxa"/>
              <w:left w:w="108" w:type="dxa"/>
              <w:bottom w:w="0" w:type="dxa"/>
              <w:right w:w="108" w:type="dxa"/>
            </w:tcMar>
          </w:tcPr>
          <w:p w14:paraId="17736AF5" w14:textId="77777777" w:rsidR="0013291D" w:rsidRPr="002F17DC" w:rsidRDefault="0013291D">
            <w:pPr>
              <w:spacing w:before="60" w:after="60"/>
              <w:rPr>
                <w:rFonts w:cs="Segoe UI"/>
                <w:sz w:val="18"/>
                <w:szCs w:val="18"/>
              </w:rPr>
            </w:pPr>
            <w:r w:rsidRPr="002F17DC">
              <w:rPr>
                <w:rFonts w:cs="Segoe UI"/>
                <w:sz w:val="18"/>
                <w:szCs w:val="18"/>
              </w:rPr>
              <w:t>-0.1246975</w:t>
            </w:r>
          </w:p>
        </w:tc>
      </w:tr>
      <w:tr w:rsidR="0013291D" w:rsidRPr="002F17DC" w14:paraId="44AD6276" w14:textId="77777777" w:rsidTr="00AA021D">
        <w:trPr>
          <w:trHeight w:val="20"/>
        </w:trPr>
        <w:tc>
          <w:tcPr>
            <w:tcW w:w="1313" w:type="pct"/>
            <w:tcMar>
              <w:top w:w="0" w:type="dxa"/>
              <w:left w:w="108" w:type="dxa"/>
              <w:bottom w:w="0" w:type="dxa"/>
              <w:right w:w="108" w:type="dxa"/>
            </w:tcMar>
            <w:hideMark/>
          </w:tcPr>
          <w:p w14:paraId="099D3A9B" w14:textId="77777777" w:rsidR="0013291D" w:rsidRPr="002F17DC" w:rsidRDefault="0013291D" w:rsidP="00906070">
            <w:pPr>
              <w:spacing w:before="60" w:after="60"/>
              <w:rPr>
                <w:rFonts w:cs="Segoe UI"/>
                <w:sz w:val="18"/>
                <w:szCs w:val="18"/>
              </w:rPr>
            </w:pPr>
            <w:r w:rsidRPr="002F17DC">
              <w:rPr>
                <w:rFonts w:cs="Segoe UI"/>
                <w:sz w:val="18"/>
                <w:szCs w:val="18"/>
              </w:rPr>
              <w:t>Ex-smok</w:t>
            </w:r>
            <w:r>
              <w:rPr>
                <w:rFonts w:cs="Segoe UI"/>
                <w:sz w:val="18"/>
                <w:szCs w:val="18"/>
              </w:rPr>
              <w:t>ing</w:t>
            </w:r>
          </w:p>
        </w:tc>
        <w:tc>
          <w:tcPr>
            <w:tcW w:w="841" w:type="pct"/>
            <w:tcMar>
              <w:top w:w="0" w:type="dxa"/>
              <w:left w:w="108" w:type="dxa"/>
              <w:bottom w:w="0" w:type="dxa"/>
              <w:right w:w="108" w:type="dxa"/>
            </w:tcMar>
          </w:tcPr>
          <w:p w14:paraId="3262B6ED"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10106F80" w14:textId="77777777" w:rsidR="0013291D" w:rsidRPr="002F17DC" w:rsidRDefault="0013291D" w:rsidP="00906070">
            <w:pPr>
              <w:spacing w:before="60" w:after="60"/>
              <w:rPr>
                <w:rFonts w:cs="Segoe UI"/>
                <w:sz w:val="18"/>
                <w:szCs w:val="18"/>
              </w:rPr>
            </w:pPr>
            <w:r w:rsidRPr="002F17DC">
              <w:rPr>
                <w:rFonts w:cs="Segoe UI"/>
                <w:sz w:val="18"/>
                <w:szCs w:val="18"/>
              </w:rPr>
              <w:t>0.0748648 x 0</w:t>
            </w:r>
          </w:p>
        </w:tc>
        <w:tc>
          <w:tcPr>
            <w:tcW w:w="913" w:type="pct"/>
            <w:tcMar>
              <w:top w:w="0" w:type="dxa"/>
              <w:left w:w="108" w:type="dxa"/>
              <w:bottom w:w="0" w:type="dxa"/>
              <w:right w:w="108" w:type="dxa"/>
            </w:tcMar>
          </w:tcPr>
          <w:p w14:paraId="61924D53"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4B2E3412" w14:textId="77777777" w:rsidTr="00AA021D">
        <w:trPr>
          <w:trHeight w:val="20"/>
        </w:trPr>
        <w:tc>
          <w:tcPr>
            <w:tcW w:w="1313" w:type="pct"/>
            <w:tcMar>
              <w:top w:w="0" w:type="dxa"/>
              <w:left w:w="108" w:type="dxa"/>
              <w:bottom w:w="0" w:type="dxa"/>
              <w:right w:w="108" w:type="dxa"/>
            </w:tcMar>
            <w:hideMark/>
          </w:tcPr>
          <w:p w14:paraId="4AA725A1" w14:textId="77777777" w:rsidR="0013291D" w:rsidRPr="002F17DC" w:rsidRDefault="0013291D" w:rsidP="00906070">
            <w:pPr>
              <w:spacing w:before="60" w:after="60"/>
              <w:rPr>
                <w:rFonts w:cs="Segoe UI"/>
                <w:sz w:val="18"/>
                <w:szCs w:val="18"/>
              </w:rPr>
            </w:pPr>
            <w:r w:rsidRPr="002F17DC">
              <w:rPr>
                <w:rFonts w:cs="Segoe UI"/>
                <w:sz w:val="18"/>
                <w:szCs w:val="18"/>
              </w:rPr>
              <w:t>Current</w:t>
            </w:r>
            <w:r>
              <w:rPr>
                <w:rFonts w:cs="Segoe UI"/>
                <w:sz w:val="18"/>
                <w:szCs w:val="18"/>
              </w:rPr>
              <w:t>ly</w:t>
            </w:r>
            <w:r w:rsidRPr="002F17DC">
              <w:rPr>
                <w:rFonts w:cs="Segoe UI"/>
                <w:sz w:val="18"/>
                <w:szCs w:val="18"/>
              </w:rPr>
              <w:t xml:space="preserve"> smok</w:t>
            </w:r>
            <w:r>
              <w:rPr>
                <w:rFonts w:cs="Segoe UI"/>
                <w:sz w:val="18"/>
                <w:szCs w:val="18"/>
              </w:rPr>
              <w:t>ing</w:t>
            </w:r>
          </w:p>
        </w:tc>
        <w:tc>
          <w:tcPr>
            <w:tcW w:w="841" w:type="pct"/>
            <w:tcMar>
              <w:top w:w="0" w:type="dxa"/>
              <w:left w:w="108" w:type="dxa"/>
              <w:bottom w:w="0" w:type="dxa"/>
              <w:right w:w="108" w:type="dxa"/>
            </w:tcMar>
          </w:tcPr>
          <w:p w14:paraId="12738FBA"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765D890A" w14:textId="77777777" w:rsidR="0013291D" w:rsidRPr="002F17DC" w:rsidRDefault="0013291D" w:rsidP="00906070">
            <w:pPr>
              <w:spacing w:before="60" w:after="60"/>
              <w:rPr>
                <w:rFonts w:cs="Segoe UI"/>
                <w:sz w:val="18"/>
                <w:szCs w:val="18"/>
              </w:rPr>
            </w:pPr>
            <w:r w:rsidRPr="002F17DC">
              <w:rPr>
                <w:rFonts w:cs="Segoe UI"/>
                <w:sz w:val="18"/>
                <w:szCs w:val="18"/>
              </w:rPr>
              <w:t>0.5317607 x 0</w:t>
            </w:r>
          </w:p>
        </w:tc>
        <w:tc>
          <w:tcPr>
            <w:tcW w:w="913" w:type="pct"/>
            <w:tcMar>
              <w:top w:w="0" w:type="dxa"/>
              <w:left w:w="108" w:type="dxa"/>
              <w:bottom w:w="0" w:type="dxa"/>
              <w:right w:w="108" w:type="dxa"/>
            </w:tcMar>
          </w:tcPr>
          <w:p w14:paraId="7D5F46DB"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6335DD19" w14:textId="77777777" w:rsidTr="00AA021D">
        <w:trPr>
          <w:trHeight w:val="20"/>
        </w:trPr>
        <w:tc>
          <w:tcPr>
            <w:tcW w:w="1313" w:type="pct"/>
            <w:tcMar>
              <w:top w:w="0" w:type="dxa"/>
              <w:left w:w="108" w:type="dxa"/>
              <w:bottom w:w="0" w:type="dxa"/>
              <w:right w:w="108" w:type="dxa"/>
            </w:tcMar>
            <w:hideMark/>
          </w:tcPr>
          <w:p w14:paraId="469081C3" w14:textId="77777777" w:rsidR="0013291D" w:rsidRPr="002F17DC" w:rsidRDefault="0013291D" w:rsidP="00906070">
            <w:pPr>
              <w:spacing w:before="60" w:after="60"/>
              <w:rPr>
                <w:rFonts w:cs="Segoe UI"/>
                <w:sz w:val="18"/>
                <w:szCs w:val="18"/>
              </w:rPr>
            </w:pPr>
            <w:r w:rsidRPr="002F17DC">
              <w:rPr>
                <w:rFonts w:cs="Segoe UI"/>
                <w:sz w:val="18"/>
                <w:szCs w:val="18"/>
              </w:rPr>
              <w:t>Fam. hist. CVD</w:t>
            </w:r>
          </w:p>
        </w:tc>
        <w:tc>
          <w:tcPr>
            <w:tcW w:w="841" w:type="pct"/>
            <w:tcMar>
              <w:top w:w="0" w:type="dxa"/>
              <w:left w:w="108" w:type="dxa"/>
              <w:bottom w:w="0" w:type="dxa"/>
              <w:right w:w="108" w:type="dxa"/>
            </w:tcMar>
          </w:tcPr>
          <w:p w14:paraId="0D635CAC"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1932" w:type="pct"/>
            <w:tcMar>
              <w:top w:w="0" w:type="dxa"/>
              <w:left w:w="108" w:type="dxa"/>
              <w:bottom w:w="0" w:type="dxa"/>
              <w:right w:w="108" w:type="dxa"/>
            </w:tcMar>
          </w:tcPr>
          <w:p w14:paraId="37E6E48A" w14:textId="77777777" w:rsidR="0013291D" w:rsidRPr="002F17DC" w:rsidRDefault="0013291D" w:rsidP="00906070">
            <w:pPr>
              <w:spacing w:before="60" w:after="60"/>
              <w:rPr>
                <w:rFonts w:cs="Segoe UI"/>
                <w:sz w:val="18"/>
                <w:szCs w:val="18"/>
              </w:rPr>
            </w:pPr>
            <w:r w:rsidRPr="002F17DC">
              <w:rPr>
                <w:rFonts w:cs="Segoe UI"/>
                <w:sz w:val="18"/>
                <w:szCs w:val="18"/>
              </w:rPr>
              <w:t>0.1275721 x 0</w:t>
            </w:r>
          </w:p>
        </w:tc>
        <w:tc>
          <w:tcPr>
            <w:tcW w:w="913" w:type="pct"/>
            <w:tcMar>
              <w:top w:w="0" w:type="dxa"/>
              <w:left w:w="108" w:type="dxa"/>
              <w:bottom w:w="0" w:type="dxa"/>
              <w:right w:w="108" w:type="dxa"/>
            </w:tcMar>
          </w:tcPr>
          <w:p w14:paraId="2FDA427F"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44304FDE" w14:textId="77777777" w:rsidTr="00AA021D">
        <w:trPr>
          <w:trHeight w:val="20"/>
        </w:trPr>
        <w:tc>
          <w:tcPr>
            <w:tcW w:w="1313" w:type="pct"/>
            <w:tcMar>
              <w:top w:w="0" w:type="dxa"/>
              <w:left w:w="108" w:type="dxa"/>
              <w:bottom w:w="0" w:type="dxa"/>
              <w:right w:w="108" w:type="dxa"/>
            </w:tcMar>
            <w:hideMark/>
          </w:tcPr>
          <w:p w14:paraId="246FF58E" w14:textId="77777777" w:rsidR="0013291D" w:rsidRPr="002F17DC" w:rsidRDefault="0013291D" w:rsidP="00906070">
            <w:pPr>
              <w:spacing w:before="60" w:after="60"/>
              <w:rPr>
                <w:rFonts w:cs="Segoe UI"/>
                <w:sz w:val="18"/>
                <w:szCs w:val="18"/>
              </w:rPr>
            </w:pPr>
            <w:r w:rsidRPr="002F17DC">
              <w:rPr>
                <w:rFonts w:cs="Segoe UI"/>
                <w:sz w:val="18"/>
                <w:szCs w:val="18"/>
              </w:rPr>
              <w:lastRenderedPageBreak/>
              <w:t>Atrial fibrillation</w:t>
            </w:r>
          </w:p>
        </w:tc>
        <w:tc>
          <w:tcPr>
            <w:tcW w:w="841" w:type="pct"/>
            <w:tcMar>
              <w:top w:w="0" w:type="dxa"/>
              <w:left w:w="108" w:type="dxa"/>
              <w:bottom w:w="0" w:type="dxa"/>
              <w:right w:w="108" w:type="dxa"/>
            </w:tcMar>
          </w:tcPr>
          <w:p w14:paraId="129C8A87"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1932" w:type="pct"/>
            <w:tcMar>
              <w:top w:w="0" w:type="dxa"/>
              <w:left w:w="108" w:type="dxa"/>
              <w:bottom w:w="0" w:type="dxa"/>
              <w:right w:w="108" w:type="dxa"/>
            </w:tcMar>
          </w:tcPr>
          <w:p w14:paraId="1A7B1A69" w14:textId="77777777" w:rsidR="0013291D" w:rsidRPr="002F17DC" w:rsidRDefault="0013291D" w:rsidP="00906070">
            <w:pPr>
              <w:spacing w:before="60" w:after="60"/>
              <w:rPr>
                <w:rFonts w:cs="Segoe UI"/>
                <w:sz w:val="18"/>
                <w:szCs w:val="18"/>
                <w:lang w:val="en-GB"/>
              </w:rPr>
            </w:pPr>
            <w:r w:rsidRPr="002F17DC">
              <w:rPr>
                <w:rFonts w:cs="Segoe UI"/>
                <w:sz w:val="18"/>
                <w:szCs w:val="18"/>
              </w:rPr>
              <w:t>0.6250334 x 0</w:t>
            </w:r>
          </w:p>
        </w:tc>
        <w:tc>
          <w:tcPr>
            <w:tcW w:w="913" w:type="pct"/>
            <w:tcMar>
              <w:top w:w="0" w:type="dxa"/>
              <w:left w:w="108" w:type="dxa"/>
              <w:bottom w:w="0" w:type="dxa"/>
              <w:right w:w="108" w:type="dxa"/>
            </w:tcMar>
          </w:tcPr>
          <w:p w14:paraId="7FB0FEEA" w14:textId="77777777" w:rsidR="0013291D" w:rsidRPr="002F17DC" w:rsidRDefault="0013291D">
            <w:pPr>
              <w:spacing w:before="60" w:after="60"/>
              <w:rPr>
                <w:rFonts w:cs="Segoe UI"/>
                <w:sz w:val="18"/>
                <w:szCs w:val="18"/>
                <w:lang w:val="en-GB"/>
              </w:rPr>
            </w:pPr>
            <w:r w:rsidRPr="002F17DC">
              <w:rPr>
                <w:rFonts w:cs="Segoe UI"/>
                <w:sz w:val="18"/>
                <w:szCs w:val="18"/>
                <w:lang w:val="en-GB"/>
              </w:rPr>
              <w:t>0</w:t>
            </w:r>
          </w:p>
        </w:tc>
      </w:tr>
      <w:tr w:rsidR="0013291D" w:rsidRPr="002F17DC" w14:paraId="0B308A2F" w14:textId="77777777" w:rsidTr="00AA021D">
        <w:trPr>
          <w:trHeight w:val="20"/>
        </w:trPr>
        <w:tc>
          <w:tcPr>
            <w:tcW w:w="1313" w:type="pct"/>
            <w:tcMar>
              <w:top w:w="0" w:type="dxa"/>
              <w:left w:w="108" w:type="dxa"/>
              <w:bottom w:w="0" w:type="dxa"/>
              <w:right w:w="108" w:type="dxa"/>
            </w:tcMar>
            <w:hideMark/>
          </w:tcPr>
          <w:p w14:paraId="0C74D10B" w14:textId="77777777" w:rsidR="0013291D" w:rsidRPr="002F17DC" w:rsidRDefault="0013291D" w:rsidP="00906070">
            <w:pPr>
              <w:spacing w:before="60" w:after="60"/>
              <w:rPr>
                <w:rFonts w:cs="Segoe UI"/>
                <w:sz w:val="18"/>
                <w:szCs w:val="18"/>
              </w:rPr>
            </w:pPr>
            <w:r w:rsidRPr="002F17DC">
              <w:rPr>
                <w:rFonts w:cs="Segoe UI"/>
                <w:sz w:val="18"/>
                <w:szCs w:val="18"/>
              </w:rPr>
              <w:t>Diabetes</w:t>
            </w:r>
          </w:p>
        </w:tc>
        <w:tc>
          <w:tcPr>
            <w:tcW w:w="841" w:type="pct"/>
            <w:tcMar>
              <w:top w:w="0" w:type="dxa"/>
              <w:left w:w="108" w:type="dxa"/>
              <w:bottom w:w="0" w:type="dxa"/>
              <w:right w:w="108" w:type="dxa"/>
            </w:tcMar>
          </w:tcPr>
          <w:p w14:paraId="03D2D5AE"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1932" w:type="pct"/>
            <w:tcMar>
              <w:top w:w="0" w:type="dxa"/>
              <w:left w:w="108" w:type="dxa"/>
              <w:bottom w:w="0" w:type="dxa"/>
              <w:right w:w="108" w:type="dxa"/>
            </w:tcMar>
          </w:tcPr>
          <w:p w14:paraId="4A5C19E6" w14:textId="77777777" w:rsidR="0013291D" w:rsidRPr="002F17DC" w:rsidRDefault="0013291D" w:rsidP="00906070">
            <w:pPr>
              <w:spacing w:before="60" w:after="60"/>
              <w:rPr>
                <w:rFonts w:cs="Segoe UI"/>
                <w:sz w:val="18"/>
                <w:szCs w:val="18"/>
              </w:rPr>
            </w:pPr>
            <w:r w:rsidRPr="002F17DC">
              <w:rPr>
                <w:rFonts w:cs="Segoe UI"/>
                <w:sz w:val="18"/>
                <w:szCs w:val="18"/>
              </w:rPr>
              <w:t xml:space="preserve">0.4107586 </w:t>
            </w:r>
            <w:r w:rsidRPr="002F17DC">
              <w:rPr>
                <w:rFonts w:cs="Segoe UI"/>
                <w:sz w:val="18"/>
                <w:szCs w:val="18"/>
                <w:lang w:val="en-GB"/>
              </w:rPr>
              <w:t xml:space="preserve">x 0 </w:t>
            </w:r>
          </w:p>
        </w:tc>
        <w:tc>
          <w:tcPr>
            <w:tcW w:w="913" w:type="pct"/>
            <w:tcMar>
              <w:top w:w="0" w:type="dxa"/>
              <w:left w:w="108" w:type="dxa"/>
              <w:bottom w:w="0" w:type="dxa"/>
              <w:right w:w="108" w:type="dxa"/>
            </w:tcMar>
          </w:tcPr>
          <w:p w14:paraId="4A5A7468"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6973FA18" w14:textId="77777777" w:rsidTr="00AA021D">
        <w:trPr>
          <w:trHeight w:val="20"/>
        </w:trPr>
        <w:tc>
          <w:tcPr>
            <w:tcW w:w="1313" w:type="pct"/>
            <w:tcMar>
              <w:top w:w="0" w:type="dxa"/>
              <w:left w:w="108" w:type="dxa"/>
              <w:bottom w:w="0" w:type="dxa"/>
              <w:right w:w="108" w:type="dxa"/>
            </w:tcMar>
            <w:hideMark/>
          </w:tcPr>
          <w:p w14:paraId="6031DCBA" w14:textId="0688949E" w:rsidR="0013291D" w:rsidRPr="002F17DC" w:rsidRDefault="0013291D" w:rsidP="00906070">
            <w:pPr>
              <w:spacing w:before="60" w:after="60"/>
              <w:rPr>
                <w:rFonts w:cs="Segoe UI"/>
                <w:sz w:val="18"/>
                <w:szCs w:val="18"/>
              </w:rPr>
            </w:pPr>
            <w:r w:rsidRPr="002F17DC">
              <w:rPr>
                <w:rFonts w:cs="Segoe UI"/>
                <w:sz w:val="18"/>
                <w:szCs w:val="18"/>
              </w:rPr>
              <w:t>SBP, mmHg</w:t>
            </w:r>
          </w:p>
        </w:tc>
        <w:tc>
          <w:tcPr>
            <w:tcW w:w="841" w:type="pct"/>
            <w:tcMar>
              <w:top w:w="0" w:type="dxa"/>
              <w:left w:w="108" w:type="dxa"/>
              <w:bottom w:w="0" w:type="dxa"/>
              <w:right w:w="108" w:type="dxa"/>
            </w:tcMar>
          </w:tcPr>
          <w:p w14:paraId="01F1DC29" w14:textId="77777777" w:rsidR="0013291D" w:rsidRPr="002F17DC" w:rsidRDefault="0013291D" w:rsidP="00906070">
            <w:pPr>
              <w:spacing w:before="60" w:after="60"/>
              <w:rPr>
                <w:rFonts w:cs="Segoe UI"/>
                <w:sz w:val="18"/>
                <w:szCs w:val="18"/>
              </w:rPr>
            </w:pPr>
            <w:r w:rsidRPr="002F17DC">
              <w:rPr>
                <w:rFonts w:cs="Segoe UI"/>
                <w:sz w:val="18"/>
                <w:szCs w:val="18"/>
              </w:rPr>
              <w:t>128 mmHg</w:t>
            </w:r>
          </w:p>
        </w:tc>
        <w:tc>
          <w:tcPr>
            <w:tcW w:w="1932" w:type="pct"/>
            <w:tcMar>
              <w:top w:w="0" w:type="dxa"/>
              <w:left w:w="108" w:type="dxa"/>
              <w:bottom w:w="0" w:type="dxa"/>
              <w:right w:w="108" w:type="dxa"/>
            </w:tcMar>
          </w:tcPr>
          <w:p w14:paraId="3697CC2A" w14:textId="77777777" w:rsidR="0013291D" w:rsidRPr="002F17DC" w:rsidRDefault="0013291D" w:rsidP="00906070">
            <w:pPr>
              <w:spacing w:before="60" w:after="60"/>
              <w:rPr>
                <w:rFonts w:cs="Segoe UI"/>
                <w:sz w:val="18"/>
                <w:szCs w:val="18"/>
              </w:rPr>
            </w:pPr>
            <w:r w:rsidRPr="002F17DC">
              <w:rPr>
                <w:rFonts w:cs="Segoe UI"/>
                <w:sz w:val="18"/>
                <w:szCs w:val="18"/>
              </w:rPr>
              <w:t xml:space="preserve">0.0179827 </w:t>
            </w:r>
            <w:r w:rsidRPr="002F17DC">
              <w:rPr>
                <w:rFonts w:cs="Segoe UI"/>
                <w:sz w:val="18"/>
                <w:szCs w:val="18"/>
                <w:lang w:val="en-GB"/>
              </w:rPr>
              <w:t xml:space="preserve">x (128 - </w:t>
            </w:r>
            <w:r w:rsidRPr="002F17DC">
              <w:rPr>
                <w:rFonts w:cs="Segoe UI"/>
                <w:sz w:val="18"/>
                <w:szCs w:val="18"/>
              </w:rPr>
              <w:t>128.8637)</w:t>
            </w:r>
          </w:p>
        </w:tc>
        <w:tc>
          <w:tcPr>
            <w:tcW w:w="913" w:type="pct"/>
            <w:tcMar>
              <w:top w:w="0" w:type="dxa"/>
              <w:left w:w="108" w:type="dxa"/>
              <w:bottom w:w="0" w:type="dxa"/>
              <w:right w:w="108" w:type="dxa"/>
            </w:tcMar>
          </w:tcPr>
          <w:p w14:paraId="788034BC" w14:textId="77777777" w:rsidR="0013291D" w:rsidRPr="002F17DC" w:rsidRDefault="0013291D">
            <w:pPr>
              <w:spacing w:before="60" w:after="60"/>
              <w:rPr>
                <w:rFonts w:cs="Segoe UI"/>
                <w:sz w:val="18"/>
                <w:szCs w:val="18"/>
              </w:rPr>
            </w:pPr>
            <w:r w:rsidRPr="002F17DC">
              <w:rPr>
                <w:rFonts w:cs="Segoe UI"/>
                <w:sz w:val="18"/>
                <w:szCs w:val="18"/>
              </w:rPr>
              <w:t>-0.0155317</w:t>
            </w:r>
          </w:p>
        </w:tc>
      </w:tr>
      <w:tr w:rsidR="0013291D" w:rsidRPr="002F17DC" w14:paraId="16D436A4" w14:textId="77777777" w:rsidTr="00AA021D">
        <w:trPr>
          <w:trHeight w:val="20"/>
        </w:trPr>
        <w:tc>
          <w:tcPr>
            <w:tcW w:w="1313" w:type="pct"/>
            <w:tcMar>
              <w:top w:w="0" w:type="dxa"/>
              <w:left w:w="108" w:type="dxa"/>
              <w:bottom w:w="0" w:type="dxa"/>
              <w:right w:w="108" w:type="dxa"/>
            </w:tcMar>
            <w:hideMark/>
          </w:tcPr>
          <w:p w14:paraId="214E56D8" w14:textId="40BA1BF5" w:rsidR="0013291D" w:rsidRPr="002F17DC" w:rsidRDefault="0013291D" w:rsidP="00906070">
            <w:pPr>
              <w:spacing w:before="60" w:after="60"/>
              <w:rPr>
                <w:rFonts w:cs="Segoe UI"/>
                <w:sz w:val="18"/>
                <w:szCs w:val="18"/>
              </w:rPr>
            </w:pPr>
            <w:proofErr w:type="gramStart"/>
            <w:r w:rsidRPr="002F17DC">
              <w:rPr>
                <w:rFonts w:cs="Segoe UI"/>
                <w:sz w:val="18"/>
                <w:szCs w:val="18"/>
              </w:rPr>
              <w:t>TC:HDL</w:t>
            </w:r>
            <w:proofErr w:type="gramEnd"/>
          </w:p>
        </w:tc>
        <w:tc>
          <w:tcPr>
            <w:tcW w:w="841" w:type="pct"/>
            <w:tcMar>
              <w:top w:w="0" w:type="dxa"/>
              <w:left w:w="108" w:type="dxa"/>
              <w:bottom w:w="0" w:type="dxa"/>
              <w:right w:w="108" w:type="dxa"/>
            </w:tcMar>
          </w:tcPr>
          <w:p w14:paraId="51B3E179" w14:textId="77777777" w:rsidR="0013291D" w:rsidRPr="002F17DC" w:rsidRDefault="0013291D" w:rsidP="00906070">
            <w:pPr>
              <w:spacing w:before="60" w:after="60"/>
              <w:rPr>
                <w:rFonts w:cs="Segoe UI"/>
                <w:sz w:val="18"/>
                <w:szCs w:val="18"/>
              </w:rPr>
            </w:pPr>
            <w:r w:rsidRPr="002F17DC">
              <w:rPr>
                <w:rFonts w:cs="Segoe UI"/>
                <w:sz w:val="18"/>
                <w:szCs w:val="18"/>
              </w:rPr>
              <w:t>4 units</w:t>
            </w:r>
          </w:p>
        </w:tc>
        <w:tc>
          <w:tcPr>
            <w:tcW w:w="1932" w:type="pct"/>
            <w:tcMar>
              <w:top w:w="0" w:type="dxa"/>
              <w:left w:w="108" w:type="dxa"/>
              <w:bottom w:w="0" w:type="dxa"/>
              <w:right w:w="108" w:type="dxa"/>
            </w:tcMar>
          </w:tcPr>
          <w:p w14:paraId="7CDDBBDD" w14:textId="77777777" w:rsidR="0013291D" w:rsidRPr="002F17DC" w:rsidRDefault="0013291D" w:rsidP="00906070">
            <w:pPr>
              <w:spacing w:before="60" w:after="60"/>
              <w:rPr>
                <w:rFonts w:cs="Segoe UI"/>
                <w:sz w:val="18"/>
                <w:szCs w:val="18"/>
              </w:rPr>
            </w:pPr>
            <w:r w:rsidRPr="002F17DC">
              <w:rPr>
                <w:rFonts w:cs="Segoe UI"/>
                <w:sz w:val="18"/>
                <w:szCs w:val="18"/>
              </w:rPr>
              <w:t xml:space="preserve">0.1296756 </w:t>
            </w:r>
            <w:r w:rsidRPr="002F17DC">
              <w:rPr>
                <w:rFonts w:cs="Segoe UI"/>
                <w:sz w:val="18"/>
                <w:szCs w:val="18"/>
                <w:lang w:val="en-GB"/>
              </w:rPr>
              <w:t xml:space="preserve">x (4 - </w:t>
            </w:r>
            <w:r w:rsidRPr="002F17DC">
              <w:rPr>
                <w:rFonts w:cs="Segoe UI"/>
                <w:sz w:val="18"/>
                <w:szCs w:val="18"/>
              </w:rPr>
              <w:t>4.385853)</w:t>
            </w:r>
          </w:p>
        </w:tc>
        <w:tc>
          <w:tcPr>
            <w:tcW w:w="913" w:type="pct"/>
            <w:tcMar>
              <w:top w:w="0" w:type="dxa"/>
              <w:left w:w="108" w:type="dxa"/>
              <w:bottom w:w="0" w:type="dxa"/>
              <w:right w:w="108" w:type="dxa"/>
            </w:tcMar>
          </w:tcPr>
          <w:p w14:paraId="617D167A" w14:textId="77777777" w:rsidR="0013291D" w:rsidRPr="002F17DC" w:rsidRDefault="0013291D">
            <w:pPr>
              <w:spacing w:before="60" w:after="60"/>
              <w:rPr>
                <w:rFonts w:cs="Segoe UI"/>
                <w:sz w:val="18"/>
                <w:szCs w:val="18"/>
              </w:rPr>
            </w:pPr>
            <w:r w:rsidRPr="002F17DC">
              <w:rPr>
                <w:rFonts w:cs="Segoe UI"/>
                <w:sz w:val="18"/>
                <w:szCs w:val="18"/>
              </w:rPr>
              <w:t>-0.0500357</w:t>
            </w:r>
          </w:p>
        </w:tc>
      </w:tr>
      <w:tr w:rsidR="0013291D" w:rsidRPr="002F17DC" w14:paraId="1D9AF879" w14:textId="77777777" w:rsidTr="00AA021D">
        <w:trPr>
          <w:trHeight w:val="20"/>
        </w:trPr>
        <w:tc>
          <w:tcPr>
            <w:tcW w:w="1313" w:type="pct"/>
            <w:tcMar>
              <w:top w:w="0" w:type="dxa"/>
              <w:left w:w="108" w:type="dxa"/>
              <w:bottom w:w="0" w:type="dxa"/>
              <w:right w:w="108" w:type="dxa"/>
            </w:tcMar>
          </w:tcPr>
          <w:p w14:paraId="4B221CB3" w14:textId="22E8E2AE" w:rsidR="0013291D" w:rsidRPr="002F17DC" w:rsidRDefault="0013291D" w:rsidP="00906070">
            <w:pPr>
              <w:spacing w:before="60" w:after="60"/>
              <w:rPr>
                <w:rFonts w:cs="Segoe UI"/>
                <w:sz w:val="18"/>
                <w:szCs w:val="18"/>
              </w:rPr>
            </w:pPr>
            <w:r w:rsidRPr="002F17DC">
              <w:rPr>
                <w:rFonts w:cs="Segoe UI"/>
                <w:sz w:val="18"/>
                <w:szCs w:val="18"/>
              </w:rPr>
              <w:t>BMI &lt;</w:t>
            </w:r>
            <w:r w:rsidR="003C1A76">
              <w:rPr>
                <w:rFonts w:cs="Segoe UI"/>
                <w:sz w:val="18"/>
                <w:szCs w:val="18"/>
              </w:rPr>
              <w:t xml:space="preserve"> </w:t>
            </w:r>
            <w:r w:rsidRPr="002F17DC">
              <w:rPr>
                <w:rFonts w:cs="Segoe UI"/>
                <w:sz w:val="18"/>
                <w:szCs w:val="18"/>
              </w:rPr>
              <w:t>18.5 kg/m</w:t>
            </w:r>
            <w:r w:rsidRPr="002F17DC">
              <w:rPr>
                <w:rFonts w:cs="Segoe UI"/>
                <w:sz w:val="18"/>
                <w:szCs w:val="18"/>
                <w:vertAlign w:val="superscript"/>
              </w:rPr>
              <w:t>2</w:t>
            </w:r>
          </w:p>
        </w:tc>
        <w:tc>
          <w:tcPr>
            <w:tcW w:w="841" w:type="pct"/>
            <w:tcMar>
              <w:top w:w="0" w:type="dxa"/>
              <w:left w:w="108" w:type="dxa"/>
              <w:bottom w:w="0" w:type="dxa"/>
              <w:right w:w="108" w:type="dxa"/>
            </w:tcMar>
          </w:tcPr>
          <w:p w14:paraId="6DE0FF51"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6BAFB4A5" w14:textId="77777777" w:rsidR="0013291D" w:rsidRPr="002F17DC" w:rsidRDefault="0013291D" w:rsidP="00906070">
            <w:pPr>
              <w:spacing w:before="60" w:after="60"/>
              <w:rPr>
                <w:rFonts w:cs="Segoe UI"/>
                <w:sz w:val="18"/>
                <w:szCs w:val="18"/>
              </w:rPr>
            </w:pPr>
            <w:r w:rsidRPr="002F17DC">
              <w:rPr>
                <w:rFonts w:cs="Segoe UI"/>
                <w:sz w:val="18"/>
                <w:szCs w:val="18"/>
              </w:rPr>
              <w:t>0. 5488212 x 0</w:t>
            </w:r>
          </w:p>
        </w:tc>
        <w:tc>
          <w:tcPr>
            <w:tcW w:w="913" w:type="pct"/>
            <w:tcMar>
              <w:top w:w="0" w:type="dxa"/>
              <w:left w:w="108" w:type="dxa"/>
              <w:bottom w:w="0" w:type="dxa"/>
              <w:right w:w="108" w:type="dxa"/>
            </w:tcMar>
          </w:tcPr>
          <w:p w14:paraId="4EB1FF46"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73348546" w14:textId="77777777" w:rsidTr="00AA021D">
        <w:trPr>
          <w:trHeight w:val="20"/>
        </w:trPr>
        <w:tc>
          <w:tcPr>
            <w:tcW w:w="1313" w:type="pct"/>
            <w:tcMar>
              <w:top w:w="0" w:type="dxa"/>
              <w:left w:w="108" w:type="dxa"/>
              <w:bottom w:w="0" w:type="dxa"/>
              <w:right w:w="108" w:type="dxa"/>
            </w:tcMar>
          </w:tcPr>
          <w:p w14:paraId="5D3AFDD7" w14:textId="77777777" w:rsidR="0013291D" w:rsidRPr="002F17DC" w:rsidRDefault="0013291D" w:rsidP="00906070">
            <w:pPr>
              <w:spacing w:before="60" w:after="60"/>
              <w:rPr>
                <w:rFonts w:cs="Segoe UI"/>
                <w:sz w:val="18"/>
                <w:szCs w:val="18"/>
              </w:rPr>
            </w:pPr>
            <w:r w:rsidRPr="002F17DC">
              <w:rPr>
                <w:rFonts w:cs="Segoe UI"/>
                <w:sz w:val="18"/>
                <w:szCs w:val="18"/>
              </w:rPr>
              <w:t>BMI 25.0–29.9 kg/m</w:t>
            </w:r>
            <w:r w:rsidRPr="002F17DC">
              <w:rPr>
                <w:rFonts w:cs="Segoe UI"/>
                <w:sz w:val="18"/>
                <w:szCs w:val="18"/>
                <w:vertAlign w:val="superscript"/>
              </w:rPr>
              <w:t>2</w:t>
            </w:r>
          </w:p>
        </w:tc>
        <w:tc>
          <w:tcPr>
            <w:tcW w:w="841" w:type="pct"/>
            <w:tcMar>
              <w:top w:w="0" w:type="dxa"/>
              <w:left w:w="108" w:type="dxa"/>
              <w:bottom w:w="0" w:type="dxa"/>
              <w:right w:w="108" w:type="dxa"/>
            </w:tcMar>
          </w:tcPr>
          <w:p w14:paraId="31718215"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6A98332C" w14:textId="77777777" w:rsidR="0013291D" w:rsidRPr="002F17DC" w:rsidRDefault="0013291D" w:rsidP="00906070">
            <w:pPr>
              <w:spacing w:before="60" w:after="60"/>
              <w:rPr>
                <w:rFonts w:cs="Segoe UI"/>
                <w:sz w:val="18"/>
                <w:szCs w:val="18"/>
              </w:rPr>
            </w:pPr>
            <w:r w:rsidRPr="002F17DC">
              <w:rPr>
                <w:rFonts w:cs="Segoe UI"/>
                <w:sz w:val="18"/>
                <w:szCs w:val="18"/>
              </w:rPr>
              <w:t>-0.033177 x 0</w:t>
            </w:r>
          </w:p>
        </w:tc>
        <w:tc>
          <w:tcPr>
            <w:tcW w:w="913" w:type="pct"/>
            <w:tcMar>
              <w:top w:w="0" w:type="dxa"/>
              <w:left w:w="108" w:type="dxa"/>
              <w:bottom w:w="0" w:type="dxa"/>
              <w:right w:w="108" w:type="dxa"/>
            </w:tcMar>
          </w:tcPr>
          <w:p w14:paraId="6BF00D20"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3B87DC27" w14:textId="77777777" w:rsidTr="00AA021D">
        <w:trPr>
          <w:trHeight w:val="20"/>
        </w:trPr>
        <w:tc>
          <w:tcPr>
            <w:tcW w:w="1313" w:type="pct"/>
            <w:tcMar>
              <w:top w:w="0" w:type="dxa"/>
              <w:left w:w="108" w:type="dxa"/>
              <w:bottom w:w="0" w:type="dxa"/>
              <w:right w:w="108" w:type="dxa"/>
            </w:tcMar>
          </w:tcPr>
          <w:p w14:paraId="40E9C9FD" w14:textId="77777777" w:rsidR="0013291D" w:rsidRPr="002F17DC" w:rsidRDefault="0013291D" w:rsidP="00906070">
            <w:pPr>
              <w:spacing w:before="60" w:after="60"/>
              <w:rPr>
                <w:rFonts w:cs="Segoe UI"/>
                <w:sz w:val="18"/>
                <w:szCs w:val="18"/>
              </w:rPr>
            </w:pPr>
            <w:r w:rsidRPr="002F17DC">
              <w:rPr>
                <w:rFonts w:cs="Segoe UI"/>
                <w:sz w:val="18"/>
                <w:szCs w:val="18"/>
              </w:rPr>
              <w:t>BMI 30.0–34.9 kg/m</w:t>
            </w:r>
            <w:r w:rsidRPr="002F17DC">
              <w:rPr>
                <w:rFonts w:cs="Segoe UI"/>
                <w:sz w:val="18"/>
                <w:szCs w:val="18"/>
                <w:vertAlign w:val="superscript"/>
              </w:rPr>
              <w:t>2</w:t>
            </w:r>
          </w:p>
        </w:tc>
        <w:tc>
          <w:tcPr>
            <w:tcW w:w="841" w:type="pct"/>
            <w:tcMar>
              <w:top w:w="0" w:type="dxa"/>
              <w:left w:w="108" w:type="dxa"/>
              <w:bottom w:w="0" w:type="dxa"/>
              <w:right w:w="108" w:type="dxa"/>
            </w:tcMar>
          </w:tcPr>
          <w:p w14:paraId="0AC89EB9"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4D7DD215" w14:textId="77777777" w:rsidR="0013291D" w:rsidRPr="002F17DC" w:rsidRDefault="0013291D" w:rsidP="00906070">
            <w:pPr>
              <w:spacing w:before="60" w:after="60"/>
              <w:rPr>
                <w:rFonts w:cs="Segoe UI"/>
                <w:sz w:val="18"/>
                <w:szCs w:val="18"/>
              </w:rPr>
            </w:pPr>
            <w:r w:rsidRPr="002F17DC">
              <w:rPr>
                <w:rFonts w:cs="Segoe UI"/>
                <w:sz w:val="18"/>
                <w:szCs w:val="18"/>
              </w:rPr>
              <w:t xml:space="preserve">-0.0025986 </w:t>
            </w:r>
            <w:r w:rsidRPr="002F17DC">
              <w:rPr>
                <w:rFonts w:cs="Segoe UI"/>
                <w:sz w:val="18"/>
                <w:szCs w:val="18"/>
                <w:lang w:val="en-GB"/>
              </w:rPr>
              <w:t>x 0</w:t>
            </w:r>
          </w:p>
        </w:tc>
        <w:tc>
          <w:tcPr>
            <w:tcW w:w="913" w:type="pct"/>
            <w:tcMar>
              <w:top w:w="0" w:type="dxa"/>
              <w:left w:w="108" w:type="dxa"/>
              <w:bottom w:w="0" w:type="dxa"/>
              <w:right w:w="108" w:type="dxa"/>
            </w:tcMar>
          </w:tcPr>
          <w:p w14:paraId="6EF15647"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49460102" w14:textId="77777777" w:rsidTr="00AA021D">
        <w:trPr>
          <w:trHeight w:val="20"/>
        </w:trPr>
        <w:tc>
          <w:tcPr>
            <w:tcW w:w="1313" w:type="pct"/>
            <w:tcMar>
              <w:top w:w="0" w:type="dxa"/>
              <w:left w:w="108" w:type="dxa"/>
              <w:bottom w:w="0" w:type="dxa"/>
              <w:right w:w="108" w:type="dxa"/>
            </w:tcMar>
          </w:tcPr>
          <w:p w14:paraId="66158F78" w14:textId="77777777" w:rsidR="0013291D" w:rsidRPr="002F17DC" w:rsidRDefault="0013291D" w:rsidP="00906070">
            <w:pPr>
              <w:spacing w:before="60" w:after="60"/>
              <w:rPr>
                <w:rFonts w:cs="Segoe UI"/>
                <w:sz w:val="18"/>
                <w:szCs w:val="18"/>
              </w:rPr>
            </w:pPr>
            <w:r w:rsidRPr="002F17DC">
              <w:rPr>
                <w:rFonts w:cs="Segoe UI"/>
                <w:sz w:val="18"/>
                <w:szCs w:val="18"/>
              </w:rPr>
              <w:t>BMI 35.0–39.9 kg/m</w:t>
            </w:r>
            <w:r w:rsidRPr="002F17DC">
              <w:rPr>
                <w:rFonts w:cs="Segoe UI"/>
                <w:sz w:val="18"/>
                <w:szCs w:val="18"/>
                <w:vertAlign w:val="superscript"/>
              </w:rPr>
              <w:t>2</w:t>
            </w:r>
          </w:p>
        </w:tc>
        <w:tc>
          <w:tcPr>
            <w:tcW w:w="841" w:type="pct"/>
            <w:tcMar>
              <w:top w:w="0" w:type="dxa"/>
              <w:left w:w="108" w:type="dxa"/>
              <w:bottom w:w="0" w:type="dxa"/>
              <w:right w:w="108" w:type="dxa"/>
            </w:tcMar>
          </w:tcPr>
          <w:p w14:paraId="4E96D7A8"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0BDC1A4E" w14:textId="77777777" w:rsidR="0013291D" w:rsidRPr="002F17DC" w:rsidRDefault="0013291D" w:rsidP="00906070">
            <w:pPr>
              <w:spacing w:before="60" w:after="60"/>
              <w:rPr>
                <w:rFonts w:cs="Segoe UI"/>
                <w:sz w:val="18"/>
                <w:szCs w:val="18"/>
              </w:rPr>
            </w:pPr>
            <w:r w:rsidRPr="002F17DC">
              <w:rPr>
                <w:rFonts w:cs="Segoe UI"/>
                <w:sz w:val="18"/>
                <w:szCs w:val="18"/>
              </w:rPr>
              <w:t>0. 1202739 x 0</w:t>
            </w:r>
          </w:p>
        </w:tc>
        <w:tc>
          <w:tcPr>
            <w:tcW w:w="913" w:type="pct"/>
            <w:tcMar>
              <w:top w:w="0" w:type="dxa"/>
              <w:left w:w="108" w:type="dxa"/>
              <w:bottom w:w="0" w:type="dxa"/>
              <w:right w:w="108" w:type="dxa"/>
            </w:tcMar>
          </w:tcPr>
          <w:p w14:paraId="15E9E6C0"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4AF0902A" w14:textId="77777777" w:rsidTr="00AA021D">
        <w:trPr>
          <w:trHeight w:val="20"/>
        </w:trPr>
        <w:tc>
          <w:tcPr>
            <w:tcW w:w="1313" w:type="pct"/>
            <w:tcMar>
              <w:top w:w="0" w:type="dxa"/>
              <w:left w:w="108" w:type="dxa"/>
              <w:bottom w:w="0" w:type="dxa"/>
              <w:right w:w="108" w:type="dxa"/>
            </w:tcMar>
          </w:tcPr>
          <w:p w14:paraId="1DA1787B" w14:textId="77777777" w:rsidR="0013291D" w:rsidRPr="002F17DC" w:rsidRDefault="0013291D" w:rsidP="00906070">
            <w:pPr>
              <w:spacing w:before="60" w:after="60"/>
              <w:rPr>
                <w:rFonts w:cs="Segoe UI"/>
                <w:sz w:val="18"/>
                <w:szCs w:val="18"/>
              </w:rPr>
            </w:pPr>
            <w:r w:rsidRPr="002F17DC">
              <w:rPr>
                <w:rFonts w:cs="Segoe UI"/>
                <w:sz w:val="18"/>
                <w:szCs w:val="18"/>
              </w:rPr>
              <w:t>BMI 40.0+ kg/m</w:t>
            </w:r>
            <w:r w:rsidRPr="002F17DC">
              <w:rPr>
                <w:rFonts w:cs="Segoe UI"/>
                <w:sz w:val="18"/>
                <w:szCs w:val="18"/>
                <w:vertAlign w:val="superscript"/>
              </w:rPr>
              <w:t>2</w:t>
            </w:r>
          </w:p>
        </w:tc>
        <w:tc>
          <w:tcPr>
            <w:tcW w:w="841" w:type="pct"/>
            <w:tcMar>
              <w:top w:w="0" w:type="dxa"/>
              <w:left w:w="108" w:type="dxa"/>
              <w:bottom w:w="0" w:type="dxa"/>
              <w:right w:w="108" w:type="dxa"/>
            </w:tcMar>
          </w:tcPr>
          <w:p w14:paraId="1540AEE8"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6D82B76C" w14:textId="77777777" w:rsidR="0013291D" w:rsidRPr="002F17DC" w:rsidRDefault="0013291D" w:rsidP="00906070">
            <w:pPr>
              <w:spacing w:before="60" w:after="60"/>
              <w:rPr>
                <w:rFonts w:cs="Segoe UI"/>
                <w:sz w:val="18"/>
                <w:szCs w:val="18"/>
              </w:rPr>
            </w:pPr>
            <w:r w:rsidRPr="002F17DC">
              <w:rPr>
                <w:rFonts w:cs="Segoe UI"/>
                <w:sz w:val="18"/>
                <w:szCs w:val="18"/>
              </w:rPr>
              <w:t>0. 799261 x 0</w:t>
            </w:r>
          </w:p>
        </w:tc>
        <w:tc>
          <w:tcPr>
            <w:tcW w:w="913" w:type="pct"/>
            <w:tcMar>
              <w:top w:w="0" w:type="dxa"/>
              <w:left w:w="108" w:type="dxa"/>
              <w:bottom w:w="0" w:type="dxa"/>
              <w:right w:w="108" w:type="dxa"/>
            </w:tcMar>
          </w:tcPr>
          <w:p w14:paraId="4AC38C77"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382C47A8" w14:textId="77777777" w:rsidTr="00AA021D">
        <w:trPr>
          <w:trHeight w:val="20"/>
        </w:trPr>
        <w:tc>
          <w:tcPr>
            <w:tcW w:w="1313" w:type="pct"/>
            <w:tcMar>
              <w:top w:w="0" w:type="dxa"/>
              <w:left w:w="108" w:type="dxa"/>
              <w:bottom w:w="0" w:type="dxa"/>
              <w:right w:w="108" w:type="dxa"/>
            </w:tcMar>
          </w:tcPr>
          <w:p w14:paraId="09D77A6C" w14:textId="77777777" w:rsidR="0013291D" w:rsidRPr="002F17DC" w:rsidRDefault="0013291D" w:rsidP="00906070">
            <w:pPr>
              <w:spacing w:before="60" w:after="60"/>
              <w:rPr>
                <w:rFonts w:cs="Segoe UI"/>
                <w:sz w:val="18"/>
                <w:szCs w:val="18"/>
              </w:rPr>
            </w:pPr>
            <w:r w:rsidRPr="002F17DC">
              <w:rPr>
                <w:rFonts w:cs="Segoe UI"/>
                <w:sz w:val="18"/>
                <w:szCs w:val="18"/>
              </w:rPr>
              <w:t>BMI unknown</w:t>
            </w:r>
          </w:p>
        </w:tc>
        <w:tc>
          <w:tcPr>
            <w:tcW w:w="841" w:type="pct"/>
            <w:tcMar>
              <w:top w:w="0" w:type="dxa"/>
              <w:left w:w="108" w:type="dxa"/>
              <w:bottom w:w="0" w:type="dxa"/>
              <w:right w:w="108" w:type="dxa"/>
            </w:tcMar>
          </w:tcPr>
          <w:p w14:paraId="11A150BE" w14:textId="77777777" w:rsidR="0013291D" w:rsidRPr="002F17DC" w:rsidRDefault="0013291D" w:rsidP="00906070">
            <w:pPr>
              <w:spacing w:before="60" w:after="60"/>
              <w:rPr>
                <w:rFonts w:cs="Segoe UI"/>
                <w:sz w:val="18"/>
                <w:szCs w:val="18"/>
              </w:rPr>
            </w:pPr>
          </w:p>
        </w:tc>
        <w:tc>
          <w:tcPr>
            <w:tcW w:w="1932" w:type="pct"/>
            <w:tcMar>
              <w:top w:w="0" w:type="dxa"/>
              <w:left w:w="108" w:type="dxa"/>
              <w:bottom w:w="0" w:type="dxa"/>
              <w:right w:w="108" w:type="dxa"/>
            </w:tcMar>
          </w:tcPr>
          <w:p w14:paraId="74A34B7B" w14:textId="77777777" w:rsidR="0013291D" w:rsidRPr="002F17DC" w:rsidRDefault="0013291D" w:rsidP="00906070">
            <w:pPr>
              <w:spacing w:before="60" w:after="60"/>
              <w:rPr>
                <w:rFonts w:cs="Segoe UI"/>
                <w:sz w:val="18"/>
                <w:szCs w:val="18"/>
              </w:rPr>
            </w:pPr>
            <w:r w:rsidRPr="002F17DC">
              <w:rPr>
                <w:rFonts w:cs="Segoe UI"/>
                <w:sz w:val="18"/>
                <w:szCs w:val="18"/>
              </w:rPr>
              <w:t>-0.073928 x 0</w:t>
            </w:r>
          </w:p>
        </w:tc>
        <w:tc>
          <w:tcPr>
            <w:tcW w:w="913" w:type="pct"/>
            <w:tcMar>
              <w:top w:w="0" w:type="dxa"/>
              <w:left w:w="108" w:type="dxa"/>
              <w:bottom w:w="0" w:type="dxa"/>
              <w:right w:w="108" w:type="dxa"/>
            </w:tcMar>
          </w:tcPr>
          <w:p w14:paraId="3793B24F"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0AFFB8AC" w14:textId="77777777" w:rsidTr="00AA021D">
        <w:trPr>
          <w:trHeight w:val="20"/>
        </w:trPr>
        <w:tc>
          <w:tcPr>
            <w:tcW w:w="1313" w:type="pct"/>
            <w:tcMar>
              <w:top w:w="0" w:type="dxa"/>
              <w:left w:w="108" w:type="dxa"/>
              <w:bottom w:w="0" w:type="dxa"/>
              <w:right w:w="108" w:type="dxa"/>
            </w:tcMar>
          </w:tcPr>
          <w:p w14:paraId="15C5D266" w14:textId="77777777" w:rsidR="0013291D" w:rsidRPr="002F17DC" w:rsidRDefault="0013291D" w:rsidP="00906070">
            <w:pPr>
              <w:spacing w:before="60" w:after="60"/>
              <w:rPr>
                <w:rFonts w:cs="Segoe UI"/>
                <w:sz w:val="18"/>
                <w:szCs w:val="18"/>
              </w:rPr>
            </w:pPr>
            <w:r w:rsidRPr="002F17DC">
              <w:rPr>
                <w:rFonts w:cs="Segoe UI"/>
                <w:sz w:val="18"/>
                <w:szCs w:val="18"/>
              </w:rPr>
              <w:t xml:space="preserve">BP lowering </w:t>
            </w:r>
            <w:proofErr w:type="spellStart"/>
            <w:r w:rsidRPr="002F17DC">
              <w:rPr>
                <w:rFonts w:cs="Segoe UI"/>
                <w:sz w:val="18"/>
                <w:szCs w:val="18"/>
              </w:rPr>
              <w:t>med</w:t>
            </w:r>
            <w:r w:rsidRPr="002F17DC">
              <w:rPr>
                <w:rFonts w:cs="Segoe UI"/>
                <w:sz w:val="18"/>
                <w:szCs w:val="18"/>
                <w:vertAlign w:val="superscript"/>
              </w:rPr>
              <w:t>n</w:t>
            </w:r>
            <w:proofErr w:type="spellEnd"/>
          </w:p>
        </w:tc>
        <w:tc>
          <w:tcPr>
            <w:tcW w:w="841" w:type="pct"/>
            <w:tcMar>
              <w:top w:w="0" w:type="dxa"/>
              <w:left w:w="108" w:type="dxa"/>
              <w:bottom w:w="0" w:type="dxa"/>
              <w:right w:w="108" w:type="dxa"/>
            </w:tcMar>
          </w:tcPr>
          <w:p w14:paraId="6E65DD32"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1932" w:type="pct"/>
            <w:tcMar>
              <w:top w:w="0" w:type="dxa"/>
              <w:left w:w="108" w:type="dxa"/>
              <w:bottom w:w="0" w:type="dxa"/>
              <w:right w:w="108" w:type="dxa"/>
            </w:tcMar>
          </w:tcPr>
          <w:p w14:paraId="54E3BE60" w14:textId="77777777" w:rsidR="0013291D" w:rsidRPr="002F17DC" w:rsidRDefault="0013291D" w:rsidP="00906070">
            <w:pPr>
              <w:spacing w:before="60" w:after="60"/>
              <w:rPr>
                <w:rFonts w:cs="Segoe UI"/>
                <w:sz w:val="18"/>
                <w:szCs w:val="18"/>
              </w:rPr>
            </w:pPr>
            <w:r w:rsidRPr="002F17DC">
              <w:rPr>
                <w:rFonts w:cs="Segoe UI"/>
                <w:sz w:val="18"/>
                <w:szCs w:val="18"/>
              </w:rPr>
              <w:t xml:space="preserve">0.2847596 </w:t>
            </w:r>
            <w:r w:rsidRPr="002F17DC">
              <w:rPr>
                <w:rFonts w:cs="Segoe UI"/>
                <w:sz w:val="18"/>
                <w:szCs w:val="18"/>
                <w:lang w:val="en-GB"/>
              </w:rPr>
              <w:t>x 0</w:t>
            </w:r>
          </w:p>
        </w:tc>
        <w:tc>
          <w:tcPr>
            <w:tcW w:w="913" w:type="pct"/>
            <w:tcMar>
              <w:top w:w="0" w:type="dxa"/>
              <w:left w:w="108" w:type="dxa"/>
              <w:bottom w:w="0" w:type="dxa"/>
              <w:right w:w="108" w:type="dxa"/>
            </w:tcMar>
          </w:tcPr>
          <w:p w14:paraId="400B426A"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12B46BBA" w14:textId="77777777" w:rsidTr="00AA021D">
        <w:trPr>
          <w:trHeight w:val="20"/>
        </w:trPr>
        <w:tc>
          <w:tcPr>
            <w:tcW w:w="1313" w:type="pct"/>
            <w:tcMar>
              <w:top w:w="0" w:type="dxa"/>
              <w:left w:w="108" w:type="dxa"/>
              <w:bottom w:w="0" w:type="dxa"/>
              <w:right w:w="108" w:type="dxa"/>
            </w:tcMar>
          </w:tcPr>
          <w:p w14:paraId="0F5C6200" w14:textId="77777777" w:rsidR="0013291D" w:rsidRPr="002F17DC" w:rsidRDefault="0013291D" w:rsidP="00906070">
            <w:pPr>
              <w:spacing w:before="60" w:after="60"/>
              <w:rPr>
                <w:rFonts w:cs="Segoe UI"/>
                <w:sz w:val="18"/>
                <w:szCs w:val="18"/>
              </w:rPr>
            </w:pPr>
            <w:r w:rsidRPr="002F17DC">
              <w:rPr>
                <w:rFonts w:cs="Segoe UI"/>
                <w:sz w:val="18"/>
                <w:szCs w:val="18"/>
              </w:rPr>
              <w:t xml:space="preserve">Lipid lowering </w:t>
            </w:r>
            <w:proofErr w:type="spellStart"/>
            <w:r w:rsidRPr="002F17DC">
              <w:rPr>
                <w:rFonts w:cs="Segoe UI"/>
                <w:sz w:val="18"/>
                <w:szCs w:val="18"/>
              </w:rPr>
              <w:t>med</w:t>
            </w:r>
            <w:r w:rsidRPr="002F17DC">
              <w:rPr>
                <w:rFonts w:cs="Segoe UI"/>
                <w:sz w:val="18"/>
                <w:szCs w:val="18"/>
                <w:vertAlign w:val="superscript"/>
              </w:rPr>
              <w:t>n</w:t>
            </w:r>
            <w:proofErr w:type="spellEnd"/>
          </w:p>
        </w:tc>
        <w:tc>
          <w:tcPr>
            <w:tcW w:w="841" w:type="pct"/>
            <w:tcMar>
              <w:top w:w="0" w:type="dxa"/>
              <w:left w:w="108" w:type="dxa"/>
              <w:bottom w:w="0" w:type="dxa"/>
              <w:right w:w="108" w:type="dxa"/>
            </w:tcMar>
          </w:tcPr>
          <w:p w14:paraId="313A09A0"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1932" w:type="pct"/>
            <w:tcMar>
              <w:top w:w="0" w:type="dxa"/>
              <w:left w:w="108" w:type="dxa"/>
              <w:bottom w:w="0" w:type="dxa"/>
              <w:right w:w="108" w:type="dxa"/>
            </w:tcMar>
          </w:tcPr>
          <w:p w14:paraId="1A9010CD" w14:textId="77777777" w:rsidR="0013291D" w:rsidRPr="002F17DC" w:rsidRDefault="0013291D" w:rsidP="00906070">
            <w:pPr>
              <w:spacing w:before="60" w:after="60"/>
              <w:rPr>
                <w:rFonts w:cs="Segoe UI"/>
                <w:sz w:val="18"/>
                <w:szCs w:val="18"/>
              </w:rPr>
            </w:pPr>
            <w:r w:rsidRPr="002F17DC">
              <w:rPr>
                <w:rFonts w:cs="Segoe UI"/>
                <w:sz w:val="18"/>
                <w:szCs w:val="18"/>
              </w:rPr>
              <w:t>-0. 0256429 x 0</w:t>
            </w:r>
          </w:p>
        </w:tc>
        <w:tc>
          <w:tcPr>
            <w:tcW w:w="913" w:type="pct"/>
            <w:tcMar>
              <w:top w:w="0" w:type="dxa"/>
              <w:left w:w="108" w:type="dxa"/>
              <w:bottom w:w="0" w:type="dxa"/>
              <w:right w:w="108" w:type="dxa"/>
            </w:tcMar>
          </w:tcPr>
          <w:p w14:paraId="23E13B80"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6F0C07CC" w14:textId="77777777" w:rsidTr="00AA021D">
        <w:trPr>
          <w:trHeight w:val="20"/>
        </w:trPr>
        <w:tc>
          <w:tcPr>
            <w:tcW w:w="1313" w:type="pct"/>
            <w:tcMar>
              <w:top w:w="0" w:type="dxa"/>
              <w:left w:w="108" w:type="dxa"/>
              <w:bottom w:w="0" w:type="dxa"/>
              <w:right w:w="108" w:type="dxa"/>
            </w:tcMar>
          </w:tcPr>
          <w:p w14:paraId="2E958A53" w14:textId="77777777" w:rsidR="0013291D" w:rsidRPr="002F17DC" w:rsidRDefault="0013291D" w:rsidP="00906070">
            <w:pPr>
              <w:spacing w:before="60" w:after="60"/>
              <w:rPr>
                <w:rFonts w:cs="Segoe UI"/>
                <w:sz w:val="18"/>
                <w:szCs w:val="18"/>
              </w:rPr>
            </w:pPr>
            <w:r w:rsidRPr="002F17DC">
              <w:rPr>
                <w:rFonts w:cs="Segoe UI"/>
                <w:sz w:val="18"/>
                <w:szCs w:val="18"/>
              </w:rPr>
              <w:t>Antiplatelet or anticoagulant</w:t>
            </w:r>
          </w:p>
        </w:tc>
        <w:tc>
          <w:tcPr>
            <w:tcW w:w="841" w:type="pct"/>
            <w:tcMar>
              <w:top w:w="0" w:type="dxa"/>
              <w:left w:w="108" w:type="dxa"/>
              <w:bottom w:w="0" w:type="dxa"/>
              <w:right w:w="108" w:type="dxa"/>
            </w:tcMar>
          </w:tcPr>
          <w:p w14:paraId="226FF8DF"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1932" w:type="pct"/>
            <w:tcMar>
              <w:top w:w="0" w:type="dxa"/>
              <w:left w:w="108" w:type="dxa"/>
              <w:bottom w:w="0" w:type="dxa"/>
              <w:right w:w="108" w:type="dxa"/>
            </w:tcMar>
          </w:tcPr>
          <w:p w14:paraId="3CAB5788" w14:textId="77777777" w:rsidR="0013291D" w:rsidRPr="002F17DC" w:rsidRDefault="0013291D" w:rsidP="00906070">
            <w:pPr>
              <w:spacing w:before="60" w:after="60"/>
              <w:rPr>
                <w:rFonts w:cs="Segoe UI"/>
                <w:sz w:val="18"/>
                <w:szCs w:val="18"/>
              </w:rPr>
            </w:pPr>
            <w:r w:rsidRPr="002F17DC">
              <w:rPr>
                <w:rFonts w:cs="Segoe UI"/>
                <w:sz w:val="18"/>
                <w:szCs w:val="18"/>
              </w:rPr>
              <w:t>0. 0701999 x 0</w:t>
            </w:r>
          </w:p>
        </w:tc>
        <w:tc>
          <w:tcPr>
            <w:tcW w:w="913" w:type="pct"/>
            <w:tcMar>
              <w:top w:w="0" w:type="dxa"/>
              <w:left w:w="108" w:type="dxa"/>
              <w:bottom w:w="0" w:type="dxa"/>
              <w:right w:w="108" w:type="dxa"/>
            </w:tcMar>
          </w:tcPr>
          <w:p w14:paraId="1449D20D"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1ECF3540" w14:textId="77777777" w:rsidTr="00AA021D">
        <w:trPr>
          <w:trHeight w:val="20"/>
        </w:trPr>
        <w:tc>
          <w:tcPr>
            <w:tcW w:w="1313" w:type="pct"/>
            <w:tcMar>
              <w:top w:w="0" w:type="dxa"/>
              <w:left w:w="108" w:type="dxa"/>
              <w:bottom w:w="0" w:type="dxa"/>
              <w:right w:w="108" w:type="dxa"/>
            </w:tcMar>
            <w:hideMark/>
          </w:tcPr>
          <w:p w14:paraId="3B941D76" w14:textId="2035A966" w:rsidR="0013291D" w:rsidRPr="002F17DC" w:rsidRDefault="0013291D" w:rsidP="00906070">
            <w:pPr>
              <w:spacing w:before="60" w:after="60"/>
              <w:rPr>
                <w:rFonts w:cs="Segoe UI"/>
                <w:sz w:val="18"/>
                <w:szCs w:val="18"/>
                <w:lang w:val="en-GB"/>
              </w:rPr>
            </w:pPr>
            <w:r w:rsidRPr="002F17DC">
              <w:rPr>
                <w:rFonts w:cs="Segoe UI"/>
                <w:sz w:val="18"/>
                <w:szCs w:val="18"/>
                <w:lang w:val="en-GB"/>
              </w:rPr>
              <w:t xml:space="preserve">Age x </w:t>
            </w:r>
            <w:r w:rsidR="00F654B9">
              <w:rPr>
                <w:rFonts w:cs="Segoe UI"/>
                <w:sz w:val="18"/>
                <w:szCs w:val="18"/>
                <w:lang w:val="en-GB"/>
              </w:rPr>
              <w:t>d</w:t>
            </w:r>
            <w:r w:rsidRPr="002F17DC">
              <w:rPr>
                <w:rFonts w:cs="Segoe UI"/>
                <w:sz w:val="18"/>
                <w:szCs w:val="18"/>
                <w:lang w:val="en-GB"/>
              </w:rPr>
              <w:t>iabetes</w:t>
            </w:r>
          </w:p>
        </w:tc>
        <w:tc>
          <w:tcPr>
            <w:tcW w:w="841" w:type="pct"/>
            <w:tcMar>
              <w:top w:w="0" w:type="dxa"/>
              <w:left w:w="108" w:type="dxa"/>
              <w:bottom w:w="0" w:type="dxa"/>
              <w:right w:w="108" w:type="dxa"/>
            </w:tcMar>
          </w:tcPr>
          <w:p w14:paraId="42035457" w14:textId="77777777" w:rsidR="0013291D" w:rsidRPr="002F17DC" w:rsidRDefault="0013291D" w:rsidP="00906070">
            <w:pPr>
              <w:spacing w:before="60" w:after="60"/>
              <w:rPr>
                <w:rFonts w:cs="Segoe UI"/>
                <w:sz w:val="18"/>
                <w:szCs w:val="18"/>
              </w:rPr>
            </w:pPr>
            <w:r w:rsidRPr="002F17DC">
              <w:rPr>
                <w:rFonts w:cs="Segoe UI"/>
                <w:sz w:val="18"/>
                <w:szCs w:val="18"/>
              </w:rPr>
              <w:t>82 years &amp; doesn’t have diabetes</w:t>
            </w:r>
          </w:p>
        </w:tc>
        <w:tc>
          <w:tcPr>
            <w:tcW w:w="1932" w:type="pct"/>
            <w:tcMar>
              <w:top w:w="0" w:type="dxa"/>
              <w:left w:w="108" w:type="dxa"/>
              <w:bottom w:w="0" w:type="dxa"/>
              <w:right w:w="108" w:type="dxa"/>
            </w:tcMar>
          </w:tcPr>
          <w:p w14:paraId="14C75876" w14:textId="1FF35F6B" w:rsidR="0013291D" w:rsidRPr="002F17DC" w:rsidRDefault="0013291D" w:rsidP="00906070">
            <w:pPr>
              <w:spacing w:before="60" w:after="60"/>
              <w:rPr>
                <w:rFonts w:cs="Segoe UI"/>
                <w:sz w:val="18"/>
                <w:szCs w:val="18"/>
              </w:rPr>
            </w:pPr>
            <w:r w:rsidRPr="002F17DC">
              <w:rPr>
                <w:rFonts w:cs="Segoe UI"/>
                <w:sz w:val="18"/>
                <w:szCs w:val="18"/>
              </w:rPr>
              <w:t>-0. 0124356</w:t>
            </w:r>
            <w:r w:rsidRPr="002F17DC">
              <w:rPr>
                <w:rFonts w:cs="Segoe UI"/>
                <w:sz w:val="18"/>
                <w:szCs w:val="18"/>
                <w:lang w:val="en-GB"/>
              </w:rPr>
              <w:t xml:space="preserve"> x (</w:t>
            </w:r>
            <w:r w:rsidRPr="002F17DC">
              <w:rPr>
                <w:rFonts w:cs="Segoe UI"/>
                <w:sz w:val="18"/>
                <w:szCs w:val="18"/>
              </w:rPr>
              <w:t xml:space="preserve">80 – 51.59444) </w:t>
            </w:r>
            <w:r w:rsidRPr="002F17DC">
              <w:rPr>
                <w:rFonts w:cs="Segoe UI"/>
                <w:sz w:val="18"/>
                <w:szCs w:val="18"/>
                <w:lang w:val="en-GB"/>
              </w:rPr>
              <w:t>x 0</w:t>
            </w:r>
          </w:p>
        </w:tc>
        <w:tc>
          <w:tcPr>
            <w:tcW w:w="913" w:type="pct"/>
            <w:tcMar>
              <w:top w:w="0" w:type="dxa"/>
              <w:left w:w="108" w:type="dxa"/>
              <w:bottom w:w="0" w:type="dxa"/>
              <w:right w:w="108" w:type="dxa"/>
            </w:tcMar>
          </w:tcPr>
          <w:p w14:paraId="3E996BF4"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57564F56" w14:textId="77777777" w:rsidTr="00AA021D">
        <w:trPr>
          <w:trHeight w:val="20"/>
        </w:trPr>
        <w:tc>
          <w:tcPr>
            <w:tcW w:w="1313" w:type="pct"/>
            <w:tcMar>
              <w:top w:w="0" w:type="dxa"/>
              <w:left w:w="108" w:type="dxa"/>
              <w:bottom w:w="0" w:type="dxa"/>
              <w:right w:w="108" w:type="dxa"/>
            </w:tcMar>
            <w:hideMark/>
          </w:tcPr>
          <w:p w14:paraId="0E3AA847" w14:textId="62C5ABD8" w:rsidR="0013291D" w:rsidRPr="002F17DC" w:rsidRDefault="0013291D" w:rsidP="00906070">
            <w:pPr>
              <w:spacing w:before="60" w:after="60"/>
              <w:rPr>
                <w:rFonts w:cs="Segoe UI"/>
                <w:sz w:val="18"/>
                <w:szCs w:val="18"/>
                <w:lang w:val="en-GB"/>
              </w:rPr>
            </w:pPr>
            <w:r w:rsidRPr="002F17DC">
              <w:rPr>
                <w:rFonts w:cs="Segoe UI"/>
                <w:sz w:val="18"/>
                <w:szCs w:val="18"/>
                <w:lang w:val="en-GB"/>
              </w:rPr>
              <w:t>Age x SBP</w:t>
            </w:r>
          </w:p>
        </w:tc>
        <w:tc>
          <w:tcPr>
            <w:tcW w:w="841" w:type="pct"/>
            <w:tcMar>
              <w:top w:w="0" w:type="dxa"/>
              <w:left w:w="108" w:type="dxa"/>
              <w:bottom w:w="0" w:type="dxa"/>
              <w:right w:w="108" w:type="dxa"/>
            </w:tcMar>
          </w:tcPr>
          <w:p w14:paraId="3B862C42" w14:textId="77777777" w:rsidR="0013291D" w:rsidRPr="002F17DC" w:rsidRDefault="0013291D" w:rsidP="00906070">
            <w:pPr>
              <w:spacing w:before="60" w:after="60"/>
              <w:rPr>
                <w:rFonts w:cs="Segoe UI"/>
                <w:sz w:val="18"/>
                <w:szCs w:val="18"/>
              </w:rPr>
            </w:pPr>
            <w:r w:rsidRPr="002F17DC">
              <w:rPr>
                <w:rFonts w:cs="Segoe UI"/>
                <w:sz w:val="18"/>
                <w:szCs w:val="18"/>
              </w:rPr>
              <w:t>82 years &amp; 128 mmHg</w:t>
            </w:r>
          </w:p>
        </w:tc>
        <w:tc>
          <w:tcPr>
            <w:tcW w:w="1932" w:type="pct"/>
            <w:tcMar>
              <w:top w:w="0" w:type="dxa"/>
              <w:left w:w="108" w:type="dxa"/>
              <w:bottom w:w="0" w:type="dxa"/>
              <w:right w:w="108" w:type="dxa"/>
            </w:tcMar>
          </w:tcPr>
          <w:p w14:paraId="255CA3A4" w14:textId="618A92E0" w:rsidR="0013291D" w:rsidRPr="002F17DC" w:rsidRDefault="0013291D" w:rsidP="00906070">
            <w:pPr>
              <w:spacing w:before="60" w:after="60"/>
              <w:rPr>
                <w:rFonts w:cs="Segoe UI"/>
                <w:sz w:val="18"/>
                <w:szCs w:val="18"/>
              </w:rPr>
            </w:pPr>
            <w:r w:rsidRPr="002F17DC">
              <w:rPr>
                <w:rFonts w:cs="Segoe UI"/>
                <w:sz w:val="18"/>
                <w:szCs w:val="18"/>
              </w:rPr>
              <w:t>-0.0004931</w:t>
            </w:r>
            <w:r w:rsidRPr="002F17DC">
              <w:rPr>
                <w:rFonts w:cs="Segoe UI"/>
                <w:sz w:val="18"/>
                <w:szCs w:val="18"/>
                <w:lang w:val="en-GB"/>
              </w:rPr>
              <w:t xml:space="preserve"> x (</w:t>
            </w:r>
            <w:r w:rsidRPr="002F17DC">
              <w:rPr>
                <w:rFonts w:cs="Segoe UI"/>
                <w:sz w:val="18"/>
                <w:szCs w:val="18"/>
              </w:rPr>
              <w:t xml:space="preserve">80 – 51.59444) </w:t>
            </w:r>
            <w:r w:rsidRPr="002F17DC">
              <w:rPr>
                <w:rFonts w:cs="Segoe UI"/>
                <w:sz w:val="18"/>
                <w:szCs w:val="18"/>
                <w:lang w:val="en-GB"/>
              </w:rPr>
              <w:t xml:space="preserve">x (128 - </w:t>
            </w:r>
            <w:r w:rsidRPr="002F17DC">
              <w:rPr>
                <w:rFonts w:cs="Segoe UI"/>
                <w:sz w:val="18"/>
                <w:szCs w:val="18"/>
              </w:rPr>
              <w:t>128.8637)</w:t>
            </w:r>
          </w:p>
        </w:tc>
        <w:tc>
          <w:tcPr>
            <w:tcW w:w="913" w:type="pct"/>
            <w:tcMar>
              <w:top w:w="0" w:type="dxa"/>
              <w:left w:w="108" w:type="dxa"/>
              <w:bottom w:w="0" w:type="dxa"/>
              <w:right w:w="108" w:type="dxa"/>
            </w:tcMar>
          </w:tcPr>
          <w:p w14:paraId="6DFE7EE0" w14:textId="77777777" w:rsidR="0013291D" w:rsidRPr="002F17DC" w:rsidRDefault="0013291D">
            <w:pPr>
              <w:spacing w:before="60" w:after="60"/>
              <w:rPr>
                <w:rFonts w:cs="Segoe UI"/>
                <w:sz w:val="18"/>
                <w:szCs w:val="18"/>
              </w:rPr>
            </w:pPr>
            <w:r w:rsidRPr="002F17DC">
              <w:rPr>
                <w:rFonts w:cs="Segoe UI"/>
                <w:sz w:val="18"/>
                <w:szCs w:val="18"/>
              </w:rPr>
              <w:t>0.0120977</w:t>
            </w:r>
          </w:p>
        </w:tc>
      </w:tr>
      <w:tr w:rsidR="0013291D" w:rsidRPr="002F17DC" w14:paraId="3182C3E0" w14:textId="77777777" w:rsidTr="00AA021D">
        <w:trPr>
          <w:trHeight w:val="20"/>
        </w:trPr>
        <w:tc>
          <w:tcPr>
            <w:tcW w:w="1313" w:type="pct"/>
            <w:tcMar>
              <w:top w:w="0" w:type="dxa"/>
              <w:left w:w="108" w:type="dxa"/>
              <w:bottom w:w="0" w:type="dxa"/>
              <w:right w:w="108" w:type="dxa"/>
            </w:tcMar>
            <w:hideMark/>
          </w:tcPr>
          <w:p w14:paraId="252E68BD" w14:textId="545E6CA9" w:rsidR="0013291D" w:rsidRPr="002F17DC" w:rsidRDefault="0013291D" w:rsidP="00906070">
            <w:pPr>
              <w:spacing w:before="60" w:after="60"/>
              <w:rPr>
                <w:rFonts w:cs="Segoe UI"/>
                <w:sz w:val="18"/>
                <w:szCs w:val="18"/>
              </w:rPr>
            </w:pPr>
            <w:r w:rsidRPr="002F17DC">
              <w:rPr>
                <w:rFonts w:cs="Segoe UI"/>
                <w:sz w:val="18"/>
                <w:szCs w:val="18"/>
              </w:rPr>
              <w:t>BP lowering med</w:t>
            </w:r>
            <w:r w:rsidRPr="002F17DC">
              <w:rPr>
                <w:rFonts w:cs="Segoe UI"/>
                <w:sz w:val="18"/>
                <w:szCs w:val="18"/>
                <w:lang w:val="en-GB"/>
              </w:rPr>
              <w:t xml:space="preserve"> x SBP</w:t>
            </w:r>
          </w:p>
        </w:tc>
        <w:tc>
          <w:tcPr>
            <w:tcW w:w="841" w:type="pct"/>
            <w:tcMar>
              <w:top w:w="0" w:type="dxa"/>
              <w:left w:w="108" w:type="dxa"/>
              <w:bottom w:w="0" w:type="dxa"/>
              <w:right w:w="108" w:type="dxa"/>
            </w:tcMar>
          </w:tcPr>
          <w:p w14:paraId="21C08514" w14:textId="77777777" w:rsidR="0013291D" w:rsidRPr="002F17DC" w:rsidRDefault="0013291D" w:rsidP="00906070">
            <w:pPr>
              <w:spacing w:before="60" w:after="60"/>
              <w:rPr>
                <w:rFonts w:cs="Segoe UI"/>
                <w:sz w:val="18"/>
                <w:szCs w:val="18"/>
              </w:rPr>
            </w:pPr>
            <w:r w:rsidRPr="002F17DC">
              <w:rPr>
                <w:rFonts w:cs="Segoe UI"/>
                <w:sz w:val="18"/>
                <w:szCs w:val="18"/>
              </w:rPr>
              <w:t>Not on BP lowering &amp; 128 mmHg</w:t>
            </w:r>
          </w:p>
        </w:tc>
        <w:tc>
          <w:tcPr>
            <w:tcW w:w="1932" w:type="pct"/>
            <w:tcMar>
              <w:top w:w="0" w:type="dxa"/>
              <w:left w:w="108" w:type="dxa"/>
              <w:bottom w:w="0" w:type="dxa"/>
              <w:right w:w="108" w:type="dxa"/>
            </w:tcMar>
          </w:tcPr>
          <w:p w14:paraId="71BE2023" w14:textId="77777777" w:rsidR="0013291D" w:rsidRPr="002F17DC" w:rsidRDefault="0013291D" w:rsidP="00906070">
            <w:pPr>
              <w:spacing w:before="60" w:after="60"/>
              <w:rPr>
                <w:rFonts w:cs="Segoe UI"/>
                <w:sz w:val="18"/>
                <w:szCs w:val="18"/>
              </w:rPr>
            </w:pPr>
            <w:r w:rsidRPr="002F17DC">
              <w:rPr>
                <w:rFonts w:cs="Segoe UI"/>
                <w:sz w:val="18"/>
                <w:szCs w:val="18"/>
              </w:rPr>
              <w:t>-0.0049226</w:t>
            </w:r>
            <w:r w:rsidRPr="002F17DC">
              <w:rPr>
                <w:rFonts w:cs="Segoe UI"/>
                <w:sz w:val="18"/>
                <w:szCs w:val="18"/>
                <w:lang w:val="en-GB"/>
              </w:rPr>
              <w:t xml:space="preserve"> x 0 x (128 - </w:t>
            </w:r>
            <w:r w:rsidRPr="002F17DC">
              <w:rPr>
                <w:rFonts w:cs="Segoe UI"/>
                <w:sz w:val="18"/>
                <w:szCs w:val="18"/>
              </w:rPr>
              <w:t>128.8637)</w:t>
            </w:r>
          </w:p>
        </w:tc>
        <w:tc>
          <w:tcPr>
            <w:tcW w:w="913" w:type="pct"/>
            <w:tcMar>
              <w:top w:w="0" w:type="dxa"/>
              <w:left w:w="108" w:type="dxa"/>
              <w:bottom w:w="0" w:type="dxa"/>
              <w:right w:w="108" w:type="dxa"/>
            </w:tcMar>
          </w:tcPr>
          <w:p w14:paraId="25E3DC2F" w14:textId="77777777" w:rsidR="0013291D" w:rsidRPr="002F17DC" w:rsidRDefault="0013291D">
            <w:pPr>
              <w:spacing w:before="60" w:after="60"/>
              <w:rPr>
                <w:rFonts w:cs="Segoe UI"/>
                <w:sz w:val="18"/>
                <w:szCs w:val="18"/>
              </w:rPr>
            </w:pPr>
            <w:r w:rsidRPr="002F17DC">
              <w:rPr>
                <w:rFonts w:cs="Segoe UI"/>
                <w:sz w:val="18"/>
                <w:szCs w:val="18"/>
              </w:rPr>
              <w:t>0</w:t>
            </w:r>
          </w:p>
        </w:tc>
      </w:tr>
      <w:tr w:rsidR="003C1A76" w:rsidRPr="002F17DC" w14:paraId="658B2883" w14:textId="77777777" w:rsidTr="00AA021D">
        <w:trPr>
          <w:trHeight w:val="20"/>
        </w:trPr>
        <w:tc>
          <w:tcPr>
            <w:tcW w:w="1313" w:type="pct"/>
            <w:tcMar>
              <w:top w:w="0" w:type="dxa"/>
              <w:left w:w="108" w:type="dxa"/>
              <w:bottom w:w="0" w:type="dxa"/>
              <w:right w:w="108" w:type="dxa"/>
            </w:tcMar>
          </w:tcPr>
          <w:p w14:paraId="684BF455" w14:textId="43463C66" w:rsidR="003C1A76" w:rsidRPr="002F17DC" w:rsidRDefault="003C1A76" w:rsidP="00906070">
            <w:pPr>
              <w:spacing w:before="60" w:after="60"/>
              <w:rPr>
                <w:rFonts w:cs="Segoe UI"/>
                <w:sz w:val="18"/>
                <w:szCs w:val="18"/>
              </w:rPr>
            </w:pPr>
            <w:r w:rsidRPr="002F17DC">
              <w:rPr>
                <w:rFonts w:cs="Segoe UI"/>
                <w:sz w:val="18"/>
                <w:szCs w:val="18"/>
              </w:rPr>
              <w:t xml:space="preserve">Baseline survival function at </w:t>
            </w:r>
            <w:r>
              <w:rPr>
                <w:rFonts w:cs="Segoe UI"/>
                <w:sz w:val="18"/>
                <w:szCs w:val="18"/>
              </w:rPr>
              <w:t>five years</w:t>
            </w:r>
          </w:p>
        </w:tc>
        <w:tc>
          <w:tcPr>
            <w:tcW w:w="841" w:type="pct"/>
            <w:tcMar>
              <w:top w:w="0" w:type="dxa"/>
              <w:left w:w="108" w:type="dxa"/>
              <w:bottom w:w="0" w:type="dxa"/>
              <w:right w:w="108" w:type="dxa"/>
            </w:tcMar>
          </w:tcPr>
          <w:p w14:paraId="44E94356" w14:textId="158FDF75" w:rsidR="003C1A76" w:rsidRPr="002F17DC" w:rsidRDefault="003C1A76" w:rsidP="00906070">
            <w:pPr>
              <w:spacing w:before="60" w:after="60"/>
              <w:rPr>
                <w:rFonts w:cs="Segoe UI"/>
                <w:sz w:val="18"/>
                <w:szCs w:val="18"/>
              </w:rPr>
            </w:pPr>
            <w:r w:rsidRPr="00AA021D">
              <w:rPr>
                <w:rFonts w:cs="Segoe UI"/>
                <w:sz w:val="18"/>
                <w:szCs w:val="18"/>
              </w:rPr>
              <w:t>0. 9712501</w:t>
            </w:r>
          </w:p>
        </w:tc>
        <w:tc>
          <w:tcPr>
            <w:tcW w:w="1932" w:type="pct"/>
            <w:tcMar>
              <w:top w:w="0" w:type="dxa"/>
              <w:left w:w="108" w:type="dxa"/>
              <w:bottom w:w="0" w:type="dxa"/>
              <w:right w:w="108" w:type="dxa"/>
            </w:tcMar>
          </w:tcPr>
          <w:p w14:paraId="43C907A5" w14:textId="77777777" w:rsidR="003C1A76" w:rsidRPr="002F17DC" w:rsidRDefault="003C1A76" w:rsidP="00906070">
            <w:pPr>
              <w:spacing w:before="60" w:after="60"/>
              <w:rPr>
                <w:rFonts w:cs="Segoe UI"/>
                <w:sz w:val="18"/>
                <w:szCs w:val="18"/>
              </w:rPr>
            </w:pPr>
          </w:p>
        </w:tc>
        <w:tc>
          <w:tcPr>
            <w:tcW w:w="913" w:type="pct"/>
            <w:tcMar>
              <w:top w:w="0" w:type="dxa"/>
              <w:left w:w="108" w:type="dxa"/>
              <w:bottom w:w="0" w:type="dxa"/>
              <w:right w:w="108" w:type="dxa"/>
            </w:tcMar>
          </w:tcPr>
          <w:p w14:paraId="123710C6" w14:textId="77777777" w:rsidR="003C1A76" w:rsidRPr="002F17DC" w:rsidRDefault="003C1A76" w:rsidP="00F654B9">
            <w:pPr>
              <w:spacing w:before="60" w:after="60"/>
              <w:rPr>
                <w:rFonts w:cs="Segoe UI"/>
                <w:sz w:val="18"/>
                <w:szCs w:val="18"/>
              </w:rPr>
            </w:pPr>
          </w:p>
        </w:tc>
      </w:tr>
      <w:tr w:rsidR="003C1A76" w:rsidRPr="002F17DC" w14:paraId="43B4BEB8" w14:textId="77777777" w:rsidTr="00AA021D">
        <w:trPr>
          <w:trHeight w:val="20"/>
        </w:trPr>
        <w:tc>
          <w:tcPr>
            <w:tcW w:w="1313" w:type="pct"/>
            <w:tcMar>
              <w:top w:w="0" w:type="dxa"/>
              <w:left w:w="108" w:type="dxa"/>
              <w:bottom w:w="0" w:type="dxa"/>
              <w:right w:w="108" w:type="dxa"/>
            </w:tcMar>
          </w:tcPr>
          <w:p w14:paraId="31F72CE5" w14:textId="77777777" w:rsidR="003C1A76" w:rsidRPr="002F17DC" w:rsidRDefault="003C1A76" w:rsidP="00906070">
            <w:pPr>
              <w:spacing w:before="60" w:after="60"/>
              <w:rPr>
                <w:rFonts w:cs="Segoe UI"/>
                <w:sz w:val="18"/>
                <w:szCs w:val="18"/>
              </w:rPr>
            </w:pPr>
          </w:p>
        </w:tc>
        <w:tc>
          <w:tcPr>
            <w:tcW w:w="841" w:type="pct"/>
            <w:tcMar>
              <w:top w:w="0" w:type="dxa"/>
              <w:left w:w="108" w:type="dxa"/>
              <w:bottom w:w="0" w:type="dxa"/>
              <w:right w:w="108" w:type="dxa"/>
            </w:tcMar>
          </w:tcPr>
          <w:p w14:paraId="72821B30" w14:textId="77777777" w:rsidR="003C1A76" w:rsidRPr="002F17DC" w:rsidRDefault="003C1A76" w:rsidP="00906070">
            <w:pPr>
              <w:spacing w:before="60" w:after="60"/>
              <w:rPr>
                <w:rFonts w:cs="Segoe UI"/>
                <w:sz w:val="18"/>
                <w:szCs w:val="18"/>
              </w:rPr>
            </w:pPr>
          </w:p>
        </w:tc>
        <w:tc>
          <w:tcPr>
            <w:tcW w:w="1932" w:type="pct"/>
            <w:tcMar>
              <w:top w:w="0" w:type="dxa"/>
              <w:left w:w="108" w:type="dxa"/>
              <w:bottom w:w="0" w:type="dxa"/>
              <w:right w:w="108" w:type="dxa"/>
            </w:tcMar>
          </w:tcPr>
          <w:p w14:paraId="045A0404" w14:textId="292275AE" w:rsidR="003C1A76" w:rsidRPr="002F17DC" w:rsidRDefault="003C1A76" w:rsidP="00906070">
            <w:pPr>
              <w:spacing w:before="60" w:after="60"/>
              <w:rPr>
                <w:rFonts w:cs="Segoe UI"/>
                <w:sz w:val="18"/>
                <w:szCs w:val="18"/>
              </w:rPr>
            </w:pPr>
            <w:r w:rsidRPr="002F17DC">
              <w:rPr>
                <w:rFonts w:cs="Segoe UI"/>
                <w:b/>
                <w:bCs/>
                <w:sz w:val="18"/>
                <w:szCs w:val="18"/>
              </w:rPr>
              <w:t>Sum (</w:t>
            </w:r>
            <w:r>
              <w:rPr>
                <w:rFonts w:cs="Segoe UI"/>
                <w:b/>
                <w:bCs/>
                <w:sz w:val="18"/>
                <w:szCs w:val="18"/>
              </w:rPr>
              <w:t>c</w:t>
            </w:r>
            <w:r w:rsidRPr="002F17DC">
              <w:rPr>
                <w:rFonts w:cs="Segoe UI"/>
                <w:b/>
                <w:bCs/>
                <w:sz w:val="18"/>
                <w:szCs w:val="18"/>
              </w:rPr>
              <w:t xml:space="preserve">oefficient x </w:t>
            </w:r>
            <w:r>
              <w:rPr>
                <w:rFonts w:cs="Segoe UI"/>
                <w:b/>
                <w:bCs/>
                <w:sz w:val="18"/>
                <w:szCs w:val="18"/>
              </w:rPr>
              <w:t>v</w:t>
            </w:r>
            <w:r w:rsidRPr="002F17DC">
              <w:rPr>
                <w:rFonts w:cs="Segoe UI"/>
                <w:b/>
                <w:bCs/>
                <w:sz w:val="18"/>
                <w:szCs w:val="18"/>
              </w:rPr>
              <w:t>ariable)</w:t>
            </w:r>
          </w:p>
        </w:tc>
        <w:tc>
          <w:tcPr>
            <w:tcW w:w="913" w:type="pct"/>
            <w:tcMar>
              <w:top w:w="0" w:type="dxa"/>
              <w:left w:w="108" w:type="dxa"/>
              <w:bottom w:w="0" w:type="dxa"/>
              <w:right w:w="108" w:type="dxa"/>
            </w:tcMar>
          </w:tcPr>
          <w:p w14:paraId="0C58BF6F" w14:textId="5E9CD37E" w:rsidR="003C1A76" w:rsidRPr="002F17DC" w:rsidRDefault="003C1A76" w:rsidP="00F654B9">
            <w:pPr>
              <w:spacing w:before="60" w:after="60"/>
              <w:rPr>
                <w:rFonts w:cs="Segoe UI"/>
                <w:sz w:val="18"/>
                <w:szCs w:val="18"/>
              </w:rPr>
            </w:pPr>
            <w:r w:rsidRPr="002F17DC">
              <w:rPr>
                <w:rFonts w:cs="Segoe UI"/>
                <w:b/>
                <w:bCs/>
                <w:sz w:val="18"/>
                <w:szCs w:val="18"/>
              </w:rPr>
              <w:t>1.7235395</w:t>
            </w:r>
          </w:p>
        </w:tc>
      </w:tr>
    </w:tbl>
    <w:p w14:paraId="0CE9FD3D" w14:textId="77777777" w:rsidR="00875DE3" w:rsidRPr="00852C96" w:rsidRDefault="00875DE3" w:rsidP="00875DE3">
      <w:pPr>
        <w:rPr>
          <w:rFonts w:cs="Segoe UI"/>
          <w:szCs w:val="21"/>
        </w:rPr>
      </w:pPr>
    </w:p>
    <w:p w14:paraId="32656B5D" w14:textId="77777777" w:rsidR="00875DE3" w:rsidRPr="00852C96" w:rsidRDefault="00875DE3" w:rsidP="00875DE3">
      <w:pPr>
        <w:rPr>
          <w:rFonts w:cs="Segoe UI"/>
          <w:szCs w:val="21"/>
          <w:lang w:val="en-GB"/>
        </w:rPr>
      </w:pPr>
      <w:r w:rsidRPr="00852C96">
        <w:rPr>
          <w:rFonts w:cs="Segoe UI"/>
          <w:szCs w:val="21"/>
          <w:lang w:val="en-GB"/>
        </w:rPr>
        <w:t xml:space="preserve">For Patient B, 5-year CVD risk = </w:t>
      </w:r>
      <w:r w:rsidRPr="00852C96">
        <w:rPr>
          <w:rFonts w:cs="Segoe UI"/>
          <w:bCs/>
          <w:szCs w:val="21"/>
          <w:lang w:val="en-GB"/>
        </w:rPr>
        <w:t xml:space="preserve">(1- </w:t>
      </w:r>
      <w:r w:rsidRPr="00852C96">
        <w:rPr>
          <w:rFonts w:cs="Segoe UI"/>
          <w:szCs w:val="21"/>
        </w:rPr>
        <w:t>0. 9712501</w:t>
      </w:r>
      <w:r w:rsidRPr="00852C96">
        <w:rPr>
          <w:rFonts w:cs="Segoe UI"/>
          <w:bCs/>
          <w:szCs w:val="21"/>
          <w:lang w:val="en-GB"/>
        </w:rPr>
        <w:t xml:space="preserve"> </w:t>
      </w:r>
      <w:r w:rsidRPr="00852C96">
        <w:rPr>
          <w:rFonts w:cs="Segoe UI"/>
          <w:bCs/>
          <w:szCs w:val="21"/>
          <w:vertAlign w:val="superscript"/>
          <w:lang w:val="en-GB"/>
        </w:rPr>
        <w:t>exp (1.7235395)</w:t>
      </w:r>
      <w:r w:rsidRPr="00852C96">
        <w:rPr>
          <w:rFonts w:cs="Segoe UI"/>
          <w:bCs/>
          <w:szCs w:val="21"/>
          <w:lang w:val="en-GB"/>
        </w:rPr>
        <w:t>) x 100 = 0.151 x 100 = 15%</w:t>
      </w:r>
    </w:p>
    <w:p w14:paraId="77D4AACB" w14:textId="77777777" w:rsidR="00875DE3" w:rsidRDefault="00875DE3" w:rsidP="00875DE3">
      <w:pPr>
        <w:pStyle w:val="Heading2"/>
      </w:pPr>
      <w:bookmarkStart w:id="85" w:name="_Toc46146757"/>
      <w:r>
        <w:t>Patient C</w:t>
      </w:r>
      <w:bookmarkEnd w:id="85"/>
    </w:p>
    <w:p w14:paraId="34A9300C" w14:textId="76678F2E" w:rsidR="00875DE3" w:rsidRPr="006A2A47" w:rsidRDefault="00875DE3" w:rsidP="00875DE3">
      <w:pPr>
        <w:rPr>
          <w:b/>
        </w:rPr>
      </w:pPr>
      <w:r w:rsidRPr="006A2A47">
        <w:rPr>
          <w:b/>
        </w:rPr>
        <w:t>PREDICT CVD v.201</w:t>
      </w:r>
      <w:r w:rsidR="000F15BB">
        <w:rPr>
          <w:b/>
        </w:rPr>
        <w:t>9</w:t>
      </w:r>
      <w:r w:rsidRPr="006A2A47">
        <w:rPr>
          <w:b/>
        </w:rPr>
        <w:t xml:space="preserve"> primary prevention equation for </w:t>
      </w:r>
      <w:r>
        <w:rPr>
          <w:b/>
        </w:rPr>
        <w:t>women</w:t>
      </w:r>
      <w:r w:rsidRPr="006A2A47">
        <w:rPr>
          <w:b/>
        </w:rPr>
        <w:t xml:space="preserve"> with diabetes</w:t>
      </w:r>
    </w:p>
    <w:p w14:paraId="59A51167" w14:textId="77777777" w:rsidR="00875DE3" w:rsidRDefault="00875DE3" w:rsidP="00875DE3"/>
    <w:p w14:paraId="2C997C7A" w14:textId="46EE867E" w:rsidR="00875DE3" w:rsidRDefault="00875DE3" w:rsidP="00875DE3">
      <w:r w:rsidRPr="002F17DC">
        <w:t xml:space="preserve">Patient D is a Pacific woman aged 75 who lives in an area categorised as </w:t>
      </w:r>
      <w:proofErr w:type="spellStart"/>
      <w:r w:rsidRPr="002F17DC">
        <w:t>NZDep</w:t>
      </w:r>
      <w:proofErr w:type="spellEnd"/>
      <w:r w:rsidRPr="002F17DC">
        <w:t xml:space="preserve"> quintile 3. She has had diabetes for 3 years and her latest HbA1c is 56 mmol/mol. She has never smoked, does not have atrial fibrillation, and does not have a family history of premature CVD. Her BMI is 31 kg/m2, SBP is 130 mmHg, </w:t>
      </w:r>
      <w:proofErr w:type="gramStart"/>
      <w:r w:rsidRPr="002F17DC">
        <w:t>TC:HDL</w:t>
      </w:r>
      <w:proofErr w:type="gramEnd"/>
      <w:r w:rsidRPr="002F17DC">
        <w:t xml:space="preserve"> is 4, ACR is 1.4 mg/mmol, and eGFR is 92 mL/min/1.73 m2. She takes an oral hypoglycaemic for her diabetes and a statin for lipid lowering but does not take any blood pressure medication, antiplatelet or anticoagulant.</w:t>
      </w:r>
    </w:p>
    <w:p w14:paraId="171F4F71" w14:textId="77777777" w:rsidR="0072556C" w:rsidRPr="002F17DC" w:rsidRDefault="0072556C" w:rsidP="00875DE3"/>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Pr>
      <w:tblGrid>
        <w:gridCol w:w="2021"/>
        <w:gridCol w:w="1048"/>
        <w:gridCol w:w="3438"/>
        <w:gridCol w:w="1552"/>
      </w:tblGrid>
      <w:tr w:rsidR="0013291D" w:rsidRPr="00852C96" w14:paraId="6A669FB7" w14:textId="77777777" w:rsidTr="00AA021D">
        <w:trPr>
          <w:trHeight w:val="314"/>
        </w:trPr>
        <w:tc>
          <w:tcPr>
            <w:tcW w:w="1254" w:type="pct"/>
            <w:shd w:val="clear" w:color="auto" w:fill="D9D9D9" w:themeFill="background1" w:themeFillShade="D9"/>
            <w:tcMar>
              <w:top w:w="0" w:type="dxa"/>
              <w:left w:w="108" w:type="dxa"/>
              <w:bottom w:w="0" w:type="dxa"/>
              <w:right w:w="108" w:type="dxa"/>
            </w:tcMar>
          </w:tcPr>
          <w:p w14:paraId="6CB3759E" w14:textId="77777777" w:rsidR="0013291D" w:rsidRPr="00852C96" w:rsidRDefault="0013291D" w:rsidP="00906070">
            <w:pPr>
              <w:spacing w:before="60" w:after="60"/>
              <w:rPr>
                <w:rFonts w:cs="Segoe UI"/>
                <w:b/>
                <w:sz w:val="18"/>
                <w:szCs w:val="18"/>
                <w:lang w:val="en-GB"/>
              </w:rPr>
            </w:pPr>
            <w:r w:rsidRPr="00852C96">
              <w:rPr>
                <w:rFonts w:cs="Segoe UI"/>
                <w:b/>
                <w:sz w:val="18"/>
                <w:szCs w:val="18"/>
              </w:rPr>
              <w:t>Variable</w:t>
            </w:r>
          </w:p>
        </w:tc>
        <w:tc>
          <w:tcPr>
            <w:tcW w:w="650" w:type="pct"/>
            <w:shd w:val="clear" w:color="auto" w:fill="D9D9D9" w:themeFill="background1" w:themeFillShade="D9"/>
            <w:tcMar>
              <w:top w:w="0" w:type="dxa"/>
              <w:left w:w="108" w:type="dxa"/>
              <w:bottom w:w="0" w:type="dxa"/>
              <w:right w:w="108" w:type="dxa"/>
            </w:tcMar>
          </w:tcPr>
          <w:p w14:paraId="07983C49" w14:textId="77777777" w:rsidR="0013291D" w:rsidRPr="00852C96" w:rsidRDefault="0013291D" w:rsidP="00906070">
            <w:pPr>
              <w:spacing w:before="60" w:after="60"/>
              <w:rPr>
                <w:rFonts w:cs="Segoe UI"/>
                <w:b/>
                <w:sz w:val="18"/>
                <w:szCs w:val="18"/>
              </w:rPr>
            </w:pPr>
            <w:r>
              <w:rPr>
                <w:rFonts w:cs="Segoe UI"/>
                <w:b/>
                <w:sz w:val="18"/>
                <w:szCs w:val="18"/>
              </w:rPr>
              <w:t>Value</w:t>
            </w:r>
          </w:p>
        </w:tc>
        <w:tc>
          <w:tcPr>
            <w:tcW w:w="2133" w:type="pct"/>
            <w:shd w:val="clear" w:color="auto" w:fill="D9D9D9" w:themeFill="background1" w:themeFillShade="D9"/>
            <w:tcMar>
              <w:top w:w="0" w:type="dxa"/>
              <w:left w:w="108" w:type="dxa"/>
              <w:bottom w:w="0" w:type="dxa"/>
              <w:right w:w="108" w:type="dxa"/>
            </w:tcMar>
          </w:tcPr>
          <w:p w14:paraId="764D7935" w14:textId="73F09CD8" w:rsidR="0013291D" w:rsidRPr="00852C96" w:rsidRDefault="0013291D" w:rsidP="00906070">
            <w:pPr>
              <w:spacing w:before="60" w:after="60"/>
              <w:rPr>
                <w:rFonts w:cs="Segoe UI"/>
                <w:b/>
                <w:sz w:val="18"/>
                <w:szCs w:val="18"/>
              </w:rPr>
            </w:pPr>
            <w:r w:rsidRPr="00852C96">
              <w:rPr>
                <w:rFonts w:cs="Segoe UI"/>
                <w:b/>
                <w:sz w:val="18"/>
                <w:szCs w:val="18"/>
              </w:rPr>
              <w:t>Coefficient x variable</w:t>
            </w:r>
          </w:p>
        </w:tc>
        <w:tc>
          <w:tcPr>
            <w:tcW w:w="963" w:type="pct"/>
            <w:shd w:val="clear" w:color="auto" w:fill="D9D9D9" w:themeFill="background1" w:themeFillShade="D9"/>
            <w:tcMar>
              <w:top w:w="0" w:type="dxa"/>
              <w:left w:w="108" w:type="dxa"/>
              <w:bottom w:w="0" w:type="dxa"/>
              <w:right w:w="108" w:type="dxa"/>
            </w:tcMar>
          </w:tcPr>
          <w:p w14:paraId="152FEB68" w14:textId="77777777" w:rsidR="0013291D" w:rsidRPr="00852C96" w:rsidRDefault="0013291D" w:rsidP="00906070">
            <w:pPr>
              <w:spacing w:before="60" w:after="60"/>
              <w:rPr>
                <w:rFonts w:cs="Segoe UI"/>
                <w:b/>
                <w:sz w:val="18"/>
                <w:szCs w:val="18"/>
              </w:rPr>
            </w:pPr>
            <w:r w:rsidRPr="00852C96">
              <w:rPr>
                <w:rFonts w:cs="Segoe UI"/>
                <w:b/>
                <w:sz w:val="18"/>
                <w:szCs w:val="18"/>
              </w:rPr>
              <w:t>Product</w:t>
            </w:r>
          </w:p>
        </w:tc>
      </w:tr>
      <w:tr w:rsidR="0013291D" w:rsidRPr="002F17DC" w14:paraId="2EED9507" w14:textId="77777777" w:rsidTr="00AA021D">
        <w:trPr>
          <w:trHeight w:val="314"/>
        </w:trPr>
        <w:tc>
          <w:tcPr>
            <w:tcW w:w="1254" w:type="pct"/>
            <w:tcMar>
              <w:top w:w="0" w:type="dxa"/>
              <w:left w:w="108" w:type="dxa"/>
              <w:bottom w:w="0" w:type="dxa"/>
              <w:right w:w="108" w:type="dxa"/>
            </w:tcMar>
            <w:hideMark/>
          </w:tcPr>
          <w:p w14:paraId="7E0A0C63" w14:textId="457B7E83" w:rsidR="0013291D" w:rsidRPr="002F17DC" w:rsidRDefault="0013291D" w:rsidP="00906070">
            <w:pPr>
              <w:spacing w:before="60" w:after="60"/>
              <w:rPr>
                <w:rFonts w:cs="Segoe UI"/>
                <w:sz w:val="18"/>
                <w:szCs w:val="18"/>
              </w:rPr>
            </w:pPr>
            <w:r w:rsidRPr="002F17DC">
              <w:rPr>
                <w:rFonts w:cs="Segoe UI"/>
                <w:sz w:val="18"/>
                <w:szCs w:val="18"/>
                <w:lang w:val="en-GB"/>
              </w:rPr>
              <w:t>Age, years</w:t>
            </w:r>
          </w:p>
        </w:tc>
        <w:tc>
          <w:tcPr>
            <w:tcW w:w="650" w:type="pct"/>
            <w:tcMar>
              <w:top w:w="0" w:type="dxa"/>
              <w:left w:w="108" w:type="dxa"/>
              <w:bottom w:w="0" w:type="dxa"/>
              <w:right w:w="108" w:type="dxa"/>
            </w:tcMar>
          </w:tcPr>
          <w:p w14:paraId="6C0C5DD9" w14:textId="77777777" w:rsidR="0013291D" w:rsidRPr="002F17DC" w:rsidRDefault="0013291D" w:rsidP="00906070">
            <w:pPr>
              <w:spacing w:before="60" w:after="60"/>
              <w:rPr>
                <w:rFonts w:cs="Segoe UI"/>
                <w:sz w:val="18"/>
                <w:szCs w:val="18"/>
              </w:rPr>
            </w:pPr>
            <w:r w:rsidRPr="002F17DC">
              <w:rPr>
                <w:rFonts w:cs="Segoe UI"/>
                <w:sz w:val="18"/>
                <w:szCs w:val="18"/>
              </w:rPr>
              <w:t>75</w:t>
            </w:r>
          </w:p>
        </w:tc>
        <w:tc>
          <w:tcPr>
            <w:tcW w:w="2133" w:type="pct"/>
            <w:tcMar>
              <w:top w:w="0" w:type="dxa"/>
              <w:left w:w="108" w:type="dxa"/>
              <w:bottom w:w="0" w:type="dxa"/>
              <w:right w:w="108" w:type="dxa"/>
            </w:tcMar>
          </w:tcPr>
          <w:p w14:paraId="31793263" w14:textId="77777777" w:rsidR="0013291D" w:rsidRPr="002F17DC" w:rsidRDefault="0013291D" w:rsidP="00906070">
            <w:pPr>
              <w:spacing w:before="60" w:after="60"/>
              <w:rPr>
                <w:rFonts w:cs="Segoe UI"/>
                <w:sz w:val="18"/>
                <w:szCs w:val="18"/>
              </w:rPr>
            </w:pPr>
            <w:r w:rsidRPr="002F17DC">
              <w:rPr>
                <w:rFonts w:cs="Segoe UI"/>
                <w:sz w:val="18"/>
                <w:szCs w:val="18"/>
                <w:lang w:val="en-GB"/>
              </w:rPr>
              <w:t xml:space="preserve">0.0424465 </w:t>
            </w:r>
            <w:r w:rsidRPr="002F17DC">
              <w:rPr>
                <w:rFonts w:cs="Segoe UI"/>
                <w:sz w:val="18"/>
                <w:szCs w:val="18"/>
              </w:rPr>
              <w:t>x (75 - 53.598009)</w:t>
            </w:r>
          </w:p>
        </w:tc>
        <w:tc>
          <w:tcPr>
            <w:tcW w:w="963" w:type="pct"/>
            <w:tcMar>
              <w:top w:w="0" w:type="dxa"/>
              <w:left w:w="108" w:type="dxa"/>
              <w:bottom w:w="0" w:type="dxa"/>
              <w:right w:w="108" w:type="dxa"/>
            </w:tcMar>
          </w:tcPr>
          <w:p w14:paraId="118ED0D1" w14:textId="77777777" w:rsidR="0013291D" w:rsidRPr="002F17DC" w:rsidRDefault="0013291D" w:rsidP="00AA021D">
            <w:pPr>
              <w:spacing w:before="60" w:after="60"/>
              <w:rPr>
                <w:rFonts w:cs="Segoe UI"/>
                <w:sz w:val="18"/>
                <w:szCs w:val="18"/>
              </w:rPr>
            </w:pPr>
            <w:r w:rsidRPr="002F17DC">
              <w:rPr>
                <w:rFonts w:cs="Segoe UI"/>
                <w:sz w:val="18"/>
                <w:szCs w:val="18"/>
              </w:rPr>
              <w:t>0.9084396</w:t>
            </w:r>
          </w:p>
        </w:tc>
      </w:tr>
      <w:tr w:rsidR="0013291D" w:rsidRPr="002F17DC" w14:paraId="24E89900" w14:textId="77777777" w:rsidTr="00AA021D">
        <w:trPr>
          <w:trHeight w:val="314"/>
        </w:trPr>
        <w:tc>
          <w:tcPr>
            <w:tcW w:w="1254" w:type="pct"/>
            <w:tcMar>
              <w:top w:w="0" w:type="dxa"/>
              <w:left w:w="108" w:type="dxa"/>
              <w:bottom w:w="0" w:type="dxa"/>
              <w:right w:w="108" w:type="dxa"/>
            </w:tcMar>
            <w:hideMark/>
          </w:tcPr>
          <w:p w14:paraId="3FBCB71C" w14:textId="77777777" w:rsidR="0013291D" w:rsidRPr="002F17DC" w:rsidRDefault="0013291D" w:rsidP="00906070">
            <w:pPr>
              <w:spacing w:before="60" w:after="60"/>
              <w:rPr>
                <w:rFonts w:cs="Segoe UI"/>
                <w:sz w:val="18"/>
                <w:szCs w:val="18"/>
              </w:rPr>
            </w:pPr>
            <w:r w:rsidRPr="002F17DC">
              <w:rPr>
                <w:rFonts w:cs="Segoe UI"/>
                <w:sz w:val="18"/>
                <w:szCs w:val="18"/>
                <w:lang w:val="en-GB"/>
              </w:rPr>
              <w:lastRenderedPageBreak/>
              <w:t>Māori</w:t>
            </w:r>
          </w:p>
        </w:tc>
        <w:tc>
          <w:tcPr>
            <w:tcW w:w="650" w:type="pct"/>
            <w:tcMar>
              <w:top w:w="0" w:type="dxa"/>
              <w:left w:w="108" w:type="dxa"/>
              <w:bottom w:w="0" w:type="dxa"/>
              <w:right w:w="108" w:type="dxa"/>
            </w:tcMar>
          </w:tcPr>
          <w:p w14:paraId="6083C1CB" w14:textId="77777777" w:rsidR="0013291D" w:rsidRPr="002F17DC" w:rsidRDefault="0013291D" w:rsidP="00906070">
            <w:pPr>
              <w:spacing w:before="60" w:after="60"/>
              <w:rPr>
                <w:rFonts w:cs="Segoe UI"/>
                <w:sz w:val="18"/>
                <w:szCs w:val="18"/>
              </w:rPr>
            </w:pPr>
          </w:p>
        </w:tc>
        <w:tc>
          <w:tcPr>
            <w:tcW w:w="2133" w:type="pct"/>
            <w:tcMar>
              <w:top w:w="0" w:type="dxa"/>
              <w:left w:w="108" w:type="dxa"/>
              <w:bottom w:w="0" w:type="dxa"/>
              <w:right w:w="108" w:type="dxa"/>
            </w:tcMar>
          </w:tcPr>
          <w:p w14:paraId="39AE716C" w14:textId="77777777" w:rsidR="0013291D" w:rsidRPr="002F17DC" w:rsidRDefault="0013291D" w:rsidP="00906070">
            <w:pPr>
              <w:spacing w:before="60" w:after="60"/>
              <w:rPr>
                <w:rFonts w:cs="Segoe UI"/>
                <w:sz w:val="18"/>
                <w:szCs w:val="18"/>
              </w:rPr>
            </w:pPr>
          </w:p>
        </w:tc>
        <w:tc>
          <w:tcPr>
            <w:tcW w:w="963" w:type="pct"/>
            <w:tcMar>
              <w:top w:w="0" w:type="dxa"/>
              <w:left w:w="108" w:type="dxa"/>
              <w:bottom w:w="0" w:type="dxa"/>
              <w:right w:w="108" w:type="dxa"/>
            </w:tcMar>
          </w:tcPr>
          <w:p w14:paraId="74420C8E" w14:textId="77777777" w:rsidR="0013291D" w:rsidRPr="002F17DC" w:rsidRDefault="0013291D">
            <w:pPr>
              <w:spacing w:before="60" w:after="60"/>
              <w:rPr>
                <w:rFonts w:cs="Segoe UI"/>
                <w:sz w:val="18"/>
                <w:szCs w:val="18"/>
              </w:rPr>
            </w:pPr>
          </w:p>
        </w:tc>
      </w:tr>
      <w:tr w:rsidR="0013291D" w:rsidRPr="002F17DC" w14:paraId="684B53B6" w14:textId="77777777" w:rsidTr="00AA021D">
        <w:trPr>
          <w:trHeight w:val="314"/>
        </w:trPr>
        <w:tc>
          <w:tcPr>
            <w:tcW w:w="1254" w:type="pct"/>
            <w:tcMar>
              <w:top w:w="0" w:type="dxa"/>
              <w:left w:w="108" w:type="dxa"/>
              <w:bottom w:w="0" w:type="dxa"/>
              <w:right w:w="108" w:type="dxa"/>
            </w:tcMar>
            <w:hideMark/>
          </w:tcPr>
          <w:p w14:paraId="0A4260C2" w14:textId="77777777" w:rsidR="0013291D" w:rsidRPr="002F17DC" w:rsidRDefault="0013291D" w:rsidP="00906070">
            <w:pPr>
              <w:spacing w:before="60" w:after="60"/>
              <w:rPr>
                <w:rFonts w:cs="Segoe UI"/>
                <w:sz w:val="18"/>
                <w:szCs w:val="18"/>
              </w:rPr>
            </w:pPr>
            <w:r w:rsidRPr="002F17DC">
              <w:rPr>
                <w:rFonts w:cs="Segoe UI"/>
                <w:sz w:val="18"/>
                <w:szCs w:val="18"/>
              </w:rPr>
              <w:t>Pacific</w:t>
            </w:r>
          </w:p>
        </w:tc>
        <w:tc>
          <w:tcPr>
            <w:tcW w:w="650" w:type="pct"/>
            <w:tcMar>
              <w:top w:w="0" w:type="dxa"/>
              <w:left w:w="108" w:type="dxa"/>
              <w:bottom w:w="0" w:type="dxa"/>
              <w:right w:w="108" w:type="dxa"/>
            </w:tcMar>
          </w:tcPr>
          <w:p w14:paraId="59858B3D"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2133" w:type="pct"/>
            <w:tcMar>
              <w:top w:w="0" w:type="dxa"/>
              <w:left w:w="108" w:type="dxa"/>
              <w:bottom w:w="0" w:type="dxa"/>
              <w:right w:w="108" w:type="dxa"/>
            </w:tcMar>
          </w:tcPr>
          <w:p w14:paraId="733B77AD" w14:textId="77777777" w:rsidR="0013291D" w:rsidRPr="002F17DC" w:rsidRDefault="0013291D" w:rsidP="00906070">
            <w:pPr>
              <w:spacing w:before="60" w:after="60"/>
              <w:rPr>
                <w:rFonts w:cs="Segoe UI"/>
                <w:sz w:val="18"/>
                <w:szCs w:val="18"/>
              </w:rPr>
            </w:pPr>
            <w:r w:rsidRPr="002F17DC">
              <w:rPr>
                <w:rFonts w:cs="Segoe UI"/>
                <w:sz w:val="18"/>
                <w:szCs w:val="18"/>
                <w:lang w:val="en-GB"/>
              </w:rPr>
              <w:t>-0.2533</w:t>
            </w:r>
            <w:r w:rsidRPr="002F17DC">
              <w:rPr>
                <w:rFonts w:cs="Segoe UI"/>
                <w:sz w:val="18"/>
                <w:szCs w:val="18"/>
              </w:rPr>
              <w:t>x 1</w:t>
            </w:r>
          </w:p>
        </w:tc>
        <w:tc>
          <w:tcPr>
            <w:tcW w:w="963" w:type="pct"/>
            <w:tcMar>
              <w:top w:w="0" w:type="dxa"/>
              <w:left w:w="108" w:type="dxa"/>
              <w:bottom w:w="0" w:type="dxa"/>
              <w:right w:w="108" w:type="dxa"/>
            </w:tcMar>
          </w:tcPr>
          <w:p w14:paraId="4B6B23DB" w14:textId="77777777" w:rsidR="0013291D" w:rsidRPr="002F17DC" w:rsidRDefault="0013291D" w:rsidP="00AA021D">
            <w:pPr>
              <w:spacing w:before="60" w:after="60"/>
              <w:rPr>
                <w:rFonts w:cs="Segoe UI"/>
                <w:sz w:val="18"/>
                <w:szCs w:val="18"/>
              </w:rPr>
            </w:pPr>
            <w:r w:rsidRPr="002F17DC">
              <w:rPr>
                <w:rFonts w:cs="Segoe UI"/>
                <w:sz w:val="18"/>
                <w:szCs w:val="18"/>
                <w:lang w:val="en-GB"/>
              </w:rPr>
              <w:t>-0.2533000</w:t>
            </w:r>
          </w:p>
        </w:tc>
      </w:tr>
      <w:tr w:rsidR="0013291D" w:rsidRPr="002F17DC" w14:paraId="463D65EF" w14:textId="77777777" w:rsidTr="00AA021D">
        <w:trPr>
          <w:trHeight w:val="314"/>
        </w:trPr>
        <w:tc>
          <w:tcPr>
            <w:tcW w:w="1254" w:type="pct"/>
            <w:tcMar>
              <w:top w:w="0" w:type="dxa"/>
              <w:left w:w="108" w:type="dxa"/>
              <w:bottom w:w="0" w:type="dxa"/>
              <w:right w:w="108" w:type="dxa"/>
            </w:tcMar>
            <w:hideMark/>
          </w:tcPr>
          <w:p w14:paraId="2CD74E13" w14:textId="77777777" w:rsidR="0013291D" w:rsidRPr="002F17DC" w:rsidRDefault="0013291D" w:rsidP="00906070">
            <w:pPr>
              <w:spacing w:before="60" w:after="60"/>
              <w:rPr>
                <w:rFonts w:cs="Segoe UI"/>
                <w:sz w:val="18"/>
                <w:szCs w:val="18"/>
              </w:rPr>
            </w:pPr>
            <w:r w:rsidRPr="002F17DC">
              <w:rPr>
                <w:rFonts w:cs="Segoe UI"/>
                <w:sz w:val="18"/>
                <w:szCs w:val="18"/>
              </w:rPr>
              <w:t>Indian/Other South Asian</w:t>
            </w:r>
          </w:p>
        </w:tc>
        <w:tc>
          <w:tcPr>
            <w:tcW w:w="650" w:type="pct"/>
            <w:tcMar>
              <w:top w:w="0" w:type="dxa"/>
              <w:left w:w="108" w:type="dxa"/>
              <w:bottom w:w="0" w:type="dxa"/>
              <w:right w:w="108" w:type="dxa"/>
            </w:tcMar>
          </w:tcPr>
          <w:p w14:paraId="202A6FDA" w14:textId="77777777" w:rsidR="0013291D" w:rsidRPr="002F17DC" w:rsidRDefault="0013291D" w:rsidP="00906070">
            <w:pPr>
              <w:spacing w:before="60" w:after="60"/>
              <w:rPr>
                <w:rFonts w:cs="Segoe UI"/>
                <w:sz w:val="18"/>
                <w:szCs w:val="18"/>
              </w:rPr>
            </w:pPr>
          </w:p>
        </w:tc>
        <w:tc>
          <w:tcPr>
            <w:tcW w:w="2133" w:type="pct"/>
            <w:tcMar>
              <w:top w:w="0" w:type="dxa"/>
              <w:left w:w="108" w:type="dxa"/>
              <w:bottom w:w="0" w:type="dxa"/>
              <w:right w:w="108" w:type="dxa"/>
            </w:tcMar>
          </w:tcPr>
          <w:p w14:paraId="1711C9A7" w14:textId="77777777" w:rsidR="0013291D" w:rsidRPr="002F17DC" w:rsidRDefault="0013291D" w:rsidP="00906070">
            <w:pPr>
              <w:spacing w:before="60" w:after="60"/>
              <w:rPr>
                <w:rFonts w:cs="Segoe UI"/>
                <w:sz w:val="18"/>
                <w:szCs w:val="18"/>
              </w:rPr>
            </w:pPr>
          </w:p>
        </w:tc>
        <w:tc>
          <w:tcPr>
            <w:tcW w:w="963" w:type="pct"/>
            <w:tcMar>
              <w:top w:w="0" w:type="dxa"/>
              <w:left w:w="108" w:type="dxa"/>
              <w:bottom w:w="0" w:type="dxa"/>
              <w:right w:w="108" w:type="dxa"/>
            </w:tcMar>
          </w:tcPr>
          <w:p w14:paraId="2071BBC6" w14:textId="77777777" w:rsidR="0013291D" w:rsidRPr="002F17DC" w:rsidRDefault="0013291D">
            <w:pPr>
              <w:spacing w:before="60" w:after="60"/>
              <w:rPr>
                <w:rFonts w:cs="Segoe UI"/>
                <w:sz w:val="18"/>
                <w:szCs w:val="18"/>
              </w:rPr>
            </w:pPr>
          </w:p>
        </w:tc>
      </w:tr>
      <w:tr w:rsidR="0013291D" w:rsidRPr="002F17DC" w14:paraId="6AFFE0E6" w14:textId="77777777" w:rsidTr="00AA021D">
        <w:trPr>
          <w:trHeight w:val="307"/>
        </w:trPr>
        <w:tc>
          <w:tcPr>
            <w:tcW w:w="1254" w:type="pct"/>
            <w:tcMar>
              <w:top w:w="0" w:type="dxa"/>
              <w:left w:w="108" w:type="dxa"/>
              <w:bottom w:w="0" w:type="dxa"/>
              <w:right w:w="108" w:type="dxa"/>
            </w:tcMar>
            <w:hideMark/>
          </w:tcPr>
          <w:p w14:paraId="3C7C54D8" w14:textId="77777777" w:rsidR="0013291D" w:rsidRPr="002F17DC" w:rsidRDefault="0013291D" w:rsidP="00906070">
            <w:pPr>
              <w:spacing w:before="60" w:after="60"/>
              <w:rPr>
                <w:rFonts w:cs="Segoe UI"/>
                <w:sz w:val="18"/>
                <w:szCs w:val="18"/>
              </w:rPr>
            </w:pPr>
            <w:r w:rsidRPr="002F17DC">
              <w:rPr>
                <w:rFonts w:cs="Segoe UI"/>
                <w:sz w:val="18"/>
                <w:szCs w:val="18"/>
              </w:rPr>
              <w:t>Chinese/Asian</w:t>
            </w:r>
          </w:p>
        </w:tc>
        <w:tc>
          <w:tcPr>
            <w:tcW w:w="650" w:type="pct"/>
            <w:tcMar>
              <w:top w:w="0" w:type="dxa"/>
              <w:left w:w="108" w:type="dxa"/>
              <w:bottom w:w="0" w:type="dxa"/>
              <w:right w:w="108" w:type="dxa"/>
            </w:tcMar>
          </w:tcPr>
          <w:p w14:paraId="25F3634D" w14:textId="77777777" w:rsidR="0013291D" w:rsidRPr="002F17DC" w:rsidRDefault="0013291D" w:rsidP="00906070">
            <w:pPr>
              <w:spacing w:before="60" w:after="60"/>
              <w:rPr>
                <w:rFonts w:cs="Segoe UI"/>
                <w:sz w:val="18"/>
                <w:szCs w:val="18"/>
              </w:rPr>
            </w:pPr>
          </w:p>
        </w:tc>
        <w:tc>
          <w:tcPr>
            <w:tcW w:w="2133" w:type="pct"/>
            <w:tcMar>
              <w:top w:w="0" w:type="dxa"/>
              <w:left w:w="108" w:type="dxa"/>
              <w:bottom w:w="0" w:type="dxa"/>
              <w:right w:w="108" w:type="dxa"/>
            </w:tcMar>
          </w:tcPr>
          <w:p w14:paraId="05355379" w14:textId="77777777" w:rsidR="0013291D" w:rsidRPr="002F17DC" w:rsidRDefault="0013291D" w:rsidP="00906070">
            <w:pPr>
              <w:spacing w:before="60" w:after="60"/>
              <w:rPr>
                <w:rFonts w:cs="Segoe UI"/>
                <w:sz w:val="18"/>
                <w:szCs w:val="18"/>
                <w:lang w:val="en-GB"/>
              </w:rPr>
            </w:pPr>
          </w:p>
        </w:tc>
        <w:tc>
          <w:tcPr>
            <w:tcW w:w="963" w:type="pct"/>
            <w:tcMar>
              <w:top w:w="0" w:type="dxa"/>
              <w:left w:w="108" w:type="dxa"/>
              <w:bottom w:w="0" w:type="dxa"/>
              <w:right w:w="108" w:type="dxa"/>
            </w:tcMar>
          </w:tcPr>
          <w:p w14:paraId="69CFFBE8" w14:textId="77777777" w:rsidR="0013291D" w:rsidRPr="002F17DC" w:rsidRDefault="0013291D">
            <w:pPr>
              <w:spacing w:before="60" w:after="60"/>
              <w:rPr>
                <w:rFonts w:cs="Segoe UI"/>
                <w:sz w:val="18"/>
                <w:szCs w:val="18"/>
              </w:rPr>
            </w:pPr>
          </w:p>
        </w:tc>
      </w:tr>
      <w:tr w:rsidR="0013291D" w:rsidRPr="002F17DC" w14:paraId="388667FE" w14:textId="77777777" w:rsidTr="00AA021D">
        <w:trPr>
          <w:trHeight w:val="268"/>
        </w:trPr>
        <w:tc>
          <w:tcPr>
            <w:tcW w:w="1254" w:type="pct"/>
            <w:tcMar>
              <w:top w:w="0" w:type="dxa"/>
              <w:left w:w="108" w:type="dxa"/>
              <w:bottom w:w="0" w:type="dxa"/>
              <w:right w:w="108" w:type="dxa"/>
            </w:tcMar>
            <w:hideMark/>
          </w:tcPr>
          <w:p w14:paraId="7563CDCA" w14:textId="2DB14FBE" w:rsidR="0013291D" w:rsidRPr="002F17DC" w:rsidRDefault="0013291D" w:rsidP="00906070">
            <w:pPr>
              <w:spacing w:before="60" w:after="60"/>
              <w:rPr>
                <w:rFonts w:cs="Segoe UI"/>
                <w:sz w:val="18"/>
                <w:szCs w:val="18"/>
              </w:rPr>
            </w:pPr>
            <w:proofErr w:type="spellStart"/>
            <w:r w:rsidRPr="002F17DC">
              <w:rPr>
                <w:rFonts w:cs="Segoe UI"/>
                <w:sz w:val="18"/>
                <w:szCs w:val="18"/>
              </w:rPr>
              <w:t>NZDep</w:t>
            </w:r>
            <w:proofErr w:type="spellEnd"/>
            <w:r w:rsidRPr="002F17DC">
              <w:rPr>
                <w:rFonts w:cs="Segoe UI"/>
                <w:sz w:val="18"/>
                <w:szCs w:val="18"/>
              </w:rPr>
              <w:t xml:space="preserve"> quintile</w:t>
            </w:r>
          </w:p>
        </w:tc>
        <w:tc>
          <w:tcPr>
            <w:tcW w:w="650" w:type="pct"/>
            <w:tcMar>
              <w:top w:w="0" w:type="dxa"/>
              <w:left w:w="108" w:type="dxa"/>
              <w:bottom w:w="0" w:type="dxa"/>
              <w:right w:w="108" w:type="dxa"/>
            </w:tcMar>
          </w:tcPr>
          <w:p w14:paraId="30B1EA8E" w14:textId="77777777" w:rsidR="0013291D" w:rsidRPr="002F17DC" w:rsidRDefault="0013291D" w:rsidP="00906070">
            <w:pPr>
              <w:spacing w:before="60" w:after="60"/>
              <w:rPr>
                <w:rFonts w:cs="Segoe UI"/>
                <w:sz w:val="18"/>
                <w:szCs w:val="18"/>
              </w:rPr>
            </w:pPr>
            <w:r w:rsidRPr="002F17DC">
              <w:rPr>
                <w:rFonts w:cs="Segoe UI"/>
                <w:sz w:val="18"/>
                <w:szCs w:val="18"/>
              </w:rPr>
              <w:t>3</w:t>
            </w:r>
          </w:p>
        </w:tc>
        <w:tc>
          <w:tcPr>
            <w:tcW w:w="2133" w:type="pct"/>
            <w:tcMar>
              <w:top w:w="0" w:type="dxa"/>
              <w:left w:w="108" w:type="dxa"/>
              <w:bottom w:w="0" w:type="dxa"/>
              <w:right w:w="108" w:type="dxa"/>
            </w:tcMar>
          </w:tcPr>
          <w:p w14:paraId="34800B13" w14:textId="77777777" w:rsidR="0013291D" w:rsidRPr="002F17DC" w:rsidRDefault="0013291D" w:rsidP="00906070">
            <w:pPr>
              <w:spacing w:before="60" w:after="60"/>
              <w:rPr>
                <w:rFonts w:cs="Segoe UI"/>
                <w:sz w:val="18"/>
                <w:szCs w:val="18"/>
              </w:rPr>
            </w:pPr>
            <w:r w:rsidRPr="002F17DC">
              <w:rPr>
                <w:rFonts w:cs="Segoe UI"/>
                <w:sz w:val="18"/>
                <w:szCs w:val="18"/>
                <w:lang w:val="en-GB"/>
              </w:rPr>
              <w:t xml:space="preserve">0.0699105 </w:t>
            </w:r>
            <w:r w:rsidRPr="002F17DC">
              <w:rPr>
                <w:rFonts w:cs="Segoe UI"/>
                <w:sz w:val="18"/>
                <w:szCs w:val="18"/>
              </w:rPr>
              <w:t>x (3 - 3.657006)</w:t>
            </w:r>
          </w:p>
        </w:tc>
        <w:tc>
          <w:tcPr>
            <w:tcW w:w="963" w:type="pct"/>
            <w:tcMar>
              <w:top w:w="0" w:type="dxa"/>
              <w:left w:w="108" w:type="dxa"/>
              <w:bottom w:w="0" w:type="dxa"/>
              <w:right w:w="108" w:type="dxa"/>
            </w:tcMar>
          </w:tcPr>
          <w:p w14:paraId="2F35A84D" w14:textId="77777777" w:rsidR="0013291D" w:rsidRPr="002F17DC" w:rsidRDefault="0013291D" w:rsidP="00AA021D">
            <w:pPr>
              <w:spacing w:before="60" w:after="60"/>
              <w:rPr>
                <w:rFonts w:cs="Segoe UI"/>
                <w:sz w:val="18"/>
                <w:szCs w:val="18"/>
              </w:rPr>
            </w:pPr>
            <w:r w:rsidRPr="002F17DC">
              <w:rPr>
                <w:rFonts w:cs="Segoe UI"/>
                <w:sz w:val="18"/>
                <w:szCs w:val="18"/>
              </w:rPr>
              <w:t>-0.0459316</w:t>
            </w:r>
          </w:p>
        </w:tc>
      </w:tr>
      <w:tr w:rsidR="0013291D" w:rsidRPr="002F17DC" w14:paraId="14C0B193" w14:textId="77777777" w:rsidTr="00AA021D">
        <w:trPr>
          <w:trHeight w:val="259"/>
        </w:trPr>
        <w:tc>
          <w:tcPr>
            <w:tcW w:w="1254" w:type="pct"/>
            <w:tcMar>
              <w:top w:w="0" w:type="dxa"/>
              <w:left w:w="108" w:type="dxa"/>
              <w:bottom w:w="0" w:type="dxa"/>
              <w:right w:w="108" w:type="dxa"/>
            </w:tcMar>
            <w:hideMark/>
          </w:tcPr>
          <w:p w14:paraId="175042D5" w14:textId="77777777" w:rsidR="0013291D" w:rsidRPr="002F17DC" w:rsidRDefault="0013291D" w:rsidP="00906070">
            <w:pPr>
              <w:spacing w:before="60" w:after="60"/>
              <w:rPr>
                <w:rFonts w:cs="Segoe UI"/>
                <w:sz w:val="18"/>
                <w:szCs w:val="18"/>
              </w:rPr>
            </w:pPr>
            <w:r w:rsidRPr="002F17DC">
              <w:rPr>
                <w:rFonts w:cs="Segoe UI"/>
                <w:sz w:val="18"/>
                <w:szCs w:val="18"/>
              </w:rPr>
              <w:t>Current</w:t>
            </w:r>
            <w:r>
              <w:rPr>
                <w:rFonts w:cs="Segoe UI"/>
                <w:sz w:val="18"/>
                <w:szCs w:val="18"/>
              </w:rPr>
              <w:t>ly</w:t>
            </w:r>
            <w:r w:rsidRPr="002F17DC">
              <w:rPr>
                <w:rFonts w:cs="Segoe UI"/>
                <w:sz w:val="18"/>
                <w:szCs w:val="18"/>
              </w:rPr>
              <w:t xml:space="preserve"> smok</w:t>
            </w:r>
            <w:r>
              <w:rPr>
                <w:rFonts w:cs="Segoe UI"/>
                <w:sz w:val="18"/>
                <w:szCs w:val="18"/>
              </w:rPr>
              <w:t>ing</w:t>
            </w:r>
          </w:p>
        </w:tc>
        <w:tc>
          <w:tcPr>
            <w:tcW w:w="650" w:type="pct"/>
            <w:tcMar>
              <w:top w:w="0" w:type="dxa"/>
              <w:left w:w="108" w:type="dxa"/>
              <w:bottom w:w="0" w:type="dxa"/>
              <w:right w:w="108" w:type="dxa"/>
            </w:tcMar>
          </w:tcPr>
          <w:p w14:paraId="6943DC52"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2133" w:type="pct"/>
            <w:tcMar>
              <w:top w:w="0" w:type="dxa"/>
              <w:left w:w="108" w:type="dxa"/>
              <w:bottom w:w="0" w:type="dxa"/>
              <w:right w:w="108" w:type="dxa"/>
            </w:tcMar>
          </w:tcPr>
          <w:p w14:paraId="6B681BC4" w14:textId="77777777" w:rsidR="0013291D" w:rsidRPr="002F17DC" w:rsidRDefault="0013291D" w:rsidP="00906070">
            <w:pPr>
              <w:spacing w:before="60" w:after="60"/>
              <w:rPr>
                <w:rFonts w:cs="Segoe UI"/>
                <w:sz w:val="18"/>
                <w:szCs w:val="18"/>
              </w:rPr>
            </w:pPr>
            <w:r w:rsidRPr="002F17DC">
              <w:rPr>
                <w:rFonts w:cs="Segoe UI"/>
                <w:sz w:val="18"/>
                <w:szCs w:val="18"/>
                <w:lang w:val="en-GB"/>
              </w:rPr>
              <w:t>0.4391752 x 0</w:t>
            </w:r>
          </w:p>
        </w:tc>
        <w:tc>
          <w:tcPr>
            <w:tcW w:w="963" w:type="pct"/>
            <w:tcMar>
              <w:top w:w="0" w:type="dxa"/>
              <w:left w:w="108" w:type="dxa"/>
              <w:bottom w:w="0" w:type="dxa"/>
              <w:right w:w="108" w:type="dxa"/>
            </w:tcMar>
          </w:tcPr>
          <w:p w14:paraId="13FE1036" w14:textId="77777777" w:rsidR="0013291D" w:rsidRPr="002F17DC" w:rsidRDefault="0013291D" w:rsidP="00AA021D">
            <w:pPr>
              <w:spacing w:before="60" w:after="60"/>
              <w:rPr>
                <w:rFonts w:cs="Segoe UI"/>
                <w:sz w:val="18"/>
                <w:szCs w:val="18"/>
              </w:rPr>
            </w:pPr>
            <w:r w:rsidRPr="002F17DC">
              <w:rPr>
                <w:rFonts w:cs="Segoe UI"/>
                <w:sz w:val="18"/>
                <w:szCs w:val="18"/>
              </w:rPr>
              <w:t>0</w:t>
            </w:r>
          </w:p>
        </w:tc>
      </w:tr>
      <w:tr w:rsidR="0013291D" w:rsidRPr="002F17DC" w14:paraId="206EDBEE" w14:textId="77777777" w:rsidTr="00AA021D">
        <w:trPr>
          <w:trHeight w:val="314"/>
        </w:trPr>
        <w:tc>
          <w:tcPr>
            <w:tcW w:w="1254" w:type="pct"/>
            <w:tcMar>
              <w:top w:w="0" w:type="dxa"/>
              <w:left w:w="108" w:type="dxa"/>
              <w:bottom w:w="0" w:type="dxa"/>
              <w:right w:w="108" w:type="dxa"/>
            </w:tcMar>
            <w:hideMark/>
          </w:tcPr>
          <w:p w14:paraId="3F691298" w14:textId="77777777" w:rsidR="0013291D" w:rsidRPr="002F17DC" w:rsidRDefault="0013291D" w:rsidP="00906070">
            <w:pPr>
              <w:spacing w:before="60" w:after="60"/>
              <w:rPr>
                <w:rFonts w:cs="Segoe UI"/>
                <w:sz w:val="18"/>
                <w:szCs w:val="18"/>
              </w:rPr>
            </w:pPr>
            <w:r w:rsidRPr="002F17DC">
              <w:rPr>
                <w:rFonts w:cs="Segoe UI"/>
                <w:sz w:val="18"/>
                <w:szCs w:val="18"/>
              </w:rPr>
              <w:t>Fam. hist. CVD</w:t>
            </w:r>
          </w:p>
        </w:tc>
        <w:tc>
          <w:tcPr>
            <w:tcW w:w="650" w:type="pct"/>
            <w:tcMar>
              <w:top w:w="0" w:type="dxa"/>
              <w:left w:w="108" w:type="dxa"/>
              <w:bottom w:w="0" w:type="dxa"/>
              <w:right w:w="108" w:type="dxa"/>
            </w:tcMar>
          </w:tcPr>
          <w:p w14:paraId="0950FFE7"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2133" w:type="pct"/>
            <w:tcMar>
              <w:top w:w="0" w:type="dxa"/>
              <w:left w:w="108" w:type="dxa"/>
              <w:bottom w:w="0" w:type="dxa"/>
              <w:right w:w="108" w:type="dxa"/>
            </w:tcMar>
          </w:tcPr>
          <w:p w14:paraId="0375F7FF" w14:textId="77777777" w:rsidR="0013291D" w:rsidRPr="002F17DC" w:rsidRDefault="0013291D" w:rsidP="00906070">
            <w:pPr>
              <w:spacing w:before="60" w:after="60"/>
              <w:rPr>
                <w:rFonts w:cs="Segoe UI"/>
                <w:sz w:val="18"/>
                <w:szCs w:val="18"/>
              </w:rPr>
            </w:pPr>
            <w:r w:rsidRPr="002F17DC">
              <w:rPr>
                <w:rFonts w:cs="Segoe UI"/>
                <w:sz w:val="18"/>
                <w:szCs w:val="18"/>
                <w:lang w:val="en-GB"/>
              </w:rPr>
              <w:t>0.1063846 x 0</w:t>
            </w:r>
          </w:p>
        </w:tc>
        <w:tc>
          <w:tcPr>
            <w:tcW w:w="963" w:type="pct"/>
            <w:tcMar>
              <w:top w:w="0" w:type="dxa"/>
              <w:left w:w="108" w:type="dxa"/>
              <w:bottom w:w="0" w:type="dxa"/>
              <w:right w:w="108" w:type="dxa"/>
            </w:tcMar>
          </w:tcPr>
          <w:p w14:paraId="5FB79227" w14:textId="77777777" w:rsidR="0013291D" w:rsidRPr="002F17DC" w:rsidRDefault="0013291D" w:rsidP="00AA021D">
            <w:pPr>
              <w:spacing w:before="60" w:after="60"/>
              <w:rPr>
                <w:rFonts w:cs="Segoe UI"/>
                <w:sz w:val="18"/>
                <w:szCs w:val="18"/>
              </w:rPr>
            </w:pPr>
            <w:r w:rsidRPr="002F17DC">
              <w:rPr>
                <w:rFonts w:cs="Segoe UI"/>
                <w:sz w:val="18"/>
                <w:szCs w:val="18"/>
              </w:rPr>
              <w:t>0</w:t>
            </w:r>
          </w:p>
        </w:tc>
      </w:tr>
      <w:tr w:rsidR="0013291D" w:rsidRPr="002F17DC" w14:paraId="64F6C63D" w14:textId="77777777" w:rsidTr="00AA021D">
        <w:trPr>
          <w:trHeight w:val="211"/>
        </w:trPr>
        <w:tc>
          <w:tcPr>
            <w:tcW w:w="1254" w:type="pct"/>
            <w:tcMar>
              <w:top w:w="0" w:type="dxa"/>
              <w:left w:w="108" w:type="dxa"/>
              <w:bottom w:w="0" w:type="dxa"/>
              <w:right w:w="108" w:type="dxa"/>
            </w:tcMar>
            <w:hideMark/>
          </w:tcPr>
          <w:p w14:paraId="57F7F34E" w14:textId="77777777" w:rsidR="0013291D" w:rsidRPr="002F17DC" w:rsidRDefault="0013291D" w:rsidP="00906070">
            <w:pPr>
              <w:spacing w:before="60" w:after="60"/>
              <w:rPr>
                <w:rFonts w:cs="Segoe UI"/>
                <w:sz w:val="18"/>
                <w:szCs w:val="18"/>
              </w:rPr>
            </w:pPr>
            <w:r w:rsidRPr="002F17DC">
              <w:rPr>
                <w:rFonts w:cs="Segoe UI"/>
                <w:sz w:val="18"/>
                <w:szCs w:val="18"/>
              </w:rPr>
              <w:t>Atrial fibrillation</w:t>
            </w:r>
          </w:p>
        </w:tc>
        <w:tc>
          <w:tcPr>
            <w:tcW w:w="650" w:type="pct"/>
            <w:tcMar>
              <w:top w:w="0" w:type="dxa"/>
              <w:left w:w="108" w:type="dxa"/>
              <w:bottom w:w="0" w:type="dxa"/>
              <w:right w:w="108" w:type="dxa"/>
            </w:tcMar>
          </w:tcPr>
          <w:p w14:paraId="05DBEE06"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2133" w:type="pct"/>
            <w:tcMar>
              <w:top w:w="0" w:type="dxa"/>
              <w:left w:w="108" w:type="dxa"/>
              <w:bottom w:w="0" w:type="dxa"/>
              <w:right w:w="108" w:type="dxa"/>
            </w:tcMar>
          </w:tcPr>
          <w:p w14:paraId="6146FD85" w14:textId="77777777" w:rsidR="0013291D" w:rsidRPr="002F17DC" w:rsidRDefault="0013291D" w:rsidP="00906070">
            <w:pPr>
              <w:spacing w:before="60" w:after="60"/>
              <w:rPr>
                <w:rFonts w:cs="Segoe UI"/>
                <w:sz w:val="18"/>
                <w:szCs w:val="18"/>
                <w:lang w:val="en-GB"/>
              </w:rPr>
            </w:pPr>
            <w:r w:rsidRPr="002F17DC">
              <w:rPr>
                <w:rFonts w:cs="Segoe UI"/>
                <w:sz w:val="18"/>
                <w:szCs w:val="18"/>
                <w:lang w:val="en-GB"/>
              </w:rPr>
              <w:t>0.7864886 x 0</w:t>
            </w:r>
          </w:p>
        </w:tc>
        <w:tc>
          <w:tcPr>
            <w:tcW w:w="963" w:type="pct"/>
            <w:tcMar>
              <w:top w:w="0" w:type="dxa"/>
              <w:left w:w="108" w:type="dxa"/>
              <w:bottom w:w="0" w:type="dxa"/>
              <w:right w:w="108" w:type="dxa"/>
            </w:tcMar>
          </w:tcPr>
          <w:p w14:paraId="7B78D0FF" w14:textId="77777777" w:rsidR="0013291D" w:rsidRPr="002F17DC" w:rsidRDefault="0013291D" w:rsidP="00AA021D">
            <w:pPr>
              <w:spacing w:before="60" w:after="60"/>
              <w:rPr>
                <w:rFonts w:cs="Segoe UI"/>
                <w:sz w:val="18"/>
                <w:szCs w:val="18"/>
                <w:lang w:val="en-GB"/>
              </w:rPr>
            </w:pPr>
            <w:r w:rsidRPr="002F17DC">
              <w:rPr>
                <w:rFonts w:cs="Segoe UI"/>
                <w:sz w:val="18"/>
                <w:szCs w:val="18"/>
                <w:lang w:val="en-GB"/>
              </w:rPr>
              <w:t>0</w:t>
            </w:r>
          </w:p>
        </w:tc>
      </w:tr>
      <w:tr w:rsidR="0013291D" w:rsidRPr="002F17DC" w14:paraId="1AEE64EA" w14:textId="77777777" w:rsidTr="00AA021D">
        <w:trPr>
          <w:trHeight w:val="314"/>
        </w:trPr>
        <w:tc>
          <w:tcPr>
            <w:tcW w:w="1254" w:type="pct"/>
            <w:tcMar>
              <w:top w:w="0" w:type="dxa"/>
              <w:left w:w="108" w:type="dxa"/>
              <w:bottom w:w="0" w:type="dxa"/>
              <w:right w:w="108" w:type="dxa"/>
            </w:tcMar>
            <w:hideMark/>
          </w:tcPr>
          <w:p w14:paraId="6A1FF8E2" w14:textId="064CF1EF" w:rsidR="0013291D" w:rsidRPr="002F17DC" w:rsidRDefault="0013291D" w:rsidP="00906070">
            <w:pPr>
              <w:spacing w:before="60" w:after="60"/>
              <w:rPr>
                <w:rFonts w:cs="Segoe UI"/>
                <w:sz w:val="18"/>
                <w:szCs w:val="18"/>
              </w:rPr>
            </w:pPr>
            <w:r w:rsidRPr="002F17DC">
              <w:rPr>
                <w:rFonts w:cs="Segoe UI"/>
                <w:sz w:val="18"/>
                <w:szCs w:val="18"/>
              </w:rPr>
              <w:t>SBP, mmHg</w:t>
            </w:r>
          </w:p>
        </w:tc>
        <w:tc>
          <w:tcPr>
            <w:tcW w:w="650" w:type="pct"/>
            <w:tcMar>
              <w:top w:w="0" w:type="dxa"/>
              <w:left w:w="108" w:type="dxa"/>
              <w:bottom w:w="0" w:type="dxa"/>
              <w:right w:w="108" w:type="dxa"/>
            </w:tcMar>
          </w:tcPr>
          <w:p w14:paraId="656FFE11" w14:textId="77777777" w:rsidR="0013291D" w:rsidRPr="002F17DC" w:rsidRDefault="0013291D" w:rsidP="00906070">
            <w:pPr>
              <w:spacing w:before="60" w:after="60"/>
              <w:rPr>
                <w:rFonts w:cs="Segoe UI"/>
                <w:sz w:val="18"/>
                <w:szCs w:val="18"/>
              </w:rPr>
            </w:pPr>
            <w:r w:rsidRPr="002F17DC">
              <w:rPr>
                <w:rFonts w:cs="Segoe UI"/>
                <w:sz w:val="18"/>
                <w:szCs w:val="18"/>
              </w:rPr>
              <w:t>130</w:t>
            </w:r>
          </w:p>
        </w:tc>
        <w:tc>
          <w:tcPr>
            <w:tcW w:w="2133" w:type="pct"/>
            <w:tcMar>
              <w:top w:w="0" w:type="dxa"/>
              <w:left w:w="108" w:type="dxa"/>
              <w:bottom w:w="0" w:type="dxa"/>
              <w:right w:w="108" w:type="dxa"/>
            </w:tcMar>
          </w:tcPr>
          <w:p w14:paraId="1472BA7B" w14:textId="77777777" w:rsidR="0013291D" w:rsidRPr="002F17DC" w:rsidRDefault="0013291D" w:rsidP="00906070">
            <w:pPr>
              <w:spacing w:before="60" w:after="60"/>
              <w:rPr>
                <w:rFonts w:cs="Segoe UI"/>
                <w:sz w:val="18"/>
                <w:szCs w:val="18"/>
              </w:rPr>
            </w:pPr>
            <w:r w:rsidRPr="002F17DC">
              <w:rPr>
                <w:rFonts w:cs="Segoe UI"/>
                <w:sz w:val="18"/>
                <w:szCs w:val="18"/>
                <w:lang w:val="en-GB"/>
              </w:rPr>
              <w:t xml:space="preserve">0.0127053 </w:t>
            </w:r>
            <w:r w:rsidRPr="002F17DC">
              <w:rPr>
                <w:rFonts w:cs="Segoe UI"/>
                <w:sz w:val="18"/>
                <w:szCs w:val="18"/>
              </w:rPr>
              <w:t>x (130 - 131.380365)</w:t>
            </w:r>
          </w:p>
        </w:tc>
        <w:tc>
          <w:tcPr>
            <w:tcW w:w="963" w:type="pct"/>
            <w:tcMar>
              <w:top w:w="0" w:type="dxa"/>
              <w:left w:w="108" w:type="dxa"/>
              <w:bottom w:w="0" w:type="dxa"/>
              <w:right w:w="108" w:type="dxa"/>
            </w:tcMar>
          </w:tcPr>
          <w:p w14:paraId="1068AE2B" w14:textId="77777777" w:rsidR="0013291D" w:rsidRPr="002F17DC" w:rsidRDefault="0013291D" w:rsidP="00AA021D">
            <w:pPr>
              <w:spacing w:before="60" w:after="60"/>
              <w:rPr>
                <w:rFonts w:cs="Segoe UI"/>
                <w:sz w:val="18"/>
                <w:szCs w:val="18"/>
              </w:rPr>
            </w:pPr>
            <w:r w:rsidRPr="002F17DC">
              <w:rPr>
                <w:rFonts w:cs="Segoe UI"/>
                <w:sz w:val="18"/>
                <w:szCs w:val="18"/>
              </w:rPr>
              <w:t>-0.0175380</w:t>
            </w:r>
          </w:p>
        </w:tc>
      </w:tr>
      <w:tr w:rsidR="0013291D" w:rsidRPr="002F17DC" w14:paraId="32B991EC" w14:textId="77777777" w:rsidTr="00AA021D">
        <w:trPr>
          <w:trHeight w:val="314"/>
        </w:trPr>
        <w:tc>
          <w:tcPr>
            <w:tcW w:w="1254" w:type="pct"/>
            <w:tcMar>
              <w:top w:w="0" w:type="dxa"/>
              <w:left w:w="108" w:type="dxa"/>
              <w:bottom w:w="0" w:type="dxa"/>
              <w:right w:w="108" w:type="dxa"/>
            </w:tcMar>
            <w:hideMark/>
          </w:tcPr>
          <w:p w14:paraId="46A22ED0" w14:textId="50EA235B" w:rsidR="0013291D" w:rsidRPr="002F17DC" w:rsidRDefault="0013291D" w:rsidP="00906070">
            <w:pPr>
              <w:spacing w:before="60" w:after="60"/>
              <w:rPr>
                <w:rFonts w:cs="Segoe UI"/>
                <w:sz w:val="18"/>
                <w:szCs w:val="18"/>
              </w:rPr>
            </w:pPr>
            <w:proofErr w:type="gramStart"/>
            <w:r w:rsidRPr="002F17DC">
              <w:rPr>
                <w:rFonts w:cs="Segoe UI"/>
                <w:sz w:val="18"/>
                <w:szCs w:val="18"/>
              </w:rPr>
              <w:t>TC:HDL</w:t>
            </w:r>
            <w:proofErr w:type="gramEnd"/>
          </w:p>
        </w:tc>
        <w:tc>
          <w:tcPr>
            <w:tcW w:w="650" w:type="pct"/>
            <w:tcMar>
              <w:top w:w="0" w:type="dxa"/>
              <w:left w:w="108" w:type="dxa"/>
              <w:bottom w:w="0" w:type="dxa"/>
              <w:right w:w="108" w:type="dxa"/>
            </w:tcMar>
          </w:tcPr>
          <w:p w14:paraId="05A895A8" w14:textId="77777777" w:rsidR="0013291D" w:rsidRPr="002F17DC" w:rsidRDefault="0013291D" w:rsidP="00906070">
            <w:pPr>
              <w:spacing w:before="60" w:after="60"/>
              <w:rPr>
                <w:rFonts w:cs="Segoe UI"/>
                <w:sz w:val="18"/>
                <w:szCs w:val="18"/>
              </w:rPr>
            </w:pPr>
            <w:r w:rsidRPr="002F17DC">
              <w:rPr>
                <w:rFonts w:cs="Segoe UI"/>
                <w:sz w:val="18"/>
                <w:szCs w:val="18"/>
              </w:rPr>
              <w:t>4</w:t>
            </w:r>
          </w:p>
        </w:tc>
        <w:tc>
          <w:tcPr>
            <w:tcW w:w="2133" w:type="pct"/>
            <w:tcMar>
              <w:top w:w="0" w:type="dxa"/>
              <w:left w:w="108" w:type="dxa"/>
              <w:bottom w:w="0" w:type="dxa"/>
              <w:right w:w="108" w:type="dxa"/>
            </w:tcMar>
          </w:tcPr>
          <w:p w14:paraId="2F81F273" w14:textId="77777777" w:rsidR="0013291D" w:rsidRPr="002F17DC" w:rsidRDefault="0013291D" w:rsidP="00906070">
            <w:pPr>
              <w:spacing w:before="60" w:after="60"/>
              <w:rPr>
                <w:rFonts w:cs="Segoe UI"/>
                <w:sz w:val="18"/>
                <w:szCs w:val="18"/>
              </w:rPr>
            </w:pPr>
            <w:r w:rsidRPr="002F17DC">
              <w:rPr>
                <w:rFonts w:cs="Segoe UI"/>
                <w:sz w:val="18"/>
                <w:szCs w:val="18"/>
                <w:lang w:val="en-GB"/>
              </w:rPr>
              <w:t xml:space="preserve">0.1139678 </w:t>
            </w:r>
            <w:r w:rsidRPr="002F17DC">
              <w:rPr>
                <w:rFonts w:cs="Segoe UI"/>
                <w:sz w:val="18"/>
                <w:szCs w:val="18"/>
              </w:rPr>
              <w:t>x (4 - 3.970698)</w:t>
            </w:r>
          </w:p>
        </w:tc>
        <w:tc>
          <w:tcPr>
            <w:tcW w:w="963" w:type="pct"/>
            <w:tcMar>
              <w:top w:w="0" w:type="dxa"/>
              <w:left w:w="108" w:type="dxa"/>
              <w:bottom w:w="0" w:type="dxa"/>
              <w:right w:w="108" w:type="dxa"/>
            </w:tcMar>
          </w:tcPr>
          <w:p w14:paraId="273EE3E5" w14:textId="77777777" w:rsidR="0013291D" w:rsidRPr="002F17DC" w:rsidRDefault="0013291D" w:rsidP="00AA021D">
            <w:pPr>
              <w:spacing w:before="60" w:after="60"/>
              <w:rPr>
                <w:rFonts w:cs="Segoe UI"/>
                <w:sz w:val="18"/>
                <w:szCs w:val="18"/>
              </w:rPr>
            </w:pPr>
            <w:r w:rsidRPr="002F17DC">
              <w:rPr>
                <w:rFonts w:cs="Segoe UI"/>
                <w:sz w:val="18"/>
                <w:szCs w:val="18"/>
              </w:rPr>
              <w:t>0.0033395</w:t>
            </w:r>
          </w:p>
        </w:tc>
      </w:tr>
      <w:tr w:rsidR="0013291D" w:rsidRPr="002F17DC" w14:paraId="235510D3" w14:textId="77777777" w:rsidTr="00AA021D">
        <w:trPr>
          <w:trHeight w:val="314"/>
        </w:trPr>
        <w:tc>
          <w:tcPr>
            <w:tcW w:w="1254" w:type="pct"/>
            <w:tcMar>
              <w:top w:w="0" w:type="dxa"/>
              <w:left w:w="108" w:type="dxa"/>
              <w:bottom w:w="0" w:type="dxa"/>
              <w:right w:w="108" w:type="dxa"/>
            </w:tcMar>
          </w:tcPr>
          <w:p w14:paraId="141FDA63" w14:textId="661EAAFB" w:rsidR="0013291D" w:rsidRPr="002F17DC" w:rsidRDefault="0013291D" w:rsidP="00906070">
            <w:pPr>
              <w:spacing w:before="60" w:after="60"/>
              <w:rPr>
                <w:rFonts w:cs="Segoe UI"/>
                <w:sz w:val="18"/>
                <w:szCs w:val="18"/>
              </w:rPr>
            </w:pPr>
            <w:r w:rsidRPr="002F17DC">
              <w:rPr>
                <w:rFonts w:cs="Segoe UI"/>
                <w:sz w:val="18"/>
                <w:szCs w:val="18"/>
              </w:rPr>
              <w:t>BMI, kg/m</w:t>
            </w:r>
            <w:r w:rsidRPr="002F17DC">
              <w:rPr>
                <w:rFonts w:cs="Segoe UI"/>
                <w:sz w:val="18"/>
                <w:szCs w:val="18"/>
                <w:vertAlign w:val="superscript"/>
              </w:rPr>
              <w:t>2</w:t>
            </w:r>
          </w:p>
        </w:tc>
        <w:tc>
          <w:tcPr>
            <w:tcW w:w="650" w:type="pct"/>
            <w:tcMar>
              <w:top w:w="0" w:type="dxa"/>
              <w:left w:w="108" w:type="dxa"/>
              <w:bottom w:w="0" w:type="dxa"/>
              <w:right w:w="108" w:type="dxa"/>
            </w:tcMar>
          </w:tcPr>
          <w:p w14:paraId="01E44A2A" w14:textId="77777777" w:rsidR="0013291D" w:rsidRPr="002F17DC" w:rsidRDefault="0013291D" w:rsidP="00906070">
            <w:pPr>
              <w:spacing w:before="60" w:after="60"/>
              <w:rPr>
                <w:rFonts w:cs="Segoe UI"/>
                <w:sz w:val="18"/>
                <w:szCs w:val="18"/>
              </w:rPr>
            </w:pPr>
            <w:r w:rsidRPr="002F17DC">
              <w:rPr>
                <w:rFonts w:cs="Segoe UI"/>
                <w:sz w:val="18"/>
                <w:szCs w:val="18"/>
              </w:rPr>
              <w:t>31</w:t>
            </w:r>
          </w:p>
        </w:tc>
        <w:tc>
          <w:tcPr>
            <w:tcW w:w="2133" w:type="pct"/>
            <w:tcMar>
              <w:top w:w="0" w:type="dxa"/>
              <w:left w:w="108" w:type="dxa"/>
              <w:bottom w:w="0" w:type="dxa"/>
              <w:right w:w="108" w:type="dxa"/>
            </w:tcMar>
          </w:tcPr>
          <w:p w14:paraId="2DFDEEE5" w14:textId="77777777" w:rsidR="0013291D" w:rsidRPr="002F17DC" w:rsidRDefault="0013291D" w:rsidP="00906070">
            <w:pPr>
              <w:spacing w:before="60" w:after="60"/>
              <w:rPr>
                <w:rFonts w:cs="Segoe UI"/>
                <w:sz w:val="18"/>
                <w:szCs w:val="18"/>
              </w:rPr>
            </w:pPr>
            <w:r w:rsidRPr="002F17DC">
              <w:rPr>
                <w:rFonts w:cs="Segoe UI"/>
                <w:sz w:val="18"/>
                <w:szCs w:val="18"/>
                <w:lang w:val="en-GB"/>
              </w:rPr>
              <w:t xml:space="preserve">0.0073966 </w:t>
            </w:r>
            <w:r w:rsidRPr="002F17DC">
              <w:rPr>
                <w:rFonts w:cs="Segoe UI"/>
                <w:sz w:val="18"/>
                <w:szCs w:val="18"/>
              </w:rPr>
              <w:t>x (31 - 33.515572)</w:t>
            </w:r>
          </w:p>
        </w:tc>
        <w:tc>
          <w:tcPr>
            <w:tcW w:w="963" w:type="pct"/>
            <w:tcMar>
              <w:top w:w="0" w:type="dxa"/>
              <w:left w:w="108" w:type="dxa"/>
              <w:bottom w:w="0" w:type="dxa"/>
              <w:right w:w="108" w:type="dxa"/>
            </w:tcMar>
          </w:tcPr>
          <w:p w14:paraId="01C2A588" w14:textId="77777777" w:rsidR="0013291D" w:rsidRPr="002F17DC" w:rsidRDefault="0013291D" w:rsidP="00AA021D">
            <w:pPr>
              <w:spacing w:before="60" w:after="60"/>
              <w:rPr>
                <w:rFonts w:cs="Segoe UI"/>
                <w:sz w:val="18"/>
                <w:szCs w:val="18"/>
              </w:rPr>
            </w:pPr>
            <w:r w:rsidRPr="002F17DC">
              <w:rPr>
                <w:rFonts w:cs="Segoe UI"/>
                <w:sz w:val="18"/>
                <w:szCs w:val="18"/>
              </w:rPr>
              <w:t>-0.0186067</w:t>
            </w:r>
          </w:p>
        </w:tc>
      </w:tr>
      <w:tr w:rsidR="0013291D" w:rsidRPr="002F17DC" w14:paraId="7F0A1825" w14:textId="77777777" w:rsidTr="00AA021D">
        <w:trPr>
          <w:trHeight w:val="314"/>
        </w:trPr>
        <w:tc>
          <w:tcPr>
            <w:tcW w:w="1254" w:type="pct"/>
            <w:tcMar>
              <w:top w:w="0" w:type="dxa"/>
              <w:left w:w="108" w:type="dxa"/>
              <w:bottom w:w="0" w:type="dxa"/>
              <w:right w:w="108" w:type="dxa"/>
            </w:tcMar>
          </w:tcPr>
          <w:p w14:paraId="11732DE6" w14:textId="41923AF9" w:rsidR="0013291D" w:rsidRPr="002F17DC" w:rsidRDefault="0013291D" w:rsidP="00906070">
            <w:pPr>
              <w:spacing w:before="60" w:after="60"/>
              <w:rPr>
                <w:rFonts w:cs="Segoe UI"/>
                <w:sz w:val="18"/>
                <w:szCs w:val="18"/>
                <w:vertAlign w:val="superscript"/>
              </w:rPr>
            </w:pPr>
            <w:r w:rsidRPr="002F17DC">
              <w:rPr>
                <w:rFonts w:cs="Segoe UI"/>
                <w:sz w:val="18"/>
                <w:szCs w:val="18"/>
              </w:rPr>
              <w:t>Years since diagnosis of type 2 diabetes</w:t>
            </w:r>
          </w:p>
        </w:tc>
        <w:tc>
          <w:tcPr>
            <w:tcW w:w="650" w:type="pct"/>
            <w:tcMar>
              <w:top w:w="0" w:type="dxa"/>
              <w:left w:w="108" w:type="dxa"/>
              <w:bottom w:w="0" w:type="dxa"/>
              <w:right w:w="108" w:type="dxa"/>
            </w:tcMar>
          </w:tcPr>
          <w:p w14:paraId="49AD1EEA" w14:textId="77777777" w:rsidR="0013291D" w:rsidRPr="002F17DC" w:rsidRDefault="0013291D" w:rsidP="00906070">
            <w:pPr>
              <w:spacing w:before="60" w:after="60"/>
              <w:rPr>
                <w:rFonts w:cs="Segoe UI"/>
                <w:sz w:val="18"/>
                <w:szCs w:val="18"/>
              </w:rPr>
            </w:pPr>
            <w:r w:rsidRPr="002F17DC">
              <w:rPr>
                <w:rFonts w:cs="Segoe UI"/>
                <w:sz w:val="18"/>
                <w:szCs w:val="18"/>
              </w:rPr>
              <w:t>3</w:t>
            </w:r>
          </w:p>
        </w:tc>
        <w:tc>
          <w:tcPr>
            <w:tcW w:w="2133" w:type="pct"/>
            <w:tcMar>
              <w:top w:w="0" w:type="dxa"/>
              <w:left w:w="108" w:type="dxa"/>
              <w:bottom w:w="0" w:type="dxa"/>
              <w:right w:w="108" w:type="dxa"/>
            </w:tcMar>
          </w:tcPr>
          <w:p w14:paraId="1187DA84" w14:textId="77777777" w:rsidR="0013291D" w:rsidRPr="002F17DC" w:rsidRDefault="0013291D" w:rsidP="00906070">
            <w:pPr>
              <w:spacing w:before="60" w:after="60"/>
              <w:rPr>
                <w:rFonts w:cs="Segoe UI"/>
                <w:sz w:val="18"/>
                <w:szCs w:val="18"/>
              </w:rPr>
            </w:pPr>
            <w:r w:rsidRPr="002F17DC">
              <w:rPr>
                <w:rFonts w:cs="Segoe UI"/>
                <w:sz w:val="18"/>
                <w:szCs w:val="18"/>
              </w:rPr>
              <w:t>0.0163962</w:t>
            </w:r>
            <w:r w:rsidRPr="002F17DC">
              <w:rPr>
                <w:rFonts w:cs="Segoe UI"/>
                <w:sz w:val="18"/>
                <w:szCs w:val="18"/>
                <w:lang w:val="en-GB"/>
              </w:rPr>
              <w:t xml:space="preserve">x (3 - </w:t>
            </w:r>
            <w:r w:rsidRPr="002F17DC">
              <w:rPr>
                <w:rFonts w:cs="Segoe UI"/>
                <w:sz w:val="18"/>
                <w:szCs w:val="18"/>
              </w:rPr>
              <w:t>5.406364)</w:t>
            </w:r>
          </w:p>
        </w:tc>
        <w:tc>
          <w:tcPr>
            <w:tcW w:w="963" w:type="pct"/>
            <w:tcMar>
              <w:top w:w="0" w:type="dxa"/>
              <w:left w:w="108" w:type="dxa"/>
              <w:bottom w:w="0" w:type="dxa"/>
              <w:right w:w="108" w:type="dxa"/>
            </w:tcMar>
          </w:tcPr>
          <w:p w14:paraId="23D6B5D3" w14:textId="77777777" w:rsidR="0013291D" w:rsidRPr="002F17DC" w:rsidRDefault="0013291D" w:rsidP="00AA021D">
            <w:pPr>
              <w:spacing w:before="60" w:after="60"/>
              <w:rPr>
                <w:rFonts w:cs="Segoe UI"/>
                <w:sz w:val="18"/>
                <w:szCs w:val="18"/>
              </w:rPr>
            </w:pPr>
            <w:r w:rsidRPr="002F17DC">
              <w:rPr>
                <w:rFonts w:cs="Segoe UI"/>
                <w:sz w:val="18"/>
                <w:szCs w:val="18"/>
              </w:rPr>
              <w:t>-0.0394552</w:t>
            </w:r>
          </w:p>
        </w:tc>
      </w:tr>
      <w:tr w:rsidR="0013291D" w:rsidRPr="002F17DC" w14:paraId="3C8DD830" w14:textId="77777777" w:rsidTr="00AA021D">
        <w:trPr>
          <w:trHeight w:val="314"/>
        </w:trPr>
        <w:tc>
          <w:tcPr>
            <w:tcW w:w="1254" w:type="pct"/>
            <w:tcMar>
              <w:top w:w="0" w:type="dxa"/>
              <w:left w:w="108" w:type="dxa"/>
              <w:bottom w:w="0" w:type="dxa"/>
              <w:right w:w="108" w:type="dxa"/>
            </w:tcMar>
          </w:tcPr>
          <w:p w14:paraId="414D41FF" w14:textId="225D81BF" w:rsidR="0013291D" w:rsidRPr="002F17DC" w:rsidRDefault="0013291D" w:rsidP="00906070">
            <w:pPr>
              <w:spacing w:before="60" w:after="60"/>
              <w:rPr>
                <w:rFonts w:cs="Segoe UI"/>
                <w:sz w:val="18"/>
                <w:szCs w:val="18"/>
              </w:rPr>
            </w:pPr>
            <w:r w:rsidRPr="002F17DC">
              <w:rPr>
                <w:rFonts w:cs="Segoe UI"/>
                <w:sz w:val="18"/>
                <w:szCs w:val="18"/>
              </w:rPr>
              <w:t>eGFR, mL/min/1.73 m</w:t>
            </w:r>
            <w:r w:rsidRPr="002F17DC">
              <w:rPr>
                <w:rFonts w:cs="Segoe UI"/>
                <w:sz w:val="18"/>
                <w:szCs w:val="18"/>
                <w:vertAlign w:val="superscript"/>
              </w:rPr>
              <w:t>2</w:t>
            </w:r>
          </w:p>
        </w:tc>
        <w:tc>
          <w:tcPr>
            <w:tcW w:w="650" w:type="pct"/>
            <w:tcMar>
              <w:top w:w="0" w:type="dxa"/>
              <w:left w:w="108" w:type="dxa"/>
              <w:bottom w:w="0" w:type="dxa"/>
              <w:right w:w="108" w:type="dxa"/>
            </w:tcMar>
          </w:tcPr>
          <w:p w14:paraId="5D8040B3" w14:textId="77777777" w:rsidR="0013291D" w:rsidRPr="002F17DC" w:rsidRDefault="0013291D" w:rsidP="00906070">
            <w:pPr>
              <w:spacing w:before="60" w:after="60"/>
              <w:rPr>
                <w:rFonts w:cs="Segoe UI"/>
                <w:sz w:val="18"/>
                <w:szCs w:val="18"/>
              </w:rPr>
            </w:pPr>
            <w:r w:rsidRPr="002F17DC">
              <w:rPr>
                <w:rFonts w:cs="Segoe UI"/>
                <w:sz w:val="18"/>
                <w:szCs w:val="18"/>
              </w:rPr>
              <w:t>92</w:t>
            </w:r>
          </w:p>
        </w:tc>
        <w:tc>
          <w:tcPr>
            <w:tcW w:w="2133" w:type="pct"/>
            <w:tcMar>
              <w:top w:w="0" w:type="dxa"/>
              <w:left w:w="108" w:type="dxa"/>
              <w:bottom w:w="0" w:type="dxa"/>
              <w:right w:w="108" w:type="dxa"/>
            </w:tcMar>
          </w:tcPr>
          <w:p w14:paraId="1C3EFB41" w14:textId="77777777" w:rsidR="0013291D" w:rsidRPr="002F17DC" w:rsidRDefault="0013291D" w:rsidP="00906070">
            <w:pPr>
              <w:spacing w:before="60" w:after="60"/>
              <w:rPr>
                <w:rFonts w:cs="Segoe UI"/>
                <w:sz w:val="18"/>
                <w:szCs w:val="18"/>
              </w:rPr>
            </w:pPr>
            <w:r w:rsidRPr="002F17DC">
              <w:rPr>
                <w:rFonts w:cs="Segoe UI"/>
                <w:sz w:val="18"/>
                <w:szCs w:val="18"/>
              </w:rPr>
              <w:t xml:space="preserve">-0.0090784 </w:t>
            </w:r>
            <w:r w:rsidRPr="002F17DC">
              <w:rPr>
                <w:rFonts w:cs="Segoe UI"/>
                <w:sz w:val="18"/>
                <w:szCs w:val="18"/>
                <w:lang w:val="en-GB"/>
              </w:rPr>
              <w:t xml:space="preserve">x (92 - </w:t>
            </w:r>
            <w:r w:rsidRPr="002F17DC">
              <w:rPr>
                <w:rFonts w:cs="Segoe UI"/>
                <w:sz w:val="18"/>
                <w:szCs w:val="18"/>
              </w:rPr>
              <w:t>89.558866)</w:t>
            </w:r>
          </w:p>
        </w:tc>
        <w:tc>
          <w:tcPr>
            <w:tcW w:w="963" w:type="pct"/>
            <w:tcMar>
              <w:top w:w="0" w:type="dxa"/>
              <w:left w:w="108" w:type="dxa"/>
              <w:bottom w:w="0" w:type="dxa"/>
              <w:right w:w="108" w:type="dxa"/>
            </w:tcMar>
          </w:tcPr>
          <w:p w14:paraId="3739B97E" w14:textId="77777777" w:rsidR="0013291D" w:rsidRPr="002F17DC" w:rsidRDefault="0013291D" w:rsidP="00AA021D">
            <w:pPr>
              <w:spacing w:before="60" w:after="60"/>
              <w:rPr>
                <w:rFonts w:cs="Segoe UI"/>
                <w:sz w:val="18"/>
                <w:szCs w:val="18"/>
              </w:rPr>
            </w:pPr>
            <w:r w:rsidRPr="002F17DC">
              <w:rPr>
                <w:rFonts w:cs="Segoe UI"/>
                <w:sz w:val="18"/>
                <w:szCs w:val="18"/>
              </w:rPr>
              <w:t>-0.0221616</w:t>
            </w:r>
          </w:p>
        </w:tc>
      </w:tr>
      <w:tr w:rsidR="0013291D" w:rsidRPr="002F17DC" w14:paraId="7C5F285A" w14:textId="77777777" w:rsidTr="00AA021D">
        <w:trPr>
          <w:trHeight w:val="314"/>
        </w:trPr>
        <w:tc>
          <w:tcPr>
            <w:tcW w:w="1254" w:type="pct"/>
            <w:tcMar>
              <w:top w:w="0" w:type="dxa"/>
              <w:left w:w="108" w:type="dxa"/>
              <w:bottom w:w="0" w:type="dxa"/>
              <w:right w:w="108" w:type="dxa"/>
            </w:tcMar>
          </w:tcPr>
          <w:p w14:paraId="28AB72DE" w14:textId="5DBC2630" w:rsidR="0013291D" w:rsidRPr="002F17DC" w:rsidRDefault="0013291D" w:rsidP="00906070">
            <w:pPr>
              <w:spacing w:before="60" w:after="60"/>
              <w:rPr>
                <w:rFonts w:cs="Segoe UI"/>
                <w:sz w:val="18"/>
                <w:szCs w:val="18"/>
              </w:rPr>
            </w:pPr>
            <w:r w:rsidRPr="002F17DC">
              <w:rPr>
                <w:rFonts w:cs="Segoe UI"/>
                <w:sz w:val="18"/>
                <w:szCs w:val="18"/>
              </w:rPr>
              <w:t>ACR, mg/mmol</w:t>
            </w:r>
          </w:p>
        </w:tc>
        <w:tc>
          <w:tcPr>
            <w:tcW w:w="650" w:type="pct"/>
            <w:tcMar>
              <w:top w:w="0" w:type="dxa"/>
              <w:left w:w="108" w:type="dxa"/>
              <w:bottom w:w="0" w:type="dxa"/>
              <w:right w:w="108" w:type="dxa"/>
            </w:tcMar>
          </w:tcPr>
          <w:p w14:paraId="63267490" w14:textId="77777777" w:rsidR="0013291D" w:rsidRPr="002F17DC" w:rsidRDefault="0013291D" w:rsidP="00906070">
            <w:pPr>
              <w:spacing w:before="60" w:after="60"/>
              <w:rPr>
                <w:rFonts w:cs="Segoe UI"/>
                <w:sz w:val="18"/>
                <w:szCs w:val="18"/>
              </w:rPr>
            </w:pPr>
            <w:r w:rsidRPr="002F17DC">
              <w:rPr>
                <w:rFonts w:cs="Segoe UI"/>
                <w:sz w:val="18"/>
                <w:szCs w:val="18"/>
              </w:rPr>
              <w:t>1.4</w:t>
            </w:r>
          </w:p>
        </w:tc>
        <w:tc>
          <w:tcPr>
            <w:tcW w:w="2133" w:type="pct"/>
            <w:tcMar>
              <w:top w:w="0" w:type="dxa"/>
              <w:left w:w="108" w:type="dxa"/>
              <w:bottom w:w="0" w:type="dxa"/>
              <w:right w:w="108" w:type="dxa"/>
            </w:tcMar>
          </w:tcPr>
          <w:p w14:paraId="5EF3CEDA" w14:textId="26254834" w:rsidR="0013291D" w:rsidRPr="00AA021D" w:rsidRDefault="0013291D" w:rsidP="00906070">
            <w:pPr>
              <w:spacing w:before="60" w:after="60"/>
              <w:rPr>
                <w:rFonts w:cs="Segoe UI"/>
                <w:sz w:val="18"/>
                <w:szCs w:val="18"/>
                <w:lang w:val="en-GB"/>
              </w:rPr>
            </w:pPr>
            <w:r w:rsidRPr="002F17DC">
              <w:rPr>
                <w:rFonts w:cs="Segoe UI"/>
                <w:sz w:val="18"/>
                <w:szCs w:val="18"/>
                <w:lang w:val="en-GB"/>
              </w:rPr>
              <w:t>0.</w:t>
            </w:r>
            <w:r w:rsidRPr="002F17DC">
              <w:rPr>
                <w:rFonts w:cs="Segoe UI"/>
                <w:sz w:val="18"/>
                <w:szCs w:val="18"/>
              </w:rPr>
              <w:t xml:space="preserve"> 1842885</w:t>
            </w:r>
            <w:r w:rsidRPr="002F17DC">
              <w:rPr>
                <w:rFonts w:cs="Segoe UI"/>
                <w:sz w:val="18"/>
                <w:szCs w:val="18"/>
                <w:lang w:val="en-GB"/>
              </w:rPr>
              <w:t xml:space="preserve"> x (log</w:t>
            </w:r>
            <w:r w:rsidRPr="002F17DC">
              <w:rPr>
                <w:rFonts w:cs="Segoe UI"/>
                <w:sz w:val="18"/>
                <w:szCs w:val="18"/>
                <w:vertAlign w:val="subscript"/>
                <w:lang w:val="en-GB"/>
              </w:rPr>
              <w:t>e</w:t>
            </w:r>
            <w:r w:rsidRPr="002F17DC">
              <w:rPr>
                <w:rFonts w:cs="Segoe UI"/>
                <w:sz w:val="18"/>
                <w:szCs w:val="18"/>
                <w:lang w:val="en-GB"/>
              </w:rPr>
              <w:t>(X)* - (-</w:t>
            </w:r>
            <w:r w:rsidRPr="002F17DC">
              <w:rPr>
                <w:rFonts w:cs="Segoe UI"/>
                <w:sz w:val="18"/>
                <w:szCs w:val="18"/>
              </w:rPr>
              <w:t>4.314302355</w:t>
            </w:r>
            <w:r w:rsidRPr="002F17DC">
              <w:rPr>
                <w:rFonts w:cs="Segoe UI"/>
                <w:sz w:val="18"/>
                <w:szCs w:val="18"/>
                <w:lang w:val="en-GB"/>
              </w:rPr>
              <w:t>))</w:t>
            </w:r>
            <w:r w:rsidR="0072556C">
              <w:rPr>
                <w:rFonts w:cs="Segoe UI"/>
                <w:sz w:val="18"/>
                <w:szCs w:val="18"/>
                <w:lang w:val="en-GB"/>
              </w:rPr>
              <w:br/>
            </w:r>
            <w:r w:rsidRPr="002F17DC">
              <w:rPr>
                <w:rFonts w:cs="Segoe UI"/>
                <w:sz w:val="18"/>
                <w:szCs w:val="18"/>
                <w:lang w:val="en-GB"/>
              </w:rPr>
              <w:t xml:space="preserve">where X = </w:t>
            </w:r>
            <w:r w:rsidR="0072556C">
              <w:rPr>
                <w:rFonts w:cs="Segoe UI"/>
                <w:sz w:val="18"/>
                <w:szCs w:val="18"/>
                <w:lang w:val="en-GB"/>
              </w:rPr>
              <w:br/>
            </w:r>
            <w:r w:rsidRPr="002F17DC">
              <w:rPr>
                <w:rFonts w:cs="Segoe UI"/>
                <w:sz w:val="18"/>
                <w:szCs w:val="18"/>
                <w:lang w:val="en-GB"/>
              </w:rPr>
              <w:t xml:space="preserve">(ACR + </w:t>
            </w:r>
            <w:r w:rsidRPr="002F17DC">
              <w:rPr>
                <w:rFonts w:cs="Segoe UI"/>
                <w:sz w:val="18"/>
                <w:szCs w:val="18"/>
              </w:rPr>
              <w:t>0.0099999997764826)/1000</w:t>
            </w:r>
          </w:p>
        </w:tc>
        <w:tc>
          <w:tcPr>
            <w:tcW w:w="963" w:type="pct"/>
            <w:tcMar>
              <w:top w:w="0" w:type="dxa"/>
              <w:left w:w="108" w:type="dxa"/>
              <w:bottom w:w="0" w:type="dxa"/>
              <w:right w:w="108" w:type="dxa"/>
            </w:tcMar>
          </w:tcPr>
          <w:p w14:paraId="4A536539" w14:textId="77777777" w:rsidR="0013291D" w:rsidRPr="002F17DC" w:rsidRDefault="0013291D" w:rsidP="00AA021D">
            <w:pPr>
              <w:spacing w:before="60" w:after="60"/>
              <w:rPr>
                <w:rFonts w:cs="Segoe UI"/>
                <w:sz w:val="18"/>
                <w:szCs w:val="18"/>
              </w:rPr>
            </w:pPr>
            <w:r w:rsidRPr="002F17DC">
              <w:rPr>
                <w:rFonts w:cs="Segoe UI"/>
                <w:sz w:val="18"/>
                <w:szCs w:val="18"/>
              </w:rPr>
              <w:t>-0.4146239</w:t>
            </w:r>
          </w:p>
        </w:tc>
      </w:tr>
      <w:tr w:rsidR="0013291D" w:rsidRPr="002F17DC" w14:paraId="08532135" w14:textId="77777777" w:rsidTr="00AA021D">
        <w:trPr>
          <w:trHeight w:val="314"/>
        </w:trPr>
        <w:tc>
          <w:tcPr>
            <w:tcW w:w="1254" w:type="pct"/>
            <w:tcMar>
              <w:top w:w="0" w:type="dxa"/>
              <w:left w:w="108" w:type="dxa"/>
              <w:bottom w:w="0" w:type="dxa"/>
              <w:right w:w="108" w:type="dxa"/>
            </w:tcMar>
          </w:tcPr>
          <w:p w14:paraId="699BED11" w14:textId="49ABDDB8" w:rsidR="0013291D" w:rsidRPr="002F17DC" w:rsidRDefault="0013291D" w:rsidP="00906070">
            <w:pPr>
              <w:spacing w:before="60" w:after="60"/>
              <w:rPr>
                <w:rFonts w:cs="Segoe UI"/>
                <w:sz w:val="18"/>
                <w:szCs w:val="18"/>
              </w:rPr>
            </w:pPr>
            <w:r w:rsidRPr="002F17DC">
              <w:rPr>
                <w:rFonts w:cs="Segoe UI"/>
                <w:sz w:val="18"/>
                <w:szCs w:val="18"/>
              </w:rPr>
              <w:t>HbA1c, mmol/mol</w:t>
            </w:r>
          </w:p>
        </w:tc>
        <w:tc>
          <w:tcPr>
            <w:tcW w:w="650" w:type="pct"/>
            <w:tcMar>
              <w:top w:w="0" w:type="dxa"/>
              <w:left w:w="108" w:type="dxa"/>
              <w:bottom w:w="0" w:type="dxa"/>
              <w:right w:w="108" w:type="dxa"/>
            </w:tcMar>
          </w:tcPr>
          <w:p w14:paraId="1B178A1A" w14:textId="77777777" w:rsidR="0013291D" w:rsidRPr="002F17DC" w:rsidRDefault="0013291D" w:rsidP="00906070">
            <w:pPr>
              <w:spacing w:before="60" w:after="60"/>
              <w:rPr>
                <w:rFonts w:cs="Segoe UI"/>
                <w:sz w:val="18"/>
                <w:szCs w:val="18"/>
              </w:rPr>
            </w:pPr>
            <w:r w:rsidRPr="002F17DC">
              <w:rPr>
                <w:rFonts w:cs="Segoe UI"/>
                <w:sz w:val="18"/>
                <w:szCs w:val="18"/>
              </w:rPr>
              <w:t>56</w:t>
            </w:r>
          </w:p>
        </w:tc>
        <w:tc>
          <w:tcPr>
            <w:tcW w:w="2133" w:type="pct"/>
            <w:tcMar>
              <w:top w:w="0" w:type="dxa"/>
              <w:left w:w="108" w:type="dxa"/>
              <w:bottom w:w="0" w:type="dxa"/>
              <w:right w:w="108" w:type="dxa"/>
            </w:tcMar>
          </w:tcPr>
          <w:p w14:paraId="7119CD80" w14:textId="77777777" w:rsidR="0013291D" w:rsidRPr="002F17DC" w:rsidRDefault="0013291D" w:rsidP="00906070">
            <w:pPr>
              <w:spacing w:before="60" w:after="60"/>
              <w:rPr>
                <w:rFonts w:cs="Segoe UI"/>
                <w:sz w:val="18"/>
                <w:szCs w:val="18"/>
              </w:rPr>
            </w:pPr>
            <w:r w:rsidRPr="002F17DC">
              <w:rPr>
                <w:rFonts w:cs="Segoe UI"/>
                <w:sz w:val="18"/>
                <w:szCs w:val="18"/>
                <w:lang w:val="en-GB"/>
              </w:rPr>
              <w:t xml:space="preserve">0.0076733 x (56 - </w:t>
            </w:r>
            <w:r w:rsidRPr="002F17DC">
              <w:rPr>
                <w:rFonts w:cs="Segoe UI"/>
                <w:sz w:val="18"/>
                <w:szCs w:val="18"/>
              </w:rPr>
              <w:t>63.618622)</w:t>
            </w:r>
          </w:p>
        </w:tc>
        <w:tc>
          <w:tcPr>
            <w:tcW w:w="963" w:type="pct"/>
            <w:tcMar>
              <w:top w:w="0" w:type="dxa"/>
              <w:left w:w="108" w:type="dxa"/>
              <w:bottom w:w="0" w:type="dxa"/>
              <w:right w:w="108" w:type="dxa"/>
            </w:tcMar>
          </w:tcPr>
          <w:p w14:paraId="05EDA156" w14:textId="77777777" w:rsidR="0013291D" w:rsidRPr="002F17DC" w:rsidRDefault="0013291D" w:rsidP="00AA021D">
            <w:pPr>
              <w:spacing w:before="60" w:after="60"/>
              <w:rPr>
                <w:rFonts w:cs="Segoe UI"/>
                <w:sz w:val="18"/>
                <w:szCs w:val="18"/>
              </w:rPr>
            </w:pPr>
            <w:r w:rsidRPr="002F17DC">
              <w:rPr>
                <w:rFonts w:cs="Segoe UI"/>
                <w:sz w:val="18"/>
                <w:szCs w:val="18"/>
              </w:rPr>
              <w:t>-0.0584600</w:t>
            </w:r>
          </w:p>
        </w:tc>
      </w:tr>
      <w:tr w:rsidR="0013291D" w:rsidRPr="002F17DC" w14:paraId="6870E138" w14:textId="77777777" w:rsidTr="00AA021D">
        <w:trPr>
          <w:trHeight w:val="314"/>
        </w:trPr>
        <w:tc>
          <w:tcPr>
            <w:tcW w:w="1254" w:type="pct"/>
            <w:tcMar>
              <w:top w:w="0" w:type="dxa"/>
              <w:left w:w="108" w:type="dxa"/>
              <w:bottom w:w="0" w:type="dxa"/>
              <w:right w:w="108" w:type="dxa"/>
            </w:tcMar>
          </w:tcPr>
          <w:p w14:paraId="782DB43C" w14:textId="77777777" w:rsidR="0013291D" w:rsidRPr="002F17DC" w:rsidRDefault="0013291D" w:rsidP="00906070">
            <w:pPr>
              <w:spacing w:before="60" w:after="60"/>
              <w:rPr>
                <w:rFonts w:cs="Segoe UI"/>
                <w:sz w:val="18"/>
                <w:szCs w:val="18"/>
              </w:rPr>
            </w:pPr>
            <w:r w:rsidRPr="002F17DC">
              <w:rPr>
                <w:rFonts w:cs="Segoe UI"/>
                <w:sz w:val="18"/>
                <w:szCs w:val="18"/>
              </w:rPr>
              <w:t xml:space="preserve">Oral </w:t>
            </w:r>
            <w:proofErr w:type="spellStart"/>
            <w:r w:rsidRPr="002F17DC">
              <w:rPr>
                <w:rFonts w:cs="Segoe UI"/>
                <w:sz w:val="18"/>
                <w:szCs w:val="18"/>
              </w:rPr>
              <w:t>hypoglyc</w:t>
            </w:r>
            <w:proofErr w:type="spellEnd"/>
            <w:r w:rsidRPr="002F17DC">
              <w:rPr>
                <w:rFonts w:cs="Segoe UI"/>
                <w:sz w:val="18"/>
                <w:szCs w:val="18"/>
              </w:rPr>
              <w:t xml:space="preserve">. </w:t>
            </w:r>
            <w:proofErr w:type="spellStart"/>
            <w:r w:rsidRPr="002F17DC">
              <w:rPr>
                <w:rFonts w:cs="Segoe UI"/>
                <w:sz w:val="18"/>
                <w:szCs w:val="18"/>
              </w:rPr>
              <w:t>med</w:t>
            </w:r>
            <w:r w:rsidRPr="002F17DC">
              <w:rPr>
                <w:rFonts w:cs="Segoe UI"/>
                <w:sz w:val="18"/>
                <w:szCs w:val="18"/>
                <w:vertAlign w:val="superscript"/>
              </w:rPr>
              <w:t>n</w:t>
            </w:r>
            <w:proofErr w:type="spellEnd"/>
          </w:p>
        </w:tc>
        <w:tc>
          <w:tcPr>
            <w:tcW w:w="650" w:type="pct"/>
            <w:tcMar>
              <w:top w:w="0" w:type="dxa"/>
              <w:left w:w="108" w:type="dxa"/>
              <w:bottom w:w="0" w:type="dxa"/>
              <w:right w:w="108" w:type="dxa"/>
            </w:tcMar>
          </w:tcPr>
          <w:p w14:paraId="1984C2C5"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2133" w:type="pct"/>
            <w:tcMar>
              <w:top w:w="0" w:type="dxa"/>
              <w:left w:w="108" w:type="dxa"/>
              <w:bottom w:w="0" w:type="dxa"/>
              <w:right w:w="108" w:type="dxa"/>
            </w:tcMar>
          </w:tcPr>
          <w:p w14:paraId="1530BE36" w14:textId="77777777" w:rsidR="0013291D" w:rsidRPr="002F17DC" w:rsidRDefault="0013291D" w:rsidP="00906070">
            <w:pPr>
              <w:spacing w:before="60" w:after="60"/>
              <w:rPr>
                <w:rFonts w:cs="Segoe UI"/>
                <w:sz w:val="18"/>
                <w:szCs w:val="18"/>
              </w:rPr>
            </w:pPr>
            <w:r w:rsidRPr="002F17DC">
              <w:rPr>
                <w:rFonts w:cs="Segoe UI"/>
                <w:sz w:val="18"/>
                <w:szCs w:val="18"/>
              </w:rPr>
              <w:t>0.1248604 x 1</w:t>
            </w:r>
          </w:p>
        </w:tc>
        <w:tc>
          <w:tcPr>
            <w:tcW w:w="963" w:type="pct"/>
            <w:tcMar>
              <w:top w:w="0" w:type="dxa"/>
              <w:left w:w="108" w:type="dxa"/>
              <w:bottom w:w="0" w:type="dxa"/>
              <w:right w:w="108" w:type="dxa"/>
            </w:tcMar>
          </w:tcPr>
          <w:p w14:paraId="09FDCB67" w14:textId="77777777" w:rsidR="0013291D" w:rsidRPr="002F17DC" w:rsidRDefault="0013291D" w:rsidP="00AA021D">
            <w:pPr>
              <w:spacing w:before="60" w:after="60"/>
              <w:rPr>
                <w:rFonts w:cs="Segoe UI"/>
                <w:sz w:val="18"/>
                <w:szCs w:val="18"/>
              </w:rPr>
            </w:pPr>
            <w:r w:rsidRPr="002F17DC">
              <w:rPr>
                <w:rFonts w:cs="Segoe UI"/>
                <w:sz w:val="18"/>
                <w:szCs w:val="18"/>
              </w:rPr>
              <w:t>0.1248604</w:t>
            </w:r>
          </w:p>
        </w:tc>
      </w:tr>
      <w:tr w:rsidR="0013291D" w:rsidRPr="002F17DC" w14:paraId="1AA16639" w14:textId="77777777" w:rsidTr="00AA021D">
        <w:trPr>
          <w:trHeight w:val="314"/>
        </w:trPr>
        <w:tc>
          <w:tcPr>
            <w:tcW w:w="1254" w:type="pct"/>
            <w:tcMar>
              <w:top w:w="0" w:type="dxa"/>
              <w:left w:w="108" w:type="dxa"/>
              <w:bottom w:w="0" w:type="dxa"/>
              <w:right w:w="108" w:type="dxa"/>
            </w:tcMar>
          </w:tcPr>
          <w:p w14:paraId="4D7D0107" w14:textId="77777777" w:rsidR="0013291D" w:rsidRPr="002F17DC" w:rsidRDefault="0013291D" w:rsidP="00906070">
            <w:pPr>
              <w:spacing w:before="60" w:after="60"/>
              <w:rPr>
                <w:rFonts w:cs="Segoe UI"/>
                <w:sz w:val="18"/>
                <w:szCs w:val="18"/>
              </w:rPr>
            </w:pPr>
            <w:r w:rsidRPr="002F17DC">
              <w:rPr>
                <w:rFonts w:cs="Segoe UI"/>
                <w:sz w:val="18"/>
                <w:szCs w:val="18"/>
              </w:rPr>
              <w:t>Insulin</w:t>
            </w:r>
          </w:p>
        </w:tc>
        <w:tc>
          <w:tcPr>
            <w:tcW w:w="650" w:type="pct"/>
            <w:tcMar>
              <w:top w:w="0" w:type="dxa"/>
              <w:left w:w="108" w:type="dxa"/>
              <w:bottom w:w="0" w:type="dxa"/>
              <w:right w:w="108" w:type="dxa"/>
            </w:tcMar>
          </w:tcPr>
          <w:p w14:paraId="5EECBB3F"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2133" w:type="pct"/>
            <w:tcMar>
              <w:top w:w="0" w:type="dxa"/>
              <w:left w:w="108" w:type="dxa"/>
              <w:bottom w:w="0" w:type="dxa"/>
              <w:right w:w="108" w:type="dxa"/>
            </w:tcMar>
          </w:tcPr>
          <w:p w14:paraId="3AD84B56" w14:textId="77777777" w:rsidR="0013291D" w:rsidRPr="002F17DC" w:rsidRDefault="0013291D" w:rsidP="00906070">
            <w:pPr>
              <w:spacing w:before="60" w:after="60"/>
              <w:rPr>
                <w:rFonts w:cs="Segoe UI"/>
                <w:sz w:val="18"/>
                <w:szCs w:val="18"/>
              </w:rPr>
            </w:pPr>
          </w:p>
        </w:tc>
        <w:tc>
          <w:tcPr>
            <w:tcW w:w="963" w:type="pct"/>
            <w:tcMar>
              <w:top w:w="0" w:type="dxa"/>
              <w:left w:w="108" w:type="dxa"/>
              <w:bottom w:w="0" w:type="dxa"/>
              <w:right w:w="108" w:type="dxa"/>
            </w:tcMar>
          </w:tcPr>
          <w:p w14:paraId="16CEE7DA" w14:textId="77777777" w:rsidR="0013291D" w:rsidRPr="002F17DC" w:rsidRDefault="0013291D">
            <w:pPr>
              <w:spacing w:before="60" w:after="60"/>
              <w:rPr>
                <w:rFonts w:cs="Segoe UI"/>
                <w:sz w:val="18"/>
                <w:szCs w:val="18"/>
              </w:rPr>
            </w:pPr>
          </w:p>
        </w:tc>
      </w:tr>
      <w:tr w:rsidR="0013291D" w:rsidRPr="002F17DC" w14:paraId="55ACF4E4" w14:textId="77777777" w:rsidTr="00AA021D">
        <w:trPr>
          <w:trHeight w:val="314"/>
        </w:trPr>
        <w:tc>
          <w:tcPr>
            <w:tcW w:w="1254" w:type="pct"/>
            <w:tcMar>
              <w:top w:w="0" w:type="dxa"/>
              <w:left w:w="108" w:type="dxa"/>
              <w:bottom w:w="0" w:type="dxa"/>
              <w:right w:w="108" w:type="dxa"/>
            </w:tcMar>
            <w:hideMark/>
          </w:tcPr>
          <w:p w14:paraId="3CDB4BE2" w14:textId="77777777" w:rsidR="0013291D" w:rsidRPr="002F17DC" w:rsidRDefault="0013291D" w:rsidP="00906070">
            <w:pPr>
              <w:spacing w:before="60" w:after="60"/>
              <w:rPr>
                <w:rFonts w:cs="Segoe UI"/>
                <w:sz w:val="18"/>
                <w:szCs w:val="18"/>
              </w:rPr>
            </w:pPr>
            <w:r w:rsidRPr="002F17DC">
              <w:rPr>
                <w:rFonts w:cs="Segoe UI"/>
                <w:sz w:val="18"/>
                <w:szCs w:val="18"/>
              </w:rPr>
              <w:t xml:space="preserve">BP lowering </w:t>
            </w:r>
            <w:proofErr w:type="spellStart"/>
            <w:r w:rsidRPr="002F17DC">
              <w:rPr>
                <w:rFonts w:cs="Segoe UI"/>
                <w:sz w:val="18"/>
                <w:szCs w:val="18"/>
              </w:rPr>
              <w:t>med</w:t>
            </w:r>
            <w:r w:rsidRPr="002F17DC">
              <w:rPr>
                <w:rFonts w:cs="Segoe UI"/>
                <w:sz w:val="18"/>
                <w:szCs w:val="18"/>
                <w:vertAlign w:val="superscript"/>
              </w:rPr>
              <w:t>n</w:t>
            </w:r>
            <w:proofErr w:type="spellEnd"/>
          </w:p>
        </w:tc>
        <w:tc>
          <w:tcPr>
            <w:tcW w:w="650" w:type="pct"/>
            <w:tcMar>
              <w:top w:w="0" w:type="dxa"/>
              <w:left w:w="108" w:type="dxa"/>
              <w:bottom w:w="0" w:type="dxa"/>
              <w:right w:w="108" w:type="dxa"/>
            </w:tcMar>
          </w:tcPr>
          <w:p w14:paraId="0E396938"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2133" w:type="pct"/>
            <w:tcMar>
              <w:top w:w="0" w:type="dxa"/>
              <w:left w:w="108" w:type="dxa"/>
              <w:bottom w:w="0" w:type="dxa"/>
              <w:right w:w="108" w:type="dxa"/>
            </w:tcMar>
          </w:tcPr>
          <w:p w14:paraId="4B862FB5" w14:textId="77777777" w:rsidR="0013291D" w:rsidRPr="002F17DC" w:rsidRDefault="0013291D" w:rsidP="00906070">
            <w:pPr>
              <w:spacing w:before="60" w:after="60"/>
              <w:rPr>
                <w:rFonts w:cs="Segoe UI"/>
                <w:sz w:val="18"/>
                <w:szCs w:val="18"/>
              </w:rPr>
            </w:pPr>
          </w:p>
        </w:tc>
        <w:tc>
          <w:tcPr>
            <w:tcW w:w="963" w:type="pct"/>
            <w:tcMar>
              <w:top w:w="0" w:type="dxa"/>
              <w:left w:w="108" w:type="dxa"/>
              <w:bottom w:w="0" w:type="dxa"/>
              <w:right w:w="108" w:type="dxa"/>
            </w:tcMar>
          </w:tcPr>
          <w:p w14:paraId="75E10C97" w14:textId="77777777" w:rsidR="0013291D" w:rsidRPr="002F17DC" w:rsidRDefault="0013291D">
            <w:pPr>
              <w:spacing w:before="60" w:after="60"/>
              <w:rPr>
                <w:rFonts w:cs="Segoe UI"/>
                <w:sz w:val="18"/>
                <w:szCs w:val="18"/>
              </w:rPr>
            </w:pPr>
          </w:p>
        </w:tc>
      </w:tr>
      <w:tr w:rsidR="0013291D" w:rsidRPr="002F17DC" w14:paraId="1B5C0D95" w14:textId="77777777" w:rsidTr="00AA021D">
        <w:trPr>
          <w:trHeight w:val="479"/>
        </w:trPr>
        <w:tc>
          <w:tcPr>
            <w:tcW w:w="1254" w:type="pct"/>
            <w:tcMar>
              <w:top w:w="0" w:type="dxa"/>
              <w:left w:w="108" w:type="dxa"/>
              <w:bottom w:w="0" w:type="dxa"/>
              <w:right w:w="108" w:type="dxa"/>
            </w:tcMar>
            <w:hideMark/>
          </w:tcPr>
          <w:p w14:paraId="673BA85E" w14:textId="77777777" w:rsidR="0013291D" w:rsidRPr="002F17DC" w:rsidRDefault="0013291D" w:rsidP="00906070">
            <w:pPr>
              <w:spacing w:before="60" w:after="60"/>
              <w:rPr>
                <w:rFonts w:cs="Segoe UI"/>
                <w:sz w:val="18"/>
                <w:szCs w:val="18"/>
              </w:rPr>
            </w:pPr>
            <w:r w:rsidRPr="002F17DC">
              <w:rPr>
                <w:rFonts w:cs="Segoe UI"/>
                <w:sz w:val="18"/>
                <w:szCs w:val="18"/>
              </w:rPr>
              <w:t xml:space="preserve">Lipid lowering </w:t>
            </w:r>
            <w:proofErr w:type="spellStart"/>
            <w:r w:rsidRPr="002F17DC">
              <w:rPr>
                <w:rFonts w:cs="Segoe UI"/>
                <w:sz w:val="18"/>
                <w:szCs w:val="18"/>
              </w:rPr>
              <w:t>med</w:t>
            </w:r>
            <w:r w:rsidRPr="002F17DC">
              <w:rPr>
                <w:rFonts w:cs="Segoe UI"/>
                <w:sz w:val="18"/>
                <w:szCs w:val="18"/>
                <w:vertAlign w:val="superscript"/>
              </w:rPr>
              <w:t>n</w:t>
            </w:r>
            <w:proofErr w:type="spellEnd"/>
          </w:p>
        </w:tc>
        <w:tc>
          <w:tcPr>
            <w:tcW w:w="650" w:type="pct"/>
            <w:tcMar>
              <w:top w:w="0" w:type="dxa"/>
              <w:left w:w="108" w:type="dxa"/>
              <w:bottom w:w="0" w:type="dxa"/>
              <w:right w:w="108" w:type="dxa"/>
            </w:tcMar>
          </w:tcPr>
          <w:p w14:paraId="64AD9292"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2133" w:type="pct"/>
            <w:tcMar>
              <w:top w:w="0" w:type="dxa"/>
              <w:left w:w="108" w:type="dxa"/>
              <w:bottom w:w="0" w:type="dxa"/>
              <w:right w:w="108" w:type="dxa"/>
            </w:tcMar>
          </w:tcPr>
          <w:p w14:paraId="71DCDE33" w14:textId="77777777" w:rsidR="0013291D" w:rsidRPr="002F17DC" w:rsidRDefault="0013291D" w:rsidP="00906070">
            <w:pPr>
              <w:spacing w:before="60" w:after="60"/>
              <w:rPr>
                <w:rFonts w:cs="Segoe UI"/>
                <w:sz w:val="18"/>
                <w:szCs w:val="18"/>
              </w:rPr>
            </w:pPr>
            <w:r w:rsidRPr="002F17DC">
              <w:rPr>
                <w:rFonts w:cs="Segoe UI"/>
                <w:sz w:val="18"/>
                <w:szCs w:val="18"/>
              </w:rPr>
              <w:t>-0.1595083 x 1</w:t>
            </w:r>
          </w:p>
        </w:tc>
        <w:tc>
          <w:tcPr>
            <w:tcW w:w="963" w:type="pct"/>
            <w:tcMar>
              <w:top w:w="0" w:type="dxa"/>
              <w:left w:w="108" w:type="dxa"/>
              <w:bottom w:w="0" w:type="dxa"/>
              <w:right w:w="108" w:type="dxa"/>
            </w:tcMar>
          </w:tcPr>
          <w:p w14:paraId="414551B3" w14:textId="77777777" w:rsidR="0013291D" w:rsidRPr="002F17DC" w:rsidRDefault="0013291D" w:rsidP="00AA021D">
            <w:pPr>
              <w:spacing w:before="60" w:after="60"/>
              <w:rPr>
                <w:rFonts w:cs="Segoe UI"/>
                <w:sz w:val="18"/>
                <w:szCs w:val="18"/>
              </w:rPr>
            </w:pPr>
            <w:r w:rsidRPr="002F17DC">
              <w:rPr>
                <w:rFonts w:cs="Segoe UI"/>
                <w:sz w:val="18"/>
                <w:szCs w:val="18"/>
              </w:rPr>
              <w:t>-0.1595083</w:t>
            </w:r>
          </w:p>
        </w:tc>
      </w:tr>
      <w:tr w:rsidR="0013291D" w:rsidRPr="002F17DC" w14:paraId="2BE3B577" w14:textId="77777777" w:rsidTr="00AA021D">
        <w:trPr>
          <w:trHeight w:val="314"/>
        </w:trPr>
        <w:tc>
          <w:tcPr>
            <w:tcW w:w="1254" w:type="pct"/>
            <w:tcMar>
              <w:top w:w="0" w:type="dxa"/>
              <w:left w:w="108" w:type="dxa"/>
              <w:bottom w:w="0" w:type="dxa"/>
              <w:right w:w="108" w:type="dxa"/>
            </w:tcMar>
            <w:hideMark/>
          </w:tcPr>
          <w:p w14:paraId="3581C088" w14:textId="77777777" w:rsidR="0013291D" w:rsidRPr="002F17DC" w:rsidRDefault="0013291D" w:rsidP="00906070">
            <w:pPr>
              <w:spacing w:before="60" w:after="60"/>
              <w:rPr>
                <w:rFonts w:cs="Segoe UI"/>
                <w:sz w:val="18"/>
                <w:szCs w:val="18"/>
              </w:rPr>
            </w:pPr>
            <w:r w:rsidRPr="002F17DC">
              <w:rPr>
                <w:rFonts w:cs="Segoe UI"/>
                <w:sz w:val="18"/>
                <w:szCs w:val="18"/>
              </w:rPr>
              <w:t>Antiplatelet or anticoagulant</w:t>
            </w:r>
          </w:p>
        </w:tc>
        <w:tc>
          <w:tcPr>
            <w:tcW w:w="650" w:type="pct"/>
            <w:tcMar>
              <w:top w:w="0" w:type="dxa"/>
              <w:left w:w="108" w:type="dxa"/>
              <w:bottom w:w="0" w:type="dxa"/>
              <w:right w:w="108" w:type="dxa"/>
            </w:tcMar>
          </w:tcPr>
          <w:p w14:paraId="7045CBAE"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2133" w:type="pct"/>
            <w:tcMar>
              <w:top w:w="0" w:type="dxa"/>
              <w:left w:w="108" w:type="dxa"/>
              <w:bottom w:w="0" w:type="dxa"/>
              <w:right w:w="108" w:type="dxa"/>
            </w:tcMar>
          </w:tcPr>
          <w:p w14:paraId="40A3C66D" w14:textId="77777777" w:rsidR="0013291D" w:rsidRPr="002F17DC" w:rsidRDefault="0013291D" w:rsidP="00906070">
            <w:pPr>
              <w:spacing w:before="60" w:after="60"/>
              <w:rPr>
                <w:rFonts w:cs="Segoe UI"/>
                <w:sz w:val="18"/>
                <w:szCs w:val="18"/>
              </w:rPr>
            </w:pPr>
          </w:p>
        </w:tc>
        <w:tc>
          <w:tcPr>
            <w:tcW w:w="963" w:type="pct"/>
            <w:tcMar>
              <w:top w:w="0" w:type="dxa"/>
              <w:left w:w="108" w:type="dxa"/>
              <w:bottom w:w="0" w:type="dxa"/>
              <w:right w:w="108" w:type="dxa"/>
            </w:tcMar>
          </w:tcPr>
          <w:p w14:paraId="660012F2" w14:textId="77777777" w:rsidR="0013291D" w:rsidRPr="002F17DC" w:rsidRDefault="0013291D">
            <w:pPr>
              <w:spacing w:before="60" w:after="60"/>
              <w:rPr>
                <w:rFonts w:cs="Segoe UI"/>
                <w:sz w:val="18"/>
                <w:szCs w:val="18"/>
              </w:rPr>
            </w:pPr>
          </w:p>
        </w:tc>
      </w:tr>
      <w:tr w:rsidR="00F654B9" w:rsidRPr="002F17DC" w14:paraId="41EDF181" w14:textId="77777777" w:rsidTr="0013291D">
        <w:trPr>
          <w:trHeight w:val="314"/>
        </w:trPr>
        <w:tc>
          <w:tcPr>
            <w:tcW w:w="1254" w:type="pct"/>
            <w:tcMar>
              <w:top w:w="0" w:type="dxa"/>
              <w:left w:w="108" w:type="dxa"/>
              <w:bottom w:w="0" w:type="dxa"/>
              <w:right w:w="108" w:type="dxa"/>
            </w:tcMar>
          </w:tcPr>
          <w:p w14:paraId="37146DC7" w14:textId="6373ED2E" w:rsidR="00F654B9" w:rsidRPr="002F17DC" w:rsidRDefault="00F654B9" w:rsidP="00906070">
            <w:pPr>
              <w:spacing w:before="60" w:after="60"/>
              <w:rPr>
                <w:rFonts w:cs="Segoe UI"/>
                <w:sz w:val="18"/>
                <w:szCs w:val="18"/>
              </w:rPr>
            </w:pPr>
            <w:r w:rsidRPr="002F17DC">
              <w:rPr>
                <w:rFonts w:cs="Segoe UI"/>
                <w:sz w:val="18"/>
                <w:szCs w:val="18"/>
              </w:rPr>
              <w:t xml:space="preserve">Baseline survival function at </w:t>
            </w:r>
            <w:r>
              <w:rPr>
                <w:rFonts w:cs="Segoe UI"/>
                <w:sz w:val="18"/>
                <w:szCs w:val="18"/>
              </w:rPr>
              <w:t>five years</w:t>
            </w:r>
          </w:p>
        </w:tc>
        <w:tc>
          <w:tcPr>
            <w:tcW w:w="650" w:type="pct"/>
            <w:tcMar>
              <w:top w:w="0" w:type="dxa"/>
              <w:left w:w="108" w:type="dxa"/>
              <w:bottom w:w="0" w:type="dxa"/>
              <w:right w:w="108" w:type="dxa"/>
            </w:tcMar>
          </w:tcPr>
          <w:p w14:paraId="25C449A1" w14:textId="69950EE6" w:rsidR="00F654B9" w:rsidRPr="002F17DC" w:rsidRDefault="00F654B9" w:rsidP="00906070">
            <w:pPr>
              <w:spacing w:before="60" w:after="60"/>
              <w:rPr>
                <w:rFonts w:cs="Segoe UI"/>
                <w:sz w:val="18"/>
                <w:szCs w:val="18"/>
              </w:rPr>
            </w:pPr>
            <w:r w:rsidRPr="00AA021D">
              <w:rPr>
                <w:rFonts w:cs="Segoe UI"/>
                <w:sz w:val="18"/>
                <w:szCs w:val="18"/>
              </w:rPr>
              <w:t>0. 945571</w:t>
            </w:r>
          </w:p>
        </w:tc>
        <w:tc>
          <w:tcPr>
            <w:tcW w:w="2133" w:type="pct"/>
            <w:tcMar>
              <w:top w:w="0" w:type="dxa"/>
              <w:left w:w="108" w:type="dxa"/>
              <w:bottom w:w="0" w:type="dxa"/>
              <w:right w:w="108" w:type="dxa"/>
            </w:tcMar>
          </w:tcPr>
          <w:p w14:paraId="76497343" w14:textId="77777777" w:rsidR="00F654B9" w:rsidRPr="002F17DC" w:rsidRDefault="00F654B9" w:rsidP="00906070">
            <w:pPr>
              <w:spacing w:before="60" w:after="60"/>
              <w:rPr>
                <w:rFonts w:cs="Segoe UI"/>
                <w:sz w:val="18"/>
                <w:szCs w:val="18"/>
              </w:rPr>
            </w:pPr>
          </w:p>
        </w:tc>
        <w:tc>
          <w:tcPr>
            <w:tcW w:w="963" w:type="pct"/>
            <w:tcMar>
              <w:top w:w="0" w:type="dxa"/>
              <w:left w:w="108" w:type="dxa"/>
              <w:bottom w:w="0" w:type="dxa"/>
              <w:right w:w="108" w:type="dxa"/>
            </w:tcMar>
          </w:tcPr>
          <w:p w14:paraId="7AD7C001" w14:textId="77777777" w:rsidR="00F654B9" w:rsidRPr="002F17DC" w:rsidRDefault="00F654B9">
            <w:pPr>
              <w:spacing w:before="60" w:after="60"/>
              <w:rPr>
                <w:rFonts w:cs="Segoe UI"/>
                <w:sz w:val="18"/>
                <w:szCs w:val="18"/>
              </w:rPr>
            </w:pPr>
          </w:p>
        </w:tc>
      </w:tr>
      <w:tr w:rsidR="00F654B9" w:rsidRPr="002F17DC" w14:paraId="008D317C" w14:textId="77777777" w:rsidTr="0013291D">
        <w:trPr>
          <w:trHeight w:val="314"/>
        </w:trPr>
        <w:tc>
          <w:tcPr>
            <w:tcW w:w="1254" w:type="pct"/>
            <w:tcMar>
              <w:top w:w="0" w:type="dxa"/>
              <w:left w:w="108" w:type="dxa"/>
              <w:bottom w:w="0" w:type="dxa"/>
              <w:right w:w="108" w:type="dxa"/>
            </w:tcMar>
          </w:tcPr>
          <w:p w14:paraId="7470C4D2" w14:textId="77777777" w:rsidR="00F654B9" w:rsidRPr="002F17DC" w:rsidRDefault="00F654B9" w:rsidP="00906070">
            <w:pPr>
              <w:spacing w:before="60" w:after="60"/>
              <w:rPr>
                <w:rFonts w:cs="Segoe UI"/>
                <w:sz w:val="18"/>
                <w:szCs w:val="18"/>
              </w:rPr>
            </w:pPr>
          </w:p>
        </w:tc>
        <w:tc>
          <w:tcPr>
            <w:tcW w:w="650" w:type="pct"/>
            <w:tcMar>
              <w:top w:w="0" w:type="dxa"/>
              <w:left w:w="108" w:type="dxa"/>
              <w:bottom w:w="0" w:type="dxa"/>
              <w:right w:w="108" w:type="dxa"/>
            </w:tcMar>
          </w:tcPr>
          <w:p w14:paraId="253B9FC1" w14:textId="77777777" w:rsidR="00F654B9" w:rsidRPr="002F17DC" w:rsidRDefault="00F654B9" w:rsidP="00906070">
            <w:pPr>
              <w:spacing w:before="60" w:after="60"/>
              <w:rPr>
                <w:rFonts w:cs="Segoe UI"/>
                <w:sz w:val="18"/>
                <w:szCs w:val="18"/>
              </w:rPr>
            </w:pPr>
          </w:p>
        </w:tc>
        <w:tc>
          <w:tcPr>
            <w:tcW w:w="2133" w:type="pct"/>
            <w:tcMar>
              <w:top w:w="0" w:type="dxa"/>
              <w:left w:w="108" w:type="dxa"/>
              <w:bottom w:w="0" w:type="dxa"/>
              <w:right w:w="108" w:type="dxa"/>
            </w:tcMar>
          </w:tcPr>
          <w:p w14:paraId="7B6C8581" w14:textId="70F0F0F3" w:rsidR="00F654B9" w:rsidRPr="002F17DC" w:rsidRDefault="00F654B9" w:rsidP="00906070">
            <w:pPr>
              <w:spacing w:before="60" w:after="60"/>
              <w:rPr>
                <w:rFonts w:cs="Segoe UI"/>
                <w:sz w:val="18"/>
                <w:szCs w:val="18"/>
              </w:rPr>
            </w:pPr>
            <w:r w:rsidRPr="002F17DC">
              <w:rPr>
                <w:rFonts w:cs="Segoe UI"/>
                <w:b/>
                <w:bCs/>
                <w:sz w:val="18"/>
                <w:szCs w:val="18"/>
              </w:rPr>
              <w:t>Sum (</w:t>
            </w:r>
            <w:r>
              <w:rPr>
                <w:rFonts w:cs="Segoe UI"/>
                <w:b/>
                <w:bCs/>
                <w:sz w:val="18"/>
                <w:szCs w:val="18"/>
              </w:rPr>
              <w:t>c</w:t>
            </w:r>
            <w:r w:rsidRPr="002F17DC">
              <w:rPr>
                <w:rFonts w:cs="Segoe UI"/>
                <w:b/>
                <w:bCs/>
                <w:sz w:val="18"/>
                <w:szCs w:val="18"/>
              </w:rPr>
              <w:t xml:space="preserve">oefficient x </w:t>
            </w:r>
            <w:r>
              <w:rPr>
                <w:rFonts w:cs="Segoe UI"/>
                <w:b/>
                <w:bCs/>
                <w:sz w:val="18"/>
                <w:szCs w:val="18"/>
              </w:rPr>
              <w:t>v</w:t>
            </w:r>
            <w:r w:rsidRPr="002F17DC">
              <w:rPr>
                <w:rFonts w:cs="Segoe UI"/>
                <w:b/>
                <w:bCs/>
                <w:sz w:val="18"/>
                <w:szCs w:val="18"/>
              </w:rPr>
              <w:t>ariabl</w:t>
            </w:r>
            <w:r>
              <w:rPr>
                <w:rFonts w:cs="Segoe UI"/>
                <w:b/>
                <w:bCs/>
                <w:sz w:val="18"/>
                <w:szCs w:val="18"/>
              </w:rPr>
              <w:t>e</w:t>
            </w:r>
            <w:r w:rsidRPr="002F17DC">
              <w:rPr>
                <w:rFonts w:cs="Segoe UI"/>
                <w:b/>
                <w:bCs/>
                <w:sz w:val="18"/>
                <w:szCs w:val="18"/>
              </w:rPr>
              <w:t>)</w:t>
            </w:r>
          </w:p>
        </w:tc>
        <w:tc>
          <w:tcPr>
            <w:tcW w:w="963" w:type="pct"/>
            <w:tcMar>
              <w:top w:w="0" w:type="dxa"/>
              <w:left w:w="108" w:type="dxa"/>
              <w:bottom w:w="0" w:type="dxa"/>
              <w:right w:w="108" w:type="dxa"/>
            </w:tcMar>
          </w:tcPr>
          <w:p w14:paraId="0D4A9044" w14:textId="7D207BBB" w:rsidR="00F654B9" w:rsidRPr="002F17DC" w:rsidRDefault="00F654B9">
            <w:pPr>
              <w:spacing w:before="60" w:after="60"/>
              <w:rPr>
                <w:rFonts w:cs="Segoe UI"/>
                <w:sz w:val="18"/>
                <w:szCs w:val="18"/>
              </w:rPr>
            </w:pPr>
            <w:r w:rsidRPr="002F17DC">
              <w:rPr>
                <w:rFonts w:cs="Segoe UI"/>
                <w:b/>
                <w:bCs/>
                <w:sz w:val="18"/>
                <w:szCs w:val="18"/>
              </w:rPr>
              <w:t>0.0070542</w:t>
            </w:r>
          </w:p>
        </w:tc>
      </w:tr>
    </w:tbl>
    <w:p w14:paraId="5C75965C" w14:textId="77777777" w:rsidR="00875DE3" w:rsidRPr="00852C96" w:rsidRDefault="00875DE3" w:rsidP="00875DE3">
      <w:pPr>
        <w:rPr>
          <w:rFonts w:cs="Segoe UI"/>
          <w:szCs w:val="21"/>
        </w:rPr>
      </w:pPr>
    </w:p>
    <w:p w14:paraId="7FB49239" w14:textId="6727E8EB" w:rsidR="00875DE3" w:rsidRPr="00EB2768" w:rsidRDefault="00875DE3" w:rsidP="00875DE3">
      <w:pPr>
        <w:rPr>
          <w:rFonts w:cs="Segoe UI"/>
          <w:szCs w:val="21"/>
          <w:lang w:val="en-GB"/>
        </w:rPr>
      </w:pPr>
      <w:r w:rsidRPr="00EB2768">
        <w:rPr>
          <w:rFonts w:cs="Segoe UI"/>
          <w:szCs w:val="21"/>
          <w:lang w:val="en-GB"/>
        </w:rPr>
        <w:t xml:space="preserve">For Patient </w:t>
      </w:r>
      <w:r w:rsidR="00F654B9">
        <w:rPr>
          <w:rFonts w:cs="Segoe UI"/>
          <w:szCs w:val="21"/>
          <w:lang w:val="en-GB"/>
        </w:rPr>
        <w:t>C</w:t>
      </w:r>
      <w:r w:rsidRPr="00EB2768">
        <w:rPr>
          <w:rFonts w:cs="Segoe UI"/>
          <w:szCs w:val="21"/>
          <w:lang w:val="en-GB"/>
        </w:rPr>
        <w:t xml:space="preserve">, 5-year CVD risk = </w:t>
      </w:r>
      <w:r w:rsidRPr="00EB2768">
        <w:rPr>
          <w:rFonts w:cs="Segoe UI"/>
          <w:bCs/>
          <w:szCs w:val="21"/>
          <w:lang w:val="en-GB"/>
        </w:rPr>
        <w:t xml:space="preserve">(1 - </w:t>
      </w:r>
      <w:r w:rsidRPr="00EB2768">
        <w:rPr>
          <w:rFonts w:cs="Segoe UI"/>
          <w:szCs w:val="21"/>
        </w:rPr>
        <w:t>0. 945571</w:t>
      </w:r>
      <w:r w:rsidRPr="00EB2768">
        <w:rPr>
          <w:rFonts w:cs="Segoe UI"/>
          <w:bCs/>
          <w:szCs w:val="21"/>
          <w:lang w:val="en-GB"/>
        </w:rPr>
        <w:t xml:space="preserve"> </w:t>
      </w:r>
      <w:r w:rsidRPr="00EB2768">
        <w:rPr>
          <w:rFonts w:cs="Segoe UI"/>
          <w:bCs/>
          <w:szCs w:val="21"/>
          <w:vertAlign w:val="superscript"/>
          <w:lang w:val="en-GB"/>
        </w:rPr>
        <w:t>exp (0.0070542)</w:t>
      </w:r>
      <w:r w:rsidRPr="00EB2768">
        <w:rPr>
          <w:rFonts w:cs="Segoe UI"/>
          <w:bCs/>
          <w:szCs w:val="21"/>
          <w:lang w:val="en-GB"/>
        </w:rPr>
        <w:t>) x 100 = 0.0548 x 100 = 5%</w:t>
      </w:r>
    </w:p>
    <w:p w14:paraId="4D5A925C" w14:textId="77777777" w:rsidR="00875DE3" w:rsidRDefault="00875DE3" w:rsidP="00875DE3">
      <w:pPr>
        <w:pStyle w:val="Heading2"/>
      </w:pPr>
      <w:bookmarkStart w:id="86" w:name="_Toc46146758"/>
      <w:r>
        <w:t>Patient D</w:t>
      </w:r>
      <w:bookmarkEnd w:id="86"/>
    </w:p>
    <w:p w14:paraId="26ADC4CA" w14:textId="1E708CEF" w:rsidR="00875DE3" w:rsidRPr="00662BA8" w:rsidRDefault="00875DE3" w:rsidP="00875DE3">
      <w:pPr>
        <w:rPr>
          <w:b/>
        </w:rPr>
      </w:pPr>
      <w:r w:rsidRPr="00662BA8">
        <w:rPr>
          <w:b/>
        </w:rPr>
        <w:t>PREDICT CVD v.201</w:t>
      </w:r>
      <w:r w:rsidR="000F15BB">
        <w:rPr>
          <w:b/>
        </w:rPr>
        <w:t>9</w:t>
      </w:r>
      <w:r w:rsidRPr="00662BA8">
        <w:rPr>
          <w:b/>
        </w:rPr>
        <w:t xml:space="preserve"> primary prevention equation for </w:t>
      </w:r>
      <w:r>
        <w:rPr>
          <w:b/>
        </w:rPr>
        <w:t>men</w:t>
      </w:r>
      <w:r w:rsidRPr="00662BA8">
        <w:rPr>
          <w:b/>
        </w:rPr>
        <w:t xml:space="preserve"> with diabetes</w:t>
      </w:r>
    </w:p>
    <w:p w14:paraId="73634C67" w14:textId="77777777" w:rsidR="00875DE3" w:rsidRPr="002F17DC" w:rsidRDefault="00875DE3" w:rsidP="00875DE3"/>
    <w:p w14:paraId="4376EF26" w14:textId="77777777" w:rsidR="00875DE3" w:rsidRPr="002F17DC" w:rsidRDefault="00875DE3" w:rsidP="00875DE3">
      <w:r w:rsidRPr="002F17DC">
        <w:t xml:space="preserve">Patient C is a NZ Māori man aged 35 who lives in an area categorised as </w:t>
      </w:r>
      <w:proofErr w:type="spellStart"/>
      <w:r w:rsidRPr="002F17DC">
        <w:t>NZDep</w:t>
      </w:r>
      <w:proofErr w:type="spellEnd"/>
      <w:r w:rsidRPr="002F17DC">
        <w:t xml:space="preserve"> quintile 5. He has had diabetes for 1 year and his latest HbA1c is 48 mmol/mol. He smokes, has atrial fibrillation, and has a family history of premature CVD. His BMI is 27 kg/m2, SBP is 120 mmHg, </w:t>
      </w:r>
      <w:proofErr w:type="gramStart"/>
      <w:r w:rsidRPr="002F17DC">
        <w:t>TC:HDL</w:t>
      </w:r>
      <w:proofErr w:type="gramEnd"/>
      <w:r w:rsidRPr="002F17DC">
        <w:t xml:space="preserve"> is 3.3, ACR is 1 mg/mmol and eGFR is 78 mL/min/1.73 m2. He does not take insulin or an oral hypoglycaemic for his diabetes, </w:t>
      </w:r>
      <w:r w:rsidRPr="002F17DC">
        <w:lastRenderedPageBreak/>
        <w:t>and does not take any medication for blood pressure, cholesterol, antiplatelet or anticoagulant.</w:t>
      </w:r>
    </w:p>
    <w:p w14:paraId="44C155A7" w14:textId="77777777" w:rsidR="00875DE3" w:rsidRPr="00EF2A5F" w:rsidRDefault="00875DE3" w:rsidP="00875DE3">
      <w:pPr>
        <w:rPr>
          <w:rFonts w:ascii="Calibri" w:hAnsi="Calibri" w:cs="Calibri"/>
          <w:sz w:val="20"/>
        </w:rPr>
      </w:pPr>
    </w:p>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Pr>
      <w:tblGrid>
        <w:gridCol w:w="1987"/>
        <w:gridCol w:w="1120"/>
        <w:gridCol w:w="3456"/>
        <w:gridCol w:w="1496"/>
      </w:tblGrid>
      <w:tr w:rsidR="0013291D" w:rsidRPr="002F17DC" w14:paraId="759D23B1" w14:textId="77777777" w:rsidTr="3ADDC19A">
        <w:trPr>
          <w:trHeight w:val="314"/>
        </w:trPr>
        <w:tc>
          <w:tcPr>
            <w:tcW w:w="1233" w:type="pct"/>
            <w:shd w:val="clear" w:color="auto" w:fill="D9D9D9" w:themeFill="background1" w:themeFillShade="D9"/>
            <w:tcMar>
              <w:top w:w="0" w:type="dxa"/>
              <w:left w:w="108" w:type="dxa"/>
              <w:bottom w:w="0" w:type="dxa"/>
              <w:right w:w="108" w:type="dxa"/>
            </w:tcMar>
          </w:tcPr>
          <w:p w14:paraId="47FFC122" w14:textId="77777777" w:rsidR="0013291D" w:rsidRPr="002F17DC" w:rsidRDefault="0013291D" w:rsidP="00906070">
            <w:pPr>
              <w:spacing w:before="60" w:after="60"/>
              <w:rPr>
                <w:rFonts w:cs="Segoe UI"/>
                <w:sz w:val="18"/>
                <w:szCs w:val="18"/>
                <w:lang w:val="en-GB"/>
              </w:rPr>
            </w:pPr>
            <w:r w:rsidRPr="002F17DC">
              <w:rPr>
                <w:rFonts w:cs="Segoe UI"/>
                <w:b/>
                <w:sz w:val="18"/>
                <w:szCs w:val="18"/>
              </w:rPr>
              <w:t>Variable</w:t>
            </w:r>
          </w:p>
        </w:tc>
        <w:tc>
          <w:tcPr>
            <w:tcW w:w="695" w:type="pct"/>
            <w:shd w:val="clear" w:color="auto" w:fill="D9D9D9" w:themeFill="background1" w:themeFillShade="D9"/>
            <w:tcMar>
              <w:top w:w="0" w:type="dxa"/>
              <w:left w:w="108" w:type="dxa"/>
              <w:bottom w:w="0" w:type="dxa"/>
              <w:right w:w="108" w:type="dxa"/>
            </w:tcMar>
          </w:tcPr>
          <w:p w14:paraId="721E647D" w14:textId="5C049F48" w:rsidR="0013291D" w:rsidRPr="00AA021D" w:rsidRDefault="0013291D" w:rsidP="00906070">
            <w:pPr>
              <w:spacing w:before="60" w:after="60"/>
              <w:rPr>
                <w:rFonts w:cs="Segoe UI"/>
                <w:b/>
                <w:sz w:val="18"/>
                <w:szCs w:val="18"/>
              </w:rPr>
            </w:pPr>
            <w:r w:rsidRPr="00AA021D">
              <w:rPr>
                <w:rFonts w:cs="Segoe UI"/>
                <w:b/>
                <w:sz w:val="18"/>
                <w:szCs w:val="18"/>
              </w:rPr>
              <w:t>Value</w:t>
            </w:r>
          </w:p>
        </w:tc>
        <w:tc>
          <w:tcPr>
            <w:tcW w:w="2144" w:type="pct"/>
            <w:shd w:val="clear" w:color="auto" w:fill="D9D9D9" w:themeFill="background1" w:themeFillShade="D9"/>
            <w:tcMar>
              <w:top w:w="0" w:type="dxa"/>
              <w:left w:w="108" w:type="dxa"/>
              <w:bottom w:w="0" w:type="dxa"/>
              <w:right w:w="108" w:type="dxa"/>
            </w:tcMar>
          </w:tcPr>
          <w:p w14:paraId="13020221" w14:textId="70BDF9CF" w:rsidR="0013291D" w:rsidRPr="002F17DC" w:rsidRDefault="0013291D" w:rsidP="00906070">
            <w:pPr>
              <w:spacing w:before="60" w:after="60"/>
              <w:rPr>
                <w:rFonts w:cs="Segoe UI"/>
                <w:sz w:val="18"/>
                <w:szCs w:val="18"/>
              </w:rPr>
            </w:pPr>
            <w:r w:rsidRPr="003B3F20">
              <w:rPr>
                <w:rFonts w:cs="Segoe UI"/>
                <w:b/>
                <w:sz w:val="18"/>
                <w:szCs w:val="18"/>
              </w:rPr>
              <w:t xml:space="preserve">Coefficient x </w:t>
            </w:r>
            <w:r>
              <w:rPr>
                <w:rFonts w:cs="Segoe UI"/>
                <w:b/>
                <w:sz w:val="18"/>
                <w:szCs w:val="18"/>
              </w:rPr>
              <w:t>v</w:t>
            </w:r>
            <w:r w:rsidRPr="003B3F20">
              <w:rPr>
                <w:rFonts w:cs="Segoe UI"/>
                <w:b/>
                <w:sz w:val="18"/>
                <w:szCs w:val="18"/>
              </w:rPr>
              <w:t>ariable</w:t>
            </w:r>
          </w:p>
        </w:tc>
        <w:tc>
          <w:tcPr>
            <w:tcW w:w="928" w:type="pct"/>
            <w:shd w:val="clear" w:color="auto" w:fill="D9D9D9" w:themeFill="background1" w:themeFillShade="D9"/>
            <w:tcMar>
              <w:top w:w="0" w:type="dxa"/>
              <w:left w:w="108" w:type="dxa"/>
              <w:bottom w:w="0" w:type="dxa"/>
              <w:right w:w="108" w:type="dxa"/>
            </w:tcMar>
          </w:tcPr>
          <w:p w14:paraId="4F18630F" w14:textId="77777777" w:rsidR="0013291D" w:rsidRPr="002F17DC" w:rsidRDefault="0013291D" w:rsidP="00906070">
            <w:pPr>
              <w:spacing w:before="60" w:after="60"/>
              <w:rPr>
                <w:rFonts w:cs="Segoe UI"/>
                <w:sz w:val="18"/>
                <w:szCs w:val="18"/>
              </w:rPr>
            </w:pPr>
            <w:r w:rsidRPr="003B3F20">
              <w:rPr>
                <w:rFonts w:cs="Segoe UI"/>
                <w:b/>
                <w:sz w:val="18"/>
                <w:szCs w:val="18"/>
              </w:rPr>
              <w:t>Product</w:t>
            </w:r>
          </w:p>
        </w:tc>
      </w:tr>
      <w:tr w:rsidR="0013291D" w:rsidRPr="002F17DC" w14:paraId="4076FED9" w14:textId="77777777" w:rsidTr="3ADDC19A">
        <w:trPr>
          <w:trHeight w:val="314"/>
        </w:trPr>
        <w:tc>
          <w:tcPr>
            <w:tcW w:w="1233" w:type="pct"/>
            <w:tcMar>
              <w:top w:w="0" w:type="dxa"/>
              <w:left w:w="108" w:type="dxa"/>
              <w:bottom w:w="0" w:type="dxa"/>
              <w:right w:w="108" w:type="dxa"/>
            </w:tcMar>
            <w:hideMark/>
          </w:tcPr>
          <w:p w14:paraId="286F3710" w14:textId="6165AECA" w:rsidR="0013291D" w:rsidRPr="002F17DC" w:rsidRDefault="0013291D" w:rsidP="00906070">
            <w:pPr>
              <w:spacing w:before="60" w:after="60"/>
              <w:rPr>
                <w:rFonts w:cs="Segoe UI"/>
                <w:sz w:val="18"/>
                <w:szCs w:val="18"/>
              </w:rPr>
            </w:pPr>
            <w:r w:rsidRPr="002F17DC">
              <w:rPr>
                <w:rFonts w:cs="Segoe UI"/>
                <w:sz w:val="18"/>
                <w:szCs w:val="18"/>
                <w:lang w:val="en-GB"/>
              </w:rPr>
              <w:t>Age, years</w:t>
            </w:r>
          </w:p>
        </w:tc>
        <w:tc>
          <w:tcPr>
            <w:tcW w:w="695" w:type="pct"/>
            <w:tcMar>
              <w:top w:w="0" w:type="dxa"/>
              <w:left w:w="108" w:type="dxa"/>
              <w:bottom w:w="0" w:type="dxa"/>
              <w:right w:w="108" w:type="dxa"/>
            </w:tcMar>
          </w:tcPr>
          <w:p w14:paraId="122E6170" w14:textId="77777777" w:rsidR="0013291D" w:rsidRPr="002F17DC" w:rsidRDefault="0013291D" w:rsidP="00906070">
            <w:pPr>
              <w:spacing w:before="60" w:after="60"/>
              <w:rPr>
                <w:rFonts w:cs="Segoe UI"/>
                <w:sz w:val="18"/>
                <w:szCs w:val="18"/>
              </w:rPr>
            </w:pPr>
            <w:r w:rsidRPr="002F17DC">
              <w:rPr>
                <w:rFonts w:cs="Segoe UI"/>
                <w:sz w:val="18"/>
                <w:szCs w:val="18"/>
              </w:rPr>
              <w:t>35</w:t>
            </w:r>
          </w:p>
        </w:tc>
        <w:tc>
          <w:tcPr>
            <w:tcW w:w="2144" w:type="pct"/>
            <w:tcMar>
              <w:top w:w="0" w:type="dxa"/>
              <w:left w:w="108" w:type="dxa"/>
              <w:bottom w:w="0" w:type="dxa"/>
              <w:right w:w="108" w:type="dxa"/>
            </w:tcMar>
          </w:tcPr>
          <w:p w14:paraId="185CAF93" w14:textId="77777777" w:rsidR="0013291D" w:rsidRPr="002F17DC" w:rsidRDefault="0013291D" w:rsidP="00906070">
            <w:pPr>
              <w:spacing w:before="60" w:after="60"/>
              <w:rPr>
                <w:rFonts w:cs="Segoe UI"/>
                <w:sz w:val="18"/>
                <w:szCs w:val="18"/>
              </w:rPr>
            </w:pPr>
            <w:r w:rsidRPr="002F17DC">
              <w:rPr>
                <w:rFonts w:cs="Segoe UI"/>
                <w:sz w:val="18"/>
                <w:szCs w:val="18"/>
              </w:rPr>
              <w:t>0.0472422 x (35 - 53.738152)</w:t>
            </w:r>
          </w:p>
        </w:tc>
        <w:tc>
          <w:tcPr>
            <w:tcW w:w="928" w:type="pct"/>
            <w:tcMar>
              <w:top w:w="0" w:type="dxa"/>
              <w:left w:w="108" w:type="dxa"/>
              <w:bottom w:w="0" w:type="dxa"/>
              <w:right w:w="108" w:type="dxa"/>
            </w:tcMar>
          </w:tcPr>
          <w:p w14:paraId="36C8627C" w14:textId="77777777" w:rsidR="0013291D" w:rsidRPr="002F17DC" w:rsidRDefault="0013291D">
            <w:pPr>
              <w:spacing w:before="60" w:after="60"/>
              <w:rPr>
                <w:rFonts w:cs="Segoe UI"/>
                <w:sz w:val="18"/>
                <w:szCs w:val="18"/>
              </w:rPr>
            </w:pPr>
            <w:r w:rsidRPr="002F17DC">
              <w:rPr>
                <w:rFonts w:cs="Segoe UI"/>
                <w:sz w:val="18"/>
                <w:szCs w:val="18"/>
              </w:rPr>
              <w:t>-0.8852315</w:t>
            </w:r>
          </w:p>
        </w:tc>
      </w:tr>
      <w:tr w:rsidR="0013291D" w:rsidRPr="002F17DC" w14:paraId="250FFF6D" w14:textId="77777777" w:rsidTr="3ADDC19A">
        <w:trPr>
          <w:trHeight w:val="314"/>
        </w:trPr>
        <w:tc>
          <w:tcPr>
            <w:tcW w:w="1233" w:type="pct"/>
            <w:tcMar>
              <w:top w:w="0" w:type="dxa"/>
              <w:left w:w="108" w:type="dxa"/>
              <w:bottom w:w="0" w:type="dxa"/>
              <w:right w:w="108" w:type="dxa"/>
            </w:tcMar>
            <w:hideMark/>
          </w:tcPr>
          <w:p w14:paraId="61BD7154" w14:textId="77777777" w:rsidR="0013291D" w:rsidRPr="002F17DC" w:rsidRDefault="0013291D" w:rsidP="00906070">
            <w:pPr>
              <w:spacing w:before="60" w:after="60"/>
              <w:rPr>
                <w:rFonts w:cs="Segoe UI"/>
                <w:sz w:val="18"/>
                <w:szCs w:val="18"/>
              </w:rPr>
            </w:pPr>
            <w:r w:rsidRPr="002F17DC">
              <w:rPr>
                <w:rFonts w:cs="Segoe UI"/>
                <w:sz w:val="18"/>
                <w:szCs w:val="18"/>
                <w:lang w:val="en-GB"/>
              </w:rPr>
              <w:t>Māori</w:t>
            </w:r>
          </w:p>
        </w:tc>
        <w:tc>
          <w:tcPr>
            <w:tcW w:w="695" w:type="pct"/>
            <w:tcMar>
              <w:top w:w="0" w:type="dxa"/>
              <w:left w:w="108" w:type="dxa"/>
              <w:bottom w:w="0" w:type="dxa"/>
              <w:right w:w="108" w:type="dxa"/>
            </w:tcMar>
          </w:tcPr>
          <w:p w14:paraId="27786BD0"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2144" w:type="pct"/>
            <w:tcMar>
              <w:top w:w="0" w:type="dxa"/>
              <w:left w:w="108" w:type="dxa"/>
              <w:bottom w:w="0" w:type="dxa"/>
              <w:right w:w="108" w:type="dxa"/>
            </w:tcMar>
          </w:tcPr>
          <w:p w14:paraId="51CCD21E" w14:textId="77777777" w:rsidR="0013291D" w:rsidRPr="002F17DC" w:rsidRDefault="0013291D" w:rsidP="00906070">
            <w:pPr>
              <w:spacing w:before="60" w:after="60"/>
              <w:rPr>
                <w:rFonts w:cs="Segoe UI"/>
                <w:sz w:val="18"/>
                <w:szCs w:val="18"/>
              </w:rPr>
            </w:pPr>
            <w:r w:rsidRPr="002F17DC">
              <w:rPr>
                <w:rFonts w:cs="Segoe UI"/>
                <w:sz w:val="18"/>
                <w:szCs w:val="18"/>
              </w:rPr>
              <w:t>-0.0553093 x 1</w:t>
            </w:r>
          </w:p>
        </w:tc>
        <w:tc>
          <w:tcPr>
            <w:tcW w:w="928" w:type="pct"/>
            <w:tcMar>
              <w:top w:w="0" w:type="dxa"/>
              <w:left w:w="108" w:type="dxa"/>
              <w:bottom w:w="0" w:type="dxa"/>
              <w:right w:w="108" w:type="dxa"/>
            </w:tcMar>
          </w:tcPr>
          <w:p w14:paraId="39A5B4A5" w14:textId="77777777" w:rsidR="0013291D" w:rsidRPr="002F17DC" w:rsidRDefault="0013291D">
            <w:pPr>
              <w:spacing w:before="60" w:after="60"/>
              <w:rPr>
                <w:rFonts w:cs="Segoe UI"/>
                <w:sz w:val="18"/>
                <w:szCs w:val="18"/>
              </w:rPr>
            </w:pPr>
            <w:r w:rsidRPr="002F17DC">
              <w:rPr>
                <w:rFonts w:cs="Segoe UI"/>
                <w:sz w:val="18"/>
                <w:szCs w:val="18"/>
              </w:rPr>
              <w:t>-0.0553093</w:t>
            </w:r>
          </w:p>
        </w:tc>
      </w:tr>
      <w:tr w:rsidR="0013291D" w:rsidRPr="002F17DC" w14:paraId="5A76E47F" w14:textId="77777777" w:rsidTr="3ADDC19A">
        <w:trPr>
          <w:trHeight w:val="314"/>
        </w:trPr>
        <w:tc>
          <w:tcPr>
            <w:tcW w:w="1233" w:type="pct"/>
            <w:tcMar>
              <w:top w:w="0" w:type="dxa"/>
              <w:left w:w="108" w:type="dxa"/>
              <w:bottom w:w="0" w:type="dxa"/>
              <w:right w:w="108" w:type="dxa"/>
            </w:tcMar>
            <w:hideMark/>
          </w:tcPr>
          <w:p w14:paraId="71C6B822" w14:textId="77777777" w:rsidR="0013291D" w:rsidRPr="002F17DC" w:rsidRDefault="0013291D" w:rsidP="00906070">
            <w:pPr>
              <w:spacing w:before="60" w:after="60"/>
              <w:rPr>
                <w:rFonts w:cs="Segoe UI"/>
                <w:sz w:val="18"/>
                <w:szCs w:val="18"/>
              </w:rPr>
            </w:pPr>
            <w:r w:rsidRPr="002F17DC">
              <w:rPr>
                <w:rFonts w:cs="Segoe UI"/>
                <w:sz w:val="18"/>
                <w:szCs w:val="18"/>
              </w:rPr>
              <w:t>Pacific</w:t>
            </w:r>
          </w:p>
        </w:tc>
        <w:tc>
          <w:tcPr>
            <w:tcW w:w="695" w:type="pct"/>
            <w:tcMar>
              <w:top w:w="0" w:type="dxa"/>
              <w:left w:w="108" w:type="dxa"/>
              <w:bottom w:w="0" w:type="dxa"/>
              <w:right w:w="108" w:type="dxa"/>
            </w:tcMar>
          </w:tcPr>
          <w:p w14:paraId="73514743" w14:textId="77777777" w:rsidR="0013291D" w:rsidRPr="002F17DC" w:rsidRDefault="0013291D" w:rsidP="00906070">
            <w:pPr>
              <w:spacing w:before="60" w:after="60"/>
              <w:rPr>
                <w:rFonts w:cs="Segoe UI"/>
                <w:sz w:val="18"/>
                <w:szCs w:val="18"/>
              </w:rPr>
            </w:pPr>
          </w:p>
        </w:tc>
        <w:tc>
          <w:tcPr>
            <w:tcW w:w="2144" w:type="pct"/>
            <w:tcMar>
              <w:top w:w="0" w:type="dxa"/>
              <w:left w:w="108" w:type="dxa"/>
              <w:bottom w:w="0" w:type="dxa"/>
              <w:right w:w="108" w:type="dxa"/>
            </w:tcMar>
          </w:tcPr>
          <w:p w14:paraId="1027C091" w14:textId="77777777" w:rsidR="0013291D" w:rsidRPr="002F17DC" w:rsidRDefault="0013291D" w:rsidP="00906070">
            <w:pPr>
              <w:spacing w:before="60" w:after="60"/>
              <w:rPr>
                <w:rFonts w:cs="Segoe UI"/>
                <w:sz w:val="18"/>
                <w:szCs w:val="18"/>
              </w:rPr>
            </w:pPr>
            <w:r w:rsidRPr="002F17DC">
              <w:rPr>
                <w:rFonts w:cs="Segoe UI"/>
                <w:sz w:val="18"/>
                <w:szCs w:val="18"/>
              </w:rPr>
              <w:t>-0.210811 x 0</w:t>
            </w:r>
          </w:p>
        </w:tc>
        <w:tc>
          <w:tcPr>
            <w:tcW w:w="928" w:type="pct"/>
            <w:tcMar>
              <w:top w:w="0" w:type="dxa"/>
              <w:left w:w="108" w:type="dxa"/>
              <w:bottom w:w="0" w:type="dxa"/>
              <w:right w:w="108" w:type="dxa"/>
            </w:tcMar>
          </w:tcPr>
          <w:p w14:paraId="60132B74"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6B0CAE72" w14:textId="77777777" w:rsidTr="3ADDC19A">
        <w:trPr>
          <w:trHeight w:val="314"/>
        </w:trPr>
        <w:tc>
          <w:tcPr>
            <w:tcW w:w="1233" w:type="pct"/>
            <w:tcMar>
              <w:top w:w="0" w:type="dxa"/>
              <w:left w:w="108" w:type="dxa"/>
              <w:bottom w:w="0" w:type="dxa"/>
              <w:right w:w="108" w:type="dxa"/>
            </w:tcMar>
            <w:hideMark/>
          </w:tcPr>
          <w:p w14:paraId="1E28B06F" w14:textId="77777777" w:rsidR="0013291D" w:rsidRPr="002F17DC" w:rsidRDefault="0013291D" w:rsidP="00906070">
            <w:pPr>
              <w:spacing w:before="60" w:after="60"/>
              <w:rPr>
                <w:rFonts w:cs="Segoe UI"/>
                <w:sz w:val="18"/>
                <w:szCs w:val="18"/>
              </w:rPr>
            </w:pPr>
            <w:r w:rsidRPr="002F17DC">
              <w:rPr>
                <w:rFonts w:cs="Segoe UI"/>
                <w:sz w:val="18"/>
                <w:szCs w:val="18"/>
              </w:rPr>
              <w:t>Indian/Other South Asian</w:t>
            </w:r>
          </w:p>
        </w:tc>
        <w:tc>
          <w:tcPr>
            <w:tcW w:w="695" w:type="pct"/>
            <w:tcMar>
              <w:top w:w="0" w:type="dxa"/>
              <w:left w:w="108" w:type="dxa"/>
              <w:bottom w:w="0" w:type="dxa"/>
              <w:right w:w="108" w:type="dxa"/>
            </w:tcMar>
          </w:tcPr>
          <w:p w14:paraId="59506441" w14:textId="77777777" w:rsidR="0013291D" w:rsidRPr="002F17DC" w:rsidRDefault="0013291D" w:rsidP="00906070">
            <w:pPr>
              <w:spacing w:before="60" w:after="60"/>
              <w:rPr>
                <w:rFonts w:cs="Segoe UI"/>
                <w:sz w:val="18"/>
                <w:szCs w:val="18"/>
              </w:rPr>
            </w:pPr>
          </w:p>
        </w:tc>
        <w:tc>
          <w:tcPr>
            <w:tcW w:w="2144" w:type="pct"/>
            <w:tcMar>
              <w:top w:w="0" w:type="dxa"/>
              <w:left w:w="108" w:type="dxa"/>
              <w:bottom w:w="0" w:type="dxa"/>
              <w:right w:w="108" w:type="dxa"/>
            </w:tcMar>
          </w:tcPr>
          <w:p w14:paraId="7C22EA7A" w14:textId="77777777" w:rsidR="0013291D" w:rsidRPr="002F17DC" w:rsidRDefault="0013291D" w:rsidP="00906070">
            <w:pPr>
              <w:spacing w:before="60" w:after="60"/>
              <w:rPr>
                <w:rFonts w:cs="Segoe UI"/>
                <w:sz w:val="18"/>
                <w:szCs w:val="18"/>
              </w:rPr>
            </w:pPr>
            <w:r w:rsidRPr="002F17DC">
              <w:rPr>
                <w:rFonts w:cs="Segoe UI"/>
                <w:sz w:val="18"/>
                <w:szCs w:val="18"/>
              </w:rPr>
              <w:t>0.1522338 x 0</w:t>
            </w:r>
          </w:p>
        </w:tc>
        <w:tc>
          <w:tcPr>
            <w:tcW w:w="928" w:type="pct"/>
            <w:tcMar>
              <w:top w:w="0" w:type="dxa"/>
              <w:left w:w="108" w:type="dxa"/>
              <w:bottom w:w="0" w:type="dxa"/>
              <w:right w:w="108" w:type="dxa"/>
            </w:tcMar>
          </w:tcPr>
          <w:p w14:paraId="628A347E"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1C5BCD2A" w14:textId="77777777" w:rsidTr="3ADDC19A">
        <w:trPr>
          <w:trHeight w:val="307"/>
        </w:trPr>
        <w:tc>
          <w:tcPr>
            <w:tcW w:w="1233" w:type="pct"/>
            <w:tcMar>
              <w:top w:w="0" w:type="dxa"/>
              <w:left w:w="108" w:type="dxa"/>
              <w:bottom w:w="0" w:type="dxa"/>
              <w:right w:w="108" w:type="dxa"/>
            </w:tcMar>
            <w:hideMark/>
          </w:tcPr>
          <w:p w14:paraId="608D4219" w14:textId="77777777" w:rsidR="0013291D" w:rsidRPr="002F17DC" w:rsidRDefault="0013291D" w:rsidP="00906070">
            <w:pPr>
              <w:spacing w:before="60" w:after="60"/>
              <w:rPr>
                <w:rFonts w:cs="Segoe UI"/>
                <w:sz w:val="18"/>
                <w:szCs w:val="18"/>
              </w:rPr>
            </w:pPr>
            <w:r w:rsidRPr="002F17DC">
              <w:rPr>
                <w:rFonts w:cs="Segoe UI"/>
                <w:sz w:val="18"/>
                <w:szCs w:val="18"/>
              </w:rPr>
              <w:t>Chinese/Asian</w:t>
            </w:r>
          </w:p>
        </w:tc>
        <w:tc>
          <w:tcPr>
            <w:tcW w:w="695" w:type="pct"/>
            <w:tcMar>
              <w:top w:w="0" w:type="dxa"/>
              <w:left w:w="108" w:type="dxa"/>
              <w:bottom w:w="0" w:type="dxa"/>
              <w:right w:w="108" w:type="dxa"/>
            </w:tcMar>
          </w:tcPr>
          <w:p w14:paraId="418C09D1" w14:textId="77777777" w:rsidR="0013291D" w:rsidRPr="002F17DC" w:rsidRDefault="0013291D" w:rsidP="00906070">
            <w:pPr>
              <w:spacing w:before="60" w:after="60"/>
              <w:rPr>
                <w:rFonts w:cs="Segoe UI"/>
                <w:sz w:val="18"/>
                <w:szCs w:val="18"/>
              </w:rPr>
            </w:pPr>
          </w:p>
        </w:tc>
        <w:tc>
          <w:tcPr>
            <w:tcW w:w="2144" w:type="pct"/>
            <w:tcMar>
              <w:top w:w="0" w:type="dxa"/>
              <w:left w:w="108" w:type="dxa"/>
              <w:bottom w:w="0" w:type="dxa"/>
              <w:right w:w="108" w:type="dxa"/>
            </w:tcMar>
          </w:tcPr>
          <w:p w14:paraId="34615BF0" w14:textId="77777777" w:rsidR="0013291D" w:rsidRPr="002F17DC" w:rsidRDefault="0013291D" w:rsidP="00906070">
            <w:pPr>
              <w:spacing w:before="60" w:after="60"/>
              <w:rPr>
                <w:rFonts w:cs="Segoe UI"/>
                <w:sz w:val="18"/>
                <w:szCs w:val="18"/>
                <w:lang w:val="en-GB"/>
              </w:rPr>
            </w:pPr>
            <w:r w:rsidRPr="002F17DC">
              <w:rPr>
                <w:rFonts w:cs="Segoe UI"/>
                <w:sz w:val="18"/>
                <w:szCs w:val="18"/>
              </w:rPr>
              <w:t>-0.3852922 x 0</w:t>
            </w:r>
          </w:p>
        </w:tc>
        <w:tc>
          <w:tcPr>
            <w:tcW w:w="928" w:type="pct"/>
            <w:tcMar>
              <w:top w:w="0" w:type="dxa"/>
              <w:left w:w="108" w:type="dxa"/>
              <w:bottom w:w="0" w:type="dxa"/>
              <w:right w:w="108" w:type="dxa"/>
            </w:tcMar>
          </w:tcPr>
          <w:p w14:paraId="1610C4D5"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11BA83E6" w14:textId="77777777" w:rsidTr="3ADDC19A">
        <w:trPr>
          <w:trHeight w:val="268"/>
        </w:trPr>
        <w:tc>
          <w:tcPr>
            <w:tcW w:w="1233" w:type="pct"/>
            <w:tcMar>
              <w:top w:w="0" w:type="dxa"/>
              <w:left w:w="108" w:type="dxa"/>
              <w:bottom w:w="0" w:type="dxa"/>
              <w:right w:w="108" w:type="dxa"/>
            </w:tcMar>
            <w:hideMark/>
          </w:tcPr>
          <w:p w14:paraId="08DA7710" w14:textId="14EF5826" w:rsidR="0013291D" w:rsidRPr="002F17DC" w:rsidRDefault="0013291D" w:rsidP="00906070">
            <w:pPr>
              <w:spacing w:before="60" w:after="60"/>
              <w:rPr>
                <w:rFonts w:cs="Segoe UI"/>
                <w:sz w:val="18"/>
                <w:szCs w:val="18"/>
              </w:rPr>
            </w:pPr>
            <w:proofErr w:type="spellStart"/>
            <w:r w:rsidRPr="002F17DC">
              <w:rPr>
                <w:rFonts w:cs="Segoe UI"/>
                <w:sz w:val="18"/>
                <w:szCs w:val="18"/>
              </w:rPr>
              <w:t>NZDep</w:t>
            </w:r>
            <w:proofErr w:type="spellEnd"/>
            <w:r w:rsidRPr="002F17DC">
              <w:rPr>
                <w:rFonts w:cs="Segoe UI"/>
                <w:sz w:val="18"/>
                <w:szCs w:val="18"/>
              </w:rPr>
              <w:t xml:space="preserve"> quintile</w:t>
            </w:r>
          </w:p>
        </w:tc>
        <w:tc>
          <w:tcPr>
            <w:tcW w:w="695" w:type="pct"/>
            <w:tcMar>
              <w:top w:w="0" w:type="dxa"/>
              <w:left w:w="108" w:type="dxa"/>
              <w:bottom w:w="0" w:type="dxa"/>
              <w:right w:w="108" w:type="dxa"/>
            </w:tcMar>
          </w:tcPr>
          <w:p w14:paraId="348CA278" w14:textId="77777777" w:rsidR="0013291D" w:rsidRPr="002F17DC" w:rsidRDefault="0013291D" w:rsidP="00906070">
            <w:pPr>
              <w:spacing w:before="60" w:after="60"/>
              <w:rPr>
                <w:rFonts w:cs="Segoe UI"/>
                <w:sz w:val="18"/>
                <w:szCs w:val="18"/>
              </w:rPr>
            </w:pPr>
            <w:r w:rsidRPr="002F17DC">
              <w:rPr>
                <w:rFonts w:cs="Segoe UI"/>
                <w:sz w:val="18"/>
                <w:szCs w:val="18"/>
              </w:rPr>
              <w:t>5</w:t>
            </w:r>
          </w:p>
        </w:tc>
        <w:tc>
          <w:tcPr>
            <w:tcW w:w="2144" w:type="pct"/>
            <w:tcMar>
              <w:top w:w="0" w:type="dxa"/>
              <w:left w:w="108" w:type="dxa"/>
              <w:bottom w:w="0" w:type="dxa"/>
              <w:right w:w="108" w:type="dxa"/>
            </w:tcMar>
          </w:tcPr>
          <w:p w14:paraId="1241A073" w14:textId="77777777" w:rsidR="0013291D" w:rsidRPr="002F17DC" w:rsidRDefault="0013291D" w:rsidP="00906070">
            <w:pPr>
              <w:spacing w:before="60" w:after="60"/>
              <w:rPr>
                <w:rFonts w:cs="Segoe UI"/>
                <w:sz w:val="18"/>
                <w:szCs w:val="18"/>
              </w:rPr>
            </w:pPr>
            <w:r w:rsidRPr="002F17DC">
              <w:rPr>
                <w:rFonts w:cs="Segoe UI"/>
                <w:sz w:val="18"/>
                <w:szCs w:val="18"/>
              </w:rPr>
              <w:t>0.0413719 x (5 - 3.410281)</w:t>
            </w:r>
          </w:p>
        </w:tc>
        <w:tc>
          <w:tcPr>
            <w:tcW w:w="928" w:type="pct"/>
            <w:tcMar>
              <w:top w:w="0" w:type="dxa"/>
              <w:left w:w="108" w:type="dxa"/>
              <w:bottom w:w="0" w:type="dxa"/>
              <w:right w:w="108" w:type="dxa"/>
            </w:tcMar>
          </w:tcPr>
          <w:p w14:paraId="7AB520DC" w14:textId="77777777" w:rsidR="0013291D" w:rsidRPr="002F17DC" w:rsidRDefault="0013291D">
            <w:pPr>
              <w:spacing w:before="60" w:after="60"/>
              <w:rPr>
                <w:rFonts w:cs="Segoe UI"/>
                <w:sz w:val="18"/>
                <w:szCs w:val="18"/>
              </w:rPr>
            </w:pPr>
            <w:r w:rsidRPr="002F17DC">
              <w:rPr>
                <w:rFonts w:cs="Segoe UI"/>
                <w:sz w:val="18"/>
                <w:szCs w:val="18"/>
              </w:rPr>
              <w:t>0.0657697</w:t>
            </w:r>
          </w:p>
        </w:tc>
      </w:tr>
      <w:tr w:rsidR="0013291D" w:rsidRPr="002F17DC" w14:paraId="03C97C94" w14:textId="77777777" w:rsidTr="3ADDC19A">
        <w:trPr>
          <w:trHeight w:val="259"/>
        </w:trPr>
        <w:tc>
          <w:tcPr>
            <w:tcW w:w="1233" w:type="pct"/>
            <w:tcMar>
              <w:top w:w="0" w:type="dxa"/>
              <w:left w:w="108" w:type="dxa"/>
              <w:bottom w:w="0" w:type="dxa"/>
              <w:right w:w="108" w:type="dxa"/>
            </w:tcMar>
            <w:hideMark/>
          </w:tcPr>
          <w:p w14:paraId="3B62B84A" w14:textId="77777777" w:rsidR="0013291D" w:rsidRPr="002F17DC" w:rsidRDefault="0013291D" w:rsidP="00906070">
            <w:pPr>
              <w:spacing w:before="60" w:after="60"/>
              <w:rPr>
                <w:rFonts w:cs="Segoe UI"/>
                <w:sz w:val="18"/>
                <w:szCs w:val="18"/>
              </w:rPr>
            </w:pPr>
            <w:r w:rsidRPr="002F17DC">
              <w:rPr>
                <w:rFonts w:cs="Segoe UI"/>
                <w:sz w:val="18"/>
                <w:szCs w:val="18"/>
              </w:rPr>
              <w:t>Current</w:t>
            </w:r>
            <w:r>
              <w:rPr>
                <w:rFonts w:cs="Segoe UI"/>
                <w:sz w:val="18"/>
                <w:szCs w:val="18"/>
              </w:rPr>
              <w:t>ly</w:t>
            </w:r>
            <w:r w:rsidRPr="002F17DC">
              <w:rPr>
                <w:rFonts w:cs="Segoe UI"/>
                <w:sz w:val="18"/>
                <w:szCs w:val="18"/>
              </w:rPr>
              <w:t xml:space="preserve"> smok</w:t>
            </w:r>
            <w:r>
              <w:rPr>
                <w:rFonts w:cs="Segoe UI"/>
                <w:sz w:val="18"/>
                <w:szCs w:val="18"/>
              </w:rPr>
              <w:t>ing</w:t>
            </w:r>
          </w:p>
        </w:tc>
        <w:tc>
          <w:tcPr>
            <w:tcW w:w="695" w:type="pct"/>
            <w:tcMar>
              <w:top w:w="0" w:type="dxa"/>
              <w:left w:w="108" w:type="dxa"/>
              <w:bottom w:w="0" w:type="dxa"/>
              <w:right w:w="108" w:type="dxa"/>
            </w:tcMar>
          </w:tcPr>
          <w:p w14:paraId="4BD5075E"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2144" w:type="pct"/>
            <w:tcMar>
              <w:top w:w="0" w:type="dxa"/>
              <w:left w:w="108" w:type="dxa"/>
              <w:bottom w:w="0" w:type="dxa"/>
              <w:right w:w="108" w:type="dxa"/>
            </w:tcMar>
          </w:tcPr>
          <w:p w14:paraId="46888B66" w14:textId="77777777" w:rsidR="0013291D" w:rsidRPr="002F17DC" w:rsidRDefault="0013291D" w:rsidP="00906070">
            <w:pPr>
              <w:spacing w:before="60" w:after="60"/>
              <w:rPr>
                <w:rFonts w:cs="Segoe UI"/>
                <w:sz w:val="18"/>
                <w:szCs w:val="18"/>
              </w:rPr>
            </w:pPr>
            <w:r w:rsidRPr="002F17DC">
              <w:rPr>
                <w:rFonts w:cs="Segoe UI"/>
                <w:sz w:val="18"/>
                <w:szCs w:val="18"/>
              </w:rPr>
              <w:t>0.3509447 x 1</w:t>
            </w:r>
          </w:p>
        </w:tc>
        <w:tc>
          <w:tcPr>
            <w:tcW w:w="928" w:type="pct"/>
            <w:tcMar>
              <w:top w:w="0" w:type="dxa"/>
              <w:left w:w="108" w:type="dxa"/>
              <w:bottom w:w="0" w:type="dxa"/>
              <w:right w:w="108" w:type="dxa"/>
            </w:tcMar>
          </w:tcPr>
          <w:p w14:paraId="7F589142" w14:textId="77777777" w:rsidR="0013291D" w:rsidRPr="002F17DC" w:rsidRDefault="0013291D">
            <w:pPr>
              <w:spacing w:before="60" w:after="60"/>
              <w:rPr>
                <w:rFonts w:cs="Segoe UI"/>
                <w:sz w:val="18"/>
                <w:szCs w:val="18"/>
              </w:rPr>
            </w:pPr>
            <w:r w:rsidRPr="002F17DC">
              <w:rPr>
                <w:rFonts w:cs="Segoe UI"/>
                <w:sz w:val="18"/>
                <w:szCs w:val="18"/>
              </w:rPr>
              <w:t>0.3509447</w:t>
            </w:r>
          </w:p>
        </w:tc>
      </w:tr>
      <w:tr w:rsidR="0013291D" w:rsidRPr="002F17DC" w14:paraId="2E132B43" w14:textId="77777777" w:rsidTr="3ADDC19A">
        <w:trPr>
          <w:trHeight w:val="314"/>
        </w:trPr>
        <w:tc>
          <w:tcPr>
            <w:tcW w:w="1233" w:type="pct"/>
            <w:tcMar>
              <w:top w:w="0" w:type="dxa"/>
              <w:left w:w="108" w:type="dxa"/>
              <w:bottom w:w="0" w:type="dxa"/>
              <w:right w:w="108" w:type="dxa"/>
            </w:tcMar>
            <w:hideMark/>
          </w:tcPr>
          <w:p w14:paraId="63BCE6F2" w14:textId="77777777" w:rsidR="0013291D" w:rsidRPr="002F17DC" w:rsidRDefault="0013291D" w:rsidP="00906070">
            <w:pPr>
              <w:spacing w:before="60" w:after="60"/>
              <w:rPr>
                <w:rFonts w:cs="Segoe UI"/>
                <w:sz w:val="18"/>
                <w:szCs w:val="18"/>
              </w:rPr>
            </w:pPr>
            <w:r w:rsidRPr="002F17DC">
              <w:rPr>
                <w:rFonts w:cs="Segoe UI"/>
                <w:sz w:val="18"/>
                <w:szCs w:val="18"/>
              </w:rPr>
              <w:t>Fam. hist. CVD</w:t>
            </w:r>
          </w:p>
        </w:tc>
        <w:tc>
          <w:tcPr>
            <w:tcW w:w="695" w:type="pct"/>
            <w:tcMar>
              <w:top w:w="0" w:type="dxa"/>
              <w:left w:w="108" w:type="dxa"/>
              <w:bottom w:w="0" w:type="dxa"/>
              <w:right w:w="108" w:type="dxa"/>
            </w:tcMar>
          </w:tcPr>
          <w:p w14:paraId="2878D9BD"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2144" w:type="pct"/>
            <w:tcMar>
              <w:top w:w="0" w:type="dxa"/>
              <w:left w:w="108" w:type="dxa"/>
              <w:bottom w:w="0" w:type="dxa"/>
              <w:right w:w="108" w:type="dxa"/>
            </w:tcMar>
          </w:tcPr>
          <w:p w14:paraId="3F45FCC7" w14:textId="77777777" w:rsidR="0013291D" w:rsidRPr="002F17DC" w:rsidRDefault="0013291D" w:rsidP="00906070">
            <w:pPr>
              <w:spacing w:before="60" w:after="60"/>
              <w:rPr>
                <w:rFonts w:cs="Segoe UI"/>
                <w:sz w:val="18"/>
                <w:szCs w:val="18"/>
              </w:rPr>
            </w:pPr>
            <w:r w:rsidRPr="002F17DC">
              <w:rPr>
                <w:rFonts w:cs="Segoe UI"/>
                <w:sz w:val="18"/>
                <w:szCs w:val="18"/>
              </w:rPr>
              <w:t>0.2093793 x 1</w:t>
            </w:r>
          </w:p>
        </w:tc>
        <w:tc>
          <w:tcPr>
            <w:tcW w:w="928" w:type="pct"/>
            <w:tcMar>
              <w:top w:w="0" w:type="dxa"/>
              <w:left w:w="108" w:type="dxa"/>
              <w:bottom w:w="0" w:type="dxa"/>
              <w:right w:w="108" w:type="dxa"/>
            </w:tcMar>
          </w:tcPr>
          <w:p w14:paraId="7AFF4551" w14:textId="77777777" w:rsidR="0013291D" w:rsidRPr="002F17DC" w:rsidRDefault="0013291D">
            <w:pPr>
              <w:spacing w:before="60" w:after="60"/>
              <w:rPr>
                <w:rFonts w:cs="Segoe UI"/>
                <w:sz w:val="18"/>
                <w:szCs w:val="18"/>
              </w:rPr>
            </w:pPr>
            <w:r w:rsidRPr="002F17DC">
              <w:rPr>
                <w:rFonts w:cs="Segoe UI"/>
                <w:sz w:val="18"/>
                <w:szCs w:val="18"/>
              </w:rPr>
              <w:t>0.2093793</w:t>
            </w:r>
          </w:p>
        </w:tc>
      </w:tr>
      <w:tr w:rsidR="0013291D" w:rsidRPr="002F17DC" w14:paraId="61C5AE79" w14:textId="77777777" w:rsidTr="3ADDC19A">
        <w:trPr>
          <w:trHeight w:val="211"/>
        </w:trPr>
        <w:tc>
          <w:tcPr>
            <w:tcW w:w="1233" w:type="pct"/>
            <w:tcMar>
              <w:top w:w="0" w:type="dxa"/>
              <w:left w:w="108" w:type="dxa"/>
              <w:bottom w:w="0" w:type="dxa"/>
              <w:right w:w="108" w:type="dxa"/>
            </w:tcMar>
            <w:hideMark/>
          </w:tcPr>
          <w:p w14:paraId="306F867A" w14:textId="77777777" w:rsidR="0013291D" w:rsidRPr="002F17DC" w:rsidRDefault="0013291D" w:rsidP="00906070">
            <w:pPr>
              <w:spacing w:before="60" w:after="60"/>
              <w:rPr>
                <w:rFonts w:cs="Segoe UI"/>
                <w:sz w:val="18"/>
                <w:szCs w:val="18"/>
              </w:rPr>
            </w:pPr>
            <w:r w:rsidRPr="002F17DC">
              <w:rPr>
                <w:rFonts w:cs="Segoe UI"/>
                <w:sz w:val="18"/>
                <w:szCs w:val="18"/>
              </w:rPr>
              <w:t>Atrial fibrillation</w:t>
            </w:r>
          </w:p>
        </w:tc>
        <w:tc>
          <w:tcPr>
            <w:tcW w:w="695" w:type="pct"/>
            <w:tcMar>
              <w:top w:w="0" w:type="dxa"/>
              <w:left w:w="108" w:type="dxa"/>
              <w:bottom w:w="0" w:type="dxa"/>
              <w:right w:w="108" w:type="dxa"/>
            </w:tcMar>
          </w:tcPr>
          <w:p w14:paraId="6AA7B52E" w14:textId="77777777" w:rsidR="0013291D" w:rsidRPr="002F17DC" w:rsidRDefault="0013291D" w:rsidP="00906070">
            <w:pPr>
              <w:spacing w:before="60" w:after="60"/>
              <w:rPr>
                <w:rFonts w:cs="Segoe UI"/>
                <w:sz w:val="18"/>
                <w:szCs w:val="18"/>
              </w:rPr>
            </w:pPr>
            <w:r w:rsidRPr="002F17DC">
              <w:rPr>
                <w:rFonts w:cs="Segoe UI"/>
                <w:sz w:val="18"/>
                <w:szCs w:val="18"/>
              </w:rPr>
              <w:t>Yes</w:t>
            </w:r>
          </w:p>
        </w:tc>
        <w:tc>
          <w:tcPr>
            <w:tcW w:w="2144" w:type="pct"/>
            <w:tcMar>
              <w:top w:w="0" w:type="dxa"/>
              <w:left w:w="108" w:type="dxa"/>
              <w:bottom w:w="0" w:type="dxa"/>
              <w:right w:w="108" w:type="dxa"/>
            </w:tcMar>
          </w:tcPr>
          <w:p w14:paraId="3EDE846C" w14:textId="77777777" w:rsidR="0013291D" w:rsidRPr="002F17DC" w:rsidRDefault="0013291D" w:rsidP="00906070">
            <w:pPr>
              <w:spacing w:before="60" w:after="60"/>
              <w:rPr>
                <w:rFonts w:cs="Segoe UI"/>
                <w:sz w:val="18"/>
                <w:szCs w:val="18"/>
                <w:lang w:val="en-GB"/>
              </w:rPr>
            </w:pPr>
            <w:r w:rsidRPr="002F17DC">
              <w:rPr>
                <w:rFonts w:cs="Segoe UI"/>
                <w:sz w:val="18"/>
                <w:szCs w:val="18"/>
                <w:lang w:val="en-GB"/>
              </w:rPr>
              <w:t>0.5284553 x 1</w:t>
            </w:r>
          </w:p>
        </w:tc>
        <w:tc>
          <w:tcPr>
            <w:tcW w:w="928" w:type="pct"/>
            <w:tcMar>
              <w:top w:w="0" w:type="dxa"/>
              <w:left w:w="108" w:type="dxa"/>
              <w:bottom w:w="0" w:type="dxa"/>
              <w:right w:w="108" w:type="dxa"/>
            </w:tcMar>
          </w:tcPr>
          <w:p w14:paraId="798AED7C" w14:textId="77777777" w:rsidR="0013291D" w:rsidRPr="002F17DC" w:rsidRDefault="0013291D">
            <w:pPr>
              <w:spacing w:before="60" w:after="60"/>
              <w:rPr>
                <w:rFonts w:cs="Segoe UI"/>
                <w:sz w:val="18"/>
                <w:szCs w:val="18"/>
                <w:lang w:val="en-GB"/>
              </w:rPr>
            </w:pPr>
            <w:r w:rsidRPr="002F17DC">
              <w:rPr>
                <w:rFonts w:cs="Segoe UI"/>
                <w:sz w:val="18"/>
                <w:szCs w:val="18"/>
                <w:lang w:val="en-GB"/>
              </w:rPr>
              <w:t>0.5284553</w:t>
            </w:r>
          </w:p>
        </w:tc>
      </w:tr>
      <w:tr w:rsidR="0013291D" w:rsidRPr="002F17DC" w14:paraId="65987340" w14:textId="77777777" w:rsidTr="3ADDC19A">
        <w:trPr>
          <w:trHeight w:val="314"/>
        </w:trPr>
        <w:tc>
          <w:tcPr>
            <w:tcW w:w="1233" w:type="pct"/>
            <w:tcMar>
              <w:top w:w="0" w:type="dxa"/>
              <w:left w:w="108" w:type="dxa"/>
              <w:bottom w:w="0" w:type="dxa"/>
              <w:right w:w="108" w:type="dxa"/>
            </w:tcMar>
            <w:hideMark/>
          </w:tcPr>
          <w:p w14:paraId="77C33EAE" w14:textId="3D155856" w:rsidR="0013291D" w:rsidRPr="002F17DC" w:rsidRDefault="0013291D" w:rsidP="00906070">
            <w:pPr>
              <w:spacing w:before="60" w:after="60"/>
              <w:rPr>
                <w:rFonts w:cs="Segoe UI"/>
                <w:sz w:val="18"/>
                <w:szCs w:val="18"/>
              </w:rPr>
            </w:pPr>
            <w:r w:rsidRPr="002F17DC">
              <w:rPr>
                <w:rFonts w:cs="Segoe UI"/>
                <w:sz w:val="18"/>
                <w:szCs w:val="18"/>
              </w:rPr>
              <w:t>SBP, mmHg</w:t>
            </w:r>
          </w:p>
        </w:tc>
        <w:tc>
          <w:tcPr>
            <w:tcW w:w="695" w:type="pct"/>
            <w:tcMar>
              <w:top w:w="0" w:type="dxa"/>
              <w:left w:w="108" w:type="dxa"/>
              <w:bottom w:w="0" w:type="dxa"/>
              <w:right w:w="108" w:type="dxa"/>
            </w:tcMar>
          </w:tcPr>
          <w:p w14:paraId="345D6764" w14:textId="77777777" w:rsidR="0013291D" w:rsidRPr="002F17DC" w:rsidRDefault="0013291D" w:rsidP="00906070">
            <w:pPr>
              <w:spacing w:before="60" w:after="60"/>
              <w:rPr>
                <w:rFonts w:cs="Segoe UI"/>
                <w:sz w:val="18"/>
                <w:szCs w:val="18"/>
              </w:rPr>
            </w:pPr>
            <w:r w:rsidRPr="002F17DC">
              <w:rPr>
                <w:rFonts w:cs="Segoe UI"/>
                <w:sz w:val="18"/>
                <w:szCs w:val="18"/>
              </w:rPr>
              <w:t>120</w:t>
            </w:r>
          </w:p>
        </w:tc>
        <w:tc>
          <w:tcPr>
            <w:tcW w:w="2144" w:type="pct"/>
            <w:tcMar>
              <w:top w:w="0" w:type="dxa"/>
              <w:left w:w="108" w:type="dxa"/>
              <w:bottom w:w="0" w:type="dxa"/>
              <w:right w:w="108" w:type="dxa"/>
            </w:tcMar>
          </w:tcPr>
          <w:p w14:paraId="7E543733" w14:textId="77777777" w:rsidR="0013291D" w:rsidRPr="002F17DC" w:rsidRDefault="0013291D" w:rsidP="00906070">
            <w:pPr>
              <w:spacing w:before="60" w:after="60"/>
              <w:rPr>
                <w:rFonts w:cs="Segoe UI"/>
                <w:sz w:val="18"/>
                <w:szCs w:val="18"/>
              </w:rPr>
            </w:pPr>
            <w:r w:rsidRPr="002F17DC">
              <w:rPr>
                <w:rFonts w:cs="Segoe UI"/>
                <w:sz w:val="18"/>
                <w:szCs w:val="18"/>
              </w:rPr>
              <w:t>0.0054797 x (120 - 131.662168)</w:t>
            </w:r>
          </w:p>
        </w:tc>
        <w:tc>
          <w:tcPr>
            <w:tcW w:w="928" w:type="pct"/>
            <w:tcMar>
              <w:top w:w="0" w:type="dxa"/>
              <w:left w:w="108" w:type="dxa"/>
              <w:bottom w:w="0" w:type="dxa"/>
              <w:right w:w="108" w:type="dxa"/>
            </w:tcMar>
          </w:tcPr>
          <w:p w14:paraId="7FD6917D" w14:textId="77777777" w:rsidR="0013291D" w:rsidRPr="002F17DC" w:rsidRDefault="0013291D">
            <w:pPr>
              <w:spacing w:before="60" w:after="60"/>
              <w:rPr>
                <w:rFonts w:cs="Segoe UI"/>
                <w:sz w:val="18"/>
                <w:szCs w:val="18"/>
              </w:rPr>
            </w:pPr>
            <w:r w:rsidRPr="002F17DC">
              <w:rPr>
                <w:rFonts w:cs="Segoe UI"/>
                <w:sz w:val="18"/>
                <w:szCs w:val="18"/>
              </w:rPr>
              <w:t>-0.0639052</w:t>
            </w:r>
          </w:p>
        </w:tc>
      </w:tr>
      <w:tr w:rsidR="0013291D" w:rsidRPr="002F17DC" w14:paraId="702EA86A" w14:textId="77777777" w:rsidTr="3ADDC19A">
        <w:trPr>
          <w:trHeight w:val="314"/>
        </w:trPr>
        <w:tc>
          <w:tcPr>
            <w:tcW w:w="1233" w:type="pct"/>
            <w:tcMar>
              <w:top w:w="0" w:type="dxa"/>
              <w:left w:w="108" w:type="dxa"/>
              <w:bottom w:w="0" w:type="dxa"/>
              <w:right w:w="108" w:type="dxa"/>
            </w:tcMar>
            <w:hideMark/>
          </w:tcPr>
          <w:p w14:paraId="248A4E6B" w14:textId="76EAAD5C" w:rsidR="0013291D" w:rsidRPr="002F17DC" w:rsidRDefault="0013291D" w:rsidP="00906070">
            <w:pPr>
              <w:spacing w:before="60" w:after="60"/>
              <w:rPr>
                <w:rFonts w:cs="Segoe UI"/>
                <w:sz w:val="18"/>
                <w:szCs w:val="18"/>
              </w:rPr>
            </w:pPr>
            <w:proofErr w:type="gramStart"/>
            <w:r w:rsidRPr="002F17DC">
              <w:rPr>
                <w:rFonts w:cs="Segoe UI"/>
                <w:sz w:val="18"/>
                <w:szCs w:val="18"/>
              </w:rPr>
              <w:t>TC:HDL</w:t>
            </w:r>
            <w:proofErr w:type="gramEnd"/>
          </w:p>
        </w:tc>
        <w:tc>
          <w:tcPr>
            <w:tcW w:w="695" w:type="pct"/>
            <w:tcMar>
              <w:top w:w="0" w:type="dxa"/>
              <w:left w:w="108" w:type="dxa"/>
              <w:bottom w:w="0" w:type="dxa"/>
              <w:right w:w="108" w:type="dxa"/>
            </w:tcMar>
          </w:tcPr>
          <w:p w14:paraId="3BE3D55A" w14:textId="77777777" w:rsidR="0013291D" w:rsidRPr="002F17DC" w:rsidRDefault="0013291D" w:rsidP="00906070">
            <w:pPr>
              <w:spacing w:before="60" w:after="60"/>
              <w:rPr>
                <w:rFonts w:cs="Segoe UI"/>
                <w:sz w:val="18"/>
                <w:szCs w:val="18"/>
              </w:rPr>
            </w:pPr>
            <w:r w:rsidRPr="002F17DC">
              <w:rPr>
                <w:rFonts w:cs="Segoe UI"/>
                <w:sz w:val="18"/>
                <w:szCs w:val="18"/>
              </w:rPr>
              <w:t>3.3</w:t>
            </w:r>
          </w:p>
        </w:tc>
        <w:tc>
          <w:tcPr>
            <w:tcW w:w="2144" w:type="pct"/>
            <w:tcMar>
              <w:top w:w="0" w:type="dxa"/>
              <w:left w:w="108" w:type="dxa"/>
              <w:bottom w:w="0" w:type="dxa"/>
              <w:right w:w="108" w:type="dxa"/>
            </w:tcMar>
          </w:tcPr>
          <w:p w14:paraId="2E7CA87A" w14:textId="77777777" w:rsidR="0013291D" w:rsidRPr="002F17DC" w:rsidRDefault="0013291D" w:rsidP="00906070">
            <w:pPr>
              <w:spacing w:before="60" w:after="60"/>
              <w:rPr>
                <w:rFonts w:cs="Segoe UI"/>
                <w:sz w:val="18"/>
                <w:szCs w:val="18"/>
              </w:rPr>
            </w:pPr>
            <w:r w:rsidRPr="002F17DC">
              <w:rPr>
                <w:rFonts w:cs="Segoe UI"/>
                <w:sz w:val="18"/>
                <w:szCs w:val="18"/>
              </w:rPr>
              <w:t>0.0805627 x (3.3 - 4.330372)</w:t>
            </w:r>
          </w:p>
        </w:tc>
        <w:tc>
          <w:tcPr>
            <w:tcW w:w="928" w:type="pct"/>
            <w:tcMar>
              <w:top w:w="0" w:type="dxa"/>
              <w:left w:w="108" w:type="dxa"/>
              <w:bottom w:w="0" w:type="dxa"/>
              <w:right w:w="108" w:type="dxa"/>
            </w:tcMar>
          </w:tcPr>
          <w:p w14:paraId="7F580E6F" w14:textId="77777777" w:rsidR="0013291D" w:rsidRPr="002F17DC" w:rsidRDefault="0013291D">
            <w:pPr>
              <w:spacing w:before="60" w:after="60"/>
              <w:rPr>
                <w:rFonts w:cs="Segoe UI"/>
                <w:sz w:val="18"/>
                <w:szCs w:val="18"/>
              </w:rPr>
            </w:pPr>
            <w:r w:rsidRPr="002F17DC">
              <w:rPr>
                <w:rFonts w:cs="Segoe UI"/>
                <w:sz w:val="18"/>
                <w:szCs w:val="18"/>
              </w:rPr>
              <w:t>-0.0830096</w:t>
            </w:r>
          </w:p>
        </w:tc>
      </w:tr>
      <w:tr w:rsidR="0013291D" w:rsidRPr="002F17DC" w14:paraId="30A73397" w14:textId="77777777" w:rsidTr="3ADDC19A">
        <w:trPr>
          <w:trHeight w:val="314"/>
        </w:trPr>
        <w:tc>
          <w:tcPr>
            <w:tcW w:w="1233" w:type="pct"/>
            <w:tcMar>
              <w:top w:w="0" w:type="dxa"/>
              <w:left w:w="108" w:type="dxa"/>
              <w:bottom w:w="0" w:type="dxa"/>
              <w:right w:w="108" w:type="dxa"/>
            </w:tcMar>
          </w:tcPr>
          <w:p w14:paraId="48FFE085" w14:textId="2409A5A0" w:rsidR="0013291D" w:rsidRPr="002F17DC" w:rsidRDefault="0013291D" w:rsidP="00906070">
            <w:pPr>
              <w:spacing w:before="60" w:after="60"/>
              <w:rPr>
                <w:rFonts w:cs="Segoe UI"/>
                <w:sz w:val="18"/>
                <w:szCs w:val="18"/>
              </w:rPr>
            </w:pPr>
            <w:r w:rsidRPr="002F17DC">
              <w:rPr>
                <w:rFonts w:cs="Segoe UI"/>
                <w:sz w:val="18"/>
                <w:szCs w:val="18"/>
              </w:rPr>
              <w:t>BMI, kg/m</w:t>
            </w:r>
            <w:r w:rsidRPr="002F17DC">
              <w:rPr>
                <w:rFonts w:cs="Segoe UI"/>
                <w:sz w:val="18"/>
                <w:szCs w:val="18"/>
                <w:vertAlign w:val="superscript"/>
              </w:rPr>
              <w:t xml:space="preserve">2 </w:t>
            </w:r>
          </w:p>
        </w:tc>
        <w:tc>
          <w:tcPr>
            <w:tcW w:w="695" w:type="pct"/>
            <w:tcMar>
              <w:top w:w="0" w:type="dxa"/>
              <w:left w:w="108" w:type="dxa"/>
              <w:bottom w:w="0" w:type="dxa"/>
              <w:right w:w="108" w:type="dxa"/>
            </w:tcMar>
          </w:tcPr>
          <w:p w14:paraId="2D70D284" w14:textId="77777777" w:rsidR="0013291D" w:rsidRPr="002F17DC" w:rsidRDefault="0013291D" w:rsidP="00906070">
            <w:pPr>
              <w:spacing w:before="60" w:after="60"/>
              <w:rPr>
                <w:rFonts w:cs="Segoe UI"/>
                <w:sz w:val="18"/>
                <w:szCs w:val="18"/>
              </w:rPr>
            </w:pPr>
            <w:r w:rsidRPr="002F17DC">
              <w:rPr>
                <w:rFonts w:cs="Segoe UI"/>
                <w:sz w:val="18"/>
                <w:szCs w:val="18"/>
              </w:rPr>
              <w:t>27</w:t>
            </w:r>
          </w:p>
        </w:tc>
        <w:tc>
          <w:tcPr>
            <w:tcW w:w="2144" w:type="pct"/>
            <w:tcMar>
              <w:top w:w="0" w:type="dxa"/>
              <w:left w:w="108" w:type="dxa"/>
              <w:bottom w:w="0" w:type="dxa"/>
              <w:right w:w="108" w:type="dxa"/>
            </w:tcMar>
          </w:tcPr>
          <w:p w14:paraId="5C48CF78" w14:textId="77777777" w:rsidR="0013291D" w:rsidRPr="002F17DC" w:rsidRDefault="0013291D" w:rsidP="00906070">
            <w:pPr>
              <w:spacing w:before="60" w:after="60"/>
              <w:rPr>
                <w:rFonts w:cs="Segoe UI"/>
                <w:sz w:val="18"/>
                <w:szCs w:val="18"/>
              </w:rPr>
            </w:pPr>
            <w:r w:rsidRPr="002F17DC">
              <w:rPr>
                <w:rFonts w:cs="Segoe UI"/>
                <w:sz w:val="18"/>
                <w:szCs w:val="18"/>
              </w:rPr>
              <w:t>0.0117137 x (27 - 31.338254)</w:t>
            </w:r>
          </w:p>
        </w:tc>
        <w:tc>
          <w:tcPr>
            <w:tcW w:w="928" w:type="pct"/>
            <w:tcMar>
              <w:top w:w="0" w:type="dxa"/>
              <w:left w:w="108" w:type="dxa"/>
              <w:bottom w:w="0" w:type="dxa"/>
              <w:right w:w="108" w:type="dxa"/>
            </w:tcMar>
          </w:tcPr>
          <w:p w14:paraId="704C0D4D" w14:textId="77777777" w:rsidR="0013291D" w:rsidRPr="002F17DC" w:rsidRDefault="0013291D">
            <w:pPr>
              <w:spacing w:before="60" w:after="60"/>
              <w:rPr>
                <w:rFonts w:cs="Segoe UI"/>
                <w:sz w:val="18"/>
                <w:szCs w:val="18"/>
              </w:rPr>
            </w:pPr>
            <w:r w:rsidRPr="002F17DC">
              <w:rPr>
                <w:rFonts w:cs="Segoe UI"/>
                <w:sz w:val="18"/>
                <w:szCs w:val="18"/>
              </w:rPr>
              <w:t>-0.0508170</w:t>
            </w:r>
          </w:p>
        </w:tc>
      </w:tr>
      <w:tr w:rsidR="0013291D" w:rsidRPr="002F17DC" w14:paraId="4AEEB44F" w14:textId="77777777" w:rsidTr="3ADDC19A">
        <w:trPr>
          <w:trHeight w:val="314"/>
        </w:trPr>
        <w:tc>
          <w:tcPr>
            <w:tcW w:w="1233" w:type="pct"/>
            <w:tcMar>
              <w:top w:w="0" w:type="dxa"/>
              <w:left w:w="108" w:type="dxa"/>
              <w:bottom w:w="0" w:type="dxa"/>
              <w:right w:w="108" w:type="dxa"/>
            </w:tcMar>
          </w:tcPr>
          <w:p w14:paraId="197301FF" w14:textId="2123A0B3" w:rsidR="0013291D" w:rsidRPr="002F17DC" w:rsidRDefault="0013291D" w:rsidP="00906070">
            <w:pPr>
              <w:spacing w:before="60" w:after="60"/>
              <w:rPr>
                <w:rFonts w:cs="Segoe UI"/>
                <w:sz w:val="18"/>
                <w:szCs w:val="18"/>
                <w:vertAlign w:val="superscript"/>
              </w:rPr>
            </w:pPr>
            <w:r w:rsidRPr="002F17DC">
              <w:rPr>
                <w:rFonts w:cs="Segoe UI"/>
                <w:sz w:val="18"/>
                <w:szCs w:val="18"/>
              </w:rPr>
              <w:t>Years since diagnosis of type 2 diabetes</w:t>
            </w:r>
          </w:p>
        </w:tc>
        <w:tc>
          <w:tcPr>
            <w:tcW w:w="695" w:type="pct"/>
            <w:tcMar>
              <w:top w:w="0" w:type="dxa"/>
              <w:left w:w="108" w:type="dxa"/>
              <w:bottom w:w="0" w:type="dxa"/>
              <w:right w:w="108" w:type="dxa"/>
            </w:tcMar>
          </w:tcPr>
          <w:p w14:paraId="3048F332" w14:textId="77777777" w:rsidR="0013291D" w:rsidRPr="002F17DC" w:rsidRDefault="0013291D" w:rsidP="00906070">
            <w:pPr>
              <w:spacing w:before="60" w:after="60"/>
              <w:rPr>
                <w:rFonts w:cs="Segoe UI"/>
                <w:sz w:val="18"/>
                <w:szCs w:val="18"/>
              </w:rPr>
            </w:pPr>
            <w:r w:rsidRPr="002F17DC">
              <w:rPr>
                <w:rFonts w:cs="Segoe UI"/>
                <w:sz w:val="18"/>
                <w:szCs w:val="18"/>
              </w:rPr>
              <w:t>1</w:t>
            </w:r>
          </w:p>
        </w:tc>
        <w:tc>
          <w:tcPr>
            <w:tcW w:w="2144" w:type="pct"/>
            <w:tcMar>
              <w:top w:w="0" w:type="dxa"/>
              <w:left w:w="108" w:type="dxa"/>
              <w:bottom w:w="0" w:type="dxa"/>
              <w:right w:w="108" w:type="dxa"/>
            </w:tcMar>
          </w:tcPr>
          <w:p w14:paraId="79A694F6" w14:textId="77777777" w:rsidR="0013291D" w:rsidRPr="002F17DC" w:rsidRDefault="0013291D" w:rsidP="00906070">
            <w:pPr>
              <w:spacing w:before="60" w:after="60"/>
              <w:rPr>
                <w:rFonts w:cs="Segoe UI"/>
                <w:sz w:val="18"/>
                <w:szCs w:val="18"/>
              </w:rPr>
            </w:pPr>
            <w:r w:rsidRPr="002F17DC">
              <w:rPr>
                <w:rFonts w:cs="Segoe UI"/>
                <w:sz w:val="18"/>
                <w:szCs w:val="18"/>
                <w:lang w:val="en-GB"/>
              </w:rPr>
              <w:t xml:space="preserve">0.0162351 x (1 - </w:t>
            </w:r>
            <w:r w:rsidRPr="002F17DC">
              <w:rPr>
                <w:rFonts w:cs="Segoe UI"/>
                <w:sz w:val="18"/>
                <w:szCs w:val="18"/>
              </w:rPr>
              <w:t>5.183025)</w:t>
            </w:r>
          </w:p>
        </w:tc>
        <w:tc>
          <w:tcPr>
            <w:tcW w:w="928" w:type="pct"/>
            <w:tcMar>
              <w:top w:w="0" w:type="dxa"/>
              <w:left w:w="108" w:type="dxa"/>
              <w:bottom w:w="0" w:type="dxa"/>
              <w:right w:w="108" w:type="dxa"/>
            </w:tcMar>
          </w:tcPr>
          <w:p w14:paraId="06AD8C5E" w14:textId="77777777" w:rsidR="0013291D" w:rsidRPr="002F17DC" w:rsidRDefault="0013291D">
            <w:pPr>
              <w:spacing w:before="60" w:after="60"/>
              <w:rPr>
                <w:rFonts w:cs="Segoe UI"/>
                <w:sz w:val="18"/>
                <w:szCs w:val="18"/>
              </w:rPr>
            </w:pPr>
            <w:r w:rsidRPr="002F17DC">
              <w:rPr>
                <w:rFonts w:cs="Segoe UI"/>
                <w:sz w:val="18"/>
                <w:szCs w:val="18"/>
              </w:rPr>
              <w:t>-0.0679118</w:t>
            </w:r>
          </w:p>
        </w:tc>
      </w:tr>
      <w:tr w:rsidR="0013291D" w:rsidRPr="002F17DC" w14:paraId="2BB65325" w14:textId="77777777" w:rsidTr="3ADDC19A">
        <w:trPr>
          <w:trHeight w:val="314"/>
        </w:trPr>
        <w:tc>
          <w:tcPr>
            <w:tcW w:w="1233" w:type="pct"/>
            <w:tcMar>
              <w:top w:w="0" w:type="dxa"/>
              <w:left w:w="108" w:type="dxa"/>
              <w:bottom w:w="0" w:type="dxa"/>
              <w:right w:w="108" w:type="dxa"/>
            </w:tcMar>
          </w:tcPr>
          <w:p w14:paraId="42882373" w14:textId="6ED8C7FE" w:rsidR="0013291D" w:rsidRPr="002F17DC" w:rsidRDefault="0013291D" w:rsidP="00906070">
            <w:pPr>
              <w:spacing w:before="60" w:after="60"/>
              <w:rPr>
                <w:rFonts w:cs="Segoe UI"/>
                <w:sz w:val="18"/>
                <w:szCs w:val="18"/>
              </w:rPr>
            </w:pPr>
            <w:r w:rsidRPr="002F17DC">
              <w:rPr>
                <w:rFonts w:cs="Segoe UI"/>
                <w:sz w:val="18"/>
                <w:szCs w:val="18"/>
              </w:rPr>
              <w:t>eGFR, mL/min/1.73 m</w:t>
            </w:r>
            <w:r w:rsidRPr="002F17DC">
              <w:rPr>
                <w:rFonts w:cs="Segoe UI"/>
                <w:sz w:val="18"/>
                <w:szCs w:val="18"/>
                <w:vertAlign w:val="superscript"/>
              </w:rPr>
              <w:t xml:space="preserve">2 </w:t>
            </w:r>
          </w:p>
        </w:tc>
        <w:tc>
          <w:tcPr>
            <w:tcW w:w="695" w:type="pct"/>
            <w:tcMar>
              <w:top w:w="0" w:type="dxa"/>
              <w:left w:w="108" w:type="dxa"/>
              <w:bottom w:w="0" w:type="dxa"/>
              <w:right w:w="108" w:type="dxa"/>
            </w:tcMar>
          </w:tcPr>
          <w:p w14:paraId="4788DF78" w14:textId="77777777" w:rsidR="0013291D" w:rsidRPr="002F17DC" w:rsidRDefault="0013291D" w:rsidP="00906070">
            <w:pPr>
              <w:spacing w:before="60" w:after="60"/>
              <w:rPr>
                <w:rFonts w:cs="Segoe UI"/>
                <w:sz w:val="18"/>
                <w:szCs w:val="18"/>
              </w:rPr>
            </w:pPr>
            <w:r w:rsidRPr="002F17DC">
              <w:rPr>
                <w:rFonts w:cs="Segoe UI"/>
                <w:sz w:val="18"/>
                <w:szCs w:val="18"/>
              </w:rPr>
              <w:t>78</w:t>
            </w:r>
          </w:p>
        </w:tc>
        <w:tc>
          <w:tcPr>
            <w:tcW w:w="2144" w:type="pct"/>
            <w:tcMar>
              <w:top w:w="0" w:type="dxa"/>
              <w:left w:w="108" w:type="dxa"/>
              <w:bottom w:w="0" w:type="dxa"/>
              <w:right w:w="108" w:type="dxa"/>
            </w:tcMar>
          </w:tcPr>
          <w:p w14:paraId="68F1CAA5" w14:textId="77777777" w:rsidR="0013291D" w:rsidRPr="002F17DC" w:rsidRDefault="0013291D" w:rsidP="00906070">
            <w:pPr>
              <w:spacing w:before="60" w:after="60"/>
              <w:rPr>
                <w:rFonts w:cs="Segoe UI"/>
                <w:sz w:val="18"/>
                <w:szCs w:val="18"/>
              </w:rPr>
            </w:pPr>
            <w:r w:rsidRPr="002F17DC">
              <w:rPr>
                <w:rFonts w:cs="Segoe UI"/>
                <w:sz w:val="18"/>
                <w:szCs w:val="18"/>
                <w:lang w:val="en-GB"/>
              </w:rPr>
              <w:t xml:space="preserve">-0.0025889 x (78 - </w:t>
            </w:r>
            <w:r w:rsidRPr="002F17DC">
              <w:rPr>
                <w:rFonts w:cs="Segoe UI"/>
                <w:sz w:val="18"/>
                <w:szCs w:val="18"/>
              </w:rPr>
              <w:t>88.788314)</w:t>
            </w:r>
          </w:p>
        </w:tc>
        <w:tc>
          <w:tcPr>
            <w:tcW w:w="928" w:type="pct"/>
            <w:tcMar>
              <w:top w:w="0" w:type="dxa"/>
              <w:left w:w="108" w:type="dxa"/>
              <w:bottom w:w="0" w:type="dxa"/>
              <w:right w:w="108" w:type="dxa"/>
            </w:tcMar>
          </w:tcPr>
          <w:p w14:paraId="1EF803CB" w14:textId="77777777" w:rsidR="0013291D" w:rsidRPr="002F17DC" w:rsidRDefault="0013291D">
            <w:pPr>
              <w:spacing w:before="60" w:after="60"/>
              <w:rPr>
                <w:rFonts w:cs="Segoe UI"/>
                <w:sz w:val="18"/>
                <w:szCs w:val="18"/>
              </w:rPr>
            </w:pPr>
            <w:r w:rsidRPr="002F17DC">
              <w:rPr>
                <w:rFonts w:cs="Segoe UI"/>
                <w:sz w:val="18"/>
                <w:szCs w:val="18"/>
              </w:rPr>
              <w:t>0.0279299</w:t>
            </w:r>
          </w:p>
        </w:tc>
      </w:tr>
      <w:tr w:rsidR="0013291D" w:rsidRPr="002F17DC" w14:paraId="15C0F367" w14:textId="77777777" w:rsidTr="3ADDC19A">
        <w:trPr>
          <w:trHeight w:val="314"/>
        </w:trPr>
        <w:tc>
          <w:tcPr>
            <w:tcW w:w="1233" w:type="pct"/>
            <w:tcMar>
              <w:top w:w="0" w:type="dxa"/>
              <w:left w:w="108" w:type="dxa"/>
              <w:bottom w:w="0" w:type="dxa"/>
              <w:right w:w="108" w:type="dxa"/>
            </w:tcMar>
          </w:tcPr>
          <w:p w14:paraId="0CA08876" w14:textId="0D7D5ABB" w:rsidR="0013291D" w:rsidRPr="002F17DC" w:rsidRDefault="0013291D" w:rsidP="00906070">
            <w:pPr>
              <w:spacing w:before="60" w:after="60"/>
              <w:rPr>
                <w:rFonts w:cs="Segoe UI"/>
                <w:sz w:val="18"/>
                <w:szCs w:val="18"/>
              </w:rPr>
            </w:pPr>
            <w:r w:rsidRPr="002F17DC">
              <w:rPr>
                <w:rFonts w:cs="Segoe UI"/>
                <w:sz w:val="18"/>
                <w:szCs w:val="18"/>
              </w:rPr>
              <w:t>ACR, mg/mmol</w:t>
            </w:r>
            <w:r w:rsidRPr="002F17DC">
              <w:rPr>
                <w:rFonts w:cs="Segoe UI"/>
                <w:sz w:val="18"/>
                <w:szCs w:val="18"/>
                <w:vertAlign w:val="superscript"/>
              </w:rPr>
              <w:t xml:space="preserve"> </w:t>
            </w:r>
          </w:p>
        </w:tc>
        <w:tc>
          <w:tcPr>
            <w:tcW w:w="695" w:type="pct"/>
            <w:tcMar>
              <w:top w:w="0" w:type="dxa"/>
              <w:left w:w="108" w:type="dxa"/>
              <w:bottom w:w="0" w:type="dxa"/>
              <w:right w:w="108" w:type="dxa"/>
            </w:tcMar>
          </w:tcPr>
          <w:p w14:paraId="6124C0FB" w14:textId="77777777" w:rsidR="0013291D" w:rsidRPr="002F17DC" w:rsidRDefault="0013291D" w:rsidP="00906070">
            <w:pPr>
              <w:spacing w:before="60" w:after="60"/>
              <w:rPr>
                <w:rFonts w:cs="Segoe UI"/>
                <w:sz w:val="18"/>
                <w:szCs w:val="18"/>
              </w:rPr>
            </w:pPr>
            <w:r w:rsidRPr="002F17DC">
              <w:rPr>
                <w:rFonts w:cs="Segoe UI"/>
                <w:sz w:val="18"/>
                <w:szCs w:val="18"/>
              </w:rPr>
              <w:t>1</w:t>
            </w:r>
          </w:p>
        </w:tc>
        <w:tc>
          <w:tcPr>
            <w:tcW w:w="2144" w:type="pct"/>
            <w:tcMar>
              <w:top w:w="0" w:type="dxa"/>
              <w:left w:w="108" w:type="dxa"/>
              <w:bottom w:w="0" w:type="dxa"/>
              <w:right w:w="108" w:type="dxa"/>
            </w:tcMar>
          </w:tcPr>
          <w:p w14:paraId="22CCE5AA" w14:textId="0C83A428" w:rsidR="0013291D" w:rsidRPr="00AA021D" w:rsidRDefault="0013291D" w:rsidP="00906070">
            <w:pPr>
              <w:spacing w:before="60" w:after="60"/>
              <w:rPr>
                <w:rFonts w:cs="Segoe UI"/>
                <w:sz w:val="18"/>
                <w:szCs w:val="18"/>
                <w:lang w:val="en-GB"/>
              </w:rPr>
            </w:pPr>
            <w:r w:rsidRPr="002F17DC">
              <w:rPr>
                <w:rFonts w:cs="Segoe UI"/>
                <w:sz w:val="18"/>
                <w:szCs w:val="18"/>
                <w:lang w:val="en-GB"/>
              </w:rPr>
              <w:t>0.1815067 x (log</w:t>
            </w:r>
            <w:r w:rsidRPr="002F17DC">
              <w:rPr>
                <w:rFonts w:cs="Segoe UI"/>
                <w:sz w:val="18"/>
                <w:szCs w:val="18"/>
                <w:vertAlign w:val="subscript"/>
                <w:lang w:val="en-GB"/>
              </w:rPr>
              <w:t>e</w:t>
            </w:r>
            <w:r w:rsidRPr="002F17DC">
              <w:rPr>
                <w:rFonts w:cs="Segoe UI"/>
                <w:sz w:val="18"/>
                <w:szCs w:val="18"/>
                <w:lang w:val="en-GB"/>
              </w:rPr>
              <w:t>(X)* - (-4.275179))</w:t>
            </w:r>
            <w:r w:rsidR="0072556C">
              <w:rPr>
                <w:rFonts w:cs="Segoe UI"/>
                <w:sz w:val="18"/>
                <w:szCs w:val="18"/>
                <w:lang w:val="en-GB"/>
              </w:rPr>
              <w:br/>
            </w:r>
            <w:r w:rsidRPr="002F17DC">
              <w:rPr>
                <w:rFonts w:cs="Segoe UI"/>
                <w:sz w:val="18"/>
                <w:szCs w:val="18"/>
                <w:lang w:val="en-GB"/>
              </w:rPr>
              <w:t xml:space="preserve">where X = </w:t>
            </w:r>
            <w:r w:rsidR="0072556C">
              <w:rPr>
                <w:rFonts w:cs="Segoe UI"/>
                <w:sz w:val="18"/>
                <w:szCs w:val="18"/>
                <w:lang w:val="en-GB"/>
              </w:rPr>
              <w:br/>
            </w:r>
            <w:r w:rsidRPr="002F17DC">
              <w:rPr>
                <w:rFonts w:cs="Segoe UI"/>
                <w:sz w:val="18"/>
                <w:szCs w:val="18"/>
                <w:lang w:val="en-GB"/>
              </w:rPr>
              <w:t xml:space="preserve">(ACR + </w:t>
            </w:r>
            <w:r w:rsidRPr="002F17DC">
              <w:rPr>
                <w:rFonts w:cs="Segoe UI"/>
                <w:sz w:val="18"/>
                <w:szCs w:val="18"/>
              </w:rPr>
              <w:t>0.0099999997764826)/1000</w:t>
            </w:r>
          </w:p>
        </w:tc>
        <w:tc>
          <w:tcPr>
            <w:tcW w:w="928" w:type="pct"/>
            <w:tcMar>
              <w:top w:w="0" w:type="dxa"/>
              <w:left w:w="108" w:type="dxa"/>
              <w:bottom w:w="0" w:type="dxa"/>
              <w:right w:w="108" w:type="dxa"/>
            </w:tcMar>
          </w:tcPr>
          <w:p w14:paraId="29935F6F" w14:textId="77777777" w:rsidR="0013291D" w:rsidRPr="002F17DC" w:rsidRDefault="0013291D">
            <w:pPr>
              <w:spacing w:before="60" w:after="60"/>
              <w:rPr>
                <w:rFonts w:cs="Segoe UI"/>
                <w:sz w:val="18"/>
                <w:szCs w:val="18"/>
              </w:rPr>
            </w:pPr>
            <w:r w:rsidRPr="002F17DC">
              <w:rPr>
                <w:rFonts w:cs="Segoe UI"/>
                <w:sz w:val="18"/>
                <w:szCs w:val="18"/>
              </w:rPr>
              <w:t>-0.4760242</w:t>
            </w:r>
          </w:p>
        </w:tc>
      </w:tr>
      <w:tr w:rsidR="0013291D" w:rsidRPr="002F17DC" w14:paraId="165CA4FE" w14:textId="77777777" w:rsidTr="3ADDC19A">
        <w:trPr>
          <w:trHeight w:val="314"/>
        </w:trPr>
        <w:tc>
          <w:tcPr>
            <w:tcW w:w="1233" w:type="pct"/>
            <w:tcMar>
              <w:top w:w="0" w:type="dxa"/>
              <w:left w:w="108" w:type="dxa"/>
              <w:bottom w:w="0" w:type="dxa"/>
              <w:right w:w="108" w:type="dxa"/>
            </w:tcMar>
          </w:tcPr>
          <w:p w14:paraId="2646743C" w14:textId="1D0E6A5D" w:rsidR="0013291D" w:rsidRPr="002F17DC" w:rsidRDefault="0013291D" w:rsidP="00906070">
            <w:pPr>
              <w:spacing w:before="60" w:after="60"/>
              <w:rPr>
                <w:rFonts w:cs="Segoe UI"/>
                <w:sz w:val="18"/>
                <w:szCs w:val="18"/>
              </w:rPr>
            </w:pPr>
            <w:r w:rsidRPr="002F17DC">
              <w:rPr>
                <w:rFonts w:cs="Segoe UI"/>
                <w:sz w:val="18"/>
                <w:szCs w:val="18"/>
              </w:rPr>
              <w:t>HbA1c, mmol/mol</w:t>
            </w:r>
            <w:r w:rsidRPr="002F17DC">
              <w:rPr>
                <w:rFonts w:cs="Segoe UI"/>
                <w:sz w:val="18"/>
                <w:szCs w:val="18"/>
                <w:vertAlign w:val="superscript"/>
              </w:rPr>
              <w:t xml:space="preserve"> </w:t>
            </w:r>
          </w:p>
        </w:tc>
        <w:tc>
          <w:tcPr>
            <w:tcW w:w="695" w:type="pct"/>
            <w:tcMar>
              <w:top w:w="0" w:type="dxa"/>
              <w:left w:w="108" w:type="dxa"/>
              <w:bottom w:w="0" w:type="dxa"/>
              <w:right w:w="108" w:type="dxa"/>
            </w:tcMar>
          </w:tcPr>
          <w:p w14:paraId="4C1BD796" w14:textId="77777777" w:rsidR="0013291D" w:rsidRPr="002F17DC" w:rsidRDefault="0013291D" w:rsidP="00906070">
            <w:pPr>
              <w:spacing w:before="60" w:after="60"/>
              <w:rPr>
                <w:rFonts w:cs="Segoe UI"/>
                <w:sz w:val="18"/>
                <w:szCs w:val="18"/>
              </w:rPr>
            </w:pPr>
            <w:r w:rsidRPr="002F17DC">
              <w:rPr>
                <w:rFonts w:cs="Segoe UI"/>
                <w:sz w:val="18"/>
                <w:szCs w:val="18"/>
              </w:rPr>
              <w:t>48</w:t>
            </w:r>
          </w:p>
        </w:tc>
        <w:tc>
          <w:tcPr>
            <w:tcW w:w="2144" w:type="pct"/>
            <w:tcMar>
              <w:top w:w="0" w:type="dxa"/>
              <w:left w:w="108" w:type="dxa"/>
              <w:bottom w:w="0" w:type="dxa"/>
              <w:right w:w="108" w:type="dxa"/>
            </w:tcMar>
          </w:tcPr>
          <w:p w14:paraId="632A7121" w14:textId="77777777" w:rsidR="0013291D" w:rsidRPr="002F17DC" w:rsidRDefault="0013291D" w:rsidP="00906070">
            <w:pPr>
              <w:spacing w:before="60" w:after="60"/>
              <w:rPr>
                <w:rFonts w:cs="Segoe UI"/>
                <w:sz w:val="18"/>
                <w:szCs w:val="18"/>
              </w:rPr>
            </w:pPr>
            <w:r w:rsidRPr="002F17DC">
              <w:rPr>
                <w:rFonts w:cs="Segoe UI"/>
                <w:sz w:val="18"/>
                <w:szCs w:val="18"/>
                <w:lang w:val="en-GB"/>
              </w:rPr>
              <w:t xml:space="preserve">0.0074805 x (48 - </w:t>
            </w:r>
            <w:r w:rsidRPr="002F17DC">
              <w:rPr>
                <w:rFonts w:cs="Segoe UI"/>
                <w:sz w:val="18"/>
                <w:szCs w:val="18"/>
              </w:rPr>
              <w:t>63.889441)</w:t>
            </w:r>
          </w:p>
        </w:tc>
        <w:tc>
          <w:tcPr>
            <w:tcW w:w="928" w:type="pct"/>
            <w:tcMar>
              <w:top w:w="0" w:type="dxa"/>
              <w:left w:w="108" w:type="dxa"/>
              <w:bottom w:w="0" w:type="dxa"/>
              <w:right w:w="108" w:type="dxa"/>
            </w:tcMar>
          </w:tcPr>
          <w:p w14:paraId="6E42DE72" w14:textId="77777777" w:rsidR="0013291D" w:rsidRPr="002F17DC" w:rsidRDefault="0013291D">
            <w:pPr>
              <w:spacing w:before="60" w:after="60"/>
              <w:rPr>
                <w:rFonts w:cs="Segoe UI"/>
                <w:sz w:val="18"/>
                <w:szCs w:val="18"/>
              </w:rPr>
            </w:pPr>
            <w:r w:rsidRPr="002F17DC">
              <w:rPr>
                <w:rFonts w:cs="Segoe UI"/>
                <w:sz w:val="18"/>
                <w:szCs w:val="18"/>
              </w:rPr>
              <w:t>-0.1188610</w:t>
            </w:r>
          </w:p>
        </w:tc>
      </w:tr>
      <w:tr w:rsidR="0013291D" w:rsidRPr="002F17DC" w14:paraId="2A534F03" w14:textId="77777777" w:rsidTr="3ADDC19A">
        <w:trPr>
          <w:trHeight w:val="314"/>
        </w:trPr>
        <w:tc>
          <w:tcPr>
            <w:tcW w:w="1233" w:type="pct"/>
            <w:tcMar>
              <w:top w:w="0" w:type="dxa"/>
              <w:left w:w="108" w:type="dxa"/>
              <w:bottom w:w="0" w:type="dxa"/>
              <w:right w:w="108" w:type="dxa"/>
            </w:tcMar>
          </w:tcPr>
          <w:p w14:paraId="7B325533" w14:textId="77777777" w:rsidR="0013291D" w:rsidRPr="002F17DC" w:rsidRDefault="0013291D" w:rsidP="00906070">
            <w:pPr>
              <w:spacing w:before="60" w:after="60"/>
              <w:rPr>
                <w:rFonts w:cs="Segoe UI"/>
                <w:sz w:val="18"/>
                <w:szCs w:val="18"/>
              </w:rPr>
            </w:pPr>
            <w:r w:rsidRPr="002F17DC">
              <w:rPr>
                <w:rFonts w:cs="Segoe UI"/>
                <w:sz w:val="18"/>
                <w:szCs w:val="18"/>
              </w:rPr>
              <w:t xml:space="preserve">Oral </w:t>
            </w:r>
            <w:proofErr w:type="spellStart"/>
            <w:r w:rsidRPr="002F17DC">
              <w:rPr>
                <w:rFonts w:cs="Segoe UI"/>
                <w:sz w:val="18"/>
                <w:szCs w:val="18"/>
              </w:rPr>
              <w:t>hypoglyc</w:t>
            </w:r>
            <w:proofErr w:type="spellEnd"/>
            <w:r w:rsidRPr="002F17DC">
              <w:rPr>
                <w:rFonts w:cs="Segoe UI"/>
                <w:sz w:val="18"/>
                <w:szCs w:val="18"/>
              </w:rPr>
              <w:t xml:space="preserve">. </w:t>
            </w:r>
            <w:proofErr w:type="spellStart"/>
            <w:r w:rsidRPr="002F17DC">
              <w:rPr>
                <w:rFonts w:cs="Segoe UI"/>
                <w:sz w:val="18"/>
                <w:szCs w:val="18"/>
              </w:rPr>
              <w:t>med</w:t>
            </w:r>
            <w:r w:rsidRPr="002F17DC">
              <w:rPr>
                <w:rFonts w:cs="Segoe UI"/>
                <w:sz w:val="18"/>
                <w:szCs w:val="18"/>
                <w:vertAlign w:val="superscript"/>
              </w:rPr>
              <w:t>n</w:t>
            </w:r>
            <w:proofErr w:type="spellEnd"/>
          </w:p>
        </w:tc>
        <w:tc>
          <w:tcPr>
            <w:tcW w:w="695" w:type="pct"/>
            <w:tcMar>
              <w:top w:w="0" w:type="dxa"/>
              <w:left w:w="108" w:type="dxa"/>
              <w:bottom w:w="0" w:type="dxa"/>
              <w:right w:w="108" w:type="dxa"/>
            </w:tcMar>
          </w:tcPr>
          <w:p w14:paraId="4E0A2257"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2144" w:type="pct"/>
            <w:tcMar>
              <w:top w:w="0" w:type="dxa"/>
              <w:left w:w="108" w:type="dxa"/>
              <w:bottom w:w="0" w:type="dxa"/>
              <w:right w:w="108" w:type="dxa"/>
            </w:tcMar>
          </w:tcPr>
          <w:p w14:paraId="75D44B74" w14:textId="77777777" w:rsidR="0013291D" w:rsidRPr="002F17DC" w:rsidRDefault="0013291D" w:rsidP="00906070">
            <w:pPr>
              <w:spacing w:before="60" w:after="60"/>
              <w:rPr>
                <w:rFonts w:cs="Segoe UI"/>
                <w:sz w:val="18"/>
                <w:szCs w:val="18"/>
              </w:rPr>
            </w:pPr>
            <w:r w:rsidRPr="002F17DC">
              <w:rPr>
                <w:rFonts w:cs="Segoe UI"/>
                <w:sz w:val="18"/>
                <w:szCs w:val="18"/>
                <w:lang w:val="en-GB"/>
              </w:rPr>
              <w:t>0.0051476 x 0</w:t>
            </w:r>
          </w:p>
        </w:tc>
        <w:tc>
          <w:tcPr>
            <w:tcW w:w="928" w:type="pct"/>
            <w:tcMar>
              <w:top w:w="0" w:type="dxa"/>
              <w:left w:w="108" w:type="dxa"/>
              <w:bottom w:w="0" w:type="dxa"/>
              <w:right w:w="108" w:type="dxa"/>
            </w:tcMar>
          </w:tcPr>
          <w:p w14:paraId="6C5F97E6"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56567860" w14:textId="77777777" w:rsidTr="3ADDC19A">
        <w:trPr>
          <w:trHeight w:val="314"/>
        </w:trPr>
        <w:tc>
          <w:tcPr>
            <w:tcW w:w="1233" w:type="pct"/>
            <w:tcMar>
              <w:top w:w="0" w:type="dxa"/>
              <w:left w:w="108" w:type="dxa"/>
              <w:bottom w:w="0" w:type="dxa"/>
              <w:right w:w="108" w:type="dxa"/>
            </w:tcMar>
          </w:tcPr>
          <w:p w14:paraId="590AF4B0" w14:textId="77777777" w:rsidR="0013291D" w:rsidRPr="002F17DC" w:rsidRDefault="0013291D" w:rsidP="00906070">
            <w:pPr>
              <w:spacing w:before="60" w:after="60"/>
              <w:rPr>
                <w:rFonts w:cs="Segoe UI"/>
                <w:sz w:val="18"/>
                <w:szCs w:val="18"/>
              </w:rPr>
            </w:pPr>
            <w:r w:rsidRPr="002F17DC">
              <w:rPr>
                <w:rFonts w:cs="Segoe UI"/>
                <w:sz w:val="18"/>
                <w:szCs w:val="18"/>
              </w:rPr>
              <w:t>Insulin</w:t>
            </w:r>
          </w:p>
        </w:tc>
        <w:tc>
          <w:tcPr>
            <w:tcW w:w="695" w:type="pct"/>
            <w:tcMar>
              <w:top w:w="0" w:type="dxa"/>
              <w:left w:w="108" w:type="dxa"/>
              <w:bottom w:w="0" w:type="dxa"/>
              <w:right w:w="108" w:type="dxa"/>
            </w:tcMar>
          </w:tcPr>
          <w:p w14:paraId="59BA2924"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2144" w:type="pct"/>
            <w:tcMar>
              <w:top w:w="0" w:type="dxa"/>
              <w:left w:w="108" w:type="dxa"/>
              <w:bottom w:w="0" w:type="dxa"/>
              <w:right w:w="108" w:type="dxa"/>
            </w:tcMar>
          </w:tcPr>
          <w:p w14:paraId="55C92CD5" w14:textId="77777777" w:rsidR="0013291D" w:rsidRPr="002F17DC" w:rsidRDefault="0013291D" w:rsidP="00906070">
            <w:pPr>
              <w:spacing w:before="60" w:after="60"/>
              <w:rPr>
                <w:rFonts w:cs="Segoe UI"/>
                <w:sz w:val="18"/>
                <w:szCs w:val="18"/>
              </w:rPr>
            </w:pPr>
            <w:r w:rsidRPr="002F17DC">
              <w:rPr>
                <w:rFonts w:cs="Segoe UI"/>
                <w:sz w:val="18"/>
                <w:szCs w:val="18"/>
                <w:lang w:val="en-GB"/>
              </w:rPr>
              <w:t>0.1846547 x 0</w:t>
            </w:r>
          </w:p>
        </w:tc>
        <w:tc>
          <w:tcPr>
            <w:tcW w:w="928" w:type="pct"/>
            <w:tcMar>
              <w:top w:w="0" w:type="dxa"/>
              <w:left w:w="108" w:type="dxa"/>
              <w:bottom w:w="0" w:type="dxa"/>
              <w:right w:w="108" w:type="dxa"/>
            </w:tcMar>
          </w:tcPr>
          <w:p w14:paraId="21C9D0A8"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5CBA7528" w14:textId="77777777" w:rsidTr="3ADDC19A">
        <w:trPr>
          <w:trHeight w:val="314"/>
        </w:trPr>
        <w:tc>
          <w:tcPr>
            <w:tcW w:w="1233" w:type="pct"/>
            <w:tcMar>
              <w:top w:w="0" w:type="dxa"/>
              <w:left w:w="108" w:type="dxa"/>
              <w:bottom w:w="0" w:type="dxa"/>
              <w:right w:w="108" w:type="dxa"/>
            </w:tcMar>
            <w:hideMark/>
          </w:tcPr>
          <w:p w14:paraId="4E54CF52" w14:textId="77777777" w:rsidR="0013291D" w:rsidRPr="002F17DC" w:rsidRDefault="0013291D" w:rsidP="00906070">
            <w:pPr>
              <w:spacing w:before="60" w:after="60"/>
              <w:rPr>
                <w:rFonts w:cs="Segoe UI"/>
                <w:sz w:val="18"/>
                <w:szCs w:val="18"/>
              </w:rPr>
            </w:pPr>
            <w:r w:rsidRPr="002F17DC">
              <w:rPr>
                <w:rFonts w:cs="Segoe UI"/>
                <w:sz w:val="18"/>
                <w:szCs w:val="18"/>
              </w:rPr>
              <w:t xml:space="preserve">BP lowering </w:t>
            </w:r>
            <w:proofErr w:type="spellStart"/>
            <w:r w:rsidRPr="002F17DC">
              <w:rPr>
                <w:rFonts w:cs="Segoe UI"/>
                <w:sz w:val="18"/>
                <w:szCs w:val="18"/>
              </w:rPr>
              <w:t>med</w:t>
            </w:r>
            <w:r w:rsidRPr="002F17DC">
              <w:rPr>
                <w:rFonts w:cs="Segoe UI"/>
                <w:sz w:val="18"/>
                <w:szCs w:val="18"/>
                <w:vertAlign w:val="superscript"/>
              </w:rPr>
              <w:t>n</w:t>
            </w:r>
            <w:proofErr w:type="spellEnd"/>
          </w:p>
        </w:tc>
        <w:tc>
          <w:tcPr>
            <w:tcW w:w="695" w:type="pct"/>
            <w:tcMar>
              <w:top w:w="0" w:type="dxa"/>
              <w:left w:w="108" w:type="dxa"/>
              <w:bottom w:w="0" w:type="dxa"/>
              <w:right w:w="108" w:type="dxa"/>
            </w:tcMar>
          </w:tcPr>
          <w:p w14:paraId="3B35E36E"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2144" w:type="pct"/>
            <w:tcMar>
              <w:top w:w="0" w:type="dxa"/>
              <w:left w:w="108" w:type="dxa"/>
              <w:bottom w:w="0" w:type="dxa"/>
              <w:right w:w="108" w:type="dxa"/>
            </w:tcMar>
          </w:tcPr>
          <w:p w14:paraId="1D62CC94" w14:textId="77777777" w:rsidR="0013291D" w:rsidRPr="002F17DC" w:rsidRDefault="0013291D" w:rsidP="00906070">
            <w:pPr>
              <w:spacing w:before="60" w:after="60"/>
              <w:rPr>
                <w:rFonts w:cs="Segoe UI"/>
                <w:sz w:val="18"/>
                <w:szCs w:val="18"/>
              </w:rPr>
            </w:pPr>
            <w:r w:rsidRPr="002F17DC">
              <w:rPr>
                <w:rFonts w:cs="Segoe UI"/>
                <w:sz w:val="18"/>
                <w:szCs w:val="18"/>
                <w:lang w:val="en-GB"/>
              </w:rPr>
              <w:t>0.1532122 x 0</w:t>
            </w:r>
          </w:p>
        </w:tc>
        <w:tc>
          <w:tcPr>
            <w:tcW w:w="928" w:type="pct"/>
            <w:tcMar>
              <w:top w:w="0" w:type="dxa"/>
              <w:left w:w="108" w:type="dxa"/>
              <w:bottom w:w="0" w:type="dxa"/>
              <w:right w:w="108" w:type="dxa"/>
            </w:tcMar>
          </w:tcPr>
          <w:p w14:paraId="724F0688"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1E007679" w14:textId="77777777" w:rsidTr="3ADDC19A">
        <w:trPr>
          <w:trHeight w:val="479"/>
        </w:trPr>
        <w:tc>
          <w:tcPr>
            <w:tcW w:w="1233" w:type="pct"/>
            <w:tcMar>
              <w:top w:w="0" w:type="dxa"/>
              <w:left w:w="108" w:type="dxa"/>
              <w:bottom w:w="0" w:type="dxa"/>
              <w:right w:w="108" w:type="dxa"/>
            </w:tcMar>
            <w:hideMark/>
          </w:tcPr>
          <w:p w14:paraId="782D7324" w14:textId="77777777" w:rsidR="0013291D" w:rsidRPr="002F17DC" w:rsidRDefault="0013291D" w:rsidP="00906070">
            <w:pPr>
              <w:spacing w:before="60" w:after="60"/>
              <w:rPr>
                <w:rFonts w:cs="Segoe UI"/>
                <w:sz w:val="18"/>
                <w:szCs w:val="18"/>
              </w:rPr>
            </w:pPr>
            <w:r w:rsidRPr="002F17DC">
              <w:rPr>
                <w:rFonts w:cs="Segoe UI"/>
                <w:sz w:val="18"/>
                <w:szCs w:val="18"/>
              </w:rPr>
              <w:t xml:space="preserve">Lipid lowering </w:t>
            </w:r>
            <w:proofErr w:type="spellStart"/>
            <w:r w:rsidRPr="002F17DC">
              <w:rPr>
                <w:rFonts w:cs="Segoe UI"/>
                <w:sz w:val="18"/>
                <w:szCs w:val="18"/>
              </w:rPr>
              <w:t>med</w:t>
            </w:r>
            <w:r w:rsidRPr="002F17DC">
              <w:rPr>
                <w:rFonts w:cs="Segoe UI"/>
                <w:sz w:val="18"/>
                <w:szCs w:val="18"/>
                <w:vertAlign w:val="superscript"/>
              </w:rPr>
              <w:t>n</w:t>
            </w:r>
            <w:proofErr w:type="spellEnd"/>
          </w:p>
        </w:tc>
        <w:tc>
          <w:tcPr>
            <w:tcW w:w="695" w:type="pct"/>
            <w:tcMar>
              <w:top w:w="0" w:type="dxa"/>
              <w:left w:w="108" w:type="dxa"/>
              <w:bottom w:w="0" w:type="dxa"/>
              <w:right w:w="108" w:type="dxa"/>
            </w:tcMar>
          </w:tcPr>
          <w:p w14:paraId="63EA2600"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2144" w:type="pct"/>
            <w:tcMar>
              <w:top w:w="0" w:type="dxa"/>
              <w:left w:w="108" w:type="dxa"/>
              <w:bottom w:w="0" w:type="dxa"/>
              <w:right w:w="108" w:type="dxa"/>
            </w:tcMar>
          </w:tcPr>
          <w:p w14:paraId="28C0B7F4" w14:textId="77777777" w:rsidR="0013291D" w:rsidRPr="002F17DC" w:rsidRDefault="0013291D" w:rsidP="00906070">
            <w:pPr>
              <w:spacing w:before="60" w:after="60"/>
              <w:rPr>
                <w:rFonts w:cs="Segoe UI"/>
                <w:sz w:val="18"/>
                <w:szCs w:val="18"/>
              </w:rPr>
            </w:pPr>
            <w:r w:rsidRPr="002F17DC">
              <w:rPr>
                <w:rFonts w:cs="Segoe UI"/>
                <w:sz w:val="18"/>
                <w:szCs w:val="18"/>
              </w:rPr>
              <w:t>-0.0344494 x 0</w:t>
            </w:r>
          </w:p>
        </w:tc>
        <w:tc>
          <w:tcPr>
            <w:tcW w:w="928" w:type="pct"/>
            <w:tcMar>
              <w:top w:w="0" w:type="dxa"/>
              <w:left w:w="108" w:type="dxa"/>
              <w:bottom w:w="0" w:type="dxa"/>
              <w:right w:w="108" w:type="dxa"/>
            </w:tcMar>
          </w:tcPr>
          <w:p w14:paraId="045DCFFB" w14:textId="77777777" w:rsidR="0013291D" w:rsidRPr="002F17DC" w:rsidRDefault="0013291D">
            <w:pPr>
              <w:spacing w:before="60" w:after="60"/>
              <w:rPr>
                <w:rFonts w:cs="Segoe UI"/>
                <w:sz w:val="18"/>
                <w:szCs w:val="18"/>
              </w:rPr>
            </w:pPr>
            <w:r w:rsidRPr="002F17DC">
              <w:rPr>
                <w:rFonts w:cs="Segoe UI"/>
                <w:sz w:val="18"/>
                <w:szCs w:val="18"/>
              </w:rPr>
              <w:t>0</w:t>
            </w:r>
          </w:p>
        </w:tc>
      </w:tr>
      <w:tr w:rsidR="0013291D" w:rsidRPr="002F17DC" w14:paraId="7964F86F" w14:textId="77777777" w:rsidTr="3ADDC19A">
        <w:trPr>
          <w:trHeight w:val="314"/>
        </w:trPr>
        <w:tc>
          <w:tcPr>
            <w:tcW w:w="1233" w:type="pct"/>
            <w:tcMar>
              <w:top w:w="0" w:type="dxa"/>
              <w:left w:w="108" w:type="dxa"/>
              <w:bottom w:w="0" w:type="dxa"/>
              <w:right w:w="108" w:type="dxa"/>
            </w:tcMar>
            <w:hideMark/>
          </w:tcPr>
          <w:p w14:paraId="12CDD2D5" w14:textId="77777777" w:rsidR="0013291D" w:rsidRPr="002F17DC" w:rsidRDefault="0013291D" w:rsidP="00906070">
            <w:pPr>
              <w:spacing w:before="60" w:after="60"/>
              <w:rPr>
                <w:rFonts w:cs="Segoe UI"/>
                <w:sz w:val="18"/>
                <w:szCs w:val="18"/>
              </w:rPr>
            </w:pPr>
            <w:r w:rsidRPr="002F17DC">
              <w:rPr>
                <w:rFonts w:cs="Segoe UI"/>
                <w:sz w:val="18"/>
                <w:szCs w:val="18"/>
              </w:rPr>
              <w:t>Antiplatelet or anticoagulant</w:t>
            </w:r>
          </w:p>
        </w:tc>
        <w:tc>
          <w:tcPr>
            <w:tcW w:w="695" w:type="pct"/>
            <w:tcMar>
              <w:top w:w="0" w:type="dxa"/>
              <w:left w:w="108" w:type="dxa"/>
              <w:bottom w:w="0" w:type="dxa"/>
              <w:right w:w="108" w:type="dxa"/>
            </w:tcMar>
          </w:tcPr>
          <w:p w14:paraId="7EDFB236" w14:textId="77777777" w:rsidR="0013291D" w:rsidRPr="002F17DC" w:rsidRDefault="0013291D" w:rsidP="00906070">
            <w:pPr>
              <w:spacing w:before="60" w:after="60"/>
              <w:rPr>
                <w:rFonts w:cs="Segoe UI"/>
                <w:sz w:val="18"/>
                <w:szCs w:val="18"/>
              </w:rPr>
            </w:pPr>
            <w:r w:rsidRPr="002F17DC">
              <w:rPr>
                <w:rFonts w:cs="Segoe UI"/>
                <w:sz w:val="18"/>
                <w:szCs w:val="18"/>
              </w:rPr>
              <w:t>No</w:t>
            </w:r>
          </w:p>
        </w:tc>
        <w:tc>
          <w:tcPr>
            <w:tcW w:w="2144" w:type="pct"/>
            <w:tcMar>
              <w:top w:w="0" w:type="dxa"/>
              <w:left w:w="108" w:type="dxa"/>
              <w:bottom w:w="0" w:type="dxa"/>
              <w:right w:w="108" w:type="dxa"/>
            </w:tcMar>
          </w:tcPr>
          <w:p w14:paraId="66C4B9BA" w14:textId="77777777" w:rsidR="0013291D" w:rsidRPr="002F17DC" w:rsidRDefault="0013291D" w:rsidP="00906070">
            <w:pPr>
              <w:spacing w:before="60" w:after="60"/>
              <w:rPr>
                <w:rFonts w:cs="Segoe UI"/>
                <w:sz w:val="18"/>
                <w:szCs w:val="18"/>
              </w:rPr>
            </w:pPr>
            <w:r w:rsidRPr="002F17DC">
              <w:rPr>
                <w:rFonts w:cs="Segoe UI"/>
                <w:sz w:val="18"/>
                <w:szCs w:val="18"/>
              </w:rPr>
              <w:t>0.0474684 x 0</w:t>
            </w:r>
          </w:p>
        </w:tc>
        <w:tc>
          <w:tcPr>
            <w:tcW w:w="928" w:type="pct"/>
            <w:tcMar>
              <w:top w:w="0" w:type="dxa"/>
              <w:left w:w="108" w:type="dxa"/>
              <w:bottom w:w="0" w:type="dxa"/>
              <w:right w:w="108" w:type="dxa"/>
            </w:tcMar>
          </w:tcPr>
          <w:p w14:paraId="2415F501" w14:textId="77777777" w:rsidR="0013291D" w:rsidRPr="002F17DC" w:rsidRDefault="0013291D">
            <w:pPr>
              <w:spacing w:before="60" w:after="60"/>
              <w:rPr>
                <w:rFonts w:cs="Segoe UI"/>
                <w:sz w:val="18"/>
                <w:szCs w:val="18"/>
              </w:rPr>
            </w:pPr>
            <w:r w:rsidRPr="002F17DC">
              <w:rPr>
                <w:rFonts w:cs="Segoe UI"/>
                <w:sz w:val="18"/>
                <w:szCs w:val="18"/>
              </w:rPr>
              <w:t>0</w:t>
            </w:r>
          </w:p>
        </w:tc>
      </w:tr>
      <w:tr w:rsidR="00F654B9" w:rsidRPr="002F17DC" w14:paraId="57FEDFF2" w14:textId="77777777" w:rsidTr="3ADDC19A">
        <w:trPr>
          <w:trHeight w:val="314"/>
        </w:trPr>
        <w:tc>
          <w:tcPr>
            <w:tcW w:w="1233" w:type="pct"/>
            <w:tcMar>
              <w:top w:w="0" w:type="dxa"/>
              <w:left w:w="108" w:type="dxa"/>
              <w:bottom w:w="0" w:type="dxa"/>
              <w:right w:w="108" w:type="dxa"/>
            </w:tcMar>
          </w:tcPr>
          <w:p w14:paraId="24877B96" w14:textId="288C684B" w:rsidR="00F654B9" w:rsidRPr="002F17DC" w:rsidRDefault="00F654B9" w:rsidP="00906070">
            <w:pPr>
              <w:spacing w:before="60" w:after="60"/>
              <w:rPr>
                <w:rFonts w:cs="Segoe UI"/>
                <w:sz w:val="18"/>
                <w:szCs w:val="18"/>
              </w:rPr>
            </w:pPr>
            <w:r w:rsidRPr="002F17DC">
              <w:rPr>
                <w:rFonts w:cs="Segoe UI"/>
                <w:sz w:val="18"/>
                <w:szCs w:val="18"/>
              </w:rPr>
              <w:t xml:space="preserve">Baseline survival function at </w:t>
            </w:r>
            <w:r>
              <w:rPr>
                <w:rFonts w:cs="Segoe UI"/>
                <w:sz w:val="18"/>
                <w:szCs w:val="18"/>
              </w:rPr>
              <w:t>five years</w:t>
            </w:r>
          </w:p>
        </w:tc>
        <w:tc>
          <w:tcPr>
            <w:tcW w:w="695" w:type="pct"/>
            <w:tcMar>
              <w:top w:w="0" w:type="dxa"/>
              <w:left w:w="108" w:type="dxa"/>
              <w:bottom w:w="0" w:type="dxa"/>
              <w:right w:w="108" w:type="dxa"/>
            </w:tcMar>
          </w:tcPr>
          <w:p w14:paraId="7C9CEFFF" w14:textId="6DDE88C2" w:rsidR="00F654B9" w:rsidRPr="002F17DC" w:rsidRDefault="00F654B9" w:rsidP="00906070">
            <w:pPr>
              <w:spacing w:before="60" w:after="60"/>
              <w:rPr>
                <w:rFonts w:cs="Segoe UI"/>
                <w:sz w:val="18"/>
                <w:szCs w:val="18"/>
              </w:rPr>
            </w:pPr>
            <w:r w:rsidRPr="00AA021D">
              <w:rPr>
                <w:rFonts w:cs="Segoe UI"/>
                <w:sz w:val="18"/>
                <w:szCs w:val="18"/>
              </w:rPr>
              <w:t>0. 9121175</w:t>
            </w:r>
          </w:p>
        </w:tc>
        <w:tc>
          <w:tcPr>
            <w:tcW w:w="2144" w:type="pct"/>
            <w:tcMar>
              <w:top w:w="0" w:type="dxa"/>
              <w:left w:w="108" w:type="dxa"/>
              <w:bottom w:w="0" w:type="dxa"/>
              <w:right w:w="108" w:type="dxa"/>
            </w:tcMar>
          </w:tcPr>
          <w:p w14:paraId="2BB006EB" w14:textId="77777777" w:rsidR="00F654B9" w:rsidRPr="002F17DC" w:rsidRDefault="00F654B9" w:rsidP="00906070">
            <w:pPr>
              <w:spacing w:before="60" w:after="60"/>
              <w:rPr>
                <w:rFonts w:cs="Segoe UI"/>
                <w:sz w:val="18"/>
                <w:szCs w:val="18"/>
              </w:rPr>
            </w:pPr>
          </w:p>
        </w:tc>
        <w:tc>
          <w:tcPr>
            <w:tcW w:w="928" w:type="pct"/>
            <w:tcMar>
              <w:top w:w="0" w:type="dxa"/>
              <w:left w:w="108" w:type="dxa"/>
              <w:bottom w:w="0" w:type="dxa"/>
              <w:right w:w="108" w:type="dxa"/>
            </w:tcMar>
          </w:tcPr>
          <w:p w14:paraId="1B0633D3" w14:textId="77777777" w:rsidR="00F654B9" w:rsidRPr="002F17DC" w:rsidRDefault="00F654B9">
            <w:pPr>
              <w:spacing w:before="60" w:after="60"/>
              <w:rPr>
                <w:rFonts w:cs="Segoe UI"/>
                <w:sz w:val="18"/>
                <w:szCs w:val="18"/>
              </w:rPr>
            </w:pPr>
          </w:p>
        </w:tc>
      </w:tr>
      <w:tr w:rsidR="00F654B9" w:rsidRPr="002F17DC" w14:paraId="62B33987" w14:textId="77777777" w:rsidTr="3ADDC19A">
        <w:trPr>
          <w:trHeight w:val="314"/>
        </w:trPr>
        <w:tc>
          <w:tcPr>
            <w:tcW w:w="1233" w:type="pct"/>
            <w:tcMar>
              <w:top w:w="0" w:type="dxa"/>
              <w:left w:w="108" w:type="dxa"/>
              <w:bottom w:w="0" w:type="dxa"/>
              <w:right w:w="108" w:type="dxa"/>
            </w:tcMar>
          </w:tcPr>
          <w:p w14:paraId="042CE3F6" w14:textId="77777777" w:rsidR="00F654B9" w:rsidRPr="002F17DC" w:rsidRDefault="00F654B9" w:rsidP="00906070">
            <w:pPr>
              <w:spacing w:before="60" w:after="60"/>
              <w:rPr>
                <w:rFonts w:cs="Segoe UI"/>
                <w:sz w:val="18"/>
                <w:szCs w:val="18"/>
              </w:rPr>
            </w:pPr>
          </w:p>
        </w:tc>
        <w:tc>
          <w:tcPr>
            <w:tcW w:w="695" w:type="pct"/>
            <w:tcMar>
              <w:top w:w="0" w:type="dxa"/>
              <w:left w:w="108" w:type="dxa"/>
              <w:bottom w:w="0" w:type="dxa"/>
              <w:right w:w="108" w:type="dxa"/>
            </w:tcMar>
          </w:tcPr>
          <w:p w14:paraId="4932103C" w14:textId="77777777" w:rsidR="00F654B9" w:rsidRPr="002F17DC" w:rsidRDefault="00F654B9" w:rsidP="00906070">
            <w:pPr>
              <w:spacing w:before="60" w:after="60"/>
              <w:rPr>
                <w:rFonts w:cs="Segoe UI"/>
                <w:sz w:val="18"/>
                <w:szCs w:val="18"/>
              </w:rPr>
            </w:pPr>
          </w:p>
        </w:tc>
        <w:tc>
          <w:tcPr>
            <w:tcW w:w="2144" w:type="pct"/>
            <w:tcMar>
              <w:top w:w="0" w:type="dxa"/>
              <w:left w:w="108" w:type="dxa"/>
              <w:bottom w:w="0" w:type="dxa"/>
              <w:right w:w="108" w:type="dxa"/>
            </w:tcMar>
          </w:tcPr>
          <w:p w14:paraId="20A5ACA9" w14:textId="0FABB14D" w:rsidR="00F654B9" w:rsidRPr="002F17DC" w:rsidRDefault="00F654B9" w:rsidP="00906070">
            <w:pPr>
              <w:spacing w:before="60" w:after="60"/>
              <w:rPr>
                <w:rFonts w:cs="Segoe UI"/>
                <w:sz w:val="18"/>
                <w:szCs w:val="18"/>
              </w:rPr>
            </w:pPr>
            <w:r w:rsidRPr="3ADDC19A">
              <w:rPr>
                <w:rFonts w:cs="Segoe UI"/>
                <w:b/>
                <w:bCs/>
                <w:sz w:val="18"/>
                <w:szCs w:val="18"/>
              </w:rPr>
              <w:t>Sum (</w:t>
            </w:r>
            <w:proofErr w:type="spellStart"/>
            <w:r w:rsidRPr="3ADDC19A">
              <w:rPr>
                <w:rFonts w:cs="Segoe UI"/>
                <w:b/>
                <w:bCs/>
                <w:sz w:val="18"/>
                <w:szCs w:val="18"/>
              </w:rPr>
              <w:t>coefficie</w:t>
            </w:r>
            <w:proofErr w:type="spellEnd"/>
            <w:r w:rsidR="00AD7DB9" w:rsidRPr="3ADDC19A">
              <w:rPr>
                <w:rFonts w:cs="Segoe UI"/>
                <w:b/>
                <w:bCs/>
                <w:sz w:val="18"/>
                <w:szCs w:val="18"/>
                <w:lang w:eastAsia="zh-CN"/>
              </w:rPr>
              <w:t xml:space="preserve"> </w:t>
            </w:r>
            <w:proofErr w:type="spellStart"/>
            <w:r w:rsidRPr="3ADDC19A">
              <w:rPr>
                <w:rFonts w:cs="Segoe UI"/>
                <w:b/>
                <w:bCs/>
                <w:sz w:val="18"/>
                <w:szCs w:val="18"/>
              </w:rPr>
              <w:t>nt</w:t>
            </w:r>
            <w:proofErr w:type="spellEnd"/>
            <w:r w:rsidRPr="3ADDC19A">
              <w:rPr>
                <w:rFonts w:cs="Segoe UI"/>
                <w:b/>
                <w:bCs/>
                <w:sz w:val="18"/>
                <w:szCs w:val="18"/>
              </w:rPr>
              <w:t xml:space="preserve"> x variable)</w:t>
            </w:r>
          </w:p>
        </w:tc>
        <w:tc>
          <w:tcPr>
            <w:tcW w:w="928" w:type="pct"/>
            <w:tcMar>
              <w:top w:w="0" w:type="dxa"/>
              <w:left w:w="108" w:type="dxa"/>
              <w:bottom w:w="0" w:type="dxa"/>
              <w:right w:w="108" w:type="dxa"/>
            </w:tcMar>
          </w:tcPr>
          <w:p w14:paraId="0EDD813A" w14:textId="38A393DD" w:rsidR="00F654B9" w:rsidRPr="002F17DC" w:rsidRDefault="00F654B9">
            <w:pPr>
              <w:spacing w:before="60" w:after="60"/>
              <w:rPr>
                <w:rFonts w:cs="Segoe UI"/>
                <w:sz w:val="18"/>
                <w:szCs w:val="18"/>
              </w:rPr>
            </w:pPr>
            <w:r w:rsidRPr="002F17DC">
              <w:rPr>
                <w:rFonts w:cs="Segoe UI"/>
                <w:b/>
                <w:bCs/>
                <w:sz w:val="18"/>
                <w:szCs w:val="18"/>
              </w:rPr>
              <w:t>-0.6185907</w:t>
            </w:r>
          </w:p>
        </w:tc>
      </w:tr>
    </w:tbl>
    <w:p w14:paraId="6DD36B9E" w14:textId="77777777" w:rsidR="00875DE3" w:rsidRPr="00852C96" w:rsidRDefault="00875DE3" w:rsidP="00875DE3">
      <w:pPr>
        <w:rPr>
          <w:rFonts w:cs="Segoe UI"/>
          <w:szCs w:val="21"/>
        </w:rPr>
      </w:pPr>
    </w:p>
    <w:p w14:paraId="21ECC256" w14:textId="2F90A609" w:rsidR="00875DE3" w:rsidRPr="00852C96" w:rsidRDefault="00875DE3" w:rsidP="00875DE3">
      <w:pPr>
        <w:rPr>
          <w:rFonts w:cs="Segoe UI"/>
          <w:szCs w:val="21"/>
          <w:lang w:val="en-GB"/>
        </w:rPr>
      </w:pPr>
      <w:r w:rsidRPr="00852C96">
        <w:rPr>
          <w:rFonts w:cs="Segoe UI"/>
          <w:szCs w:val="21"/>
          <w:lang w:val="en-GB"/>
        </w:rPr>
        <w:t xml:space="preserve">For Patient </w:t>
      </w:r>
      <w:r w:rsidR="00F654B9">
        <w:rPr>
          <w:rFonts w:cs="Segoe UI"/>
          <w:szCs w:val="21"/>
          <w:lang w:val="en-GB"/>
        </w:rPr>
        <w:t>D</w:t>
      </w:r>
      <w:r w:rsidRPr="00852C96">
        <w:rPr>
          <w:rFonts w:cs="Segoe UI"/>
          <w:szCs w:val="21"/>
          <w:lang w:val="en-GB"/>
        </w:rPr>
        <w:t xml:space="preserve">, 5-year CVD risk = </w:t>
      </w:r>
      <w:r w:rsidRPr="00852C96">
        <w:rPr>
          <w:rFonts w:cs="Segoe UI"/>
          <w:bCs/>
          <w:szCs w:val="21"/>
          <w:lang w:val="en-GB"/>
        </w:rPr>
        <w:t xml:space="preserve">(1 - </w:t>
      </w:r>
      <w:r w:rsidRPr="00852C96">
        <w:rPr>
          <w:rFonts w:cs="Segoe UI"/>
          <w:szCs w:val="21"/>
        </w:rPr>
        <w:t>0. 9121175</w:t>
      </w:r>
      <w:r w:rsidRPr="00852C96">
        <w:rPr>
          <w:rFonts w:cs="Segoe UI"/>
          <w:bCs/>
          <w:szCs w:val="21"/>
          <w:lang w:val="en-GB"/>
        </w:rPr>
        <w:t xml:space="preserve"> </w:t>
      </w:r>
      <w:r w:rsidRPr="00852C96">
        <w:rPr>
          <w:rFonts w:cs="Segoe UI"/>
          <w:bCs/>
          <w:szCs w:val="21"/>
          <w:vertAlign w:val="superscript"/>
          <w:lang w:val="en-GB"/>
        </w:rPr>
        <w:t>exp (-0.6185907)</w:t>
      </w:r>
      <w:r w:rsidRPr="00852C96">
        <w:rPr>
          <w:rFonts w:cs="Segoe UI"/>
          <w:bCs/>
          <w:szCs w:val="21"/>
          <w:lang w:val="en-GB"/>
        </w:rPr>
        <w:t>) x 100 = 0.048 x 100 = 5%</w:t>
      </w:r>
    </w:p>
    <w:p w14:paraId="12E831B0" w14:textId="77777777" w:rsidR="00875DE3" w:rsidRPr="0045304A" w:rsidRDefault="00875DE3" w:rsidP="00875DE3">
      <w:pPr>
        <w:rPr>
          <w:szCs w:val="21"/>
        </w:rPr>
      </w:pPr>
    </w:p>
    <w:p w14:paraId="0E324B84" w14:textId="0955B175" w:rsidR="00776180" w:rsidRDefault="00797E61" w:rsidP="00BD050D">
      <w:pPr>
        <w:pStyle w:val="Heading1"/>
      </w:pPr>
      <w:bookmarkStart w:id="87" w:name="_Toc46146759"/>
      <w:r>
        <w:lastRenderedPageBreak/>
        <w:t>Requirements for software tools</w:t>
      </w:r>
      <w:bookmarkEnd w:id="87"/>
    </w:p>
    <w:p w14:paraId="00C950EC" w14:textId="7E3DAB3D" w:rsidR="00776180" w:rsidRPr="003C09A1" w:rsidRDefault="00776180" w:rsidP="00776180">
      <w:r w:rsidRPr="00CB6C0E">
        <w:t>Patient c</w:t>
      </w:r>
      <w:r>
        <w:t xml:space="preserve">ommunication and joint clinical and </w:t>
      </w:r>
      <w:r w:rsidRPr="00CB6C0E">
        <w:t>patient decision</w:t>
      </w:r>
      <w:r>
        <w:t>-making</w:t>
      </w:r>
      <w:r w:rsidRPr="00CB6C0E">
        <w:t xml:space="preserve"> are critical components of the CVD risk assessment and management process.</w:t>
      </w:r>
      <w:r w:rsidR="003C09A1">
        <w:t xml:space="preserve"> </w:t>
      </w:r>
      <w:r w:rsidRPr="00CB6C0E">
        <w:t>A primary care practitioner needs to be able to communicate risk effectively to the patient and should also recognise that decision support tools for different levels of health literacy are useful adjuncts to help patients understand risk.</w:t>
      </w:r>
    </w:p>
    <w:p w14:paraId="26B1D055" w14:textId="77777777" w:rsidR="009A6209" w:rsidRDefault="009A6209" w:rsidP="00776180"/>
    <w:p w14:paraId="46320D6E" w14:textId="1630AAE3" w:rsidR="00776180" w:rsidRPr="00365976" w:rsidRDefault="009A6209" w:rsidP="00776180">
      <w:r>
        <w:t xml:space="preserve">Software tools implementing the equations and supporting </w:t>
      </w:r>
      <w:r w:rsidR="003C09A1">
        <w:t>communication and health literacy should be able to:</w:t>
      </w:r>
    </w:p>
    <w:p w14:paraId="1262569B" w14:textId="5427C6B4" w:rsidR="00776180" w:rsidRPr="00CB6C0E" w:rsidRDefault="003C09A1" w:rsidP="00776180">
      <w:pPr>
        <w:pStyle w:val="Bullet"/>
        <w:spacing w:line="264" w:lineRule="auto"/>
      </w:pPr>
      <w:r>
        <w:t xml:space="preserve">calculate and </w:t>
      </w:r>
      <w:r w:rsidR="00776180" w:rsidRPr="00CB6C0E">
        <w:t>present the individual</w:t>
      </w:r>
      <w:r w:rsidR="00776180">
        <w:t>’</w:t>
      </w:r>
      <w:r w:rsidR="00776180" w:rsidRPr="00CB6C0E">
        <w:t>s estimated five-year CVD risk, heart age and risk trajectory</w:t>
      </w:r>
    </w:p>
    <w:p w14:paraId="7E599185" w14:textId="77777777" w:rsidR="00F11764" w:rsidRPr="00CB6C0E" w:rsidRDefault="00F11764" w:rsidP="00F11764">
      <w:pPr>
        <w:pStyle w:val="Bullet"/>
        <w:spacing w:line="264" w:lineRule="auto"/>
      </w:pPr>
      <w:r w:rsidRPr="00CB6C0E">
        <w:t>show the effect of a range of interventions, including:</w:t>
      </w:r>
    </w:p>
    <w:p w14:paraId="4D3088C9" w14:textId="77777777" w:rsidR="00F11764" w:rsidRPr="00CB6C0E" w:rsidRDefault="00F11764" w:rsidP="00F11764">
      <w:pPr>
        <w:pStyle w:val="Dash"/>
        <w:spacing w:line="264" w:lineRule="auto"/>
      </w:pPr>
      <w:r w:rsidRPr="00CB6C0E">
        <w:t>lifestyle changes such as smoking cessation, increasing physical activity, dietary change and reducing alcohol</w:t>
      </w:r>
    </w:p>
    <w:p w14:paraId="59FC6F65" w14:textId="3E29BB55" w:rsidR="00F11764" w:rsidRPr="00CB6C0E" w:rsidRDefault="00F11764" w:rsidP="00F11764">
      <w:pPr>
        <w:pStyle w:val="Dash"/>
        <w:spacing w:line="264" w:lineRule="auto"/>
      </w:pPr>
      <w:r w:rsidRPr="00CB6C0E">
        <w:t>medications such as statins</w:t>
      </w:r>
      <w:r>
        <w:t xml:space="preserve">, </w:t>
      </w:r>
      <w:r w:rsidRPr="003F7D77">
        <w:t>antihypertensive</w:t>
      </w:r>
      <w:r w:rsidR="003F7D77">
        <w:t xml:space="preserve"> medicines</w:t>
      </w:r>
      <w:r>
        <w:t xml:space="preserve"> and aspirin</w:t>
      </w:r>
    </w:p>
    <w:p w14:paraId="399737FE" w14:textId="77777777" w:rsidR="006A5234" w:rsidRDefault="00776180" w:rsidP="00776180">
      <w:pPr>
        <w:pStyle w:val="Bullet"/>
        <w:spacing w:line="264" w:lineRule="auto"/>
      </w:pPr>
      <w:r w:rsidRPr="00CB6C0E">
        <w:t xml:space="preserve">present estimated five-year CVD risk with and without intervention as a graphic (for example, as </w:t>
      </w:r>
      <w:r w:rsidR="00F11764">
        <w:t>side-by-side</w:t>
      </w:r>
      <w:r w:rsidRPr="00CB6C0E">
        <w:t xml:space="preserve"> displays of absolute risk, each showing 100 faces or figures and the </w:t>
      </w:r>
      <w:r w:rsidR="00797E61">
        <w:t>percentage</w:t>
      </w:r>
      <w:r w:rsidRPr="00CB6C0E">
        <w:t xml:space="preserve"> at risk)</w:t>
      </w:r>
    </w:p>
    <w:p w14:paraId="61A12856" w14:textId="38E673AA" w:rsidR="00776180" w:rsidRPr="00CB6C0E" w:rsidRDefault="006A5234" w:rsidP="0045304A">
      <w:pPr>
        <w:pStyle w:val="Bullet"/>
      </w:pPr>
      <w:r w:rsidRPr="006255C0">
        <w:t>account for the specific exclusion criteria and do not allow CVD risk calculation if any are present</w:t>
      </w:r>
      <w:r w:rsidR="00F11764">
        <w:t>.</w:t>
      </w:r>
    </w:p>
    <w:p w14:paraId="137CB547" w14:textId="77777777" w:rsidR="00776180" w:rsidRPr="00CB6C0E" w:rsidRDefault="00776180" w:rsidP="00776180">
      <w:pPr>
        <w:rPr>
          <w:rFonts w:eastAsia="Century"/>
        </w:rPr>
      </w:pPr>
    </w:p>
    <w:p w14:paraId="324319B2" w14:textId="154A20B2" w:rsidR="00776180" w:rsidRPr="00CB6C0E" w:rsidRDefault="008A2706" w:rsidP="00776180">
      <w:r>
        <w:t>These s</w:t>
      </w:r>
      <w:r w:rsidR="001233CA">
        <w:t>oftware</w:t>
      </w:r>
      <w:r w:rsidR="00776180" w:rsidRPr="00CB6C0E">
        <w:t xml:space="preserve"> tools</w:t>
      </w:r>
      <w:r w:rsidR="001233CA">
        <w:t xml:space="preserve"> should also be </w:t>
      </w:r>
      <w:r w:rsidR="00BD613F">
        <w:t>very</w:t>
      </w:r>
      <w:r w:rsidR="001233CA">
        <w:t xml:space="preserve"> usable</w:t>
      </w:r>
      <w:r w:rsidR="00365976">
        <w:t>, interoperable and secure</w:t>
      </w:r>
      <w:r w:rsidR="001233CA">
        <w:t>:</w:t>
      </w:r>
    </w:p>
    <w:p w14:paraId="533D7E48" w14:textId="20A13BD2" w:rsidR="00776180" w:rsidRPr="00CB6C0E" w:rsidRDefault="008A2706" w:rsidP="00776180">
      <w:pPr>
        <w:pStyle w:val="Bullet"/>
        <w:spacing w:line="264" w:lineRule="auto"/>
      </w:pPr>
      <w:r>
        <w:t xml:space="preserve">Tools </w:t>
      </w:r>
      <w:r w:rsidR="00790ED8">
        <w:t>interoperate</w:t>
      </w:r>
      <w:r w:rsidR="00776180" w:rsidRPr="00CB6C0E">
        <w:t xml:space="preserve"> with patient management system</w:t>
      </w:r>
      <w:r w:rsidR="00365976">
        <w:t>s</w:t>
      </w:r>
      <w:r w:rsidR="00776180" w:rsidRPr="00CB6C0E">
        <w:t xml:space="preserve"> </w:t>
      </w:r>
      <w:r w:rsidR="00797E61">
        <w:t>and patient portal</w:t>
      </w:r>
      <w:r w:rsidR="00365976">
        <w:t>s</w:t>
      </w:r>
      <w:r w:rsidR="00776180" w:rsidRPr="00CB6C0E">
        <w:t>.</w:t>
      </w:r>
    </w:p>
    <w:p w14:paraId="792267F8" w14:textId="25F54ACB" w:rsidR="00776180" w:rsidRPr="00CB6C0E" w:rsidRDefault="00790ED8" w:rsidP="00776180">
      <w:pPr>
        <w:pStyle w:val="Bullet"/>
        <w:spacing w:line="264" w:lineRule="auto"/>
      </w:pPr>
      <w:r>
        <w:t xml:space="preserve">Tools </w:t>
      </w:r>
      <w:r w:rsidR="008A2706">
        <w:t>a</w:t>
      </w:r>
      <w:r w:rsidR="00776180" w:rsidRPr="00CB6C0E">
        <w:t xml:space="preserve">utomatically populate from </w:t>
      </w:r>
      <w:r w:rsidR="008A2706">
        <w:t xml:space="preserve">the </w:t>
      </w:r>
      <w:r w:rsidR="00797E61">
        <w:t>patient</w:t>
      </w:r>
      <w:r w:rsidR="008A2706">
        <w:t>’s health record</w:t>
      </w:r>
      <w:r w:rsidR="00776180" w:rsidRPr="00CB6C0E">
        <w:t xml:space="preserve"> and </w:t>
      </w:r>
      <w:r w:rsidR="008A2706">
        <w:t>save</w:t>
      </w:r>
      <w:r w:rsidR="00776180" w:rsidRPr="00CB6C0E">
        <w:t xml:space="preserve"> risk results </w:t>
      </w:r>
      <w:r w:rsidR="008A2706">
        <w:t xml:space="preserve">back </w:t>
      </w:r>
      <w:r w:rsidR="00776180" w:rsidRPr="00CB6C0E">
        <w:t>into the record.</w:t>
      </w:r>
    </w:p>
    <w:p w14:paraId="40C223CF" w14:textId="6A0F764C" w:rsidR="00776180" w:rsidRPr="00CB6C0E" w:rsidRDefault="00776180" w:rsidP="00776180">
      <w:pPr>
        <w:pStyle w:val="Bullet"/>
        <w:spacing w:line="264" w:lineRule="auto"/>
      </w:pPr>
      <w:r w:rsidRPr="00CB6C0E">
        <w:t xml:space="preserve">The patient can use these tools to access their risk assessment </w:t>
      </w:r>
      <w:r w:rsidR="00797E61">
        <w:t>online</w:t>
      </w:r>
      <w:r w:rsidRPr="00CB6C0E">
        <w:t>.</w:t>
      </w:r>
    </w:p>
    <w:p w14:paraId="72E49BCE" w14:textId="77777777" w:rsidR="00776180" w:rsidRPr="00CB6C0E" w:rsidRDefault="00776180" w:rsidP="00776180">
      <w:pPr>
        <w:pStyle w:val="Bullet"/>
        <w:spacing w:line="264" w:lineRule="auto"/>
      </w:pPr>
      <w:r w:rsidRPr="00CB6C0E">
        <w:t>The clinician can print a copy of a patient</w:t>
      </w:r>
      <w:r>
        <w:t>’</w:t>
      </w:r>
      <w:r w:rsidRPr="00CB6C0E">
        <w:t>s risk assessment and management advice.</w:t>
      </w:r>
    </w:p>
    <w:p w14:paraId="4B01857C" w14:textId="69826D7B" w:rsidR="00365976" w:rsidRDefault="008A2706" w:rsidP="00365976">
      <w:pPr>
        <w:pStyle w:val="Bullet"/>
        <w:spacing w:line="264" w:lineRule="auto"/>
      </w:pPr>
      <w:r>
        <w:t xml:space="preserve">Tools </w:t>
      </w:r>
      <w:r w:rsidR="00BD613F">
        <w:t>are</w:t>
      </w:r>
      <w:r>
        <w:t xml:space="preserve"> easily adaptable to new and</w:t>
      </w:r>
      <w:r w:rsidR="00776180" w:rsidRPr="00CB6C0E">
        <w:t xml:space="preserve"> </w:t>
      </w:r>
      <w:r>
        <w:t xml:space="preserve">modified </w:t>
      </w:r>
      <w:r w:rsidR="00776180" w:rsidRPr="00CB6C0E">
        <w:t xml:space="preserve">risk </w:t>
      </w:r>
      <w:r>
        <w:t>equations</w:t>
      </w:r>
      <w:r w:rsidR="00776180" w:rsidRPr="00CB6C0E">
        <w:t>.</w:t>
      </w:r>
    </w:p>
    <w:p w14:paraId="1AD84500" w14:textId="0FBB1B98" w:rsidR="00365976" w:rsidRPr="00CB6C0E" w:rsidRDefault="00365976" w:rsidP="00365976">
      <w:pPr>
        <w:pStyle w:val="Bullet"/>
        <w:spacing w:line="264" w:lineRule="auto"/>
      </w:pPr>
      <w:r>
        <w:t xml:space="preserve">Tools </w:t>
      </w:r>
      <w:r w:rsidR="00BD613F">
        <w:t>are</w:t>
      </w:r>
      <w:r>
        <w:t xml:space="preserve"> secure and protect patient privacy.</w:t>
      </w:r>
    </w:p>
    <w:p w14:paraId="070FA653" w14:textId="2A25114E" w:rsidR="003D253C" w:rsidRDefault="003D253C" w:rsidP="00072A88">
      <w:pPr>
        <w:pStyle w:val="Heading1"/>
      </w:pPr>
      <w:bookmarkStart w:id="88" w:name="_Toc46146760"/>
      <w:r>
        <w:lastRenderedPageBreak/>
        <w:t>References</w:t>
      </w:r>
      <w:bookmarkEnd w:id="88"/>
    </w:p>
    <w:p w14:paraId="3ADE1792" w14:textId="43C3C488" w:rsidR="00791520" w:rsidRPr="00072A88" w:rsidRDefault="00BD050D" w:rsidP="00791520">
      <w:pPr>
        <w:pStyle w:val="EndNoteBibliographyTitle"/>
        <w:rPr>
          <w:b/>
          <w:sz w:val="21"/>
          <w:szCs w:val="21"/>
        </w:rPr>
      </w:pPr>
      <w:r w:rsidRPr="00072A88">
        <w:rPr>
          <w:b/>
          <w:color w:val="1F497D" w:themeColor="text2"/>
          <w:spacing w:val="-10"/>
          <w:sz w:val="21"/>
          <w:szCs w:val="21"/>
        </w:rPr>
        <w:fldChar w:fldCharType="begin"/>
      </w:r>
      <w:r w:rsidRPr="00072A88">
        <w:rPr>
          <w:sz w:val="21"/>
          <w:szCs w:val="21"/>
        </w:rPr>
        <w:instrText xml:space="preserve"> ADDIN EN.REFLIST </w:instrText>
      </w:r>
      <w:r w:rsidRPr="00072A88">
        <w:rPr>
          <w:b/>
          <w:color w:val="1F497D" w:themeColor="text2"/>
          <w:spacing w:val="-10"/>
          <w:sz w:val="21"/>
          <w:szCs w:val="21"/>
        </w:rPr>
        <w:fldChar w:fldCharType="separate"/>
      </w:r>
    </w:p>
    <w:p w14:paraId="3B8BD459" w14:textId="68C12DC7" w:rsidR="003D253C" w:rsidRPr="00072A88" w:rsidRDefault="003D253C" w:rsidP="003D253C">
      <w:pPr>
        <w:pStyle w:val="EndNoteBibliography"/>
        <w:ind w:left="720" w:hanging="720"/>
        <w:rPr>
          <w:sz w:val="21"/>
          <w:szCs w:val="21"/>
        </w:rPr>
      </w:pPr>
      <w:r w:rsidRPr="00072A88">
        <w:rPr>
          <w:sz w:val="21"/>
          <w:szCs w:val="21"/>
        </w:rPr>
        <w:t>1. Wells S, Riddell T, Kerr A, et al. Cohort Profile: The PREDICT Cardiovascular Disease Cohort in New Zealand Primary Care (PREDICT-CVD 19). International Journal of Epidemiology 2015;</w:t>
      </w:r>
      <w:r w:rsidRPr="00072A88">
        <w:rPr>
          <w:b/>
          <w:sz w:val="21"/>
          <w:szCs w:val="21"/>
        </w:rPr>
        <w:t>doi: 10.1093/ije/dyv312</w:t>
      </w:r>
      <w:r w:rsidRPr="00072A88">
        <w:rPr>
          <w:sz w:val="21"/>
          <w:szCs w:val="21"/>
        </w:rPr>
        <w:t>.</w:t>
      </w:r>
    </w:p>
    <w:p w14:paraId="7E5E2089" w14:textId="77777777" w:rsidR="003D253C" w:rsidRPr="00072A88" w:rsidRDefault="003D253C" w:rsidP="003D253C">
      <w:pPr>
        <w:pStyle w:val="EndNoteBibliography"/>
        <w:ind w:left="720" w:hanging="720"/>
        <w:rPr>
          <w:sz w:val="21"/>
          <w:szCs w:val="21"/>
        </w:rPr>
      </w:pPr>
      <w:r w:rsidRPr="00072A88">
        <w:rPr>
          <w:sz w:val="21"/>
          <w:szCs w:val="21"/>
        </w:rPr>
        <w:t>2. Ministry of Health. Cardiovascular disease risk assessment and management for primary care. Wellington: Ministry of Health, 2018.</w:t>
      </w:r>
    </w:p>
    <w:p w14:paraId="7C132F89" w14:textId="77777777" w:rsidR="003D253C" w:rsidRPr="00072A88" w:rsidRDefault="003D253C" w:rsidP="003D253C">
      <w:pPr>
        <w:pStyle w:val="EndNoteBibliography"/>
        <w:ind w:left="720" w:hanging="720"/>
        <w:rPr>
          <w:sz w:val="21"/>
          <w:szCs w:val="21"/>
        </w:rPr>
      </w:pPr>
      <w:r w:rsidRPr="00072A88">
        <w:rPr>
          <w:sz w:val="21"/>
          <w:szCs w:val="21"/>
        </w:rPr>
        <w:t>3. Pylypchuk R, Wells S, Kerr A, et al. Cardiovascular disease risk prediction equations in 400 000 primary care patients in New Zealand: a derivation and validation study. Lancet 2018;</w:t>
      </w:r>
      <w:r w:rsidRPr="00072A88">
        <w:rPr>
          <w:b/>
          <w:sz w:val="21"/>
          <w:szCs w:val="21"/>
        </w:rPr>
        <w:t>391</w:t>
      </w:r>
      <w:r w:rsidRPr="00072A88">
        <w:rPr>
          <w:sz w:val="21"/>
          <w:szCs w:val="21"/>
        </w:rPr>
        <w:t>(10133):1897-907.</w:t>
      </w:r>
    </w:p>
    <w:p w14:paraId="0713A012" w14:textId="77777777" w:rsidR="003D253C" w:rsidRPr="00072A88" w:rsidRDefault="003D253C" w:rsidP="003D253C">
      <w:pPr>
        <w:pStyle w:val="EndNoteBibliography"/>
        <w:ind w:left="720" w:hanging="720"/>
        <w:rPr>
          <w:sz w:val="21"/>
          <w:szCs w:val="21"/>
        </w:rPr>
      </w:pPr>
      <w:r w:rsidRPr="00072A88">
        <w:rPr>
          <w:sz w:val="21"/>
          <w:szCs w:val="21"/>
        </w:rPr>
        <w:t xml:space="preserve">4. New Zealand Guideline Group. </w:t>
      </w:r>
      <w:r w:rsidRPr="00072A88">
        <w:rPr>
          <w:i/>
          <w:sz w:val="21"/>
          <w:szCs w:val="21"/>
        </w:rPr>
        <w:t>The Assessment and Management of Cardiovascular Risk</w:t>
      </w:r>
      <w:r w:rsidRPr="00072A88">
        <w:rPr>
          <w:sz w:val="21"/>
          <w:szCs w:val="21"/>
        </w:rPr>
        <w:t>. Wellington, New Zealand, 2003.</w:t>
      </w:r>
    </w:p>
    <w:p w14:paraId="16F08B6A" w14:textId="77777777" w:rsidR="003D253C" w:rsidRPr="00072A88" w:rsidRDefault="003D253C" w:rsidP="003D253C">
      <w:pPr>
        <w:pStyle w:val="EndNoteBibliography"/>
        <w:ind w:left="720" w:hanging="720"/>
        <w:rPr>
          <w:sz w:val="21"/>
          <w:szCs w:val="21"/>
        </w:rPr>
      </w:pPr>
      <w:r w:rsidRPr="00072A88">
        <w:rPr>
          <w:sz w:val="21"/>
          <w:szCs w:val="21"/>
        </w:rPr>
        <w:t>5. Ministry of Health. HISO 10001:2017 Ethnicity Data Protocols. Wellington: Ministry of Health, 2017.</w:t>
      </w:r>
    </w:p>
    <w:p w14:paraId="25210FD1" w14:textId="77777777" w:rsidR="003D253C" w:rsidRPr="00072A88" w:rsidRDefault="003D253C" w:rsidP="003D253C">
      <w:pPr>
        <w:pStyle w:val="EndNoteBibliography"/>
        <w:ind w:left="720" w:hanging="720"/>
        <w:rPr>
          <w:sz w:val="21"/>
          <w:szCs w:val="21"/>
        </w:rPr>
      </w:pPr>
      <w:r w:rsidRPr="00072A88">
        <w:rPr>
          <w:sz w:val="21"/>
          <w:szCs w:val="21"/>
        </w:rPr>
        <w:t>6. Salmond C, Crampton P, Atkinson J. NZDep2006 Index of Deprivation User's Manual. Wellington: ; 2007. Wellington: Department of Public Health, Wellington School of Medicine and Health Sciences, 2007.</w:t>
      </w:r>
    </w:p>
    <w:p w14:paraId="00688225" w14:textId="77777777" w:rsidR="003D253C" w:rsidRPr="00072A88" w:rsidRDefault="003D253C" w:rsidP="003D253C">
      <w:pPr>
        <w:pStyle w:val="EndNoteBibliography"/>
        <w:ind w:left="720" w:hanging="720"/>
        <w:rPr>
          <w:sz w:val="21"/>
          <w:szCs w:val="21"/>
        </w:rPr>
      </w:pPr>
      <w:r w:rsidRPr="00072A88">
        <w:rPr>
          <w:sz w:val="21"/>
          <w:szCs w:val="21"/>
        </w:rPr>
        <w:t>7. Salmond C, Crampton P, King P, et al. NZiDep: A New Zealand index of socioeconomic deprivation for individuals. Social Science &amp; Medicine 2006;</w:t>
      </w:r>
      <w:r w:rsidRPr="00072A88">
        <w:rPr>
          <w:b/>
          <w:sz w:val="21"/>
          <w:szCs w:val="21"/>
        </w:rPr>
        <w:t>62</w:t>
      </w:r>
      <w:r w:rsidRPr="00072A88">
        <w:rPr>
          <w:sz w:val="21"/>
          <w:szCs w:val="21"/>
        </w:rPr>
        <w:t>(6):1474-85.</w:t>
      </w:r>
    </w:p>
    <w:p w14:paraId="05F8F997" w14:textId="7A39FBD8" w:rsidR="003D253C" w:rsidRDefault="003D253C" w:rsidP="00791520">
      <w:pPr>
        <w:pStyle w:val="EndNoteBibliography"/>
        <w:rPr>
          <w:sz w:val="21"/>
          <w:szCs w:val="21"/>
        </w:rPr>
      </w:pPr>
    </w:p>
    <w:p w14:paraId="3548424C" w14:textId="69C90814" w:rsidR="00BD050D" w:rsidRPr="00072A88" w:rsidRDefault="00BD050D">
      <w:pPr>
        <w:rPr>
          <w:szCs w:val="21"/>
        </w:rPr>
      </w:pPr>
      <w:r w:rsidRPr="00072A88">
        <w:rPr>
          <w:szCs w:val="21"/>
        </w:rPr>
        <w:fldChar w:fldCharType="end"/>
      </w:r>
      <w:bookmarkEnd w:id="82"/>
    </w:p>
    <w:sectPr w:rsidR="00BD050D" w:rsidRPr="00072A88" w:rsidSect="002450DD">
      <w:headerReference w:type="default" r:id="rId38"/>
      <w:footerReference w:type="even" r:id="rId39"/>
      <w:footerReference w:type="default" r:id="rId40"/>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C7C95" w14:textId="77777777" w:rsidR="00BB761E" w:rsidRDefault="00BB761E">
      <w:r>
        <w:separator/>
      </w:r>
    </w:p>
    <w:p w14:paraId="379453E5" w14:textId="77777777" w:rsidR="00BB761E" w:rsidRDefault="00BB761E"/>
  </w:endnote>
  <w:endnote w:type="continuationSeparator" w:id="0">
    <w:p w14:paraId="0B3546C4" w14:textId="77777777" w:rsidR="00BB761E" w:rsidRDefault="00BB761E">
      <w:r>
        <w:continuationSeparator/>
      </w:r>
    </w:p>
    <w:p w14:paraId="15E8839B" w14:textId="77777777" w:rsidR="00BB761E" w:rsidRDefault="00BB761E"/>
  </w:endnote>
  <w:endnote w:type="continuationNotice" w:id="1">
    <w:p w14:paraId="64EE2D3A" w14:textId="77777777" w:rsidR="00BB761E" w:rsidRDefault="00BB7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5"/>
      <w:gridCol w:w="3285"/>
      <w:gridCol w:w="3285"/>
    </w:tblGrid>
    <w:tr w:rsidR="00B07F5D" w14:paraId="58FD3B2D" w14:textId="77777777" w:rsidTr="003A221A">
      <w:trPr>
        <w:cantSplit/>
      </w:trPr>
      <w:tc>
        <w:tcPr>
          <w:tcW w:w="3285" w:type="dxa"/>
          <w:vAlign w:val="bottom"/>
        </w:tcPr>
        <w:p w14:paraId="55F7199B" w14:textId="461DDBD9" w:rsidR="00B07F5D" w:rsidRDefault="00B07F5D" w:rsidP="009A5E92">
          <w:pPr>
            <w:pStyle w:val="Footer"/>
            <w:spacing w:after="60" w:line="240" w:lineRule="auto"/>
            <w:rPr>
              <w:b/>
            </w:rPr>
          </w:pPr>
          <w:r>
            <w:rPr>
              <w:noProof/>
              <w:lang w:eastAsia="en-NZ"/>
            </w:rPr>
            <w:drawing>
              <wp:inline distT="0" distB="0" distL="0" distR="0" wp14:anchorId="149E47A1" wp14:editId="172EB957">
                <wp:extent cx="1695786" cy="21613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rotWithShape="1">
                        <a:blip r:embed="rId1">
                          <a:extLst>
                            <a:ext uri="{28A0092B-C50C-407E-A947-70E740481C1C}">
                              <a14:useLocalDpi xmlns:a14="http://schemas.microsoft.com/office/drawing/2010/main" val="0"/>
                            </a:ext>
                          </a:extLst>
                        </a:blip>
                        <a:srcRect t="-23809" b="-1"/>
                        <a:stretch/>
                      </pic:blipFill>
                      <pic:spPr bwMode="auto">
                        <a:xfrm>
                          <a:off x="0" y="0"/>
                          <a:ext cx="1718896" cy="219076"/>
                        </a:xfrm>
                        <a:prstGeom prst="rect">
                          <a:avLst/>
                        </a:prstGeom>
                        <a:ln>
                          <a:noFill/>
                        </a:ln>
                        <a:extLst>
                          <a:ext uri="{53640926-AAD7-44D8-BBD7-CCE9431645EC}">
                            <a14:shadowObscured xmlns:a14="http://schemas.microsoft.com/office/drawing/2010/main"/>
                          </a:ext>
                        </a:extLst>
                      </pic:spPr>
                    </pic:pic>
                  </a:graphicData>
                </a:graphic>
              </wp:inline>
            </w:drawing>
          </w:r>
        </w:p>
      </w:tc>
      <w:tc>
        <w:tcPr>
          <w:tcW w:w="3285" w:type="dxa"/>
          <w:vAlign w:val="bottom"/>
        </w:tcPr>
        <w:p w14:paraId="039E2568" w14:textId="2451BF20" w:rsidR="00B07F5D" w:rsidRDefault="00B07F5D" w:rsidP="003A221A">
          <w:pPr>
            <w:pStyle w:val="Footer"/>
            <w:tabs>
              <w:tab w:val="right" w:pos="9639"/>
            </w:tabs>
            <w:spacing w:after="60" w:line="240" w:lineRule="auto"/>
            <w:rPr>
              <w:b/>
            </w:rPr>
          </w:pPr>
        </w:p>
      </w:tc>
      <w:tc>
        <w:tcPr>
          <w:tcW w:w="3285" w:type="dxa"/>
          <w:vAlign w:val="bottom"/>
        </w:tcPr>
        <w:p w14:paraId="650DAEF1" w14:textId="77777777" w:rsidR="00B07F5D" w:rsidRDefault="00B07F5D" w:rsidP="009A5E92">
          <w:pPr>
            <w:pStyle w:val="Footer"/>
            <w:spacing w:after="60" w:line="240" w:lineRule="auto"/>
            <w:jc w:val="right"/>
            <w:rPr>
              <w:b/>
            </w:rPr>
          </w:pPr>
          <w:r>
            <w:rPr>
              <w:noProof/>
              <w:lang w:eastAsia="en-NZ"/>
            </w:rPr>
            <w:drawing>
              <wp:inline distT="0" distB="0" distL="0" distR="0" wp14:anchorId="6F7C12A7" wp14:editId="05E47DD8">
                <wp:extent cx="1395076" cy="57357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2"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D40F35" w14:textId="77777777" w:rsidR="00B07F5D" w:rsidRPr="005A79E5" w:rsidRDefault="00B07F5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E3DC" w14:textId="77777777" w:rsidR="00B07F5D" w:rsidRDefault="00B07F5D"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C815D" w14:textId="77777777" w:rsidR="00B07F5D" w:rsidRDefault="00B07F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07F5D" w14:paraId="27CFBC7C" w14:textId="77777777" w:rsidTr="00D662F8">
      <w:trPr>
        <w:cantSplit/>
      </w:trPr>
      <w:tc>
        <w:tcPr>
          <w:tcW w:w="709" w:type="dxa"/>
          <w:vAlign w:val="center"/>
        </w:tcPr>
        <w:p w14:paraId="0103D8B4" w14:textId="77777777" w:rsidR="00B07F5D" w:rsidRPr="00931466" w:rsidRDefault="00B07F5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0B9D2CE3" w14:textId="77777777" w:rsidR="00B07F5D" w:rsidRDefault="00B07F5D" w:rsidP="00900B65">
          <w:pPr>
            <w:pStyle w:val="RectoFooter"/>
            <w:jc w:val="left"/>
          </w:pPr>
          <w:r>
            <w:t>[TITLE]</w:t>
          </w:r>
        </w:p>
      </w:tc>
    </w:tr>
  </w:tbl>
  <w:p w14:paraId="677EB2FB" w14:textId="77777777" w:rsidR="00B07F5D" w:rsidRPr="00571223" w:rsidRDefault="00B07F5D"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07F5D" w14:paraId="2DB6C18B" w14:textId="77777777" w:rsidTr="00D662F8">
      <w:trPr>
        <w:cantSplit/>
      </w:trPr>
      <w:tc>
        <w:tcPr>
          <w:tcW w:w="8080" w:type="dxa"/>
          <w:vAlign w:val="center"/>
        </w:tcPr>
        <w:sdt>
          <w:sdtPr>
            <w:alias w:val="Title"/>
            <w:tag w:val=""/>
            <w:id w:val="-1141966106"/>
            <w:placeholder>
              <w:docPart w:val="2DDB467AD5574C7CB5C6D1E21CBFE80B"/>
            </w:placeholder>
            <w:dataBinding w:prefixMappings="xmlns:ns0='http://purl.org/dc/elements/1.1/' xmlns:ns1='http://schemas.openxmlformats.org/package/2006/metadata/core-properties' " w:xpath="/ns1:coreProperties[1]/ns0:title[1]" w:storeItemID="{6C3C8BC8-F283-45AE-878A-BAB7291924A1}"/>
            <w:text/>
          </w:sdtPr>
          <w:sdtContent>
            <w:p w14:paraId="14A73CAE" w14:textId="5440816B" w:rsidR="00B07F5D" w:rsidRDefault="00B07F5D" w:rsidP="00650A90">
              <w:pPr>
                <w:pStyle w:val="RectoFooter"/>
              </w:pPr>
              <w:r>
                <w:t>HISO 10071:2019 cvd risk assessment data standard</w:t>
              </w:r>
            </w:p>
          </w:sdtContent>
        </w:sdt>
      </w:tc>
      <w:tc>
        <w:tcPr>
          <w:tcW w:w="709" w:type="dxa"/>
          <w:vAlign w:val="center"/>
        </w:tcPr>
        <w:p w14:paraId="6ECF9C94" w14:textId="77777777" w:rsidR="00B07F5D" w:rsidRPr="00931466" w:rsidRDefault="00B07F5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572BBB00" w14:textId="77777777" w:rsidR="00B07F5D" w:rsidRPr="00581EB8" w:rsidRDefault="00B07F5D"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B07F5D" w14:paraId="0FF08596" w14:textId="77777777" w:rsidTr="00D662F8">
      <w:trPr>
        <w:cantSplit/>
      </w:trPr>
      <w:tc>
        <w:tcPr>
          <w:tcW w:w="675" w:type="dxa"/>
          <w:vAlign w:val="center"/>
        </w:tcPr>
        <w:p w14:paraId="205221FA" w14:textId="77777777" w:rsidR="00B07F5D" w:rsidRPr="00931466" w:rsidRDefault="00B07F5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30</w:t>
          </w:r>
          <w:r w:rsidRPr="00931466">
            <w:rPr>
              <w:rStyle w:val="PageNumber"/>
            </w:rPr>
            <w:fldChar w:fldCharType="end"/>
          </w:r>
        </w:p>
      </w:tc>
      <w:tc>
        <w:tcPr>
          <w:tcW w:w="9072" w:type="dxa"/>
          <w:vAlign w:val="center"/>
        </w:tcPr>
        <w:sdt>
          <w:sdtPr>
            <w:alias w:val="Title"/>
            <w:tag w:val=""/>
            <w:id w:val="1780137835"/>
            <w:placeholder>
              <w:docPart w:val="D99B0EF165D94354BFC36BC301F78B91"/>
            </w:placeholder>
            <w:dataBinding w:prefixMappings="xmlns:ns0='http://purl.org/dc/elements/1.1/' xmlns:ns1='http://schemas.openxmlformats.org/package/2006/metadata/core-properties' " w:xpath="/ns1:coreProperties[1]/ns0:title[1]" w:storeItemID="{6C3C8BC8-F283-45AE-878A-BAB7291924A1}"/>
            <w:text/>
          </w:sdtPr>
          <w:sdtContent>
            <w:p w14:paraId="09EE243A" w14:textId="404E8A91" w:rsidR="00B07F5D" w:rsidRDefault="00B07F5D" w:rsidP="004653FC">
              <w:pPr>
                <w:pStyle w:val="RectoFooter"/>
                <w:jc w:val="left"/>
              </w:pPr>
              <w:r>
                <w:t>HISO 10071:2019 cvd risk assessment data standard</w:t>
              </w:r>
            </w:p>
          </w:sdtContent>
        </w:sdt>
      </w:tc>
    </w:tr>
  </w:tbl>
  <w:p w14:paraId="19418E08" w14:textId="77777777" w:rsidR="00B07F5D" w:rsidRPr="00571223" w:rsidRDefault="00B07F5D"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07F5D" w14:paraId="682BEF56" w14:textId="77777777" w:rsidTr="00D662F8">
      <w:trPr>
        <w:cantSplit/>
      </w:trPr>
      <w:tc>
        <w:tcPr>
          <w:tcW w:w="8080" w:type="dxa"/>
          <w:vAlign w:val="center"/>
        </w:tcPr>
        <w:sdt>
          <w:sdtPr>
            <w:alias w:val="Title"/>
            <w:tag w:val=""/>
            <w:id w:val="913890336"/>
            <w:placeholder>
              <w:docPart w:val="789F328700DD40DFAEBABF7B9D3C0DA5"/>
            </w:placeholder>
            <w:dataBinding w:prefixMappings="xmlns:ns0='http://purl.org/dc/elements/1.1/' xmlns:ns1='http://schemas.openxmlformats.org/package/2006/metadata/core-properties' " w:xpath="/ns1:coreProperties[1]/ns0:title[1]" w:storeItemID="{6C3C8BC8-F283-45AE-878A-BAB7291924A1}"/>
            <w:text/>
          </w:sdtPr>
          <w:sdtContent>
            <w:p w14:paraId="2D4F799E" w14:textId="0A795D81" w:rsidR="00B07F5D" w:rsidRDefault="00B07F5D" w:rsidP="004653FC">
              <w:pPr>
                <w:pStyle w:val="RectoFooter"/>
              </w:pPr>
              <w:r>
                <w:t>HISO 10071:2019 cvd risk assessment data standard</w:t>
              </w:r>
            </w:p>
          </w:sdtContent>
        </w:sdt>
      </w:tc>
      <w:tc>
        <w:tcPr>
          <w:tcW w:w="709" w:type="dxa"/>
          <w:vAlign w:val="center"/>
        </w:tcPr>
        <w:p w14:paraId="5CF96F33" w14:textId="77777777" w:rsidR="00B07F5D" w:rsidRPr="00931466" w:rsidRDefault="00B07F5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9</w:t>
          </w:r>
          <w:r w:rsidRPr="00931466">
            <w:rPr>
              <w:rStyle w:val="PageNumber"/>
            </w:rPr>
            <w:fldChar w:fldCharType="end"/>
          </w:r>
        </w:p>
      </w:tc>
    </w:tr>
  </w:tbl>
  <w:p w14:paraId="7889A116" w14:textId="77777777" w:rsidR="00B07F5D" w:rsidRPr="00581EB8" w:rsidRDefault="00B07F5D"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DD830" w14:textId="77777777" w:rsidR="00BB761E" w:rsidRPr="00A26E6B" w:rsidRDefault="00BB761E" w:rsidP="00A26E6B"/>
  </w:footnote>
  <w:footnote w:type="continuationSeparator" w:id="0">
    <w:p w14:paraId="1FA0FCF3" w14:textId="77777777" w:rsidR="00BB761E" w:rsidRDefault="00BB761E">
      <w:r>
        <w:continuationSeparator/>
      </w:r>
    </w:p>
    <w:p w14:paraId="7E14AD7F" w14:textId="77777777" w:rsidR="00BB761E" w:rsidRDefault="00BB761E"/>
  </w:footnote>
  <w:footnote w:type="continuationNotice" w:id="1">
    <w:p w14:paraId="0B2100F2" w14:textId="77777777" w:rsidR="00BB761E" w:rsidRDefault="00BB761E"/>
  </w:footnote>
  <w:footnote w:id="2">
    <w:p w14:paraId="14C1A0CE" w14:textId="4616C919" w:rsidR="00B07F5D" w:rsidRDefault="00B07F5D" w:rsidP="004470FF">
      <w:pPr>
        <w:pStyle w:val="FootnoteText"/>
      </w:pPr>
      <w:r w:rsidRPr="004470FF">
        <w:rPr>
          <w:rStyle w:val="FootnoteReference"/>
        </w:rPr>
        <w:footnoteRef/>
      </w:r>
      <w:r>
        <w:tab/>
        <w:t xml:space="preserve">See </w:t>
      </w:r>
      <w:r w:rsidRPr="00B734F9">
        <w:t>https://standards.iso.org/ittf/PubliclyAvailableStandards/index.html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3EDE2" w14:textId="77777777" w:rsidR="00B07F5D" w:rsidRDefault="00B07F5D" w:rsidP="00C92865">
    <w:pPr>
      <w:pStyle w:val="Header"/>
      <w:ind w:right="-284"/>
      <w:jc w:val="right"/>
    </w:pPr>
    <w:r>
      <w:rPr>
        <w:noProof/>
        <w:lang w:eastAsia="en-NZ"/>
      </w:rPr>
      <w:drawing>
        <wp:inline distT="0" distB="0" distL="0" distR="0" wp14:anchorId="536A71E8" wp14:editId="35A0C57F">
          <wp:extent cx="3241964" cy="741471"/>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693" cy="7411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0C88" w14:textId="77777777" w:rsidR="00B07F5D" w:rsidRDefault="00B07F5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E3FDE" w14:textId="77777777" w:rsidR="00B07F5D" w:rsidRDefault="00B07F5D"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8377" w14:textId="77777777" w:rsidR="00B07F5D" w:rsidRDefault="00B07F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F35"/>
    <w:multiLevelType w:val="hybridMultilevel"/>
    <w:tmpl w:val="26481DC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4544109"/>
    <w:multiLevelType w:val="hybridMultilevel"/>
    <w:tmpl w:val="4DA4F8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DE3281"/>
    <w:multiLevelType w:val="hybridMultilevel"/>
    <w:tmpl w:val="5992C0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7134F7"/>
    <w:multiLevelType w:val="hybridMultilevel"/>
    <w:tmpl w:val="36E2E9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AC12CD1"/>
    <w:multiLevelType w:val="multilevel"/>
    <w:tmpl w:val="F946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C002AB"/>
    <w:multiLevelType w:val="hybridMultilevel"/>
    <w:tmpl w:val="15AE1C7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E2F49B4"/>
    <w:multiLevelType w:val="hybridMultilevel"/>
    <w:tmpl w:val="907414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E8663DA"/>
    <w:multiLevelType w:val="hybridMultilevel"/>
    <w:tmpl w:val="BA62C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E8B2E76"/>
    <w:multiLevelType w:val="hybridMultilevel"/>
    <w:tmpl w:val="A4C0C5EC"/>
    <w:lvl w:ilvl="0" w:tplc="67303D9A">
      <w:start w:val="1"/>
      <w:numFmt w:val="decimal"/>
      <w:lvlText w:val="D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702374"/>
    <w:multiLevelType w:val="hybridMultilevel"/>
    <w:tmpl w:val="D8E2F9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BBA77E7"/>
    <w:multiLevelType w:val="hybridMultilevel"/>
    <w:tmpl w:val="4A3EA0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CAE749D"/>
    <w:multiLevelType w:val="hybridMultilevel"/>
    <w:tmpl w:val="D3F63C66"/>
    <w:lvl w:ilvl="0" w:tplc="69F2D9DC">
      <w:start w:val="1"/>
      <w:numFmt w:val="lowerLetter"/>
      <w:lvlText w:val="%1."/>
      <w:lvlJc w:val="left"/>
      <w:pPr>
        <w:ind w:left="1429"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4090019">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3" w15:restartNumberingAfterBreak="0">
    <w:nsid w:val="1D26702E"/>
    <w:multiLevelType w:val="hybridMultilevel"/>
    <w:tmpl w:val="EC7A84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F02355F"/>
    <w:multiLevelType w:val="hybridMultilevel"/>
    <w:tmpl w:val="D79AE2E2"/>
    <w:lvl w:ilvl="0" w:tplc="78A48982">
      <w:numFmt w:val="bullet"/>
      <w:lvlText w:val=""/>
      <w:lvlJc w:val="left"/>
      <w:pPr>
        <w:ind w:left="720" w:hanging="360"/>
      </w:pPr>
      <w:rPr>
        <w:rFonts w:ascii="Wingdings" w:eastAsia="Times New Roman"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09E77EA"/>
    <w:multiLevelType w:val="hybridMultilevel"/>
    <w:tmpl w:val="2430ABF4"/>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6" w15:restartNumberingAfterBreak="0">
    <w:nsid w:val="20A5064F"/>
    <w:multiLevelType w:val="hybridMultilevel"/>
    <w:tmpl w:val="6E52D3A8"/>
    <w:lvl w:ilvl="0" w:tplc="154C5146">
      <w:start w:val="1"/>
      <w:numFmt w:val="decimal"/>
      <w:lvlText w:val="3.4.%1"/>
      <w:lvlJc w:val="left"/>
      <w:pPr>
        <w:ind w:left="1080" w:hanging="360"/>
      </w:pPr>
      <w:rPr>
        <w:rFonts w:cs="Times New Roman" w:hint="default"/>
      </w:rPr>
    </w:lvl>
    <w:lvl w:ilvl="1" w:tplc="14090019" w:tentative="1">
      <w:start w:val="1"/>
      <w:numFmt w:val="lowerLetter"/>
      <w:lvlText w:val="%2."/>
      <w:lvlJc w:val="left"/>
      <w:pPr>
        <w:ind w:left="1800" w:hanging="360"/>
      </w:pPr>
      <w:rPr>
        <w:rFonts w:cs="Times New Roman"/>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17" w15:restartNumberingAfterBreak="0">
    <w:nsid w:val="20D005C2"/>
    <w:multiLevelType w:val="hybridMultilevel"/>
    <w:tmpl w:val="1B6436B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22AD7211"/>
    <w:multiLevelType w:val="hybridMultilevel"/>
    <w:tmpl w:val="DDE2C4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5600285"/>
    <w:multiLevelType w:val="hybridMultilevel"/>
    <w:tmpl w:val="AA424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531A40"/>
    <w:multiLevelType w:val="hybridMultilevel"/>
    <w:tmpl w:val="98F46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5C24A3"/>
    <w:multiLevelType w:val="hybridMultilevel"/>
    <w:tmpl w:val="835848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0F30957"/>
    <w:multiLevelType w:val="hybridMultilevel"/>
    <w:tmpl w:val="E174AD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4305AFC"/>
    <w:multiLevelType w:val="hybridMultilevel"/>
    <w:tmpl w:val="81B213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43B0213"/>
    <w:multiLevelType w:val="hybridMultilevel"/>
    <w:tmpl w:val="704CA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260FE0"/>
    <w:multiLevelType w:val="hybridMultilevel"/>
    <w:tmpl w:val="BF969756"/>
    <w:lvl w:ilvl="0" w:tplc="693A4796">
      <w:start w:val="1"/>
      <w:numFmt w:val="bullet"/>
      <w:lvlText w:val="-"/>
      <w:lvlJc w:val="left"/>
      <w:pPr>
        <w:ind w:left="1324" w:hanging="360"/>
      </w:pPr>
      <w:rPr>
        <w:rFonts w:ascii="Courier New" w:hAnsi="Courier New" w:hint="default"/>
        <w:color w:val="auto"/>
      </w:rPr>
    </w:lvl>
    <w:lvl w:ilvl="1" w:tplc="14090003">
      <w:start w:val="1"/>
      <w:numFmt w:val="bullet"/>
      <w:lvlText w:val="o"/>
      <w:lvlJc w:val="left"/>
      <w:pPr>
        <w:ind w:left="2044" w:hanging="360"/>
      </w:pPr>
      <w:rPr>
        <w:rFonts w:ascii="Courier New" w:hAnsi="Courier New" w:cs="Courier New" w:hint="default"/>
      </w:rPr>
    </w:lvl>
    <w:lvl w:ilvl="2" w:tplc="D5E44CAC">
      <w:start w:val="1"/>
      <w:numFmt w:val="bullet"/>
      <w:lvlText w:val="o"/>
      <w:lvlJc w:val="left"/>
      <w:pPr>
        <w:ind w:left="2764" w:hanging="360"/>
      </w:pPr>
      <w:rPr>
        <w:rFonts w:ascii="Courier New" w:hAnsi="Courier New" w:cs="Courier New" w:hint="default"/>
      </w:rPr>
    </w:lvl>
    <w:lvl w:ilvl="3" w:tplc="14090001">
      <w:start w:val="1"/>
      <w:numFmt w:val="bullet"/>
      <w:lvlText w:val=""/>
      <w:lvlJc w:val="left"/>
      <w:pPr>
        <w:ind w:left="3484" w:hanging="360"/>
      </w:pPr>
      <w:rPr>
        <w:rFonts w:ascii="Symbol" w:hAnsi="Symbol" w:hint="default"/>
      </w:rPr>
    </w:lvl>
    <w:lvl w:ilvl="4" w:tplc="14090003" w:tentative="1">
      <w:start w:val="1"/>
      <w:numFmt w:val="bullet"/>
      <w:lvlText w:val="o"/>
      <w:lvlJc w:val="left"/>
      <w:pPr>
        <w:ind w:left="4204" w:hanging="360"/>
      </w:pPr>
      <w:rPr>
        <w:rFonts w:ascii="Courier New" w:hAnsi="Courier New" w:cs="Courier New" w:hint="default"/>
      </w:rPr>
    </w:lvl>
    <w:lvl w:ilvl="5" w:tplc="14090005" w:tentative="1">
      <w:start w:val="1"/>
      <w:numFmt w:val="bullet"/>
      <w:lvlText w:val=""/>
      <w:lvlJc w:val="left"/>
      <w:pPr>
        <w:ind w:left="4924" w:hanging="360"/>
      </w:pPr>
      <w:rPr>
        <w:rFonts w:ascii="Wingdings" w:hAnsi="Wingdings" w:hint="default"/>
      </w:rPr>
    </w:lvl>
    <w:lvl w:ilvl="6" w:tplc="14090001" w:tentative="1">
      <w:start w:val="1"/>
      <w:numFmt w:val="bullet"/>
      <w:lvlText w:val=""/>
      <w:lvlJc w:val="left"/>
      <w:pPr>
        <w:ind w:left="5644" w:hanging="360"/>
      </w:pPr>
      <w:rPr>
        <w:rFonts w:ascii="Symbol" w:hAnsi="Symbol" w:hint="default"/>
      </w:rPr>
    </w:lvl>
    <w:lvl w:ilvl="7" w:tplc="14090003" w:tentative="1">
      <w:start w:val="1"/>
      <w:numFmt w:val="bullet"/>
      <w:lvlText w:val="o"/>
      <w:lvlJc w:val="left"/>
      <w:pPr>
        <w:ind w:left="6364" w:hanging="360"/>
      </w:pPr>
      <w:rPr>
        <w:rFonts w:ascii="Courier New" w:hAnsi="Courier New" w:cs="Courier New" w:hint="default"/>
      </w:rPr>
    </w:lvl>
    <w:lvl w:ilvl="8" w:tplc="14090005" w:tentative="1">
      <w:start w:val="1"/>
      <w:numFmt w:val="bullet"/>
      <w:lvlText w:val=""/>
      <w:lvlJc w:val="left"/>
      <w:pPr>
        <w:ind w:left="7084" w:hanging="360"/>
      </w:pPr>
      <w:rPr>
        <w:rFonts w:ascii="Wingdings" w:hAnsi="Wingdings" w:hint="default"/>
      </w:rPr>
    </w:lvl>
  </w:abstractNum>
  <w:abstractNum w:abstractNumId="28" w15:restartNumberingAfterBreak="0">
    <w:nsid w:val="41FA5C0E"/>
    <w:multiLevelType w:val="hybridMultilevel"/>
    <w:tmpl w:val="9CA62916"/>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9" w15:restartNumberingAfterBreak="0">
    <w:nsid w:val="43FE2575"/>
    <w:multiLevelType w:val="hybridMultilevel"/>
    <w:tmpl w:val="46766D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7985667"/>
    <w:multiLevelType w:val="hybridMultilevel"/>
    <w:tmpl w:val="D81E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C2C15"/>
    <w:multiLevelType w:val="hybridMultilevel"/>
    <w:tmpl w:val="9BE88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FC4F56"/>
    <w:multiLevelType w:val="hybridMultilevel"/>
    <w:tmpl w:val="BA3C0F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1FB5440"/>
    <w:multiLevelType w:val="hybridMultilevel"/>
    <w:tmpl w:val="E2AA50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DB110BE"/>
    <w:multiLevelType w:val="hybridMultilevel"/>
    <w:tmpl w:val="F6CA54BC"/>
    <w:lvl w:ilvl="0" w:tplc="3B7A25E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EC92073"/>
    <w:multiLevelType w:val="hybridMultilevel"/>
    <w:tmpl w:val="1826C86A"/>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27F6588"/>
    <w:multiLevelType w:val="multilevel"/>
    <w:tmpl w:val="3552D7AE"/>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decimal"/>
      <w:pStyle w:val="Number"/>
      <w:lvlText w:val="%5."/>
      <w:lvlJc w:val="left"/>
      <w:pPr>
        <w:ind w:left="567" w:hanging="567"/>
      </w:pPr>
      <w:rPr>
        <w:rFonts w:hint="default"/>
      </w:rPr>
    </w:lvl>
    <w:lvl w:ilvl="5">
      <w:start w:val="1"/>
      <w:numFmt w:val="lowerLetter"/>
      <w:pStyle w:val="Letter"/>
      <w:lvlText w:val="%6."/>
      <w:lvlJc w:val="left"/>
      <w:pPr>
        <w:ind w:left="1134" w:hanging="567"/>
      </w:pPr>
      <w:rPr>
        <w:rFonts w:hint="default"/>
      </w:rPr>
    </w:lvl>
    <w:lvl w:ilvl="6">
      <w:start w:val="1"/>
      <w:numFmt w:val="lowerRoman"/>
      <w:pStyle w:val="Roman"/>
      <w:lvlText w:val="%7."/>
      <w:lvlJc w:val="left"/>
      <w:pPr>
        <w:ind w:left="1701"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39046A6"/>
    <w:multiLevelType w:val="hybridMultilevel"/>
    <w:tmpl w:val="32483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70F6F95"/>
    <w:multiLevelType w:val="hybridMultilevel"/>
    <w:tmpl w:val="DE284980"/>
    <w:lvl w:ilvl="0" w:tplc="047EAD60">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7A85F2E"/>
    <w:multiLevelType w:val="hybridMultilevel"/>
    <w:tmpl w:val="6F2A02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41" w15:restartNumberingAfterBreak="0">
    <w:nsid w:val="69E00F84"/>
    <w:multiLevelType w:val="hybridMultilevel"/>
    <w:tmpl w:val="E5F6B6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1F0487D"/>
    <w:multiLevelType w:val="hybridMultilevel"/>
    <w:tmpl w:val="442CBB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8DD77E4"/>
    <w:multiLevelType w:val="hybridMultilevel"/>
    <w:tmpl w:val="5CEEA8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95B6CAD"/>
    <w:multiLevelType w:val="hybridMultilevel"/>
    <w:tmpl w:val="42D69E8E"/>
    <w:lvl w:ilvl="0" w:tplc="15BAD194">
      <w:start w:val="1"/>
      <w:numFmt w:val="bullet"/>
      <w:lvlText w:val=""/>
      <w:lvlJc w:val="left"/>
      <w:pPr>
        <w:ind w:left="1004" w:hanging="284"/>
      </w:pPr>
      <w:rPr>
        <w:rFonts w:ascii="Symbol" w:hAnsi="Symbol" w:hint="default"/>
      </w:rPr>
    </w:lvl>
    <w:lvl w:ilvl="1" w:tplc="14090003">
      <w:start w:val="1"/>
      <w:numFmt w:val="bullet"/>
      <w:lvlText w:val="o"/>
      <w:lvlJc w:val="left"/>
      <w:pPr>
        <w:ind w:left="1063" w:hanging="360"/>
      </w:pPr>
      <w:rPr>
        <w:rFonts w:ascii="Courier New" w:hAnsi="Courier New" w:cs="Courier New" w:hint="default"/>
      </w:rPr>
    </w:lvl>
    <w:lvl w:ilvl="2" w:tplc="14090005" w:tentative="1">
      <w:start w:val="1"/>
      <w:numFmt w:val="bullet"/>
      <w:lvlText w:val=""/>
      <w:lvlJc w:val="left"/>
      <w:pPr>
        <w:ind w:left="1783" w:hanging="360"/>
      </w:pPr>
      <w:rPr>
        <w:rFonts w:ascii="Wingdings" w:hAnsi="Wingdings" w:hint="default"/>
      </w:rPr>
    </w:lvl>
    <w:lvl w:ilvl="3" w:tplc="14090001" w:tentative="1">
      <w:start w:val="1"/>
      <w:numFmt w:val="bullet"/>
      <w:lvlText w:val=""/>
      <w:lvlJc w:val="left"/>
      <w:pPr>
        <w:ind w:left="2503" w:hanging="360"/>
      </w:pPr>
      <w:rPr>
        <w:rFonts w:ascii="Symbol" w:hAnsi="Symbol" w:hint="default"/>
      </w:rPr>
    </w:lvl>
    <w:lvl w:ilvl="4" w:tplc="14090003" w:tentative="1">
      <w:start w:val="1"/>
      <w:numFmt w:val="bullet"/>
      <w:lvlText w:val="o"/>
      <w:lvlJc w:val="left"/>
      <w:pPr>
        <w:ind w:left="3223" w:hanging="360"/>
      </w:pPr>
      <w:rPr>
        <w:rFonts w:ascii="Courier New" w:hAnsi="Courier New" w:cs="Courier New" w:hint="default"/>
      </w:rPr>
    </w:lvl>
    <w:lvl w:ilvl="5" w:tplc="14090005" w:tentative="1">
      <w:start w:val="1"/>
      <w:numFmt w:val="bullet"/>
      <w:lvlText w:val=""/>
      <w:lvlJc w:val="left"/>
      <w:pPr>
        <w:ind w:left="3943" w:hanging="360"/>
      </w:pPr>
      <w:rPr>
        <w:rFonts w:ascii="Wingdings" w:hAnsi="Wingdings" w:hint="default"/>
      </w:rPr>
    </w:lvl>
    <w:lvl w:ilvl="6" w:tplc="14090001" w:tentative="1">
      <w:start w:val="1"/>
      <w:numFmt w:val="bullet"/>
      <w:lvlText w:val=""/>
      <w:lvlJc w:val="left"/>
      <w:pPr>
        <w:ind w:left="4663" w:hanging="360"/>
      </w:pPr>
      <w:rPr>
        <w:rFonts w:ascii="Symbol" w:hAnsi="Symbol" w:hint="default"/>
      </w:rPr>
    </w:lvl>
    <w:lvl w:ilvl="7" w:tplc="14090003" w:tentative="1">
      <w:start w:val="1"/>
      <w:numFmt w:val="bullet"/>
      <w:lvlText w:val="o"/>
      <w:lvlJc w:val="left"/>
      <w:pPr>
        <w:ind w:left="5383" w:hanging="360"/>
      </w:pPr>
      <w:rPr>
        <w:rFonts w:ascii="Courier New" w:hAnsi="Courier New" w:cs="Courier New" w:hint="default"/>
      </w:rPr>
    </w:lvl>
    <w:lvl w:ilvl="8" w:tplc="14090005" w:tentative="1">
      <w:start w:val="1"/>
      <w:numFmt w:val="bullet"/>
      <w:lvlText w:val=""/>
      <w:lvlJc w:val="left"/>
      <w:pPr>
        <w:ind w:left="6103" w:hanging="360"/>
      </w:pPr>
      <w:rPr>
        <w:rFonts w:ascii="Wingdings" w:hAnsi="Wingdings" w:hint="default"/>
      </w:rPr>
    </w:lvl>
  </w:abstractNum>
  <w:abstractNum w:abstractNumId="45" w15:restartNumberingAfterBreak="0">
    <w:nsid w:val="79F502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264508"/>
    <w:multiLevelType w:val="hybridMultilevel"/>
    <w:tmpl w:val="209EBC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8"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2845"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62116529">
    <w:abstractNumId w:val="47"/>
  </w:num>
  <w:num w:numId="2" w16cid:durableId="1381589709">
    <w:abstractNumId w:val="25"/>
  </w:num>
  <w:num w:numId="3" w16cid:durableId="785000266">
    <w:abstractNumId w:val="26"/>
  </w:num>
  <w:num w:numId="4" w16cid:durableId="136454810">
    <w:abstractNumId w:val="1"/>
  </w:num>
  <w:num w:numId="5" w16cid:durableId="255674100">
    <w:abstractNumId w:val="36"/>
  </w:num>
  <w:num w:numId="6" w16cid:durableId="1298730197">
    <w:abstractNumId w:val="1"/>
  </w:num>
  <w:num w:numId="7" w16cid:durableId="830214637">
    <w:abstractNumId w:val="40"/>
  </w:num>
  <w:num w:numId="8" w16cid:durableId="1365791837">
    <w:abstractNumId w:val="9"/>
  </w:num>
  <w:num w:numId="9" w16cid:durableId="111289796">
    <w:abstractNumId w:val="44"/>
  </w:num>
  <w:num w:numId="10" w16cid:durableId="2074815743">
    <w:abstractNumId w:val="27"/>
  </w:num>
  <w:num w:numId="11" w16cid:durableId="217790063">
    <w:abstractNumId w:val="12"/>
  </w:num>
  <w:num w:numId="12" w16cid:durableId="1329943012">
    <w:abstractNumId w:val="45"/>
  </w:num>
  <w:num w:numId="13" w16cid:durableId="1789427419">
    <w:abstractNumId w:val="48"/>
  </w:num>
  <w:num w:numId="14" w16cid:durableId="271321869">
    <w:abstractNumId w:val="16"/>
  </w:num>
  <w:num w:numId="15" w16cid:durableId="270286940">
    <w:abstractNumId w:val="10"/>
  </w:num>
  <w:num w:numId="16" w16cid:durableId="30082400">
    <w:abstractNumId w:val="33"/>
  </w:num>
  <w:num w:numId="17" w16cid:durableId="951084406">
    <w:abstractNumId w:val="21"/>
  </w:num>
  <w:num w:numId="18" w16cid:durableId="117140013">
    <w:abstractNumId w:val="13"/>
  </w:num>
  <w:num w:numId="19" w16cid:durableId="719597795">
    <w:abstractNumId w:val="2"/>
  </w:num>
  <w:num w:numId="20" w16cid:durableId="1549760292">
    <w:abstractNumId w:val="4"/>
  </w:num>
  <w:num w:numId="21" w16cid:durableId="1687250076">
    <w:abstractNumId w:val="19"/>
  </w:num>
  <w:num w:numId="22" w16cid:durableId="391467832">
    <w:abstractNumId w:val="20"/>
  </w:num>
  <w:num w:numId="23" w16cid:durableId="1291284067">
    <w:abstractNumId w:val="31"/>
  </w:num>
  <w:num w:numId="24" w16cid:durableId="1173179278">
    <w:abstractNumId w:val="11"/>
  </w:num>
  <w:num w:numId="25" w16cid:durableId="1354377703">
    <w:abstractNumId w:val="5"/>
  </w:num>
  <w:num w:numId="26" w16cid:durableId="48186469">
    <w:abstractNumId w:val="7"/>
  </w:num>
  <w:num w:numId="27" w16cid:durableId="1717662059">
    <w:abstractNumId w:val="42"/>
  </w:num>
  <w:num w:numId="28" w16cid:durableId="1840073759">
    <w:abstractNumId w:val="23"/>
  </w:num>
  <w:num w:numId="29" w16cid:durableId="1240286127">
    <w:abstractNumId w:val="39"/>
  </w:num>
  <w:num w:numId="30" w16cid:durableId="217520838">
    <w:abstractNumId w:val="32"/>
  </w:num>
  <w:num w:numId="31" w16cid:durableId="607199476">
    <w:abstractNumId w:val="22"/>
  </w:num>
  <w:num w:numId="32" w16cid:durableId="128089002">
    <w:abstractNumId w:val="6"/>
  </w:num>
  <w:num w:numId="33" w16cid:durableId="1052116207">
    <w:abstractNumId w:val="18"/>
  </w:num>
  <w:num w:numId="34" w16cid:durableId="1254701045">
    <w:abstractNumId w:val="47"/>
  </w:num>
  <w:num w:numId="35" w16cid:durableId="146367367">
    <w:abstractNumId w:val="0"/>
  </w:num>
  <w:num w:numId="36" w16cid:durableId="540021320">
    <w:abstractNumId w:val="38"/>
  </w:num>
  <w:num w:numId="37" w16cid:durableId="1033191531">
    <w:abstractNumId w:val="35"/>
  </w:num>
  <w:num w:numId="38" w16cid:durableId="1025450146">
    <w:abstractNumId w:val="34"/>
  </w:num>
  <w:num w:numId="39" w16cid:durableId="904071819">
    <w:abstractNumId w:val="17"/>
  </w:num>
  <w:num w:numId="40" w16cid:durableId="1816877519">
    <w:abstractNumId w:val="14"/>
  </w:num>
  <w:num w:numId="41" w16cid:durableId="2017997839">
    <w:abstractNumId w:val="46"/>
  </w:num>
  <w:num w:numId="42" w16cid:durableId="208608683">
    <w:abstractNumId w:val="37"/>
  </w:num>
  <w:num w:numId="43" w16cid:durableId="2089618380">
    <w:abstractNumId w:val="24"/>
  </w:num>
  <w:num w:numId="44" w16cid:durableId="1827163256">
    <w:abstractNumId w:val="41"/>
  </w:num>
  <w:num w:numId="45" w16cid:durableId="1282030302">
    <w:abstractNumId w:val="43"/>
  </w:num>
  <w:num w:numId="46" w16cid:durableId="439489369">
    <w:abstractNumId w:val="28"/>
  </w:num>
  <w:num w:numId="47" w16cid:durableId="2080520187">
    <w:abstractNumId w:val="15"/>
  </w:num>
  <w:num w:numId="48" w16cid:durableId="1407845639">
    <w:abstractNumId w:val="29"/>
  </w:num>
  <w:num w:numId="49" w16cid:durableId="1317340524">
    <w:abstractNumId w:val="8"/>
  </w:num>
  <w:num w:numId="50" w16cid:durableId="1309818856">
    <w:abstractNumId w:val="3"/>
  </w:num>
  <w:num w:numId="51" w16cid:durableId="1974561250">
    <w:abstractNumId w:val="30"/>
  </w:num>
  <w:num w:numId="52" w16cid:durableId="10180667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Segoe UI&lt;/FontName&gt;&lt;FontSize&gt;36&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xrs99x7fevw4exet25apd3d0as95055efp&quot;&gt;PREDICT master reference library&lt;record-ids&gt;&lt;item&gt;4486&lt;/item&gt;&lt;/record-ids&gt;&lt;/item&gt;&lt;/Libraries&gt;"/>
  </w:docVars>
  <w:rsids>
    <w:rsidRoot w:val="006C78EB"/>
    <w:rsid w:val="000025B8"/>
    <w:rsid w:val="00005BB5"/>
    <w:rsid w:val="00006B82"/>
    <w:rsid w:val="00017F09"/>
    <w:rsid w:val="00025A6F"/>
    <w:rsid w:val="0002618D"/>
    <w:rsid w:val="00026B8A"/>
    <w:rsid w:val="000276D9"/>
    <w:rsid w:val="00030B26"/>
    <w:rsid w:val="00030E84"/>
    <w:rsid w:val="0003292D"/>
    <w:rsid w:val="00032C0A"/>
    <w:rsid w:val="00033929"/>
    <w:rsid w:val="00035257"/>
    <w:rsid w:val="00035D68"/>
    <w:rsid w:val="00054B44"/>
    <w:rsid w:val="0006228D"/>
    <w:rsid w:val="00063351"/>
    <w:rsid w:val="00065B5D"/>
    <w:rsid w:val="000668B5"/>
    <w:rsid w:val="0007217C"/>
    <w:rsid w:val="00072A88"/>
    <w:rsid w:val="00072BD6"/>
    <w:rsid w:val="00075B78"/>
    <w:rsid w:val="000763E9"/>
    <w:rsid w:val="00082CD6"/>
    <w:rsid w:val="0008437D"/>
    <w:rsid w:val="00085AFE"/>
    <w:rsid w:val="00092198"/>
    <w:rsid w:val="00094800"/>
    <w:rsid w:val="000A41ED"/>
    <w:rsid w:val="000B0730"/>
    <w:rsid w:val="000D10DB"/>
    <w:rsid w:val="000D19F4"/>
    <w:rsid w:val="000D58DD"/>
    <w:rsid w:val="000E0E20"/>
    <w:rsid w:val="000E47F4"/>
    <w:rsid w:val="000F15BB"/>
    <w:rsid w:val="000F2AE2"/>
    <w:rsid w:val="000F2BFF"/>
    <w:rsid w:val="00102063"/>
    <w:rsid w:val="0010541C"/>
    <w:rsid w:val="001066D3"/>
    <w:rsid w:val="00106F93"/>
    <w:rsid w:val="00111D50"/>
    <w:rsid w:val="00113B8E"/>
    <w:rsid w:val="001142E6"/>
    <w:rsid w:val="001156CC"/>
    <w:rsid w:val="0012053C"/>
    <w:rsid w:val="00122363"/>
    <w:rsid w:val="001233CA"/>
    <w:rsid w:val="0013291D"/>
    <w:rsid w:val="00133A10"/>
    <w:rsid w:val="001342C7"/>
    <w:rsid w:val="0013585C"/>
    <w:rsid w:val="00142261"/>
    <w:rsid w:val="00142954"/>
    <w:rsid w:val="001460E0"/>
    <w:rsid w:val="001472F0"/>
    <w:rsid w:val="00147F71"/>
    <w:rsid w:val="00150A6E"/>
    <w:rsid w:val="001528F2"/>
    <w:rsid w:val="00160D5A"/>
    <w:rsid w:val="0016263A"/>
    <w:rsid w:val="0016304B"/>
    <w:rsid w:val="0016468A"/>
    <w:rsid w:val="001656EA"/>
    <w:rsid w:val="00165767"/>
    <w:rsid w:val="0018593D"/>
    <w:rsid w:val="0018662D"/>
    <w:rsid w:val="00197427"/>
    <w:rsid w:val="001A21B4"/>
    <w:rsid w:val="001A5CF5"/>
    <w:rsid w:val="001A6A5D"/>
    <w:rsid w:val="001B0392"/>
    <w:rsid w:val="001B39D2"/>
    <w:rsid w:val="001B4BF8"/>
    <w:rsid w:val="001C1ED5"/>
    <w:rsid w:val="001C260B"/>
    <w:rsid w:val="001C4326"/>
    <w:rsid w:val="001C435C"/>
    <w:rsid w:val="001C665E"/>
    <w:rsid w:val="001C68D8"/>
    <w:rsid w:val="001D1210"/>
    <w:rsid w:val="001D3541"/>
    <w:rsid w:val="001D3E4E"/>
    <w:rsid w:val="001D5CE0"/>
    <w:rsid w:val="001E254A"/>
    <w:rsid w:val="001E7386"/>
    <w:rsid w:val="001F45A7"/>
    <w:rsid w:val="00201A01"/>
    <w:rsid w:val="0020754B"/>
    <w:rsid w:val="002104D3"/>
    <w:rsid w:val="00213A33"/>
    <w:rsid w:val="00214167"/>
    <w:rsid w:val="0021763B"/>
    <w:rsid w:val="00226830"/>
    <w:rsid w:val="0023080B"/>
    <w:rsid w:val="00230B9D"/>
    <w:rsid w:val="00230C2F"/>
    <w:rsid w:val="00233E9B"/>
    <w:rsid w:val="002403A0"/>
    <w:rsid w:val="002450DD"/>
    <w:rsid w:val="00246DB1"/>
    <w:rsid w:val="002476B5"/>
    <w:rsid w:val="00252064"/>
    <w:rsid w:val="002520CC"/>
    <w:rsid w:val="00253ECF"/>
    <w:rsid w:val="002546A1"/>
    <w:rsid w:val="0026200E"/>
    <w:rsid w:val="002628F4"/>
    <w:rsid w:val="002632AB"/>
    <w:rsid w:val="00272B2C"/>
    <w:rsid w:val="0027565A"/>
    <w:rsid w:val="00275D08"/>
    <w:rsid w:val="00277B5E"/>
    <w:rsid w:val="00282AA9"/>
    <w:rsid w:val="00284F19"/>
    <w:rsid w:val="002858E3"/>
    <w:rsid w:val="0029190A"/>
    <w:rsid w:val="00292C5A"/>
    <w:rsid w:val="00294F2A"/>
    <w:rsid w:val="00295241"/>
    <w:rsid w:val="002A4DFC"/>
    <w:rsid w:val="002B047D"/>
    <w:rsid w:val="002B0E12"/>
    <w:rsid w:val="002B0FC1"/>
    <w:rsid w:val="002B6A33"/>
    <w:rsid w:val="002B732B"/>
    <w:rsid w:val="002B76A7"/>
    <w:rsid w:val="002C2219"/>
    <w:rsid w:val="002C2552"/>
    <w:rsid w:val="002C324A"/>
    <w:rsid w:val="002C380A"/>
    <w:rsid w:val="002D0CBC"/>
    <w:rsid w:val="002D0DF2"/>
    <w:rsid w:val="002D23BD"/>
    <w:rsid w:val="002D3B41"/>
    <w:rsid w:val="002E0B47"/>
    <w:rsid w:val="002E40BC"/>
    <w:rsid w:val="002E6248"/>
    <w:rsid w:val="002F17DC"/>
    <w:rsid w:val="002F2C26"/>
    <w:rsid w:val="002F4685"/>
    <w:rsid w:val="002F4C54"/>
    <w:rsid w:val="002F7213"/>
    <w:rsid w:val="00301B9D"/>
    <w:rsid w:val="0030382F"/>
    <w:rsid w:val="0030408D"/>
    <w:rsid w:val="003060E4"/>
    <w:rsid w:val="00306338"/>
    <w:rsid w:val="003069F0"/>
    <w:rsid w:val="00314ABC"/>
    <w:rsid w:val="0031553F"/>
    <w:rsid w:val="003160E7"/>
    <w:rsid w:val="00316CFB"/>
    <w:rsid w:val="0031739E"/>
    <w:rsid w:val="00320CA8"/>
    <w:rsid w:val="003309CA"/>
    <w:rsid w:val="0033137D"/>
    <w:rsid w:val="003325AB"/>
    <w:rsid w:val="003332D1"/>
    <w:rsid w:val="0033412B"/>
    <w:rsid w:val="00341161"/>
    <w:rsid w:val="00343365"/>
    <w:rsid w:val="003445F4"/>
    <w:rsid w:val="00344EAC"/>
    <w:rsid w:val="00353501"/>
    <w:rsid w:val="00353734"/>
    <w:rsid w:val="003606F8"/>
    <w:rsid w:val="0036137B"/>
    <w:rsid w:val="003632F0"/>
    <w:rsid w:val="003648EF"/>
    <w:rsid w:val="00365976"/>
    <w:rsid w:val="00366D2E"/>
    <w:rsid w:val="003673E6"/>
    <w:rsid w:val="00377264"/>
    <w:rsid w:val="003779D2"/>
    <w:rsid w:val="00385E38"/>
    <w:rsid w:val="003950E9"/>
    <w:rsid w:val="00395E0C"/>
    <w:rsid w:val="003A0477"/>
    <w:rsid w:val="003A221A"/>
    <w:rsid w:val="003A26A5"/>
    <w:rsid w:val="003A272D"/>
    <w:rsid w:val="003A3761"/>
    <w:rsid w:val="003A512D"/>
    <w:rsid w:val="003A5FEA"/>
    <w:rsid w:val="003B020C"/>
    <w:rsid w:val="003B1D10"/>
    <w:rsid w:val="003C09A1"/>
    <w:rsid w:val="003C15DC"/>
    <w:rsid w:val="003C1A76"/>
    <w:rsid w:val="003C76D4"/>
    <w:rsid w:val="003D137D"/>
    <w:rsid w:val="003D1973"/>
    <w:rsid w:val="003D253C"/>
    <w:rsid w:val="003D2CC5"/>
    <w:rsid w:val="003D5D64"/>
    <w:rsid w:val="003E04C1"/>
    <w:rsid w:val="003E0887"/>
    <w:rsid w:val="003E1194"/>
    <w:rsid w:val="003E134C"/>
    <w:rsid w:val="003E74C8"/>
    <w:rsid w:val="003E7C46"/>
    <w:rsid w:val="003F2106"/>
    <w:rsid w:val="003F52A7"/>
    <w:rsid w:val="003F7013"/>
    <w:rsid w:val="003F7D77"/>
    <w:rsid w:val="0040240C"/>
    <w:rsid w:val="00402B5D"/>
    <w:rsid w:val="00410329"/>
    <w:rsid w:val="00413021"/>
    <w:rsid w:val="00420957"/>
    <w:rsid w:val="00424485"/>
    <w:rsid w:val="00424CDD"/>
    <w:rsid w:val="004301C6"/>
    <w:rsid w:val="0043478F"/>
    <w:rsid w:val="0043602B"/>
    <w:rsid w:val="00437A68"/>
    <w:rsid w:val="00440BE0"/>
    <w:rsid w:val="00440E71"/>
    <w:rsid w:val="00442C1C"/>
    <w:rsid w:val="0044584B"/>
    <w:rsid w:val="004470FF"/>
    <w:rsid w:val="00447CB7"/>
    <w:rsid w:val="0045304A"/>
    <w:rsid w:val="00455CC9"/>
    <w:rsid w:val="00460826"/>
    <w:rsid w:val="00460EA7"/>
    <w:rsid w:val="00461514"/>
    <w:rsid w:val="0046195B"/>
    <w:rsid w:val="00462BDC"/>
    <w:rsid w:val="0046362D"/>
    <w:rsid w:val="004640AD"/>
    <w:rsid w:val="0046414A"/>
    <w:rsid w:val="00464EDD"/>
    <w:rsid w:val="004653FC"/>
    <w:rsid w:val="0046596D"/>
    <w:rsid w:val="00467499"/>
    <w:rsid w:val="00471EAB"/>
    <w:rsid w:val="004878EF"/>
    <w:rsid w:val="00487C04"/>
    <w:rsid w:val="00487E20"/>
    <w:rsid w:val="004907E1"/>
    <w:rsid w:val="00496D65"/>
    <w:rsid w:val="004A035B"/>
    <w:rsid w:val="004A2108"/>
    <w:rsid w:val="004A38D7"/>
    <w:rsid w:val="004A778C"/>
    <w:rsid w:val="004B48C7"/>
    <w:rsid w:val="004C2E6A"/>
    <w:rsid w:val="004C3C85"/>
    <w:rsid w:val="004C64B8"/>
    <w:rsid w:val="004C73AE"/>
    <w:rsid w:val="004D2A2D"/>
    <w:rsid w:val="004D479F"/>
    <w:rsid w:val="004D6689"/>
    <w:rsid w:val="004E1454"/>
    <w:rsid w:val="004E1D1D"/>
    <w:rsid w:val="004E41B9"/>
    <w:rsid w:val="004E4CAD"/>
    <w:rsid w:val="004E7AC8"/>
    <w:rsid w:val="004F0C94"/>
    <w:rsid w:val="005019AE"/>
    <w:rsid w:val="00503749"/>
    <w:rsid w:val="00504110"/>
    <w:rsid w:val="00504CF4"/>
    <w:rsid w:val="00505BFB"/>
    <w:rsid w:val="00505E00"/>
    <w:rsid w:val="0050635B"/>
    <w:rsid w:val="005151C2"/>
    <w:rsid w:val="00516F79"/>
    <w:rsid w:val="00522383"/>
    <w:rsid w:val="00531406"/>
    <w:rsid w:val="0053199F"/>
    <w:rsid w:val="00531E12"/>
    <w:rsid w:val="00533B90"/>
    <w:rsid w:val="005410F8"/>
    <w:rsid w:val="00541F88"/>
    <w:rsid w:val="005448EC"/>
    <w:rsid w:val="00545963"/>
    <w:rsid w:val="00547700"/>
    <w:rsid w:val="00550256"/>
    <w:rsid w:val="00550DBF"/>
    <w:rsid w:val="00553165"/>
    <w:rsid w:val="00553958"/>
    <w:rsid w:val="00556BB7"/>
    <w:rsid w:val="0055763D"/>
    <w:rsid w:val="00561516"/>
    <w:rsid w:val="005621F2"/>
    <w:rsid w:val="0056686F"/>
    <w:rsid w:val="00567B58"/>
    <w:rsid w:val="00571223"/>
    <w:rsid w:val="005763E0"/>
    <w:rsid w:val="00581136"/>
    <w:rsid w:val="0058163A"/>
    <w:rsid w:val="00581EB8"/>
    <w:rsid w:val="00582048"/>
    <w:rsid w:val="00582AE4"/>
    <w:rsid w:val="00583032"/>
    <w:rsid w:val="005870BA"/>
    <w:rsid w:val="00594534"/>
    <w:rsid w:val="005A27CA"/>
    <w:rsid w:val="005A43BD"/>
    <w:rsid w:val="005A79E5"/>
    <w:rsid w:val="005B02C9"/>
    <w:rsid w:val="005C6D25"/>
    <w:rsid w:val="005D034C"/>
    <w:rsid w:val="005D1959"/>
    <w:rsid w:val="005D26BD"/>
    <w:rsid w:val="005E000F"/>
    <w:rsid w:val="005E226E"/>
    <w:rsid w:val="005E2636"/>
    <w:rsid w:val="005F63D5"/>
    <w:rsid w:val="005F6F5F"/>
    <w:rsid w:val="006015D7"/>
    <w:rsid w:val="00601B21"/>
    <w:rsid w:val="006022C3"/>
    <w:rsid w:val="006041F0"/>
    <w:rsid w:val="0060481F"/>
    <w:rsid w:val="00605C6D"/>
    <w:rsid w:val="00606E1A"/>
    <w:rsid w:val="0060786D"/>
    <w:rsid w:val="0061007F"/>
    <w:rsid w:val="006120CA"/>
    <w:rsid w:val="00624174"/>
    <w:rsid w:val="006255C0"/>
    <w:rsid w:val="00626CF8"/>
    <w:rsid w:val="006314AF"/>
    <w:rsid w:val="00634ED8"/>
    <w:rsid w:val="00636D7D"/>
    <w:rsid w:val="00636E62"/>
    <w:rsid w:val="00637408"/>
    <w:rsid w:val="006407A3"/>
    <w:rsid w:val="00642868"/>
    <w:rsid w:val="00644383"/>
    <w:rsid w:val="00646366"/>
    <w:rsid w:val="00646999"/>
    <w:rsid w:val="006477D1"/>
    <w:rsid w:val="00647AFE"/>
    <w:rsid w:val="00650A90"/>
    <w:rsid w:val="006512BC"/>
    <w:rsid w:val="00653A5A"/>
    <w:rsid w:val="006554AC"/>
    <w:rsid w:val="006575F4"/>
    <w:rsid w:val="006579E6"/>
    <w:rsid w:val="00660682"/>
    <w:rsid w:val="00660F74"/>
    <w:rsid w:val="00663EDC"/>
    <w:rsid w:val="006647E9"/>
    <w:rsid w:val="00665C46"/>
    <w:rsid w:val="00671078"/>
    <w:rsid w:val="006758CA"/>
    <w:rsid w:val="00680A04"/>
    <w:rsid w:val="00686D80"/>
    <w:rsid w:val="00694895"/>
    <w:rsid w:val="006949F3"/>
    <w:rsid w:val="00697BCC"/>
    <w:rsid w:val="00697E2E"/>
    <w:rsid w:val="006A24DB"/>
    <w:rsid w:val="006A25A2"/>
    <w:rsid w:val="006A3B87"/>
    <w:rsid w:val="006A5234"/>
    <w:rsid w:val="006A556B"/>
    <w:rsid w:val="006B0E73"/>
    <w:rsid w:val="006B1E3D"/>
    <w:rsid w:val="006B4A4D"/>
    <w:rsid w:val="006B5695"/>
    <w:rsid w:val="006B6AA4"/>
    <w:rsid w:val="006B7B2E"/>
    <w:rsid w:val="006C78EB"/>
    <w:rsid w:val="006C7A6F"/>
    <w:rsid w:val="006D0C29"/>
    <w:rsid w:val="006D121A"/>
    <w:rsid w:val="006D1660"/>
    <w:rsid w:val="006D43E7"/>
    <w:rsid w:val="006D63E5"/>
    <w:rsid w:val="006E1753"/>
    <w:rsid w:val="006E3911"/>
    <w:rsid w:val="006E5BD9"/>
    <w:rsid w:val="006E7E53"/>
    <w:rsid w:val="006F1B67"/>
    <w:rsid w:val="006F4D9C"/>
    <w:rsid w:val="006F62B6"/>
    <w:rsid w:val="0070091D"/>
    <w:rsid w:val="00702854"/>
    <w:rsid w:val="00711AA4"/>
    <w:rsid w:val="0071741C"/>
    <w:rsid w:val="0072556C"/>
    <w:rsid w:val="0072793E"/>
    <w:rsid w:val="007329FC"/>
    <w:rsid w:val="0073563F"/>
    <w:rsid w:val="00742B90"/>
    <w:rsid w:val="0074434D"/>
    <w:rsid w:val="00745F3F"/>
    <w:rsid w:val="007468B9"/>
    <w:rsid w:val="00747D5F"/>
    <w:rsid w:val="007536A6"/>
    <w:rsid w:val="007570C4"/>
    <w:rsid w:val="007605B8"/>
    <w:rsid w:val="00764A48"/>
    <w:rsid w:val="00764D52"/>
    <w:rsid w:val="00771B1E"/>
    <w:rsid w:val="00773C95"/>
    <w:rsid w:val="00776180"/>
    <w:rsid w:val="0077674D"/>
    <w:rsid w:val="00777C43"/>
    <w:rsid w:val="0078171E"/>
    <w:rsid w:val="0078658E"/>
    <w:rsid w:val="00787B94"/>
    <w:rsid w:val="00790ED8"/>
    <w:rsid w:val="00791462"/>
    <w:rsid w:val="00791520"/>
    <w:rsid w:val="007920E2"/>
    <w:rsid w:val="0079566E"/>
    <w:rsid w:val="00795B34"/>
    <w:rsid w:val="00797E61"/>
    <w:rsid w:val="007A067F"/>
    <w:rsid w:val="007A0945"/>
    <w:rsid w:val="007A3F91"/>
    <w:rsid w:val="007B1770"/>
    <w:rsid w:val="007B2CA3"/>
    <w:rsid w:val="007B4D3E"/>
    <w:rsid w:val="007B7592"/>
    <w:rsid w:val="007B7C70"/>
    <w:rsid w:val="007B7DEB"/>
    <w:rsid w:val="007C0449"/>
    <w:rsid w:val="007C25C7"/>
    <w:rsid w:val="007C77F7"/>
    <w:rsid w:val="007D2151"/>
    <w:rsid w:val="007D3B90"/>
    <w:rsid w:val="007D42CC"/>
    <w:rsid w:val="007D47D8"/>
    <w:rsid w:val="007D5DE4"/>
    <w:rsid w:val="007D7C3A"/>
    <w:rsid w:val="007E0777"/>
    <w:rsid w:val="007E1341"/>
    <w:rsid w:val="007E1B41"/>
    <w:rsid w:val="007E1EC4"/>
    <w:rsid w:val="007E28EE"/>
    <w:rsid w:val="007E30B9"/>
    <w:rsid w:val="007E52DF"/>
    <w:rsid w:val="007E74F1"/>
    <w:rsid w:val="007E77FB"/>
    <w:rsid w:val="007F0F0C"/>
    <w:rsid w:val="007F1288"/>
    <w:rsid w:val="007F2807"/>
    <w:rsid w:val="007F3CFD"/>
    <w:rsid w:val="007F4348"/>
    <w:rsid w:val="007F7B82"/>
    <w:rsid w:val="007F7F72"/>
    <w:rsid w:val="00800A8A"/>
    <w:rsid w:val="0080155C"/>
    <w:rsid w:val="008028FF"/>
    <w:rsid w:val="008052E1"/>
    <w:rsid w:val="008115BA"/>
    <w:rsid w:val="00814E81"/>
    <w:rsid w:val="00822F2C"/>
    <w:rsid w:val="00823DEE"/>
    <w:rsid w:val="008305E8"/>
    <w:rsid w:val="008352F4"/>
    <w:rsid w:val="00836165"/>
    <w:rsid w:val="0084640C"/>
    <w:rsid w:val="008518DE"/>
    <w:rsid w:val="00852C96"/>
    <w:rsid w:val="00856088"/>
    <w:rsid w:val="00856731"/>
    <w:rsid w:val="00860826"/>
    <w:rsid w:val="00860E21"/>
    <w:rsid w:val="008614FB"/>
    <w:rsid w:val="00863117"/>
    <w:rsid w:val="0086388B"/>
    <w:rsid w:val="008642E5"/>
    <w:rsid w:val="00864488"/>
    <w:rsid w:val="00870A36"/>
    <w:rsid w:val="00872D93"/>
    <w:rsid w:val="0087392F"/>
    <w:rsid w:val="00875DE3"/>
    <w:rsid w:val="00880470"/>
    <w:rsid w:val="00880D94"/>
    <w:rsid w:val="0088446B"/>
    <w:rsid w:val="008865C9"/>
    <w:rsid w:val="00886F64"/>
    <w:rsid w:val="008924DE"/>
    <w:rsid w:val="00893C64"/>
    <w:rsid w:val="008958D1"/>
    <w:rsid w:val="00896B94"/>
    <w:rsid w:val="008A2336"/>
    <w:rsid w:val="008A2706"/>
    <w:rsid w:val="008A3755"/>
    <w:rsid w:val="008A4146"/>
    <w:rsid w:val="008B0502"/>
    <w:rsid w:val="008B19DC"/>
    <w:rsid w:val="008B1EFB"/>
    <w:rsid w:val="008B264F"/>
    <w:rsid w:val="008B6F83"/>
    <w:rsid w:val="008B7FD8"/>
    <w:rsid w:val="008C2973"/>
    <w:rsid w:val="008C456D"/>
    <w:rsid w:val="008C6324"/>
    <w:rsid w:val="008C64C4"/>
    <w:rsid w:val="008D2CDD"/>
    <w:rsid w:val="008D4FE5"/>
    <w:rsid w:val="008D74D5"/>
    <w:rsid w:val="008E0ED1"/>
    <w:rsid w:val="008E3A07"/>
    <w:rsid w:val="008E537B"/>
    <w:rsid w:val="008E7986"/>
    <w:rsid w:val="008F04CF"/>
    <w:rsid w:val="008F250A"/>
    <w:rsid w:val="008F29BE"/>
    <w:rsid w:val="008F4AE5"/>
    <w:rsid w:val="008F51EB"/>
    <w:rsid w:val="00900197"/>
    <w:rsid w:val="00900AF4"/>
    <w:rsid w:val="00900B65"/>
    <w:rsid w:val="00902F55"/>
    <w:rsid w:val="0090582B"/>
    <w:rsid w:val="00906070"/>
    <w:rsid w:val="009060C0"/>
    <w:rsid w:val="00911063"/>
    <w:rsid w:val="009120F1"/>
    <w:rsid w:val="009133F5"/>
    <w:rsid w:val="00916AA9"/>
    <w:rsid w:val="0091756F"/>
    <w:rsid w:val="00920A27"/>
    <w:rsid w:val="00921216"/>
    <w:rsid w:val="009216CC"/>
    <w:rsid w:val="00925CC8"/>
    <w:rsid w:val="00926083"/>
    <w:rsid w:val="00930D08"/>
    <w:rsid w:val="00931466"/>
    <w:rsid w:val="009316A6"/>
    <w:rsid w:val="00932D69"/>
    <w:rsid w:val="00933F37"/>
    <w:rsid w:val="00935589"/>
    <w:rsid w:val="0094035F"/>
    <w:rsid w:val="00944647"/>
    <w:rsid w:val="00952635"/>
    <w:rsid w:val="009532E2"/>
    <w:rsid w:val="00954EB0"/>
    <w:rsid w:val="00954F5C"/>
    <w:rsid w:val="0095565C"/>
    <w:rsid w:val="00961B8E"/>
    <w:rsid w:val="009643BC"/>
    <w:rsid w:val="00964AB6"/>
    <w:rsid w:val="00966F9A"/>
    <w:rsid w:val="009704EE"/>
    <w:rsid w:val="0097193D"/>
    <w:rsid w:val="00973285"/>
    <w:rsid w:val="00977B8A"/>
    <w:rsid w:val="00982971"/>
    <w:rsid w:val="009839CB"/>
    <w:rsid w:val="009845AD"/>
    <w:rsid w:val="00984835"/>
    <w:rsid w:val="00992871"/>
    <w:rsid w:val="009933EF"/>
    <w:rsid w:val="009945EE"/>
    <w:rsid w:val="00995BA0"/>
    <w:rsid w:val="00995EF2"/>
    <w:rsid w:val="009A418B"/>
    <w:rsid w:val="009A426F"/>
    <w:rsid w:val="009A42D5"/>
    <w:rsid w:val="009A4473"/>
    <w:rsid w:val="009A5E92"/>
    <w:rsid w:val="009A6209"/>
    <w:rsid w:val="009B05C9"/>
    <w:rsid w:val="009B1C97"/>
    <w:rsid w:val="009B286C"/>
    <w:rsid w:val="009C151C"/>
    <w:rsid w:val="009C208E"/>
    <w:rsid w:val="009C440A"/>
    <w:rsid w:val="009D19F2"/>
    <w:rsid w:val="009D5125"/>
    <w:rsid w:val="009D60B8"/>
    <w:rsid w:val="009D7D4B"/>
    <w:rsid w:val="009E114F"/>
    <w:rsid w:val="009E2045"/>
    <w:rsid w:val="009E369B"/>
    <w:rsid w:val="009E36ED"/>
    <w:rsid w:val="009E372C"/>
    <w:rsid w:val="009E3C8C"/>
    <w:rsid w:val="009E445A"/>
    <w:rsid w:val="009E6B77"/>
    <w:rsid w:val="009E7467"/>
    <w:rsid w:val="009F3FE8"/>
    <w:rsid w:val="009F460A"/>
    <w:rsid w:val="009F5998"/>
    <w:rsid w:val="00A043FB"/>
    <w:rsid w:val="00A06BE4"/>
    <w:rsid w:val="00A0729C"/>
    <w:rsid w:val="00A07779"/>
    <w:rsid w:val="00A1166A"/>
    <w:rsid w:val="00A15D5F"/>
    <w:rsid w:val="00A17E7C"/>
    <w:rsid w:val="00A20B2E"/>
    <w:rsid w:val="00A24F33"/>
    <w:rsid w:val="00A25069"/>
    <w:rsid w:val="00A26E6B"/>
    <w:rsid w:val="00A3068F"/>
    <w:rsid w:val="00A3145B"/>
    <w:rsid w:val="00A339D0"/>
    <w:rsid w:val="00A41002"/>
    <w:rsid w:val="00A4201A"/>
    <w:rsid w:val="00A46CD5"/>
    <w:rsid w:val="00A5465D"/>
    <w:rsid w:val="00A54BD5"/>
    <w:rsid w:val="00A553CE"/>
    <w:rsid w:val="00A55B34"/>
    <w:rsid w:val="00A5677A"/>
    <w:rsid w:val="00A56AB9"/>
    <w:rsid w:val="00A56DCC"/>
    <w:rsid w:val="00A57504"/>
    <w:rsid w:val="00A625E8"/>
    <w:rsid w:val="00A63DFF"/>
    <w:rsid w:val="00A6490D"/>
    <w:rsid w:val="00A7415D"/>
    <w:rsid w:val="00A774AD"/>
    <w:rsid w:val="00A80363"/>
    <w:rsid w:val="00A80939"/>
    <w:rsid w:val="00A83E9D"/>
    <w:rsid w:val="00A87C05"/>
    <w:rsid w:val="00A9169D"/>
    <w:rsid w:val="00A94F5B"/>
    <w:rsid w:val="00AA021D"/>
    <w:rsid w:val="00AA240C"/>
    <w:rsid w:val="00AB156F"/>
    <w:rsid w:val="00AB62EB"/>
    <w:rsid w:val="00AC101C"/>
    <w:rsid w:val="00AC6F2D"/>
    <w:rsid w:val="00AC75FA"/>
    <w:rsid w:val="00AD444C"/>
    <w:rsid w:val="00AD4CF1"/>
    <w:rsid w:val="00AD5988"/>
    <w:rsid w:val="00AD6293"/>
    <w:rsid w:val="00AD7DB9"/>
    <w:rsid w:val="00AE2028"/>
    <w:rsid w:val="00AF55ED"/>
    <w:rsid w:val="00AF7800"/>
    <w:rsid w:val="00B00CF5"/>
    <w:rsid w:val="00B029D4"/>
    <w:rsid w:val="00B06105"/>
    <w:rsid w:val="00B06184"/>
    <w:rsid w:val="00B072E0"/>
    <w:rsid w:val="00B07F5D"/>
    <w:rsid w:val="00B1007E"/>
    <w:rsid w:val="00B13CE5"/>
    <w:rsid w:val="00B2090D"/>
    <w:rsid w:val="00B235F5"/>
    <w:rsid w:val="00B23F4A"/>
    <w:rsid w:val="00B253F6"/>
    <w:rsid w:val="00B26675"/>
    <w:rsid w:val="00B305DB"/>
    <w:rsid w:val="00B3282A"/>
    <w:rsid w:val="00B33023"/>
    <w:rsid w:val="00B332F8"/>
    <w:rsid w:val="00B3492B"/>
    <w:rsid w:val="00B34F88"/>
    <w:rsid w:val="00B37385"/>
    <w:rsid w:val="00B42108"/>
    <w:rsid w:val="00B4646F"/>
    <w:rsid w:val="00B55A3A"/>
    <w:rsid w:val="00B55C7D"/>
    <w:rsid w:val="00B63038"/>
    <w:rsid w:val="00B64BD8"/>
    <w:rsid w:val="00B701D1"/>
    <w:rsid w:val="00B71C9A"/>
    <w:rsid w:val="00B73425"/>
    <w:rsid w:val="00B73AF2"/>
    <w:rsid w:val="00B74C5B"/>
    <w:rsid w:val="00B74CD8"/>
    <w:rsid w:val="00B7551A"/>
    <w:rsid w:val="00B765F4"/>
    <w:rsid w:val="00B773F1"/>
    <w:rsid w:val="00B83DC8"/>
    <w:rsid w:val="00B8473E"/>
    <w:rsid w:val="00B85D91"/>
    <w:rsid w:val="00B86AB1"/>
    <w:rsid w:val="00BA41C4"/>
    <w:rsid w:val="00BA6E43"/>
    <w:rsid w:val="00BA7F87"/>
    <w:rsid w:val="00BB0D2A"/>
    <w:rsid w:val="00BB20B8"/>
    <w:rsid w:val="00BB2A06"/>
    <w:rsid w:val="00BB2CBB"/>
    <w:rsid w:val="00BB3FE3"/>
    <w:rsid w:val="00BB4198"/>
    <w:rsid w:val="00BB761E"/>
    <w:rsid w:val="00BC03EE"/>
    <w:rsid w:val="00BC58A8"/>
    <w:rsid w:val="00BC59F1"/>
    <w:rsid w:val="00BD050D"/>
    <w:rsid w:val="00BD0C43"/>
    <w:rsid w:val="00BD49C3"/>
    <w:rsid w:val="00BD613F"/>
    <w:rsid w:val="00BF3DE1"/>
    <w:rsid w:val="00BF4843"/>
    <w:rsid w:val="00BF5205"/>
    <w:rsid w:val="00C0313E"/>
    <w:rsid w:val="00C05132"/>
    <w:rsid w:val="00C12508"/>
    <w:rsid w:val="00C1756D"/>
    <w:rsid w:val="00C23667"/>
    <w:rsid w:val="00C23728"/>
    <w:rsid w:val="00C3026C"/>
    <w:rsid w:val="00C313A9"/>
    <w:rsid w:val="00C441CF"/>
    <w:rsid w:val="00C45AA2"/>
    <w:rsid w:val="00C46DF5"/>
    <w:rsid w:val="00C4776C"/>
    <w:rsid w:val="00C4792C"/>
    <w:rsid w:val="00C55BEF"/>
    <w:rsid w:val="00C57E5D"/>
    <w:rsid w:val="00C601AF"/>
    <w:rsid w:val="00C60C7F"/>
    <w:rsid w:val="00C61A63"/>
    <w:rsid w:val="00C659B3"/>
    <w:rsid w:val="00C66296"/>
    <w:rsid w:val="00C70544"/>
    <w:rsid w:val="00C7394D"/>
    <w:rsid w:val="00C73B5B"/>
    <w:rsid w:val="00C755DB"/>
    <w:rsid w:val="00C76A9E"/>
    <w:rsid w:val="00C77282"/>
    <w:rsid w:val="00C8401B"/>
    <w:rsid w:val="00C84DE5"/>
    <w:rsid w:val="00C86248"/>
    <w:rsid w:val="00C86404"/>
    <w:rsid w:val="00C90B31"/>
    <w:rsid w:val="00C90C92"/>
    <w:rsid w:val="00C92865"/>
    <w:rsid w:val="00CA0D6F"/>
    <w:rsid w:val="00CA4C33"/>
    <w:rsid w:val="00CA4E0B"/>
    <w:rsid w:val="00CA6F4A"/>
    <w:rsid w:val="00CB6427"/>
    <w:rsid w:val="00CC0FBE"/>
    <w:rsid w:val="00CC6D03"/>
    <w:rsid w:val="00CD0A34"/>
    <w:rsid w:val="00CD2119"/>
    <w:rsid w:val="00CD237A"/>
    <w:rsid w:val="00CD36AC"/>
    <w:rsid w:val="00CD4088"/>
    <w:rsid w:val="00CD7B04"/>
    <w:rsid w:val="00CD7C28"/>
    <w:rsid w:val="00CE13A3"/>
    <w:rsid w:val="00CE36BC"/>
    <w:rsid w:val="00CF1747"/>
    <w:rsid w:val="00CF5D47"/>
    <w:rsid w:val="00CF60ED"/>
    <w:rsid w:val="00CF6ACC"/>
    <w:rsid w:val="00D05D74"/>
    <w:rsid w:val="00D20C59"/>
    <w:rsid w:val="00D215A8"/>
    <w:rsid w:val="00D216A4"/>
    <w:rsid w:val="00D23323"/>
    <w:rsid w:val="00D2392A"/>
    <w:rsid w:val="00D245F2"/>
    <w:rsid w:val="00D25FFE"/>
    <w:rsid w:val="00D31DF4"/>
    <w:rsid w:val="00D31F11"/>
    <w:rsid w:val="00D37D80"/>
    <w:rsid w:val="00D37F48"/>
    <w:rsid w:val="00D40984"/>
    <w:rsid w:val="00D433CB"/>
    <w:rsid w:val="00D4476F"/>
    <w:rsid w:val="00D46488"/>
    <w:rsid w:val="00D46D36"/>
    <w:rsid w:val="00D473EB"/>
    <w:rsid w:val="00D503D5"/>
    <w:rsid w:val="00D50573"/>
    <w:rsid w:val="00D5119E"/>
    <w:rsid w:val="00D54D50"/>
    <w:rsid w:val="00D560B4"/>
    <w:rsid w:val="00D62E7E"/>
    <w:rsid w:val="00D662F8"/>
    <w:rsid w:val="00D66797"/>
    <w:rsid w:val="00D7087C"/>
    <w:rsid w:val="00D70C3C"/>
    <w:rsid w:val="00D71DF7"/>
    <w:rsid w:val="00D72BE5"/>
    <w:rsid w:val="00D73021"/>
    <w:rsid w:val="00D73328"/>
    <w:rsid w:val="00D813A0"/>
    <w:rsid w:val="00D81462"/>
    <w:rsid w:val="00D82F26"/>
    <w:rsid w:val="00D863D0"/>
    <w:rsid w:val="00D86B00"/>
    <w:rsid w:val="00D86FB9"/>
    <w:rsid w:val="00D87C87"/>
    <w:rsid w:val="00D90BB4"/>
    <w:rsid w:val="00D90E07"/>
    <w:rsid w:val="00D932C2"/>
    <w:rsid w:val="00DA35CF"/>
    <w:rsid w:val="00DA4DF4"/>
    <w:rsid w:val="00DB10A7"/>
    <w:rsid w:val="00DB2BF1"/>
    <w:rsid w:val="00DB39CF"/>
    <w:rsid w:val="00DB3A5D"/>
    <w:rsid w:val="00DB48FD"/>
    <w:rsid w:val="00DB7256"/>
    <w:rsid w:val="00DC0401"/>
    <w:rsid w:val="00DC20BD"/>
    <w:rsid w:val="00DD0BCD"/>
    <w:rsid w:val="00DD3A54"/>
    <w:rsid w:val="00DD447A"/>
    <w:rsid w:val="00DD5364"/>
    <w:rsid w:val="00DE3B20"/>
    <w:rsid w:val="00DE6C94"/>
    <w:rsid w:val="00DE6FD7"/>
    <w:rsid w:val="00DF4D5A"/>
    <w:rsid w:val="00E078D1"/>
    <w:rsid w:val="00E104B1"/>
    <w:rsid w:val="00E23271"/>
    <w:rsid w:val="00E24F80"/>
    <w:rsid w:val="00E259F3"/>
    <w:rsid w:val="00E30985"/>
    <w:rsid w:val="00E31DA6"/>
    <w:rsid w:val="00E33238"/>
    <w:rsid w:val="00E37417"/>
    <w:rsid w:val="00E376B7"/>
    <w:rsid w:val="00E42F5D"/>
    <w:rsid w:val="00E4486C"/>
    <w:rsid w:val="00E460B6"/>
    <w:rsid w:val="00E511D5"/>
    <w:rsid w:val="00E52AE5"/>
    <w:rsid w:val="00E53A9F"/>
    <w:rsid w:val="00E54653"/>
    <w:rsid w:val="00E60249"/>
    <w:rsid w:val="00E65269"/>
    <w:rsid w:val="00E709F6"/>
    <w:rsid w:val="00E73587"/>
    <w:rsid w:val="00E76D66"/>
    <w:rsid w:val="00E817DB"/>
    <w:rsid w:val="00E83CCE"/>
    <w:rsid w:val="00E847E5"/>
    <w:rsid w:val="00EA2EA5"/>
    <w:rsid w:val="00EA6A93"/>
    <w:rsid w:val="00EA796A"/>
    <w:rsid w:val="00EB0981"/>
    <w:rsid w:val="00EB1856"/>
    <w:rsid w:val="00EB185D"/>
    <w:rsid w:val="00EB2768"/>
    <w:rsid w:val="00EB2C0B"/>
    <w:rsid w:val="00EC300E"/>
    <w:rsid w:val="00EC3850"/>
    <w:rsid w:val="00EC50CE"/>
    <w:rsid w:val="00EC5B34"/>
    <w:rsid w:val="00EC76BA"/>
    <w:rsid w:val="00ED021E"/>
    <w:rsid w:val="00ED323C"/>
    <w:rsid w:val="00EE2D5C"/>
    <w:rsid w:val="00EE4ADE"/>
    <w:rsid w:val="00EE4DE8"/>
    <w:rsid w:val="00EE567C"/>
    <w:rsid w:val="00EE5C2B"/>
    <w:rsid w:val="00EE5CB7"/>
    <w:rsid w:val="00EF0169"/>
    <w:rsid w:val="00F024FE"/>
    <w:rsid w:val="00F05AD4"/>
    <w:rsid w:val="00F074FC"/>
    <w:rsid w:val="00F10EB6"/>
    <w:rsid w:val="00F11764"/>
    <w:rsid w:val="00F13F07"/>
    <w:rsid w:val="00F140B2"/>
    <w:rsid w:val="00F25970"/>
    <w:rsid w:val="00F311A9"/>
    <w:rsid w:val="00F323D2"/>
    <w:rsid w:val="00F42A0D"/>
    <w:rsid w:val="00F43F4C"/>
    <w:rsid w:val="00F46627"/>
    <w:rsid w:val="00F47DE4"/>
    <w:rsid w:val="00F5180D"/>
    <w:rsid w:val="00F52B5B"/>
    <w:rsid w:val="00F52DC9"/>
    <w:rsid w:val="00F53518"/>
    <w:rsid w:val="00F6200D"/>
    <w:rsid w:val="00F634F6"/>
    <w:rsid w:val="00F63781"/>
    <w:rsid w:val="00F654B9"/>
    <w:rsid w:val="00F65F08"/>
    <w:rsid w:val="00F673EF"/>
    <w:rsid w:val="00F67496"/>
    <w:rsid w:val="00F67AA0"/>
    <w:rsid w:val="00F801BA"/>
    <w:rsid w:val="00F82CE9"/>
    <w:rsid w:val="00F861CF"/>
    <w:rsid w:val="00F9366A"/>
    <w:rsid w:val="00F94457"/>
    <w:rsid w:val="00F946C9"/>
    <w:rsid w:val="00F96D0F"/>
    <w:rsid w:val="00F9745D"/>
    <w:rsid w:val="00F97553"/>
    <w:rsid w:val="00FA0EA5"/>
    <w:rsid w:val="00FA74EE"/>
    <w:rsid w:val="00FB0AE8"/>
    <w:rsid w:val="00FC09F6"/>
    <w:rsid w:val="00FC3711"/>
    <w:rsid w:val="00FC46E7"/>
    <w:rsid w:val="00FC5D25"/>
    <w:rsid w:val="00FC7F73"/>
    <w:rsid w:val="00FD0D7E"/>
    <w:rsid w:val="00FD4CAC"/>
    <w:rsid w:val="00FD4FFB"/>
    <w:rsid w:val="00FE414E"/>
    <w:rsid w:val="00FE6E13"/>
    <w:rsid w:val="00FF15F6"/>
    <w:rsid w:val="00FF3C18"/>
    <w:rsid w:val="00FF527C"/>
    <w:rsid w:val="00FF65CD"/>
    <w:rsid w:val="0AE1107C"/>
    <w:rsid w:val="3ADDC19A"/>
    <w:rsid w:val="7EE2B6F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5BE9B"/>
  <w15:docId w15:val="{FB8374C6-BF73-4019-BE6F-F5E2CE0D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E83CCE"/>
    <w:pPr>
      <w:pageBreakBefore/>
      <w:numPr>
        <w:numId w:val="5"/>
      </w:numPr>
      <w:spacing w:after="360"/>
      <w:outlineLvl w:val="0"/>
    </w:pPr>
    <w:rPr>
      <w:b/>
      <w:color w:val="23305D"/>
      <w:spacing w:val="-10"/>
      <w:sz w:val="72"/>
    </w:rPr>
  </w:style>
  <w:style w:type="paragraph" w:styleId="Heading2">
    <w:name w:val="heading 2"/>
    <w:basedOn w:val="Normal"/>
    <w:next w:val="Normal"/>
    <w:link w:val="Heading2Char"/>
    <w:qFormat/>
    <w:rsid w:val="00030E84"/>
    <w:pPr>
      <w:keepNext/>
      <w:numPr>
        <w:ilvl w:val="1"/>
        <w:numId w:val="5"/>
      </w:numPr>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CD4088"/>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CD4088"/>
    <w:pPr>
      <w:tabs>
        <w:tab w:val="right" w:pos="8080"/>
      </w:tabs>
      <w:spacing w:before="60"/>
      <w:ind w:left="1134" w:right="567" w:hanging="567"/>
    </w:pPr>
    <w:rPr>
      <w:sz w:val="22"/>
    </w:rPr>
  </w:style>
  <w:style w:type="paragraph" w:styleId="TOC3">
    <w:name w:val="toc 3"/>
    <w:basedOn w:val="Normal"/>
    <w:next w:val="Normal"/>
    <w:uiPriority w:val="39"/>
    <w:rsid w:val="00496D65"/>
    <w:pPr>
      <w:tabs>
        <w:tab w:val="right" w:pos="8080"/>
      </w:tabs>
      <w:spacing w:before="120"/>
      <w:ind w:left="992" w:right="567" w:hanging="992"/>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26200E"/>
    <w:pPr>
      <w:spacing w:line="216" w:lineRule="auto"/>
      <w:ind w:right="2268"/>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33023"/>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E83CCE"/>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26200E"/>
    <w:pPr>
      <w:spacing w:before="840"/>
      <w:ind w:right="2268"/>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E83CCE"/>
    <w:rPr>
      <w:rFonts w:ascii="Segoe UI" w:hAnsi="Segoe UI"/>
      <w:b/>
      <w:color w:val="23305D"/>
      <w:spacing w:val="-10"/>
      <w:sz w:val="72"/>
      <w:lang w:eastAsia="en-GB"/>
    </w:rPr>
  </w:style>
  <w:style w:type="paragraph" w:styleId="Revision">
    <w:name w:val="Revision"/>
    <w: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10"/>
    <w:rsid w:val="0026200E"/>
    <w:rPr>
      <w:rFonts w:ascii="Segoe UI Black" w:hAnsi="Segoe UI Black" w:cs="Lucida Sans Unicode"/>
      <w:b/>
      <w:sz w:val="72"/>
      <w:szCs w:val="72"/>
      <w:lang w:eastAsia="en-GB"/>
    </w:rPr>
  </w:style>
  <w:style w:type="paragraph" w:customStyle="1" w:styleId="Number">
    <w:name w:val="Number"/>
    <w:basedOn w:val="Normal"/>
    <w:rsid w:val="00320CA8"/>
    <w:pPr>
      <w:numPr>
        <w:ilvl w:val="4"/>
        <w:numId w:val="5"/>
      </w:numPr>
      <w:spacing w:before="120"/>
    </w:pPr>
    <w:rPr>
      <w:szCs w:val="24"/>
    </w:rPr>
  </w:style>
  <w:style w:type="paragraph" w:customStyle="1" w:styleId="Letter">
    <w:name w:val="Letter"/>
    <w:basedOn w:val="Normal"/>
    <w:qFormat/>
    <w:rsid w:val="00F140B2"/>
    <w:pPr>
      <w:numPr>
        <w:ilvl w:val="5"/>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6"/>
        <w:numId w:val="5"/>
      </w:numPr>
      <w:spacing w:before="90"/>
    </w:pPr>
    <w:rPr>
      <w:rFonts w:eastAsia="Arial Unicode MS"/>
    </w:rPr>
  </w:style>
  <w:style w:type="character" w:styleId="FollowedHyperlink">
    <w:name w:val="FollowedHyperlink"/>
    <w:basedOn w:val="DefaultParagraphFont"/>
    <w:semiHidden/>
    <w:unhideWhenUsed/>
    <w:rsid w:val="007E52DF"/>
    <w:rPr>
      <w:color w:val="800080" w:themeColor="followedHyperlink"/>
      <w:u w:val="single"/>
    </w:rPr>
  </w:style>
  <w:style w:type="character" w:styleId="CommentReference">
    <w:name w:val="annotation reference"/>
    <w:basedOn w:val="DefaultParagraphFont"/>
    <w:uiPriority w:val="99"/>
    <w:semiHidden/>
    <w:unhideWhenUsed/>
    <w:rsid w:val="002C324A"/>
    <w:rPr>
      <w:sz w:val="16"/>
      <w:szCs w:val="16"/>
    </w:rPr>
  </w:style>
  <w:style w:type="paragraph" w:styleId="CommentText">
    <w:name w:val="annotation text"/>
    <w:basedOn w:val="Normal"/>
    <w:link w:val="CommentTextChar"/>
    <w:uiPriority w:val="99"/>
    <w:semiHidden/>
    <w:unhideWhenUsed/>
    <w:rsid w:val="002C324A"/>
    <w:rPr>
      <w:sz w:val="20"/>
    </w:rPr>
  </w:style>
  <w:style w:type="character" w:customStyle="1" w:styleId="CommentTextChar">
    <w:name w:val="Comment Text Char"/>
    <w:basedOn w:val="DefaultParagraphFont"/>
    <w:link w:val="CommentText"/>
    <w:uiPriority w:val="99"/>
    <w:semiHidden/>
    <w:rsid w:val="002C324A"/>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2C324A"/>
    <w:rPr>
      <w:b/>
      <w:bCs/>
    </w:rPr>
  </w:style>
  <w:style w:type="character" w:customStyle="1" w:styleId="CommentSubjectChar">
    <w:name w:val="Comment Subject Char"/>
    <w:basedOn w:val="CommentTextChar"/>
    <w:link w:val="CommentSubject"/>
    <w:uiPriority w:val="99"/>
    <w:semiHidden/>
    <w:rsid w:val="002C324A"/>
    <w:rPr>
      <w:rFonts w:ascii="Segoe UI" w:hAnsi="Segoe UI"/>
      <w:b/>
      <w:bCs/>
      <w:lang w:eastAsia="en-GB"/>
    </w:rPr>
  </w:style>
  <w:style w:type="paragraph" w:styleId="BalloonText">
    <w:name w:val="Balloon Text"/>
    <w:basedOn w:val="Normal"/>
    <w:link w:val="BalloonTextChar"/>
    <w:uiPriority w:val="99"/>
    <w:semiHidden/>
    <w:unhideWhenUsed/>
    <w:rsid w:val="002C324A"/>
    <w:rPr>
      <w:rFonts w:cs="Segoe UI"/>
      <w:sz w:val="18"/>
      <w:szCs w:val="18"/>
    </w:rPr>
  </w:style>
  <w:style w:type="character" w:customStyle="1" w:styleId="BalloonTextChar">
    <w:name w:val="Balloon Text Char"/>
    <w:basedOn w:val="DefaultParagraphFont"/>
    <w:link w:val="BalloonText"/>
    <w:uiPriority w:val="99"/>
    <w:semiHidden/>
    <w:rsid w:val="002C324A"/>
    <w:rPr>
      <w:rFonts w:ascii="Segoe UI" w:hAnsi="Segoe UI" w:cs="Segoe UI"/>
      <w:sz w:val="18"/>
      <w:szCs w:val="18"/>
      <w:lang w:eastAsia="en-GB"/>
    </w:rPr>
  </w:style>
  <w:style w:type="paragraph" w:customStyle="1" w:styleId="EndNoteBibliographyTitle">
    <w:name w:val="EndNote Bibliography Title"/>
    <w:basedOn w:val="Normal"/>
    <w:link w:val="EndNoteBibliographyTitleChar"/>
    <w:rsid w:val="00791520"/>
    <w:pPr>
      <w:jc w:val="center"/>
    </w:pPr>
    <w:rPr>
      <w:rFonts w:cs="Segoe UI"/>
      <w:noProof/>
      <w:sz w:val="72"/>
      <w:lang w:val="en-GB"/>
    </w:rPr>
  </w:style>
  <w:style w:type="character" w:customStyle="1" w:styleId="EndNoteBibliographyTitleChar">
    <w:name w:val="EndNote Bibliography Title Char"/>
    <w:basedOn w:val="DefaultParagraphFont"/>
    <w:link w:val="EndNoteBibliographyTitle"/>
    <w:rsid w:val="00791520"/>
    <w:rPr>
      <w:rFonts w:ascii="Segoe UI" w:hAnsi="Segoe UI" w:cs="Segoe UI"/>
      <w:noProof/>
      <w:sz w:val="72"/>
      <w:lang w:val="en-GB" w:eastAsia="en-GB"/>
    </w:rPr>
  </w:style>
  <w:style w:type="paragraph" w:customStyle="1" w:styleId="EndNoteBibliography">
    <w:name w:val="EndNote Bibliography"/>
    <w:basedOn w:val="Normal"/>
    <w:link w:val="EndNoteBibliographyChar"/>
    <w:rsid w:val="00791520"/>
    <w:rPr>
      <w:rFonts w:cs="Segoe UI"/>
      <w:noProof/>
      <w:sz w:val="72"/>
      <w:lang w:val="en-GB"/>
    </w:rPr>
  </w:style>
  <w:style w:type="character" w:customStyle="1" w:styleId="EndNoteBibliographyChar">
    <w:name w:val="EndNote Bibliography Char"/>
    <w:basedOn w:val="DefaultParagraphFont"/>
    <w:link w:val="EndNoteBibliography"/>
    <w:rsid w:val="00791520"/>
    <w:rPr>
      <w:rFonts w:ascii="Segoe UI" w:hAnsi="Segoe UI" w:cs="Segoe UI"/>
      <w:noProof/>
      <w:sz w:val="72"/>
      <w:lang w:val="en-GB" w:eastAsia="en-GB"/>
    </w:rPr>
  </w:style>
  <w:style w:type="paragraph" w:styleId="ListParagraph">
    <w:name w:val="List Paragraph"/>
    <w:basedOn w:val="Normal"/>
    <w:uiPriority w:val="34"/>
    <w:qFormat/>
    <w:rsid w:val="007F7B82"/>
    <w:pPr>
      <w:ind w:left="720"/>
      <w:contextualSpacing/>
    </w:pPr>
  </w:style>
  <w:style w:type="paragraph" w:styleId="BodyText">
    <w:name w:val="Body Text"/>
    <w:basedOn w:val="Normal"/>
    <w:link w:val="BodyTextChar"/>
    <w:unhideWhenUsed/>
    <w:qFormat/>
    <w:rsid w:val="00EA2EA5"/>
    <w:pPr>
      <w:spacing w:before="120" w:after="120" w:line="276" w:lineRule="auto"/>
    </w:pPr>
    <w:rPr>
      <w:rFonts w:ascii="Georgia" w:hAnsi="Georgia"/>
      <w:sz w:val="22"/>
      <w:szCs w:val="24"/>
    </w:rPr>
  </w:style>
  <w:style w:type="character" w:customStyle="1" w:styleId="BodyTextChar">
    <w:name w:val="Body Text Char"/>
    <w:basedOn w:val="DefaultParagraphFont"/>
    <w:link w:val="BodyText"/>
    <w:rsid w:val="00EA2EA5"/>
    <w:rPr>
      <w:rFonts w:ascii="Georgia" w:hAnsi="Georgia"/>
      <w:sz w:val="22"/>
      <w:szCs w:val="24"/>
      <w:lang w:eastAsia="en-GB"/>
    </w:rPr>
  </w:style>
  <w:style w:type="paragraph" w:styleId="NormalWeb">
    <w:name w:val="Normal (Web)"/>
    <w:basedOn w:val="Normal"/>
    <w:uiPriority w:val="99"/>
    <w:unhideWhenUsed/>
    <w:rsid w:val="00EA2EA5"/>
    <w:pPr>
      <w:spacing w:before="100" w:beforeAutospacing="1" w:after="100" w:afterAutospacing="1"/>
    </w:pPr>
    <w:rPr>
      <w:rFonts w:ascii="Times New Roman" w:eastAsiaTheme="minorHAnsi" w:hAnsi="Times New Roman"/>
      <w:sz w:val="24"/>
      <w:szCs w:val="24"/>
      <w:lang w:eastAsia="en-NZ"/>
    </w:rPr>
  </w:style>
  <w:style w:type="character" w:styleId="UnresolvedMention">
    <w:name w:val="Unresolved Mention"/>
    <w:basedOn w:val="DefaultParagraphFont"/>
    <w:uiPriority w:val="99"/>
    <w:semiHidden/>
    <w:unhideWhenUsed/>
    <w:rsid w:val="00063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332506">
      <w:bodyDiv w:val="1"/>
      <w:marLeft w:val="0"/>
      <w:marRight w:val="0"/>
      <w:marTop w:val="0"/>
      <w:marBottom w:val="0"/>
      <w:divBdr>
        <w:top w:val="none" w:sz="0" w:space="0" w:color="auto"/>
        <w:left w:val="none" w:sz="0" w:space="0" w:color="auto"/>
        <w:bottom w:val="none" w:sz="0" w:space="0" w:color="auto"/>
        <w:right w:val="none" w:sz="0" w:space="0" w:color="auto"/>
      </w:divBdr>
    </w:div>
    <w:div w:id="1281064604">
      <w:bodyDiv w:val="1"/>
      <w:marLeft w:val="0"/>
      <w:marRight w:val="0"/>
      <w:marTop w:val="0"/>
      <w:marBottom w:val="0"/>
      <w:divBdr>
        <w:top w:val="none" w:sz="0" w:space="0" w:color="auto"/>
        <w:left w:val="none" w:sz="0" w:space="0" w:color="auto"/>
        <w:bottom w:val="none" w:sz="0" w:space="0" w:color="auto"/>
        <w:right w:val="none" w:sz="0" w:space="0" w:color="auto"/>
      </w:divBdr>
      <w:divsChild>
        <w:div w:id="953251253">
          <w:marLeft w:val="0"/>
          <w:marRight w:val="0"/>
          <w:marTop w:val="0"/>
          <w:marBottom w:val="0"/>
          <w:divBdr>
            <w:top w:val="none" w:sz="0" w:space="0" w:color="auto"/>
            <w:left w:val="none" w:sz="0" w:space="0" w:color="auto"/>
            <w:bottom w:val="none" w:sz="0" w:space="0" w:color="auto"/>
            <w:right w:val="none" w:sz="0" w:space="0" w:color="auto"/>
          </w:divBdr>
          <w:divsChild>
            <w:div w:id="15909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9916">
      <w:bodyDiv w:val="1"/>
      <w:marLeft w:val="0"/>
      <w:marRight w:val="0"/>
      <w:marTop w:val="0"/>
      <w:marBottom w:val="0"/>
      <w:divBdr>
        <w:top w:val="none" w:sz="0" w:space="0" w:color="auto"/>
        <w:left w:val="none" w:sz="0" w:space="0" w:color="auto"/>
        <w:bottom w:val="none" w:sz="0" w:space="0" w:color="auto"/>
        <w:right w:val="none" w:sz="0" w:space="0" w:color="auto"/>
      </w:divBdr>
    </w:div>
    <w:div w:id="1672947580">
      <w:bodyDiv w:val="1"/>
      <w:marLeft w:val="0"/>
      <w:marRight w:val="0"/>
      <w:marTop w:val="0"/>
      <w:marBottom w:val="0"/>
      <w:divBdr>
        <w:top w:val="none" w:sz="0" w:space="0" w:color="auto"/>
        <w:left w:val="none" w:sz="0" w:space="0" w:color="auto"/>
        <w:bottom w:val="none" w:sz="0" w:space="0" w:color="auto"/>
        <w:right w:val="none" w:sz="0" w:space="0" w:color="auto"/>
      </w:divBdr>
    </w:div>
    <w:div w:id="1741125879">
      <w:bodyDiv w:val="1"/>
      <w:marLeft w:val="0"/>
      <w:marRight w:val="0"/>
      <w:marTop w:val="0"/>
      <w:marBottom w:val="0"/>
      <w:divBdr>
        <w:top w:val="none" w:sz="0" w:space="0" w:color="auto"/>
        <w:left w:val="none" w:sz="0" w:space="0" w:color="auto"/>
        <w:bottom w:val="none" w:sz="0" w:space="0" w:color="auto"/>
        <w:right w:val="none" w:sz="0" w:space="0" w:color="auto"/>
      </w:divBdr>
    </w:div>
    <w:div w:id="18951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hyperlink" Target="https://browser.ihtsdotools.org/?perspective=full&amp;conceptId1=248153007" TargetMode="External"/><Relationship Id="rId39" Type="http://schemas.openxmlformats.org/officeDocument/2006/relationships/footer" Target="footer6.xml"/><Relationship Id="rId21" Type="http://schemas.openxmlformats.org/officeDocument/2006/relationships/hyperlink" Target="https://www.health.govt.nz/publication/cardiovascular-disease-risk-assessment-and-management-primary-care" TargetMode="External"/><Relationship Id="rId34" Type="http://schemas.openxmlformats.org/officeDocument/2006/relationships/hyperlink" Target="https://browser.ihtsdotools.org/?perspective=full&amp;conceptId1=50761000210106&amp;edition=MAIN/SNOMEDCT-NZ/2020-04-01"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otago.ac.nz/wellington/departments/publichealth/research/hirp/otago020194.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t.nz/nz-health-statistics/classification-and-terminology/new-zealand-snomed-ct-national-release-centre/snomed-ct-subsets-and-maps" TargetMode="External"/><Relationship Id="rId32" Type="http://schemas.openxmlformats.org/officeDocument/2006/relationships/hyperlink" Target="https://browser.ihtsdotools.org/?perspective=full&amp;conceptId1=386965004&amp;edition=en-edition&amp;release=v20180731&amp;server=https://browser.ihtsdotools.org/api/v1/snomed&amp;langRefset=900000000000509007" TargetMode="External"/><Relationship Id="rId37" Type="http://schemas.openxmlformats.org/officeDocument/2006/relationships/hyperlink" Target="https://browser.ihtsdotools.org/?perspective=full&amp;conceptId1=50571000210107&amp;edition=MAIN/SNOMEDCT-NZ/2020-04-01" TargetMode="External"/><Relationship Id="rId40"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onfluence.ihtsdotools.org/display/DOCSEARCH/SNOMED+CT+Search+and+Data+Entry+Guide" TargetMode="External"/><Relationship Id="rId28" Type="http://schemas.openxmlformats.org/officeDocument/2006/relationships/hyperlink" Target="http://aria.stats.govt.nz/aria/?_ga=2.75320529.294646729.1590721436-1806882675.1588740120" TargetMode="External"/><Relationship Id="rId36" Type="http://schemas.openxmlformats.org/officeDocument/2006/relationships/hyperlink" Target="https://browser.ihtsdotools.org/?perspective=full&amp;conceptId1=50671000210108&amp;edition=MAIN/SNOMEDCT-NZ/2020-04-01&amp;release=&amp;languages=en"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browser.ihtsdotools.org/?perspective=full&amp;conceptId1=387585004&amp;edition=en-edition&amp;release=v20180731&amp;server=https://browser.ihtsdotools.org/api/v1/snomed&amp;langRefset=9000000000005090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browser.snomedtools.org/" TargetMode="External"/><Relationship Id="rId27" Type="http://schemas.openxmlformats.org/officeDocument/2006/relationships/hyperlink" Target="https://www.health.govt.nz/publication/hiso-100012017-ethnicity-data-protocols" TargetMode="External"/><Relationship Id="rId30" Type="http://schemas.openxmlformats.org/officeDocument/2006/relationships/image" Target="media/image6.png"/><Relationship Id="rId35" Type="http://schemas.openxmlformats.org/officeDocument/2006/relationships/hyperlink" Target="https://www.yourheartengine.co.nz/version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view.nzmt.org.nz/home" TargetMode="External"/><Relationship Id="rId33" Type="http://schemas.openxmlformats.org/officeDocument/2006/relationships/hyperlink" Target="https://browser.ihtsdotools.org/?perspective=full&amp;conceptId1=50721000210104&amp;edition=MAIN/SNOMEDCT-NZ/2020-04-01" TargetMode="External"/><Relationship Id="rId38"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DB467AD5574C7CB5C6D1E21CBFE80B"/>
        <w:category>
          <w:name w:val="General"/>
          <w:gallery w:val="placeholder"/>
        </w:category>
        <w:types>
          <w:type w:val="bbPlcHdr"/>
        </w:types>
        <w:behaviors>
          <w:behavior w:val="content"/>
        </w:behaviors>
        <w:guid w:val="{C124942E-154E-4FBE-B68F-578B9AEC2DE7}"/>
      </w:docPartPr>
      <w:docPartBody>
        <w:p w:rsidR="00E41C41" w:rsidRDefault="00461514">
          <w:r w:rsidRPr="00A33968">
            <w:rPr>
              <w:rStyle w:val="PlaceholderText"/>
            </w:rPr>
            <w:t>[Title]</w:t>
          </w:r>
        </w:p>
      </w:docPartBody>
    </w:docPart>
    <w:docPart>
      <w:docPartPr>
        <w:name w:val="789F328700DD40DFAEBABF7B9D3C0DA5"/>
        <w:category>
          <w:name w:val="General"/>
          <w:gallery w:val="placeholder"/>
        </w:category>
        <w:types>
          <w:type w:val="bbPlcHdr"/>
        </w:types>
        <w:behaviors>
          <w:behavior w:val="content"/>
        </w:behaviors>
        <w:guid w:val="{398FAE70-6F01-4299-9022-5EA91D51E716}"/>
      </w:docPartPr>
      <w:docPartBody>
        <w:p w:rsidR="00E41C41" w:rsidRDefault="00461514">
          <w:r w:rsidRPr="00A33968">
            <w:rPr>
              <w:rStyle w:val="PlaceholderText"/>
            </w:rPr>
            <w:t>[Title]</w:t>
          </w:r>
        </w:p>
      </w:docPartBody>
    </w:docPart>
    <w:docPart>
      <w:docPartPr>
        <w:name w:val="D99B0EF165D94354BFC36BC301F78B91"/>
        <w:category>
          <w:name w:val="General"/>
          <w:gallery w:val="placeholder"/>
        </w:category>
        <w:types>
          <w:type w:val="bbPlcHdr"/>
        </w:types>
        <w:behaviors>
          <w:behavior w:val="content"/>
        </w:behaviors>
        <w:guid w:val="{EF333D7D-2129-4979-9B7D-538D2FB60ACD}"/>
      </w:docPartPr>
      <w:docPartBody>
        <w:p w:rsidR="00E41C41" w:rsidRDefault="00461514">
          <w:r w:rsidRPr="00A339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514"/>
    <w:rsid w:val="00011ADB"/>
    <w:rsid w:val="000A2344"/>
    <w:rsid w:val="000A5A13"/>
    <w:rsid w:val="000C155B"/>
    <w:rsid w:val="000C2130"/>
    <w:rsid w:val="000D407A"/>
    <w:rsid w:val="001028F8"/>
    <w:rsid w:val="00111AD1"/>
    <w:rsid w:val="00131EBC"/>
    <w:rsid w:val="001478F6"/>
    <w:rsid w:val="001528F2"/>
    <w:rsid w:val="00153B65"/>
    <w:rsid w:val="001857B3"/>
    <w:rsid w:val="001B605C"/>
    <w:rsid w:val="001E6829"/>
    <w:rsid w:val="001E79DC"/>
    <w:rsid w:val="00215E95"/>
    <w:rsid w:val="00224354"/>
    <w:rsid w:val="00280DBB"/>
    <w:rsid w:val="002B0FC1"/>
    <w:rsid w:val="00326D39"/>
    <w:rsid w:val="003731BE"/>
    <w:rsid w:val="0038512C"/>
    <w:rsid w:val="003D6379"/>
    <w:rsid w:val="003F36E9"/>
    <w:rsid w:val="00411C2E"/>
    <w:rsid w:val="00446687"/>
    <w:rsid w:val="0045151A"/>
    <w:rsid w:val="00461514"/>
    <w:rsid w:val="00470869"/>
    <w:rsid w:val="00474A93"/>
    <w:rsid w:val="004835EA"/>
    <w:rsid w:val="004A1E4F"/>
    <w:rsid w:val="004C35D3"/>
    <w:rsid w:val="004E3223"/>
    <w:rsid w:val="00522383"/>
    <w:rsid w:val="00550FFD"/>
    <w:rsid w:val="005E4EFA"/>
    <w:rsid w:val="005F0518"/>
    <w:rsid w:val="00612913"/>
    <w:rsid w:val="00612EDC"/>
    <w:rsid w:val="00614EE7"/>
    <w:rsid w:val="006271D9"/>
    <w:rsid w:val="006E469D"/>
    <w:rsid w:val="00711A8B"/>
    <w:rsid w:val="00732CE8"/>
    <w:rsid w:val="00774F19"/>
    <w:rsid w:val="007E5561"/>
    <w:rsid w:val="00817914"/>
    <w:rsid w:val="00826A35"/>
    <w:rsid w:val="008815C8"/>
    <w:rsid w:val="008A18B6"/>
    <w:rsid w:val="008B1100"/>
    <w:rsid w:val="00915196"/>
    <w:rsid w:val="00920884"/>
    <w:rsid w:val="009C2790"/>
    <w:rsid w:val="009D76FA"/>
    <w:rsid w:val="00A70DD9"/>
    <w:rsid w:val="00A97D94"/>
    <w:rsid w:val="00AB6C8E"/>
    <w:rsid w:val="00AC784B"/>
    <w:rsid w:val="00AE12CB"/>
    <w:rsid w:val="00B5219C"/>
    <w:rsid w:val="00BD7495"/>
    <w:rsid w:val="00C2431B"/>
    <w:rsid w:val="00C44E36"/>
    <w:rsid w:val="00C45D98"/>
    <w:rsid w:val="00C82014"/>
    <w:rsid w:val="00C94807"/>
    <w:rsid w:val="00CA4882"/>
    <w:rsid w:val="00CB1599"/>
    <w:rsid w:val="00CD53BA"/>
    <w:rsid w:val="00CE0A84"/>
    <w:rsid w:val="00CE21B1"/>
    <w:rsid w:val="00D0102E"/>
    <w:rsid w:val="00D62E7E"/>
    <w:rsid w:val="00DA1FE0"/>
    <w:rsid w:val="00DC189E"/>
    <w:rsid w:val="00E41C41"/>
    <w:rsid w:val="00E54FC8"/>
    <w:rsid w:val="00E83666"/>
    <w:rsid w:val="00E958A0"/>
    <w:rsid w:val="00E97F2A"/>
    <w:rsid w:val="00EF00A3"/>
    <w:rsid w:val="00F00309"/>
    <w:rsid w:val="00F06E2A"/>
    <w:rsid w:val="00F11A15"/>
    <w:rsid w:val="00F16F63"/>
    <w:rsid w:val="00F27AA3"/>
    <w:rsid w:val="00F42A0D"/>
    <w:rsid w:val="00FD499A"/>
    <w:rsid w:val="00FE4A6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1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5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d4c6fe1a-0fe3-451d-b9ee-5a18cb762014" xsi:nil="true"/>
    <TaxCatchAll xmlns="00a4df5b-51f4-4e7a-b755-8a381a6dfbc5" xsi:nil="true"/>
    <lcf76f155ced4ddcb4097134ff3c332f xmlns="d4c6fe1a-0fe3-451d-b9ee-5a18cb7620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258CB01D5AD47A3CA063BCE56445F" ma:contentTypeVersion="14" ma:contentTypeDescription="Create a new document." ma:contentTypeScope="" ma:versionID="83e1ef0b271613513cc2bba2b27bc1a3">
  <xsd:schema xmlns:xsd="http://www.w3.org/2001/XMLSchema" xmlns:xs="http://www.w3.org/2001/XMLSchema" xmlns:p="http://schemas.microsoft.com/office/2006/metadata/properties" xmlns:ns2="d4c6fe1a-0fe3-451d-b9ee-5a18cb762014" xmlns:ns3="00a4df5b-51f4-4e7a-b755-8a381a6dfbc5" xmlns:ns4="2e4b61e4-3351-4a26-b2fa-3d5e54b20131" targetNamespace="http://schemas.microsoft.com/office/2006/metadata/properties" ma:root="true" ma:fieldsID="576bbe0dacb3da524f25adc40214d379" ns2:_="" ns3:_="" ns4:_="">
    <xsd:import namespace="d4c6fe1a-0fe3-451d-b9ee-5a18cb762014"/>
    <xsd:import namespace="00a4df5b-51f4-4e7a-b755-8a381a6dfbc5"/>
    <xsd:import namespace="2e4b61e4-3351-4a26-b2fa-3d5e54b201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6fe1a-0fe3-451d-b9ee-5a18cb762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2" nillable="true" ma:displayName="Comment" ma:format="Dropdown" ma:internalName="Comment">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001d7a-036a-4bba-bec8-92973f77986c}" ma:internalName="TaxCatchAll" ma:showField="CatchAllData" ma:web="2e4b61e4-3351-4a26-b2fa-3d5e54b201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b61e4-3351-4a26-b2fa-3d5e54b2013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5AF41-9842-4547-BE10-92F2C33C2E91}">
  <ds:schemaRefs>
    <ds:schemaRef ds:uri="http://schemas.microsoft.com/office/2006/metadata/properties"/>
    <ds:schemaRef ds:uri="http://schemas.microsoft.com/office/infopath/2007/PartnerControls"/>
    <ds:schemaRef ds:uri="d4c6fe1a-0fe3-451d-b9ee-5a18cb762014"/>
    <ds:schemaRef ds:uri="00a4df5b-51f4-4e7a-b755-8a381a6dfbc5"/>
  </ds:schemaRefs>
</ds:datastoreItem>
</file>

<file path=customXml/itemProps2.xml><?xml version="1.0" encoding="utf-8"?>
<ds:datastoreItem xmlns:ds="http://schemas.openxmlformats.org/officeDocument/2006/customXml" ds:itemID="{619A4030-41AE-4A87-912E-790300ABB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6fe1a-0fe3-451d-b9ee-5a18cb762014"/>
    <ds:schemaRef ds:uri="00a4df5b-51f4-4e7a-b755-8a381a6dfbc5"/>
    <ds:schemaRef ds:uri="2e4b61e4-3351-4a26-b2fa-3d5e54b20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A57B4-3AAA-4AB0-A2F6-E80668F0DD78}">
  <ds:schemaRefs>
    <ds:schemaRef ds:uri="http://schemas.openxmlformats.org/officeDocument/2006/bibliography"/>
  </ds:schemaRefs>
</ds:datastoreItem>
</file>

<file path=customXml/itemProps4.xml><?xml version="1.0" encoding="utf-8"?>
<ds:datastoreItem xmlns:ds="http://schemas.openxmlformats.org/officeDocument/2006/customXml" ds:itemID="{B8F3D44A-E59E-498D-A187-3D96AA5D7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42</Pages>
  <Words>10824</Words>
  <Characters>61703</Characters>
  <Application>Microsoft Office Word</Application>
  <DocSecurity>0</DocSecurity>
  <Lines>514</Lines>
  <Paragraphs>144</Paragraphs>
  <ScaleCrop>false</ScaleCrop>
  <Company>Microsoft</Company>
  <LinksUpToDate>false</LinksUpToDate>
  <CharactersWithSpaces>72383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HISO 10071:2019 cvd risk assessment data standard</dc:title>
  <dc:subject/>
  <dc:creator>Ministry of Health</dc:creator>
  <cp:keywords/>
  <cp:lastModifiedBy>Evan Li</cp:lastModifiedBy>
  <cp:revision>104</cp:revision>
  <cp:lastPrinted>2024-09-04T03:17:00Z</cp:lastPrinted>
  <dcterms:created xsi:type="dcterms:W3CDTF">2024-09-03T23:13:00Z</dcterms:created>
  <dcterms:modified xsi:type="dcterms:W3CDTF">2024-09-04T03:17:00Z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0x010100E38258CB01D5AD47A3CA063BCE56445F</vt:lpwstr>
  </property>
  <property fmtid="{D5CDD505-2E9C-101B-9397-08002B2CF9AE}" pid="3" name="MediaServiceImageTags">
    <vt:lpwstr/>
  </property>
</Properties>
</file>