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Change Notification:  </w:t>
            </w:r>
          </w:p>
          <w:p w14:paraId="4907EA6A" w14:textId="6A49918F" w:rsidR="0072079F" w:rsidRPr="008433F4" w:rsidRDefault="0072079F" w:rsidP="00F63453">
            <w:pPr>
              <w:rPr>
                <w:rFonts w:ascii="Arial" w:hAnsi="Arial" w:cs="Arial"/>
                <w:bCs/>
                <w:sz w:val="20"/>
                <w:szCs w:val="20"/>
              </w:rPr>
            </w:pPr>
            <w:r w:rsidRPr="008433F4">
              <w:rPr>
                <w:rFonts w:ascii="Arial" w:hAnsi="Arial" w:cs="Arial"/>
                <w:bCs/>
                <w:sz w:val="20"/>
                <w:szCs w:val="20"/>
              </w:rPr>
              <w:t>cn_202</w:t>
            </w:r>
            <w:r w:rsidR="0019788F">
              <w:rPr>
                <w:rFonts w:ascii="Arial" w:hAnsi="Arial" w:cs="Arial"/>
                <w:bCs/>
                <w:sz w:val="20"/>
                <w:szCs w:val="20"/>
              </w:rPr>
              <w:t>3</w:t>
            </w:r>
            <w:r w:rsidRPr="008433F4">
              <w:rPr>
                <w:rFonts w:ascii="Arial" w:hAnsi="Arial" w:cs="Arial"/>
                <w:bCs/>
                <w:sz w:val="20"/>
                <w:szCs w:val="20"/>
              </w:rPr>
              <w:t>_NCAMP_</w:t>
            </w:r>
            <w:r w:rsidR="0072232D">
              <w:rPr>
                <w:rFonts w:ascii="Arial" w:hAnsi="Arial" w:cs="Arial"/>
                <w:bCs/>
                <w:sz w:val="20"/>
                <w:szCs w:val="20"/>
              </w:rPr>
              <w:t>AR-DRG v10.0 Upgrade</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79C7E497"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19788F">
              <w:rPr>
                <w:rFonts w:ascii="Arial" w:hAnsi="Arial" w:cs="Arial"/>
                <w:bCs/>
                <w:sz w:val="20"/>
                <w:szCs w:val="20"/>
              </w:rPr>
              <w:t>5</w:t>
            </w:r>
            <w:r w:rsidRPr="008433F4">
              <w:rPr>
                <w:rFonts w:ascii="Arial" w:hAnsi="Arial" w:cs="Arial"/>
                <w:bCs/>
                <w:sz w:val="20"/>
                <w:szCs w:val="20"/>
              </w:rPr>
              <w:t xml:space="preserve"> December 2022</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77777777"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2023</w:t>
            </w:r>
          </w:p>
        </w:tc>
        <w:tc>
          <w:tcPr>
            <w:tcW w:w="5137" w:type="dxa"/>
            <w:tcBorders>
              <w:top w:val="single" w:sz="12" w:space="0" w:color="BEECF4"/>
            </w:tcBorders>
            <w:shd w:val="clear" w:color="auto" w:fill="FFFFFF"/>
          </w:tcPr>
          <w:p w14:paraId="39A840AB" w14:textId="301997D9"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72232D" w:rsidRPr="0072232D">
              <w:rPr>
                <w:rFonts w:ascii="Arial" w:hAnsi="Arial" w:cs="Arial"/>
                <w:sz w:val="20"/>
                <w:szCs w:val="20"/>
              </w:rPr>
              <w:t>Australian Refined Diagnosis Related Groups (AR-DRG) v10.0 Upgrade</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A012AAE" w14:textId="77777777" w:rsidR="0072079F" w:rsidRPr="00C54C9B" w:rsidRDefault="0072079F" w:rsidP="00F63453">
            <w:pPr>
              <w:spacing w:before="120" w:after="120"/>
              <w:rPr>
                <w:rFonts w:ascii="Arial" w:hAnsi="Arial" w:cs="Arial"/>
                <w:b/>
                <w:sz w:val="20"/>
                <w:szCs w:val="20"/>
              </w:rPr>
            </w:pPr>
            <w:r w:rsidRPr="00C54C9B">
              <w:rPr>
                <w:rFonts w:ascii="Arial" w:hAnsi="Arial" w:cs="Arial"/>
                <w:b/>
                <w:sz w:val="20"/>
                <w:szCs w:val="20"/>
              </w:rPr>
              <w:t>Summary:</w:t>
            </w:r>
          </w:p>
          <w:p w14:paraId="2BE62CBA" w14:textId="77777777" w:rsidR="00C54C9B" w:rsidRPr="00F552EA" w:rsidRDefault="00C54C9B" w:rsidP="00C54C9B">
            <w:p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t>The Australian Refined Diagnosis Related Groups (AR-DRG) is a patient classification system that provides a clinically meaningful way of relating the types of patients treated in a hospital to the resources required by the hospital.</w:t>
            </w:r>
          </w:p>
          <w:p w14:paraId="384E9830" w14:textId="77777777" w:rsidR="00C54C9B" w:rsidRPr="00F552EA" w:rsidRDefault="00C54C9B" w:rsidP="00C54C9B">
            <w:pPr>
              <w:spacing w:after="0" w:line="240" w:lineRule="auto"/>
              <w:jc w:val="both"/>
              <w:rPr>
                <w:rFonts w:ascii="Arial" w:eastAsia="Times New Roman" w:hAnsi="Arial" w:cs="Arial"/>
                <w:sz w:val="20"/>
                <w:szCs w:val="20"/>
                <w:lang w:eastAsia="ar-SA"/>
              </w:rPr>
            </w:pPr>
          </w:p>
          <w:p w14:paraId="3A314141" w14:textId="2F310E0C" w:rsidR="00C54C9B" w:rsidRPr="00F552EA" w:rsidRDefault="00C54C9B" w:rsidP="00C54C9B">
            <w:p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t xml:space="preserve">The National Minimum Dataset (NMDS) uses AR-DRG grouping software as part of the load process into the transactional system. The AR-DRG software creates and populates several fields from the NMDS load data for each </w:t>
            </w:r>
            <w:r w:rsidR="00C0322F">
              <w:rPr>
                <w:rFonts w:ascii="Arial" w:eastAsia="Times New Roman" w:hAnsi="Arial" w:cs="Arial"/>
                <w:sz w:val="20"/>
                <w:szCs w:val="20"/>
                <w:lang w:eastAsia="ar-SA"/>
              </w:rPr>
              <w:t xml:space="preserve">event </w:t>
            </w:r>
            <w:r w:rsidRPr="00F552EA">
              <w:rPr>
                <w:rFonts w:ascii="Arial" w:eastAsia="Times New Roman" w:hAnsi="Arial" w:cs="Arial"/>
                <w:sz w:val="20"/>
                <w:szCs w:val="20"/>
                <w:lang w:eastAsia="ar-SA"/>
              </w:rPr>
              <w:t>record. Assigning a DRG to a</w:t>
            </w:r>
            <w:r w:rsidR="00C0322F">
              <w:rPr>
                <w:rFonts w:ascii="Arial" w:eastAsia="Times New Roman" w:hAnsi="Arial" w:cs="Arial"/>
                <w:sz w:val="20"/>
                <w:szCs w:val="20"/>
                <w:lang w:eastAsia="ar-SA"/>
              </w:rPr>
              <w:t>n</w:t>
            </w:r>
            <w:r w:rsidRPr="00F552EA">
              <w:rPr>
                <w:rFonts w:ascii="Arial" w:eastAsia="Times New Roman" w:hAnsi="Arial" w:cs="Arial"/>
                <w:sz w:val="20"/>
                <w:szCs w:val="20"/>
                <w:lang w:eastAsia="ar-SA"/>
              </w:rPr>
              <w:t xml:space="preserve"> event </w:t>
            </w:r>
            <w:r w:rsidR="004E6667">
              <w:rPr>
                <w:rFonts w:ascii="Arial" w:eastAsia="Times New Roman" w:hAnsi="Arial" w:cs="Arial"/>
                <w:sz w:val="20"/>
                <w:szCs w:val="20"/>
                <w:lang w:eastAsia="ar-SA"/>
              </w:rPr>
              <w:t xml:space="preserve">record </w:t>
            </w:r>
            <w:r w:rsidRPr="00F552EA">
              <w:rPr>
                <w:rFonts w:ascii="Arial" w:eastAsia="Times New Roman" w:hAnsi="Arial" w:cs="Arial"/>
                <w:sz w:val="20"/>
                <w:szCs w:val="20"/>
                <w:lang w:eastAsia="ar-SA"/>
              </w:rPr>
              <w:t>is a method whereby episodes of care are categorised by both clinical homogeneity and similar hospital resource use. A DRG is allocated to every event record loaded into the NMDS. This allocation is based on several variables relating to the event including diagnoses and procedures that are reported using the clinical coding classification ICD-10-AM/ACHI/ACS.</w:t>
            </w:r>
          </w:p>
          <w:p w14:paraId="39CF1F8A" w14:textId="379FAC32" w:rsidR="00C54C9B" w:rsidRPr="00C54C9B" w:rsidRDefault="00C54C9B" w:rsidP="002F1E9B">
            <w:pPr>
              <w:spacing w:after="0" w:line="240" w:lineRule="auto"/>
              <w:jc w:val="both"/>
              <w:rPr>
                <w:rFonts w:ascii="Arial" w:eastAsia="Times New Roman" w:hAnsi="Arial" w:cs="Arial"/>
                <w:sz w:val="20"/>
                <w:szCs w:val="20"/>
                <w:lang w:eastAsia="ar-SA"/>
              </w:rPr>
            </w:pPr>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77300E47" w:rsidR="0072079F" w:rsidRPr="008433F4" w:rsidRDefault="00A97690" w:rsidP="00F63453">
            <w:pPr>
              <w:spacing w:before="120" w:after="120" w:line="240" w:lineRule="exact"/>
              <w:jc w:val="both"/>
              <w:rPr>
                <w:rFonts w:ascii="Arial" w:hAnsi="Arial" w:cs="Arial"/>
                <w:sz w:val="20"/>
                <w:szCs w:val="20"/>
              </w:rPr>
            </w:pPr>
            <w:r>
              <w:rPr>
                <w:rFonts w:ascii="Arial" w:hAnsi="Arial" w:cs="Arial"/>
                <w:sz w:val="20"/>
                <w:szCs w:val="20"/>
              </w:rPr>
              <w:t>NMDS</w:t>
            </w:r>
          </w:p>
        </w:tc>
      </w:tr>
      <w:tr w:rsidR="0072079F" w:rsidRPr="008433F4" w14:paraId="714A1942" w14:textId="77777777" w:rsidTr="00E4170D">
        <w:tblPrEx>
          <w:tblBorders>
            <w:bottom w:val="none" w:sz="0" w:space="0" w:color="auto"/>
          </w:tblBorders>
        </w:tblPrEx>
        <w:trPr>
          <w:trHeight w:val="936"/>
        </w:trPr>
        <w:tc>
          <w:tcPr>
            <w:tcW w:w="9390" w:type="dxa"/>
            <w:gridSpan w:val="3"/>
            <w:shd w:val="clear" w:color="auto" w:fill="auto"/>
          </w:tcPr>
          <w:p w14:paraId="45DDF668" w14:textId="77777777" w:rsidR="0072079F" w:rsidRPr="008A02C2" w:rsidRDefault="0072079F" w:rsidP="00F63453">
            <w:pPr>
              <w:spacing w:before="120" w:after="120" w:line="240" w:lineRule="auto"/>
              <w:rPr>
                <w:rFonts w:ascii="Arial" w:hAnsi="Arial" w:cs="Arial"/>
                <w:b/>
                <w:sz w:val="20"/>
                <w:szCs w:val="20"/>
              </w:rPr>
            </w:pPr>
            <w:r w:rsidRPr="008A02C2">
              <w:rPr>
                <w:rFonts w:ascii="Arial" w:hAnsi="Arial" w:cs="Arial"/>
                <w:b/>
                <w:sz w:val="20"/>
                <w:szCs w:val="20"/>
              </w:rPr>
              <w:t xml:space="preserve">Context of the Change: </w:t>
            </w:r>
          </w:p>
          <w:p w14:paraId="53261998" w14:textId="77777777" w:rsidR="0072079F" w:rsidRDefault="00D211DF" w:rsidP="00F63453">
            <w:pPr>
              <w:pStyle w:val="NormalWeb"/>
              <w:shd w:val="clear" w:color="auto" w:fill="FFFFFF"/>
              <w:spacing w:before="120" w:after="120"/>
              <w:rPr>
                <w:rFonts w:cs="Arial"/>
                <w:bCs/>
                <w:sz w:val="20"/>
                <w:szCs w:val="20"/>
              </w:rPr>
            </w:pPr>
            <w:r w:rsidRPr="00CA3D0D">
              <w:rPr>
                <w:rFonts w:cs="Arial"/>
                <w:bCs/>
                <w:sz w:val="20"/>
                <w:szCs w:val="20"/>
              </w:rPr>
              <w:t>The AR-DRG upgrade is part of the National Cost Collection and Pricing Programme (NCCPP) and WIESNZ development and has been approved by the sector Technical Reference Group (TRG).</w:t>
            </w:r>
          </w:p>
          <w:p w14:paraId="77B0B18F" w14:textId="77777777" w:rsidR="002F1E9B" w:rsidRPr="00F552EA" w:rsidRDefault="002F1E9B" w:rsidP="002F1E9B">
            <w:p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t>The 2021 National Costing Collection Pricing Programme (NCCPP) work year should have been a major change year involving the upgrade to the new DRG version, AR-DRG v10. The upgrade to AR-DRG v10 did not occur in FY 2022/23 due to two main reasons:</w:t>
            </w:r>
          </w:p>
          <w:p w14:paraId="5098B6E1" w14:textId="77777777" w:rsidR="002F1E9B" w:rsidRPr="00F552EA" w:rsidRDefault="002F1E9B" w:rsidP="002F1E9B">
            <w:pPr>
              <w:spacing w:after="0" w:line="240" w:lineRule="auto"/>
              <w:jc w:val="both"/>
              <w:rPr>
                <w:rFonts w:ascii="Arial" w:eastAsia="Times New Roman" w:hAnsi="Arial" w:cs="Arial"/>
                <w:sz w:val="20"/>
                <w:szCs w:val="20"/>
                <w:lang w:eastAsia="ar-SA"/>
              </w:rPr>
            </w:pPr>
          </w:p>
          <w:p w14:paraId="0DACC05D" w14:textId="77777777" w:rsidR="002F1E9B" w:rsidRPr="00F552EA" w:rsidRDefault="002F1E9B" w:rsidP="002F1E9B">
            <w:pPr>
              <w:numPr>
                <w:ilvl w:val="0"/>
                <w:numId w:val="41"/>
              </w:num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t>many hospitals did not upgrade to the ICD-10-AM/ACHI/ACS Eleventh Edition classification 1 July 2019, which meant the 2019/20 NMDS data was coded in both ICD-10-AM/ACHI Eighth and Eleventh Editions.</w:t>
            </w:r>
          </w:p>
          <w:p w14:paraId="375C7578" w14:textId="77777777" w:rsidR="002F1E9B" w:rsidRPr="00F552EA" w:rsidRDefault="002F1E9B" w:rsidP="002F1E9B">
            <w:pPr>
              <w:numPr>
                <w:ilvl w:val="0"/>
                <w:numId w:val="41"/>
              </w:num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t xml:space="preserve">there was a mismatch between the overall costs and expected volumes that arose from COVID-19 lockdown in the fourth quarter of 2019/20. Therefore, the </w:t>
            </w:r>
            <w:proofErr w:type="spellStart"/>
            <w:r w:rsidRPr="00F552EA">
              <w:rPr>
                <w:rFonts w:ascii="Arial" w:eastAsia="Times New Roman" w:hAnsi="Arial" w:cs="Arial"/>
                <w:sz w:val="20"/>
                <w:szCs w:val="20"/>
                <w:lang w:eastAsia="ar-SA"/>
              </w:rPr>
              <w:t>Casemix</w:t>
            </w:r>
            <w:proofErr w:type="spellEnd"/>
            <w:r w:rsidRPr="00F552EA">
              <w:rPr>
                <w:rFonts w:ascii="Arial" w:eastAsia="Times New Roman" w:hAnsi="Arial" w:cs="Arial"/>
                <w:sz w:val="20"/>
                <w:szCs w:val="20"/>
                <w:lang w:eastAsia="ar-SA"/>
              </w:rPr>
              <w:t xml:space="preserve"> and Non-</w:t>
            </w:r>
            <w:proofErr w:type="spellStart"/>
            <w:r w:rsidRPr="00F552EA">
              <w:rPr>
                <w:rFonts w:ascii="Arial" w:eastAsia="Times New Roman" w:hAnsi="Arial" w:cs="Arial"/>
                <w:sz w:val="20"/>
                <w:szCs w:val="20"/>
                <w:lang w:eastAsia="ar-SA"/>
              </w:rPr>
              <w:t>Casemix</w:t>
            </w:r>
            <w:proofErr w:type="spellEnd"/>
            <w:r w:rsidRPr="00F552EA">
              <w:rPr>
                <w:rFonts w:ascii="Arial" w:eastAsia="Times New Roman" w:hAnsi="Arial" w:cs="Arial"/>
                <w:sz w:val="20"/>
                <w:szCs w:val="20"/>
                <w:lang w:eastAsia="ar-SA"/>
              </w:rPr>
              <w:t xml:space="preserve"> Groups recommendation was not to use the 2019/20 event level cost data.  </w:t>
            </w:r>
          </w:p>
          <w:p w14:paraId="71135395" w14:textId="77777777" w:rsidR="002F1E9B" w:rsidRPr="00F552EA" w:rsidRDefault="002F1E9B" w:rsidP="002F1E9B">
            <w:pPr>
              <w:spacing w:after="0" w:line="240" w:lineRule="auto"/>
              <w:jc w:val="both"/>
              <w:rPr>
                <w:rFonts w:ascii="Arial" w:eastAsia="Times New Roman" w:hAnsi="Arial" w:cs="Arial"/>
                <w:sz w:val="20"/>
                <w:szCs w:val="20"/>
                <w:lang w:eastAsia="ar-SA"/>
              </w:rPr>
            </w:pPr>
          </w:p>
          <w:p w14:paraId="0D7A76EA" w14:textId="77777777" w:rsidR="002F1E9B" w:rsidRPr="00F552EA" w:rsidRDefault="002F1E9B" w:rsidP="002F1E9B">
            <w:p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t xml:space="preserve">Due to these reasons the decision was made not to upgrade to AR-DRG v10.0 1 July 2022, and to wait for a full year of NMDS data coded in ICD-10-AM/ACHI/ACS Eleventh Edition and cost data.  </w:t>
            </w:r>
          </w:p>
          <w:p w14:paraId="2E30A52F" w14:textId="77777777" w:rsidR="002F1E9B" w:rsidRPr="00F552EA" w:rsidRDefault="002F1E9B" w:rsidP="002F1E9B">
            <w:pPr>
              <w:spacing w:after="0" w:line="240" w:lineRule="auto"/>
              <w:jc w:val="both"/>
              <w:rPr>
                <w:rFonts w:ascii="Arial" w:eastAsia="Times New Roman" w:hAnsi="Arial" w:cs="Arial"/>
                <w:sz w:val="20"/>
                <w:szCs w:val="20"/>
                <w:lang w:eastAsia="ar-SA"/>
              </w:rPr>
            </w:pPr>
          </w:p>
          <w:p w14:paraId="218AF484" w14:textId="77777777" w:rsidR="002F1E9B" w:rsidRDefault="002F1E9B" w:rsidP="002F1E9B">
            <w:p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t xml:space="preserve">The 2022 NCCPP work year included the upgrade to AR-DRG v10.0 with a full set of new cost weights (WIESNZ23). AR-DRG v10.0 accepts ICD-10-AM/ACHI Eleventh Edition codes. </w:t>
            </w:r>
          </w:p>
          <w:p w14:paraId="6F42D09D" w14:textId="0687C486" w:rsidR="002F1E9B" w:rsidRPr="002F1E9B" w:rsidRDefault="002F1E9B" w:rsidP="002F1E9B">
            <w:pPr>
              <w:spacing w:after="0" w:line="240" w:lineRule="auto"/>
              <w:jc w:val="both"/>
              <w:rPr>
                <w:rFonts w:ascii="Arial" w:eastAsia="Times New Roman" w:hAnsi="Arial" w:cs="Arial"/>
                <w:sz w:val="20"/>
                <w:szCs w:val="20"/>
                <w:lang w:eastAsia="ar-SA"/>
              </w:rPr>
            </w:pPr>
          </w:p>
        </w:tc>
      </w:tr>
      <w:tr w:rsidR="0072079F" w:rsidRPr="008433F4" w14:paraId="3DA7E95A" w14:textId="77777777" w:rsidTr="00E4170D">
        <w:tblPrEx>
          <w:tblBorders>
            <w:bottom w:val="none" w:sz="0" w:space="0" w:color="auto"/>
          </w:tblBorders>
        </w:tblPrEx>
        <w:tc>
          <w:tcPr>
            <w:tcW w:w="9390" w:type="dxa"/>
            <w:gridSpan w:val="3"/>
            <w:shd w:val="clear" w:color="auto" w:fill="BEECF4"/>
          </w:tcPr>
          <w:p w14:paraId="42B7ED7D" w14:textId="365B60E9" w:rsidR="0072079F" w:rsidRDefault="0072079F" w:rsidP="00551191">
            <w:pPr>
              <w:pStyle w:val="BodyText"/>
              <w:spacing w:before="120" w:after="0" w:line="240" w:lineRule="auto"/>
              <w:rPr>
                <w:b/>
                <w:bCs/>
                <w:szCs w:val="20"/>
                <w:lang w:eastAsia="en-NZ"/>
              </w:rPr>
            </w:pPr>
            <w:r w:rsidRPr="008433F4">
              <w:rPr>
                <w:b/>
                <w:bCs/>
                <w:szCs w:val="20"/>
                <w:lang w:eastAsia="en-NZ"/>
              </w:rPr>
              <w:t xml:space="preserve">Details of Proposed Change: </w:t>
            </w:r>
          </w:p>
          <w:p w14:paraId="6AA19772" w14:textId="77777777" w:rsidR="008736D8" w:rsidRPr="008433F4" w:rsidRDefault="008736D8" w:rsidP="008736D8">
            <w:pPr>
              <w:pStyle w:val="BodyText"/>
              <w:spacing w:after="0" w:line="240" w:lineRule="auto"/>
              <w:rPr>
                <w:b/>
                <w:bCs/>
                <w:szCs w:val="20"/>
                <w:lang w:eastAsia="en-NZ"/>
              </w:rPr>
            </w:pPr>
          </w:p>
          <w:p w14:paraId="3E35FBC0" w14:textId="30FBB441" w:rsidR="00836717" w:rsidRPr="00F552EA" w:rsidRDefault="00836717" w:rsidP="008736D8">
            <w:p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t>Due to the delay in upgrading to AR-DRG v10.0 and the impending upgrade to ICD-10-AM/ACHI/ACS Twelfth Edition, event</w:t>
            </w:r>
            <w:r w:rsidR="009F649F">
              <w:rPr>
                <w:rFonts w:ascii="Arial" w:eastAsia="Times New Roman" w:hAnsi="Arial" w:cs="Arial"/>
                <w:sz w:val="20"/>
                <w:szCs w:val="20"/>
                <w:lang w:eastAsia="ar-SA"/>
              </w:rPr>
              <w:t xml:space="preserve"> record</w:t>
            </w:r>
            <w:r w:rsidRPr="00F552EA">
              <w:rPr>
                <w:rFonts w:ascii="Arial" w:eastAsia="Times New Roman" w:hAnsi="Arial" w:cs="Arial"/>
                <w:sz w:val="20"/>
                <w:szCs w:val="20"/>
                <w:lang w:eastAsia="ar-SA"/>
              </w:rPr>
              <w:t xml:space="preserve">s </w:t>
            </w:r>
            <w:r w:rsidR="003907EB">
              <w:rPr>
                <w:rFonts w:ascii="Arial" w:eastAsia="Times New Roman" w:hAnsi="Arial" w:cs="Arial"/>
                <w:sz w:val="20"/>
                <w:szCs w:val="20"/>
                <w:lang w:eastAsia="ar-SA"/>
              </w:rPr>
              <w:t xml:space="preserve">clinically </w:t>
            </w:r>
            <w:r w:rsidRPr="00F552EA">
              <w:rPr>
                <w:rFonts w:ascii="Arial" w:eastAsia="Times New Roman" w:hAnsi="Arial" w:cs="Arial"/>
                <w:sz w:val="20"/>
                <w:szCs w:val="20"/>
                <w:lang w:eastAsia="ar-SA"/>
              </w:rPr>
              <w:t xml:space="preserve">coded in ICD-10-AM/ACHI Twelfth Edition will have their codes back-mapped to ICD-10-AM/ACHI Eleventh Edition which are then used to derive AR-DRG v10.0.  </w:t>
            </w:r>
          </w:p>
          <w:p w14:paraId="3807DD5A" w14:textId="77777777" w:rsidR="00836717" w:rsidRPr="00F552EA" w:rsidRDefault="00836717" w:rsidP="008736D8">
            <w:pPr>
              <w:spacing w:after="0" w:line="240" w:lineRule="auto"/>
              <w:jc w:val="both"/>
              <w:rPr>
                <w:rFonts w:ascii="Arial" w:eastAsia="Times New Roman" w:hAnsi="Arial" w:cs="Arial"/>
                <w:sz w:val="20"/>
                <w:szCs w:val="20"/>
                <w:lang w:eastAsia="ar-SA"/>
              </w:rPr>
            </w:pPr>
          </w:p>
          <w:p w14:paraId="05CEBA5C" w14:textId="07F4BB3A" w:rsidR="00807F37" w:rsidRDefault="00836717" w:rsidP="008736D8">
            <w:p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lastRenderedPageBreak/>
              <w:t>Please note that the AR-DRG v10.0 upgrade is mandatory for National Collections and Reporting</w:t>
            </w:r>
            <w:r w:rsidR="002969F0">
              <w:rPr>
                <w:rFonts w:ascii="Arial" w:eastAsia="Times New Roman" w:hAnsi="Arial" w:cs="Arial"/>
                <w:sz w:val="20"/>
                <w:szCs w:val="20"/>
                <w:lang w:eastAsia="ar-SA"/>
              </w:rPr>
              <w:t xml:space="preserve"> </w:t>
            </w:r>
            <w:r w:rsidR="00CC5734">
              <w:rPr>
                <w:rFonts w:ascii="Arial" w:eastAsia="Times New Roman" w:hAnsi="Arial" w:cs="Arial"/>
                <w:sz w:val="20"/>
                <w:szCs w:val="20"/>
                <w:lang w:eastAsia="ar-SA"/>
              </w:rPr>
              <w:t xml:space="preserve">and is </w:t>
            </w:r>
            <w:r w:rsidR="00192C8F">
              <w:rPr>
                <w:rFonts w:ascii="Arial" w:eastAsia="Times New Roman" w:hAnsi="Arial" w:cs="Arial"/>
                <w:sz w:val="20"/>
                <w:szCs w:val="20"/>
                <w:lang w:eastAsia="ar-SA"/>
              </w:rPr>
              <w:t xml:space="preserve">implemented </w:t>
            </w:r>
            <w:r w:rsidR="00485E9D">
              <w:rPr>
                <w:rFonts w:ascii="Arial" w:eastAsia="Times New Roman" w:hAnsi="Arial" w:cs="Arial"/>
                <w:sz w:val="20"/>
                <w:szCs w:val="20"/>
                <w:lang w:eastAsia="ar-SA"/>
              </w:rPr>
              <w:t xml:space="preserve">simultaneously </w:t>
            </w:r>
            <w:r w:rsidR="006B1606">
              <w:rPr>
                <w:rFonts w:ascii="Arial" w:eastAsia="Times New Roman" w:hAnsi="Arial" w:cs="Arial"/>
                <w:sz w:val="20"/>
                <w:szCs w:val="20"/>
                <w:lang w:eastAsia="ar-SA"/>
              </w:rPr>
              <w:t>with WIESNZ</w:t>
            </w:r>
            <w:r w:rsidR="00192C8F">
              <w:rPr>
                <w:rFonts w:ascii="Arial" w:eastAsia="Times New Roman" w:hAnsi="Arial" w:cs="Arial"/>
                <w:sz w:val="20"/>
                <w:szCs w:val="20"/>
                <w:lang w:eastAsia="ar-SA"/>
              </w:rPr>
              <w:t>23.</w:t>
            </w:r>
          </w:p>
          <w:p w14:paraId="6F86F393" w14:textId="77777777" w:rsidR="008736D8" w:rsidRPr="00F552EA" w:rsidRDefault="008736D8" w:rsidP="008736D8">
            <w:pPr>
              <w:spacing w:after="0" w:line="240" w:lineRule="auto"/>
              <w:jc w:val="both"/>
              <w:rPr>
                <w:rFonts w:ascii="Arial" w:eastAsia="Times New Roman" w:hAnsi="Arial" w:cs="Arial"/>
                <w:sz w:val="20"/>
                <w:szCs w:val="20"/>
                <w:lang w:eastAsia="ar-SA"/>
              </w:rPr>
            </w:pPr>
          </w:p>
          <w:p w14:paraId="273B4A8F" w14:textId="77777777" w:rsidR="008736D8" w:rsidRPr="00F552EA" w:rsidRDefault="008736D8" w:rsidP="008736D8">
            <w:p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t>A new derived NMDS field (ECCS) will be implemented in the warehouse and transactional systems, and the cost weight transactional (WT) record return file (.</w:t>
            </w:r>
            <w:proofErr w:type="spellStart"/>
            <w:r w:rsidRPr="00F552EA">
              <w:rPr>
                <w:rFonts w:ascii="Arial" w:eastAsia="Times New Roman" w:hAnsi="Arial" w:cs="Arial"/>
                <w:sz w:val="20"/>
                <w:szCs w:val="20"/>
                <w:lang w:eastAsia="ar-SA"/>
              </w:rPr>
              <w:t>ndw</w:t>
            </w:r>
            <w:proofErr w:type="spellEnd"/>
            <w:r w:rsidRPr="00F552EA">
              <w:rPr>
                <w:rFonts w:ascii="Arial" w:eastAsia="Times New Roman" w:hAnsi="Arial" w:cs="Arial"/>
                <w:sz w:val="20"/>
                <w:szCs w:val="20"/>
                <w:lang w:eastAsia="ar-SA"/>
              </w:rPr>
              <w:t>)</w:t>
            </w:r>
          </w:p>
          <w:p w14:paraId="28A8290A" w14:textId="77777777" w:rsidR="008736D8" w:rsidRPr="00F552EA" w:rsidRDefault="008736D8" w:rsidP="008736D8">
            <w:pPr>
              <w:spacing w:after="0" w:line="240" w:lineRule="auto"/>
              <w:jc w:val="both"/>
              <w:rPr>
                <w:rFonts w:ascii="Arial" w:eastAsia="Times New Roman" w:hAnsi="Arial" w:cs="Arial"/>
                <w:sz w:val="20"/>
                <w:szCs w:val="20"/>
                <w:lang w:eastAsia="ar-SA"/>
              </w:rPr>
            </w:pPr>
          </w:p>
          <w:tbl>
            <w:tblPr>
              <w:tblStyle w:val="TableGrid"/>
              <w:tblW w:w="0" w:type="auto"/>
              <w:tblLook w:val="04A0" w:firstRow="1" w:lastRow="0" w:firstColumn="1" w:lastColumn="0" w:noHBand="0" w:noVBand="1"/>
            </w:tblPr>
            <w:tblGrid>
              <w:gridCol w:w="1413"/>
              <w:gridCol w:w="701"/>
              <w:gridCol w:w="1269"/>
              <w:gridCol w:w="894"/>
              <w:gridCol w:w="690"/>
              <w:gridCol w:w="4049"/>
            </w:tblGrid>
            <w:tr w:rsidR="008736D8" w:rsidRPr="00F552EA" w14:paraId="65042FBE" w14:textId="77777777" w:rsidTr="00965517">
              <w:tc>
                <w:tcPr>
                  <w:tcW w:w="1413" w:type="dxa"/>
                  <w:vAlign w:val="center"/>
                </w:tcPr>
                <w:p w14:paraId="563B3D59" w14:textId="77777777" w:rsidR="008736D8" w:rsidRPr="00F552EA" w:rsidRDefault="008736D8" w:rsidP="008736D8">
                  <w:pPr>
                    <w:spacing w:line="240" w:lineRule="auto"/>
                    <w:jc w:val="center"/>
                    <w:rPr>
                      <w:rFonts w:ascii="Arial" w:hAnsi="Arial" w:cs="Arial"/>
                      <w:b/>
                      <w:bCs/>
                      <w:sz w:val="20"/>
                      <w:szCs w:val="20"/>
                    </w:rPr>
                  </w:pPr>
                  <w:r w:rsidRPr="00F552EA">
                    <w:rPr>
                      <w:rFonts w:ascii="Arial" w:hAnsi="Arial" w:cs="Arial"/>
                      <w:b/>
                      <w:bCs/>
                      <w:sz w:val="20"/>
                      <w:szCs w:val="20"/>
                    </w:rPr>
                    <w:t>Field Name</w:t>
                  </w:r>
                </w:p>
              </w:tc>
              <w:tc>
                <w:tcPr>
                  <w:tcW w:w="701" w:type="dxa"/>
                  <w:vAlign w:val="center"/>
                </w:tcPr>
                <w:p w14:paraId="39AD5B92" w14:textId="77777777" w:rsidR="008736D8" w:rsidRPr="00F552EA" w:rsidRDefault="008736D8" w:rsidP="008736D8">
                  <w:pPr>
                    <w:spacing w:line="240" w:lineRule="auto"/>
                    <w:jc w:val="center"/>
                    <w:rPr>
                      <w:rFonts w:ascii="Arial" w:hAnsi="Arial" w:cs="Arial"/>
                      <w:b/>
                      <w:bCs/>
                      <w:sz w:val="20"/>
                      <w:szCs w:val="20"/>
                    </w:rPr>
                  </w:pPr>
                  <w:r w:rsidRPr="00F552EA">
                    <w:rPr>
                      <w:rFonts w:ascii="Arial" w:hAnsi="Arial" w:cs="Arial"/>
                      <w:b/>
                      <w:bCs/>
                      <w:sz w:val="20"/>
                      <w:szCs w:val="20"/>
                    </w:rPr>
                    <w:t>Size</w:t>
                  </w:r>
                </w:p>
              </w:tc>
              <w:tc>
                <w:tcPr>
                  <w:tcW w:w="1269" w:type="dxa"/>
                  <w:vAlign w:val="center"/>
                </w:tcPr>
                <w:p w14:paraId="4A9EBA84" w14:textId="77777777" w:rsidR="008736D8" w:rsidRPr="00F552EA" w:rsidRDefault="008736D8" w:rsidP="008736D8">
                  <w:pPr>
                    <w:spacing w:line="240" w:lineRule="auto"/>
                    <w:jc w:val="center"/>
                    <w:rPr>
                      <w:rFonts w:ascii="Arial" w:hAnsi="Arial" w:cs="Arial"/>
                      <w:b/>
                      <w:bCs/>
                      <w:sz w:val="20"/>
                      <w:szCs w:val="20"/>
                    </w:rPr>
                  </w:pPr>
                  <w:r w:rsidRPr="00F552EA">
                    <w:rPr>
                      <w:rFonts w:ascii="Arial" w:hAnsi="Arial" w:cs="Arial"/>
                      <w:b/>
                      <w:bCs/>
                      <w:sz w:val="20"/>
                      <w:szCs w:val="20"/>
                    </w:rPr>
                    <w:t>Data Type</w:t>
                  </w:r>
                </w:p>
              </w:tc>
              <w:tc>
                <w:tcPr>
                  <w:tcW w:w="894" w:type="dxa"/>
                  <w:vAlign w:val="center"/>
                </w:tcPr>
                <w:p w14:paraId="466648EC" w14:textId="77777777" w:rsidR="008736D8" w:rsidRPr="00F552EA" w:rsidRDefault="008736D8" w:rsidP="008736D8">
                  <w:pPr>
                    <w:spacing w:line="240" w:lineRule="auto"/>
                    <w:jc w:val="center"/>
                    <w:rPr>
                      <w:rFonts w:ascii="Arial" w:hAnsi="Arial" w:cs="Arial"/>
                      <w:b/>
                      <w:bCs/>
                      <w:sz w:val="20"/>
                      <w:szCs w:val="20"/>
                    </w:rPr>
                  </w:pPr>
                  <w:r w:rsidRPr="00F552EA">
                    <w:rPr>
                      <w:rFonts w:ascii="Arial" w:hAnsi="Arial" w:cs="Arial"/>
                      <w:b/>
                      <w:bCs/>
                      <w:sz w:val="20"/>
                      <w:szCs w:val="20"/>
                    </w:rPr>
                    <w:t>Format</w:t>
                  </w:r>
                </w:p>
              </w:tc>
              <w:tc>
                <w:tcPr>
                  <w:tcW w:w="690" w:type="dxa"/>
                  <w:vAlign w:val="center"/>
                </w:tcPr>
                <w:p w14:paraId="5D085FF2" w14:textId="77777777" w:rsidR="008736D8" w:rsidRPr="00F552EA" w:rsidRDefault="008736D8" w:rsidP="008736D8">
                  <w:pPr>
                    <w:spacing w:line="240" w:lineRule="auto"/>
                    <w:jc w:val="center"/>
                    <w:rPr>
                      <w:rFonts w:ascii="Arial" w:hAnsi="Arial" w:cs="Arial"/>
                      <w:b/>
                      <w:bCs/>
                      <w:sz w:val="20"/>
                      <w:szCs w:val="20"/>
                    </w:rPr>
                  </w:pPr>
                  <w:r w:rsidRPr="00F552EA">
                    <w:rPr>
                      <w:rFonts w:ascii="Arial" w:hAnsi="Arial" w:cs="Arial"/>
                      <w:b/>
                      <w:bCs/>
                      <w:sz w:val="20"/>
                      <w:szCs w:val="20"/>
                    </w:rPr>
                    <w:t>M/O</w:t>
                  </w:r>
                </w:p>
              </w:tc>
              <w:tc>
                <w:tcPr>
                  <w:tcW w:w="4049" w:type="dxa"/>
                </w:tcPr>
                <w:p w14:paraId="2555BB6E" w14:textId="77777777" w:rsidR="008736D8" w:rsidRPr="00F552EA" w:rsidRDefault="008736D8" w:rsidP="008736D8">
                  <w:pPr>
                    <w:spacing w:line="240" w:lineRule="auto"/>
                    <w:rPr>
                      <w:rFonts w:ascii="Arial" w:hAnsi="Arial" w:cs="Arial"/>
                      <w:b/>
                      <w:bCs/>
                      <w:sz w:val="20"/>
                      <w:szCs w:val="20"/>
                    </w:rPr>
                  </w:pPr>
                  <w:r w:rsidRPr="00F552EA">
                    <w:rPr>
                      <w:rFonts w:ascii="Arial" w:hAnsi="Arial" w:cs="Arial"/>
                      <w:b/>
                      <w:bCs/>
                      <w:sz w:val="20"/>
                      <w:szCs w:val="20"/>
                    </w:rPr>
                    <w:t>Notes</w:t>
                  </w:r>
                </w:p>
              </w:tc>
            </w:tr>
            <w:tr w:rsidR="008736D8" w:rsidRPr="00F552EA" w14:paraId="1013C42A" w14:textId="77777777" w:rsidTr="00965517">
              <w:tc>
                <w:tcPr>
                  <w:tcW w:w="1413" w:type="dxa"/>
                  <w:vAlign w:val="center"/>
                </w:tcPr>
                <w:p w14:paraId="6CA8827C" w14:textId="77777777" w:rsidR="008736D8" w:rsidRPr="00F552EA" w:rsidRDefault="008736D8" w:rsidP="008736D8">
                  <w:pPr>
                    <w:spacing w:line="240" w:lineRule="auto"/>
                    <w:jc w:val="center"/>
                    <w:rPr>
                      <w:rFonts w:ascii="Arial" w:hAnsi="Arial" w:cs="Arial"/>
                      <w:sz w:val="20"/>
                      <w:szCs w:val="20"/>
                    </w:rPr>
                  </w:pPr>
                  <w:r w:rsidRPr="00F552EA">
                    <w:rPr>
                      <w:rFonts w:ascii="Arial" w:hAnsi="Arial" w:cs="Arial"/>
                      <w:sz w:val="20"/>
                      <w:szCs w:val="20"/>
                    </w:rPr>
                    <w:t>ECCS</w:t>
                  </w:r>
                </w:p>
              </w:tc>
              <w:tc>
                <w:tcPr>
                  <w:tcW w:w="701" w:type="dxa"/>
                  <w:vAlign w:val="center"/>
                </w:tcPr>
                <w:p w14:paraId="17A2AF8F" w14:textId="77777777" w:rsidR="008736D8" w:rsidRPr="00F552EA" w:rsidRDefault="008736D8" w:rsidP="008736D8">
                  <w:pPr>
                    <w:spacing w:line="240" w:lineRule="auto"/>
                    <w:jc w:val="center"/>
                    <w:rPr>
                      <w:rFonts w:ascii="Arial" w:hAnsi="Arial" w:cs="Arial"/>
                      <w:sz w:val="20"/>
                      <w:szCs w:val="20"/>
                    </w:rPr>
                  </w:pPr>
                  <w:r w:rsidRPr="00F552EA">
                    <w:rPr>
                      <w:rFonts w:ascii="Arial" w:hAnsi="Arial" w:cs="Arial"/>
                      <w:sz w:val="20"/>
                      <w:szCs w:val="20"/>
                    </w:rPr>
                    <w:t>5</w:t>
                  </w:r>
                </w:p>
              </w:tc>
              <w:tc>
                <w:tcPr>
                  <w:tcW w:w="1269" w:type="dxa"/>
                  <w:vAlign w:val="center"/>
                </w:tcPr>
                <w:p w14:paraId="5735B2A0" w14:textId="77777777" w:rsidR="008736D8" w:rsidRPr="00F552EA" w:rsidRDefault="008736D8" w:rsidP="008736D8">
                  <w:pPr>
                    <w:spacing w:line="240" w:lineRule="auto"/>
                    <w:jc w:val="center"/>
                    <w:rPr>
                      <w:rFonts w:ascii="Arial" w:hAnsi="Arial" w:cs="Arial"/>
                      <w:sz w:val="20"/>
                      <w:szCs w:val="20"/>
                    </w:rPr>
                  </w:pPr>
                  <w:r w:rsidRPr="00F552EA">
                    <w:rPr>
                      <w:rFonts w:ascii="Arial" w:hAnsi="Arial" w:cs="Arial"/>
                      <w:sz w:val="20"/>
                      <w:szCs w:val="20"/>
                    </w:rPr>
                    <w:t>Char</w:t>
                  </w:r>
                </w:p>
              </w:tc>
              <w:tc>
                <w:tcPr>
                  <w:tcW w:w="894" w:type="dxa"/>
                  <w:vAlign w:val="center"/>
                </w:tcPr>
                <w:p w14:paraId="42128E60" w14:textId="77777777" w:rsidR="008736D8" w:rsidRPr="00F552EA" w:rsidRDefault="008736D8" w:rsidP="008736D8">
                  <w:pPr>
                    <w:spacing w:line="240" w:lineRule="auto"/>
                    <w:jc w:val="center"/>
                    <w:rPr>
                      <w:rFonts w:ascii="Arial" w:hAnsi="Arial" w:cs="Arial"/>
                      <w:sz w:val="20"/>
                      <w:szCs w:val="20"/>
                    </w:rPr>
                  </w:pPr>
                  <w:r w:rsidRPr="00F552EA">
                    <w:rPr>
                      <w:rFonts w:ascii="Arial" w:hAnsi="Arial" w:cs="Arial"/>
                      <w:sz w:val="20"/>
                      <w:szCs w:val="20"/>
                    </w:rPr>
                    <w:t>NN.NN</w:t>
                  </w:r>
                </w:p>
              </w:tc>
              <w:tc>
                <w:tcPr>
                  <w:tcW w:w="690" w:type="dxa"/>
                  <w:vAlign w:val="center"/>
                </w:tcPr>
                <w:p w14:paraId="5CECC214" w14:textId="77777777" w:rsidR="008736D8" w:rsidRPr="00F552EA" w:rsidRDefault="008736D8" w:rsidP="008736D8">
                  <w:pPr>
                    <w:spacing w:line="240" w:lineRule="auto"/>
                    <w:jc w:val="center"/>
                    <w:rPr>
                      <w:rFonts w:ascii="Arial" w:hAnsi="Arial" w:cs="Arial"/>
                      <w:sz w:val="20"/>
                      <w:szCs w:val="20"/>
                    </w:rPr>
                  </w:pPr>
                  <w:r w:rsidRPr="00F552EA">
                    <w:rPr>
                      <w:rFonts w:ascii="Arial" w:hAnsi="Arial" w:cs="Arial"/>
                      <w:sz w:val="20"/>
                      <w:szCs w:val="20"/>
                    </w:rPr>
                    <w:t>M</w:t>
                  </w:r>
                </w:p>
              </w:tc>
              <w:tc>
                <w:tcPr>
                  <w:tcW w:w="4049" w:type="dxa"/>
                </w:tcPr>
                <w:p w14:paraId="01DE64DE" w14:textId="77777777" w:rsidR="008736D8" w:rsidRPr="00F552EA" w:rsidRDefault="008736D8" w:rsidP="008736D8">
                  <w:pPr>
                    <w:spacing w:line="240" w:lineRule="auto"/>
                    <w:rPr>
                      <w:rFonts w:ascii="Arial" w:hAnsi="Arial" w:cs="Arial"/>
                      <w:sz w:val="20"/>
                      <w:szCs w:val="20"/>
                    </w:rPr>
                  </w:pPr>
                  <w:r w:rsidRPr="00F552EA">
                    <w:rPr>
                      <w:rFonts w:ascii="Arial" w:hAnsi="Arial" w:cs="Arial"/>
                      <w:sz w:val="20"/>
                      <w:szCs w:val="20"/>
                    </w:rPr>
                    <w:t>An Episode Clinical Complexity Score (ECCS) is an output from the grouper software and is a value between 0 and 32 with decimals of .5 e.g., 21.5</w:t>
                  </w:r>
                </w:p>
                <w:p w14:paraId="4BD045D4" w14:textId="77777777" w:rsidR="008736D8" w:rsidRPr="00F552EA" w:rsidRDefault="008736D8" w:rsidP="008736D8">
                  <w:pPr>
                    <w:spacing w:line="240" w:lineRule="auto"/>
                    <w:rPr>
                      <w:rFonts w:ascii="Arial" w:hAnsi="Arial" w:cs="Arial"/>
                      <w:sz w:val="20"/>
                      <w:szCs w:val="20"/>
                    </w:rPr>
                  </w:pPr>
                  <w:r w:rsidRPr="00F552EA">
                    <w:rPr>
                      <w:rFonts w:ascii="Arial" w:hAnsi="Arial" w:cs="Arial"/>
                      <w:sz w:val="20"/>
                      <w:szCs w:val="20"/>
                    </w:rPr>
                    <w:t xml:space="preserve">These scores quantify relative levels of resource </w:t>
                  </w:r>
                  <w:proofErr w:type="spellStart"/>
                  <w:r w:rsidRPr="00F552EA">
                    <w:rPr>
                      <w:rFonts w:ascii="Arial" w:hAnsi="Arial" w:cs="Arial"/>
                      <w:sz w:val="20"/>
                      <w:szCs w:val="20"/>
                    </w:rPr>
                    <w:t>ultilisation</w:t>
                  </w:r>
                  <w:proofErr w:type="spellEnd"/>
                  <w:r w:rsidRPr="00F552EA">
                    <w:rPr>
                      <w:rFonts w:ascii="Arial" w:hAnsi="Arial" w:cs="Arial"/>
                      <w:sz w:val="20"/>
                      <w:szCs w:val="20"/>
                    </w:rPr>
                    <w:t xml:space="preserve"> within each ADRG and are used to split ADRGs into DRGs based on resource homogeneity. </w:t>
                  </w:r>
                </w:p>
              </w:tc>
            </w:tr>
          </w:tbl>
          <w:p w14:paraId="378D2A98" w14:textId="76D2F1B3" w:rsidR="008736D8" w:rsidRPr="008433F4" w:rsidRDefault="008736D8" w:rsidP="00F63453">
            <w:pPr>
              <w:pStyle w:val="BodyText"/>
              <w:spacing w:line="240" w:lineRule="exact"/>
              <w:rPr>
                <w:bCs/>
                <w:color w:val="FF0000"/>
                <w:szCs w:val="20"/>
              </w:rPr>
            </w:pP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6DAFFD41"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lastRenderedPageBreak/>
              <w:t xml:space="preserve">What is Expected of the Sector: </w:t>
            </w:r>
          </w:p>
          <w:p w14:paraId="1B111A05" w14:textId="77777777" w:rsidR="0072079F" w:rsidRDefault="001D3C3A" w:rsidP="00F63453">
            <w:pPr>
              <w:autoSpaceDE w:val="0"/>
              <w:autoSpaceDN w:val="0"/>
              <w:adjustRightInd w:val="0"/>
              <w:spacing w:before="120" w:after="120"/>
              <w:rPr>
                <w:rFonts w:ascii="Arial" w:hAnsi="Arial" w:cs="Arial"/>
                <w:bCs/>
                <w:sz w:val="20"/>
                <w:szCs w:val="20"/>
              </w:rPr>
            </w:pPr>
            <w:r w:rsidRPr="00495369">
              <w:rPr>
                <w:rFonts w:ascii="Arial" w:hAnsi="Arial" w:cs="Arial"/>
                <w:bCs/>
                <w:sz w:val="20"/>
                <w:szCs w:val="20"/>
              </w:rPr>
              <w:t xml:space="preserve">That planning commences to implement </w:t>
            </w:r>
            <w:r w:rsidRPr="001D3C3A">
              <w:rPr>
                <w:rFonts w:ascii="Arial" w:hAnsi="Arial" w:cs="Arial"/>
                <w:bCs/>
                <w:sz w:val="20"/>
                <w:szCs w:val="20"/>
              </w:rPr>
              <w:t xml:space="preserve">AR-DRG v10.0 </w:t>
            </w:r>
            <w:r w:rsidRPr="00495369">
              <w:rPr>
                <w:rFonts w:ascii="Arial" w:hAnsi="Arial" w:cs="Arial"/>
                <w:bCs/>
                <w:sz w:val="20"/>
                <w:szCs w:val="20"/>
              </w:rPr>
              <w:t>by 1 July 2023.</w:t>
            </w:r>
          </w:p>
          <w:p w14:paraId="2F010728" w14:textId="77777777" w:rsidR="006424B0" w:rsidRDefault="004C570A" w:rsidP="00734FE6">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National Collections and Reporting have informed </w:t>
            </w:r>
            <w:r w:rsidR="00734FE6">
              <w:rPr>
                <w:rFonts w:ascii="Arial" w:eastAsia="Times New Roman" w:hAnsi="Arial" w:cs="Arial"/>
                <w:sz w:val="20"/>
                <w:szCs w:val="20"/>
                <w:lang w:eastAsia="ar-SA"/>
              </w:rPr>
              <w:t>3M Health Information Systems</w:t>
            </w:r>
            <w:r w:rsidR="004E37D8">
              <w:rPr>
                <w:rFonts w:ascii="Arial" w:eastAsia="Times New Roman" w:hAnsi="Arial" w:cs="Arial"/>
                <w:sz w:val="20"/>
                <w:szCs w:val="20"/>
                <w:lang w:eastAsia="ar-SA"/>
              </w:rPr>
              <w:t xml:space="preserve"> who are </w:t>
            </w:r>
            <w:r w:rsidR="00734FE6">
              <w:rPr>
                <w:rFonts w:ascii="Arial" w:eastAsia="Times New Roman" w:hAnsi="Arial" w:cs="Arial"/>
                <w:sz w:val="20"/>
                <w:szCs w:val="20"/>
                <w:lang w:eastAsia="ar-SA"/>
              </w:rPr>
              <w:t xml:space="preserve">responsible for updating the 3M </w:t>
            </w:r>
            <w:proofErr w:type="spellStart"/>
            <w:r w:rsidR="00734FE6">
              <w:rPr>
                <w:rFonts w:ascii="Arial" w:eastAsia="Times New Roman" w:hAnsi="Arial" w:cs="Arial"/>
                <w:sz w:val="20"/>
                <w:szCs w:val="20"/>
                <w:lang w:eastAsia="ar-SA"/>
              </w:rPr>
              <w:t>Codefinder</w:t>
            </w:r>
            <w:proofErr w:type="spellEnd"/>
            <w:r w:rsidR="00734FE6">
              <w:rPr>
                <w:rFonts w:ascii="Arial" w:eastAsia="Times New Roman" w:hAnsi="Arial" w:cs="Arial"/>
                <w:sz w:val="20"/>
                <w:szCs w:val="20"/>
                <w:lang w:eastAsia="ar-SA"/>
              </w:rPr>
              <w:t xml:space="preserve"> application to include AR-DRG v10.0.</w:t>
            </w:r>
            <w:r w:rsidR="00734FE6" w:rsidRPr="00F552EA">
              <w:rPr>
                <w:rFonts w:ascii="Arial" w:eastAsia="Times New Roman" w:hAnsi="Arial" w:cs="Arial"/>
                <w:sz w:val="20"/>
                <w:szCs w:val="20"/>
                <w:lang w:eastAsia="ar-SA"/>
              </w:rPr>
              <w:t xml:space="preserve"> </w:t>
            </w:r>
          </w:p>
          <w:p w14:paraId="1D5C6373" w14:textId="77777777" w:rsidR="006424B0" w:rsidRDefault="006424B0" w:rsidP="00734FE6">
            <w:pPr>
              <w:spacing w:after="0" w:line="240" w:lineRule="auto"/>
              <w:jc w:val="both"/>
              <w:rPr>
                <w:rFonts w:ascii="Arial" w:eastAsia="Times New Roman" w:hAnsi="Arial" w:cs="Arial"/>
                <w:sz w:val="20"/>
                <w:szCs w:val="20"/>
                <w:lang w:eastAsia="ar-SA"/>
              </w:rPr>
            </w:pPr>
          </w:p>
          <w:p w14:paraId="0F6A2850" w14:textId="601DAE14" w:rsidR="00F33B8C" w:rsidRDefault="006424B0" w:rsidP="00F33B8C">
            <w:pPr>
              <w:spacing w:after="0" w:line="240" w:lineRule="auto"/>
              <w:jc w:val="both"/>
              <w:rPr>
                <w:rFonts w:ascii="Arial" w:hAnsi="Arial" w:cs="Arial"/>
                <w:bCs/>
                <w:sz w:val="20"/>
                <w:szCs w:val="20"/>
              </w:rPr>
            </w:pPr>
            <w:r>
              <w:rPr>
                <w:rFonts w:ascii="Arial" w:eastAsia="Times New Roman" w:hAnsi="Arial" w:cs="Arial"/>
                <w:sz w:val="20"/>
                <w:szCs w:val="20"/>
                <w:lang w:eastAsia="ar-SA"/>
              </w:rPr>
              <w:t>W</w:t>
            </w:r>
            <w:r w:rsidR="00734FE6" w:rsidRPr="00F552EA">
              <w:rPr>
                <w:rFonts w:ascii="Arial" w:eastAsia="Times New Roman" w:hAnsi="Arial" w:cs="Arial"/>
                <w:sz w:val="20"/>
                <w:szCs w:val="20"/>
                <w:lang w:eastAsia="ar-SA"/>
              </w:rPr>
              <w:t xml:space="preserve">here hospitals have their own (local) </w:t>
            </w:r>
            <w:r w:rsidR="00BE4427">
              <w:rPr>
                <w:rFonts w:ascii="Arial" w:eastAsia="Times New Roman" w:hAnsi="Arial" w:cs="Arial"/>
                <w:sz w:val="20"/>
                <w:szCs w:val="20"/>
                <w:lang w:eastAsia="ar-SA"/>
              </w:rPr>
              <w:t>grouping</w:t>
            </w:r>
            <w:r w:rsidR="009B3457">
              <w:rPr>
                <w:rFonts w:ascii="Arial" w:eastAsia="Times New Roman" w:hAnsi="Arial" w:cs="Arial"/>
                <w:sz w:val="20"/>
                <w:szCs w:val="20"/>
                <w:lang w:eastAsia="ar-SA"/>
              </w:rPr>
              <w:t>/</w:t>
            </w:r>
            <w:proofErr w:type="spellStart"/>
            <w:r w:rsidR="009B3457">
              <w:rPr>
                <w:rFonts w:ascii="Arial" w:eastAsia="Times New Roman" w:hAnsi="Arial" w:cs="Arial"/>
                <w:sz w:val="20"/>
                <w:szCs w:val="20"/>
                <w:lang w:eastAsia="ar-SA"/>
              </w:rPr>
              <w:t>caseweight</w:t>
            </w:r>
            <w:proofErr w:type="spellEnd"/>
            <w:r w:rsidR="00734FE6" w:rsidRPr="00F552EA">
              <w:rPr>
                <w:rFonts w:ascii="Arial" w:eastAsia="Times New Roman" w:hAnsi="Arial" w:cs="Arial"/>
                <w:sz w:val="20"/>
                <w:szCs w:val="20"/>
                <w:lang w:eastAsia="ar-SA"/>
              </w:rPr>
              <w:t xml:space="preserve"> allocation systems</w:t>
            </w:r>
            <w:r w:rsidR="00BE4427">
              <w:rPr>
                <w:rFonts w:ascii="Arial" w:eastAsia="Times New Roman" w:hAnsi="Arial" w:cs="Arial"/>
                <w:sz w:val="20"/>
                <w:szCs w:val="20"/>
                <w:lang w:eastAsia="ar-SA"/>
              </w:rPr>
              <w:t>/</w:t>
            </w:r>
            <w:r w:rsidR="00166EEB">
              <w:rPr>
                <w:rFonts w:ascii="Arial" w:eastAsia="Times New Roman" w:hAnsi="Arial" w:cs="Arial"/>
                <w:sz w:val="20"/>
                <w:szCs w:val="20"/>
                <w:lang w:eastAsia="ar-SA"/>
              </w:rPr>
              <w:t>applications</w:t>
            </w:r>
            <w:r w:rsidR="00734FE6" w:rsidRPr="00F552EA">
              <w:rPr>
                <w:rFonts w:ascii="Arial" w:eastAsia="Times New Roman" w:hAnsi="Arial" w:cs="Arial"/>
                <w:sz w:val="20"/>
                <w:szCs w:val="20"/>
                <w:lang w:eastAsia="ar-SA"/>
              </w:rPr>
              <w:t xml:space="preserve"> </w:t>
            </w:r>
            <w:r w:rsidR="00EF6F4C">
              <w:rPr>
                <w:rFonts w:ascii="Arial" w:eastAsia="Times New Roman" w:hAnsi="Arial" w:cs="Arial"/>
                <w:sz w:val="20"/>
                <w:szCs w:val="20"/>
                <w:lang w:eastAsia="ar-SA"/>
              </w:rPr>
              <w:t xml:space="preserve">they </w:t>
            </w:r>
            <w:r w:rsidR="00387F3E">
              <w:rPr>
                <w:rFonts w:ascii="Arial" w:hAnsi="Arial" w:cs="Arial"/>
                <w:bCs/>
                <w:sz w:val="20"/>
                <w:szCs w:val="20"/>
              </w:rPr>
              <w:t xml:space="preserve">will need to update these to </w:t>
            </w:r>
            <w:r w:rsidR="004927FD">
              <w:rPr>
                <w:rFonts w:ascii="Arial" w:hAnsi="Arial" w:cs="Arial"/>
                <w:bCs/>
                <w:sz w:val="20"/>
                <w:szCs w:val="20"/>
              </w:rPr>
              <w:t xml:space="preserve">AR-DRG v10.0 and </w:t>
            </w:r>
            <w:r w:rsidR="00A108A1">
              <w:rPr>
                <w:rFonts w:ascii="Arial" w:hAnsi="Arial" w:cs="Arial"/>
                <w:bCs/>
                <w:sz w:val="20"/>
                <w:szCs w:val="20"/>
              </w:rPr>
              <w:t>WIE</w:t>
            </w:r>
            <w:r w:rsidR="006C0178">
              <w:rPr>
                <w:rFonts w:ascii="Arial" w:hAnsi="Arial" w:cs="Arial"/>
                <w:bCs/>
                <w:sz w:val="20"/>
                <w:szCs w:val="20"/>
              </w:rPr>
              <w:t>S</w:t>
            </w:r>
            <w:r w:rsidR="00A108A1">
              <w:rPr>
                <w:rFonts w:ascii="Arial" w:hAnsi="Arial" w:cs="Arial"/>
                <w:bCs/>
                <w:sz w:val="20"/>
                <w:szCs w:val="20"/>
              </w:rPr>
              <w:t>NZ23</w:t>
            </w:r>
            <w:r w:rsidR="006C0178">
              <w:rPr>
                <w:rFonts w:ascii="Arial" w:hAnsi="Arial" w:cs="Arial"/>
                <w:bCs/>
                <w:sz w:val="20"/>
                <w:szCs w:val="20"/>
              </w:rPr>
              <w:t>,</w:t>
            </w:r>
            <w:r w:rsidR="00A108A1">
              <w:rPr>
                <w:rFonts w:ascii="Arial" w:hAnsi="Arial" w:cs="Arial"/>
                <w:bCs/>
                <w:sz w:val="20"/>
                <w:szCs w:val="20"/>
              </w:rPr>
              <w:t xml:space="preserve"> as per the </w:t>
            </w:r>
            <w:r w:rsidR="00387F3E">
              <w:rPr>
                <w:rFonts w:ascii="Arial" w:hAnsi="Arial" w:cs="Arial"/>
                <w:bCs/>
                <w:sz w:val="20"/>
                <w:szCs w:val="20"/>
              </w:rPr>
              <w:t xml:space="preserve">2023/24 </w:t>
            </w:r>
            <w:proofErr w:type="spellStart"/>
            <w:r w:rsidR="00387F3E">
              <w:rPr>
                <w:rFonts w:ascii="Arial" w:hAnsi="Arial" w:cs="Arial"/>
                <w:bCs/>
                <w:sz w:val="20"/>
                <w:szCs w:val="20"/>
              </w:rPr>
              <w:t>Casemix</w:t>
            </w:r>
            <w:proofErr w:type="spellEnd"/>
            <w:r w:rsidR="00387F3E">
              <w:rPr>
                <w:rFonts w:ascii="Arial" w:hAnsi="Arial" w:cs="Arial"/>
                <w:bCs/>
                <w:sz w:val="20"/>
                <w:szCs w:val="20"/>
              </w:rPr>
              <w:t xml:space="preserve"> Framework document</w:t>
            </w:r>
            <w:r w:rsidR="00A108A1">
              <w:rPr>
                <w:rFonts w:ascii="Arial" w:hAnsi="Arial" w:cs="Arial"/>
                <w:bCs/>
                <w:sz w:val="20"/>
                <w:szCs w:val="20"/>
              </w:rPr>
              <w:t>.</w:t>
            </w:r>
          </w:p>
          <w:p w14:paraId="6B46C25F" w14:textId="77777777" w:rsidR="00387F3E" w:rsidRDefault="00387F3E" w:rsidP="00F33B8C">
            <w:pPr>
              <w:spacing w:after="0" w:line="240" w:lineRule="auto"/>
              <w:jc w:val="both"/>
              <w:rPr>
                <w:rFonts w:ascii="Arial" w:eastAsia="Times New Roman" w:hAnsi="Arial" w:cs="Arial"/>
                <w:sz w:val="20"/>
                <w:szCs w:val="20"/>
                <w:lang w:eastAsia="ar-SA"/>
              </w:rPr>
            </w:pPr>
          </w:p>
          <w:p w14:paraId="3B7FA2DB" w14:textId="2A9774D7" w:rsidR="00F33B8C" w:rsidRPr="00F552EA" w:rsidRDefault="00F33B8C" w:rsidP="00F33B8C">
            <w:pPr>
              <w:spacing w:after="0" w:line="240" w:lineRule="auto"/>
              <w:jc w:val="both"/>
              <w:rPr>
                <w:rFonts w:ascii="Arial" w:eastAsia="Times New Roman" w:hAnsi="Arial" w:cs="Arial"/>
                <w:sz w:val="20"/>
                <w:szCs w:val="20"/>
                <w:lang w:eastAsia="ar-SA"/>
              </w:rPr>
            </w:pPr>
            <w:r w:rsidRPr="00F552EA">
              <w:rPr>
                <w:rFonts w:ascii="Arial" w:eastAsia="Times New Roman" w:hAnsi="Arial" w:cs="Arial"/>
                <w:sz w:val="20"/>
                <w:szCs w:val="20"/>
                <w:lang w:eastAsia="ar-SA"/>
              </w:rPr>
              <w:t>Where hospitals import the NMDS return cost weight file (.</w:t>
            </w:r>
            <w:proofErr w:type="spellStart"/>
            <w:r w:rsidRPr="00F552EA">
              <w:rPr>
                <w:rFonts w:ascii="Arial" w:eastAsia="Times New Roman" w:hAnsi="Arial" w:cs="Arial"/>
                <w:sz w:val="20"/>
                <w:szCs w:val="20"/>
                <w:lang w:eastAsia="ar-SA"/>
              </w:rPr>
              <w:t>ndw</w:t>
            </w:r>
            <w:proofErr w:type="spellEnd"/>
            <w:r w:rsidRPr="00F552EA">
              <w:rPr>
                <w:rFonts w:ascii="Arial" w:eastAsia="Times New Roman" w:hAnsi="Arial" w:cs="Arial"/>
                <w:sz w:val="20"/>
                <w:szCs w:val="20"/>
                <w:lang w:eastAsia="ar-SA"/>
              </w:rPr>
              <w:t xml:space="preserve">) into their </w:t>
            </w:r>
            <w:r>
              <w:rPr>
                <w:rFonts w:ascii="Arial" w:eastAsia="Times New Roman" w:hAnsi="Arial" w:cs="Arial"/>
                <w:sz w:val="20"/>
                <w:szCs w:val="20"/>
                <w:lang w:eastAsia="ar-SA"/>
              </w:rPr>
              <w:t>patient administration system</w:t>
            </w:r>
            <w:r w:rsidRPr="00F552EA">
              <w:rPr>
                <w:rFonts w:ascii="Arial" w:eastAsia="Times New Roman" w:hAnsi="Arial" w:cs="Arial"/>
                <w:sz w:val="20"/>
                <w:szCs w:val="20"/>
                <w:lang w:eastAsia="ar-SA"/>
              </w:rPr>
              <w:t xml:space="preserve"> they will need to manage the new DRG version and associated codes. </w:t>
            </w:r>
          </w:p>
          <w:p w14:paraId="1393A578" w14:textId="49071157" w:rsidR="00734FE6" w:rsidRPr="008433F4" w:rsidRDefault="006C0178" w:rsidP="00F63453">
            <w:pPr>
              <w:autoSpaceDE w:val="0"/>
              <w:autoSpaceDN w:val="0"/>
              <w:adjustRightInd w:val="0"/>
              <w:spacing w:before="120" w:after="120"/>
              <w:rPr>
                <w:rFonts w:ascii="Arial" w:hAnsi="Arial" w:cs="Arial"/>
                <w:bCs/>
                <w:sz w:val="20"/>
                <w:szCs w:val="20"/>
              </w:rPr>
            </w:pPr>
            <w:r>
              <w:rPr>
                <w:rFonts w:ascii="Arial" w:hAnsi="Arial" w:cs="Arial"/>
                <w:bCs/>
                <w:sz w:val="20"/>
                <w:szCs w:val="20"/>
              </w:rPr>
              <w:t>Please note: AR-DRG v10.0 cann</w:t>
            </w:r>
            <w:r w:rsidR="00B057A6">
              <w:rPr>
                <w:rFonts w:ascii="Arial" w:hAnsi="Arial" w:cs="Arial"/>
                <w:bCs/>
                <w:sz w:val="20"/>
                <w:szCs w:val="20"/>
              </w:rPr>
              <w:t>ot be implemented without WIE</w:t>
            </w:r>
            <w:r w:rsidR="00551191">
              <w:rPr>
                <w:rFonts w:ascii="Arial" w:hAnsi="Arial" w:cs="Arial"/>
                <w:bCs/>
                <w:sz w:val="20"/>
                <w:szCs w:val="20"/>
              </w:rPr>
              <w:t>S</w:t>
            </w:r>
            <w:r w:rsidR="00B057A6">
              <w:rPr>
                <w:rFonts w:ascii="Arial" w:hAnsi="Arial" w:cs="Arial"/>
                <w:bCs/>
                <w:sz w:val="20"/>
                <w:szCs w:val="20"/>
              </w:rPr>
              <w:t>NZ23.</w:t>
            </w:r>
          </w:p>
        </w:tc>
      </w:tr>
      <w:tr w:rsidR="0072079F" w:rsidRPr="008433F4" w14:paraId="6A9AC1E3" w14:textId="77777777" w:rsidTr="001D3C3A">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8638E1">
            <w:pPr>
              <w:autoSpaceDE w:val="0"/>
              <w:autoSpaceDN w:val="0"/>
              <w:adjustRightInd w:val="0"/>
              <w:spacing w:before="120" w:after="120" w:line="240" w:lineRule="atLeast"/>
              <w:rPr>
                <w:rFonts w:ascii="Arial" w:hAnsi="Arial" w:cs="Arial"/>
                <w:b/>
                <w:bCs/>
                <w:sz w:val="20"/>
                <w:szCs w:val="20"/>
              </w:rPr>
            </w:pPr>
            <w:r w:rsidRPr="008433F4">
              <w:rPr>
                <w:rFonts w:ascii="Arial" w:hAnsi="Arial" w:cs="Arial"/>
                <w:b/>
                <w:bCs/>
                <w:sz w:val="20"/>
                <w:szCs w:val="20"/>
              </w:rPr>
              <w:t xml:space="preserve">Impact of Change on National Collection(s): </w:t>
            </w:r>
          </w:p>
          <w:p w14:paraId="0F8E8BED" w14:textId="2DCCE323" w:rsidR="0072079F" w:rsidRPr="008433F4" w:rsidRDefault="002F1E9B" w:rsidP="00F63453">
            <w:pPr>
              <w:spacing w:before="120" w:after="120" w:line="240" w:lineRule="exact"/>
              <w:rPr>
                <w:rFonts w:ascii="Arial" w:hAnsi="Arial" w:cs="Arial"/>
                <w:bCs/>
                <w:sz w:val="20"/>
                <w:szCs w:val="20"/>
              </w:rPr>
            </w:pPr>
            <w:r w:rsidRPr="001D3C3A">
              <w:rPr>
                <w:rFonts w:ascii="Arial" w:hAnsi="Arial" w:cs="Arial"/>
                <w:bCs/>
                <w:sz w:val="20"/>
                <w:szCs w:val="20"/>
              </w:rPr>
              <w:t xml:space="preserve">AR-DRG v10.0 </w:t>
            </w:r>
            <w:r>
              <w:rPr>
                <w:rFonts w:ascii="Arial" w:hAnsi="Arial" w:cs="Arial"/>
                <w:bCs/>
                <w:sz w:val="20"/>
                <w:szCs w:val="20"/>
              </w:rPr>
              <w:t xml:space="preserve">will be implemented </w:t>
            </w:r>
            <w:r w:rsidRPr="002F1E9B">
              <w:rPr>
                <w:rFonts w:ascii="Arial" w:hAnsi="Arial" w:cs="Arial"/>
                <w:bCs/>
                <w:sz w:val="20"/>
                <w:szCs w:val="20"/>
              </w:rPr>
              <w:t>by 1 July 2023.</w:t>
            </w:r>
          </w:p>
        </w:tc>
      </w:tr>
      <w:tr w:rsidR="0072079F" w:rsidRPr="008433F4" w14:paraId="06FDB137" w14:textId="77777777" w:rsidTr="001D3C3A">
        <w:tblPrEx>
          <w:tblBorders>
            <w:bottom w:val="none" w:sz="0" w:space="0" w:color="auto"/>
          </w:tblBorders>
        </w:tblPrEx>
        <w:tc>
          <w:tcPr>
            <w:tcW w:w="9390" w:type="dxa"/>
            <w:gridSpan w:val="3"/>
            <w:shd w:val="clear" w:color="auto" w:fill="FFFFFF" w:themeFill="background1"/>
          </w:tcPr>
          <w:p w14:paraId="263CD680" w14:textId="77777777" w:rsidR="0072079F" w:rsidRPr="008433F4" w:rsidRDefault="0072079F" w:rsidP="00F63453">
            <w:pPr>
              <w:autoSpaceDE w:val="0"/>
              <w:autoSpaceDN w:val="0"/>
              <w:adjustRightInd w:val="0"/>
              <w:spacing w:before="120" w:after="120" w:line="240" w:lineRule="atLeast"/>
              <w:rPr>
                <w:rFonts w:ascii="Arial" w:hAnsi="Arial" w:cs="Arial"/>
                <w:b/>
                <w:bCs/>
                <w:color w:val="000000"/>
                <w:sz w:val="20"/>
                <w:szCs w:val="20"/>
              </w:rPr>
            </w:pPr>
            <w:r w:rsidRPr="008433F4">
              <w:rPr>
                <w:rFonts w:ascii="Arial" w:hAnsi="Arial" w:cs="Arial"/>
                <w:b/>
                <w:bCs/>
                <w:sz w:val="20"/>
                <w:szCs w:val="20"/>
              </w:rPr>
              <w:t xml:space="preserve">Contact: </w:t>
            </w:r>
            <w:r w:rsidRPr="008433F4">
              <w:rPr>
                <w:rFonts w:ascii="Arial" w:hAnsi="Arial" w:cs="Arial"/>
                <w:bCs/>
                <w:sz w:val="20"/>
                <w:szCs w:val="20"/>
                <w:lang w:eastAsia="en-NZ"/>
              </w:rPr>
              <w:t xml:space="preserve">If you have any questions regarding this change notice, please email </w:t>
            </w:r>
            <w:hyperlink r:id="rId14" w:history="1">
              <w:r w:rsidRPr="008433F4">
                <w:rPr>
                  <w:rStyle w:val="Hyperlink"/>
                  <w:rFonts w:ascii="Arial" w:hAnsi="Arial" w:cs="Arial"/>
                  <w:bCs/>
                  <w:sz w:val="20"/>
                  <w:szCs w:val="20"/>
                  <w:lang w:eastAsia="en-NZ"/>
                </w:rPr>
                <w:t>ncamp@health.govt.nz</w:t>
              </w:r>
            </w:hyperlink>
          </w:p>
        </w:tc>
      </w:tr>
    </w:tbl>
    <w:p w14:paraId="4D842DBF" w14:textId="77777777" w:rsidR="0072079F" w:rsidRPr="008433F4" w:rsidRDefault="0072079F" w:rsidP="0072079F">
      <w:pPr>
        <w:rPr>
          <w:rFonts w:ascii="Arial" w:hAnsi="Arial" w:cs="Arial"/>
          <w:sz w:val="20"/>
          <w:szCs w:val="20"/>
        </w:rPr>
      </w:pPr>
    </w:p>
    <w:p w14:paraId="5360AA7F" w14:textId="77777777" w:rsidR="00C066D3" w:rsidRPr="008433F4" w:rsidRDefault="00C066D3" w:rsidP="00C066D3">
      <w:pPr>
        <w:rPr>
          <w:rFonts w:ascii="Arial" w:hAnsi="Arial" w:cs="Arial"/>
          <w:sz w:val="18"/>
          <w:szCs w:val="18"/>
        </w:rPr>
      </w:pPr>
    </w:p>
    <w:p w14:paraId="3E79B642" w14:textId="77777777" w:rsidR="00C066D3" w:rsidRPr="008433F4" w:rsidRDefault="00C066D3" w:rsidP="00C066D3">
      <w:pPr>
        <w:rPr>
          <w:rFonts w:ascii="Arial" w:hAnsi="Arial" w:cs="Arial"/>
          <w:sz w:val="18"/>
          <w:szCs w:val="18"/>
        </w:rPr>
      </w:pPr>
    </w:p>
    <w:p w14:paraId="5E51DFEF" w14:textId="77777777" w:rsidR="00C066D3" w:rsidRPr="008433F4" w:rsidRDefault="00C066D3" w:rsidP="00C066D3">
      <w:pPr>
        <w:rPr>
          <w:rFonts w:ascii="Arial" w:hAnsi="Arial" w:cs="Arial"/>
          <w:sz w:val="18"/>
          <w:szCs w:val="18"/>
        </w:rPr>
      </w:pPr>
    </w:p>
    <w:p w14:paraId="0608CB7D" w14:textId="77777777" w:rsidR="00C066D3" w:rsidRPr="008433F4" w:rsidRDefault="00C066D3" w:rsidP="00C066D3">
      <w:pPr>
        <w:rPr>
          <w:rFonts w:ascii="Arial" w:hAnsi="Arial" w:cs="Arial"/>
          <w:sz w:val="18"/>
          <w:szCs w:val="18"/>
        </w:rPr>
      </w:pPr>
    </w:p>
    <w:p w14:paraId="1A7330F6" w14:textId="77777777" w:rsidR="00C066D3" w:rsidRPr="008433F4" w:rsidRDefault="00C066D3" w:rsidP="00C066D3">
      <w:pPr>
        <w:rPr>
          <w:rFonts w:ascii="Arial" w:hAnsi="Arial" w:cs="Arial"/>
          <w:sz w:val="18"/>
          <w:szCs w:val="18"/>
        </w:rPr>
      </w:pPr>
    </w:p>
    <w:sectPr w:rsidR="00C066D3" w:rsidRPr="008433F4" w:rsidSect="004A17A4">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4B44" w14:textId="77777777" w:rsidR="00C80E7C" w:rsidRDefault="00C80E7C" w:rsidP="00DC46AF">
      <w:pPr>
        <w:spacing w:after="0"/>
      </w:pPr>
      <w:r>
        <w:separator/>
      </w:r>
    </w:p>
    <w:p w14:paraId="3D444605" w14:textId="77777777" w:rsidR="00C80E7C" w:rsidRDefault="00C80E7C"/>
    <w:p w14:paraId="7F3F113E" w14:textId="77777777" w:rsidR="00C80E7C" w:rsidRDefault="00C80E7C"/>
  </w:endnote>
  <w:endnote w:type="continuationSeparator" w:id="0">
    <w:p w14:paraId="688589EF" w14:textId="77777777" w:rsidR="00C80E7C" w:rsidRDefault="00C80E7C" w:rsidP="00DC46AF">
      <w:pPr>
        <w:spacing w:after="0"/>
      </w:pPr>
      <w:r>
        <w:continuationSeparator/>
      </w:r>
    </w:p>
    <w:p w14:paraId="66097B93" w14:textId="77777777" w:rsidR="00C80E7C" w:rsidRDefault="00C80E7C"/>
    <w:p w14:paraId="14D6A9DF" w14:textId="77777777" w:rsidR="00C80E7C" w:rsidRDefault="00C80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46E1" w14:textId="77777777" w:rsidR="00C80E7C" w:rsidRDefault="00C80E7C" w:rsidP="00DC46AF">
      <w:pPr>
        <w:spacing w:after="0"/>
      </w:pPr>
      <w:r>
        <w:separator/>
      </w:r>
    </w:p>
    <w:p w14:paraId="7F051561" w14:textId="77777777" w:rsidR="00C80E7C" w:rsidRDefault="00C80E7C"/>
    <w:p w14:paraId="01121CCF" w14:textId="77777777" w:rsidR="00C80E7C" w:rsidRDefault="00C80E7C"/>
  </w:footnote>
  <w:footnote w:type="continuationSeparator" w:id="0">
    <w:p w14:paraId="0FAFE45F" w14:textId="77777777" w:rsidR="00C80E7C" w:rsidRDefault="00C80E7C" w:rsidP="00DC46AF">
      <w:pPr>
        <w:spacing w:after="0"/>
      </w:pPr>
      <w:r>
        <w:continuationSeparator/>
      </w:r>
    </w:p>
    <w:p w14:paraId="69D8C84B" w14:textId="77777777" w:rsidR="00C80E7C" w:rsidRDefault="00C80E7C"/>
    <w:p w14:paraId="3C88DB25" w14:textId="77777777" w:rsidR="00C80E7C" w:rsidRDefault="00C80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9"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0"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1"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6"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2"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F755314"/>
    <w:multiLevelType w:val="hybridMultilevel"/>
    <w:tmpl w:val="110AE9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6"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9"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40"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
  </w:num>
  <w:num w:numId="4">
    <w:abstractNumId w:val="26"/>
  </w:num>
  <w:num w:numId="5">
    <w:abstractNumId w:val="36"/>
  </w:num>
  <w:num w:numId="6">
    <w:abstractNumId w:val="8"/>
  </w:num>
  <w:num w:numId="7">
    <w:abstractNumId w:val="39"/>
  </w:num>
  <w:num w:numId="8">
    <w:abstractNumId w:val="9"/>
  </w:num>
  <w:num w:numId="9">
    <w:abstractNumId w:val="0"/>
  </w:num>
  <w:num w:numId="10">
    <w:abstractNumId w:val="17"/>
  </w:num>
  <w:num w:numId="11">
    <w:abstractNumId w:val="32"/>
  </w:num>
  <w:num w:numId="12">
    <w:abstractNumId w:val="23"/>
    <w:lvlOverride w:ilvl="0">
      <w:startOverride w:val="1"/>
    </w:lvlOverride>
  </w:num>
  <w:num w:numId="13">
    <w:abstractNumId w:val="15"/>
  </w:num>
  <w:num w:numId="14">
    <w:abstractNumId w:val="3"/>
  </w:num>
  <w:num w:numId="15">
    <w:abstractNumId w:val="38"/>
  </w:num>
  <w:num w:numId="16">
    <w:abstractNumId w:val="21"/>
  </w:num>
  <w:num w:numId="17">
    <w:abstractNumId w:val="10"/>
    <w:lvlOverride w:ilvl="0">
      <w:startOverride w:val="1"/>
    </w:lvlOverride>
  </w:num>
  <w:num w:numId="18">
    <w:abstractNumId w:val="13"/>
  </w:num>
  <w:num w:numId="19">
    <w:abstractNumId w:val="24"/>
  </w:num>
  <w:num w:numId="20">
    <w:abstractNumId w:val="6"/>
  </w:num>
  <w:num w:numId="21">
    <w:abstractNumId w:val="12"/>
  </w:num>
  <w:num w:numId="22">
    <w:abstractNumId w:val="33"/>
  </w:num>
  <w:num w:numId="23">
    <w:abstractNumId w:val="28"/>
  </w:num>
  <w:num w:numId="24">
    <w:abstractNumId w:val="30"/>
  </w:num>
  <w:num w:numId="25">
    <w:abstractNumId w:val="40"/>
  </w:num>
  <w:num w:numId="26">
    <w:abstractNumId w:val="14"/>
  </w:num>
  <w:num w:numId="27">
    <w:abstractNumId w:val="18"/>
  </w:num>
  <w:num w:numId="28">
    <w:abstractNumId w:val="5"/>
  </w:num>
  <w:num w:numId="29">
    <w:abstractNumId w:val="37"/>
  </w:num>
  <w:num w:numId="30">
    <w:abstractNumId w:val="22"/>
  </w:num>
  <w:num w:numId="31">
    <w:abstractNumId w:val="27"/>
  </w:num>
  <w:num w:numId="32">
    <w:abstractNumId w:val="1"/>
  </w:num>
  <w:num w:numId="33">
    <w:abstractNumId w:val="11"/>
  </w:num>
  <w:num w:numId="34">
    <w:abstractNumId w:val="16"/>
  </w:num>
  <w:num w:numId="35">
    <w:abstractNumId w:val="7"/>
  </w:num>
  <w:num w:numId="36">
    <w:abstractNumId w:val="25"/>
  </w:num>
  <w:num w:numId="37">
    <w:abstractNumId w:val="31"/>
  </w:num>
  <w:num w:numId="38">
    <w:abstractNumId w:val="19"/>
  </w:num>
  <w:num w:numId="39">
    <w:abstractNumId w:val="35"/>
  </w:num>
  <w:num w:numId="40">
    <w:abstractNumId w:val="20"/>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34AD"/>
    <w:rsid w:val="00013738"/>
    <w:rsid w:val="000200E1"/>
    <w:rsid w:val="00020AF9"/>
    <w:rsid w:val="00021B3F"/>
    <w:rsid w:val="00022120"/>
    <w:rsid w:val="00023740"/>
    <w:rsid w:val="00023DDA"/>
    <w:rsid w:val="000275C1"/>
    <w:rsid w:val="00031EB4"/>
    <w:rsid w:val="00033150"/>
    <w:rsid w:val="000351FD"/>
    <w:rsid w:val="00040A5E"/>
    <w:rsid w:val="00045380"/>
    <w:rsid w:val="00046DA1"/>
    <w:rsid w:val="00052DE1"/>
    <w:rsid w:val="00062305"/>
    <w:rsid w:val="000704AD"/>
    <w:rsid w:val="000706CD"/>
    <w:rsid w:val="00084D32"/>
    <w:rsid w:val="00087E42"/>
    <w:rsid w:val="000925C8"/>
    <w:rsid w:val="00094498"/>
    <w:rsid w:val="0009474B"/>
    <w:rsid w:val="000A23EC"/>
    <w:rsid w:val="000A3234"/>
    <w:rsid w:val="000A6E6F"/>
    <w:rsid w:val="000B0ADE"/>
    <w:rsid w:val="000B6BC3"/>
    <w:rsid w:val="000C0024"/>
    <w:rsid w:val="000C07C1"/>
    <w:rsid w:val="000C135B"/>
    <w:rsid w:val="000C1517"/>
    <w:rsid w:val="000C1C0F"/>
    <w:rsid w:val="000D1A5C"/>
    <w:rsid w:val="000D4607"/>
    <w:rsid w:val="000D690A"/>
    <w:rsid w:val="000E05E5"/>
    <w:rsid w:val="000E0B7F"/>
    <w:rsid w:val="000E735A"/>
    <w:rsid w:val="000E74A0"/>
    <w:rsid w:val="000F7652"/>
    <w:rsid w:val="00105114"/>
    <w:rsid w:val="00105B64"/>
    <w:rsid w:val="00115320"/>
    <w:rsid w:val="00125508"/>
    <w:rsid w:val="00127055"/>
    <w:rsid w:val="00131B10"/>
    <w:rsid w:val="00135EF5"/>
    <w:rsid w:val="001371ED"/>
    <w:rsid w:val="0014482E"/>
    <w:rsid w:val="00144E3D"/>
    <w:rsid w:val="001603C3"/>
    <w:rsid w:val="00161CBA"/>
    <w:rsid w:val="00165149"/>
    <w:rsid w:val="00166C62"/>
    <w:rsid w:val="00166EEB"/>
    <w:rsid w:val="00167593"/>
    <w:rsid w:val="00183FC4"/>
    <w:rsid w:val="00184358"/>
    <w:rsid w:val="00187CF5"/>
    <w:rsid w:val="00191083"/>
    <w:rsid w:val="00192C8F"/>
    <w:rsid w:val="00195BA4"/>
    <w:rsid w:val="0019788F"/>
    <w:rsid w:val="001A550E"/>
    <w:rsid w:val="001B096F"/>
    <w:rsid w:val="001B1B77"/>
    <w:rsid w:val="001B2B6F"/>
    <w:rsid w:val="001B7A74"/>
    <w:rsid w:val="001B7FC4"/>
    <w:rsid w:val="001C0156"/>
    <w:rsid w:val="001C107A"/>
    <w:rsid w:val="001C4B0A"/>
    <w:rsid w:val="001D3C3A"/>
    <w:rsid w:val="001F572A"/>
    <w:rsid w:val="00200A9B"/>
    <w:rsid w:val="002049EB"/>
    <w:rsid w:val="00212E8E"/>
    <w:rsid w:val="00213122"/>
    <w:rsid w:val="0021326B"/>
    <w:rsid w:val="0021719F"/>
    <w:rsid w:val="00222675"/>
    <w:rsid w:val="00222C07"/>
    <w:rsid w:val="00224B1E"/>
    <w:rsid w:val="00225D1C"/>
    <w:rsid w:val="0022674C"/>
    <w:rsid w:val="00240420"/>
    <w:rsid w:val="00242448"/>
    <w:rsid w:val="0025026F"/>
    <w:rsid w:val="0027161F"/>
    <w:rsid w:val="00271CE2"/>
    <w:rsid w:val="00274A51"/>
    <w:rsid w:val="002764B2"/>
    <w:rsid w:val="00277927"/>
    <w:rsid w:val="00280996"/>
    <w:rsid w:val="00281DDC"/>
    <w:rsid w:val="00283E1F"/>
    <w:rsid w:val="00290198"/>
    <w:rsid w:val="002969F0"/>
    <w:rsid w:val="00296CCD"/>
    <w:rsid w:val="002B6C81"/>
    <w:rsid w:val="002B6D12"/>
    <w:rsid w:val="002C1A20"/>
    <w:rsid w:val="002C45FF"/>
    <w:rsid w:val="002C5301"/>
    <w:rsid w:val="002C5361"/>
    <w:rsid w:val="002D51DD"/>
    <w:rsid w:val="002D751C"/>
    <w:rsid w:val="002F18EB"/>
    <w:rsid w:val="002F1E9B"/>
    <w:rsid w:val="002F7647"/>
    <w:rsid w:val="00303680"/>
    <w:rsid w:val="00303860"/>
    <w:rsid w:val="003107A9"/>
    <w:rsid w:val="00311A6C"/>
    <w:rsid w:val="0031228E"/>
    <w:rsid w:val="00313863"/>
    <w:rsid w:val="003222F2"/>
    <w:rsid w:val="003271D2"/>
    <w:rsid w:val="00334F46"/>
    <w:rsid w:val="00347435"/>
    <w:rsid w:val="00347A6C"/>
    <w:rsid w:val="0035211D"/>
    <w:rsid w:val="0035448B"/>
    <w:rsid w:val="00366C9A"/>
    <w:rsid w:val="00370D31"/>
    <w:rsid w:val="00371341"/>
    <w:rsid w:val="00380476"/>
    <w:rsid w:val="0038232C"/>
    <w:rsid w:val="0038256E"/>
    <w:rsid w:val="00384C58"/>
    <w:rsid w:val="00387F3E"/>
    <w:rsid w:val="003907EB"/>
    <w:rsid w:val="00391FE6"/>
    <w:rsid w:val="003B0906"/>
    <w:rsid w:val="003B1492"/>
    <w:rsid w:val="003B2804"/>
    <w:rsid w:val="003B364E"/>
    <w:rsid w:val="003B58B5"/>
    <w:rsid w:val="003B5B50"/>
    <w:rsid w:val="003B6A08"/>
    <w:rsid w:val="003B7A1E"/>
    <w:rsid w:val="003C004E"/>
    <w:rsid w:val="003C5522"/>
    <w:rsid w:val="003C57D0"/>
    <w:rsid w:val="003D3EE3"/>
    <w:rsid w:val="003D7194"/>
    <w:rsid w:val="003D7D60"/>
    <w:rsid w:val="003E48BD"/>
    <w:rsid w:val="003F6E49"/>
    <w:rsid w:val="0041092D"/>
    <w:rsid w:val="00414BC2"/>
    <w:rsid w:val="00434959"/>
    <w:rsid w:val="0043781D"/>
    <w:rsid w:val="004401A4"/>
    <w:rsid w:val="004511F6"/>
    <w:rsid w:val="00464CCD"/>
    <w:rsid w:val="00474C0A"/>
    <w:rsid w:val="0048065D"/>
    <w:rsid w:val="0048103B"/>
    <w:rsid w:val="00485E9D"/>
    <w:rsid w:val="00487ACB"/>
    <w:rsid w:val="00491431"/>
    <w:rsid w:val="00492731"/>
    <w:rsid w:val="004927FD"/>
    <w:rsid w:val="00494B9A"/>
    <w:rsid w:val="00495369"/>
    <w:rsid w:val="004A03D0"/>
    <w:rsid w:val="004A17A4"/>
    <w:rsid w:val="004A2DAA"/>
    <w:rsid w:val="004A47A7"/>
    <w:rsid w:val="004B07B6"/>
    <w:rsid w:val="004B2C86"/>
    <w:rsid w:val="004C42A1"/>
    <w:rsid w:val="004C570A"/>
    <w:rsid w:val="004C642F"/>
    <w:rsid w:val="004D1BAE"/>
    <w:rsid w:val="004D5DC5"/>
    <w:rsid w:val="004D725A"/>
    <w:rsid w:val="004D7ABD"/>
    <w:rsid w:val="004E0D01"/>
    <w:rsid w:val="004E37D8"/>
    <w:rsid w:val="004E3C6C"/>
    <w:rsid w:val="004E6667"/>
    <w:rsid w:val="004E6781"/>
    <w:rsid w:val="004F1219"/>
    <w:rsid w:val="004F140C"/>
    <w:rsid w:val="004F1C38"/>
    <w:rsid w:val="004F36A7"/>
    <w:rsid w:val="004F77BC"/>
    <w:rsid w:val="004F7829"/>
    <w:rsid w:val="0050152E"/>
    <w:rsid w:val="00511C93"/>
    <w:rsid w:val="00514662"/>
    <w:rsid w:val="00516CA4"/>
    <w:rsid w:val="00525989"/>
    <w:rsid w:val="005308B7"/>
    <w:rsid w:val="005352EB"/>
    <w:rsid w:val="00536DDF"/>
    <w:rsid w:val="00545B63"/>
    <w:rsid w:val="00545C1B"/>
    <w:rsid w:val="00551191"/>
    <w:rsid w:val="0055445F"/>
    <w:rsid w:val="005558C6"/>
    <w:rsid w:val="0056006E"/>
    <w:rsid w:val="0056143A"/>
    <w:rsid w:val="00564D3E"/>
    <w:rsid w:val="00570E12"/>
    <w:rsid w:val="005710D3"/>
    <w:rsid w:val="0057416F"/>
    <w:rsid w:val="005762B1"/>
    <w:rsid w:val="0057640E"/>
    <w:rsid w:val="0058029C"/>
    <w:rsid w:val="00580B7E"/>
    <w:rsid w:val="00583500"/>
    <w:rsid w:val="00590697"/>
    <w:rsid w:val="005910A7"/>
    <w:rsid w:val="00591DE8"/>
    <w:rsid w:val="00596D24"/>
    <w:rsid w:val="005A0937"/>
    <w:rsid w:val="005A2FCB"/>
    <w:rsid w:val="005A40EE"/>
    <w:rsid w:val="005A696D"/>
    <w:rsid w:val="005B1BAE"/>
    <w:rsid w:val="005B4DEE"/>
    <w:rsid w:val="005C0668"/>
    <w:rsid w:val="005C1784"/>
    <w:rsid w:val="005C2985"/>
    <w:rsid w:val="005C4F77"/>
    <w:rsid w:val="005D2496"/>
    <w:rsid w:val="005D5C5D"/>
    <w:rsid w:val="005E0D63"/>
    <w:rsid w:val="005E143A"/>
    <w:rsid w:val="005E1D03"/>
    <w:rsid w:val="005F1DD8"/>
    <w:rsid w:val="005F4AA7"/>
    <w:rsid w:val="005F6BB3"/>
    <w:rsid w:val="00612522"/>
    <w:rsid w:val="00615EB9"/>
    <w:rsid w:val="00635E9D"/>
    <w:rsid w:val="00636BA5"/>
    <w:rsid w:val="00640D62"/>
    <w:rsid w:val="00641126"/>
    <w:rsid w:val="006424B0"/>
    <w:rsid w:val="00642A1D"/>
    <w:rsid w:val="00661157"/>
    <w:rsid w:val="00663155"/>
    <w:rsid w:val="006631E6"/>
    <w:rsid w:val="00663EB2"/>
    <w:rsid w:val="00663FAB"/>
    <w:rsid w:val="0066536B"/>
    <w:rsid w:val="00667438"/>
    <w:rsid w:val="00673199"/>
    <w:rsid w:val="00673589"/>
    <w:rsid w:val="006768E8"/>
    <w:rsid w:val="006815B8"/>
    <w:rsid w:val="00684C90"/>
    <w:rsid w:val="00685FB5"/>
    <w:rsid w:val="00696C21"/>
    <w:rsid w:val="006A0247"/>
    <w:rsid w:val="006A22CD"/>
    <w:rsid w:val="006A7725"/>
    <w:rsid w:val="006A7DAA"/>
    <w:rsid w:val="006B1606"/>
    <w:rsid w:val="006B2741"/>
    <w:rsid w:val="006B2B14"/>
    <w:rsid w:val="006B3EED"/>
    <w:rsid w:val="006B6558"/>
    <w:rsid w:val="006C0178"/>
    <w:rsid w:val="006C0BE0"/>
    <w:rsid w:val="006C34FE"/>
    <w:rsid w:val="006C75BD"/>
    <w:rsid w:val="006D37B8"/>
    <w:rsid w:val="006D3EAD"/>
    <w:rsid w:val="006D5869"/>
    <w:rsid w:val="006E1E99"/>
    <w:rsid w:val="006E2D0C"/>
    <w:rsid w:val="006E447A"/>
    <w:rsid w:val="006E69A2"/>
    <w:rsid w:val="006F35B4"/>
    <w:rsid w:val="006F5674"/>
    <w:rsid w:val="00700A2E"/>
    <w:rsid w:val="0070398B"/>
    <w:rsid w:val="007152B2"/>
    <w:rsid w:val="00716B05"/>
    <w:rsid w:val="00717021"/>
    <w:rsid w:val="0072079F"/>
    <w:rsid w:val="0072232D"/>
    <w:rsid w:val="007252B3"/>
    <w:rsid w:val="00726E36"/>
    <w:rsid w:val="007277E2"/>
    <w:rsid w:val="00730909"/>
    <w:rsid w:val="00731DA1"/>
    <w:rsid w:val="00733550"/>
    <w:rsid w:val="00734E12"/>
    <w:rsid w:val="00734FE6"/>
    <w:rsid w:val="00735B01"/>
    <w:rsid w:val="00745483"/>
    <w:rsid w:val="00746160"/>
    <w:rsid w:val="007468B6"/>
    <w:rsid w:val="00760D8C"/>
    <w:rsid w:val="00761640"/>
    <w:rsid w:val="00761881"/>
    <w:rsid w:val="00765496"/>
    <w:rsid w:val="00767762"/>
    <w:rsid w:val="0077112A"/>
    <w:rsid w:val="00773664"/>
    <w:rsid w:val="00780BFC"/>
    <w:rsid w:val="00782C48"/>
    <w:rsid w:val="007869EE"/>
    <w:rsid w:val="007931D4"/>
    <w:rsid w:val="00797A12"/>
    <w:rsid w:val="007A126D"/>
    <w:rsid w:val="007A274E"/>
    <w:rsid w:val="007B7DB6"/>
    <w:rsid w:val="007C0133"/>
    <w:rsid w:val="007C4FB5"/>
    <w:rsid w:val="007D5DDF"/>
    <w:rsid w:val="007E0E49"/>
    <w:rsid w:val="007E586D"/>
    <w:rsid w:val="007F0E9D"/>
    <w:rsid w:val="007F2B88"/>
    <w:rsid w:val="007F3A9F"/>
    <w:rsid w:val="007F51F3"/>
    <w:rsid w:val="00804696"/>
    <w:rsid w:val="00804BC1"/>
    <w:rsid w:val="00807F37"/>
    <w:rsid w:val="0081159C"/>
    <w:rsid w:val="00811B82"/>
    <w:rsid w:val="00812D50"/>
    <w:rsid w:val="00814878"/>
    <w:rsid w:val="00825505"/>
    <w:rsid w:val="00830A31"/>
    <w:rsid w:val="00832D1F"/>
    <w:rsid w:val="00836717"/>
    <w:rsid w:val="008401CC"/>
    <w:rsid w:val="008433F4"/>
    <w:rsid w:val="00847B37"/>
    <w:rsid w:val="008502AA"/>
    <w:rsid w:val="0085118D"/>
    <w:rsid w:val="00854B0B"/>
    <w:rsid w:val="00861679"/>
    <w:rsid w:val="008638E1"/>
    <w:rsid w:val="00863B68"/>
    <w:rsid w:val="00867E89"/>
    <w:rsid w:val="0087284A"/>
    <w:rsid w:val="008736D8"/>
    <w:rsid w:val="00877E02"/>
    <w:rsid w:val="00877E81"/>
    <w:rsid w:val="008824A3"/>
    <w:rsid w:val="00884E47"/>
    <w:rsid w:val="008850F9"/>
    <w:rsid w:val="00890C79"/>
    <w:rsid w:val="008910D1"/>
    <w:rsid w:val="0089488D"/>
    <w:rsid w:val="008978BA"/>
    <w:rsid w:val="008A02C2"/>
    <w:rsid w:val="008A0CA8"/>
    <w:rsid w:val="008A4B4D"/>
    <w:rsid w:val="008A7BF2"/>
    <w:rsid w:val="008B2671"/>
    <w:rsid w:val="008C2E2B"/>
    <w:rsid w:val="008C5D52"/>
    <w:rsid w:val="008E1CA1"/>
    <w:rsid w:val="008E2C80"/>
    <w:rsid w:val="008E3B9C"/>
    <w:rsid w:val="008F3CC1"/>
    <w:rsid w:val="008F46E3"/>
    <w:rsid w:val="008F5D21"/>
    <w:rsid w:val="009002DA"/>
    <w:rsid w:val="00901864"/>
    <w:rsid w:val="00902981"/>
    <w:rsid w:val="00912ED5"/>
    <w:rsid w:val="00915560"/>
    <w:rsid w:val="00920435"/>
    <w:rsid w:val="00920873"/>
    <w:rsid w:val="009222C3"/>
    <w:rsid w:val="00927DAA"/>
    <w:rsid w:val="00932A61"/>
    <w:rsid w:val="00944E25"/>
    <w:rsid w:val="0094691F"/>
    <w:rsid w:val="0095290D"/>
    <w:rsid w:val="009619BD"/>
    <w:rsid w:val="009769FA"/>
    <w:rsid w:val="00981D61"/>
    <w:rsid w:val="0098227E"/>
    <w:rsid w:val="00982522"/>
    <w:rsid w:val="009859FE"/>
    <w:rsid w:val="009867E6"/>
    <w:rsid w:val="009905C6"/>
    <w:rsid w:val="00991B1A"/>
    <w:rsid w:val="00996394"/>
    <w:rsid w:val="00997B22"/>
    <w:rsid w:val="00997D54"/>
    <w:rsid w:val="009B1F11"/>
    <w:rsid w:val="009B3457"/>
    <w:rsid w:val="009C1747"/>
    <w:rsid w:val="009C1C10"/>
    <w:rsid w:val="009C34A1"/>
    <w:rsid w:val="009C34B2"/>
    <w:rsid w:val="009C50DC"/>
    <w:rsid w:val="009C6D0F"/>
    <w:rsid w:val="009D028D"/>
    <w:rsid w:val="009D324C"/>
    <w:rsid w:val="009D5CB4"/>
    <w:rsid w:val="009E2F11"/>
    <w:rsid w:val="009E4172"/>
    <w:rsid w:val="009E67D8"/>
    <w:rsid w:val="009F45FE"/>
    <w:rsid w:val="009F649F"/>
    <w:rsid w:val="00A006F1"/>
    <w:rsid w:val="00A02576"/>
    <w:rsid w:val="00A04378"/>
    <w:rsid w:val="00A04C5D"/>
    <w:rsid w:val="00A108A1"/>
    <w:rsid w:val="00A13811"/>
    <w:rsid w:val="00A158D0"/>
    <w:rsid w:val="00A21298"/>
    <w:rsid w:val="00A22406"/>
    <w:rsid w:val="00A25B2A"/>
    <w:rsid w:val="00A31CF3"/>
    <w:rsid w:val="00A32793"/>
    <w:rsid w:val="00A33D2B"/>
    <w:rsid w:val="00A43F4F"/>
    <w:rsid w:val="00A441CD"/>
    <w:rsid w:val="00A4617E"/>
    <w:rsid w:val="00A646CE"/>
    <w:rsid w:val="00A704F3"/>
    <w:rsid w:val="00A71E3B"/>
    <w:rsid w:val="00A82C13"/>
    <w:rsid w:val="00A865DE"/>
    <w:rsid w:val="00A871BA"/>
    <w:rsid w:val="00A93923"/>
    <w:rsid w:val="00A97690"/>
    <w:rsid w:val="00AA003F"/>
    <w:rsid w:val="00AA12D5"/>
    <w:rsid w:val="00AA1608"/>
    <w:rsid w:val="00AA3496"/>
    <w:rsid w:val="00AA7B9E"/>
    <w:rsid w:val="00AB121D"/>
    <w:rsid w:val="00AB3160"/>
    <w:rsid w:val="00AB32C8"/>
    <w:rsid w:val="00AB4AD2"/>
    <w:rsid w:val="00AC160C"/>
    <w:rsid w:val="00AC23FA"/>
    <w:rsid w:val="00AC4B46"/>
    <w:rsid w:val="00AD299F"/>
    <w:rsid w:val="00AD5FF5"/>
    <w:rsid w:val="00AE0406"/>
    <w:rsid w:val="00AF0AAD"/>
    <w:rsid w:val="00B057A6"/>
    <w:rsid w:val="00B058CE"/>
    <w:rsid w:val="00B05E7B"/>
    <w:rsid w:val="00B06CF7"/>
    <w:rsid w:val="00B16402"/>
    <w:rsid w:val="00B30FA2"/>
    <w:rsid w:val="00B34750"/>
    <w:rsid w:val="00B348A8"/>
    <w:rsid w:val="00B4531C"/>
    <w:rsid w:val="00B50027"/>
    <w:rsid w:val="00B5036C"/>
    <w:rsid w:val="00B53C51"/>
    <w:rsid w:val="00B54936"/>
    <w:rsid w:val="00B658CA"/>
    <w:rsid w:val="00B6705B"/>
    <w:rsid w:val="00B747A9"/>
    <w:rsid w:val="00B76EF6"/>
    <w:rsid w:val="00B76FD4"/>
    <w:rsid w:val="00B8403A"/>
    <w:rsid w:val="00B90BD2"/>
    <w:rsid w:val="00B9347B"/>
    <w:rsid w:val="00B961E1"/>
    <w:rsid w:val="00BA04B7"/>
    <w:rsid w:val="00BA156A"/>
    <w:rsid w:val="00BA22DB"/>
    <w:rsid w:val="00BB0328"/>
    <w:rsid w:val="00BB6504"/>
    <w:rsid w:val="00BB6DDF"/>
    <w:rsid w:val="00BB75C9"/>
    <w:rsid w:val="00BC1694"/>
    <w:rsid w:val="00BC64BF"/>
    <w:rsid w:val="00BD17DE"/>
    <w:rsid w:val="00BE4427"/>
    <w:rsid w:val="00BE4658"/>
    <w:rsid w:val="00BF6D7A"/>
    <w:rsid w:val="00BF6DB1"/>
    <w:rsid w:val="00BF7C93"/>
    <w:rsid w:val="00C009B6"/>
    <w:rsid w:val="00C0322F"/>
    <w:rsid w:val="00C04FC8"/>
    <w:rsid w:val="00C05065"/>
    <w:rsid w:val="00C05483"/>
    <w:rsid w:val="00C066D3"/>
    <w:rsid w:val="00C0750D"/>
    <w:rsid w:val="00C076E0"/>
    <w:rsid w:val="00C07848"/>
    <w:rsid w:val="00C210EB"/>
    <w:rsid w:val="00C306E3"/>
    <w:rsid w:val="00C32E3F"/>
    <w:rsid w:val="00C341B6"/>
    <w:rsid w:val="00C35059"/>
    <w:rsid w:val="00C365A2"/>
    <w:rsid w:val="00C37CE7"/>
    <w:rsid w:val="00C41E19"/>
    <w:rsid w:val="00C44793"/>
    <w:rsid w:val="00C4524C"/>
    <w:rsid w:val="00C47CAD"/>
    <w:rsid w:val="00C52DA6"/>
    <w:rsid w:val="00C5364A"/>
    <w:rsid w:val="00C54C9B"/>
    <w:rsid w:val="00C55917"/>
    <w:rsid w:val="00C56B61"/>
    <w:rsid w:val="00C57E3D"/>
    <w:rsid w:val="00C6278C"/>
    <w:rsid w:val="00C628BD"/>
    <w:rsid w:val="00C72B92"/>
    <w:rsid w:val="00C73494"/>
    <w:rsid w:val="00C74117"/>
    <w:rsid w:val="00C7771C"/>
    <w:rsid w:val="00C807A8"/>
    <w:rsid w:val="00C80E7C"/>
    <w:rsid w:val="00C875E3"/>
    <w:rsid w:val="00C92E42"/>
    <w:rsid w:val="00C94084"/>
    <w:rsid w:val="00C94243"/>
    <w:rsid w:val="00C9752B"/>
    <w:rsid w:val="00CA1151"/>
    <w:rsid w:val="00CA5863"/>
    <w:rsid w:val="00CB3BEE"/>
    <w:rsid w:val="00CB704F"/>
    <w:rsid w:val="00CC5734"/>
    <w:rsid w:val="00CC585E"/>
    <w:rsid w:val="00CE0060"/>
    <w:rsid w:val="00CE2531"/>
    <w:rsid w:val="00CE792E"/>
    <w:rsid w:val="00CF6174"/>
    <w:rsid w:val="00D00417"/>
    <w:rsid w:val="00D045A2"/>
    <w:rsid w:val="00D13211"/>
    <w:rsid w:val="00D211DF"/>
    <w:rsid w:val="00D22296"/>
    <w:rsid w:val="00D239EC"/>
    <w:rsid w:val="00D24741"/>
    <w:rsid w:val="00D305BA"/>
    <w:rsid w:val="00D36DF5"/>
    <w:rsid w:val="00D410C2"/>
    <w:rsid w:val="00D43C23"/>
    <w:rsid w:val="00D448CA"/>
    <w:rsid w:val="00D537AB"/>
    <w:rsid w:val="00D5699E"/>
    <w:rsid w:val="00D62148"/>
    <w:rsid w:val="00D7017B"/>
    <w:rsid w:val="00D73CA3"/>
    <w:rsid w:val="00D75EA0"/>
    <w:rsid w:val="00D9445A"/>
    <w:rsid w:val="00D970A1"/>
    <w:rsid w:val="00DB08BA"/>
    <w:rsid w:val="00DB4BA7"/>
    <w:rsid w:val="00DB4C3E"/>
    <w:rsid w:val="00DB5FB0"/>
    <w:rsid w:val="00DC1F0E"/>
    <w:rsid w:val="00DC2739"/>
    <w:rsid w:val="00DC2849"/>
    <w:rsid w:val="00DC2DDC"/>
    <w:rsid w:val="00DC46AF"/>
    <w:rsid w:val="00DC4914"/>
    <w:rsid w:val="00DD1700"/>
    <w:rsid w:val="00DD2294"/>
    <w:rsid w:val="00DD235E"/>
    <w:rsid w:val="00DE2D4A"/>
    <w:rsid w:val="00DF4159"/>
    <w:rsid w:val="00DF5B07"/>
    <w:rsid w:val="00DF5C08"/>
    <w:rsid w:val="00E07D2B"/>
    <w:rsid w:val="00E144EF"/>
    <w:rsid w:val="00E24BDA"/>
    <w:rsid w:val="00E27638"/>
    <w:rsid w:val="00E27B6F"/>
    <w:rsid w:val="00E316B1"/>
    <w:rsid w:val="00E33837"/>
    <w:rsid w:val="00E3488D"/>
    <w:rsid w:val="00E4170D"/>
    <w:rsid w:val="00E4497B"/>
    <w:rsid w:val="00E47AB6"/>
    <w:rsid w:val="00E522C4"/>
    <w:rsid w:val="00E66926"/>
    <w:rsid w:val="00E67CF4"/>
    <w:rsid w:val="00E700C0"/>
    <w:rsid w:val="00E74769"/>
    <w:rsid w:val="00E7553F"/>
    <w:rsid w:val="00E75EDF"/>
    <w:rsid w:val="00E8142B"/>
    <w:rsid w:val="00E86874"/>
    <w:rsid w:val="00E877B5"/>
    <w:rsid w:val="00E9318C"/>
    <w:rsid w:val="00E956F9"/>
    <w:rsid w:val="00E96BD1"/>
    <w:rsid w:val="00EA0D84"/>
    <w:rsid w:val="00EA7434"/>
    <w:rsid w:val="00EA7DFE"/>
    <w:rsid w:val="00EB1B5E"/>
    <w:rsid w:val="00EB7FAA"/>
    <w:rsid w:val="00EC2080"/>
    <w:rsid w:val="00EC75B1"/>
    <w:rsid w:val="00ED0A5A"/>
    <w:rsid w:val="00ED44DB"/>
    <w:rsid w:val="00ED6785"/>
    <w:rsid w:val="00EE1244"/>
    <w:rsid w:val="00EE7B4A"/>
    <w:rsid w:val="00EF6F4C"/>
    <w:rsid w:val="00EF709B"/>
    <w:rsid w:val="00EF7335"/>
    <w:rsid w:val="00F0708C"/>
    <w:rsid w:val="00F07A2C"/>
    <w:rsid w:val="00F16492"/>
    <w:rsid w:val="00F1666D"/>
    <w:rsid w:val="00F24EDF"/>
    <w:rsid w:val="00F25CBF"/>
    <w:rsid w:val="00F33B8C"/>
    <w:rsid w:val="00F45A66"/>
    <w:rsid w:val="00F46846"/>
    <w:rsid w:val="00F472CC"/>
    <w:rsid w:val="00F473FE"/>
    <w:rsid w:val="00F53256"/>
    <w:rsid w:val="00F532B8"/>
    <w:rsid w:val="00F5391C"/>
    <w:rsid w:val="00F54386"/>
    <w:rsid w:val="00F54509"/>
    <w:rsid w:val="00F56568"/>
    <w:rsid w:val="00F67D03"/>
    <w:rsid w:val="00F729AE"/>
    <w:rsid w:val="00F73F25"/>
    <w:rsid w:val="00F821B2"/>
    <w:rsid w:val="00F83EA3"/>
    <w:rsid w:val="00F86AB7"/>
    <w:rsid w:val="00F90FCF"/>
    <w:rsid w:val="00F93278"/>
    <w:rsid w:val="00F965B0"/>
    <w:rsid w:val="00FA07B3"/>
    <w:rsid w:val="00FA5D79"/>
    <w:rsid w:val="00FA6275"/>
    <w:rsid w:val="00FB1CF8"/>
    <w:rsid w:val="00FB24B9"/>
    <w:rsid w:val="00FB6613"/>
    <w:rsid w:val="00FC36C9"/>
    <w:rsid w:val="00FC3835"/>
    <w:rsid w:val="00FC6A5A"/>
    <w:rsid w:val="00FD0627"/>
    <w:rsid w:val="00FD2D89"/>
    <w:rsid w:val="00FD46AF"/>
    <w:rsid w:val="00FE0749"/>
    <w:rsid w:val="00FE312E"/>
    <w:rsid w:val="00FE48C1"/>
    <w:rsid w:val="00FE4BC4"/>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15:docId w15:val="{893AB43D-85C8-49E1-AE15-06F0BA12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uiPriority w:val="39"/>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camp@health.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riven\OneDrive%20-%20The%20Ministry%20of%20Health\Documents\Templates\iHNZ%20Board%20paper%20template%205%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143DE15D4582A44D8C48637AE793BB4A00CF38244EFCF2AD4CB95F4619CA1A72C7" ma:contentTypeVersion="7" ma:contentTypeDescription="Document Content type for Intranet Documents" ma:contentTypeScope="" ma:versionID="055291589620a6effbc5a1989a0cf031">
  <xsd:schema xmlns:xsd="http://www.w3.org/2001/XMLSchema" xmlns:xs="http://www.w3.org/2001/XMLSchema" xmlns:p="http://schemas.microsoft.com/office/2006/metadata/properties" xmlns:ns2="9253c88c-d550-4ff1-afdc-d5dc691f60b0" xmlns:ns3="5ed1d950-fdc4-48f8-b963-d5f8558599d9" targetNamespace="http://schemas.microsoft.com/office/2006/metadata/properties" ma:root="true" ma:fieldsID="23342b3b640b7338db00e0f3f6dcc277" ns2:_="" ns3:_="">
    <xsd:import namespace="9253c88c-d550-4ff1-afdc-d5dc691f60b0"/>
    <xsd:import namespace="5ed1d950-fdc4-48f8-b963-d5f8558599d9"/>
    <xsd:element name="properties">
      <xsd:complexType>
        <xsd:sequence>
          <xsd:element name="documentManagement">
            <xsd:complexType>
              <xsd:all>
                <xsd:element ref="ns2:HNZContentOwner" minOccurs="0"/>
                <xsd:element ref="ns2:HNZReviewDate" minOccurs="0"/>
                <xsd:element ref="ns2:HNZExpiryDate" minOccurs="0"/>
                <xsd:element ref="ns2:i3a0fe6035df47329f66088a682fd9d2" minOccurs="0"/>
                <xsd:element ref="ns2:TaxCatchAll" minOccurs="0"/>
                <xsd:element ref="ns2:TaxCatchAllLabel" minOccurs="0"/>
                <xsd:element ref="ns2:o0b0fca0fe5341709012cd4bcbbca98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HNZContentOwner" ma:index="8" nillable="true" ma:displayName="Content Owner" ma:description="Content Owner for Intranet pages" ma:list="UserInfo" ma:SharePointGroup="0" ma:internalName="HNZ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NZReviewDate" ma:index="9" nillable="true" ma:displayName="Review Date" ma:description="Review Date for Intranet content" ma:format="DateOnly" ma:internalName="HNZReviewDate">
      <xsd:simpleType>
        <xsd:restriction base="dms:DateTime"/>
      </xsd:simpleType>
    </xsd:element>
    <xsd:element name="HNZExpiryDate" ma:index="10" nillable="true" ma:displayName="Expiry Date" ma:description="Expiry Date for Intranet content" ma:format="DateOnly" ma:internalName="HNZExpiryDate">
      <xsd:simpleType>
        <xsd:restriction base="dms:DateTime"/>
      </xsd:simpleType>
    </xsd:element>
    <xsd:element name="i3a0fe6035df47329f66088a682fd9d2" ma:index="11"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o0b0fca0fe5341709012cd4bcbbca983" ma:index="15"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bf29b3f-1e51-457b-ae0c-362182e58074" ContentTypeId="0x010100143DE15D4582A44D8C48637AE793BB4A"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o0b0fca0fe5341709012cd4bcbbca983 xmlns="9253c88c-d550-4ff1-afdc-d5dc691f60b0">
      <Terms xmlns="http://schemas.microsoft.com/office/infopath/2007/PartnerControls"/>
    </o0b0fca0fe5341709012cd4bcbbca983>
    <HNZExpiryDate xmlns="9253c88c-d550-4ff1-afdc-d5dc691f60b0" xsi:nil="true"/>
    <HNZReviewDate xmlns="9253c88c-d550-4ff1-afdc-d5dc691f60b0" xsi:nil="true"/>
    <HNZContentOwner xmlns="9253c88c-d550-4ff1-afdc-d5dc691f60b0">
      <UserInfo>
        <DisplayName/>
        <AccountId xsi:nil="true"/>
        <AccountType/>
      </UserInfo>
    </HNZContentOwner>
    <i3a0fe6035df47329f66088a682fd9d2 xmlns="9253c88c-d550-4ff1-afdc-d5dc691f60b0">
      <Terms xmlns="http://schemas.microsoft.com/office/infopath/2007/PartnerControls"/>
    </i3a0fe6035df47329f66088a682fd9d2>
    <_dlc_DocId xmlns="5ed1d950-fdc4-48f8-b963-d5f8558599d9">HUBSITE-1313468894-8</_dlc_DocId>
    <_dlc_DocIdUrl xmlns="5ed1d950-fdc4-48f8-b963-d5f8558599d9">
      <Url>https://hauoraaotearoa.sharepoint.com/sites/Intranet/_layouts/15/DocIdRedir.aspx?ID=HUBSITE-1313468894-8</Url>
      <Description>HUBSITE-1313468894-8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02B3B-50DB-48B3-A723-C3D74DDC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E9863-C9FA-430A-AFB2-947A33BE183D}">
  <ds:schemaRefs>
    <ds:schemaRef ds:uri="Microsoft.SharePoint.Taxonomy.ContentTypeSync"/>
  </ds:schemaRefs>
</ds:datastoreItem>
</file>

<file path=customXml/itemProps4.xml><?xml version="1.0" encoding="utf-8"?>
<ds:datastoreItem xmlns:ds="http://schemas.openxmlformats.org/officeDocument/2006/customXml" ds:itemID="{347727C1-D2CF-48BA-A499-4CB0AB2C51CB}">
  <ds:schemaRefs>
    <ds:schemaRef ds:uri="http://schemas.microsoft.com/office/2006/metadata/properties"/>
    <ds:schemaRef ds:uri="http://schemas.microsoft.com/office/infopath/2007/PartnerControls"/>
    <ds:schemaRef ds:uri="9253c88c-d550-4ff1-afdc-d5dc691f60b0"/>
    <ds:schemaRef ds:uri="5ed1d950-fdc4-48f8-b963-d5f8558599d9"/>
  </ds:schemaRefs>
</ds:datastoreItem>
</file>

<file path=customXml/itemProps5.xml><?xml version="1.0" encoding="utf-8"?>
<ds:datastoreItem xmlns:ds="http://schemas.openxmlformats.org/officeDocument/2006/customXml" ds:itemID="{F422A0E0-6456-4831-B0DF-EE3169B32408}">
  <ds:schemaRefs>
    <ds:schemaRef ds:uri="http://schemas.microsoft.com/sharepoint/events"/>
  </ds:schemaRefs>
</ds:datastoreItem>
</file>

<file path=customXml/itemProps6.xml><?xml version="1.0" encoding="utf-8"?>
<ds:datastoreItem xmlns:ds="http://schemas.openxmlformats.org/officeDocument/2006/customXml" ds:itemID="{5BA7D5AD-D682-4DF9-9530-446DBE706BD6}">
  <ds:schemaRefs>
    <ds:schemaRef ds:uri="http://schemas.microsoft.com/sharepoint/v3/contenttype/forms"/>
  </ds:schemaRefs>
</ds:datastoreItem>
</file>

<file path=customXml/itemProps7.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iHNZ Board paper template 5 July</Template>
  <TotalTime>56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Sector Consultation Business Requirements NCAMP 2023</vt:lpstr>
    </vt:vector>
  </TitlesOfParts>
  <Company>Central Agencies Shared Services</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2023</dc:title>
  <dc:subject>NCAMP 2023</dc:subject>
  <dc:creator>Te Whatu Ora</dc:creator>
  <cp:keywords/>
  <dc:description/>
  <cp:lastModifiedBy>Alison De Leon</cp:lastModifiedBy>
  <cp:revision>52</cp:revision>
  <cp:lastPrinted>2021-09-26T23:52:00Z</cp:lastPrinted>
  <dcterms:created xsi:type="dcterms:W3CDTF">2022-11-25T03:28:00Z</dcterms:created>
  <dcterms:modified xsi:type="dcterms:W3CDTF">2022-11-27T21:00:00Z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0x010100143DE15D4582A44D8C48637AE793BB4A00CF38244EFCF2AD4CB95F4619CA1A72C7</vt:lpwstr>
  </property>
  <property fmtid="{D5CDD505-2E9C-101B-9397-08002B2CF9AE}" pid="3" name="MediaServiceImageTags">
    <vt:lpwstr/>
  </property>
  <property fmtid="{D5CDD505-2E9C-101B-9397-08002B2CF9AE}" pid="4" name="_dlc_DocIdItemGuid">
    <vt:lpwstr>de5d4158-7cc3-4847-95fe-98b43aa8b18a</vt:lpwstr>
  </property>
</Properties>
</file>