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89"/>
        <w:gridCol w:w="3749"/>
      </w:tblGrid>
      <w:tr w:rsidR="00D70D97" w:rsidRPr="003406FB" w14:paraId="0157B93C" w14:textId="77777777" w:rsidTr="003406FB">
        <w:tc>
          <w:tcPr>
            <w:tcW w:w="6048" w:type="dxa"/>
            <w:tcBorders>
              <w:top w:val="nil"/>
              <w:bottom w:val="single" w:sz="12" w:space="0" w:color="F4B083"/>
              <w:right w:val="nil"/>
            </w:tcBorders>
            <w:shd w:val="clear" w:color="auto" w:fill="FFFFFF"/>
          </w:tcPr>
          <w:p w14:paraId="3068C9BA" w14:textId="77777777"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3F0FA190" w14:textId="0C806334" w:rsidR="00F13542" w:rsidRPr="00F866EA" w:rsidRDefault="00F13542" w:rsidP="003C2B13">
            <w:pPr>
              <w:rPr>
                <w:rFonts w:ascii="Segoe UI" w:hAnsi="Segoe UI" w:cs="Segoe UI"/>
                <w:bCs/>
                <w:sz w:val="20"/>
                <w:szCs w:val="20"/>
                <w:lang w:val="en-NZ"/>
              </w:rPr>
            </w:pPr>
            <w:r w:rsidRPr="00F866EA">
              <w:rPr>
                <w:rFonts w:ascii="Segoe UI" w:hAnsi="Segoe UI" w:cs="Segoe UI"/>
                <w:bCs/>
                <w:sz w:val="20"/>
                <w:szCs w:val="20"/>
                <w:lang w:val="en-NZ"/>
              </w:rPr>
              <w:t>cn_20</w:t>
            </w:r>
            <w:r w:rsidR="00102749">
              <w:rPr>
                <w:rFonts w:ascii="Segoe UI" w:hAnsi="Segoe UI" w:cs="Segoe UI"/>
                <w:bCs/>
                <w:sz w:val="20"/>
                <w:szCs w:val="20"/>
                <w:lang w:val="en-NZ"/>
              </w:rPr>
              <w:t>2</w:t>
            </w:r>
            <w:r w:rsidR="00873B0B">
              <w:rPr>
                <w:rFonts w:ascii="Segoe UI" w:hAnsi="Segoe UI" w:cs="Segoe UI"/>
                <w:bCs/>
                <w:sz w:val="20"/>
                <w:szCs w:val="20"/>
                <w:lang w:val="en-NZ"/>
              </w:rPr>
              <w:t>1</w:t>
            </w:r>
            <w:r w:rsidRPr="00F866EA">
              <w:rPr>
                <w:rFonts w:ascii="Segoe UI" w:hAnsi="Segoe UI" w:cs="Segoe UI"/>
                <w:bCs/>
                <w:sz w:val="20"/>
                <w:szCs w:val="20"/>
                <w:lang w:val="en-NZ"/>
              </w:rPr>
              <w:t>_NCAMP_</w:t>
            </w:r>
            <w:r w:rsidR="00DC555E">
              <w:rPr>
                <w:rFonts w:ascii="Segoe UI" w:hAnsi="Segoe UI" w:cs="Segoe UI"/>
                <w:bCs/>
                <w:sz w:val="20"/>
                <w:szCs w:val="20"/>
                <w:lang w:val="en-NZ"/>
              </w:rPr>
              <w:t>SCRs_Business_Rules_Removal</w:t>
            </w:r>
            <w:r w:rsidR="00EA7AB3">
              <w:rPr>
                <w:rFonts w:ascii="Segoe UI" w:hAnsi="Segoe UI" w:cs="Segoe UI"/>
                <w:bCs/>
                <w:sz w:val="20"/>
                <w:szCs w:val="20"/>
                <w:lang w:val="en-NZ"/>
              </w:rPr>
              <w:t>_v</w:t>
            </w:r>
            <w:r w:rsidR="00E35A11">
              <w:rPr>
                <w:rFonts w:ascii="Segoe UI" w:hAnsi="Segoe UI" w:cs="Segoe UI"/>
                <w:bCs/>
                <w:sz w:val="20"/>
                <w:szCs w:val="20"/>
                <w:lang w:val="en-NZ"/>
              </w:rPr>
              <w:t>1.0</w:t>
            </w:r>
          </w:p>
          <w:p w14:paraId="55B5E59B" w14:textId="77777777" w:rsidR="00D70D97" w:rsidRPr="003406FB" w:rsidRDefault="00E02E8A" w:rsidP="003C2B13">
            <w:pPr>
              <w:rPr>
                <w:rFonts w:ascii="Segoe UI" w:hAnsi="Segoe UI" w:cs="Segoe UI"/>
                <w:b/>
                <w:bCs/>
                <w:sz w:val="20"/>
                <w:szCs w:val="20"/>
                <w:lang w:val="en-NZ"/>
              </w:rPr>
            </w:pPr>
            <w:r w:rsidRPr="003406FB">
              <w:rPr>
                <w:rFonts w:ascii="Segoe UI" w:hAnsi="Segoe UI" w:cs="Segoe UI"/>
                <w:b/>
                <w:bCs/>
                <w:sz w:val="20"/>
                <w:szCs w:val="20"/>
                <w:lang w:val="en-NZ"/>
              </w:rPr>
              <w:t xml:space="preserve"> </w:t>
            </w:r>
          </w:p>
          <w:p w14:paraId="3E365269"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45045D96" w14:textId="77777777" w:rsidR="00D70D97" w:rsidRPr="00F866EA" w:rsidRDefault="00E92110" w:rsidP="00D475AD">
            <w:pPr>
              <w:rPr>
                <w:rFonts w:ascii="Segoe UI" w:hAnsi="Segoe UI" w:cs="Segoe UI"/>
                <w:bCs/>
                <w:sz w:val="20"/>
                <w:szCs w:val="20"/>
                <w:lang w:val="en-NZ"/>
              </w:rPr>
            </w:pPr>
            <w:r>
              <w:rPr>
                <w:rFonts w:ascii="Segoe UI" w:hAnsi="Segoe UI" w:cs="Segoe UI"/>
                <w:bCs/>
                <w:sz w:val="20"/>
                <w:szCs w:val="20"/>
                <w:lang w:val="en-NZ"/>
              </w:rPr>
              <w:t>11 December 20</w:t>
            </w:r>
            <w:r w:rsidR="00DD3FF1">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53871C5B"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5FA2BCD0" wp14:editId="013263C3">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1D69F509"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742DB1C1" w14:textId="77777777" w:rsidTr="003406FB">
        <w:trPr>
          <w:trHeight w:val="587"/>
        </w:trPr>
        <w:tc>
          <w:tcPr>
            <w:tcW w:w="4253" w:type="dxa"/>
            <w:tcBorders>
              <w:top w:val="nil"/>
              <w:bottom w:val="single" w:sz="12" w:space="0" w:color="F4B083"/>
              <w:right w:val="nil"/>
            </w:tcBorders>
            <w:shd w:val="clear" w:color="auto" w:fill="FFFFFF"/>
          </w:tcPr>
          <w:p w14:paraId="04EA23A1"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25658FCD" w14:textId="77777777" w:rsidR="00D70D97" w:rsidRPr="00F866EA" w:rsidRDefault="00AA1F57" w:rsidP="003406FB">
            <w:pPr>
              <w:spacing w:before="120" w:after="120" w:line="240" w:lineRule="exact"/>
              <w:rPr>
                <w:rFonts w:ascii="Segoe UI" w:hAnsi="Segoe UI" w:cs="Segoe UI"/>
                <w:bCs/>
                <w:sz w:val="20"/>
                <w:szCs w:val="20"/>
                <w:lang w:val="en-NZ"/>
              </w:rPr>
            </w:pPr>
            <w:r w:rsidRPr="00F866EA">
              <w:rPr>
                <w:rFonts w:ascii="Segoe UI" w:hAnsi="Segoe UI" w:cs="Segoe UI"/>
                <w:bCs/>
                <w:sz w:val="20"/>
                <w:szCs w:val="20"/>
                <w:lang w:val="en-NZ"/>
              </w:rPr>
              <w:t>0</w:t>
            </w:r>
            <w:r w:rsidR="00D70D97" w:rsidRPr="00F866EA">
              <w:rPr>
                <w:rFonts w:ascii="Segoe UI" w:hAnsi="Segoe UI" w:cs="Segoe UI"/>
                <w:bCs/>
                <w:sz w:val="20"/>
                <w:szCs w:val="20"/>
                <w:lang w:val="en-NZ"/>
              </w:rPr>
              <w:t>1 J</w:t>
            </w:r>
            <w:r w:rsidRPr="00F866EA">
              <w:rPr>
                <w:rFonts w:ascii="Segoe UI" w:hAnsi="Segoe UI" w:cs="Segoe UI"/>
                <w:bCs/>
                <w:sz w:val="20"/>
                <w:szCs w:val="20"/>
                <w:lang w:val="en-NZ"/>
              </w:rPr>
              <w:t>uly</w:t>
            </w:r>
            <w:r w:rsidR="00D70D97" w:rsidRPr="00F866EA">
              <w:rPr>
                <w:rFonts w:ascii="Segoe UI" w:hAnsi="Segoe UI" w:cs="Segoe UI"/>
                <w:bCs/>
                <w:sz w:val="20"/>
                <w:szCs w:val="20"/>
                <w:lang w:val="en-NZ"/>
              </w:rPr>
              <w:t xml:space="preserve"> 20</w:t>
            </w:r>
            <w:r w:rsidR="00102749">
              <w:rPr>
                <w:rFonts w:ascii="Segoe UI" w:hAnsi="Segoe UI" w:cs="Segoe UI"/>
                <w:bCs/>
                <w:sz w:val="20"/>
                <w:szCs w:val="20"/>
                <w:lang w:val="en-NZ"/>
              </w:rPr>
              <w:t>2</w:t>
            </w:r>
            <w:r w:rsidR="00873B0B">
              <w:rPr>
                <w:rFonts w:ascii="Segoe UI" w:hAnsi="Segoe UI" w:cs="Segoe UI"/>
                <w:bCs/>
                <w:sz w:val="20"/>
                <w:szCs w:val="20"/>
                <w:lang w:val="en-NZ"/>
              </w:rPr>
              <w:t>1</w:t>
            </w:r>
          </w:p>
        </w:tc>
        <w:tc>
          <w:tcPr>
            <w:tcW w:w="6096" w:type="dxa"/>
            <w:tcBorders>
              <w:top w:val="nil"/>
              <w:left w:val="nil"/>
              <w:bottom w:val="single" w:sz="12" w:space="0" w:color="F4B083"/>
            </w:tcBorders>
            <w:shd w:val="clear" w:color="auto" w:fill="FFFFFF"/>
          </w:tcPr>
          <w:p w14:paraId="444A5F10" w14:textId="2D457593" w:rsidR="00D70D97" w:rsidRPr="003406FB" w:rsidRDefault="00D70D97" w:rsidP="00F13542">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2B7E6A">
              <w:rPr>
                <w:rFonts w:ascii="Segoe UI" w:hAnsi="Segoe UI" w:cs="Segoe UI"/>
                <w:b/>
                <w:bCs/>
                <w:sz w:val="20"/>
                <w:szCs w:val="20"/>
                <w:lang w:val="en-NZ"/>
              </w:rPr>
              <w:t xml:space="preserve"> </w:t>
            </w:r>
            <w:r w:rsidR="00DC555E" w:rsidRPr="00DC555E">
              <w:rPr>
                <w:rFonts w:ascii="Segoe UI" w:hAnsi="Segoe UI" w:cs="Segoe UI"/>
                <w:sz w:val="20"/>
                <w:szCs w:val="20"/>
                <w:lang w:val="en-NZ"/>
              </w:rPr>
              <w:t xml:space="preserve">Supplementary Consumer Records </w:t>
            </w:r>
            <w:r w:rsidR="003B20FE">
              <w:rPr>
                <w:rFonts w:ascii="Segoe UI" w:hAnsi="Segoe UI" w:cs="Segoe UI"/>
                <w:sz w:val="20"/>
                <w:szCs w:val="20"/>
                <w:lang w:val="en-NZ"/>
              </w:rPr>
              <w:t xml:space="preserve">(SCR) </w:t>
            </w:r>
            <w:r w:rsidR="00DC555E" w:rsidRPr="00DC555E">
              <w:rPr>
                <w:rFonts w:ascii="Segoe UI" w:hAnsi="Segoe UI" w:cs="Segoe UI"/>
                <w:sz w:val="20"/>
                <w:szCs w:val="20"/>
                <w:lang w:val="en-NZ"/>
              </w:rPr>
              <w:t xml:space="preserve">Removal of </w:t>
            </w:r>
            <w:r w:rsidR="00971BF9">
              <w:rPr>
                <w:rFonts w:ascii="Segoe UI" w:hAnsi="Segoe UI" w:cs="Segoe UI"/>
                <w:sz w:val="20"/>
                <w:szCs w:val="20"/>
                <w:lang w:val="en-NZ"/>
              </w:rPr>
              <w:t xml:space="preserve">    </w:t>
            </w:r>
            <w:r w:rsidR="00DC555E" w:rsidRPr="00DC555E">
              <w:rPr>
                <w:rFonts w:ascii="Segoe UI" w:hAnsi="Segoe UI" w:cs="Segoe UI"/>
                <w:sz w:val="20"/>
                <w:szCs w:val="20"/>
                <w:lang w:val="en-NZ"/>
              </w:rPr>
              <w:t xml:space="preserve">Business </w:t>
            </w:r>
            <w:r w:rsidR="00CD7382">
              <w:rPr>
                <w:rFonts w:ascii="Segoe UI" w:hAnsi="Segoe UI" w:cs="Segoe UI"/>
                <w:sz w:val="20"/>
                <w:szCs w:val="20"/>
                <w:lang w:val="en-NZ"/>
              </w:rPr>
              <w:t>R</w:t>
            </w:r>
            <w:r w:rsidR="00DC555E" w:rsidRPr="00DC555E">
              <w:rPr>
                <w:rFonts w:ascii="Segoe UI" w:hAnsi="Segoe UI" w:cs="Segoe UI"/>
                <w:sz w:val="20"/>
                <w:szCs w:val="20"/>
                <w:lang w:val="en-NZ"/>
              </w:rPr>
              <w:t>ules</w:t>
            </w:r>
          </w:p>
        </w:tc>
      </w:tr>
      <w:tr w:rsidR="00D70D97" w:rsidRPr="003406FB" w14:paraId="3108F6DE" w14:textId="77777777" w:rsidTr="003406FB">
        <w:tc>
          <w:tcPr>
            <w:tcW w:w="10349" w:type="dxa"/>
            <w:gridSpan w:val="2"/>
            <w:shd w:val="clear" w:color="auto" w:fill="FBE4D5"/>
          </w:tcPr>
          <w:p w14:paraId="18091F78" w14:textId="77777777" w:rsidR="00D70D97" w:rsidRPr="00F866EA" w:rsidRDefault="00F866EA" w:rsidP="003406FB">
            <w:pPr>
              <w:spacing w:before="120" w:after="120" w:line="240" w:lineRule="exact"/>
              <w:jc w:val="center"/>
              <w:rPr>
                <w:rFonts w:ascii="Segoe UI" w:hAnsi="Segoe UI" w:cs="Segoe UI"/>
                <w:b/>
                <w:bCs/>
                <w:lang w:val="en-NZ"/>
              </w:rPr>
            </w:pPr>
            <w:r w:rsidRPr="00F866EA">
              <w:rPr>
                <w:rFonts w:ascii="Segoe UI" w:hAnsi="Segoe UI" w:cs="Segoe UI"/>
                <w:b/>
                <w:bCs/>
                <w:lang w:val="en-NZ"/>
              </w:rPr>
              <w:t>CHANGE NOTIFICATION</w:t>
            </w:r>
          </w:p>
        </w:tc>
      </w:tr>
      <w:tr w:rsidR="00D70D97" w:rsidRPr="003406FB" w14:paraId="786212ED" w14:textId="77777777" w:rsidTr="003406FB">
        <w:trPr>
          <w:trHeight w:val="926"/>
        </w:trPr>
        <w:tc>
          <w:tcPr>
            <w:tcW w:w="10349" w:type="dxa"/>
            <w:gridSpan w:val="2"/>
            <w:shd w:val="clear" w:color="auto" w:fill="auto"/>
          </w:tcPr>
          <w:p w14:paraId="3FF365EF" w14:textId="77777777" w:rsidR="00023664" w:rsidRPr="00F866EA" w:rsidRDefault="009C0D34" w:rsidP="003406FB">
            <w:pPr>
              <w:pStyle w:val="Style2"/>
              <w:spacing w:before="120" w:after="120"/>
              <w:rPr>
                <w:rFonts w:ascii="Segoe UI" w:hAnsi="Segoe UI" w:cs="Segoe UI"/>
                <w:bCs/>
                <w:sz w:val="20"/>
                <w:szCs w:val="20"/>
              </w:rPr>
            </w:pPr>
            <w:r w:rsidRPr="00F866EA">
              <w:rPr>
                <w:rFonts w:ascii="Segoe UI" w:hAnsi="Segoe UI" w:cs="Segoe UI"/>
                <w:bCs/>
                <w:sz w:val="20"/>
                <w:szCs w:val="20"/>
              </w:rPr>
              <w:t>Summary:</w:t>
            </w:r>
            <w:r w:rsidR="002B7E6A">
              <w:rPr>
                <w:rFonts w:ascii="Segoe UI" w:hAnsi="Segoe UI" w:cs="Segoe UI"/>
                <w:bCs/>
                <w:sz w:val="20"/>
                <w:szCs w:val="20"/>
              </w:rPr>
              <w:t xml:space="preserve"> </w:t>
            </w:r>
          </w:p>
          <w:p w14:paraId="65A825D9" w14:textId="77777777" w:rsidR="00EE2DE3" w:rsidRDefault="00EE2DE3" w:rsidP="00EE2DE3">
            <w:pPr>
              <w:autoSpaceDE w:val="0"/>
              <w:autoSpaceDN w:val="0"/>
              <w:adjustRightInd w:val="0"/>
              <w:rPr>
                <w:rFonts w:ascii="Segoe UI" w:hAnsi="Segoe UI" w:cs="Segoe UI"/>
                <w:bCs/>
                <w:sz w:val="20"/>
                <w:szCs w:val="20"/>
                <w:lang w:val="en-NZ"/>
              </w:rPr>
            </w:pPr>
            <w:r w:rsidRPr="00DC555E">
              <w:rPr>
                <w:rFonts w:ascii="Segoe UI" w:hAnsi="Segoe UI" w:cs="Segoe UI"/>
                <w:bCs/>
                <w:sz w:val="20"/>
                <w:szCs w:val="20"/>
                <w:lang w:val="en-NZ"/>
              </w:rPr>
              <w:t>The proposal is to remove the business rules from PRIMHD relating to timing and submission of SCR records altogether - to be replaced with compliance reporting as it is for outcome collections now.</w:t>
            </w:r>
          </w:p>
          <w:p w14:paraId="779A6002" w14:textId="25DBC2AA" w:rsidR="00DC555E" w:rsidRPr="00F866EA" w:rsidRDefault="00DC555E" w:rsidP="00EE2DE3">
            <w:pPr>
              <w:autoSpaceDE w:val="0"/>
              <w:autoSpaceDN w:val="0"/>
              <w:adjustRightInd w:val="0"/>
              <w:rPr>
                <w:rFonts w:ascii="Segoe UI" w:hAnsi="Segoe UI" w:cs="Segoe UI"/>
                <w:bCs/>
                <w:sz w:val="20"/>
                <w:szCs w:val="20"/>
                <w:lang w:val="en-NZ" w:eastAsia="en-NZ"/>
              </w:rPr>
            </w:pPr>
          </w:p>
        </w:tc>
      </w:tr>
      <w:tr w:rsidR="00B16717" w:rsidRPr="003406FB" w14:paraId="1AEE35C3" w14:textId="77777777" w:rsidTr="003406FB">
        <w:trPr>
          <w:trHeight w:val="312"/>
        </w:trPr>
        <w:tc>
          <w:tcPr>
            <w:tcW w:w="4253" w:type="dxa"/>
            <w:shd w:val="clear" w:color="auto" w:fill="FBE4D5"/>
          </w:tcPr>
          <w:p w14:paraId="657D0502"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083601C2" w14:textId="2D70DB89" w:rsidR="00B16717" w:rsidRPr="00821E21" w:rsidRDefault="00DC555E" w:rsidP="003406FB">
            <w:pPr>
              <w:spacing w:before="120" w:after="120" w:line="240" w:lineRule="exact"/>
              <w:jc w:val="both"/>
              <w:rPr>
                <w:rFonts w:ascii="Segoe UI" w:hAnsi="Segoe UI" w:cs="Segoe UI"/>
                <w:sz w:val="20"/>
                <w:szCs w:val="20"/>
                <w:lang w:val="en-NZ"/>
              </w:rPr>
            </w:pPr>
            <w:r w:rsidRPr="00CD655D">
              <w:rPr>
                <w:rFonts w:ascii="Segoe UI" w:hAnsi="Segoe UI" w:cs="Segoe UI"/>
                <w:sz w:val="20"/>
                <w:szCs w:val="20"/>
                <w:lang w:val="en-NZ"/>
              </w:rPr>
              <w:t>Programme for the Integration of Mental Health Data (PRIMHD)</w:t>
            </w:r>
          </w:p>
        </w:tc>
      </w:tr>
      <w:tr w:rsidR="00D70D97" w:rsidRPr="003406FB" w14:paraId="63112D42" w14:textId="77777777" w:rsidTr="003406FB">
        <w:trPr>
          <w:trHeight w:val="936"/>
        </w:trPr>
        <w:tc>
          <w:tcPr>
            <w:tcW w:w="10349" w:type="dxa"/>
            <w:gridSpan w:val="2"/>
            <w:shd w:val="clear" w:color="auto" w:fill="auto"/>
          </w:tcPr>
          <w:p w14:paraId="3F913BDA" w14:textId="77777777" w:rsidR="003A05A1" w:rsidRPr="00F866EA" w:rsidRDefault="00D70D97" w:rsidP="003406FB">
            <w:pPr>
              <w:pStyle w:val="Style2"/>
              <w:spacing w:before="120" w:after="120" w:line="240" w:lineRule="auto"/>
              <w:jc w:val="left"/>
              <w:rPr>
                <w:rFonts w:ascii="Segoe UI" w:hAnsi="Segoe UI" w:cs="Segoe UI"/>
                <w:bCs/>
                <w:sz w:val="20"/>
                <w:szCs w:val="20"/>
                <w:lang w:val="en-NZ"/>
              </w:rPr>
            </w:pPr>
            <w:r w:rsidRPr="00F866EA">
              <w:rPr>
                <w:rFonts w:ascii="Segoe UI" w:hAnsi="Segoe UI" w:cs="Segoe UI"/>
                <w:bCs/>
                <w:sz w:val="20"/>
                <w:szCs w:val="20"/>
                <w:lang w:val="en-NZ"/>
              </w:rPr>
              <w:t>Context of the Change:</w:t>
            </w:r>
            <w:r w:rsidR="003237E8" w:rsidRPr="00F866EA">
              <w:rPr>
                <w:rFonts w:ascii="Segoe UI" w:hAnsi="Segoe UI" w:cs="Segoe UI"/>
                <w:bCs/>
                <w:sz w:val="20"/>
                <w:szCs w:val="20"/>
                <w:lang w:val="en-NZ"/>
              </w:rPr>
              <w:t xml:space="preserve"> </w:t>
            </w:r>
          </w:p>
          <w:p w14:paraId="13575D29" w14:textId="60DB0DF0" w:rsidR="00EE2DE3" w:rsidRDefault="00EE2DE3" w:rsidP="00DC555E">
            <w:pPr>
              <w:autoSpaceDE w:val="0"/>
              <w:autoSpaceDN w:val="0"/>
              <w:adjustRightInd w:val="0"/>
              <w:rPr>
                <w:rFonts w:ascii="Segoe UI" w:hAnsi="Segoe UI" w:cs="Segoe UI"/>
                <w:bCs/>
                <w:sz w:val="20"/>
                <w:szCs w:val="20"/>
                <w:lang w:val="en-NZ"/>
              </w:rPr>
            </w:pPr>
            <w:r w:rsidRPr="00DC555E">
              <w:rPr>
                <w:rFonts w:ascii="Segoe UI" w:hAnsi="Segoe UI" w:cs="Segoe UI"/>
                <w:bCs/>
                <w:sz w:val="20"/>
                <w:szCs w:val="20"/>
                <w:lang w:val="en-NZ"/>
              </w:rPr>
              <w:t xml:space="preserve">There is a change in the requirements for when SCR records are expected to be reported to PRIMHD. The reporting guidelines have been updated to state that there is no expectation that a SCR is to be reported until there have been 3 face to face activities. This is in line with the </w:t>
            </w:r>
            <w:r w:rsidR="000365EB">
              <w:rPr>
                <w:rFonts w:ascii="Segoe UI" w:hAnsi="Segoe UI" w:cs="Segoe UI"/>
                <w:bCs/>
                <w:sz w:val="20"/>
                <w:szCs w:val="20"/>
                <w:lang w:val="en-NZ"/>
              </w:rPr>
              <w:t>PP</w:t>
            </w:r>
            <w:bookmarkStart w:id="0" w:name="_GoBack"/>
            <w:bookmarkEnd w:id="0"/>
            <w:r w:rsidRPr="00DC555E">
              <w:rPr>
                <w:rFonts w:ascii="Segoe UI" w:hAnsi="Segoe UI" w:cs="Segoe UI"/>
                <w:bCs/>
                <w:sz w:val="20"/>
                <w:szCs w:val="20"/>
                <w:lang w:val="en-NZ"/>
              </w:rPr>
              <w:t>7 reporting for wellness plans, and also general feedback from DHBs. In addition, we are now allowing for the fact that some organisations don't need to report them at all depending on the type of service they provide.</w:t>
            </w:r>
          </w:p>
          <w:p w14:paraId="41B1F502" w14:textId="2A3C3AA2" w:rsidR="00DC555E" w:rsidRPr="00F866EA" w:rsidRDefault="00DC555E" w:rsidP="00DC555E">
            <w:pPr>
              <w:autoSpaceDE w:val="0"/>
              <w:autoSpaceDN w:val="0"/>
              <w:adjustRightInd w:val="0"/>
              <w:rPr>
                <w:rFonts w:ascii="Segoe UI" w:hAnsi="Segoe UI" w:cs="Segoe UI"/>
                <w:bCs/>
                <w:color w:val="FF0000"/>
                <w:sz w:val="20"/>
                <w:szCs w:val="20"/>
              </w:rPr>
            </w:pPr>
          </w:p>
        </w:tc>
      </w:tr>
      <w:tr w:rsidR="00D70D97" w:rsidRPr="003406FB" w14:paraId="4D0CB07C" w14:textId="77777777" w:rsidTr="003406FB">
        <w:tc>
          <w:tcPr>
            <w:tcW w:w="10349" w:type="dxa"/>
            <w:gridSpan w:val="2"/>
            <w:shd w:val="clear" w:color="auto" w:fill="FBE4D5"/>
          </w:tcPr>
          <w:p w14:paraId="25022D85" w14:textId="77777777" w:rsidR="00D70D97" w:rsidRPr="00F866EA" w:rsidRDefault="00D70D97" w:rsidP="003406FB">
            <w:pPr>
              <w:pStyle w:val="BodyText"/>
              <w:spacing w:line="240" w:lineRule="exact"/>
              <w:rPr>
                <w:rFonts w:ascii="Segoe UI" w:hAnsi="Segoe UI" w:cs="Segoe UI"/>
                <w:b/>
                <w:bCs/>
                <w:szCs w:val="20"/>
                <w:lang w:val="en-NZ" w:eastAsia="en-NZ"/>
              </w:rPr>
            </w:pPr>
            <w:r w:rsidRPr="00F866EA">
              <w:rPr>
                <w:rFonts w:ascii="Segoe UI" w:hAnsi="Segoe UI" w:cs="Segoe UI"/>
                <w:b/>
                <w:bCs/>
                <w:szCs w:val="20"/>
                <w:lang w:val="en-NZ" w:eastAsia="en-NZ"/>
              </w:rPr>
              <w:t xml:space="preserve">Details of Proposed Change: </w:t>
            </w:r>
          </w:p>
          <w:tbl>
            <w:tblPr>
              <w:tblW w:w="9891" w:type="dxa"/>
              <w:tblLook w:val="00A0" w:firstRow="1" w:lastRow="0" w:firstColumn="1" w:lastColumn="0" w:noHBand="0" w:noVBand="0"/>
            </w:tblPr>
            <w:tblGrid>
              <w:gridCol w:w="9891"/>
            </w:tblGrid>
            <w:tr w:rsidR="00F13542" w:rsidRPr="00F866EA" w14:paraId="0F9718D8" w14:textId="77777777" w:rsidTr="008D24C8">
              <w:trPr>
                <w:trHeight w:val="84"/>
              </w:trPr>
              <w:tc>
                <w:tcPr>
                  <w:tcW w:w="9707" w:type="dxa"/>
                  <w:shd w:val="clear" w:color="auto" w:fill="auto"/>
                </w:tcPr>
                <w:p w14:paraId="5E4B0DEC" w14:textId="1E4F1D1E" w:rsidR="00DC555E" w:rsidRPr="00F9280E" w:rsidRDefault="00DC555E" w:rsidP="00DC555E">
                  <w:pPr>
                    <w:autoSpaceDE w:val="0"/>
                    <w:autoSpaceDN w:val="0"/>
                    <w:adjustRightInd w:val="0"/>
                    <w:rPr>
                      <w:rFonts w:ascii="Segoe UI" w:hAnsi="Segoe UI" w:cs="Segoe UI"/>
                      <w:bCs/>
                      <w:sz w:val="20"/>
                      <w:szCs w:val="20"/>
                      <w:lang w:val="en-NZ"/>
                    </w:rPr>
                  </w:pPr>
                  <w:r w:rsidRPr="00F9280E">
                    <w:rPr>
                      <w:rFonts w:ascii="Segoe UI" w:hAnsi="Segoe UI" w:cs="Segoe UI"/>
                      <w:bCs/>
                      <w:sz w:val="20"/>
                      <w:szCs w:val="20"/>
                      <w:lang w:val="en-NZ"/>
                    </w:rPr>
                    <w:t>The following business rule validations are to be removed from PRIMHD</w:t>
                  </w:r>
                </w:p>
                <w:tbl>
                  <w:tblPr>
                    <w:tblW w:w="965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57" w:type="dxa"/>
                      <w:right w:w="57" w:type="dxa"/>
                    </w:tblCellMar>
                    <w:tblLook w:val="0000" w:firstRow="0" w:lastRow="0" w:firstColumn="0" w:lastColumn="0" w:noHBand="0" w:noVBand="0"/>
                  </w:tblPr>
                  <w:tblGrid>
                    <w:gridCol w:w="1380"/>
                    <w:gridCol w:w="4536"/>
                    <w:gridCol w:w="2410"/>
                    <w:gridCol w:w="1265"/>
                    <w:gridCol w:w="68"/>
                  </w:tblGrid>
                  <w:tr w:rsidR="00DC555E" w:rsidRPr="00F9280E" w14:paraId="765713F1" w14:textId="77777777" w:rsidTr="008D24C8">
                    <w:trPr>
                      <w:cantSplit/>
                      <w:trHeight w:val="696"/>
                    </w:trPr>
                    <w:tc>
                      <w:tcPr>
                        <w:tcW w:w="1380" w:type="dxa"/>
                        <w:tcBorders>
                          <w:top w:val="single" w:sz="6" w:space="0" w:color="auto"/>
                          <w:left w:val="single" w:sz="6" w:space="0" w:color="auto"/>
                          <w:bottom w:val="single" w:sz="6" w:space="0" w:color="auto"/>
                          <w:right w:val="single" w:sz="6" w:space="0" w:color="auto"/>
                        </w:tcBorders>
                        <w:shd w:val="clear" w:color="auto" w:fill="E6E6E6"/>
                      </w:tcPr>
                      <w:p w14:paraId="14D1081C" w14:textId="77777777" w:rsidR="00DC555E" w:rsidRPr="00F9280E" w:rsidRDefault="00DC555E" w:rsidP="00DC555E">
                        <w:pPr>
                          <w:pStyle w:val="TableHeaderCenter"/>
                          <w:rPr>
                            <w:rFonts w:ascii="Segoe UI" w:hAnsi="Segoe UI" w:cs="Segoe UI"/>
                            <w:b w:val="0"/>
                            <w:iCs w:val="0"/>
                            <w:color w:val="auto"/>
                            <w:szCs w:val="20"/>
                          </w:rPr>
                        </w:pPr>
                        <w:r w:rsidRPr="00F9280E">
                          <w:rPr>
                            <w:rFonts w:ascii="Segoe UI" w:hAnsi="Segoe UI" w:cs="Segoe UI"/>
                            <w:b w:val="0"/>
                            <w:iCs w:val="0"/>
                            <w:color w:val="auto"/>
                            <w:szCs w:val="20"/>
                          </w:rPr>
                          <w:t>Business Rule Reference</w:t>
                        </w:r>
                      </w:p>
                    </w:tc>
                    <w:tc>
                      <w:tcPr>
                        <w:tcW w:w="4536" w:type="dxa"/>
                        <w:tcBorders>
                          <w:top w:val="single" w:sz="6" w:space="0" w:color="auto"/>
                          <w:left w:val="single" w:sz="6" w:space="0" w:color="auto"/>
                          <w:bottom w:val="single" w:sz="6" w:space="0" w:color="auto"/>
                          <w:right w:val="single" w:sz="6" w:space="0" w:color="auto"/>
                        </w:tcBorders>
                        <w:shd w:val="clear" w:color="auto" w:fill="E6E6E6"/>
                      </w:tcPr>
                      <w:p w14:paraId="3230D4C4" w14:textId="77777777" w:rsidR="00DC555E" w:rsidRPr="00F9280E" w:rsidRDefault="00DC555E" w:rsidP="00DC555E">
                        <w:pPr>
                          <w:pStyle w:val="TableHeaderCenter"/>
                          <w:rPr>
                            <w:rFonts w:ascii="Segoe UI" w:hAnsi="Segoe UI" w:cs="Segoe UI"/>
                            <w:b w:val="0"/>
                            <w:iCs w:val="0"/>
                            <w:color w:val="auto"/>
                            <w:szCs w:val="20"/>
                          </w:rPr>
                        </w:pPr>
                        <w:r w:rsidRPr="00F9280E">
                          <w:rPr>
                            <w:rFonts w:ascii="Segoe UI" w:hAnsi="Segoe UI" w:cs="Segoe UI"/>
                            <w:b w:val="0"/>
                            <w:iCs w:val="0"/>
                            <w:color w:val="auto"/>
                            <w:szCs w:val="20"/>
                          </w:rPr>
                          <w:t xml:space="preserve">Business </w:t>
                        </w:r>
                      </w:p>
                      <w:p w14:paraId="165F3EB2" w14:textId="77777777" w:rsidR="00DC555E" w:rsidRPr="00F9280E" w:rsidRDefault="00DC555E" w:rsidP="00DC555E">
                        <w:pPr>
                          <w:pStyle w:val="TableHeaderCenter"/>
                          <w:rPr>
                            <w:rFonts w:ascii="Segoe UI" w:hAnsi="Segoe UI" w:cs="Segoe UI"/>
                            <w:b w:val="0"/>
                            <w:iCs w:val="0"/>
                            <w:color w:val="auto"/>
                            <w:szCs w:val="20"/>
                          </w:rPr>
                        </w:pPr>
                        <w:r w:rsidRPr="00F9280E">
                          <w:rPr>
                            <w:rFonts w:ascii="Segoe UI" w:hAnsi="Segoe UI" w:cs="Segoe UI"/>
                            <w:b w:val="0"/>
                            <w:iCs w:val="0"/>
                            <w:color w:val="auto"/>
                            <w:szCs w:val="20"/>
                          </w:rPr>
                          <w:t xml:space="preserve">Rule </w:t>
                        </w:r>
                      </w:p>
                      <w:p w14:paraId="5EF4DDD2" w14:textId="77777777" w:rsidR="00DC555E" w:rsidRPr="00F9280E" w:rsidRDefault="00DC555E" w:rsidP="00DC555E">
                        <w:pPr>
                          <w:pStyle w:val="TableHeaderCenter"/>
                          <w:rPr>
                            <w:rFonts w:ascii="Segoe UI" w:hAnsi="Segoe UI" w:cs="Segoe UI"/>
                            <w:b w:val="0"/>
                            <w:iCs w:val="0"/>
                            <w:color w:val="auto"/>
                            <w:szCs w:val="20"/>
                          </w:rPr>
                        </w:pPr>
                        <w:r w:rsidRPr="00F9280E">
                          <w:rPr>
                            <w:rFonts w:ascii="Segoe UI" w:hAnsi="Segoe UI" w:cs="Segoe UI"/>
                            <w:b w:val="0"/>
                            <w:iCs w:val="0"/>
                            <w:color w:val="auto"/>
                            <w:szCs w:val="20"/>
                          </w:rPr>
                          <w:t>Description</w:t>
                        </w:r>
                      </w:p>
                    </w:tc>
                    <w:tc>
                      <w:tcPr>
                        <w:tcW w:w="2410" w:type="dxa"/>
                        <w:tcBorders>
                          <w:top w:val="single" w:sz="6" w:space="0" w:color="auto"/>
                          <w:left w:val="single" w:sz="6" w:space="0" w:color="auto"/>
                          <w:bottom w:val="single" w:sz="6" w:space="0" w:color="auto"/>
                          <w:right w:val="single" w:sz="6" w:space="0" w:color="auto"/>
                        </w:tcBorders>
                        <w:shd w:val="clear" w:color="auto" w:fill="E6E6E6"/>
                      </w:tcPr>
                      <w:p w14:paraId="72EEB31A" w14:textId="77777777" w:rsidR="00DC555E" w:rsidRPr="00F9280E" w:rsidRDefault="00DC555E" w:rsidP="00DC555E">
                        <w:pPr>
                          <w:pStyle w:val="TableHeaderCenter"/>
                          <w:rPr>
                            <w:rFonts w:ascii="Segoe UI" w:hAnsi="Segoe UI" w:cs="Segoe UI"/>
                            <w:b w:val="0"/>
                            <w:iCs w:val="0"/>
                            <w:color w:val="auto"/>
                            <w:szCs w:val="20"/>
                          </w:rPr>
                        </w:pPr>
                        <w:r w:rsidRPr="00F9280E">
                          <w:rPr>
                            <w:rFonts w:ascii="Segoe UI" w:hAnsi="Segoe UI" w:cs="Segoe UI"/>
                            <w:b w:val="0"/>
                            <w:iCs w:val="0"/>
                            <w:color w:val="auto"/>
                            <w:szCs w:val="20"/>
                          </w:rPr>
                          <w:t xml:space="preserve">Affected </w:t>
                        </w:r>
                        <w:r w:rsidRPr="00F9280E">
                          <w:rPr>
                            <w:rFonts w:ascii="Segoe UI" w:hAnsi="Segoe UI" w:cs="Segoe UI"/>
                            <w:b w:val="0"/>
                            <w:iCs w:val="0"/>
                            <w:color w:val="auto"/>
                            <w:szCs w:val="20"/>
                          </w:rPr>
                          <w:br/>
                          <w:t>Data</w:t>
                        </w:r>
                      </w:p>
                    </w:tc>
                    <w:tc>
                      <w:tcPr>
                        <w:tcW w:w="1333" w:type="dxa"/>
                        <w:gridSpan w:val="2"/>
                        <w:tcBorders>
                          <w:top w:val="single" w:sz="6" w:space="0" w:color="auto"/>
                          <w:left w:val="single" w:sz="6" w:space="0" w:color="auto"/>
                          <w:bottom w:val="single" w:sz="6" w:space="0" w:color="auto"/>
                          <w:right w:val="single" w:sz="6" w:space="0" w:color="auto"/>
                        </w:tcBorders>
                        <w:shd w:val="clear" w:color="auto" w:fill="E6E6E6"/>
                      </w:tcPr>
                      <w:p w14:paraId="4A59E947" w14:textId="77777777" w:rsidR="00DC555E" w:rsidRPr="00F9280E" w:rsidRDefault="00DC555E" w:rsidP="00DC555E">
                        <w:pPr>
                          <w:pStyle w:val="TableHeaderCenter"/>
                          <w:rPr>
                            <w:rFonts w:ascii="Segoe UI" w:hAnsi="Segoe UI" w:cs="Segoe UI"/>
                            <w:b w:val="0"/>
                            <w:iCs w:val="0"/>
                            <w:color w:val="auto"/>
                            <w:szCs w:val="20"/>
                          </w:rPr>
                        </w:pPr>
                        <w:r w:rsidRPr="00F9280E">
                          <w:rPr>
                            <w:rFonts w:ascii="Segoe UI" w:hAnsi="Segoe UI" w:cs="Segoe UI"/>
                            <w:b w:val="0"/>
                            <w:iCs w:val="0"/>
                            <w:color w:val="auto"/>
                            <w:szCs w:val="20"/>
                          </w:rPr>
                          <w:t>Response Message Reference</w:t>
                        </w:r>
                      </w:p>
                    </w:tc>
                  </w:tr>
                  <w:tr w:rsidR="00DC555E" w:rsidRPr="00F9280E" w14:paraId="4E922394" w14:textId="77777777" w:rsidTr="000738A4">
                    <w:trPr>
                      <w:gridAfter w:val="1"/>
                      <w:wAfter w:w="68" w:type="dxa"/>
                      <w:cantSplit/>
                      <w:trHeight w:val="1787"/>
                    </w:trPr>
                    <w:tc>
                      <w:tcPr>
                        <w:tcW w:w="1380" w:type="dxa"/>
                        <w:tcBorders>
                          <w:top w:val="single" w:sz="6" w:space="0" w:color="auto"/>
                          <w:left w:val="single" w:sz="6" w:space="0" w:color="auto"/>
                          <w:bottom w:val="single" w:sz="6" w:space="0" w:color="auto"/>
                          <w:right w:val="single" w:sz="6" w:space="0" w:color="auto"/>
                        </w:tcBorders>
                      </w:tcPr>
                      <w:p w14:paraId="05A50BE0" w14:textId="77777777" w:rsidR="00DC555E" w:rsidRPr="00F9280E" w:rsidRDefault="00DC555E" w:rsidP="00DC555E">
                        <w:pPr>
                          <w:pStyle w:val="TableText9pt"/>
                          <w:tabs>
                            <w:tab w:val="left" w:pos="284"/>
                          </w:tabs>
                          <w:ind w:left="284" w:hanging="284"/>
                          <w:rPr>
                            <w:rFonts w:ascii="Segoe UI" w:hAnsi="Segoe UI" w:cs="Segoe UI"/>
                            <w:bCs/>
                            <w:sz w:val="20"/>
                            <w:szCs w:val="20"/>
                          </w:rPr>
                        </w:pPr>
                        <w:r w:rsidRPr="00F9280E">
                          <w:rPr>
                            <w:rFonts w:ascii="Segoe UI" w:hAnsi="Segoe UI" w:cs="Segoe UI"/>
                            <w:bCs/>
                            <w:sz w:val="20"/>
                            <w:szCs w:val="20"/>
                          </w:rPr>
                          <w:t>BR-P121-10</w:t>
                        </w:r>
                      </w:p>
                    </w:tc>
                    <w:tc>
                      <w:tcPr>
                        <w:tcW w:w="4536" w:type="dxa"/>
                        <w:tcBorders>
                          <w:top w:val="single" w:sz="6" w:space="0" w:color="auto"/>
                          <w:left w:val="single" w:sz="6" w:space="0" w:color="auto"/>
                          <w:bottom w:val="single" w:sz="6" w:space="0" w:color="auto"/>
                          <w:right w:val="single" w:sz="4" w:space="0" w:color="auto"/>
                        </w:tcBorders>
                      </w:tcPr>
                      <w:p w14:paraId="27C545A7" w14:textId="77777777" w:rsidR="00DC555E" w:rsidRPr="00F9280E" w:rsidRDefault="00DC555E" w:rsidP="00DC555E">
                        <w:pPr>
                          <w:pStyle w:val="TableBullet2"/>
                          <w:numPr>
                            <w:ilvl w:val="0"/>
                            <w:numId w:val="34"/>
                          </w:numPr>
                          <w:tabs>
                            <w:tab w:val="clear" w:pos="393"/>
                            <w:tab w:val="left" w:pos="284"/>
                          </w:tabs>
                          <w:ind w:left="284" w:hanging="284"/>
                          <w:rPr>
                            <w:rFonts w:ascii="Segoe UI" w:hAnsi="Segoe UI" w:cs="Segoe UI"/>
                            <w:bCs/>
                            <w:sz w:val="20"/>
                            <w:szCs w:val="20"/>
                          </w:rPr>
                        </w:pPr>
                        <w:r w:rsidRPr="00F9280E">
                          <w:rPr>
                            <w:rFonts w:ascii="Segoe UI" w:hAnsi="Segoe UI" w:cs="Segoe UI"/>
                            <w:bCs/>
                            <w:sz w:val="20"/>
                            <w:szCs w:val="20"/>
                          </w:rPr>
                          <w:t>A Referral Discharge record which begins on or after 1 July 2016 should contain at least one Supplementary Consumer Record with a Collection Date within 91 days of the first face-to-face Activity Start Date Time unless the Referral End Code is DD, DG, DM, ID, RI, or RO.</w:t>
                        </w:r>
                      </w:p>
                      <w:p w14:paraId="560DD0C3" w14:textId="77777777" w:rsidR="00DC555E" w:rsidRPr="00F9280E" w:rsidRDefault="00DC555E" w:rsidP="00DC555E">
                        <w:pPr>
                          <w:pStyle w:val="TableBullet2"/>
                          <w:numPr>
                            <w:ilvl w:val="0"/>
                            <w:numId w:val="34"/>
                          </w:numPr>
                          <w:tabs>
                            <w:tab w:val="clear" w:pos="393"/>
                            <w:tab w:val="left" w:pos="284"/>
                          </w:tabs>
                          <w:ind w:left="284" w:hanging="284"/>
                          <w:rPr>
                            <w:rFonts w:ascii="Segoe UI" w:hAnsi="Segoe UI" w:cs="Segoe UI"/>
                            <w:bCs/>
                            <w:sz w:val="20"/>
                            <w:szCs w:val="20"/>
                          </w:rPr>
                        </w:pPr>
                        <w:r w:rsidRPr="00F9280E">
                          <w:rPr>
                            <w:rFonts w:ascii="Segoe UI" w:hAnsi="Segoe UI" w:cs="Segoe UI"/>
                            <w:bCs/>
                            <w:sz w:val="20"/>
                            <w:szCs w:val="20"/>
                          </w:rPr>
                          <w:t>“Note SCRs are not required on all referrals. See the Guidelines for more details”</w:t>
                        </w:r>
                      </w:p>
                    </w:tc>
                    <w:tc>
                      <w:tcPr>
                        <w:tcW w:w="2410" w:type="dxa"/>
                        <w:tcBorders>
                          <w:top w:val="single" w:sz="4" w:space="0" w:color="auto"/>
                          <w:left w:val="single" w:sz="4" w:space="0" w:color="auto"/>
                          <w:bottom w:val="single" w:sz="4" w:space="0" w:color="auto"/>
                          <w:right w:val="single" w:sz="4" w:space="0" w:color="auto"/>
                        </w:tcBorders>
                      </w:tcPr>
                      <w:p w14:paraId="6B0EB269" w14:textId="77777777" w:rsidR="00DC555E" w:rsidRPr="00F9280E" w:rsidRDefault="00DC555E" w:rsidP="00DC555E">
                        <w:pPr>
                          <w:pStyle w:val="TableBullet1NoFormats"/>
                          <w:tabs>
                            <w:tab w:val="left" w:pos="284"/>
                          </w:tabs>
                          <w:ind w:left="284" w:hanging="284"/>
                          <w:rPr>
                            <w:rFonts w:ascii="Segoe UI" w:hAnsi="Segoe UI" w:cs="Segoe UI"/>
                            <w:bCs/>
                            <w:sz w:val="20"/>
                            <w:szCs w:val="20"/>
                          </w:rPr>
                        </w:pPr>
                        <w:r w:rsidRPr="00F9280E">
                          <w:rPr>
                            <w:rFonts w:ascii="Segoe UI" w:hAnsi="Segoe UI" w:cs="Segoe UI"/>
                            <w:bCs/>
                            <w:sz w:val="20"/>
                            <w:szCs w:val="20"/>
                          </w:rPr>
                          <w:t>Supplementary Consumer Record Collection Date</w:t>
                        </w:r>
                      </w:p>
                      <w:p w14:paraId="2DDF63BA" w14:textId="77777777" w:rsidR="00DC555E" w:rsidRPr="00F9280E" w:rsidRDefault="00DC555E" w:rsidP="00DC555E">
                        <w:pPr>
                          <w:pStyle w:val="TableBullet1NoFormats"/>
                          <w:tabs>
                            <w:tab w:val="left" w:pos="284"/>
                          </w:tabs>
                          <w:ind w:left="284" w:hanging="284"/>
                          <w:rPr>
                            <w:rFonts w:ascii="Segoe UI" w:hAnsi="Segoe UI" w:cs="Segoe UI"/>
                            <w:bCs/>
                            <w:sz w:val="20"/>
                            <w:szCs w:val="20"/>
                          </w:rPr>
                        </w:pPr>
                        <w:r w:rsidRPr="00F9280E">
                          <w:rPr>
                            <w:rFonts w:ascii="Segoe UI" w:hAnsi="Segoe UI" w:cs="Segoe UI"/>
                            <w:bCs/>
                            <w:sz w:val="20"/>
                            <w:szCs w:val="20"/>
                          </w:rPr>
                          <w:t>Activity Start Date Time</w:t>
                        </w:r>
                      </w:p>
                    </w:tc>
                    <w:tc>
                      <w:tcPr>
                        <w:tcW w:w="1265" w:type="dxa"/>
                        <w:tcBorders>
                          <w:top w:val="single" w:sz="4" w:space="0" w:color="auto"/>
                          <w:left w:val="single" w:sz="4" w:space="0" w:color="auto"/>
                          <w:bottom w:val="single" w:sz="4" w:space="0" w:color="auto"/>
                          <w:right w:val="single" w:sz="4" w:space="0" w:color="auto"/>
                        </w:tcBorders>
                      </w:tcPr>
                      <w:p w14:paraId="6E019A87" w14:textId="77777777" w:rsidR="00DC555E" w:rsidRPr="00F9280E" w:rsidRDefault="00DC555E" w:rsidP="008D24C8">
                        <w:pPr>
                          <w:pStyle w:val="TableBullet1NoFormats"/>
                          <w:numPr>
                            <w:ilvl w:val="0"/>
                            <w:numId w:val="0"/>
                          </w:numPr>
                          <w:ind w:left="360" w:right="-54" w:hanging="360"/>
                          <w:rPr>
                            <w:rFonts w:ascii="Segoe UI" w:hAnsi="Segoe UI" w:cs="Segoe UI"/>
                            <w:bCs/>
                            <w:sz w:val="20"/>
                            <w:szCs w:val="20"/>
                          </w:rPr>
                        </w:pPr>
                        <w:r w:rsidRPr="00F9280E">
                          <w:rPr>
                            <w:rFonts w:ascii="Segoe UI" w:hAnsi="Segoe UI" w:cs="Segoe UI"/>
                            <w:bCs/>
                            <w:sz w:val="20"/>
                            <w:szCs w:val="20"/>
                          </w:rPr>
                          <w:t>RM-P122-29</w:t>
                        </w:r>
                      </w:p>
                    </w:tc>
                  </w:tr>
                  <w:tr w:rsidR="00F9280E" w:rsidRPr="00F9280E" w14:paraId="47A358DD" w14:textId="77777777" w:rsidTr="008D24C8">
                    <w:trPr>
                      <w:cantSplit/>
                      <w:trHeight w:val="2096"/>
                    </w:trPr>
                    <w:tc>
                      <w:tcPr>
                        <w:tcW w:w="1380" w:type="dxa"/>
                        <w:tcBorders>
                          <w:top w:val="single" w:sz="6" w:space="0" w:color="auto"/>
                          <w:left w:val="single" w:sz="6" w:space="0" w:color="auto"/>
                          <w:bottom w:val="single" w:sz="6" w:space="0" w:color="auto"/>
                          <w:right w:val="single" w:sz="6" w:space="0" w:color="auto"/>
                        </w:tcBorders>
                      </w:tcPr>
                      <w:p w14:paraId="576BCC64" w14:textId="77777777" w:rsidR="00DC555E" w:rsidRPr="00F9280E" w:rsidRDefault="00DC555E" w:rsidP="00DC555E">
                        <w:pPr>
                          <w:pStyle w:val="TableText9pt"/>
                          <w:tabs>
                            <w:tab w:val="left" w:pos="284"/>
                          </w:tabs>
                          <w:ind w:left="284" w:hanging="284"/>
                          <w:rPr>
                            <w:rFonts w:ascii="Segoe UI" w:hAnsi="Segoe UI" w:cs="Segoe UI"/>
                            <w:bCs/>
                            <w:sz w:val="20"/>
                            <w:szCs w:val="20"/>
                          </w:rPr>
                        </w:pPr>
                        <w:r w:rsidRPr="00F9280E">
                          <w:rPr>
                            <w:rFonts w:ascii="Segoe UI" w:hAnsi="Segoe UI" w:cs="Segoe UI"/>
                            <w:bCs/>
                            <w:sz w:val="20"/>
                            <w:szCs w:val="20"/>
                          </w:rPr>
                          <w:t>BR-P121-11</w:t>
                        </w:r>
                      </w:p>
                    </w:tc>
                    <w:tc>
                      <w:tcPr>
                        <w:tcW w:w="4536" w:type="dxa"/>
                        <w:tcBorders>
                          <w:top w:val="single" w:sz="6" w:space="0" w:color="auto"/>
                          <w:left w:val="single" w:sz="6" w:space="0" w:color="auto"/>
                          <w:bottom w:val="single" w:sz="6" w:space="0" w:color="auto"/>
                          <w:right w:val="single" w:sz="6" w:space="0" w:color="auto"/>
                        </w:tcBorders>
                      </w:tcPr>
                      <w:p w14:paraId="5D8CFA2F" w14:textId="77777777" w:rsidR="00DC555E" w:rsidRPr="00F9280E" w:rsidRDefault="00DC555E" w:rsidP="00DC555E">
                        <w:pPr>
                          <w:pStyle w:val="TableBullet2"/>
                          <w:numPr>
                            <w:ilvl w:val="0"/>
                            <w:numId w:val="34"/>
                          </w:numPr>
                          <w:tabs>
                            <w:tab w:val="clear" w:pos="393"/>
                            <w:tab w:val="left" w:pos="284"/>
                          </w:tabs>
                          <w:ind w:left="284" w:hanging="284"/>
                          <w:rPr>
                            <w:rFonts w:ascii="Segoe UI" w:hAnsi="Segoe UI" w:cs="Segoe UI"/>
                            <w:bCs/>
                            <w:sz w:val="20"/>
                            <w:szCs w:val="20"/>
                          </w:rPr>
                        </w:pPr>
                        <w:r w:rsidRPr="00F9280E">
                          <w:rPr>
                            <w:rFonts w:ascii="Segoe UI" w:hAnsi="Segoe UI" w:cs="Segoe UI"/>
                            <w:bCs/>
                            <w:sz w:val="20"/>
                            <w:szCs w:val="20"/>
                          </w:rPr>
                          <w:t>For each Supplementary Consumer Record contained within a Referral Discharge Record beginning on or after 1 July 2016, the Collection Date should be fewer than or equal to 365 days before either the collection date of another SC record or the Referral Discharge End Date Time.  This is unless the Referral End Code is DD, DG, DM, ID, RI, or RO.</w:t>
                        </w:r>
                      </w:p>
                      <w:p w14:paraId="0466BF76" w14:textId="77777777" w:rsidR="00DC555E" w:rsidRPr="00F9280E" w:rsidRDefault="00DC555E" w:rsidP="00DC555E">
                        <w:pPr>
                          <w:pStyle w:val="TableBullet2"/>
                          <w:numPr>
                            <w:ilvl w:val="0"/>
                            <w:numId w:val="34"/>
                          </w:numPr>
                          <w:tabs>
                            <w:tab w:val="clear" w:pos="393"/>
                            <w:tab w:val="left" w:pos="284"/>
                          </w:tabs>
                          <w:ind w:left="284" w:hanging="284"/>
                          <w:rPr>
                            <w:rFonts w:ascii="Segoe UI" w:hAnsi="Segoe UI" w:cs="Segoe UI"/>
                            <w:bCs/>
                            <w:sz w:val="20"/>
                            <w:szCs w:val="20"/>
                          </w:rPr>
                        </w:pPr>
                        <w:r w:rsidRPr="00F9280E">
                          <w:rPr>
                            <w:rFonts w:ascii="Segoe UI" w:hAnsi="Segoe UI" w:cs="Segoe UI"/>
                            <w:bCs/>
                            <w:sz w:val="20"/>
                            <w:szCs w:val="20"/>
                          </w:rPr>
                          <w:t>“Note SCRs are not required on all referrals. See the Guidelines for more details”</w:t>
                        </w:r>
                      </w:p>
                    </w:tc>
                    <w:tc>
                      <w:tcPr>
                        <w:tcW w:w="2410" w:type="dxa"/>
                        <w:tcBorders>
                          <w:top w:val="single" w:sz="6" w:space="0" w:color="auto"/>
                          <w:left w:val="single" w:sz="6" w:space="0" w:color="auto"/>
                          <w:bottom w:val="single" w:sz="6" w:space="0" w:color="auto"/>
                          <w:right w:val="single" w:sz="6" w:space="0" w:color="auto"/>
                        </w:tcBorders>
                      </w:tcPr>
                      <w:p w14:paraId="74CBB1EF" w14:textId="77777777" w:rsidR="00DC555E" w:rsidRPr="00F9280E" w:rsidRDefault="00DC555E" w:rsidP="00DC555E">
                        <w:pPr>
                          <w:pStyle w:val="TableBullet1NoFormats"/>
                          <w:tabs>
                            <w:tab w:val="left" w:pos="284"/>
                          </w:tabs>
                          <w:ind w:left="284" w:hanging="284"/>
                          <w:rPr>
                            <w:rFonts w:ascii="Segoe UI" w:hAnsi="Segoe UI" w:cs="Segoe UI"/>
                            <w:bCs/>
                            <w:sz w:val="20"/>
                            <w:szCs w:val="20"/>
                          </w:rPr>
                        </w:pPr>
                        <w:r w:rsidRPr="00F9280E">
                          <w:rPr>
                            <w:rFonts w:ascii="Segoe UI" w:hAnsi="Segoe UI" w:cs="Segoe UI"/>
                            <w:bCs/>
                            <w:sz w:val="20"/>
                            <w:szCs w:val="20"/>
                          </w:rPr>
                          <w:t>Supplementary Consumer Record Collection Date</w:t>
                        </w:r>
                      </w:p>
                      <w:p w14:paraId="45761423" w14:textId="77777777" w:rsidR="00DC555E" w:rsidRPr="00F9280E" w:rsidRDefault="00DC555E" w:rsidP="00DC555E">
                        <w:pPr>
                          <w:pStyle w:val="TableBullet1NoFormats"/>
                          <w:tabs>
                            <w:tab w:val="left" w:pos="284"/>
                          </w:tabs>
                          <w:ind w:left="284" w:hanging="284"/>
                          <w:rPr>
                            <w:rFonts w:ascii="Segoe UI" w:hAnsi="Segoe UI" w:cs="Segoe UI"/>
                            <w:bCs/>
                            <w:sz w:val="20"/>
                            <w:szCs w:val="20"/>
                          </w:rPr>
                        </w:pPr>
                        <w:r w:rsidRPr="00F9280E">
                          <w:rPr>
                            <w:rFonts w:ascii="Segoe UI" w:hAnsi="Segoe UI" w:cs="Segoe UI"/>
                            <w:bCs/>
                            <w:sz w:val="20"/>
                            <w:szCs w:val="20"/>
                          </w:rPr>
                          <w:t>Referral Discharge End Date Time</w:t>
                        </w:r>
                      </w:p>
                      <w:p w14:paraId="5DEF555C" w14:textId="77777777" w:rsidR="00DC555E" w:rsidRPr="00F9280E" w:rsidRDefault="00DC555E" w:rsidP="00DC555E">
                        <w:pPr>
                          <w:pStyle w:val="TableBullet1NoFormats"/>
                          <w:tabs>
                            <w:tab w:val="left" w:pos="284"/>
                          </w:tabs>
                          <w:ind w:left="284" w:hanging="284"/>
                          <w:rPr>
                            <w:rFonts w:ascii="Segoe UI" w:hAnsi="Segoe UI" w:cs="Segoe UI"/>
                            <w:bCs/>
                            <w:sz w:val="20"/>
                            <w:szCs w:val="20"/>
                          </w:rPr>
                        </w:pPr>
                        <w:r w:rsidRPr="00F9280E">
                          <w:rPr>
                            <w:rFonts w:ascii="Segoe UI" w:hAnsi="Segoe UI" w:cs="Segoe UI"/>
                            <w:bCs/>
                            <w:sz w:val="20"/>
                            <w:szCs w:val="20"/>
                          </w:rPr>
                          <w:t>Referral End Code</w:t>
                        </w:r>
                      </w:p>
                    </w:tc>
                    <w:tc>
                      <w:tcPr>
                        <w:tcW w:w="1333" w:type="dxa"/>
                        <w:gridSpan w:val="2"/>
                        <w:tcBorders>
                          <w:top w:val="single" w:sz="6" w:space="0" w:color="auto"/>
                          <w:left w:val="single" w:sz="6" w:space="0" w:color="auto"/>
                          <w:bottom w:val="single" w:sz="6" w:space="0" w:color="auto"/>
                          <w:right w:val="single" w:sz="6" w:space="0" w:color="auto"/>
                        </w:tcBorders>
                      </w:tcPr>
                      <w:p w14:paraId="41AA91AC" w14:textId="77777777" w:rsidR="00DC555E" w:rsidRPr="00F9280E" w:rsidRDefault="00DC555E" w:rsidP="00DC555E">
                        <w:pPr>
                          <w:pStyle w:val="TableBullet1NoFormats"/>
                          <w:numPr>
                            <w:ilvl w:val="0"/>
                            <w:numId w:val="0"/>
                          </w:numPr>
                          <w:ind w:left="360" w:hanging="360"/>
                          <w:rPr>
                            <w:rFonts w:ascii="Segoe UI" w:hAnsi="Segoe UI" w:cs="Segoe UI"/>
                            <w:bCs/>
                            <w:sz w:val="20"/>
                            <w:szCs w:val="20"/>
                          </w:rPr>
                        </w:pPr>
                        <w:r w:rsidRPr="00F9280E">
                          <w:rPr>
                            <w:rFonts w:ascii="Segoe UI" w:hAnsi="Segoe UI" w:cs="Segoe UI"/>
                            <w:bCs/>
                            <w:sz w:val="20"/>
                            <w:szCs w:val="20"/>
                          </w:rPr>
                          <w:t>RM-P122-30</w:t>
                        </w:r>
                      </w:p>
                    </w:tc>
                  </w:tr>
                </w:tbl>
                <w:p w14:paraId="5F991A69" w14:textId="77777777" w:rsidR="00F13542" w:rsidRPr="00F9280E" w:rsidRDefault="00F13542" w:rsidP="00873B0B">
                  <w:pPr>
                    <w:rPr>
                      <w:rFonts w:ascii="Segoe UI" w:hAnsi="Segoe UI" w:cs="Segoe UI"/>
                      <w:bCs/>
                      <w:sz w:val="20"/>
                      <w:szCs w:val="20"/>
                      <w:lang w:val="en-NZ"/>
                    </w:rPr>
                  </w:pPr>
                </w:p>
              </w:tc>
            </w:tr>
            <w:tr w:rsidR="00F13542" w:rsidRPr="00F866EA" w14:paraId="6135EF21" w14:textId="77777777" w:rsidTr="008D24C8">
              <w:trPr>
                <w:trHeight w:val="84"/>
              </w:trPr>
              <w:tc>
                <w:tcPr>
                  <w:tcW w:w="9707" w:type="dxa"/>
                  <w:shd w:val="clear" w:color="auto" w:fill="auto"/>
                </w:tcPr>
                <w:tbl>
                  <w:tblPr>
                    <w:tblW w:w="96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57" w:type="dxa"/>
                      <w:right w:w="57" w:type="dxa"/>
                    </w:tblCellMar>
                    <w:tblLook w:val="0000" w:firstRow="0" w:lastRow="0" w:firstColumn="0" w:lastColumn="0" w:noHBand="0" w:noVBand="0"/>
                  </w:tblPr>
                  <w:tblGrid>
                    <w:gridCol w:w="1380"/>
                    <w:gridCol w:w="4536"/>
                    <w:gridCol w:w="2410"/>
                    <w:gridCol w:w="1275"/>
                  </w:tblGrid>
                  <w:tr w:rsidR="00DC555E" w:rsidRPr="00F9280E" w14:paraId="318B783D" w14:textId="77777777" w:rsidTr="00DC555E">
                    <w:trPr>
                      <w:cantSplit/>
                      <w:trHeight w:val="1403"/>
                    </w:trPr>
                    <w:tc>
                      <w:tcPr>
                        <w:tcW w:w="1380" w:type="dxa"/>
                        <w:tcBorders>
                          <w:top w:val="single" w:sz="6" w:space="0" w:color="auto"/>
                          <w:left w:val="single" w:sz="6" w:space="0" w:color="auto"/>
                          <w:bottom w:val="single" w:sz="6" w:space="0" w:color="auto"/>
                          <w:right w:val="single" w:sz="6" w:space="0" w:color="auto"/>
                        </w:tcBorders>
                      </w:tcPr>
                      <w:p w14:paraId="62469539" w14:textId="77777777" w:rsidR="00DC555E" w:rsidRPr="00F9280E" w:rsidRDefault="00DC555E" w:rsidP="00DC555E">
                        <w:pPr>
                          <w:pStyle w:val="TableText9pt"/>
                          <w:tabs>
                            <w:tab w:val="left" w:pos="284"/>
                          </w:tabs>
                          <w:ind w:left="284" w:hanging="284"/>
                          <w:rPr>
                            <w:rFonts w:ascii="Segoe UI" w:hAnsi="Segoe UI" w:cs="Segoe UI"/>
                            <w:bCs/>
                            <w:sz w:val="20"/>
                            <w:szCs w:val="20"/>
                          </w:rPr>
                        </w:pPr>
                        <w:r w:rsidRPr="00F9280E">
                          <w:rPr>
                            <w:rFonts w:ascii="Segoe UI" w:hAnsi="Segoe UI" w:cs="Segoe UI"/>
                            <w:bCs/>
                            <w:sz w:val="20"/>
                            <w:szCs w:val="20"/>
                          </w:rPr>
                          <w:lastRenderedPageBreak/>
                          <w:t>BR-P121-12</w:t>
                        </w:r>
                      </w:p>
                    </w:tc>
                    <w:tc>
                      <w:tcPr>
                        <w:tcW w:w="4536" w:type="dxa"/>
                        <w:tcBorders>
                          <w:top w:val="single" w:sz="6" w:space="0" w:color="auto"/>
                          <w:left w:val="single" w:sz="6" w:space="0" w:color="auto"/>
                          <w:bottom w:val="single" w:sz="6" w:space="0" w:color="auto"/>
                          <w:right w:val="single" w:sz="6" w:space="0" w:color="auto"/>
                        </w:tcBorders>
                      </w:tcPr>
                      <w:p w14:paraId="48D79D13" w14:textId="77777777" w:rsidR="00DC555E" w:rsidRPr="00F9280E" w:rsidRDefault="00DC555E" w:rsidP="00DC555E">
                        <w:pPr>
                          <w:pStyle w:val="TableBullet2"/>
                          <w:numPr>
                            <w:ilvl w:val="0"/>
                            <w:numId w:val="34"/>
                          </w:numPr>
                          <w:tabs>
                            <w:tab w:val="clear" w:pos="393"/>
                            <w:tab w:val="left" w:pos="284"/>
                          </w:tabs>
                          <w:ind w:left="284" w:hanging="284"/>
                          <w:rPr>
                            <w:rFonts w:ascii="Segoe UI" w:hAnsi="Segoe UI" w:cs="Segoe UI"/>
                            <w:bCs/>
                            <w:sz w:val="20"/>
                            <w:szCs w:val="20"/>
                          </w:rPr>
                        </w:pPr>
                        <w:r w:rsidRPr="00F9280E">
                          <w:rPr>
                            <w:rFonts w:ascii="Segoe UI" w:hAnsi="Segoe UI" w:cs="Segoe UI"/>
                            <w:bCs/>
                            <w:sz w:val="20"/>
                            <w:szCs w:val="20"/>
                          </w:rPr>
                          <w:t xml:space="preserve"> A Referral Discharge Record which begins on or after 1 July 2016 should contain a Supplementary Consumer Record with a Collection Date within 91 days before the Referral End Date Time for an ended referral unless the Referral End Code is DD, DG, DM, ID, RI, or RO.</w:t>
                        </w:r>
                      </w:p>
                      <w:p w14:paraId="12B1B4ED" w14:textId="77777777" w:rsidR="00DC555E" w:rsidRPr="00F9280E" w:rsidRDefault="00DC555E" w:rsidP="00DC555E">
                        <w:pPr>
                          <w:pStyle w:val="TableBullet2"/>
                          <w:numPr>
                            <w:ilvl w:val="0"/>
                            <w:numId w:val="34"/>
                          </w:numPr>
                          <w:tabs>
                            <w:tab w:val="clear" w:pos="393"/>
                            <w:tab w:val="left" w:pos="284"/>
                          </w:tabs>
                          <w:ind w:left="284" w:hanging="284"/>
                          <w:rPr>
                            <w:rFonts w:ascii="Segoe UI" w:hAnsi="Segoe UI" w:cs="Segoe UI"/>
                            <w:bCs/>
                            <w:sz w:val="20"/>
                            <w:szCs w:val="20"/>
                          </w:rPr>
                        </w:pPr>
                        <w:r w:rsidRPr="00F9280E">
                          <w:rPr>
                            <w:rFonts w:ascii="Segoe UI" w:hAnsi="Segoe UI" w:cs="Segoe UI"/>
                            <w:bCs/>
                            <w:sz w:val="20"/>
                            <w:szCs w:val="20"/>
                          </w:rPr>
                          <w:t>“Note SCRs are not required on all referrals. See the Guidelines for more details”</w:t>
                        </w:r>
                      </w:p>
                    </w:tc>
                    <w:tc>
                      <w:tcPr>
                        <w:tcW w:w="2410" w:type="dxa"/>
                        <w:tcBorders>
                          <w:top w:val="single" w:sz="6" w:space="0" w:color="auto"/>
                          <w:left w:val="single" w:sz="6" w:space="0" w:color="auto"/>
                          <w:bottom w:val="single" w:sz="6" w:space="0" w:color="auto"/>
                          <w:right w:val="single" w:sz="6" w:space="0" w:color="auto"/>
                        </w:tcBorders>
                      </w:tcPr>
                      <w:p w14:paraId="4676A577" w14:textId="77777777" w:rsidR="00DC555E" w:rsidRPr="00F9280E" w:rsidRDefault="00DC555E" w:rsidP="00DC555E">
                        <w:pPr>
                          <w:pStyle w:val="TableBullet1NoFormats"/>
                          <w:tabs>
                            <w:tab w:val="left" w:pos="284"/>
                          </w:tabs>
                          <w:ind w:left="284" w:hanging="284"/>
                          <w:rPr>
                            <w:rFonts w:ascii="Segoe UI" w:hAnsi="Segoe UI" w:cs="Segoe UI"/>
                            <w:bCs/>
                            <w:sz w:val="20"/>
                            <w:szCs w:val="20"/>
                          </w:rPr>
                        </w:pPr>
                        <w:r w:rsidRPr="00F9280E">
                          <w:rPr>
                            <w:rFonts w:ascii="Segoe UI" w:hAnsi="Segoe UI" w:cs="Segoe UI"/>
                            <w:bCs/>
                            <w:sz w:val="20"/>
                            <w:szCs w:val="20"/>
                          </w:rPr>
                          <w:t>Supplementary Consumer Record Collection Date</w:t>
                        </w:r>
                      </w:p>
                      <w:p w14:paraId="50B69701" w14:textId="77777777" w:rsidR="00DC555E" w:rsidRPr="00F9280E" w:rsidRDefault="00DC555E" w:rsidP="00DC555E">
                        <w:pPr>
                          <w:pStyle w:val="TableBullet1NoFormats"/>
                          <w:tabs>
                            <w:tab w:val="left" w:pos="284"/>
                          </w:tabs>
                          <w:ind w:left="284" w:hanging="284"/>
                          <w:rPr>
                            <w:rFonts w:ascii="Segoe UI" w:hAnsi="Segoe UI" w:cs="Segoe UI"/>
                            <w:bCs/>
                            <w:sz w:val="20"/>
                            <w:szCs w:val="20"/>
                          </w:rPr>
                        </w:pPr>
                        <w:r w:rsidRPr="00F9280E">
                          <w:rPr>
                            <w:rFonts w:ascii="Segoe UI" w:hAnsi="Segoe UI" w:cs="Segoe UI"/>
                            <w:bCs/>
                            <w:sz w:val="20"/>
                            <w:szCs w:val="20"/>
                          </w:rPr>
                          <w:t>Referral End Date Time</w:t>
                        </w:r>
                      </w:p>
                    </w:tc>
                    <w:tc>
                      <w:tcPr>
                        <w:tcW w:w="1275" w:type="dxa"/>
                        <w:tcBorders>
                          <w:top w:val="single" w:sz="6" w:space="0" w:color="auto"/>
                          <w:left w:val="single" w:sz="6" w:space="0" w:color="auto"/>
                          <w:bottom w:val="single" w:sz="6" w:space="0" w:color="auto"/>
                          <w:right w:val="single" w:sz="4" w:space="0" w:color="auto"/>
                        </w:tcBorders>
                      </w:tcPr>
                      <w:p w14:paraId="07CBD3DD" w14:textId="77777777" w:rsidR="00DC555E" w:rsidRPr="00F9280E" w:rsidRDefault="00DC555E" w:rsidP="00DC555E">
                        <w:pPr>
                          <w:pStyle w:val="TableBullet1NoFormats"/>
                          <w:numPr>
                            <w:ilvl w:val="0"/>
                            <w:numId w:val="0"/>
                          </w:numPr>
                          <w:ind w:left="360" w:hanging="360"/>
                          <w:rPr>
                            <w:rFonts w:ascii="Segoe UI" w:hAnsi="Segoe UI" w:cs="Segoe UI"/>
                            <w:bCs/>
                            <w:sz w:val="20"/>
                            <w:szCs w:val="20"/>
                          </w:rPr>
                        </w:pPr>
                        <w:r w:rsidRPr="00F9280E">
                          <w:rPr>
                            <w:rFonts w:ascii="Segoe UI" w:hAnsi="Segoe UI" w:cs="Segoe UI"/>
                            <w:bCs/>
                            <w:sz w:val="20"/>
                            <w:szCs w:val="20"/>
                          </w:rPr>
                          <w:t>RM-P122-31</w:t>
                        </w:r>
                      </w:p>
                    </w:tc>
                  </w:tr>
                </w:tbl>
                <w:p w14:paraId="32A0E31F" w14:textId="77777777" w:rsidR="00F13542" w:rsidRPr="00F866EA" w:rsidRDefault="00F13542" w:rsidP="00F13542">
                  <w:pPr>
                    <w:pStyle w:val="TableContents"/>
                    <w:spacing w:before="60" w:after="60"/>
                    <w:rPr>
                      <w:rFonts w:ascii="Segoe UI" w:hAnsi="Segoe UI" w:cs="Segoe UI"/>
                      <w:bCs/>
                      <w:sz w:val="20"/>
                      <w:szCs w:val="20"/>
                      <w:lang w:eastAsia="en-US"/>
                    </w:rPr>
                  </w:pPr>
                </w:p>
              </w:tc>
            </w:tr>
            <w:tr w:rsidR="00F13542" w:rsidRPr="00F866EA" w14:paraId="0FB58176" w14:textId="77777777" w:rsidTr="00F9280E">
              <w:trPr>
                <w:trHeight w:val="84"/>
              </w:trPr>
              <w:tc>
                <w:tcPr>
                  <w:tcW w:w="9891" w:type="dxa"/>
                  <w:shd w:val="clear" w:color="auto" w:fill="auto"/>
                </w:tcPr>
                <w:p w14:paraId="6D23C124" w14:textId="17888AB4" w:rsidR="00DC555E" w:rsidRPr="00F866EA" w:rsidRDefault="00DC555E" w:rsidP="00F13542">
                  <w:pPr>
                    <w:pStyle w:val="TableContents"/>
                    <w:spacing w:before="60" w:after="60"/>
                    <w:rPr>
                      <w:rFonts w:ascii="Segoe UI" w:hAnsi="Segoe UI" w:cs="Segoe UI"/>
                      <w:bCs/>
                      <w:sz w:val="20"/>
                      <w:szCs w:val="20"/>
                      <w:lang w:eastAsia="en-US"/>
                    </w:rPr>
                  </w:pPr>
                </w:p>
              </w:tc>
            </w:tr>
            <w:tr w:rsidR="00F13542" w:rsidRPr="00F866EA" w14:paraId="0B38729D" w14:textId="77777777" w:rsidTr="00F9280E">
              <w:trPr>
                <w:trHeight w:val="84"/>
              </w:trPr>
              <w:tc>
                <w:tcPr>
                  <w:tcW w:w="9891" w:type="dxa"/>
                  <w:shd w:val="clear" w:color="auto" w:fill="auto"/>
                </w:tcPr>
                <w:p w14:paraId="4B124908" w14:textId="58C3E4EC" w:rsidR="00DC555E" w:rsidRPr="00507785" w:rsidRDefault="00DC555E" w:rsidP="00DC555E">
                  <w:pPr>
                    <w:autoSpaceDE w:val="0"/>
                    <w:autoSpaceDN w:val="0"/>
                    <w:adjustRightInd w:val="0"/>
                    <w:rPr>
                      <w:rFonts w:ascii="Segoe UI" w:hAnsi="Segoe UI" w:cs="Segoe UI"/>
                      <w:bCs/>
                      <w:sz w:val="20"/>
                      <w:szCs w:val="20"/>
                      <w:lang w:val="en-NZ"/>
                    </w:rPr>
                  </w:pPr>
                  <w:r w:rsidRPr="00507785">
                    <w:rPr>
                      <w:rFonts w:ascii="Segoe UI" w:hAnsi="Segoe UI" w:cs="Segoe UI"/>
                      <w:bCs/>
                      <w:sz w:val="20"/>
                      <w:szCs w:val="20"/>
                      <w:lang w:val="en-NZ"/>
                    </w:rPr>
                    <w:t>The following response messages are to be removed from PRIMHD</w:t>
                  </w:r>
                  <w:r w:rsidR="00C00736" w:rsidRPr="00507785">
                    <w:rPr>
                      <w:rFonts w:ascii="Segoe UI" w:hAnsi="Segoe UI" w:cs="Segoe UI"/>
                      <w:bCs/>
                      <w:sz w:val="20"/>
                      <w:szCs w:val="20"/>
                      <w:lang w:val="en-NZ"/>
                    </w:rPr>
                    <w:t xml:space="preserve"> (Information only)</w:t>
                  </w:r>
                </w:p>
                <w:tbl>
                  <w:tblPr>
                    <w:tblW w:w="960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8"/>
                    <w:gridCol w:w="1367"/>
                    <w:gridCol w:w="914"/>
                    <w:gridCol w:w="1645"/>
                    <w:gridCol w:w="5670"/>
                  </w:tblGrid>
                  <w:tr w:rsidR="00DC555E" w14:paraId="58611BEA" w14:textId="77777777" w:rsidTr="00F9280E">
                    <w:trPr>
                      <w:gridBefore w:val="1"/>
                      <w:wBefore w:w="8" w:type="dxa"/>
                    </w:trPr>
                    <w:tc>
                      <w:tcPr>
                        <w:tcW w:w="1367" w:type="dxa"/>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tcPr>
                      <w:p w14:paraId="06753BB8" w14:textId="77777777" w:rsidR="00DC555E" w:rsidRDefault="00DC555E" w:rsidP="00DC555E">
                        <w:pPr>
                          <w:pStyle w:val="TableHeaderCenter"/>
                          <w:rPr>
                            <w:rFonts w:cs="Arial"/>
                            <w:lang w:val="en-GB"/>
                          </w:rPr>
                        </w:pPr>
                        <w:r>
                          <w:rPr>
                            <w:rFonts w:cs="Arial"/>
                            <w:lang w:val="en-GB"/>
                          </w:rPr>
                          <w:t>Response Message Reference</w:t>
                        </w:r>
                      </w:p>
                    </w:tc>
                    <w:tc>
                      <w:tcPr>
                        <w:tcW w:w="914" w:type="dxa"/>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tcPr>
                      <w:p w14:paraId="5A80C341" w14:textId="77777777" w:rsidR="00DC555E" w:rsidRDefault="00DC555E" w:rsidP="00DC555E">
                        <w:pPr>
                          <w:pStyle w:val="TableHeaderCenter"/>
                          <w:rPr>
                            <w:rFonts w:cs="Arial"/>
                            <w:lang w:val="en-GB"/>
                          </w:rPr>
                        </w:pPr>
                        <w:r>
                          <w:rPr>
                            <w:rFonts w:cs="Arial"/>
                            <w:lang w:val="en-GB"/>
                          </w:rPr>
                          <w:t xml:space="preserve">Error or </w:t>
                        </w:r>
                        <w:r>
                          <w:rPr>
                            <w:rFonts w:cs="Arial"/>
                            <w:lang w:val="en-GB"/>
                          </w:rPr>
                          <w:br/>
                          <w:t>Warning</w:t>
                        </w:r>
                      </w:p>
                    </w:tc>
                    <w:tc>
                      <w:tcPr>
                        <w:tcW w:w="1645" w:type="dxa"/>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tcPr>
                      <w:p w14:paraId="18CF8469" w14:textId="77777777" w:rsidR="00DC555E" w:rsidRDefault="00DC555E" w:rsidP="00DC555E">
                        <w:pPr>
                          <w:pStyle w:val="TableHeaderCenter"/>
                          <w:rPr>
                            <w:rFonts w:cs="Arial"/>
                            <w:lang w:val="en-GB"/>
                          </w:rPr>
                        </w:pPr>
                        <w:r>
                          <w:rPr>
                            <w:rFonts w:cs="Arial"/>
                            <w:lang w:val="en-GB"/>
                          </w:rPr>
                          <w:t xml:space="preserve">Message </w:t>
                        </w:r>
                        <w:r>
                          <w:rPr>
                            <w:rFonts w:cs="Arial"/>
                            <w:lang w:val="en-GB"/>
                          </w:rPr>
                          <w:br/>
                          <w:t>Title</w:t>
                        </w:r>
                      </w:p>
                    </w:tc>
                    <w:tc>
                      <w:tcPr>
                        <w:tcW w:w="5670" w:type="dxa"/>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tcPr>
                      <w:p w14:paraId="6C1763EB" w14:textId="77777777" w:rsidR="00DC555E" w:rsidRDefault="00DC555E" w:rsidP="00DC555E">
                        <w:pPr>
                          <w:pStyle w:val="TableHeaderCenter"/>
                          <w:rPr>
                            <w:rFonts w:cs="Arial"/>
                            <w:lang w:val="en-GB"/>
                          </w:rPr>
                        </w:pPr>
                        <w:r>
                          <w:rPr>
                            <w:rFonts w:cs="Arial"/>
                            <w:lang w:val="en-GB"/>
                          </w:rPr>
                          <w:t xml:space="preserve">Response </w:t>
                        </w:r>
                        <w:r>
                          <w:rPr>
                            <w:rFonts w:cs="Arial"/>
                            <w:lang w:val="en-GB"/>
                          </w:rPr>
                          <w:br/>
                          <w:t>Message</w:t>
                        </w:r>
                      </w:p>
                    </w:tc>
                  </w:tr>
                  <w:tr w:rsidR="00DC555E" w:rsidRPr="00945402" w14:paraId="2A3CA221" w14:textId="77777777" w:rsidTr="00F9280E">
                    <w:tblPrEx>
                      <w:tblCellMar>
                        <w:left w:w="57" w:type="dxa"/>
                        <w:right w:w="57" w:type="dxa"/>
                      </w:tblCellMar>
                    </w:tblPrEx>
                    <w:tc>
                      <w:tcPr>
                        <w:tcW w:w="13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78CF6E"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RM-P122-29</w:t>
                        </w:r>
                      </w:p>
                    </w:tc>
                    <w:tc>
                      <w:tcPr>
                        <w:tcW w:w="9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BA6642"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Warning</w:t>
                        </w:r>
                      </w:p>
                    </w:tc>
                    <w:tc>
                      <w:tcPr>
                        <w:tcW w:w="164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F1CDC3"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Warning – Missing Data</w:t>
                        </w:r>
                      </w:p>
                    </w:tc>
                    <w:tc>
                      <w:tcPr>
                        <w:tcW w:w="56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F9F3C"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The RD record does not contain any SC records with a Collection Date within 91 days of the first face-to-face AT record.  Note SCRs are not required on all referrals. See the Guidelines for more details</w:t>
                        </w:r>
                      </w:p>
                    </w:tc>
                  </w:tr>
                  <w:tr w:rsidR="00DC555E" w:rsidRPr="00241ECD" w14:paraId="2D095E71" w14:textId="77777777" w:rsidTr="00F9280E">
                    <w:tblPrEx>
                      <w:tblCellMar>
                        <w:left w:w="57" w:type="dxa"/>
                        <w:right w:w="57" w:type="dxa"/>
                      </w:tblCellMar>
                    </w:tblPrEx>
                    <w:tc>
                      <w:tcPr>
                        <w:tcW w:w="13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4A3F4"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RM-P122-30</w:t>
                        </w:r>
                      </w:p>
                    </w:tc>
                    <w:tc>
                      <w:tcPr>
                        <w:tcW w:w="9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B2AAEB"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Warning</w:t>
                        </w:r>
                      </w:p>
                    </w:tc>
                    <w:tc>
                      <w:tcPr>
                        <w:tcW w:w="164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53ED22"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Warning – Missing Data</w:t>
                        </w:r>
                      </w:p>
                    </w:tc>
                    <w:tc>
                      <w:tcPr>
                        <w:tcW w:w="56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BD238C"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The RD record does not contain a new SC record for each year that the RD record spans. Note SCRs are not required on all referrals. See the Guidelines for more details</w:t>
                        </w:r>
                      </w:p>
                    </w:tc>
                  </w:tr>
                  <w:tr w:rsidR="00DC555E" w:rsidRPr="00C30D88" w14:paraId="1BB210A2" w14:textId="77777777" w:rsidTr="00F9280E">
                    <w:tblPrEx>
                      <w:tblCellMar>
                        <w:left w:w="57" w:type="dxa"/>
                        <w:right w:w="57" w:type="dxa"/>
                      </w:tblCellMar>
                    </w:tblPrEx>
                    <w:tc>
                      <w:tcPr>
                        <w:tcW w:w="13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78F1D0"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RM-P122-31</w:t>
                        </w:r>
                      </w:p>
                    </w:tc>
                    <w:tc>
                      <w:tcPr>
                        <w:tcW w:w="9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E1A475"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Warning</w:t>
                        </w:r>
                      </w:p>
                    </w:tc>
                    <w:tc>
                      <w:tcPr>
                        <w:tcW w:w="164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6F0BEB"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Warning – Missing Data</w:t>
                        </w:r>
                      </w:p>
                    </w:tc>
                    <w:tc>
                      <w:tcPr>
                        <w:tcW w:w="56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293A64" w14:textId="77777777" w:rsidR="00DC555E" w:rsidRPr="00F9280E" w:rsidRDefault="00DC555E" w:rsidP="00F9280E">
                        <w:pPr>
                          <w:pStyle w:val="TableContents"/>
                          <w:spacing w:before="60" w:after="60"/>
                          <w:rPr>
                            <w:rFonts w:ascii="Segoe UI" w:hAnsi="Segoe UI" w:cs="Segoe UI"/>
                            <w:bCs/>
                            <w:sz w:val="20"/>
                            <w:szCs w:val="20"/>
                            <w:lang w:eastAsia="en-US"/>
                          </w:rPr>
                        </w:pPr>
                        <w:r w:rsidRPr="00F9280E">
                          <w:rPr>
                            <w:rFonts w:ascii="Segoe UI" w:hAnsi="Segoe UI" w:cs="Segoe UI"/>
                            <w:bCs/>
                            <w:sz w:val="20"/>
                            <w:szCs w:val="20"/>
                            <w:lang w:eastAsia="en-US"/>
                          </w:rPr>
                          <w:t>The RD record does not contain a SC record with a Collection Date within 91 days before the Referral Discharge End Date Time. Note SCRs are not required on all referrals. See the Guidelines for more details</w:t>
                        </w:r>
                      </w:p>
                    </w:tc>
                  </w:tr>
                </w:tbl>
                <w:p w14:paraId="41343740" w14:textId="77777777" w:rsidR="00F13542" w:rsidRPr="00F866EA" w:rsidRDefault="00F13542" w:rsidP="00F13542">
                  <w:pPr>
                    <w:pStyle w:val="TableContents"/>
                    <w:spacing w:before="60" w:after="60"/>
                    <w:rPr>
                      <w:rFonts w:ascii="Segoe UI" w:hAnsi="Segoe UI" w:cs="Segoe UI"/>
                      <w:bCs/>
                      <w:sz w:val="20"/>
                      <w:szCs w:val="20"/>
                      <w:lang w:eastAsia="en-US"/>
                    </w:rPr>
                  </w:pPr>
                </w:p>
              </w:tc>
            </w:tr>
            <w:tr w:rsidR="00F13542" w:rsidRPr="00F866EA" w14:paraId="5F05626B" w14:textId="77777777" w:rsidTr="00F9280E">
              <w:trPr>
                <w:trHeight w:val="84"/>
              </w:trPr>
              <w:tc>
                <w:tcPr>
                  <w:tcW w:w="9891" w:type="dxa"/>
                  <w:shd w:val="clear" w:color="auto" w:fill="auto"/>
                </w:tcPr>
                <w:p w14:paraId="0F9194C7" w14:textId="77777777" w:rsidR="00F13542" w:rsidRPr="00F866EA" w:rsidRDefault="00F13542" w:rsidP="00873B0B">
                  <w:pPr>
                    <w:pStyle w:val="TableContents"/>
                    <w:spacing w:before="60" w:after="60"/>
                    <w:rPr>
                      <w:rFonts w:ascii="Segoe UI" w:hAnsi="Segoe UI" w:cs="Segoe UI"/>
                      <w:bCs/>
                      <w:sz w:val="20"/>
                      <w:szCs w:val="20"/>
                      <w:lang w:eastAsia="en-US"/>
                    </w:rPr>
                  </w:pPr>
                </w:p>
              </w:tc>
            </w:tr>
          </w:tbl>
          <w:p w14:paraId="551CCDB6" w14:textId="77777777" w:rsidR="005C17EA" w:rsidRPr="00F866EA" w:rsidRDefault="005C17EA" w:rsidP="003406FB">
            <w:pPr>
              <w:pStyle w:val="BodyText"/>
              <w:spacing w:line="240" w:lineRule="exact"/>
              <w:rPr>
                <w:rFonts w:ascii="Segoe UI" w:hAnsi="Segoe UI" w:cs="Segoe UI"/>
                <w:bCs/>
                <w:color w:val="FF0000"/>
                <w:szCs w:val="20"/>
                <w:lang w:val="en-NZ"/>
              </w:rPr>
            </w:pPr>
          </w:p>
        </w:tc>
      </w:tr>
      <w:tr w:rsidR="00D70D97" w:rsidRPr="003406FB" w14:paraId="48750021" w14:textId="77777777" w:rsidTr="003406FB">
        <w:tc>
          <w:tcPr>
            <w:tcW w:w="10349" w:type="dxa"/>
            <w:gridSpan w:val="2"/>
            <w:shd w:val="clear" w:color="auto" w:fill="auto"/>
          </w:tcPr>
          <w:p w14:paraId="7ADB5810" w14:textId="77777777" w:rsidR="00D70D97"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lastRenderedPageBreak/>
              <w:t xml:space="preserve">What is </w:t>
            </w:r>
            <w:r w:rsidR="00215215" w:rsidRPr="00F866EA">
              <w:rPr>
                <w:rFonts w:ascii="Segoe UI" w:hAnsi="Segoe UI" w:cs="Segoe UI"/>
                <w:b/>
                <w:bCs/>
                <w:sz w:val="20"/>
                <w:szCs w:val="20"/>
                <w:lang w:val="en-NZ"/>
              </w:rPr>
              <w:t>E</w:t>
            </w:r>
            <w:r w:rsidRPr="00F866EA">
              <w:rPr>
                <w:rFonts w:ascii="Segoe UI" w:hAnsi="Segoe UI" w:cs="Segoe UI"/>
                <w:b/>
                <w:bCs/>
                <w:sz w:val="20"/>
                <w:szCs w:val="20"/>
                <w:lang w:val="en-NZ"/>
              </w:rPr>
              <w:t xml:space="preserve">xpected of the Sector: </w:t>
            </w:r>
          </w:p>
          <w:p w14:paraId="5CBEB61F" w14:textId="77777777" w:rsidR="003B20FE" w:rsidRDefault="002B225F" w:rsidP="002B225F">
            <w:pPr>
              <w:rPr>
                <w:rFonts w:ascii="Segoe UI" w:hAnsi="Segoe UI" w:cs="Segoe UI"/>
                <w:sz w:val="20"/>
                <w:szCs w:val="20"/>
              </w:rPr>
            </w:pPr>
            <w:r>
              <w:rPr>
                <w:rFonts w:ascii="Segoe UI" w:hAnsi="Segoe UI" w:cs="Segoe UI"/>
                <w:sz w:val="20"/>
                <w:szCs w:val="20"/>
              </w:rPr>
              <w:t xml:space="preserve">Remove validations for BR-P121-10, BR-P121-11 and BR-P121-12 relating to timing submission of Supplementary Consumer Records. </w:t>
            </w:r>
            <w:r w:rsidRPr="002B225F">
              <w:rPr>
                <w:rFonts w:ascii="Segoe UI" w:hAnsi="Segoe UI" w:cs="Segoe UI"/>
                <w:sz w:val="20"/>
                <w:szCs w:val="20"/>
              </w:rPr>
              <w:t>Continue to report SCR records to PRIMHD on appliable referrals at the collection points detailed in the Guide to SCR Collection and Use document.</w:t>
            </w:r>
          </w:p>
          <w:p w14:paraId="4BCE67E8" w14:textId="6B66AB18" w:rsidR="002B225F" w:rsidRPr="00F866EA" w:rsidRDefault="002B225F" w:rsidP="002B225F">
            <w:pPr>
              <w:rPr>
                <w:rFonts w:ascii="Segoe UI" w:hAnsi="Segoe UI" w:cs="Segoe UI"/>
                <w:bCs/>
                <w:sz w:val="20"/>
                <w:szCs w:val="20"/>
                <w:lang w:val="en-NZ"/>
              </w:rPr>
            </w:pPr>
          </w:p>
        </w:tc>
      </w:tr>
      <w:tr w:rsidR="00D70D97" w:rsidRPr="003406FB" w14:paraId="1C5E08E0" w14:textId="77777777" w:rsidTr="003406FB">
        <w:trPr>
          <w:trHeight w:val="329"/>
        </w:trPr>
        <w:tc>
          <w:tcPr>
            <w:tcW w:w="10349" w:type="dxa"/>
            <w:gridSpan w:val="2"/>
            <w:shd w:val="clear" w:color="auto" w:fill="FBE4D5"/>
          </w:tcPr>
          <w:p w14:paraId="4B92CB74"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Impact of Change on National Collection(s):</w:t>
            </w:r>
            <w:r w:rsidR="0037596F" w:rsidRPr="00F866EA">
              <w:rPr>
                <w:rFonts w:ascii="Segoe UI" w:hAnsi="Segoe UI" w:cs="Segoe UI"/>
                <w:b/>
                <w:bCs/>
                <w:sz w:val="20"/>
                <w:szCs w:val="20"/>
                <w:lang w:val="en-NZ"/>
              </w:rPr>
              <w:t xml:space="preserve"> </w:t>
            </w:r>
          </w:p>
          <w:p w14:paraId="5993F655" w14:textId="74C986AF" w:rsidR="008F5ED9" w:rsidRPr="00F866EA" w:rsidRDefault="00456116" w:rsidP="00F13542">
            <w:pPr>
              <w:spacing w:before="120" w:after="120" w:line="240" w:lineRule="exact"/>
              <w:rPr>
                <w:rFonts w:ascii="Segoe UI" w:hAnsi="Segoe UI" w:cs="Segoe UI"/>
                <w:bCs/>
                <w:sz w:val="20"/>
                <w:szCs w:val="20"/>
                <w:lang w:val="en-NZ"/>
              </w:rPr>
            </w:pPr>
            <w:r>
              <w:rPr>
                <w:rFonts w:ascii="Segoe UI" w:hAnsi="Segoe UI" w:cs="Segoe UI"/>
                <w:bCs/>
                <w:sz w:val="20"/>
                <w:szCs w:val="20"/>
                <w:lang w:val="en-NZ"/>
              </w:rPr>
              <w:t>Supplementary Consumer Records</w:t>
            </w:r>
            <w:r w:rsidR="00CA7247">
              <w:rPr>
                <w:rFonts w:ascii="Segoe UI" w:hAnsi="Segoe UI" w:cs="Segoe UI"/>
                <w:bCs/>
                <w:sz w:val="20"/>
                <w:szCs w:val="20"/>
                <w:lang w:val="en-NZ"/>
              </w:rPr>
              <w:t xml:space="preserve"> will no longer be subject to submission timing validations but will be </w:t>
            </w:r>
            <w:r w:rsidR="003E1C3E">
              <w:rPr>
                <w:rFonts w:ascii="Segoe UI" w:hAnsi="Segoe UI" w:cs="Segoe UI"/>
                <w:bCs/>
                <w:sz w:val="20"/>
                <w:szCs w:val="20"/>
                <w:lang w:val="en-NZ"/>
              </w:rPr>
              <w:t>replaced with compliance reporting</w:t>
            </w:r>
            <w:r w:rsidR="00E20F1E">
              <w:rPr>
                <w:rFonts w:ascii="Segoe UI" w:hAnsi="Segoe UI" w:cs="Segoe UI"/>
                <w:bCs/>
                <w:sz w:val="20"/>
                <w:szCs w:val="20"/>
                <w:lang w:val="en-NZ"/>
              </w:rPr>
              <w:t>.</w:t>
            </w:r>
          </w:p>
        </w:tc>
      </w:tr>
      <w:tr w:rsidR="00D70D97" w:rsidRPr="003406FB" w14:paraId="160B09BE" w14:textId="77777777" w:rsidTr="003406FB">
        <w:tc>
          <w:tcPr>
            <w:tcW w:w="10349" w:type="dxa"/>
            <w:gridSpan w:val="2"/>
            <w:shd w:val="clear" w:color="auto" w:fill="auto"/>
          </w:tcPr>
          <w:p w14:paraId="5E8745BA"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Comments:</w:t>
            </w:r>
            <w:r w:rsidR="003B61B9" w:rsidRPr="00F866EA">
              <w:rPr>
                <w:rFonts w:ascii="Segoe UI" w:hAnsi="Segoe UI" w:cs="Segoe UI"/>
                <w:b/>
                <w:bCs/>
                <w:sz w:val="20"/>
                <w:szCs w:val="20"/>
                <w:lang w:val="en-NZ"/>
              </w:rPr>
              <w:t xml:space="preserve"> </w:t>
            </w:r>
          </w:p>
          <w:p w14:paraId="068ACDEF" w14:textId="2AA43423" w:rsidR="00D70D97" w:rsidRPr="00F866EA" w:rsidRDefault="00AD6224" w:rsidP="003406FB">
            <w:pPr>
              <w:spacing w:before="120" w:after="120" w:line="240" w:lineRule="exact"/>
              <w:rPr>
                <w:rFonts w:ascii="Segoe UI" w:hAnsi="Segoe UI" w:cs="Segoe UI"/>
                <w:bCs/>
                <w:sz w:val="20"/>
                <w:szCs w:val="20"/>
                <w:lang w:val="en-NZ"/>
              </w:rPr>
            </w:pPr>
            <w:r>
              <w:rPr>
                <w:rFonts w:ascii="Segoe UI" w:hAnsi="Segoe UI" w:cs="Segoe UI"/>
                <w:bCs/>
                <w:sz w:val="20"/>
                <w:szCs w:val="20"/>
                <w:lang w:val="en-NZ"/>
              </w:rPr>
              <w:t>Update</w:t>
            </w:r>
            <w:r w:rsidR="00E1494E">
              <w:rPr>
                <w:rFonts w:ascii="Segoe UI" w:hAnsi="Segoe UI" w:cs="Segoe UI"/>
                <w:bCs/>
                <w:sz w:val="20"/>
                <w:szCs w:val="20"/>
                <w:lang w:val="en-NZ"/>
              </w:rPr>
              <w:t>s</w:t>
            </w:r>
            <w:r>
              <w:rPr>
                <w:rFonts w:ascii="Segoe UI" w:hAnsi="Segoe UI" w:cs="Segoe UI"/>
                <w:bCs/>
                <w:sz w:val="20"/>
                <w:szCs w:val="20"/>
                <w:lang w:val="en-NZ"/>
              </w:rPr>
              <w:t xml:space="preserve"> </w:t>
            </w:r>
            <w:r w:rsidR="00E1494E">
              <w:rPr>
                <w:rFonts w:ascii="Segoe UI" w:hAnsi="Segoe UI" w:cs="Segoe UI"/>
                <w:bCs/>
                <w:sz w:val="20"/>
                <w:szCs w:val="20"/>
                <w:lang w:val="en-NZ"/>
              </w:rPr>
              <w:t xml:space="preserve">will be made to </w:t>
            </w:r>
            <w:r>
              <w:rPr>
                <w:rFonts w:ascii="Segoe UI" w:hAnsi="Segoe UI" w:cs="Segoe UI"/>
                <w:bCs/>
                <w:sz w:val="20"/>
                <w:szCs w:val="20"/>
                <w:lang w:val="en-NZ"/>
              </w:rPr>
              <w:t xml:space="preserve">the </w:t>
            </w:r>
            <w:r w:rsidR="003B20FE">
              <w:rPr>
                <w:rFonts w:ascii="Segoe UI" w:hAnsi="Segoe UI" w:cs="Segoe UI"/>
                <w:bCs/>
                <w:sz w:val="20"/>
                <w:szCs w:val="20"/>
                <w:lang w:val="en-NZ"/>
              </w:rPr>
              <w:t>Guide to SCR collection &amp; use</w:t>
            </w:r>
          </w:p>
        </w:tc>
      </w:tr>
      <w:tr w:rsidR="00D70D97" w:rsidRPr="003406FB" w14:paraId="4092F12E" w14:textId="77777777" w:rsidTr="003406FB">
        <w:tc>
          <w:tcPr>
            <w:tcW w:w="10349" w:type="dxa"/>
            <w:gridSpan w:val="2"/>
            <w:shd w:val="clear" w:color="auto" w:fill="FBE4D5"/>
          </w:tcPr>
          <w:p w14:paraId="40816F2D"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F866EA">
              <w:rPr>
                <w:rFonts w:ascii="Segoe UI" w:hAnsi="Segoe UI" w:cs="Segoe UI"/>
                <w:bCs/>
                <w:sz w:val="20"/>
                <w:szCs w:val="20"/>
                <w:lang w:val="en-NZ" w:eastAsia="en-NZ"/>
              </w:rPr>
              <w:t xml:space="preserve">If you have any questions regarding this change notice, please email </w:t>
            </w:r>
            <w:hyperlink r:id="rId13" w:history="1">
              <w:r w:rsidR="008C692F" w:rsidRPr="004F4B38">
                <w:rPr>
                  <w:rStyle w:val="Hyperlink"/>
                  <w:rFonts w:ascii="Segoe UI" w:hAnsi="Segoe UI" w:cs="Segoe UI"/>
                  <w:bCs/>
                  <w:sz w:val="20"/>
                  <w:szCs w:val="20"/>
                  <w:lang w:val="en-NZ" w:eastAsia="en-NZ"/>
                </w:rPr>
                <w:t>ncamp@health.govt.nz</w:t>
              </w:r>
            </w:hyperlink>
          </w:p>
        </w:tc>
      </w:tr>
    </w:tbl>
    <w:p w14:paraId="603B57C3" w14:textId="77777777" w:rsidR="00023664" w:rsidRPr="00F74208" w:rsidRDefault="00023664" w:rsidP="00851ED5">
      <w:pPr>
        <w:rPr>
          <w:rFonts w:ascii="Segoe UI" w:hAnsi="Segoe UI" w:cs="Segoe UI"/>
          <w:sz w:val="20"/>
          <w:szCs w:val="20"/>
          <w:lang w:val="en-NZ"/>
        </w:rPr>
      </w:pPr>
    </w:p>
    <w:sectPr w:rsidR="00023664" w:rsidRPr="00F74208" w:rsidSect="009C1439">
      <w:footerReference w:type="default" r:id="rId14"/>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F7A4" w14:textId="77777777" w:rsidR="00B44E3B" w:rsidRDefault="00B44E3B" w:rsidP="00FA49DF">
      <w:pPr>
        <w:pStyle w:val="TableText"/>
      </w:pPr>
      <w:r>
        <w:separator/>
      </w:r>
    </w:p>
  </w:endnote>
  <w:endnote w:type="continuationSeparator" w:id="0">
    <w:p w14:paraId="27962564" w14:textId="77777777" w:rsidR="00B44E3B" w:rsidRDefault="00B44E3B"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5" w:type="dxa"/>
      <w:tblLook w:val="00A0" w:firstRow="1" w:lastRow="0" w:firstColumn="1" w:lastColumn="0" w:noHBand="0" w:noVBand="0"/>
    </w:tblPr>
    <w:tblGrid>
      <w:gridCol w:w="1985"/>
      <w:gridCol w:w="6379"/>
      <w:gridCol w:w="1391"/>
    </w:tblGrid>
    <w:tr w:rsidR="00DB09EC" w:rsidRPr="00E036EE" w14:paraId="4ED4A8C3" w14:textId="77777777" w:rsidTr="00384CC7">
      <w:tc>
        <w:tcPr>
          <w:tcW w:w="1985" w:type="dxa"/>
          <w:tcBorders>
            <w:top w:val="single" w:sz="8" w:space="0" w:color="auto"/>
          </w:tcBorders>
          <w:shd w:val="clear" w:color="auto" w:fill="auto"/>
        </w:tcPr>
        <w:p w14:paraId="15693FEB" w14:textId="77777777" w:rsidR="00DB09EC" w:rsidRPr="00E036EE" w:rsidRDefault="00DB09EC" w:rsidP="00C54E8B">
          <w:pPr>
            <w:pStyle w:val="Footer"/>
            <w:ind w:right="357"/>
            <w:rPr>
              <w:rFonts w:ascii="Arial" w:hAnsi="Arial" w:cs="Arial"/>
              <w:b/>
              <w:sz w:val="18"/>
              <w:szCs w:val="18"/>
            </w:rPr>
          </w:pPr>
          <w:r w:rsidRPr="00E036EE">
            <w:rPr>
              <w:rFonts w:ascii="Arial" w:hAnsi="Arial" w:cs="Arial"/>
              <w:b/>
              <w:sz w:val="18"/>
              <w:szCs w:val="18"/>
            </w:rPr>
            <w:t xml:space="preserve">Date </w:t>
          </w:r>
          <w:r w:rsidR="00E92110">
            <w:rPr>
              <w:rFonts w:ascii="Arial" w:hAnsi="Arial" w:cs="Arial"/>
              <w:b/>
              <w:sz w:val="18"/>
              <w:szCs w:val="18"/>
            </w:rPr>
            <w:t>11</w:t>
          </w:r>
          <w:r w:rsidRPr="00D475AD">
            <w:rPr>
              <w:rFonts w:ascii="Arial" w:hAnsi="Arial" w:cs="Arial"/>
              <w:b/>
              <w:sz w:val="18"/>
              <w:szCs w:val="18"/>
            </w:rPr>
            <w:t>/1</w:t>
          </w:r>
          <w:r w:rsidR="00E92110">
            <w:rPr>
              <w:rFonts w:ascii="Arial" w:hAnsi="Arial" w:cs="Arial"/>
              <w:b/>
              <w:sz w:val="18"/>
              <w:szCs w:val="18"/>
            </w:rPr>
            <w:t>2</w:t>
          </w:r>
          <w:r w:rsidRPr="00D475AD">
            <w:rPr>
              <w:rFonts w:ascii="Arial" w:hAnsi="Arial" w:cs="Arial"/>
              <w:b/>
              <w:sz w:val="18"/>
              <w:szCs w:val="18"/>
            </w:rPr>
            <w:t>/20</w:t>
          </w:r>
          <w:r w:rsidR="00DD3FF1">
            <w:rPr>
              <w:rFonts w:ascii="Arial" w:hAnsi="Arial" w:cs="Arial"/>
              <w:b/>
              <w:sz w:val="18"/>
              <w:szCs w:val="18"/>
            </w:rPr>
            <w:t>20</w:t>
          </w:r>
        </w:p>
      </w:tc>
      <w:tc>
        <w:tcPr>
          <w:tcW w:w="6379" w:type="dxa"/>
          <w:tcBorders>
            <w:top w:val="single" w:sz="8" w:space="0" w:color="auto"/>
          </w:tcBorders>
          <w:shd w:val="clear" w:color="auto" w:fill="auto"/>
        </w:tcPr>
        <w:p w14:paraId="1CF549D1" w14:textId="57BE8BFE" w:rsidR="00DB09EC" w:rsidRPr="00E036EE" w:rsidRDefault="00B101E8" w:rsidP="00384CC7">
          <w:pP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FILENAME \* MERGEFORMAT </w:instrText>
          </w:r>
          <w:r>
            <w:rPr>
              <w:rFonts w:ascii="Arial" w:hAnsi="Arial" w:cs="Arial"/>
              <w:b/>
              <w:sz w:val="18"/>
              <w:szCs w:val="18"/>
            </w:rPr>
            <w:fldChar w:fldCharType="separate"/>
          </w:r>
          <w:r>
            <w:rPr>
              <w:rFonts w:ascii="Arial" w:hAnsi="Arial" w:cs="Arial"/>
              <w:b/>
              <w:noProof/>
              <w:sz w:val="18"/>
              <w:szCs w:val="18"/>
            </w:rPr>
            <w:t>cn_2021_NCAMP_SCRs_Business_Rules_Removal v</w:t>
          </w:r>
          <w:r w:rsidR="001C5C97">
            <w:rPr>
              <w:rFonts w:ascii="Arial" w:hAnsi="Arial" w:cs="Arial"/>
              <w:b/>
              <w:noProof/>
              <w:sz w:val="18"/>
              <w:szCs w:val="18"/>
            </w:rPr>
            <w:t>2</w:t>
          </w:r>
          <w:r>
            <w:rPr>
              <w:rFonts w:ascii="Arial" w:hAnsi="Arial" w:cs="Arial"/>
              <w:b/>
              <w:noProof/>
              <w:sz w:val="18"/>
              <w:szCs w:val="18"/>
            </w:rPr>
            <w:t>.0</w:t>
          </w:r>
          <w:r>
            <w:rPr>
              <w:rFonts w:ascii="Arial" w:hAnsi="Arial" w:cs="Arial"/>
              <w:b/>
              <w:sz w:val="18"/>
              <w:szCs w:val="18"/>
            </w:rPr>
            <w:fldChar w:fldCharType="end"/>
          </w:r>
        </w:p>
      </w:tc>
      <w:tc>
        <w:tcPr>
          <w:tcW w:w="1391" w:type="dxa"/>
          <w:tcBorders>
            <w:top w:val="single" w:sz="8" w:space="0" w:color="auto"/>
          </w:tcBorders>
          <w:shd w:val="clear" w:color="auto" w:fill="auto"/>
        </w:tcPr>
        <w:p w14:paraId="091D9473" w14:textId="77777777" w:rsidR="00DB09EC" w:rsidRPr="00E036EE" w:rsidRDefault="00DB09E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p>
      </w:tc>
    </w:tr>
  </w:tbl>
  <w:p w14:paraId="4F5B2864" w14:textId="77777777" w:rsidR="00DB09EC" w:rsidRDefault="00DB09E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C95E" w14:textId="77777777" w:rsidR="00B44E3B" w:rsidRDefault="00B44E3B" w:rsidP="00FA49DF">
      <w:pPr>
        <w:pStyle w:val="TableText"/>
      </w:pPr>
      <w:r>
        <w:separator/>
      </w:r>
    </w:p>
  </w:footnote>
  <w:footnote w:type="continuationSeparator" w:id="0">
    <w:p w14:paraId="25955995" w14:textId="77777777" w:rsidR="00B44E3B" w:rsidRDefault="00B44E3B"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207503A"/>
    <w:multiLevelType w:val="hybridMultilevel"/>
    <w:tmpl w:val="4B22B174"/>
    <w:lvl w:ilvl="0" w:tplc="4800943C">
      <w:start w:val="1"/>
      <w:numFmt w:val="bullet"/>
      <w:pStyle w:val="TableBullet1NoFormats"/>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A3937"/>
    <w:multiLevelType w:val="multilevel"/>
    <w:tmpl w:val="8C18131C"/>
    <w:lvl w:ilvl="0">
      <w:start w:val="1"/>
      <w:numFmt w:val="bullet"/>
      <w:pStyle w:val="TableBullet2"/>
      <w:lvlText w:val=""/>
      <w:lvlJc w:val="left"/>
      <w:pPr>
        <w:tabs>
          <w:tab w:val="num" w:pos="743"/>
        </w:tabs>
        <w:ind w:left="74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2F1DCA"/>
    <w:multiLevelType w:val="hybridMultilevel"/>
    <w:tmpl w:val="A4CCD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3BC7B17"/>
    <w:multiLevelType w:val="hybridMultilevel"/>
    <w:tmpl w:val="E1D690D6"/>
    <w:lvl w:ilvl="0" w:tplc="4800943C">
      <w:start w:val="1"/>
      <w:numFmt w:val="bullet"/>
      <w:lvlText w:val=""/>
      <w:lvlJc w:val="left"/>
      <w:pPr>
        <w:tabs>
          <w:tab w:val="num" w:pos="393"/>
        </w:tabs>
        <w:ind w:left="393"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921ADC"/>
    <w:multiLevelType w:val="hybridMultilevel"/>
    <w:tmpl w:val="E3082FCA"/>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7"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92B1A"/>
    <w:multiLevelType w:val="hybridMultilevel"/>
    <w:tmpl w:val="7D08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DF96DE9"/>
    <w:multiLevelType w:val="hybridMultilevel"/>
    <w:tmpl w:val="B2B0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7"/>
  </w:num>
  <w:num w:numId="4">
    <w:abstractNumId w:val="28"/>
  </w:num>
  <w:num w:numId="5">
    <w:abstractNumId w:val="3"/>
  </w:num>
  <w:num w:numId="6">
    <w:abstractNumId w:val="13"/>
  </w:num>
  <w:num w:numId="7">
    <w:abstractNumId w:val="7"/>
  </w:num>
  <w:num w:numId="8">
    <w:abstractNumId w:val="7"/>
  </w:num>
  <w:num w:numId="9">
    <w:abstractNumId w:val="14"/>
  </w:num>
  <w:num w:numId="10">
    <w:abstractNumId w:val="15"/>
  </w:num>
  <w:num w:numId="11">
    <w:abstractNumId w:val="29"/>
  </w:num>
  <w:num w:numId="12">
    <w:abstractNumId w:val="30"/>
  </w:num>
  <w:num w:numId="13">
    <w:abstractNumId w:val="1"/>
  </w:num>
  <w:num w:numId="14">
    <w:abstractNumId w:val="25"/>
  </w:num>
  <w:num w:numId="15">
    <w:abstractNumId w:val="7"/>
  </w:num>
  <w:num w:numId="16">
    <w:abstractNumId w:val="19"/>
  </w:num>
  <w:num w:numId="17">
    <w:abstractNumId w:val="9"/>
  </w:num>
  <w:num w:numId="18">
    <w:abstractNumId w:val="0"/>
  </w:num>
  <w:num w:numId="19">
    <w:abstractNumId w:val="17"/>
  </w:num>
  <w:num w:numId="20">
    <w:abstractNumId w:val="26"/>
  </w:num>
  <w:num w:numId="21">
    <w:abstractNumId w:val="31"/>
  </w:num>
  <w:num w:numId="22">
    <w:abstractNumId w:val="10"/>
  </w:num>
  <w:num w:numId="23">
    <w:abstractNumId w:val="24"/>
  </w:num>
  <w:num w:numId="24">
    <w:abstractNumId w:val="23"/>
  </w:num>
  <w:num w:numId="25">
    <w:abstractNumId w:val="11"/>
  </w:num>
  <w:num w:numId="26">
    <w:abstractNumId w:val="20"/>
  </w:num>
  <w:num w:numId="27">
    <w:abstractNumId w:val="22"/>
  </w:num>
  <w:num w:numId="28">
    <w:abstractNumId w:val="18"/>
  </w:num>
  <w:num w:numId="29">
    <w:abstractNumId w:val="6"/>
  </w:num>
  <w:num w:numId="30">
    <w:abstractNumId w:val="21"/>
  </w:num>
  <w:num w:numId="31">
    <w:abstractNumId w:val="16"/>
  </w:num>
  <w:num w:numId="32">
    <w:abstractNumId w:val="5"/>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42"/>
    <w:rsid w:val="000010AF"/>
    <w:rsid w:val="000129B8"/>
    <w:rsid w:val="00015C02"/>
    <w:rsid w:val="00022D79"/>
    <w:rsid w:val="00023664"/>
    <w:rsid w:val="000365EB"/>
    <w:rsid w:val="000378F9"/>
    <w:rsid w:val="00040912"/>
    <w:rsid w:val="00042ABF"/>
    <w:rsid w:val="00045F4A"/>
    <w:rsid w:val="0004680F"/>
    <w:rsid w:val="00052544"/>
    <w:rsid w:val="000539F6"/>
    <w:rsid w:val="00060A6F"/>
    <w:rsid w:val="000630FB"/>
    <w:rsid w:val="000642FD"/>
    <w:rsid w:val="00065AD4"/>
    <w:rsid w:val="00066623"/>
    <w:rsid w:val="00066BF4"/>
    <w:rsid w:val="00072AFF"/>
    <w:rsid w:val="000738A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2749"/>
    <w:rsid w:val="00104649"/>
    <w:rsid w:val="00106297"/>
    <w:rsid w:val="00115BAE"/>
    <w:rsid w:val="00132A18"/>
    <w:rsid w:val="00132F5F"/>
    <w:rsid w:val="00137EDB"/>
    <w:rsid w:val="00151D40"/>
    <w:rsid w:val="00157416"/>
    <w:rsid w:val="00162B26"/>
    <w:rsid w:val="00183B7B"/>
    <w:rsid w:val="00184272"/>
    <w:rsid w:val="00192024"/>
    <w:rsid w:val="001A5FDA"/>
    <w:rsid w:val="001B179A"/>
    <w:rsid w:val="001C5C97"/>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24B1"/>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225F"/>
    <w:rsid w:val="002B54BA"/>
    <w:rsid w:val="002B7E6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DB2"/>
    <w:rsid w:val="00327E21"/>
    <w:rsid w:val="00330901"/>
    <w:rsid w:val="0033111A"/>
    <w:rsid w:val="003406FB"/>
    <w:rsid w:val="00342114"/>
    <w:rsid w:val="00353555"/>
    <w:rsid w:val="00353DAD"/>
    <w:rsid w:val="00360395"/>
    <w:rsid w:val="00365A58"/>
    <w:rsid w:val="003663A6"/>
    <w:rsid w:val="003678AC"/>
    <w:rsid w:val="0037596F"/>
    <w:rsid w:val="00377FA8"/>
    <w:rsid w:val="00384982"/>
    <w:rsid w:val="00384CB6"/>
    <w:rsid w:val="00384CC7"/>
    <w:rsid w:val="00390378"/>
    <w:rsid w:val="003910BC"/>
    <w:rsid w:val="00391536"/>
    <w:rsid w:val="00396EE4"/>
    <w:rsid w:val="003A05A1"/>
    <w:rsid w:val="003A4AE0"/>
    <w:rsid w:val="003A5DB5"/>
    <w:rsid w:val="003B20FE"/>
    <w:rsid w:val="003B61B9"/>
    <w:rsid w:val="003C2B13"/>
    <w:rsid w:val="003E1192"/>
    <w:rsid w:val="003E1A3A"/>
    <w:rsid w:val="003E1C3E"/>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116"/>
    <w:rsid w:val="00456EC0"/>
    <w:rsid w:val="00461165"/>
    <w:rsid w:val="00463DFF"/>
    <w:rsid w:val="00473857"/>
    <w:rsid w:val="0049026D"/>
    <w:rsid w:val="0049308F"/>
    <w:rsid w:val="00494D82"/>
    <w:rsid w:val="00496717"/>
    <w:rsid w:val="004A797E"/>
    <w:rsid w:val="004B1C3F"/>
    <w:rsid w:val="004B3CB2"/>
    <w:rsid w:val="004D277B"/>
    <w:rsid w:val="004E3BEA"/>
    <w:rsid w:val="004F20C6"/>
    <w:rsid w:val="004F4C25"/>
    <w:rsid w:val="004F4E85"/>
    <w:rsid w:val="004F772D"/>
    <w:rsid w:val="004F7836"/>
    <w:rsid w:val="005030D4"/>
    <w:rsid w:val="00506CDB"/>
    <w:rsid w:val="00507785"/>
    <w:rsid w:val="005103D8"/>
    <w:rsid w:val="005128C3"/>
    <w:rsid w:val="00524D24"/>
    <w:rsid w:val="005278A0"/>
    <w:rsid w:val="00530731"/>
    <w:rsid w:val="00532529"/>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9AF"/>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061BE"/>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0421"/>
    <w:rsid w:val="00786F7C"/>
    <w:rsid w:val="00790FFC"/>
    <w:rsid w:val="0079297D"/>
    <w:rsid w:val="00793470"/>
    <w:rsid w:val="00795ABD"/>
    <w:rsid w:val="007B18EA"/>
    <w:rsid w:val="007B634C"/>
    <w:rsid w:val="007C6D84"/>
    <w:rsid w:val="007D1B0A"/>
    <w:rsid w:val="007D4646"/>
    <w:rsid w:val="007D4A2D"/>
    <w:rsid w:val="007E3B0E"/>
    <w:rsid w:val="007F0884"/>
    <w:rsid w:val="007F7F64"/>
    <w:rsid w:val="00800CAD"/>
    <w:rsid w:val="00804071"/>
    <w:rsid w:val="00804875"/>
    <w:rsid w:val="008101ED"/>
    <w:rsid w:val="008179A2"/>
    <w:rsid w:val="00817F10"/>
    <w:rsid w:val="00817F36"/>
    <w:rsid w:val="008202AD"/>
    <w:rsid w:val="00821E21"/>
    <w:rsid w:val="0082203D"/>
    <w:rsid w:val="008233F6"/>
    <w:rsid w:val="0082741F"/>
    <w:rsid w:val="00831A77"/>
    <w:rsid w:val="00834339"/>
    <w:rsid w:val="0084284E"/>
    <w:rsid w:val="00845101"/>
    <w:rsid w:val="008466C0"/>
    <w:rsid w:val="00850BD4"/>
    <w:rsid w:val="00851ED5"/>
    <w:rsid w:val="00853774"/>
    <w:rsid w:val="00856A3D"/>
    <w:rsid w:val="00857CF1"/>
    <w:rsid w:val="00861F8B"/>
    <w:rsid w:val="0086554D"/>
    <w:rsid w:val="008658B7"/>
    <w:rsid w:val="00865CF3"/>
    <w:rsid w:val="00872DB1"/>
    <w:rsid w:val="00873B0B"/>
    <w:rsid w:val="008772CD"/>
    <w:rsid w:val="00891E94"/>
    <w:rsid w:val="00892E09"/>
    <w:rsid w:val="00895B96"/>
    <w:rsid w:val="008B0543"/>
    <w:rsid w:val="008B1FAF"/>
    <w:rsid w:val="008B2FC6"/>
    <w:rsid w:val="008C5DC9"/>
    <w:rsid w:val="008C692F"/>
    <w:rsid w:val="008D172C"/>
    <w:rsid w:val="008D24C8"/>
    <w:rsid w:val="008E0ABB"/>
    <w:rsid w:val="008E35DF"/>
    <w:rsid w:val="008E3AA7"/>
    <w:rsid w:val="008F5ED9"/>
    <w:rsid w:val="008F6B71"/>
    <w:rsid w:val="00906AD4"/>
    <w:rsid w:val="00916BED"/>
    <w:rsid w:val="00922EDC"/>
    <w:rsid w:val="009340BF"/>
    <w:rsid w:val="00934298"/>
    <w:rsid w:val="0094537A"/>
    <w:rsid w:val="00967A90"/>
    <w:rsid w:val="00971BF9"/>
    <w:rsid w:val="00975749"/>
    <w:rsid w:val="00975C59"/>
    <w:rsid w:val="009938BF"/>
    <w:rsid w:val="009942F5"/>
    <w:rsid w:val="0099586B"/>
    <w:rsid w:val="00996182"/>
    <w:rsid w:val="009A6204"/>
    <w:rsid w:val="009A63B1"/>
    <w:rsid w:val="009B2499"/>
    <w:rsid w:val="009C0D34"/>
    <w:rsid w:val="009C1439"/>
    <w:rsid w:val="009C199F"/>
    <w:rsid w:val="009D07E6"/>
    <w:rsid w:val="009D6385"/>
    <w:rsid w:val="009E0398"/>
    <w:rsid w:val="009F3F66"/>
    <w:rsid w:val="009F6133"/>
    <w:rsid w:val="009F779F"/>
    <w:rsid w:val="00A0172D"/>
    <w:rsid w:val="00A017F9"/>
    <w:rsid w:val="00A11584"/>
    <w:rsid w:val="00A1750D"/>
    <w:rsid w:val="00A216D7"/>
    <w:rsid w:val="00A33160"/>
    <w:rsid w:val="00A33523"/>
    <w:rsid w:val="00A33BC6"/>
    <w:rsid w:val="00A36D03"/>
    <w:rsid w:val="00A46F7B"/>
    <w:rsid w:val="00A50927"/>
    <w:rsid w:val="00A603B1"/>
    <w:rsid w:val="00A6044B"/>
    <w:rsid w:val="00A6347D"/>
    <w:rsid w:val="00A64AAC"/>
    <w:rsid w:val="00A67984"/>
    <w:rsid w:val="00A803B0"/>
    <w:rsid w:val="00A828D5"/>
    <w:rsid w:val="00A84384"/>
    <w:rsid w:val="00A85294"/>
    <w:rsid w:val="00A854FA"/>
    <w:rsid w:val="00A874C4"/>
    <w:rsid w:val="00A90D19"/>
    <w:rsid w:val="00AA1F57"/>
    <w:rsid w:val="00AA438C"/>
    <w:rsid w:val="00AA6330"/>
    <w:rsid w:val="00AA6A7F"/>
    <w:rsid w:val="00AC2D30"/>
    <w:rsid w:val="00AC7E28"/>
    <w:rsid w:val="00AD6224"/>
    <w:rsid w:val="00AD7EE5"/>
    <w:rsid w:val="00AE2E60"/>
    <w:rsid w:val="00AE56A0"/>
    <w:rsid w:val="00AE57A4"/>
    <w:rsid w:val="00AF1B42"/>
    <w:rsid w:val="00AF487C"/>
    <w:rsid w:val="00B0750A"/>
    <w:rsid w:val="00B101E8"/>
    <w:rsid w:val="00B16717"/>
    <w:rsid w:val="00B34648"/>
    <w:rsid w:val="00B347D5"/>
    <w:rsid w:val="00B349EA"/>
    <w:rsid w:val="00B3665A"/>
    <w:rsid w:val="00B44E3B"/>
    <w:rsid w:val="00B474A8"/>
    <w:rsid w:val="00B50A87"/>
    <w:rsid w:val="00B53950"/>
    <w:rsid w:val="00B540BE"/>
    <w:rsid w:val="00B607F6"/>
    <w:rsid w:val="00B75C3B"/>
    <w:rsid w:val="00B80F00"/>
    <w:rsid w:val="00B92588"/>
    <w:rsid w:val="00BA2B52"/>
    <w:rsid w:val="00BA5B1E"/>
    <w:rsid w:val="00BE0597"/>
    <w:rsid w:val="00BF6015"/>
    <w:rsid w:val="00C00736"/>
    <w:rsid w:val="00C03D23"/>
    <w:rsid w:val="00C053CE"/>
    <w:rsid w:val="00C228FA"/>
    <w:rsid w:val="00C2430C"/>
    <w:rsid w:val="00C328A1"/>
    <w:rsid w:val="00C3381F"/>
    <w:rsid w:val="00C33EFD"/>
    <w:rsid w:val="00C43271"/>
    <w:rsid w:val="00C4503C"/>
    <w:rsid w:val="00C54E8B"/>
    <w:rsid w:val="00C55449"/>
    <w:rsid w:val="00C630C3"/>
    <w:rsid w:val="00C641A8"/>
    <w:rsid w:val="00C7021C"/>
    <w:rsid w:val="00C729AE"/>
    <w:rsid w:val="00C72A75"/>
    <w:rsid w:val="00C84F28"/>
    <w:rsid w:val="00C90682"/>
    <w:rsid w:val="00C96FAB"/>
    <w:rsid w:val="00C979E4"/>
    <w:rsid w:val="00C97D68"/>
    <w:rsid w:val="00CA01A4"/>
    <w:rsid w:val="00CA34CF"/>
    <w:rsid w:val="00CA7247"/>
    <w:rsid w:val="00CB4862"/>
    <w:rsid w:val="00CC10B3"/>
    <w:rsid w:val="00CC1F1C"/>
    <w:rsid w:val="00CC20CB"/>
    <w:rsid w:val="00CC5CFD"/>
    <w:rsid w:val="00CD474A"/>
    <w:rsid w:val="00CD7382"/>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09EC"/>
    <w:rsid w:val="00DB3D89"/>
    <w:rsid w:val="00DB71BA"/>
    <w:rsid w:val="00DC101E"/>
    <w:rsid w:val="00DC21F1"/>
    <w:rsid w:val="00DC2A61"/>
    <w:rsid w:val="00DC48C5"/>
    <w:rsid w:val="00DC555E"/>
    <w:rsid w:val="00DD244A"/>
    <w:rsid w:val="00DD3685"/>
    <w:rsid w:val="00DD3FF1"/>
    <w:rsid w:val="00DD609D"/>
    <w:rsid w:val="00DE61DB"/>
    <w:rsid w:val="00DE6957"/>
    <w:rsid w:val="00DF1D45"/>
    <w:rsid w:val="00DF5A0E"/>
    <w:rsid w:val="00E01C96"/>
    <w:rsid w:val="00E02E8A"/>
    <w:rsid w:val="00E03680"/>
    <w:rsid w:val="00E036EE"/>
    <w:rsid w:val="00E049DE"/>
    <w:rsid w:val="00E10AE5"/>
    <w:rsid w:val="00E1494E"/>
    <w:rsid w:val="00E15821"/>
    <w:rsid w:val="00E20F1E"/>
    <w:rsid w:val="00E26741"/>
    <w:rsid w:val="00E30142"/>
    <w:rsid w:val="00E35A11"/>
    <w:rsid w:val="00E45005"/>
    <w:rsid w:val="00E45CCE"/>
    <w:rsid w:val="00E47238"/>
    <w:rsid w:val="00E514A4"/>
    <w:rsid w:val="00E61F05"/>
    <w:rsid w:val="00E65EF0"/>
    <w:rsid w:val="00E92110"/>
    <w:rsid w:val="00E9791A"/>
    <w:rsid w:val="00EA7AB3"/>
    <w:rsid w:val="00EB01F2"/>
    <w:rsid w:val="00ED158B"/>
    <w:rsid w:val="00EE2DE3"/>
    <w:rsid w:val="00EE35CE"/>
    <w:rsid w:val="00EE4C5D"/>
    <w:rsid w:val="00EE4D3F"/>
    <w:rsid w:val="00EE7535"/>
    <w:rsid w:val="00EF3E38"/>
    <w:rsid w:val="00F02B09"/>
    <w:rsid w:val="00F07E24"/>
    <w:rsid w:val="00F13542"/>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02B0"/>
    <w:rsid w:val="00F81328"/>
    <w:rsid w:val="00F831C0"/>
    <w:rsid w:val="00F866EA"/>
    <w:rsid w:val="00F9280E"/>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B0D47"/>
  <w15:chartTrackingRefBased/>
  <w15:docId w15:val="{1442212D-2781-4A15-961F-59BF7F7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ilfuvd">
    <w:name w:val="ilfuvd"/>
    <w:basedOn w:val="DefaultParagraphFont"/>
    <w:rsid w:val="00B349EA"/>
  </w:style>
  <w:style w:type="paragraph" w:styleId="ListParagraph">
    <w:name w:val="List Paragraph"/>
    <w:basedOn w:val="Normal"/>
    <w:uiPriority w:val="34"/>
    <w:qFormat/>
    <w:rsid w:val="00B349EA"/>
    <w:pPr>
      <w:ind w:left="720"/>
      <w:contextualSpacing/>
    </w:pPr>
  </w:style>
  <w:style w:type="character" w:styleId="UnresolvedMention">
    <w:name w:val="Unresolved Mention"/>
    <w:basedOn w:val="DefaultParagraphFont"/>
    <w:uiPriority w:val="99"/>
    <w:semiHidden/>
    <w:unhideWhenUsed/>
    <w:rsid w:val="00532529"/>
    <w:rPr>
      <w:color w:val="605E5C"/>
      <w:shd w:val="clear" w:color="auto" w:fill="E1DFDD"/>
    </w:rPr>
  </w:style>
  <w:style w:type="paragraph" w:customStyle="1" w:styleId="TableText9pt">
    <w:name w:val="Table Text 9pt"/>
    <w:rsid w:val="00DC555E"/>
    <w:rPr>
      <w:rFonts w:ascii="Arial" w:hAnsi="Arial"/>
      <w:sz w:val="18"/>
      <w:szCs w:val="18"/>
      <w:lang w:eastAsia="en-US"/>
    </w:rPr>
  </w:style>
  <w:style w:type="paragraph" w:customStyle="1" w:styleId="TableBullet2">
    <w:name w:val="Table Bullet 2"/>
    <w:rsid w:val="00DC555E"/>
    <w:pPr>
      <w:numPr>
        <w:numId w:val="33"/>
      </w:numPr>
      <w:tabs>
        <w:tab w:val="clear" w:pos="743"/>
      </w:tabs>
      <w:ind w:left="1080"/>
    </w:pPr>
    <w:rPr>
      <w:rFonts w:ascii="Arial" w:hAnsi="Arial" w:cs="Arial"/>
      <w:sz w:val="18"/>
      <w:szCs w:val="18"/>
      <w:lang w:eastAsia="en-US"/>
    </w:rPr>
  </w:style>
  <w:style w:type="paragraph" w:customStyle="1" w:styleId="TableBullet1NoFormats">
    <w:name w:val="Table Bullet 1 No Formats"/>
    <w:rsid w:val="00DC555E"/>
    <w:pPr>
      <w:numPr>
        <w:numId w:val="32"/>
      </w:numPr>
    </w:pPr>
    <w:rPr>
      <w:rFonts w:ascii="Arial" w:hAnsi="Arial" w:cs="Arial"/>
      <w:sz w:val="18"/>
      <w:szCs w:val="18"/>
      <w:lang w:eastAsia="en-US"/>
    </w:rPr>
  </w:style>
  <w:style w:type="paragraph" w:customStyle="1" w:styleId="TableHeaderCenter">
    <w:name w:val="Table Header Center"/>
    <w:rsid w:val="00DC555E"/>
    <w:pPr>
      <w:jc w:val="center"/>
    </w:pPr>
    <w:rPr>
      <w:rFonts w:ascii="Arial" w:hAnsi="Arial"/>
      <w:b/>
      <w:bCs/>
      <w:iCs/>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38334">
      <w:bodyDiv w:val="1"/>
      <w:marLeft w:val="0"/>
      <w:marRight w:val="0"/>
      <w:marTop w:val="0"/>
      <w:marBottom w:val="0"/>
      <w:divBdr>
        <w:top w:val="none" w:sz="0" w:space="0" w:color="auto"/>
        <w:left w:val="none" w:sz="0" w:space="0" w:color="auto"/>
        <w:bottom w:val="none" w:sz="0" w:space="0" w:color="auto"/>
        <w:right w:val="none" w:sz="0" w:space="0" w:color="auto"/>
      </w:divBdr>
    </w:div>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amp@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1BF8-1490-4EE7-A53D-947BDE908814}">
  <ds:schemaRefs>
    <ds:schemaRef ds:uri="http://schemas.microsoft.com/sharepoint/v3/contenttype/forms"/>
  </ds:schemaRefs>
</ds:datastoreItem>
</file>

<file path=customXml/itemProps2.xml><?xml version="1.0" encoding="utf-8"?>
<ds:datastoreItem xmlns:ds="http://schemas.openxmlformats.org/officeDocument/2006/customXml" ds:itemID="{0CF60ED6-F253-4AED-87AA-1C130BE1B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78D86-DB9A-4D17-B092-747BCF8504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A1D24F-8005-45EE-87A1-540444FC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1</TotalTime>
  <Pages>2</Pages>
  <Words>682</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4305</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4</cp:revision>
  <cp:lastPrinted>2018-11-27T02:44:00Z</cp:lastPrinted>
  <dcterms:created xsi:type="dcterms:W3CDTF">2020-12-10T22:32:00Z</dcterms:created>
  <dcterms:modified xsi:type="dcterms:W3CDTF">2020-12-14T21:45:00Z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