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3"/>
        <w:gridCol w:w="3785"/>
      </w:tblGrid>
      <w:tr w:rsidR="00D70D97" w:rsidRPr="003406FB" w14:paraId="397C1641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397C163B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bookmarkStart w:id="0" w:name="_GoBack"/>
            <w:bookmarkEnd w:id="0"/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3C" w14:textId="3858E64E" w:rsidR="00C63F2C" w:rsidRPr="00A2222E" w:rsidRDefault="00C63F2C" w:rsidP="00C63F2C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 NMDS_WIESNZ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_v</w:t>
            </w:r>
            <w:r w:rsidR="00D3477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.0</w:t>
            </w:r>
          </w:p>
          <w:p w14:paraId="397C163D" w14:textId="77777777" w:rsidR="00D70D9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14:paraId="397C163E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397C163F" w14:textId="2445D5FE" w:rsidR="00D70D97" w:rsidRPr="00A2222E" w:rsidRDefault="00DA019D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</w:t>
            </w:r>
            <w:r w:rsidR="00D3477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397C1640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397C1678" wp14:editId="397C1679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C1642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397C1646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397C1643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44" w14:textId="64B24C75"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397C1645" w14:textId="2B3F1505"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Implementation of 20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Zealand Casemix Framework for Publicly Funded Hospitals Weighted Inlier Equivalent Separations (WIESNZ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 methodology and casemix purchase unit allocation</w:t>
            </w:r>
          </w:p>
        </w:tc>
      </w:tr>
      <w:tr w:rsidR="00D70D97" w:rsidRPr="003406FB" w14:paraId="397C1648" w14:textId="77777777" w:rsidTr="003406FB">
        <w:tc>
          <w:tcPr>
            <w:tcW w:w="10349" w:type="dxa"/>
            <w:gridSpan w:val="2"/>
            <w:shd w:val="clear" w:color="auto" w:fill="FBE4D5"/>
          </w:tcPr>
          <w:p w14:paraId="397C1647" w14:textId="77777777"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397C164B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397C1649" w14:textId="77777777"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397C164A" w14:textId="14D725CD" w:rsidR="00C96FAB" w:rsidRPr="00A2222E" w:rsidRDefault="00C63F2C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This change notification informs the sector that the Ministry will implement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Zealand Casemix Framework for Publicly Funded Hospitals (WIESNZ</w:t>
            </w:r>
            <w:r w:rsidR="00EA455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 developed by the Casemix Project Group for NMDS event records with an event end date on or after 01 July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7014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B16717" w:rsidRPr="003406FB" w14:paraId="397C164E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397C164C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397C164D" w14:textId="77777777" w:rsidR="00B16717" w:rsidRPr="003406FB" w:rsidRDefault="00A71D26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Minimum Data Set (NMDS)</w:t>
            </w:r>
          </w:p>
        </w:tc>
      </w:tr>
      <w:tr w:rsidR="00D70D97" w:rsidRPr="003406FB" w14:paraId="397C1651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397C164F" w14:textId="77777777"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50" w14:textId="77777777" w:rsidR="00DB71BA" w:rsidRPr="00A2222E" w:rsidRDefault="00C63F2C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WIESNZ is the methodology used to calculate the Cost Weight value based on the assigned Australian Refined Diagnosis Related Groups (AR-DRGs) and New Zealand costs. Revisions and implementation of WIESNZ are performed annually as part of the National Costing Collection Programme (NCCP) and NCAMP</w:t>
            </w:r>
            <w:r w:rsidRPr="00A222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0D97" w:rsidRPr="003406FB" w14:paraId="397C166B" w14:textId="77777777" w:rsidTr="003406FB">
        <w:tc>
          <w:tcPr>
            <w:tcW w:w="10349" w:type="dxa"/>
            <w:gridSpan w:val="2"/>
            <w:shd w:val="clear" w:color="auto" w:fill="FBE4D5"/>
          </w:tcPr>
          <w:p w14:paraId="397C1652" w14:textId="77777777"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14:paraId="397C1653" w14:textId="612F65B7" w:rsidR="00E03553" w:rsidRPr="00E03553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WIESNZ2</w:t>
            </w:r>
            <w:r w:rsidR="00654E5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based on ICD-10-AM/ACHI </w:t>
            </w:r>
            <w:r w:rsidR="002C395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8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 Edition and AR-DRG v7.0. </w:t>
            </w:r>
          </w:p>
          <w:p w14:paraId="397C1655" w14:textId="03D1D968" w:rsidR="00E03553" w:rsidRPr="00E03553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Events coded in ICD-10-AM/ACHI 11th Edition will have their codes back-mapped to ICD-10-AM/ACHI 8th Edition which are then used to derive AR-DRG7.0. Exclusion rules are based on ICD-10-AM/ACHI 8th Edition coding and AR-DRG v7.0.  The framework associated with WIESNZ2</w:t>
            </w:r>
            <w:r w:rsidR="003B590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the same as WIESNZ</w:t>
            </w:r>
            <w:r w:rsidR="003B590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except for the following: </w:t>
            </w:r>
          </w:p>
          <w:p w14:paraId="796E8A61" w14:textId="4644562C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New and revised same day/one day designations for DRGs A08B, J06B and R63Z</w:t>
            </w:r>
          </w:p>
          <w:p w14:paraId="20BFA84C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Abdominal Aortic Aneurysm (AAA) co-payment to now include separate values for F08A (AAAA) 4.9466 and F08B (AAAB) 3.4141</w:t>
            </w:r>
          </w:p>
          <w:p w14:paraId="73A8253A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Scoliosis co-payment definition by removing DRG I06Z and age criteria.  Co-payment value revised from 5.2673 to 5.6074</w:t>
            </w:r>
          </w:p>
          <w:p w14:paraId="14A91610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Electrophysiological Studies (EPS) co-payment definition to include DRGs F42x. Co-payment value revised from 1.7266 to 1.2278</w:t>
            </w:r>
          </w:p>
          <w:p w14:paraId="35C01E2F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Complex Traumatic Limb (TLC) definition by removing facilities Waikato (5311) and Canterbury (4011).  Co-payment value revised from 2.9934 to 3.1934</w:t>
            </w:r>
          </w:p>
          <w:p w14:paraId="2652B7A9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Revised Gender Affirming Surgery (GR) definition to include the procedure ‘radical vaginal hysterectomy’.  Co-payment value revised from 1.5143 to 1.4871 </w:t>
            </w:r>
          </w:p>
          <w:p w14:paraId="4E5C85EA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Reinstated co-payment from WIESNZ19 for Isolated Limb Infusion (ILI)</w:t>
            </w:r>
          </w:p>
          <w:p w14:paraId="4E8A52B3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New co-payment for Peritonectomy with HIPEC (PH) </w:t>
            </w:r>
          </w:p>
          <w:p w14:paraId="2B937E10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New co-payment for Pelvic Evisceration (PE) Surgery for Waitemata DHB</w:t>
            </w:r>
          </w:p>
          <w:p w14:paraId="5457E7E7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Revised co-payment values for: </w:t>
            </w:r>
          </w:p>
          <w:p w14:paraId="4B687CAF" w14:textId="77777777" w:rsidR="008B28B1" w:rsidRPr="002C3955" w:rsidRDefault="008B28B1" w:rsidP="008B28B1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ind w:left="1134" w:hanging="283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Atrial Septal Defect (ASD) co-payment value from 1.1613 to 1.2803</w:t>
            </w:r>
          </w:p>
          <w:p w14:paraId="02841168" w14:textId="77777777" w:rsidR="008B28B1" w:rsidRPr="002C3955" w:rsidRDefault="008B28B1" w:rsidP="008B28B1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ind w:left="1134" w:hanging="283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Ventricular Assist Devices (LVAD) for </w:t>
            </w:r>
            <w:proofErr w:type="gramStart"/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adults</w:t>
            </w:r>
            <w:proofErr w:type="gramEnd"/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 co-payment value from 22.5183 to 21.0526</w:t>
            </w:r>
          </w:p>
          <w:p w14:paraId="1F9C6F5E" w14:textId="77777777" w:rsidR="008B28B1" w:rsidRPr="002C3955" w:rsidRDefault="008B28B1" w:rsidP="008B28B1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ind w:left="1134" w:hanging="283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Bilateral Mastectomy or Combined Mastectomy and Reconstruction co-payment values (MRA) from 1.0134 to 0.9438, (MRB) from 0.5507 to 0.7790 and (MRZ) from 1.1630 to 1.0177</w:t>
            </w:r>
          </w:p>
          <w:p w14:paraId="4F691F8C" w14:textId="77777777" w:rsidR="008B28B1" w:rsidRPr="002C3955" w:rsidRDefault="008B28B1" w:rsidP="008B28B1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ind w:left="1134" w:hanging="283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Cardiac Lead Extraction (LE) co-payment value from 3.2179 to 2.4694</w:t>
            </w:r>
          </w:p>
          <w:p w14:paraId="0EEC29C2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Revised </w:t>
            </w:r>
            <w:proofErr w:type="spellStart"/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costweight</w:t>
            </w:r>
            <w:proofErr w:type="spellEnd"/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 values for NZ DRGs C03W from 0.06370 to 0.0812 and J11W from 0.23160 to 0.2252</w:t>
            </w:r>
          </w:p>
          <w:p w14:paraId="150AC089" w14:textId="77777777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Moved section ‘Note on anaesthesia coding’ to be sequenced before exclusion rules that have an anaesthesia </w:t>
            </w:r>
            <w:proofErr w:type="gramStart"/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criteria</w:t>
            </w:r>
            <w:proofErr w:type="gramEnd"/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.  Anaesthesia block [1910] Cerebral anaesthesia split to specify ‘general anaesthesia’ and ‘sedation</w:t>
            </w:r>
          </w:p>
          <w:p w14:paraId="5888FF11" w14:textId="57B08625" w:rsidR="008B28B1" w:rsidRPr="002C3955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C3955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lastRenderedPageBreak/>
              <w:t>Revised exclusion rule for ‘Same day pharmacotherapy for treatment of neoplasm</w:t>
            </w:r>
          </w:p>
          <w:p w14:paraId="1AAE0AF7" w14:textId="6665C541" w:rsidR="008B28B1" w:rsidRDefault="008B28B1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626CDD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ERCP exclusion rule definition by removing two stent procedure codes 3049100 and 3045102</w:t>
            </w:r>
          </w:p>
          <w:p w14:paraId="694D3064" w14:textId="0AB22E85" w:rsidR="00DC2E34" w:rsidRPr="00626CDD" w:rsidRDefault="00DC2E34" w:rsidP="008B28B1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DC2E34">
              <w:rPr>
                <w:rFonts w:ascii="Segoe UI" w:hAnsi="Segoe UI" w:cs="Segoe UI"/>
                <w:bCs/>
                <w:sz w:val="20"/>
                <w:szCs w:val="20"/>
              </w:rPr>
              <w:t>Revised the anaesthesia criteria for three scope (cystoscopies, gastroscopy procedures, bronchoscopy) exclusion rule definitions to only include sedation.</w:t>
            </w:r>
          </w:p>
          <w:p w14:paraId="397C166A" w14:textId="517EDB5C" w:rsidR="00C731EF" w:rsidRPr="00DC2E34" w:rsidRDefault="00C731EF" w:rsidP="00DC2E34">
            <w:pPr>
              <w:ind w:left="360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</w:p>
        </w:tc>
      </w:tr>
      <w:tr w:rsidR="00D70D97" w:rsidRPr="003406FB" w14:paraId="397C166F" w14:textId="77777777" w:rsidTr="003406FB">
        <w:tc>
          <w:tcPr>
            <w:tcW w:w="10349" w:type="dxa"/>
            <w:gridSpan w:val="2"/>
            <w:shd w:val="clear" w:color="auto" w:fill="auto"/>
          </w:tcPr>
          <w:p w14:paraId="397C166C" w14:textId="77777777"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6D" w14:textId="3CFF33DD" w:rsidR="00C63F2C" w:rsidRPr="00A2222E" w:rsidRDefault="00C63F2C" w:rsidP="00C63F2C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Ministry will provide 3M H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ealth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nformation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ystems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with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Casemix Framework document so the methodology and weight schedule for 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7416E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can be developed into the 3M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Codefinder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application.</w:t>
            </w:r>
          </w:p>
          <w:p w14:paraId="397C166E" w14:textId="5ED1C96A" w:rsidR="00DD244A" w:rsidRPr="003406FB" w:rsidRDefault="00C63F2C" w:rsidP="00C63F2C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DHBs that have their own grouping/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costweight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systems/applications will need to update these to reflect the changes in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Casemix Framework document (WIESNZ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). Otherwise there are no expected changes for the sector.</w:t>
            </w:r>
          </w:p>
        </w:tc>
      </w:tr>
      <w:tr w:rsidR="00D70D97" w:rsidRPr="003406FB" w14:paraId="397C1672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97C1670" w14:textId="77777777"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71" w14:textId="29556C62" w:rsidR="008F5ED9" w:rsidRPr="00A2222E" w:rsidRDefault="00C63F2C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As the Ministry are the official calculators of the Diagnosis Related Groups (DRGs) and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caseweights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the NMDS will be updated to calculate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caseweights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, NZ-DRGs and excluded purchase units. 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3358F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Casemix Framework will be available for NMDS event records with an event end date on or after 01 July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7416E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397C1674" w14:textId="77777777" w:rsidTr="003406FB">
        <w:tc>
          <w:tcPr>
            <w:tcW w:w="10349" w:type="dxa"/>
            <w:gridSpan w:val="2"/>
            <w:shd w:val="clear" w:color="auto" w:fill="auto"/>
          </w:tcPr>
          <w:p w14:paraId="397C1673" w14:textId="77777777" w:rsidR="00D70D97" w:rsidRPr="003406FB" w:rsidRDefault="00D70D97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397C1676" w14:textId="77777777" w:rsidTr="003406FB">
        <w:tc>
          <w:tcPr>
            <w:tcW w:w="10349" w:type="dxa"/>
            <w:gridSpan w:val="2"/>
            <w:shd w:val="clear" w:color="auto" w:fill="FBE4D5"/>
          </w:tcPr>
          <w:p w14:paraId="397C1675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3" w:history="1">
              <w:r w:rsidR="00630D8D" w:rsidRPr="003F7333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97C1677" w14:textId="77777777"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F971A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989F" w14:textId="77777777" w:rsidR="00C8093D" w:rsidRDefault="00C8093D" w:rsidP="00FA49DF">
      <w:pPr>
        <w:pStyle w:val="TableText"/>
      </w:pPr>
      <w:r>
        <w:separator/>
      </w:r>
    </w:p>
  </w:endnote>
  <w:endnote w:type="continuationSeparator" w:id="0">
    <w:p w14:paraId="65C6C6E5" w14:textId="77777777" w:rsidR="00C8093D" w:rsidRDefault="00C8093D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43"/>
      <w:gridCol w:w="5282"/>
      <w:gridCol w:w="1413"/>
    </w:tblGrid>
    <w:tr w:rsidR="00922EDC" w:rsidRPr="00E036EE" w14:paraId="397C1682" w14:textId="77777777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14:paraId="397C167E" w14:textId="438F7F7B" w:rsidR="00922EDC" w:rsidRPr="00DA019D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DA019D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DA019D" w:rsidRPr="00DA019D">
            <w:rPr>
              <w:rFonts w:ascii="Arial" w:hAnsi="Arial" w:cs="Arial"/>
              <w:b/>
              <w:sz w:val="18"/>
              <w:szCs w:val="18"/>
            </w:rPr>
            <w:t>11</w:t>
          </w:r>
          <w:r w:rsidR="00D475AD" w:rsidRPr="00DA019D">
            <w:rPr>
              <w:rFonts w:ascii="Arial" w:hAnsi="Arial" w:cs="Arial"/>
              <w:b/>
              <w:sz w:val="18"/>
              <w:szCs w:val="18"/>
            </w:rPr>
            <w:t>/1</w:t>
          </w:r>
          <w:r w:rsidR="00DA019D" w:rsidRPr="00DA019D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A019D">
            <w:rPr>
              <w:rFonts w:ascii="Arial" w:hAnsi="Arial" w:cs="Arial"/>
              <w:b/>
              <w:sz w:val="18"/>
              <w:szCs w:val="18"/>
            </w:rPr>
            <w:t>/20</w:t>
          </w:r>
          <w:r w:rsidR="00D34776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14:paraId="397C1680" w14:textId="06CE6046" w:rsidR="00922EDC" w:rsidRPr="00193C47" w:rsidRDefault="00C346C6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instrText xml:space="preserve"> FILENAME \* MERGEFORMAT </w:instrTex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cn_2021_NCAMP_ NMDS_WIESNZ21_v</w:t>
          </w:r>
          <w:r w:rsidR="00375D84"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2</w:t>
          </w:r>
          <w:r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.0.docx</w: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end"/>
          </w: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14:paraId="397C1681" w14:textId="77777777"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97C1683" w14:textId="77777777"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6906" w14:textId="77777777" w:rsidR="00C8093D" w:rsidRDefault="00C8093D" w:rsidP="00FA49DF">
      <w:pPr>
        <w:pStyle w:val="TableText"/>
      </w:pPr>
      <w:r>
        <w:separator/>
      </w:r>
    </w:p>
  </w:footnote>
  <w:footnote w:type="continuationSeparator" w:id="0">
    <w:p w14:paraId="643F2F4A" w14:textId="77777777" w:rsidR="00C8093D" w:rsidRDefault="00C8093D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8B1"/>
    <w:multiLevelType w:val="hybridMultilevel"/>
    <w:tmpl w:val="0EBC80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15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01D2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93C47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C3955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358FD"/>
    <w:rsid w:val="003406FB"/>
    <w:rsid w:val="00353555"/>
    <w:rsid w:val="00360395"/>
    <w:rsid w:val="00365A58"/>
    <w:rsid w:val="003663A6"/>
    <w:rsid w:val="003678AC"/>
    <w:rsid w:val="0037596F"/>
    <w:rsid w:val="00375D84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590D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472A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1574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1C7"/>
    <w:rsid w:val="00601E1F"/>
    <w:rsid w:val="00602447"/>
    <w:rsid w:val="00607B39"/>
    <w:rsid w:val="00610B9B"/>
    <w:rsid w:val="00622BF7"/>
    <w:rsid w:val="00626CDD"/>
    <w:rsid w:val="00630D8D"/>
    <w:rsid w:val="00630EB1"/>
    <w:rsid w:val="006419CC"/>
    <w:rsid w:val="00644EFC"/>
    <w:rsid w:val="006523B0"/>
    <w:rsid w:val="006526CE"/>
    <w:rsid w:val="00654E54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16E1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8B1"/>
    <w:rsid w:val="008B2FC6"/>
    <w:rsid w:val="008C5DC9"/>
    <w:rsid w:val="008D172C"/>
    <w:rsid w:val="008E0ABB"/>
    <w:rsid w:val="008E35DF"/>
    <w:rsid w:val="008E3AA7"/>
    <w:rsid w:val="008F5ED9"/>
    <w:rsid w:val="0091370C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D51DF"/>
    <w:rsid w:val="00BE0597"/>
    <w:rsid w:val="00BF0760"/>
    <w:rsid w:val="00BF1109"/>
    <w:rsid w:val="00BF6015"/>
    <w:rsid w:val="00C03D23"/>
    <w:rsid w:val="00C053CE"/>
    <w:rsid w:val="00C228FA"/>
    <w:rsid w:val="00C2430C"/>
    <w:rsid w:val="00C328A1"/>
    <w:rsid w:val="00C3381F"/>
    <w:rsid w:val="00C33EFD"/>
    <w:rsid w:val="00C346C6"/>
    <w:rsid w:val="00C43271"/>
    <w:rsid w:val="00C4503C"/>
    <w:rsid w:val="00C630C3"/>
    <w:rsid w:val="00C63F2C"/>
    <w:rsid w:val="00C641A8"/>
    <w:rsid w:val="00C729AE"/>
    <w:rsid w:val="00C72A75"/>
    <w:rsid w:val="00C731EF"/>
    <w:rsid w:val="00C8093D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34776"/>
    <w:rsid w:val="00D46205"/>
    <w:rsid w:val="00D463C0"/>
    <w:rsid w:val="00D475AD"/>
    <w:rsid w:val="00D479AB"/>
    <w:rsid w:val="00D51DCD"/>
    <w:rsid w:val="00D5243F"/>
    <w:rsid w:val="00D7014D"/>
    <w:rsid w:val="00D701DD"/>
    <w:rsid w:val="00D70D97"/>
    <w:rsid w:val="00D80410"/>
    <w:rsid w:val="00D842FE"/>
    <w:rsid w:val="00D975A1"/>
    <w:rsid w:val="00DA019D"/>
    <w:rsid w:val="00DA624A"/>
    <w:rsid w:val="00DB051C"/>
    <w:rsid w:val="00DB71BA"/>
    <w:rsid w:val="00DC101E"/>
    <w:rsid w:val="00DC21F1"/>
    <w:rsid w:val="00DC2A61"/>
    <w:rsid w:val="00DC2E34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553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A455E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64C"/>
    <w:rsid w:val="00FA27FA"/>
    <w:rsid w:val="00FA49DF"/>
    <w:rsid w:val="00FA594D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C163B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aliases w:val="Normal text,List Paragraph1"/>
    <w:basedOn w:val="Normal"/>
    <w:link w:val="ListParagraphChar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30D8D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text Char,List Paragraph1 Char"/>
    <w:link w:val="ListParagraph"/>
    <w:uiPriority w:val="34"/>
    <w:rsid w:val="008B28B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amp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peoplenet.co.nz/Images/Logos/MinistryOfHealth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E6AAEBBD6ED4C892A5D3E31024465" ma:contentTypeVersion="10" ma:contentTypeDescription="Create a new document." ma:contentTypeScope="" ma:versionID="8b236483ba036f970f8d4bfb677caef6">
  <xsd:schema xmlns:xsd="http://www.w3.org/2001/XMLSchema" xmlns:xs="http://www.w3.org/2001/XMLSchema" xmlns:p="http://schemas.microsoft.com/office/2006/metadata/properties" xmlns:ns3="42dc8bab-111a-4e8a-abdf-9c2974aec3da" targetNamespace="http://schemas.microsoft.com/office/2006/metadata/properties" ma:root="true" ma:fieldsID="70af145c2e4d500b2a8e6c0e2a40ccaf" ns3:_="">
    <xsd:import namespace="42dc8bab-111a-4e8a-abdf-9c2974aec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8bab-111a-4e8a-abdf-9c2974aec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828A-1504-446C-9A01-E5E12DFD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c8bab-111a-4e8a-abdf-9c2974aec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4C410-E05A-4032-97D9-545872C2A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A5B96-66D0-4F93-BC13-CE340D2BE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1D328-F2E0-4979-A127-FB1975F0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0</TotalTime>
  <Pages>2</Pages>
  <Words>630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4444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Maria Dela Cruz</cp:lastModifiedBy>
  <cp:revision>2</cp:revision>
  <cp:lastPrinted>2018-11-28T03:07:00Z</cp:lastPrinted>
  <dcterms:created xsi:type="dcterms:W3CDTF">2020-12-13T20:45:00Z</dcterms:created>
  <dcterms:modified xsi:type="dcterms:W3CDTF">2020-12-13T20:45:00Z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0x010100B47E6AAEBBD6ED4C892A5D3E31024465</vt:lpwstr>
  </property>
</Properties>
</file>