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3"/>
        <w:gridCol w:w="3785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521F32" w:rsidRPr="00521F32" w:rsidRDefault="00521F32" w:rsidP="00521F32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521F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cn_2020_NCAMP_NPF_</w:t>
            </w:r>
            <w:bookmarkStart w:id="0" w:name="_Toc23239637"/>
            <w:r w:rsidRPr="00521F32">
              <w:rPr>
                <w:rFonts w:ascii="Arial" w:hAnsi="Arial"/>
                <w:bCs/>
                <w:lang w:val="en-NZ"/>
              </w:rPr>
              <w:t xml:space="preserve"> </w:t>
            </w:r>
            <w:r w:rsidRPr="00521F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Cancer Staging and Clinically Diagnosed Data</w:t>
            </w:r>
            <w:bookmarkEnd w:id="0"/>
            <w:r w:rsidR="00EE16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0C31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:rsidR="00BC733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F8325F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521F32" w:rsidRPr="00521F32" w:rsidRDefault="00D70D97" w:rsidP="00521F3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Cancer Staging and Clinically Diagnosed Data</w:t>
            </w:r>
          </w:p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521F32" w:rsidRPr="00521F32" w:rsidRDefault="00134060" w:rsidP="00521F32">
            <w:pPr>
              <w:pStyle w:val="TableContents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In NPF we are a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lign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ing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existing fields with nationally agreed definitions and rules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.  This change is only 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for those providers who can submit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cancer 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stage data</w:t>
            </w:r>
            <w:r w:rsidR="00ED2290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.</w:t>
            </w:r>
          </w:p>
          <w:p w:rsidR="00C96FAB" w:rsidRPr="00A2222E" w:rsidRDefault="00521F32" w:rsidP="00521F32">
            <w:pPr>
              <w:pStyle w:val="TableContents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eastAsia="en-NZ"/>
              </w:rPr>
            </w:pPr>
            <w:r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Core cancer stage fields will not be mandatory due to provider readiness and complexity of field interrelationships. This will be reviewed and considered for future NCAMP changes as required. 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521F32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National Patient Flow (NPF)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DB71BA" w:rsidRPr="00A2222E" w:rsidRDefault="00134060" w:rsidP="00521F3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MOH is i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mproving cancer stage data at a national level to inform cancer outcomes and system performance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.  This has b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een desired by the sector for many years, 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but </w:t>
            </w:r>
            <w:r w:rsidR="00521F32" w:rsidRPr="00521F3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it has only recently been prioritised as an action under the Cancer Health Information Strategy (CHIS) programme for the Ministry of Health.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4D20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/>
              </w:rPr>
            </w:pPr>
            <w:r w:rsidRPr="00A24D20">
              <w:rPr>
                <w:rFonts w:ascii="Segoe UI" w:hAnsi="Segoe UI" w:cs="Segoe UI"/>
                <w:b/>
                <w:bCs/>
                <w:szCs w:val="20"/>
                <w:lang w:val="en-NZ"/>
              </w:rPr>
              <w:t xml:space="preserve">Details of Proposed Change: </w:t>
            </w:r>
          </w:p>
          <w:p w:rsidR="00511E18" w:rsidRPr="00511E18" w:rsidRDefault="00134060" w:rsidP="00511E18">
            <w:pPr>
              <w:pStyle w:val="Heading2"/>
              <w:keepLines w:val="0"/>
              <w:spacing w:before="100" w:beforeAutospacing="1" w:after="120"/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</w:pPr>
            <w:r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 xml:space="preserve">Add a new code to the </w:t>
            </w:r>
            <w:proofErr w:type="gramStart"/>
            <w:r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 xml:space="preserve">NPF  </w:t>
            </w:r>
            <w:bookmarkStart w:id="1" w:name="_Toc512843621"/>
            <w:r w:rsidR="00511E18"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>‘</w:t>
            </w:r>
            <w:proofErr w:type="gramEnd"/>
            <w:r w:rsidR="00511E18" w:rsidRPr="00511E18"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 xml:space="preserve">STAGSYS Overall Staging System </w:t>
            </w:r>
            <w:r w:rsidR="00511E18"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>–</w:t>
            </w:r>
            <w:r w:rsidR="00511E18" w:rsidRPr="00511E18"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 xml:space="preserve"> Cancer</w:t>
            </w:r>
            <w:bookmarkEnd w:id="1"/>
            <w:r w:rsidR="00511E18"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 xml:space="preserve">’ </w:t>
            </w:r>
            <w:r w:rsidR="00F04BE0">
              <w:rPr>
                <w:rFonts w:ascii="Segoe UI" w:eastAsia="Times New Roman" w:hAnsi="Segoe UI" w:cs="Segoe UI"/>
                <w:bCs/>
                <w:color w:val="auto"/>
                <w:sz w:val="20"/>
                <w:szCs w:val="20"/>
                <w:lang w:val="en-NZ"/>
              </w:rPr>
              <w:t xml:space="preserve">reference table </w:t>
            </w:r>
          </w:p>
          <w:p w:rsidR="00245D82" w:rsidRDefault="00245D82" w:rsidP="00245D82">
            <w:pPr>
              <w:pStyle w:val="TableContents"/>
              <w:spacing w:before="120" w:after="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proofErr w:type="gramStart"/>
            <w:r w:rsidRPr="00511E18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14  American</w:t>
            </w:r>
            <w:proofErr w:type="gramEnd"/>
            <w:r w:rsidRPr="00511E18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Joint Committee on Cancer (AJCC)       2020-07-01      9999-12-31</w:t>
            </w:r>
          </w:p>
          <w:p w:rsidR="00245D82" w:rsidRPr="00511E18" w:rsidRDefault="00511E18" w:rsidP="00245D82">
            <w:pPr>
              <w:pStyle w:val="TableContents"/>
              <w:spacing w:before="120" w:after="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511E18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File Specification reference </w:t>
            </w:r>
            <w:r w:rsidR="00F04BE0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section </w:t>
            </w:r>
            <w:r w:rsidRPr="00511E18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12.29</w:t>
            </w:r>
          </w:p>
          <w:tbl>
            <w:tblPr>
              <w:tblW w:w="8640" w:type="dxa"/>
              <w:tblInd w:w="78" w:type="dxa"/>
              <w:tblLook w:val="04A0" w:firstRow="1" w:lastRow="0" w:firstColumn="1" w:lastColumn="0" w:noHBand="0" w:noVBand="1"/>
            </w:tblPr>
            <w:tblGrid>
              <w:gridCol w:w="810"/>
              <w:gridCol w:w="5310"/>
              <w:gridCol w:w="1260"/>
              <w:gridCol w:w="1260"/>
            </w:tblGrid>
            <w:tr w:rsidR="00245D82" w:rsidRPr="00A24D20" w:rsidTr="00245D82">
              <w:trPr>
                <w:trHeight w:val="218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  <w:t>Value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  <w:t>Meaning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  <w:t>Start Date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val="en-NZ"/>
                    </w:rPr>
                    <w:t>End Date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UICC TNM Classification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Durie &amp; Salmon for multiple myeloma staging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FAB for leukaemia classification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Australian </w:t>
                  </w:r>
                  <w:proofErr w:type="spellStart"/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Clinico</w:t>
                  </w:r>
                  <w:proofErr w:type="spellEnd"/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-pathological Staging (ACPS) system for colorectal cancer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6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Ann Arbor staging system for lymphomas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7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Binet Staging Classification for chronic lymphocytic </w:t>
                  </w:r>
                  <w:proofErr w:type="spellStart"/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leukemia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8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CML for chronic myeloid leukaemia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10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FIGO for gynaecological cancers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11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ISS for myeloma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12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Rai staging system for chronic lymphocytic leukaemia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13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Other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  <w:t>14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  <w:t>American Joint Committee on Cancer (</w:t>
                  </w:r>
                  <w:proofErr w:type="gramStart"/>
                  <w:r w:rsidRPr="00A24D20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  <w:t xml:space="preserve">AJCC)   </w:t>
                  </w:r>
                  <w:proofErr w:type="gramEnd"/>
                  <w:r w:rsidRPr="00A24D20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  <w:t xml:space="preserve">    </w:t>
                  </w:r>
                  <w:bookmarkStart w:id="2" w:name="_GoBack"/>
                  <w:bookmarkEnd w:id="2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  <w:t>2020-07-01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color w:val="FF0000"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  <w:tr w:rsidR="00245D82" w:rsidRPr="00A24D20" w:rsidTr="00245D82"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jc w:val="center"/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lastRenderedPageBreak/>
                    <w:t>99</w:t>
                  </w:r>
                </w:p>
              </w:tc>
              <w:tc>
                <w:tcPr>
                  <w:tcW w:w="5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Unknown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2014-07</w:t>
                  </w:r>
                  <w:r w:rsidR="0013406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     </w:t>
                  </w: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08" w:type="dxa"/>
                    <w:left w:w="3" w:type="dxa"/>
                    <w:bottom w:w="0" w:type="dxa"/>
                    <w:right w:w="108" w:type="dxa"/>
                  </w:tcMar>
                </w:tcPr>
                <w:p w:rsidR="00245D82" w:rsidRPr="00A24D20" w:rsidRDefault="00245D82" w:rsidP="00245D82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A24D20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9999-12-31</w:t>
                  </w:r>
                </w:p>
              </w:tc>
            </w:tr>
          </w:tbl>
          <w:p w:rsidR="00521F32" w:rsidRPr="00A24D20" w:rsidRDefault="00511E18" w:rsidP="00ED2290">
            <w:pPr>
              <w:pStyle w:val="TableContents"/>
              <w:spacing w:before="120" w:after="0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The new code will be available for use by b</w:t>
            </w:r>
            <w:r w:rsidRPr="00511E18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oth the Diagnosis and Diagnosis Referral fields ‘Overall Staging System’ File specification reference: 10.13.7 &amp; 10.18.6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Default="00F04BE0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04BE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Update the</w:t>
            </w:r>
            <w:r w:rsidRPr="00A24D2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‘</w:t>
            </w:r>
            <w:r w:rsidRPr="00511E1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STAGSYS Overall Staging System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–</w:t>
            </w:r>
            <w:r w:rsidRPr="00511E1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Cancer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’ reference table as above</w:t>
            </w:r>
            <w:r w:rsidR="0013406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</w:t>
            </w:r>
          </w:p>
          <w:p w:rsidR="00134060" w:rsidRDefault="00134060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Where DHBs are reporting Cancer Staging data to NPF they will implement the new code locally and report it to NPF.</w:t>
            </w:r>
          </w:p>
          <w:p w:rsidR="00134060" w:rsidRPr="003406FB" w:rsidRDefault="00134060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ED2290" w:rsidP="00ED2290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NPF will accept </w:t>
            </w:r>
            <w:r w:rsidRPr="00511E1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Overall Staging System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14 </w:t>
            </w:r>
            <w:r w:rsidRPr="00ED22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American Joint Committee on Cancer (</w:t>
            </w:r>
            <w:proofErr w:type="gramStart"/>
            <w:r w:rsidRPr="00ED22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AJCC)</w:t>
            </w:r>
            <w:r w:rsidRPr="00A24D20">
              <w:rPr>
                <w:rFonts w:ascii="Segoe UI" w:hAnsi="Segoe UI" w:cs="Segoe UI"/>
                <w:bCs/>
                <w:color w:val="FF0000"/>
                <w:sz w:val="20"/>
                <w:szCs w:val="20"/>
                <w:lang w:val="en-NZ"/>
              </w:rPr>
              <w:t xml:space="preserve">   </w:t>
            </w:r>
            <w:proofErr w:type="gramEnd"/>
            <w:r w:rsidRPr="00A24D20">
              <w:rPr>
                <w:rFonts w:ascii="Segoe UI" w:hAnsi="Segoe UI" w:cs="Segoe UI"/>
                <w:bCs/>
                <w:color w:val="FF0000"/>
                <w:sz w:val="20"/>
                <w:szCs w:val="20"/>
                <w:lang w:val="en-NZ"/>
              </w:rPr>
              <w:t xml:space="preserve">  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Default="00BC733B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</w:p>
          <w:p w:rsidR="00BC733B" w:rsidRDefault="00C15CD2" w:rsidP="00A24D20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For </w:t>
            </w:r>
            <w:r w:rsidR="00ED22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clarity, t</w:t>
            </w:r>
            <w:r w:rsidR="008225D0" w:rsidRPr="00A24D2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he existing field ‘Clinical TNM/Pathological will</w:t>
            </w:r>
            <w:r w:rsidR="00ED22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is better described as </w:t>
            </w:r>
            <w:r w:rsidR="008225D0" w:rsidRPr="00A24D2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“Clinical/Pathological Stage Group” for Diagnosis and Diagnosis Referral</w:t>
            </w:r>
            <w:r w:rsidR="00ED22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s. </w:t>
            </w:r>
          </w:p>
          <w:p w:rsidR="00A24D20" w:rsidRPr="003406FB" w:rsidRDefault="00A24D20" w:rsidP="00A24D20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4D20">
              <w:rPr>
                <w:rFonts w:ascii="Segoe UI" w:hAnsi="Segoe UI" w:cs="Segoe UI"/>
                <w:bCs/>
                <w:sz w:val="20"/>
                <w:szCs w:val="20"/>
              </w:rPr>
              <w:t xml:space="preserve">Note: There is no name change to the </w:t>
            </w:r>
            <w:r w:rsidR="00ED2290">
              <w:rPr>
                <w:rFonts w:ascii="Segoe UI" w:hAnsi="Segoe UI" w:cs="Segoe UI"/>
                <w:bCs/>
                <w:sz w:val="20"/>
                <w:szCs w:val="20"/>
              </w:rPr>
              <w:t xml:space="preserve">tag in the </w:t>
            </w:r>
            <w:proofErr w:type="spellStart"/>
            <w:r w:rsidR="00ED2290">
              <w:rPr>
                <w:rFonts w:ascii="Segoe UI" w:hAnsi="Segoe UI" w:cs="Segoe UI"/>
                <w:bCs/>
                <w:sz w:val="20"/>
                <w:szCs w:val="20"/>
              </w:rPr>
              <w:t>xsd</w:t>
            </w:r>
            <w:proofErr w:type="spellEnd"/>
            <w:r w:rsidR="00ED2290">
              <w:rPr>
                <w:rFonts w:ascii="Segoe UI" w:hAnsi="Segoe UI" w:cs="Segoe UI"/>
                <w:bCs/>
                <w:sz w:val="20"/>
                <w:szCs w:val="20"/>
              </w:rPr>
              <w:t xml:space="preserve"> for this field</w:t>
            </w:r>
            <w:r w:rsidRPr="00A24D20">
              <w:rPr>
                <w:rFonts w:ascii="Segoe UI" w:hAnsi="Segoe UI" w:cs="Segoe UI"/>
                <w:bCs/>
                <w:sz w:val="20"/>
                <w:szCs w:val="20"/>
              </w:rPr>
              <w:t xml:space="preserve">. These changes will occur </w:t>
            </w:r>
            <w:proofErr w:type="gramStart"/>
            <w:r w:rsidRPr="00A24D20">
              <w:rPr>
                <w:rFonts w:ascii="Segoe UI" w:hAnsi="Segoe UI" w:cs="Segoe UI"/>
                <w:bCs/>
                <w:sz w:val="20"/>
                <w:szCs w:val="20"/>
              </w:rPr>
              <w:t>at a later date</w:t>
            </w:r>
            <w:proofErr w:type="gramEnd"/>
            <w:r w:rsidRPr="00A24D20">
              <w:rPr>
                <w:rFonts w:ascii="Segoe UI" w:hAnsi="Segoe UI" w:cs="Segoe UI"/>
                <w:bCs/>
                <w:sz w:val="20"/>
                <w:szCs w:val="20"/>
              </w:rPr>
              <w:t xml:space="preserve"> after further review by the </w:t>
            </w:r>
            <w:r w:rsidRPr="00521F32">
              <w:rPr>
                <w:rFonts w:ascii="Segoe UI" w:hAnsi="Segoe UI" w:cs="Segoe UI"/>
                <w:bCs/>
                <w:sz w:val="20"/>
                <w:szCs w:val="20"/>
              </w:rPr>
              <w:t>Cancer Health Information Strategy</w:t>
            </w:r>
            <w:r w:rsidRPr="00A24D20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0C3168" w:rsidRPr="00535B2E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D2" w:rsidRDefault="00C15CD2" w:rsidP="00FA49DF">
      <w:pPr>
        <w:pStyle w:val="TableText"/>
      </w:pPr>
      <w:r>
        <w:separator/>
      </w:r>
    </w:p>
  </w:endnote>
  <w:endnote w:type="continuationSeparator" w:id="0">
    <w:p w:rsidR="00C15CD2" w:rsidRDefault="00C15CD2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Look w:val="00A0" w:firstRow="1" w:lastRow="0" w:firstColumn="1" w:lastColumn="0" w:noHBand="0" w:noVBand="0"/>
    </w:tblPr>
    <w:tblGrid>
      <w:gridCol w:w="1980"/>
      <w:gridCol w:w="6840"/>
      <w:gridCol w:w="1415"/>
    </w:tblGrid>
    <w:tr w:rsidR="00C15CD2" w:rsidRPr="00E036EE" w:rsidTr="000C3168">
      <w:tc>
        <w:tcPr>
          <w:tcW w:w="1980" w:type="dxa"/>
          <w:tcBorders>
            <w:top w:val="single" w:sz="8" w:space="0" w:color="auto"/>
          </w:tcBorders>
          <w:shd w:val="clear" w:color="auto" w:fill="auto"/>
        </w:tcPr>
        <w:p w:rsidR="00C15CD2" w:rsidRPr="00E036EE" w:rsidRDefault="00C15CD2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F8325F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F8325F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/201</w:t>
          </w:r>
          <w:r w:rsidR="00F8325F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6840" w:type="dxa"/>
          <w:tcBorders>
            <w:top w:val="single" w:sz="8" w:space="0" w:color="auto"/>
          </w:tcBorders>
          <w:shd w:val="clear" w:color="auto" w:fill="auto"/>
        </w:tcPr>
        <w:p w:rsidR="000C3168" w:rsidRPr="00EE16A4" w:rsidRDefault="000C3168" w:rsidP="000C3168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EE16A4">
            <w:rPr>
              <w:rFonts w:ascii="Arial" w:hAnsi="Arial" w:cs="Arial"/>
              <w:bCs/>
              <w:sz w:val="18"/>
              <w:szCs w:val="18"/>
              <w:lang w:val="en-NZ"/>
            </w:rPr>
            <w:t>cn_2020_NCAMP_NPF_ Cancer Staging and Clinically Diagnosed Data</w:t>
          </w:r>
          <w:r w:rsidR="00EE16A4" w:rsidRPr="00EE16A4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Pr="00EE16A4">
            <w:rPr>
              <w:rFonts w:ascii="Arial" w:hAnsi="Arial" w:cs="Arial"/>
              <w:bCs/>
              <w:sz w:val="18"/>
              <w:szCs w:val="18"/>
              <w:lang w:val="en-NZ"/>
            </w:rPr>
            <w:t>v2.0</w:t>
          </w:r>
        </w:p>
        <w:p w:rsidR="00C15CD2" w:rsidRPr="00E036EE" w:rsidRDefault="00C15CD2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5" w:type="dxa"/>
          <w:tcBorders>
            <w:top w:val="single" w:sz="8" w:space="0" w:color="auto"/>
          </w:tcBorders>
          <w:shd w:val="clear" w:color="auto" w:fill="auto"/>
        </w:tcPr>
        <w:p w:rsidR="00C15CD2" w:rsidRPr="00E036EE" w:rsidRDefault="00C15CD2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15CD2" w:rsidRDefault="00C15CD2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D2" w:rsidRDefault="00C15CD2" w:rsidP="00FA49DF">
      <w:pPr>
        <w:pStyle w:val="TableText"/>
      </w:pPr>
      <w:r>
        <w:separator/>
      </w:r>
    </w:p>
  </w:footnote>
  <w:footnote w:type="continuationSeparator" w:id="0">
    <w:p w:rsidR="00C15CD2" w:rsidRDefault="00C15CD2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924BF3"/>
    <w:multiLevelType w:val="hybridMultilevel"/>
    <w:tmpl w:val="C248DE44"/>
    <w:lvl w:ilvl="0" w:tplc="58E0F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6C35"/>
    <w:multiLevelType w:val="hybridMultilevel"/>
    <w:tmpl w:val="04D22A3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C52DE"/>
    <w:multiLevelType w:val="multilevel"/>
    <w:tmpl w:val="DFF200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4"/>
        </w:tabs>
        <w:ind w:left="68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22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3"/>
  </w:num>
  <w:num w:numId="11">
    <w:abstractNumId w:val="23"/>
  </w:num>
  <w:num w:numId="12">
    <w:abstractNumId w:val="24"/>
  </w:num>
  <w:num w:numId="13">
    <w:abstractNumId w:val="1"/>
  </w:num>
  <w:num w:numId="14">
    <w:abstractNumId w:val="19"/>
  </w:num>
  <w:num w:numId="15">
    <w:abstractNumId w:val="6"/>
  </w:num>
  <w:num w:numId="16">
    <w:abstractNumId w:val="16"/>
  </w:num>
  <w:num w:numId="17">
    <w:abstractNumId w:val="8"/>
  </w:num>
  <w:num w:numId="18">
    <w:abstractNumId w:val="0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18"/>
  </w:num>
  <w:num w:numId="24">
    <w:abstractNumId w:val="17"/>
  </w:num>
  <w:num w:numId="25">
    <w:abstractNumId w:val="12"/>
  </w:num>
  <w:num w:numId="26">
    <w:abstractNumId w:val="5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3593"/>
    <w:rsid w:val="00045F4A"/>
    <w:rsid w:val="0004680F"/>
    <w:rsid w:val="00052544"/>
    <w:rsid w:val="000539F6"/>
    <w:rsid w:val="00057BA1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168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4060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45D8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F20C6"/>
    <w:rsid w:val="004F4C25"/>
    <w:rsid w:val="004F4E85"/>
    <w:rsid w:val="004F772D"/>
    <w:rsid w:val="004F7836"/>
    <w:rsid w:val="005030D4"/>
    <w:rsid w:val="00506CDB"/>
    <w:rsid w:val="00511E18"/>
    <w:rsid w:val="005128C3"/>
    <w:rsid w:val="00521F32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5F7966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A60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25D0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24D20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C733B"/>
    <w:rsid w:val="00BE0597"/>
    <w:rsid w:val="00BF0760"/>
    <w:rsid w:val="00BF6015"/>
    <w:rsid w:val="00C03D23"/>
    <w:rsid w:val="00C053CE"/>
    <w:rsid w:val="00C15CD2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474A"/>
    <w:rsid w:val="00CD7A6A"/>
    <w:rsid w:val="00CF0EAB"/>
    <w:rsid w:val="00CF20BD"/>
    <w:rsid w:val="00CF2BB3"/>
    <w:rsid w:val="00D00ADB"/>
    <w:rsid w:val="00D31DD1"/>
    <w:rsid w:val="00D33C98"/>
    <w:rsid w:val="00D44C92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114C"/>
    <w:rsid w:val="00E15821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D2290"/>
    <w:rsid w:val="00EE16A4"/>
    <w:rsid w:val="00EE35CE"/>
    <w:rsid w:val="00EE4C5D"/>
    <w:rsid w:val="00EE4D3F"/>
    <w:rsid w:val="00EE59DD"/>
    <w:rsid w:val="00EE7535"/>
    <w:rsid w:val="00EF3E38"/>
    <w:rsid w:val="00F02B09"/>
    <w:rsid w:val="00F04BE0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8325F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6FD3E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uiPriority w:val="99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1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uiPriority w:val="99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uiPriority w:val="99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uiPriority w:val="99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1E18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2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1E1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9"/>
    <w:rsid w:val="00521F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CommentSubjectChar">
    <w:name w:val="Comment Subject Char"/>
    <w:basedOn w:val="DefaultParagraphFont"/>
    <w:link w:val="CommentSubject"/>
    <w:semiHidden/>
    <w:rsid w:val="00521F32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11E18"/>
    <w:rPr>
      <w:rFonts w:ascii="Arial" w:hAnsi="Arial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11E18"/>
    <w:rPr>
      <w:rFonts w:ascii="Arial" w:hAnsi="Arial"/>
      <w:i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F260-F1D6-4B32-823A-5D7C02A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2</TotalTime>
  <Pages>2</Pages>
  <Words>437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3115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5</cp:revision>
  <cp:lastPrinted>2019-11-28T02:05:00Z</cp:lastPrinted>
  <dcterms:created xsi:type="dcterms:W3CDTF">2019-12-05T20:46:00Z</dcterms:created>
  <dcterms:modified xsi:type="dcterms:W3CDTF">2019-12-09T20:19:00Z</dcterms:modified>
</cp:coreProperties>
</file>