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3"/>
        <w:gridCol w:w="3785"/>
      </w:tblGrid>
      <w:tr w:rsidR="00D70D97" w:rsidRPr="003406FB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C63F2C" w:rsidRPr="00A2222E" w:rsidRDefault="00C63F2C" w:rsidP="00C63F2C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_NCAMP_ NMDS_WIESNZ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_v</w:t>
            </w:r>
            <w:r w:rsidR="00630D8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.0</w:t>
            </w:r>
          </w:p>
          <w:p w:rsidR="00D70D9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DA019D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Implementation of 20</w:t>
            </w:r>
            <w:r w:rsidR="00C63F2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 w:rsidR="00C63F2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New Zealand </w:t>
            </w:r>
            <w:proofErr w:type="spellStart"/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Casemix</w:t>
            </w:r>
            <w:proofErr w:type="spellEnd"/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Framework for Publicly Funded Hospitals Weighted Inlier Equivalent Separations (WIESNZ</w:t>
            </w:r>
            <w:r w:rsidR="00C63F2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) methodology and </w:t>
            </w:r>
            <w:proofErr w:type="spellStart"/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casemix</w:t>
            </w:r>
            <w:proofErr w:type="spellEnd"/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purchase unit allocation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C96FAB" w:rsidRPr="00A2222E" w:rsidRDefault="00C63F2C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This change notification informs the sector that the Ministry will implement the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New Zealand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Casemix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Framework for Publicly Funded Hospitals (WIESNZ</w:t>
            </w:r>
            <w:r w:rsidR="00EA455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) developed by the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Casemix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Project Group for NMDS event records with an event end date on or after 01 July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3406FB" w:rsidRDefault="00A71D26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National Minimum Data Set (NMDS)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DB71BA" w:rsidRPr="00A2222E" w:rsidRDefault="00C63F2C" w:rsidP="003406F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WIESNZ is the methodology used to calculate the Cost Weight value based on the assigned Australian Refined Diagnosis Related Groups (AR-DRGs) and New Zealand costs. Revisions and implementation of WIESNZ are performed annually as part of the National Costing Collection Programme (NCCP) and NCAMP</w:t>
            </w:r>
            <w:r w:rsidRPr="00A222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WIESNZ20 is based on ICD-10-AM/ACHI 8th Edition and AR-DRG v7.0. 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ICD-10-AM/ACHI 11th Edition was implemented 1 July 2019, however, not all DHBs upgraded 1 July 2019.  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Events coded in ICD-10-AM/ACHI 11th Edition will have their codes back-mapped to ICD-10-AM/ACHI 8th Edition which are then used to derive AR-DRG7.0. Exclusion rules are based on ICD-10-AM/ACHI 8th Edition coding and AR-DRG v7.0.  The framework associated with WIESNZ20 is the same as WIESNZ19 except for the following: 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72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·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Revised definition of the NZ DRG B02W for stroke clot retrieval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72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·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 xml:space="preserve">Retired co-payment for isolated limb infusion 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72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·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New co-payments for: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Gender affirming surgery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Cardiac lead extraction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72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·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Revised co-payment values for: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Abdominal aortic aneurysm (AAA)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 xml:space="preserve">Atrial septal defect (ASD) 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 xml:space="preserve">Scoliosis  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Live donor nephrectomy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Ventricular assist devices (VADs)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Complex traumatic limb cases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Bilateral mastectomy or combined mastectomy and reconstruction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72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·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Revised bilateral mastectomy or combined mastectomy and reconstruction co-payment to include DRG J14Z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72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·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 xml:space="preserve">New exclusion rule for transrectal ultrasound (TRUS) guided biopsy of prostate and </w:t>
            </w:r>
            <w:proofErr w:type="spellStart"/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transperineal</w:t>
            </w:r>
            <w:proofErr w:type="spellEnd"/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(TPA) biopsy of prostate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72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·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Revised exclusion rules: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Rhesus isoimmunisation and other isoimmunisation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Peritoneal dialysis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Renal haemodialysis</w:t>
            </w:r>
          </w:p>
          <w:p w:rsidR="00E03553" w:rsidRPr="00E03553" w:rsidRDefault="00E03553" w:rsidP="00E03553">
            <w:pPr>
              <w:autoSpaceDE w:val="0"/>
              <w:autoSpaceDN w:val="0"/>
              <w:adjustRightInd w:val="0"/>
              <w:ind w:left="1440" w:hanging="36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</w:t>
            </w:r>
            <w:r w:rsidRPr="00E0355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ab/>
              <w:t>Same day radiotherapy</w:t>
            </w:r>
            <w:bookmarkStart w:id="0" w:name="_GoBack"/>
            <w:bookmarkEnd w:id="0"/>
          </w:p>
          <w:p w:rsidR="005C17EA" w:rsidRPr="00E03553" w:rsidRDefault="00E03553" w:rsidP="00E03553">
            <w:pPr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lastRenderedPageBreak/>
              <w:t>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ab/>
            </w:r>
            <w:r>
              <w:rPr>
                <w:rFonts w:ascii="Calibri" w:hAnsi="Calibri" w:cs="Calibri"/>
                <w:color w:val="2F2F2F"/>
                <w:sz w:val="22"/>
                <w:szCs w:val="22"/>
                <w:lang w:val="en-NZ" w:eastAsia="en-NZ"/>
              </w:rPr>
              <w:t xml:space="preserve">New health specialty codes P39 </w:t>
            </w:r>
            <w:r>
              <w:rPr>
                <w:rFonts w:ascii="Calibri" w:hAnsi="Calibri" w:cs="Calibri"/>
                <w:i/>
                <w:iCs/>
                <w:color w:val="2F2F2F"/>
                <w:sz w:val="22"/>
                <w:szCs w:val="22"/>
                <w:lang w:val="en-NZ" w:eastAsia="en-NZ"/>
              </w:rPr>
              <w:t xml:space="preserve">Maternal </w:t>
            </w:r>
            <w:proofErr w:type="spellStart"/>
            <w:r>
              <w:rPr>
                <w:rFonts w:ascii="Calibri" w:hAnsi="Calibri" w:cs="Calibri"/>
                <w:i/>
                <w:iCs/>
                <w:color w:val="2F2F2F"/>
                <w:sz w:val="22"/>
                <w:szCs w:val="22"/>
                <w:lang w:val="en-NZ" w:eastAsia="en-NZ"/>
              </w:rPr>
              <w:t>Fetal</w:t>
            </w:r>
            <w:proofErr w:type="spellEnd"/>
            <w:r>
              <w:rPr>
                <w:rFonts w:ascii="Calibri" w:hAnsi="Calibri" w:cs="Calibri"/>
                <w:i/>
                <w:iCs/>
                <w:color w:val="2F2F2F"/>
                <w:sz w:val="22"/>
                <w:szCs w:val="22"/>
                <w:lang w:val="en-NZ" w:eastAsia="en-NZ"/>
              </w:rPr>
              <w:t xml:space="preserve"> Medicine Services </w:t>
            </w:r>
            <w:r>
              <w:rPr>
                <w:rFonts w:ascii="Calibri" w:hAnsi="Calibri" w:cs="Calibri"/>
                <w:color w:val="2F2F2F"/>
                <w:sz w:val="22"/>
                <w:szCs w:val="22"/>
                <w:lang w:val="en-NZ" w:eastAsia="en-NZ"/>
              </w:rPr>
              <w:t xml:space="preserve">and S44 </w:t>
            </w:r>
            <w:r>
              <w:rPr>
                <w:rFonts w:ascii="Calibri" w:hAnsi="Calibri" w:cs="Calibri"/>
                <w:i/>
                <w:iCs/>
                <w:color w:val="2F2F2F"/>
                <w:sz w:val="22"/>
                <w:szCs w:val="22"/>
                <w:lang w:val="en-NZ" w:eastAsia="en-NZ"/>
              </w:rPr>
              <w:t>Orthopaedic spinal surgery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lastRenderedPageBreak/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C63F2C" w:rsidRPr="00A2222E" w:rsidRDefault="00C63F2C" w:rsidP="00C63F2C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Ministry will provide 3M H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ealth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nformation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ystems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with the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Casemix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Framework document so the methodology and weight schedule for WIESNZ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can be developed into the 3M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Codefinder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application.</w:t>
            </w:r>
          </w:p>
          <w:p w:rsidR="00DD244A" w:rsidRPr="003406FB" w:rsidRDefault="00C63F2C" w:rsidP="00C63F2C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DHBs that have their own grouping/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costweight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systems/applications will need to update these to reflect the changes in the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Casemix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Framework document (WIESNZ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). Otherwise there are no expected changes for the sector.</w:t>
            </w: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A2222E" w:rsidRDefault="00C63F2C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As the Ministry are the official calculators of the Diagnosis Related Groups (DRGs) and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caseweights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the NMDS will be updated to calculate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caseweights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, NZ-DRGs and excluded purchase units.  The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Casemix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Framework will be available for NMDS event records with an event end date on or after 01 July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3406FB" w:rsidRDefault="00D70D97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630D8D" w:rsidRPr="003F7333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2C" w:rsidRDefault="00C63F2C" w:rsidP="00FA49DF">
      <w:pPr>
        <w:pStyle w:val="TableText"/>
      </w:pPr>
      <w:r>
        <w:separator/>
      </w:r>
    </w:p>
  </w:endnote>
  <w:endnote w:type="continuationSeparator" w:id="0">
    <w:p w:rsidR="00C63F2C" w:rsidRDefault="00C63F2C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948"/>
      <w:gridCol w:w="5274"/>
      <w:gridCol w:w="1416"/>
    </w:tblGrid>
    <w:tr w:rsidR="00922EDC" w:rsidRPr="00E036EE" w:rsidTr="00E036EE">
      <w:tc>
        <w:tcPr>
          <w:tcW w:w="3008" w:type="dxa"/>
          <w:tcBorders>
            <w:top w:val="single" w:sz="8" w:space="0" w:color="auto"/>
          </w:tcBorders>
          <w:shd w:val="clear" w:color="auto" w:fill="auto"/>
        </w:tcPr>
        <w:p w:rsidR="00922EDC" w:rsidRPr="00DA019D" w:rsidRDefault="00922EDC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DA019D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DA019D" w:rsidRPr="00DA019D">
            <w:rPr>
              <w:rFonts w:ascii="Arial" w:hAnsi="Arial" w:cs="Arial"/>
              <w:b/>
              <w:sz w:val="18"/>
              <w:szCs w:val="18"/>
            </w:rPr>
            <w:t>11</w:t>
          </w:r>
          <w:r w:rsidR="00D475AD" w:rsidRPr="00DA019D">
            <w:rPr>
              <w:rFonts w:ascii="Arial" w:hAnsi="Arial" w:cs="Arial"/>
              <w:b/>
              <w:sz w:val="18"/>
              <w:szCs w:val="18"/>
            </w:rPr>
            <w:t>/1</w:t>
          </w:r>
          <w:r w:rsidR="00DA019D" w:rsidRPr="00DA019D">
            <w:rPr>
              <w:rFonts w:ascii="Arial" w:hAnsi="Arial" w:cs="Arial"/>
              <w:b/>
              <w:sz w:val="18"/>
              <w:szCs w:val="18"/>
            </w:rPr>
            <w:t>2</w:t>
          </w:r>
          <w:r w:rsidR="00D475AD" w:rsidRPr="00DA019D">
            <w:rPr>
              <w:rFonts w:ascii="Arial" w:hAnsi="Arial" w:cs="Arial"/>
              <w:b/>
              <w:sz w:val="18"/>
              <w:szCs w:val="18"/>
            </w:rPr>
            <w:t>/20</w:t>
          </w:r>
          <w:r w:rsidR="001001D2" w:rsidRPr="00DA019D">
            <w:rPr>
              <w:rFonts w:ascii="Arial" w:hAnsi="Arial" w:cs="Arial"/>
              <w:b/>
              <w:sz w:val="18"/>
              <w:szCs w:val="18"/>
            </w:rPr>
            <w:t>19</w:t>
          </w:r>
        </w:p>
      </w:tc>
      <w:tc>
        <w:tcPr>
          <w:tcW w:w="5400" w:type="dxa"/>
          <w:tcBorders>
            <w:top w:val="single" w:sz="8" w:space="0" w:color="auto"/>
          </w:tcBorders>
          <w:shd w:val="clear" w:color="auto" w:fill="auto"/>
        </w:tcPr>
        <w:p w:rsidR="00630D8D" w:rsidRPr="00193C47" w:rsidRDefault="00630D8D" w:rsidP="00630D8D">
          <w:pPr>
            <w:rPr>
              <w:rFonts w:ascii="Arial" w:hAnsi="Arial" w:cs="Arial"/>
              <w:bCs/>
              <w:sz w:val="18"/>
              <w:szCs w:val="18"/>
              <w:lang w:val="en-NZ"/>
            </w:rPr>
          </w:pPr>
          <w:r w:rsidRPr="00193C47">
            <w:rPr>
              <w:rFonts w:ascii="Arial" w:hAnsi="Arial" w:cs="Arial"/>
              <w:bCs/>
              <w:sz w:val="18"/>
              <w:szCs w:val="18"/>
              <w:lang w:val="en-NZ"/>
            </w:rPr>
            <w:t>cn_2020_NCAMP_ NMDS_WIESNZ20_v2.0</w:t>
          </w:r>
        </w:p>
        <w:p w:rsidR="00922EDC" w:rsidRPr="00193C47" w:rsidRDefault="00922EDC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47" w:type="dxa"/>
          <w:tcBorders>
            <w:top w:val="single" w:sz="8" w:space="0" w:color="auto"/>
          </w:tcBorders>
          <w:shd w:val="clear" w:color="auto" w:fill="auto"/>
        </w:tcPr>
        <w:p w:rsidR="00922EDC" w:rsidRPr="00E036EE" w:rsidRDefault="00922ED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22EDC" w:rsidRDefault="00922ED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2C" w:rsidRDefault="00C63F2C" w:rsidP="00FA49DF">
      <w:pPr>
        <w:pStyle w:val="TableText"/>
      </w:pPr>
      <w:r>
        <w:separator/>
      </w:r>
    </w:p>
  </w:footnote>
  <w:footnote w:type="continuationSeparator" w:id="0">
    <w:p w:rsidR="00C63F2C" w:rsidRDefault="00C63F2C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01D2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93C47"/>
    <w:rsid w:val="001A4F87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3555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F20C6"/>
    <w:rsid w:val="004F4C25"/>
    <w:rsid w:val="004F4E85"/>
    <w:rsid w:val="004F772D"/>
    <w:rsid w:val="004F7836"/>
    <w:rsid w:val="005030D4"/>
    <w:rsid w:val="00506CDB"/>
    <w:rsid w:val="005128C3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D8D"/>
    <w:rsid w:val="00630EB1"/>
    <w:rsid w:val="006419CC"/>
    <w:rsid w:val="00644EF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630C3"/>
    <w:rsid w:val="00C63F2C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019D"/>
    <w:rsid w:val="00DA624A"/>
    <w:rsid w:val="00DB051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553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9791A"/>
    <w:rsid w:val="00EA455E"/>
    <w:rsid w:val="00EB01F2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63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7748-43C3-4A43-AD01-62A05124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17</TotalTime>
  <Pages>2</Pages>
  <Words>495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3449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8</cp:revision>
  <cp:lastPrinted>2018-11-28T03:07:00Z</cp:lastPrinted>
  <dcterms:created xsi:type="dcterms:W3CDTF">2019-10-16T22:57:00Z</dcterms:created>
  <dcterms:modified xsi:type="dcterms:W3CDTF">2019-12-09T20:10:00Z</dcterms:modified>
</cp:coreProperties>
</file>