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9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6120"/>
        <w:gridCol w:w="3779"/>
      </w:tblGrid>
      <w:tr w:rsidR="00D70D97" w:rsidRPr="003406FB" w:rsidTr="0012008D">
        <w:tc>
          <w:tcPr>
            <w:tcW w:w="6120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055E2A" w:rsidRPr="00DB0848" w:rsidRDefault="00055E2A" w:rsidP="00055E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cn_2020_NCAMP_</w:t>
            </w:r>
            <w:bookmarkStart w:id="0" w:name="_Toc512601209"/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NMDS_</w:t>
            </w:r>
            <w:r w:rsidRP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Increase length of Diagnosis/procedure description</w:t>
            </w:r>
            <w:bookmarkEnd w:id="0"/>
            <w:r w:rsidRP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field</w:t>
            </w:r>
            <w:r w:rsidR="00BB680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12008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v2.0</w:t>
            </w:r>
          </w:p>
          <w:p w:rsidR="00055E2A" w:rsidRDefault="00055E2A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5C3D29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055E2A" w:rsidRPr="00055E2A" w:rsidRDefault="00D70D97" w:rsidP="00055E2A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055E2A" w:rsidRP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Increase length of </w:t>
            </w:r>
            <w:r w:rsidR="0082199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NMDS </w:t>
            </w:r>
            <w:r w:rsidR="00055E2A" w:rsidRP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Diagnosis/procedure description field</w:t>
            </w:r>
          </w:p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C96FAB" w:rsidRPr="00A2222E" w:rsidRDefault="00821998" w:rsidP="00055E2A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This change notification advises the sector of the i</w:t>
            </w:r>
            <w:r w:rsidR="00055E2A" w:rsidRP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ncrease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in </w:t>
            </w:r>
            <w:r w:rsidR="00055E2A" w:rsidRP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length of Diagnosis/procedure description field</w:t>
            </w:r>
            <w:r w:rsid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in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the </w:t>
            </w:r>
            <w:r w:rsid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N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ational </w:t>
            </w:r>
            <w:r w:rsid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inimum </w:t>
            </w:r>
            <w:r w:rsid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D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ata </w:t>
            </w:r>
            <w:r w:rsidR="00055E2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et.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055E2A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B16717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A71D26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National Minimum Data Set (NMDS)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DB71BA" w:rsidRPr="00A2222E" w:rsidRDefault="00D2635B" w:rsidP="003406F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D2635B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A request has been received to increase the diagnosis/procedure description field from 100 to 200 characters</w:t>
            </w:r>
            <w:r w:rsidR="00EC09B6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because there are some ICD-10-AM 11</w:t>
            </w:r>
            <w:r w:rsidR="00EC09B6" w:rsidRPr="00EC09B6">
              <w:rPr>
                <w:rFonts w:ascii="Segoe UI" w:hAnsi="Segoe UI" w:cs="Segoe UI"/>
                <w:bCs/>
                <w:sz w:val="20"/>
                <w:szCs w:val="20"/>
                <w:vertAlign w:val="superscript"/>
                <w:lang w:eastAsia="en-US"/>
              </w:rPr>
              <w:t>th</w:t>
            </w:r>
            <w:r w:rsidR="00EC09B6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edition code descriptions that are longer than 100 characters. </w:t>
            </w:r>
            <w:r w:rsidRPr="00D2635B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Increasing the field to 200 characters will accommodate longer code descriptors and facilitate the ability to be more descriptive when reporting clinical information.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:rsidR="00EC09B6" w:rsidRPr="00EC09B6" w:rsidRDefault="00055E2A" w:rsidP="00827B8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1202" w:hanging="567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 w:rsidRPr="00DB0848">
              <w:rPr>
                <w:rFonts w:ascii="Calibri" w:hAnsi="Calibri" w:cs="Calibri"/>
              </w:rPr>
              <w:t>Increase length</w:t>
            </w:r>
            <w:r>
              <w:rPr>
                <w:rFonts w:ascii="Calibri" w:hAnsi="Calibri" w:cs="Calibri"/>
              </w:rPr>
              <w:t xml:space="preserve"> </w:t>
            </w:r>
            <w:r w:rsidRPr="00DB0848">
              <w:rPr>
                <w:rFonts w:ascii="Calibri" w:hAnsi="Calibri" w:cs="Calibri"/>
              </w:rPr>
              <w:t>of Diagnosis/procedure description field</w:t>
            </w:r>
            <w:r>
              <w:rPr>
                <w:rFonts w:ascii="Calibri" w:hAnsi="Calibri" w:cs="Calibri"/>
              </w:rPr>
              <w:t xml:space="preserve"> </w:t>
            </w:r>
            <w:r w:rsidRPr="00DB0848">
              <w:rPr>
                <w:rFonts w:ascii="Calibri" w:hAnsi="Calibri" w:cs="Calibri"/>
              </w:rPr>
              <w:t xml:space="preserve">to varchar 200 in the </w:t>
            </w:r>
            <w:r w:rsidR="00D2635B">
              <w:rPr>
                <w:rFonts w:ascii="Calibri" w:hAnsi="Calibri" w:cs="Calibri"/>
              </w:rPr>
              <w:t xml:space="preserve">NMDS </w:t>
            </w:r>
            <w:r w:rsidR="00EC09B6">
              <w:rPr>
                <w:rFonts w:ascii="Calibri" w:hAnsi="Calibri" w:cs="Calibri"/>
              </w:rPr>
              <w:t>load file</w:t>
            </w:r>
            <w:r w:rsidR="00CC1429">
              <w:rPr>
                <w:rFonts w:ascii="Calibri" w:hAnsi="Calibri" w:cs="Calibri"/>
              </w:rPr>
              <w:t xml:space="preserve"> format</w:t>
            </w:r>
          </w:p>
          <w:p w:rsidR="00EC09B6" w:rsidRPr="00CC1429" w:rsidRDefault="00EC09B6" w:rsidP="00827B8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1202" w:hanging="567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>
              <w:rPr>
                <w:rFonts w:ascii="Calibri" w:hAnsi="Calibri" w:cs="Calibri"/>
              </w:rPr>
              <w:t>Increase length of Diagnosis/procedure description field in the NMDS transactional table</w:t>
            </w:r>
            <w:r w:rsidR="00CC1429">
              <w:rPr>
                <w:rFonts w:ascii="Calibri" w:hAnsi="Calibri" w:cs="Calibri"/>
              </w:rPr>
              <w:t>s</w:t>
            </w:r>
          </w:p>
          <w:p w:rsidR="00CC1429" w:rsidRPr="00EC09B6" w:rsidRDefault="00CC1429" w:rsidP="00827B8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1202" w:hanging="567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>
              <w:rPr>
                <w:rFonts w:ascii="Calibri" w:hAnsi="Calibri" w:cs="Calibri"/>
              </w:rPr>
              <w:t>Change the warehouse load scripts to accommodate the change in size of this field.</w:t>
            </w:r>
          </w:p>
          <w:p w:rsidR="00EC09B6" w:rsidRPr="00CC1429" w:rsidRDefault="00EC09B6" w:rsidP="00CC1429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1202" w:hanging="567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>
              <w:rPr>
                <w:rFonts w:ascii="Calibri" w:hAnsi="Calibri" w:cs="Calibri"/>
              </w:rPr>
              <w:t xml:space="preserve">Increase length of Diagnosis/procedure description field in the NMDS tables and </w:t>
            </w:r>
            <w:r w:rsidR="00CC1429">
              <w:rPr>
                <w:rFonts w:ascii="Calibri" w:hAnsi="Calibri" w:cs="Calibri"/>
              </w:rPr>
              <w:t xml:space="preserve">automated </w:t>
            </w:r>
            <w:r>
              <w:rPr>
                <w:rFonts w:ascii="Calibri" w:hAnsi="Calibri" w:cs="Calibri"/>
              </w:rPr>
              <w:t>reports</w:t>
            </w:r>
            <w:r w:rsidR="00CC1429">
              <w:rPr>
                <w:rFonts w:ascii="Calibri" w:hAnsi="Calibri" w:cs="Calibri"/>
              </w:rPr>
              <w:t xml:space="preserve"> from</w:t>
            </w:r>
            <w:r>
              <w:rPr>
                <w:rFonts w:ascii="Calibri" w:hAnsi="Calibri" w:cs="Calibri"/>
              </w:rPr>
              <w:t xml:space="preserve"> the warehouse 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EC09B6" w:rsidRDefault="00D2635B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D2635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Increase length of Diagnosis/procedure description field to varchar 200 in the NMDS </w:t>
            </w:r>
            <w:r w:rsidR="00EC09B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load file format.  </w:t>
            </w:r>
            <w:r w:rsidR="00CC14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Make whatever changes are needed for this to be populated with up to 200 characters. </w:t>
            </w:r>
          </w:p>
          <w:p w:rsidR="00DD244A" w:rsidRPr="003406FB" w:rsidRDefault="00DD244A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D2635B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NMDS will be able to accept description of up to 200 charactors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3406FB" w:rsidRDefault="00D70D97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12008D" w:rsidRPr="00D23529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  <w:bookmarkStart w:id="1" w:name="_GoBack"/>
      <w:bookmarkEnd w:id="1"/>
    </w:p>
    <w:sectPr w:rsidR="00023664" w:rsidRPr="00F74208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E2A" w:rsidRDefault="00055E2A" w:rsidP="00FA49DF">
      <w:pPr>
        <w:pStyle w:val="TableText"/>
      </w:pPr>
      <w:r>
        <w:separator/>
      </w:r>
    </w:p>
  </w:endnote>
  <w:endnote w:type="continuationSeparator" w:id="0">
    <w:p w:rsidR="00055E2A" w:rsidRDefault="00055E2A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9" w:type="dxa"/>
      <w:tblLook w:val="00A0" w:firstRow="1" w:lastRow="0" w:firstColumn="1" w:lastColumn="0" w:noHBand="0" w:noVBand="0"/>
    </w:tblPr>
    <w:tblGrid>
      <w:gridCol w:w="1980"/>
      <w:gridCol w:w="6480"/>
      <w:gridCol w:w="1409"/>
    </w:tblGrid>
    <w:tr w:rsidR="00922EDC" w:rsidRPr="00E036EE" w:rsidTr="0012008D">
      <w:tc>
        <w:tcPr>
          <w:tcW w:w="1980" w:type="dxa"/>
          <w:tcBorders>
            <w:top w:val="single" w:sz="8" w:space="0" w:color="auto"/>
          </w:tcBorders>
          <w:shd w:val="clear" w:color="auto" w:fill="auto"/>
        </w:tcPr>
        <w:p w:rsidR="00922EDC" w:rsidRPr="00E036EE" w:rsidRDefault="00922EDC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5C3D29">
            <w:rPr>
              <w:rFonts w:ascii="Arial" w:hAnsi="Arial" w:cs="Arial"/>
              <w:b/>
              <w:sz w:val="18"/>
              <w:szCs w:val="18"/>
            </w:rPr>
            <w:t>11</w:t>
          </w:r>
          <w:r w:rsidR="00D475AD"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5C3D29">
            <w:rPr>
              <w:rFonts w:ascii="Arial" w:hAnsi="Arial" w:cs="Arial"/>
              <w:b/>
              <w:sz w:val="18"/>
              <w:szCs w:val="18"/>
            </w:rPr>
            <w:t>2</w:t>
          </w:r>
          <w:r w:rsidR="00D475AD" w:rsidRPr="00D475AD">
            <w:rPr>
              <w:rFonts w:ascii="Arial" w:hAnsi="Arial" w:cs="Arial"/>
              <w:b/>
              <w:sz w:val="18"/>
              <w:szCs w:val="18"/>
            </w:rPr>
            <w:t>/201</w:t>
          </w:r>
          <w:r w:rsidR="005C3D29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6480" w:type="dxa"/>
          <w:tcBorders>
            <w:top w:val="single" w:sz="8" w:space="0" w:color="auto"/>
          </w:tcBorders>
          <w:shd w:val="clear" w:color="auto" w:fill="auto"/>
        </w:tcPr>
        <w:p w:rsidR="0012008D" w:rsidRPr="00BB6800" w:rsidRDefault="0012008D" w:rsidP="0012008D">
          <w:pPr>
            <w:autoSpaceDE w:val="0"/>
            <w:autoSpaceDN w:val="0"/>
            <w:adjustRightInd w:val="0"/>
            <w:rPr>
              <w:rFonts w:ascii="Arial" w:hAnsi="Arial" w:cs="Arial"/>
              <w:sz w:val="18"/>
              <w:szCs w:val="18"/>
            </w:rPr>
          </w:pPr>
          <w:r w:rsidRPr="00BB6800">
            <w:rPr>
              <w:rFonts w:ascii="Arial" w:hAnsi="Arial" w:cs="Arial"/>
              <w:bCs/>
              <w:sz w:val="18"/>
              <w:szCs w:val="18"/>
              <w:lang w:val="en-NZ"/>
            </w:rPr>
            <w:t>cn_2020_NCAMP_NMDS_Increase length of Diagnosis/procedure description field</w:t>
          </w:r>
          <w:r w:rsidR="00BB6800" w:rsidRPr="00BB6800">
            <w:rPr>
              <w:rFonts w:ascii="Arial" w:hAnsi="Arial" w:cs="Arial"/>
              <w:bCs/>
              <w:sz w:val="18"/>
              <w:szCs w:val="18"/>
              <w:lang w:val="en-NZ"/>
            </w:rPr>
            <w:t>_</w:t>
          </w:r>
          <w:r w:rsidRPr="00BB6800">
            <w:rPr>
              <w:rFonts w:ascii="Arial" w:hAnsi="Arial" w:cs="Arial"/>
              <w:bCs/>
              <w:sz w:val="18"/>
              <w:szCs w:val="18"/>
              <w:lang w:val="en-NZ"/>
            </w:rPr>
            <w:t>v2.0</w:t>
          </w:r>
        </w:p>
        <w:p w:rsidR="00922EDC" w:rsidRPr="00E036EE" w:rsidRDefault="00922EDC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09" w:type="dxa"/>
          <w:tcBorders>
            <w:top w:val="single" w:sz="8" w:space="0" w:color="auto"/>
          </w:tcBorders>
          <w:shd w:val="clear" w:color="auto" w:fill="auto"/>
        </w:tcPr>
        <w:p w:rsidR="00922EDC" w:rsidRPr="00E036EE" w:rsidRDefault="00922ED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22EDC" w:rsidRDefault="00922ED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E2A" w:rsidRDefault="00055E2A" w:rsidP="00FA49DF">
      <w:pPr>
        <w:pStyle w:val="TableText"/>
      </w:pPr>
      <w:r>
        <w:separator/>
      </w:r>
    </w:p>
  </w:footnote>
  <w:footnote w:type="continuationSeparator" w:id="0">
    <w:p w:rsidR="00055E2A" w:rsidRDefault="00055E2A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55E2A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075C"/>
    <w:rsid w:val="00115BAE"/>
    <w:rsid w:val="0012008D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09B5"/>
    <w:rsid w:val="004A797E"/>
    <w:rsid w:val="004B1C3F"/>
    <w:rsid w:val="004B3CB2"/>
    <w:rsid w:val="004D277B"/>
    <w:rsid w:val="004F20C6"/>
    <w:rsid w:val="004F4C25"/>
    <w:rsid w:val="004F4E85"/>
    <w:rsid w:val="004F772D"/>
    <w:rsid w:val="004F7836"/>
    <w:rsid w:val="005030D4"/>
    <w:rsid w:val="00506CDB"/>
    <w:rsid w:val="005128C3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C3D29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1998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B6800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429"/>
    <w:rsid w:val="00CC1F1C"/>
    <w:rsid w:val="00CC20CB"/>
    <w:rsid w:val="00CD474A"/>
    <w:rsid w:val="00CD7A6A"/>
    <w:rsid w:val="00CF0EAB"/>
    <w:rsid w:val="00CF20BD"/>
    <w:rsid w:val="00CF2BB3"/>
    <w:rsid w:val="00D00ADB"/>
    <w:rsid w:val="00D2635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9791A"/>
    <w:rsid w:val="00EB01F2"/>
    <w:rsid w:val="00EC09B6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A3D78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2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24A1-54B8-48F2-9F73-2F003313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12</TotalTime>
  <Pages>1</Pages>
  <Words>248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1822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6</cp:revision>
  <cp:lastPrinted>2018-11-28T03:07:00Z</cp:lastPrinted>
  <dcterms:created xsi:type="dcterms:W3CDTF">2019-12-05T20:21:00Z</dcterms:created>
  <dcterms:modified xsi:type="dcterms:W3CDTF">2019-12-09T20:16:00Z</dcterms:modified>
</cp:coreProperties>
</file>