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NZ"/>
        </w:rPr>
        <w:id w:val="797177477"/>
        <w:docPartObj>
          <w:docPartGallery w:val="Cover Pages"/>
          <w:docPartUnique/>
        </w:docPartObj>
      </w:sdtPr>
      <w:sdtEndPr/>
      <w:sdtContent>
        <w:p w14:paraId="485AD620" w14:textId="175F4EC0" w:rsidR="00EB3422" w:rsidRPr="00613DE5" w:rsidRDefault="00315CFC" w:rsidP="00EB3422">
          <w:pPr>
            <w:rPr>
              <w:lang w:val="en-NZ"/>
            </w:rPr>
          </w:pPr>
          <w:r w:rsidRPr="00613DE5">
            <w:rPr>
              <w:noProof/>
              <w:color w:val="2B579A"/>
              <w:shd w:val="clear" w:color="auto" w:fill="E6E6E6"/>
              <w:lang w:val="en-NZ"/>
            </w:rPr>
            <w:drawing>
              <wp:anchor distT="0" distB="0" distL="114300" distR="114300" simplePos="0" relativeHeight="251658242" behindDoc="1" locked="0" layoutInCell="1" allowOverlap="1" wp14:anchorId="3E5CE4BB" wp14:editId="69A88C52">
                <wp:simplePos x="0" y="0"/>
                <wp:positionH relativeFrom="page">
                  <wp:align>left</wp:align>
                </wp:positionH>
                <wp:positionV relativeFrom="paragraph">
                  <wp:posOffset>-987331</wp:posOffset>
                </wp:positionV>
                <wp:extent cx="7581900" cy="10757442"/>
                <wp:effectExtent l="0" t="0" r="0" b="635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81900" cy="10757442"/>
                        </a:xfrm>
                        <a:prstGeom prst="rect">
                          <a:avLst/>
                        </a:prstGeom>
                      </pic:spPr>
                    </pic:pic>
                  </a:graphicData>
                </a:graphic>
                <wp14:sizeRelH relativeFrom="margin">
                  <wp14:pctWidth>0</wp14:pctWidth>
                </wp14:sizeRelH>
                <wp14:sizeRelV relativeFrom="margin">
                  <wp14:pctHeight>0</wp14:pctHeight>
                </wp14:sizeRelV>
              </wp:anchor>
            </w:drawing>
          </w:r>
        </w:p>
        <w:p w14:paraId="3847CA0A" w14:textId="7D81558F" w:rsidR="00EB3422" w:rsidRPr="00613DE5" w:rsidRDefault="00A8587B" w:rsidP="00EB3422">
          <w:pPr>
            <w:rPr>
              <w:lang w:val="en-NZ"/>
            </w:rPr>
          </w:pPr>
          <w:r w:rsidRPr="00613DE5">
            <w:rPr>
              <w:rFonts w:eastAsia="Roboto"/>
              <w:noProof/>
              <w:color w:val="2B579A"/>
              <w:shd w:val="clear" w:color="auto" w:fill="E6E6E6"/>
              <w:lang w:val="en-NZ"/>
            </w:rPr>
            <mc:AlternateContent>
              <mc:Choice Requires="wps">
                <w:drawing>
                  <wp:anchor distT="45720" distB="45720" distL="114300" distR="114300" simplePos="0" relativeHeight="251658241" behindDoc="0" locked="0" layoutInCell="1" allowOverlap="1" wp14:anchorId="0B1EB41C" wp14:editId="70B45D74">
                    <wp:simplePos x="0" y="0"/>
                    <wp:positionH relativeFrom="margin">
                      <wp:posOffset>-400050</wp:posOffset>
                    </wp:positionH>
                    <wp:positionV relativeFrom="paragraph">
                      <wp:posOffset>5935345</wp:posOffset>
                    </wp:positionV>
                    <wp:extent cx="5420360" cy="1483995"/>
                    <wp:effectExtent l="0" t="0" r="0" b="1905"/>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1483995"/>
                            </a:xfrm>
                            <a:prstGeom prst="rect">
                              <a:avLst/>
                            </a:prstGeom>
                            <a:noFill/>
                            <a:ln w="9525">
                              <a:noFill/>
                              <a:miter lim="800000"/>
                              <a:headEnd/>
                              <a:tailEnd/>
                            </a:ln>
                          </wps:spPr>
                          <wps:txbx>
                            <w:txbxContent>
                              <w:p w14:paraId="2407F52A" w14:textId="388E0309" w:rsidR="00EB3422" w:rsidRPr="00EB3422" w:rsidRDefault="005B5664" w:rsidP="00EB3422">
                                <w:pPr>
                                  <w:rPr>
                                    <w:rFonts w:ascii="Poppins" w:hAnsi="Poppins" w:cs="Poppins"/>
                                    <w:color w:val="F6F4EC" w:themeColor="background1"/>
                                    <w:sz w:val="56"/>
                                    <w:szCs w:val="56"/>
                                  </w:rPr>
                                </w:pPr>
                                <w:r>
                                  <w:rPr>
                                    <w:rFonts w:ascii="Poppins" w:hAnsi="Poppins" w:cs="Poppins"/>
                                    <w:color w:val="F6F4EC" w:themeColor="background1"/>
                                    <w:sz w:val="56"/>
                                    <w:szCs w:val="56"/>
                                  </w:rPr>
                                  <w:t xml:space="preserve">October </w:t>
                                </w:r>
                                <w:r w:rsidR="002F485D">
                                  <w:rPr>
                                    <w:rFonts w:ascii="Poppins" w:hAnsi="Poppins" w:cs="Poppins"/>
                                    <w:color w:val="F6F4EC" w:themeColor="background1"/>
                                    <w:sz w:val="56"/>
                                    <w:szCs w:val="56"/>
                                  </w:rPr>
                                  <w:t>2024</w:t>
                                </w:r>
                                <w:r w:rsidR="00EB3422" w:rsidRPr="00EB3422">
                                  <w:rPr>
                                    <w:rFonts w:ascii="Poppins" w:hAnsi="Poppins" w:cs="Poppins"/>
                                    <w:color w:val="F6F4EC" w:themeColor="background1"/>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EB41C" id="_x0000_t202" coordsize="21600,21600" o:spt="202" path="m,l,21600r21600,l21600,xe">
                    <v:stroke joinstyle="miter"/>
                    <v:path gradientshapeok="t" o:connecttype="rect"/>
                  </v:shapetype>
                  <v:shape id="Text Box 11" o:spid="_x0000_s1026" type="#_x0000_t202" alt="&quot;&quot;" style="position:absolute;margin-left:-31.5pt;margin-top:467.35pt;width:426.8pt;height:116.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" filled="f" stroked="f">
                    <v:textbox>
                      <w:txbxContent>
                        <w:p w14:paraId="2407F52A" w14:textId="388E0309" w:rsidR="00EB3422" w:rsidRPr="00EB3422" w:rsidRDefault="005B5664" w:rsidP="00EB3422">
                          <w:pPr>
                            <w:rPr>
                              <w:rFonts w:ascii="Poppins" w:hAnsi="Poppins" w:cs="Poppins"/>
                              <w:color w:val="F6F4EC" w:themeColor="background1"/>
                              <w:sz w:val="56"/>
                              <w:szCs w:val="56"/>
                            </w:rPr>
                          </w:pPr>
                          <w:r>
                            <w:rPr>
                              <w:rFonts w:ascii="Poppins" w:hAnsi="Poppins" w:cs="Poppins"/>
                              <w:color w:val="F6F4EC" w:themeColor="background1"/>
                              <w:sz w:val="56"/>
                              <w:szCs w:val="56"/>
                            </w:rPr>
                            <w:t xml:space="preserve">October </w:t>
                          </w:r>
                          <w:r w:rsidR="002F485D">
                            <w:rPr>
                              <w:rFonts w:ascii="Poppins" w:hAnsi="Poppins" w:cs="Poppins"/>
                              <w:color w:val="F6F4EC" w:themeColor="background1"/>
                              <w:sz w:val="56"/>
                              <w:szCs w:val="56"/>
                            </w:rPr>
                            <w:t>2024</w:t>
                          </w:r>
                          <w:r w:rsidR="00EB3422" w:rsidRPr="00EB3422">
                            <w:rPr>
                              <w:rFonts w:ascii="Poppins" w:hAnsi="Poppins" w:cs="Poppins"/>
                              <w:color w:val="F6F4EC" w:themeColor="background1"/>
                              <w:sz w:val="56"/>
                              <w:szCs w:val="56"/>
                            </w:rPr>
                            <w:t xml:space="preserve"> </w:t>
                          </w:r>
                        </w:p>
                      </w:txbxContent>
                    </v:textbox>
                    <w10:wrap type="square" anchorx="margin"/>
                  </v:shape>
                </w:pict>
              </mc:Fallback>
            </mc:AlternateContent>
          </w:r>
          <w:r w:rsidR="00EB3422" w:rsidRPr="00613DE5">
            <w:rPr>
              <w:lang w:val="en-NZ"/>
            </w:rPr>
            <w:br w:type="page"/>
          </w:r>
          <w:r w:rsidR="00EB3422" w:rsidRPr="00613DE5">
            <w:rPr>
              <w:rFonts w:eastAsia="Roboto"/>
              <w:noProof/>
              <w:color w:val="2B579A"/>
              <w:shd w:val="clear" w:color="auto" w:fill="E6E6E6"/>
              <w:lang w:val="en-NZ"/>
            </w:rPr>
            <mc:AlternateContent>
              <mc:Choice Requires="wps">
                <w:drawing>
                  <wp:anchor distT="45720" distB="45720" distL="114300" distR="114300" simplePos="0" relativeHeight="251658240" behindDoc="0" locked="1" layoutInCell="1" allowOverlap="1" wp14:anchorId="3A4AC54B" wp14:editId="212DE314">
                    <wp:simplePos x="0" y="0"/>
                    <wp:positionH relativeFrom="margin">
                      <wp:posOffset>-380365</wp:posOffset>
                    </wp:positionH>
                    <wp:positionV relativeFrom="paragraph">
                      <wp:posOffset>1698625</wp:posOffset>
                    </wp:positionV>
                    <wp:extent cx="6355080" cy="3874770"/>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3874770"/>
                            </a:xfrm>
                            <a:prstGeom prst="rect">
                              <a:avLst/>
                            </a:prstGeom>
                            <a:noFill/>
                            <a:ln w="9525">
                              <a:noFill/>
                              <a:miter lim="800000"/>
                              <a:headEnd/>
                              <a:tailEnd/>
                            </a:ln>
                          </wps:spPr>
                          <wps:txbx>
                            <w:txbxContent>
                              <w:p w14:paraId="6342DE9B" w14:textId="77777777" w:rsidR="00A8587B" w:rsidRPr="00A8587B" w:rsidRDefault="00A8587B" w:rsidP="00EB3422">
                                <w:pPr>
                                  <w:pStyle w:val="NoSpacing"/>
                                  <w:rPr>
                                    <w:sz w:val="96"/>
                                    <w:szCs w:val="96"/>
                                  </w:rPr>
                                </w:pPr>
                                <w:r w:rsidRPr="00A8587B">
                                  <w:rPr>
                                    <w:sz w:val="72"/>
                                    <w:szCs w:val="72"/>
                                  </w:rPr>
                                  <w:t>Newborn Metabolic Screening Programme</w:t>
                                </w:r>
                              </w:p>
                              <w:p w14:paraId="55E3ED00" w14:textId="77033E0C" w:rsidR="00EB3422" w:rsidRPr="00EB3422" w:rsidRDefault="00A8587B" w:rsidP="00EB3422">
                                <w:pPr>
                                  <w:pStyle w:val="NoSpacing"/>
                                </w:pPr>
                                <w:r>
                                  <w:t>Annual Report</w:t>
                                </w:r>
                                <w:r w:rsidR="002F485D">
                                  <w:t xml:space="preserve"> 2022</w:t>
                                </w:r>
                                <w:r w:rsidR="00EB3422" w:rsidRPr="00EB342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AC54B" id="Text Box 217" o:spid="_x0000_s1027" type="#_x0000_t202" alt="&quot;&quot;" style="position:absolute;margin-left:-29.95pt;margin-top:133.75pt;width:500.4pt;height:305.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" filled="f" stroked="f">
                    <v:textbox>
                      <w:txbxContent>
                        <w:p w14:paraId="6342DE9B" w14:textId="77777777" w:rsidR="00A8587B" w:rsidRPr="00A8587B" w:rsidRDefault="00A8587B" w:rsidP="00EB3422">
                          <w:pPr>
                            <w:pStyle w:val="NoSpacing"/>
                            <w:rPr>
                              <w:sz w:val="96"/>
                              <w:szCs w:val="96"/>
                            </w:rPr>
                          </w:pPr>
                          <w:r w:rsidRPr="00A8587B">
                            <w:rPr>
                              <w:sz w:val="72"/>
                              <w:szCs w:val="72"/>
                            </w:rPr>
                            <w:t>Newborn Metabolic Screening Programme</w:t>
                          </w:r>
                        </w:p>
                        <w:p w14:paraId="55E3ED00" w14:textId="77033E0C" w:rsidR="00EB3422" w:rsidRPr="00EB3422" w:rsidRDefault="00A8587B" w:rsidP="00EB3422">
                          <w:pPr>
                            <w:pStyle w:val="NoSpacing"/>
                          </w:pPr>
                          <w:r>
                            <w:t>Annual Report</w:t>
                          </w:r>
                          <w:r w:rsidR="002F485D">
                            <w:t xml:space="preserve"> 2022</w:t>
                          </w:r>
                          <w:r w:rsidR="00EB3422" w:rsidRPr="00EB3422">
                            <w:t xml:space="preserve"> </w:t>
                          </w:r>
                        </w:p>
                      </w:txbxContent>
                    </v:textbox>
                    <w10:wrap type="square" anchorx="margin"/>
                    <w10:anchorlock/>
                  </v:shape>
                </w:pict>
              </mc:Fallback>
            </mc:AlternateContent>
          </w:r>
        </w:p>
      </w:sdtContent>
    </w:sdt>
    <w:sdt>
      <w:sdtPr>
        <w:rPr>
          <w:rFonts w:ascii="Arial" w:eastAsiaTheme="minorEastAsia" w:hAnsi="Arial" w:cs="Arial"/>
          <w:color w:val="auto"/>
          <w:sz w:val="22"/>
          <w:szCs w:val="22"/>
          <w:shd w:val="clear" w:color="auto" w:fill="E6E6E6"/>
          <w:lang w:val="en-NZ"/>
        </w:rPr>
        <w:id w:val="-2037270447"/>
        <w:docPartObj>
          <w:docPartGallery w:val="Table of Contents"/>
          <w:docPartUnique/>
        </w:docPartObj>
      </w:sdtPr>
      <w:sdtEndPr/>
      <w:sdtContent>
        <w:p w14:paraId="77F36706" w14:textId="4B2DCA36" w:rsidR="0054093E" w:rsidRDefault="00623271" w:rsidP="001D0AE9">
          <w:pPr>
            <w:pStyle w:val="TOCHeading"/>
            <w:spacing w:after="0"/>
            <w:rPr>
              <w:rFonts w:eastAsiaTheme="minorEastAsia"/>
              <w:shd w:val="clear" w:color="auto" w:fill="E6E6E6"/>
              <w:lang w:val="en-NZ"/>
            </w:rPr>
          </w:pPr>
          <w:r w:rsidRPr="00623271">
            <w:rPr>
              <w:rFonts w:eastAsiaTheme="minorEastAsia"/>
              <w:noProof/>
              <w:shd w:val="clear" w:color="auto" w:fill="E6E6E6"/>
              <w:lang w:val="en-NZ"/>
            </w:rPr>
            <mc:AlternateContent>
              <mc:Choice Requires="wps">
                <w:drawing>
                  <wp:anchor distT="45720" distB="45720" distL="114300" distR="114300" simplePos="0" relativeHeight="251660290" behindDoc="0" locked="0" layoutInCell="1" allowOverlap="1" wp14:anchorId="0B3AF047" wp14:editId="4E826882">
                    <wp:simplePos x="0" y="0"/>
                    <wp:positionH relativeFrom="column">
                      <wp:posOffset>23495</wp:posOffset>
                    </wp:positionH>
                    <wp:positionV relativeFrom="paragraph">
                      <wp:posOffset>0</wp:posOffset>
                    </wp:positionV>
                    <wp:extent cx="5770880" cy="7218680"/>
                    <wp:effectExtent l="0" t="0" r="1270" b="1270"/>
                    <wp:wrapSquare wrapText="bothSides"/>
                    <wp:docPr id="975757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7218680"/>
                            </a:xfrm>
                            <a:prstGeom prst="rect">
                              <a:avLst/>
                            </a:prstGeom>
                            <a:solidFill>
                              <a:srgbClr val="FFFFFF"/>
                            </a:solidFill>
                            <a:ln w="9525">
                              <a:noFill/>
                              <a:miter lim="800000"/>
                              <a:headEnd/>
                              <a:tailEnd/>
                            </a:ln>
                          </wps:spPr>
                          <wps:txbx>
                            <w:txbxContent>
                              <w:p w14:paraId="6053D76F" w14:textId="77777777" w:rsidR="00BA63DF" w:rsidRPr="00CE7AF5" w:rsidRDefault="00BA63DF" w:rsidP="00BA63DF">
                                <w:pPr>
                                  <w:spacing w:after="120"/>
                                  <w:rPr>
                                    <w:b/>
                                    <w:bCs/>
                                    <w:szCs w:val="24"/>
                                  </w:rPr>
                                </w:pPr>
                                <w:r w:rsidRPr="00CE7AF5">
                                  <w:rPr>
                                    <w:b/>
                                    <w:bCs/>
                                    <w:szCs w:val="24"/>
                                  </w:rPr>
                                  <w:t>Acknowledgements</w:t>
                                </w:r>
                              </w:p>
                              <w:p w14:paraId="0B7C94B2" w14:textId="77777777" w:rsidR="00BA63DF" w:rsidRPr="00CE7AF5" w:rsidRDefault="00BA63DF" w:rsidP="00BA63DF">
                                <w:pPr>
                                  <w:spacing w:after="120"/>
                                  <w:rPr>
                                    <w:szCs w:val="24"/>
                                  </w:rPr>
                                </w:pPr>
                                <w:r w:rsidRPr="00CE7AF5">
                                  <w:rPr>
                                    <w:szCs w:val="24"/>
                                  </w:rPr>
                                  <w:t xml:space="preserve">This report is the result of a partnership between </w:t>
                                </w:r>
                                <w:r w:rsidRPr="00746CF5">
                                  <w:rPr>
                                    <w:szCs w:val="24"/>
                                  </w:rPr>
                                  <w:t>Health New Zealand | Te Whatu Ora Antenatal and Childhood Screening and</w:t>
                                </w:r>
                                <w:r w:rsidRPr="00CE7AF5">
                                  <w:rPr>
                                    <w:szCs w:val="24"/>
                                  </w:rPr>
                                  <w:t xml:space="preserve"> LabPLUS (Te Toka Tumai Auckland).  </w:t>
                                </w:r>
                              </w:p>
                              <w:p w14:paraId="45611C33" w14:textId="75A704E5" w:rsidR="00BA63DF" w:rsidRPr="00CE7AF5" w:rsidRDefault="00BA63DF" w:rsidP="00BA63DF">
                                <w:pPr>
                                  <w:spacing w:after="120"/>
                                  <w:rPr>
                                    <w:rFonts w:cs="Segoe UI"/>
                                    <w:szCs w:val="24"/>
                                  </w:rPr>
                                </w:pPr>
                                <w:r w:rsidRPr="00CE7AF5">
                                  <w:rPr>
                                    <w:rFonts w:cs="Segoe UI"/>
                                    <w:szCs w:val="24"/>
                                  </w:rPr>
                                  <w:t>The staff in the Clinicians Screening team and the Antenatal and</w:t>
                                </w:r>
                                <w:r>
                                  <w:rPr>
                                    <w:rFonts w:cs="Segoe UI"/>
                                    <w:szCs w:val="24"/>
                                  </w:rPr>
                                  <w:t xml:space="preserve"> Childhood </w:t>
                                </w:r>
                                <w:r w:rsidRPr="00CE7AF5">
                                  <w:rPr>
                                    <w:rFonts w:cs="Segoe UI"/>
                                    <w:szCs w:val="24"/>
                                  </w:rPr>
                                  <w:t>Screening team</w:t>
                                </w:r>
                                <w:r>
                                  <w:rPr>
                                    <w:rFonts w:cs="Segoe UI"/>
                                    <w:szCs w:val="24"/>
                                  </w:rPr>
                                  <w:t xml:space="preserve"> at </w:t>
                                </w:r>
                                <w:r w:rsidRPr="00746CF5">
                                  <w:rPr>
                                    <w:szCs w:val="24"/>
                                  </w:rPr>
                                  <w:t>Health New Zealand | Te Whatu Ora</w:t>
                                </w:r>
                                <w:r>
                                  <w:rPr>
                                    <w:rFonts w:cs="Segoe UI"/>
                                    <w:szCs w:val="24"/>
                                  </w:rPr>
                                  <w:t xml:space="preserve">, </w:t>
                                </w:r>
                                <w:r w:rsidRPr="00CE7AF5">
                                  <w:rPr>
                                    <w:rFonts w:cs="Segoe UI"/>
                                    <w:szCs w:val="24"/>
                                  </w:rPr>
                                  <w:t>and Prof. Dianne Webster, Keith Shore and Dr Natasha Heather of LabPLUS have supported all stages of the development of the report and provided valuable feedback.</w:t>
                                </w:r>
                              </w:p>
                              <w:p w14:paraId="39839876" w14:textId="60DCC9A4" w:rsidR="00BA63DF" w:rsidRPr="00CE7AF5" w:rsidRDefault="00BA63DF" w:rsidP="00BA63DF">
                                <w:pPr>
                                  <w:spacing w:after="120"/>
                                  <w:rPr>
                                    <w:szCs w:val="24"/>
                                  </w:rPr>
                                </w:pPr>
                                <w:r w:rsidRPr="00CE7AF5">
                                  <w:rPr>
                                    <w:szCs w:val="24"/>
                                  </w:rPr>
                                  <w:t xml:space="preserve">This publication reports on information Te Toka Tumai Auckland has provided to </w:t>
                                </w:r>
                                <w:r w:rsidRPr="00CE7AF5">
                                  <w:rPr>
                                    <w:rFonts w:cs="Segoe UI"/>
                                    <w:szCs w:val="24"/>
                                  </w:rPr>
                                  <w:t xml:space="preserve">the </w:t>
                                </w:r>
                                <w:r w:rsidRPr="00746CF5">
                                  <w:rPr>
                                    <w:szCs w:val="24"/>
                                  </w:rPr>
                                  <w:t>Health New Zealand | Te Whatu Ora</w:t>
                                </w:r>
                                <w:r>
                                  <w:rPr>
                                    <w:rFonts w:cs="Segoe UI"/>
                                    <w:szCs w:val="24"/>
                                  </w:rPr>
                                  <w:t>.</w:t>
                                </w:r>
                                <w:r w:rsidRPr="00CE7AF5">
                                  <w:rPr>
                                    <w:szCs w:val="24"/>
                                  </w:rPr>
                                  <w:t xml:space="preserve"> The purpose of this publication is to inform discussion and assist the ongoing development of the Newborn Metabolic Screening Programme. All care has been taken in the production of this report, and the data was deemed to be accurate at the time of publication. However, the data may be subject to slight changes over time as further information is received. Before quoting or using this information, it is advisable to check the current status </w:t>
                                </w:r>
                                <w:r w:rsidRPr="002E7167">
                                  <w:rPr>
                                    <w:szCs w:val="24"/>
                                  </w:rPr>
                                  <w:t xml:space="preserve">with </w:t>
                                </w:r>
                                <w:r w:rsidRPr="00746CF5">
                                  <w:rPr>
                                    <w:szCs w:val="24"/>
                                  </w:rPr>
                                  <w:t>Health New Zealand | Te Whatu Ora</w:t>
                                </w:r>
                                <w:r w:rsidRPr="002E7167">
                                  <w:rPr>
                                    <w:szCs w:val="24"/>
                                  </w:rPr>
                                  <w:t>.</w:t>
                                </w:r>
                              </w:p>
                              <w:p w14:paraId="3CB49166" w14:textId="77777777" w:rsidR="000F406B" w:rsidRDefault="000F406B" w:rsidP="000F406B">
                                <w:r w:rsidRPr="005508AD">
                                  <w:t xml:space="preserve">Citation: </w:t>
                                </w:r>
                                <w:r w:rsidRPr="00746CF5">
                                  <w:rPr>
                                    <w:szCs w:val="24"/>
                                  </w:rPr>
                                  <w:t>Antenatal and Childhood Screening</w:t>
                                </w:r>
                                <w:r>
                                  <w:t xml:space="preserve">. 2024. </w:t>
                                </w:r>
                                <w:r>
                                  <w:rPr>
                                    <w:rFonts w:cs="Segoe UI"/>
                                    <w:i/>
                                  </w:rPr>
                                  <w:t>Newborn Metabolic Screening Programme: Annual Report 2022</w:t>
                                </w:r>
                                <w:r>
                                  <w:t xml:space="preserve">. Wellington: </w:t>
                                </w:r>
                                <w:r w:rsidRPr="00746CF5">
                                  <w:rPr>
                                    <w:szCs w:val="24"/>
                                  </w:rPr>
                                  <w:t xml:space="preserve">Health New </w:t>
                                </w:r>
                                <w:r w:rsidRPr="0064395B">
                                  <w:rPr>
                                    <w:szCs w:val="24"/>
                                  </w:rPr>
                                  <w:t>Zealand</w:t>
                                </w:r>
                                <w:r w:rsidRPr="0064395B">
                                  <w:t>.</w:t>
                                </w:r>
                              </w:p>
                              <w:p w14:paraId="763ABE22" w14:textId="7BE7922B" w:rsidR="000F406B" w:rsidRDefault="000F406B" w:rsidP="000F406B">
                                <w:r w:rsidRPr="007C0335">
                                  <w:t xml:space="preserve">Published in </w:t>
                                </w:r>
                                <w:r w:rsidR="005B5664">
                                  <w:t>October</w:t>
                                </w:r>
                                <w:r>
                                  <w:t xml:space="preserve"> 2024 by </w:t>
                                </w:r>
                                <w:r w:rsidRPr="00746CF5">
                                  <w:rPr>
                                    <w:szCs w:val="24"/>
                                  </w:rPr>
                                  <w:t>Health New Zealand</w:t>
                                </w:r>
                                <w:r>
                                  <w:t>, PO Box 5013, Wellington 6140, New Zealand.</w:t>
                                </w:r>
                              </w:p>
                              <w:p w14:paraId="469D1483" w14:textId="3EE58898" w:rsidR="000F406B" w:rsidRDefault="000F406B" w:rsidP="000F406B">
                                <w:r w:rsidRPr="00FF7B4C">
                                  <w:t xml:space="preserve">ISBN </w:t>
                                </w:r>
                                <w:r w:rsidR="00FF7B4C" w:rsidRPr="00FF7B4C">
                                  <w:t>978-1-991139-11-5 </w:t>
                                </w:r>
                                <w:r w:rsidRPr="00FF7B4C">
                                  <w:t>(online)</w:t>
                                </w:r>
                              </w:p>
                              <w:p w14:paraId="1328D0AA" w14:textId="77777777" w:rsidR="000F406B" w:rsidRDefault="000F406B" w:rsidP="000F406B">
                                <w:pPr>
                                  <w:rPr>
                                    <w:noProof/>
                                  </w:rPr>
                                </w:pPr>
                                <w:r w:rsidRPr="004B7053">
                                  <w:rPr>
                                    <w:rFonts w:ascii="Poppins" w:eastAsia="Roboto" w:hAnsi="Poppins" w:cs="Poppins"/>
                                    <w:b/>
                                    <w:bCs/>
                                    <w:noProof/>
                                    <w:kern w:val="22"/>
                                    <w:sz w:val="48"/>
                                    <w:szCs w:val="48"/>
                                  </w:rPr>
                                  <w:drawing>
                                    <wp:inline distT="0" distB="0" distL="0" distR="0" wp14:anchorId="5A9435CF" wp14:editId="2B9D1733">
                                      <wp:extent cx="2007235" cy="352425"/>
                                      <wp:effectExtent l="0" t="0" r="0" b="0"/>
                                      <wp:docPr id="463415187" name="Picture 463415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15187" name="Picture 46341518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055" cy="352674"/>
                                              </a:xfrm>
                                              <a:prstGeom prst="rect">
                                                <a:avLst/>
                                              </a:prstGeom>
                                              <a:noFill/>
                                              <a:ln>
                                                <a:noFill/>
                                              </a:ln>
                                            </pic:spPr>
                                          </pic:pic>
                                        </a:graphicData>
                                      </a:graphic>
                                    </wp:inline>
                                  </w:drawing>
                                </w:r>
                              </w:p>
                              <w:p w14:paraId="1FD9D2E4" w14:textId="77777777" w:rsidR="000F406B" w:rsidRDefault="000F406B" w:rsidP="000F406B"/>
                              <w:p w14:paraId="027C3319" w14:textId="7B8B402D" w:rsidR="000F406B" w:rsidRDefault="000F406B" w:rsidP="000F406B">
                                <w:r w:rsidRPr="00B75F7F">
                                  <w:t>This document is available at</w:t>
                                </w:r>
                                <w:r>
                                  <w:t xml:space="preserve"> </w:t>
                                </w:r>
                                <w:hyperlink r:id="rId10" w:history="1">
                                  <w:r w:rsidR="00363F93" w:rsidRPr="00DC72DD">
                                    <w:rPr>
                                      <w:rStyle w:val="Hyperlink"/>
                                    </w:rPr>
                                    <w:t>www.tewhatuora.govt.nz</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06"/>
                                  <w:gridCol w:w="6473"/>
                                </w:tblGrid>
                                <w:tr w:rsidR="000F406B" w14:paraId="1D4E2954" w14:textId="77777777" w:rsidTr="00363F93">
                                  <w:trPr>
                                    <w:cnfStyle w:val="100000000000" w:firstRow="1" w:lastRow="0" w:firstColumn="0" w:lastColumn="0" w:oddVBand="0" w:evenVBand="0" w:oddHBand="0" w:evenHBand="0" w:firstRowFirstColumn="0" w:firstRowLastColumn="0" w:lastRowFirstColumn="0" w:lastRowLastColumn="0"/>
                                    <w:trHeight w:val="95"/>
                                  </w:trPr>
                                  <w:tc>
                                    <w:tcPr>
                                      <w:tcW w:w="1606" w:type="dxa"/>
                                      <w:shd w:val="clear" w:color="auto" w:fill="auto"/>
                                      <w:vAlign w:val="center"/>
                                    </w:tcPr>
                                    <w:p w14:paraId="71C0F762" w14:textId="77777777" w:rsidR="000F406B" w:rsidRPr="00742E90" w:rsidRDefault="000F406B" w:rsidP="00742E90">
                                      <w:pPr>
                                        <w:spacing w:after="120" w:line="259" w:lineRule="auto"/>
                                        <w:rPr>
                                          <w:b w:val="0"/>
                                          <w:color w:val="auto"/>
                                          <w:sz w:val="22"/>
                                          <w:szCs w:val="24"/>
                                        </w:rPr>
                                      </w:pPr>
                                      <w:r w:rsidRPr="00742E90">
                                        <w:rPr>
                                          <w:noProof/>
                                          <w:szCs w:val="24"/>
                                        </w:rPr>
                                        <w:drawing>
                                          <wp:inline distT="0" distB="0" distL="0" distR="0" wp14:anchorId="13689C5B" wp14:editId="2F431904">
                                            <wp:extent cx="809625" cy="285750"/>
                                            <wp:effectExtent l="0" t="0" r="9525" b="0"/>
                                            <wp:docPr id="1662394371" name="Picture 166239437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473" w:type="dxa"/>
                                      <w:shd w:val="clear" w:color="auto" w:fill="auto"/>
                                    </w:tcPr>
                                    <w:p w14:paraId="12DF5860" w14:textId="77777777" w:rsidR="000F406B" w:rsidRPr="00363F93" w:rsidRDefault="000F406B" w:rsidP="00742E90">
                                      <w:pPr>
                                        <w:spacing w:after="120" w:line="259" w:lineRule="auto"/>
                                        <w:rPr>
                                          <w:b w:val="0"/>
                                          <w:color w:val="auto"/>
                                          <w:sz w:val="22"/>
                                          <w:szCs w:val="24"/>
                                          <w:lang w:val="en-GB"/>
                                        </w:rPr>
                                      </w:pPr>
                                      <w:r w:rsidRPr="00363F93">
                                        <w:rPr>
                                          <w:b w:val="0"/>
                                          <w:color w:val="auto"/>
                                          <w:sz w:val="22"/>
                                          <w:szCs w:val="24"/>
                                          <w:lang w:val="en-GB"/>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5570AB29" w14:textId="20216476" w:rsidR="00623271" w:rsidRDefault="00623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AF047" id="Text Box 2" o:spid="_x0000_s1028" type="#_x0000_t202" style="position:absolute;margin-left:1.85pt;margin-top:0;width:454.4pt;height:568.4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" stroked="f">
                    <v:textbox>
                      <w:txbxContent>
                        <w:p w14:paraId="6053D76F" w14:textId="77777777" w:rsidR="00BA63DF" w:rsidRPr="00CE7AF5" w:rsidRDefault="00BA63DF" w:rsidP="00BA63DF">
                          <w:pPr>
                            <w:spacing w:after="120"/>
                            <w:rPr>
                              <w:b/>
                              <w:bCs/>
                              <w:szCs w:val="24"/>
                            </w:rPr>
                          </w:pPr>
                          <w:r w:rsidRPr="00CE7AF5">
                            <w:rPr>
                              <w:b/>
                              <w:bCs/>
                              <w:szCs w:val="24"/>
                            </w:rPr>
                            <w:t>Acknowledgements</w:t>
                          </w:r>
                        </w:p>
                        <w:p w14:paraId="0B7C94B2" w14:textId="77777777" w:rsidR="00BA63DF" w:rsidRPr="00CE7AF5" w:rsidRDefault="00BA63DF" w:rsidP="00BA63DF">
                          <w:pPr>
                            <w:spacing w:after="120"/>
                            <w:rPr>
                              <w:szCs w:val="24"/>
                            </w:rPr>
                          </w:pPr>
                          <w:r w:rsidRPr="00CE7AF5">
                            <w:rPr>
                              <w:szCs w:val="24"/>
                            </w:rPr>
                            <w:t xml:space="preserve">This report is the result of a partnership between </w:t>
                          </w:r>
                          <w:r w:rsidRPr="00746CF5">
                            <w:rPr>
                              <w:szCs w:val="24"/>
                            </w:rPr>
                            <w:t>Health New Zealand | Te Whatu Ora Antenatal and Childhood Screening and</w:t>
                          </w:r>
                          <w:r w:rsidRPr="00CE7AF5">
                            <w:rPr>
                              <w:szCs w:val="24"/>
                            </w:rPr>
                            <w:t xml:space="preserve"> LabPLUS (Te Toka Tumai Auckland).  </w:t>
                          </w:r>
                        </w:p>
                        <w:p w14:paraId="45611C33" w14:textId="75A704E5" w:rsidR="00BA63DF" w:rsidRPr="00CE7AF5" w:rsidRDefault="00BA63DF" w:rsidP="00BA63DF">
                          <w:pPr>
                            <w:spacing w:after="120"/>
                            <w:rPr>
                              <w:rFonts w:cs="Segoe UI"/>
                              <w:szCs w:val="24"/>
                            </w:rPr>
                          </w:pPr>
                          <w:r w:rsidRPr="00CE7AF5">
                            <w:rPr>
                              <w:rFonts w:cs="Segoe UI"/>
                              <w:szCs w:val="24"/>
                            </w:rPr>
                            <w:t>The staff in the Clinicians Screening team and the Antenatal and</w:t>
                          </w:r>
                          <w:r>
                            <w:rPr>
                              <w:rFonts w:cs="Segoe UI"/>
                              <w:szCs w:val="24"/>
                            </w:rPr>
                            <w:t xml:space="preserve"> Childhood </w:t>
                          </w:r>
                          <w:r w:rsidRPr="00CE7AF5">
                            <w:rPr>
                              <w:rFonts w:cs="Segoe UI"/>
                              <w:szCs w:val="24"/>
                            </w:rPr>
                            <w:t>Screening team</w:t>
                          </w:r>
                          <w:r>
                            <w:rPr>
                              <w:rFonts w:cs="Segoe UI"/>
                              <w:szCs w:val="24"/>
                            </w:rPr>
                            <w:t xml:space="preserve"> at </w:t>
                          </w:r>
                          <w:r w:rsidRPr="00746CF5">
                            <w:rPr>
                              <w:szCs w:val="24"/>
                            </w:rPr>
                            <w:t>Health New Zealand | Te Whatu Ora</w:t>
                          </w:r>
                          <w:r>
                            <w:rPr>
                              <w:rFonts w:cs="Segoe UI"/>
                              <w:szCs w:val="24"/>
                            </w:rPr>
                            <w:t xml:space="preserve">, </w:t>
                          </w:r>
                          <w:r w:rsidRPr="00CE7AF5">
                            <w:rPr>
                              <w:rFonts w:cs="Segoe UI"/>
                              <w:szCs w:val="24"/>
                            </w:rPr>
                            <w:t>and Prof. Dianne Webster, Keith Shore and Dr Natasha Heather of LabPLUS have supported all stages of the development of the report and provided valuable feedback.</w:t>
                          </w:r>
                        </w:p>
                        <w:p w14:paraId="39839876" w14:textId="60DCC9A4" w:rsidR="00BA63DF" w:rsidRPr="00CE7AF5" w:rsidRDefault="00BA63DF" w:rsidP="00BA63DF">
                          <w:pPr>
                            <w:spacing w:after="120"/>
                            <w:rPr>
                              <w:szCs w:val="24"/>
                            </w:rPr>
                          </w:pPr>
                          <w:r w:rsidRPr="00CE7AF5">
                            <w:rPr>
                              <w:szCs w:val="24"/>
                            </w:rPr>
                            <w:t xml:space="preserve">This publication reports on information Te Toka Tumai Auckland has provided to </w:t>
                          </w:r>
                          <w:r w:rsidRPr="00CE7AF5">
                            <w:rPr>
                              <w:rFonts w:cs="Segoe UI"/>
                              <w:szCs w:val="24"/>
                            </w:rPr>
                            <w:t xml:space="preserve">the </w:t>
                          </w:r>
                          <w:r w:rsidRPr="00746CF5">
                            <w:rPr>
                              <w:szCs w:val="24"/>
                            </w:rPr>
                            <w:t>Health New Zealand | Te Whatu Ora</w:t>
                          </w:r>
                          <w:r>
                            <w:rPr>
                              <w:rFonts w:cs="Segoe UI"/>
                              <w:szCs w:val="24"/>
                            </w:rPr>
                            <w:t>.</w:t>
                          </w:r>
                          <w:r w:rsidRPr="00CE7AF5">
                            <w:rPr>
                              <w:szCs w:val="24"/>
                            </w:rPr>
                            <w:t xml:space="preserve"> The purpose of this publication is to inform discussion and assist the ongoing development of the Newborn Metabolic Screening Programme. All care has been taken in the production of this report, and the data was deemed to be accurate at the time of publication. However, the data may be subject to slight changes over time as further information is received. Before quoting or using this information, it is advisable to check the current status </w:t>
                          </w:r>
                          <w:r w:rsidRPr="002E7167">
                            <w:rPr>
                              <w:szCs w:val="24"/>
                            </w:rPr>
                            <w:t xml:space="preserve">with </w:t>
                          </w:r>
                          <w:r w:rsidRPr="00746CF5">
                            <w:rPr>
                              <w:szCs w:val="24"/>
                            </w:rPr>
                            <w:t>Health New Zealand | Te Whatu Ora</w:t>
                          </w:r>
                          <w:r w:rsidRPr="002E7167">
                            <w:rPr>
                              <w:szCs w:val="24"/>
                            </w:rPr>
                            <w:t>.</w:t>
                          </w:r>
                        </w:p>
                        <w:p w14:paraId="3CB49166" w14:textId="77777777" w:rsidR="000F406B" w:rsidRDefault="000F406B" w:rsidP="000F406B">
                          <w:r w:rsidRPr="005508AD">
                            <w:t xml:space="preserve">Citation: </w:t>
                          </w:r>
                          <w:r w:rsidRPr="00746CF5">
                            <w:rPr>
                              <w:szCs w:val="24"/>
                            </w:rPr>
                            <w:t>Antenatal and Childhood Screening</w:t>
                          </w:r>
                          <w:r>
                            <w:t xml:space="preserve">. 2024. </w:t>
                          </w:r>
                          <w:r>
                            <w:rPr>
                              <w:rFonts w:cs="Segoe UI"/>
                              <w:i/>
                            </w:rPr>
                            <w:t>Newborn Metabolic Screening Programme: Annual Report 2022</w:t>
                          </w:r>
                          <w:r>
                            <w:t xml:space="preserve">. Wellington: </w:t>
                          </w:r>
                          <w:r w:rsidRPr="00746CF5">
                            <w:rPr>
                              <w:szCs w:val="24"/>
                            </w:rPr>
                            <w:t xml:space="preserve">Health New </w:t>
                          </w:r>
                          <w:r w:rsidRPr="0064395B">
                            <w:rPr>
                              <w:szCs w:val="24"/>
                            </w:rPr>
                            <w:t>Zealand</w:t>
                          </w:r>
                          <w:r w:rsidRPr="0064395B">
                            <w:t>.</w:t>
                          </w:r>
                        </w:p>
                        <w:p w14:paraId="763ABE22" w14:textId="7BE7922B" w:rsidR="000F406B" w:rsidRDefault="000F406B" w:rsidP="000F406B">
                          <w:r w:rsidRPr="007C0335">
                            <w:t xml:space="preserve">Published in </w:t>
                          </w:r>
                          <w:r w:rsidR="005B5664">
                            <w:t>October</w:t>
                          </w:r>
                          <w:r>
                            <w:t xml:space="preserve"> 2024 by </w:t>
                          </w:r>
                          <w:r w:rsidRPr="00746CF5">
                            <w:rPr>
                              <w:szCs w:val="24"/>
                            </w:rPr>
                            <w:t>Health New Zealand</w:t>
                          </w:r>
                          <w:r>
                            <w:t>, PO Box 5013, Wellington 6140, New Zealand.</w:t>
                          </w:r>
                        </w:p>
                        <w:p w14:paraId="469D1483" w14:textId="3EE58898" w:rsidR="000F406B" w:rsidRDefault="000F406B" w:rsidP="000F406B">
                          <w:r w:rsidRPr="00FF7B4C">
                            <w:t xml:space="preserve">ISBN </w:t>
                          </w:r>
                          <w:r w:rsidR="00FF7B4C" w:rsidRPr="00FF7B4C">
                            <w:t>978-1-991139-11-5 </w:t>
                          </w:r>
                          <w:r w:rsidRPr="00FF7B4C">
                            <w:t>(online)</w:t>
                          </w:r>
                        </w:p>
                        <w:p w14:paraId="1328D0AA" w14:textId="77777777" w:rsidR="000F406B" w:rsidRDefault="000F406B" w:rsidP="000F406B">
                          <w:pPr>
                            <w:rPr>
                              <w:noProof/>
                            </w:rPr>
                          </w:pPr>
                          <w:r w:rsidRPr="004B7053">
                            <w:rPr>
                              <w:rFonts w:ascii="Poppins" w:eastAsia="Roboto" w:hAnsi="Poppins" w:cs="Poppins"/>
                              <w:b/>
                              <w:bCs/>
                              <w:noProof/>
                              <w:kern w:val="22"/>
                              <w:sz w:val="48"/>
                              <w:szCs w:val="48"/>
                            </w:rPr>
                            <w:drawing>
                              <wp:inline distT="0" distB="0" distL="0" distR="0" wp14:anchorId="5A9435CF" wp14:editId="2B9D1733">
                                <wp:extent cx="2007235" cy="352425"/>
                                <wp:effectExtent l="0" t="0" r="0" b="0"/>
                                <wp:docPr id="463415187" name="Picture 463415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15187" name="Picture 46341518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055" cy="352674"/>
                                        </a:xfrm>
                                        <a:prstGeom prst="rect">
                                          <a:avLst/>
                                        </a:prstGeom>
                                        <a:noFill/>
                                        <a:ln>
                                          <a:noFill/>
                                        </a:ln>
                                      </pic:spPr>
                                    </pic:pic>
                                  </a:graphicData>
                                </a:graphic>
                              </wp:inline>
                            </w:drawing>
                          </w:r>
                        </w:p>
                        <w:p w14:paraId="1FD9D2E4" w14:textId="77777777" w:rsidR="000F406B" w:rsidRDefault="000F406B" w:rsidP="000F406B"/>
                        <w:p w14:paraId="027C3319" w14:textId="7B8B402D" w:rsidR="000F406B" w:rsidRDefault="000F406B" w:rsidP="000F406B">
                          <w:r w:rsidRPr="00B75F7F">
                            <w:t>This document is available at</w:t>
                          </w:r>
                          <w:r>
                            <w:t xml:space="preserve"> </w:t>
                          </w:r>
                          <w:hyperlink r:id="rId12" w:history="1">
                            <w:r w:rsidR="00363F93" w:rsidRPr="00DC72DD">
                              <w:rPr>
                                <w:rStyle w:val="Hyperlink"/>
                              </w:rPr>
                              <w:t>www.tewhatuora.govt.nz</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06"/>
                            <w:gridCol w:w="6473"/>
                          </w:tblGrid>
                          <w:tr w:rsidR="000F406B" w14:paraId="1D4E2954" w14:textId="77777777" w:rsidTr="00363F93">
                            <w:trPr>
                              <w:cnfStyle w:val="100000000000" w:firstRow="1" w:lastRow="0" w:firstColumn="0" w:lastColumn="0" w:oddVBand="0" w:evenVBand="0" w:oddHBand="0" w:evenHBand="0" w:firstRowFirstColumn="0" w:firstRowLastColumn="0" w:lastRowFirstColumn="0" w:lastRowLastColumn="0"/>
                              <w:trHeight w:val="95"/>
                            </w:trPr>
                            <w:tc>
                              <w:tcPr>
                                <w:tcW w:w="1606" w:type="dxa"/>
                                <w:shd w:val="clear" w:color="auto" w:fill="auto"/>
                                <w:vAlign w:val="center"/>
                              </w:tcPr>
                              <w:p w14:paraId="71C0F762" w14:textId="77777777" w:rsidR="000F406B" w:rsidRPr="00742E90" w:rsidRDefault="000F406B" w:rsidP="00742E90">
                                <w:pPr>
                                  <w:spacing w:after="120" w:line="259" w:lineRule="auto"/>
                                  <w:rPr>
                                    <w:b w:val="0"/>
                                    <w:color w:val="auto"/>
                                    <w:sz w:val="22"/>
                                    <w:szCs w:val="24"/>
                                  </w:rPr>
                                </w:pPr>
                                <w:r w:rsidRPr="00742E90">
                                  <w:rPr>
                                    <w:noProof/>
                                    <w:szCs w:val="24"/>
                                  </w:rPr>
                                  <w:drawing>
                                    <wp:inline distT="0" distB="0" distL="0" distR="0" wp14:anchorId="13689C5B" wp14:editId="2F431904">
                                      <wp:extent cx="809625" cy="285750"/>
                                      <wp:effectExtent l="0" t="0" r="9525" b="0"/>
                                      <wp:docPr id="1662394371" name="Picture 1662394371"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473" w:type="dxa"/>
                                <w:shd w:val="clear" w:color="auto" w:fill="auto"/>
                              </w:tcPr>
                              <w:p w14:paraId="12DF5860" w14:textId="77777777" w:rsidR="000F406B" w:rsidRPr="00363F93" w:rsidRDefault="000F406B" w:rsidP="00742E90">
                                <w:pPr>
                                  <w:spacing w:after="120" w:line="259" w:lineRule="auto"/>
                                  <w:rPr>
                                    <w:b w:val="0"/>
                                    <w:color w:val="auto"/>
                                    <w:sz w:val="22"/>
                                    <w:szCs w:val="24"/>
                                    <w:lang w:val="en-GB"/>
                                  </w:rPr>
                                </w:pPr>
                                <w:r w:rsidRPr="00363F93">
                                  <w:rPr>
                                    <w:b w:val="0"/>
                                    <w:color w:val="auto"/>
                                    <w:sz w:val="22"/>
                                    <w:szCs w:val="24"/>
                                    <w:lang w:val="en-GB"/>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5570AB29" w14:textId="20216476" w:rsidR="00623271" w:rsidRDefault="00623271"/>
                      </w:txbxContent>
                    </v:textbox>
                    <w10:wrap type="square"/>
                  </v:shape>
                </w:pict>
              </mc:Fallback>
            </mc:AlternateContent>
          </w:r>
          <w:r w:rsidR="0054093E">
            <w:rPr>
              <w:rFonts w:eastAsiaTheme="minorEastAsia"/>
              <w:shd w:val="clear" w:color="auto" w:fill="E6E6E6"/>
              <w:lang w:val="en-NZ"/>
            </w:rPr>
            <w:br w:type="page"/>
          </w:r>
        </w:p>
        <w:p w14:paraId="62442F82" w14:textId="10CA3CF3" w:rsidR="00EB3422" w:rsidRPr="00613DE5" w:rsidRDefault="00EB3422" w:rsidP="00A26BC6">
          <w:pPr>
            <w:pStyle w:val="TOCHeading"/>
            <w:spacing w:after="0"/>
            <w:rPr>
              <w:b/>
              <w:bCs/>
              <w:lang w:val="en-NZ"/>
            </w:rPr>
          </w:pPr>
          <w:r w:rsidRPr="00613DE5">
            <w:rPr>
              <w:b/>
              <w:bCs/>
              <w:lang w:val="en-NZ"/>
            </w:rPr>
            <w:lastRenderedPageBreak/>
            <w:t>Contents</w:t>
          </w:r>
        </w:p>
        <w:p w14:paraId="0BC684BE" w14:textId="771B526D" w:rsidR="003C26DE" w:rsidRDefault="00EB3422">
          <w:pPr>
            <w:pStyle w:val="TOC1"/>
            <w:rPr>
              <w:rFonts w:asciiTheme="minorHAnsi" w:eastAsiaTheme="minorEastAsia" w:hAnsiTheme="minorHAnsi" w:cstheme="minorBidi"/>
              <w:noProof/>
              <w:kern w:val="2"/>
              <w:sz w:val="24"/>
              <w:szCs w:val="24"/>
              <w:lang w:val="en-NZ" w:eastAsia="en-NZ"/>
              <w14:ligatures w14:val="standardContextual"/>
            </w:rPr>
          </w:pPr>
          <w:r w:rsidRPr="00613DE5">
            <w:rPr>
              <w:color w:val="2B579A"/>
              <w:shd w:val="clear" w:color="auto" w:fill="E6E6E6"/>
              <w:lang w:val="en-NZ"/>
            </w:rPr>
            <w:fldChar w:fldCharType="begin"/>
          </w:r>
          <w:r w:rsidRPr="00613DE5">
            <w:rPr>
              <w:lang w:val="en-NZ"/>
            </w:rPr>
            <w:instrText xml:space="preserve"> TOC \o "1-3" \h \z \u </w:instrText>
          </w:r>
          <w:r w:rsidRPr="00613DE5">
            <w:rPr>
              <w:color w:val="2B579A"/>
              <w:shd w:val="clear" w:color="auto" w:fill="E6E6E6"/>
              <w:lang w:val="en-NZ"/>
            </w:rPr>
            <w:fldChar w:fldCharType="separate"/>
          </w:r>
          <w:hyperlink w:anchor="_Toc179192044" w:history="1">
            <w:r w:rsidR="003C26DE" w:rsidRPr="00873928">
              <w:rPr>
                <w:rStyle w:val="Hyperlink"/>
                <w:noProof/>
                <w:lang w:val="en-NZ"/>
              </w:rPr>
              <w:t>Introduction</w:t>
            </w:r>
            <w:r w:rsidR="003C26DE">
              <w:rPr>
                <w:noProof/>
                <w:webHidden/>
              </w:rPr>
              <w:tab/>
            </w:r>
            <w:r w:rsidR="003C26DE">
              <w:rPr>
                <w:noProof/>
                <w:webHidden/>
              </w:rPr>
              <w:fldChar w:fldCharType="begin"/>
            </w:r>
            <w:r w:rsidR="003C26DE">
              <w:rPr>
                <w:noProof/>
                <w:webHidden/>
              </w:rPr>
              <w:instrText xml:space="preserve"> PAGEREF _Toc179192044 \h </w:instrText>
            </w:r>
            <w:r w:rsidR="003C26DE">
              <w:rPr>
                <w:noProof/>
                <w:webHidden/>
              </w:rPr>
            </w:r>
            <w:r w:rsidR="003C26DE">
              <w:rPr>
                <w:noProof/>
                <w:webHidden/>
              </w:rPr>
              <w:fldChar w:fldCharType="separate"/>
            </w:r>
            <w:r w:rsidR="00162202">
              <w:rPr>
                <w:noProof/>
                <w:webHidden/>
              </w:rPr>
              <w:t>4</w:t>
            </w:r>
            <w:r w:rsidR="003C26DE">
              <w:rPr>
                <w:noProof/>
                <w:webHidden/>
              </w:rPr>
              <w:fldChar w:fldCharType="end"/>
            </w:r>
          </w:hyperlink>
        </w:p>
        <w:p w14:paraId="59DF1D93" w14:textId="2E1B4576"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45" w:history="1">
            <w:r w:rsidR="003C26DE" w:rsidRPr="00873928">
              <w:rPr>
                <w:rStyle w:val="Hyperlink"/>
                <w:noProof/>
                <w:lang w:val="en-NZ"/>
              </w:rPr>
              <w:t>Background to the programme</w:t>
            </w:r>
            <w:r w:rsidR="003C26DE">
              <w:rPr>
                <w:noProof/>
                <w:webHidden/>
              </w:rPr>
              <w:tab/>
            </w:r>
            <w:r w:rsidR="003C26DE">
              <w:rPr>
                <w:noProof/>
                <w:webHidden/>
              </w:rPr>
              <w:fldChar w:fldCharType="begin"/>
            </w:r>
            <w:r w:rsidR="003C26DE">
              <w:rPr>
                <w:noProof/>
                <w:webHidden/>
              </w:rPr>
              <w:instrText xml:space="preserve"> PAGEREF _Toc179192045 \h </w:instrText>
            </w:r>
            <w:r w:rsidR="003C26DE">
              <w:rPr>
                <w:noProof/>
                <w:webHidden/>
              </w:rPr>
            </w:r>
            <w:r w:rsidR="003C26DE">
              <w:rPr>
                <w:noProof/>
                <w:webHidden/>
              </w:rPr>
              <w:fldChar w:fldCharType="separate"/>
            </w:r>
            <w:r w:rsidR="00162202">
              <w:rPr>
                <w:noProof/>
                <w:webHidden/>
              </w:rPr>
              <w:t>4</w:t>
            </w:r>
            <w:r w:rsidR="003C26DE">
              <w:rPr>
                <w:noProof/>
                <w:webHidden/>
              </w:rPr>
              <w:fldChar w:fldCharType="end"/>
            </w:r>
          </w:hyperlink>
        </w:p>
        <w:p w14:paraId="5F7E8537" w14:textId="4C371888"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46" w:history="1">
            <w:r w:rsidR="003C26DE" w:rsidRPr="00873928">
              <w:rPr>
                <w:rStyle w:val="Hyperlink"/>
                <w:noProof/>
                <w:lang w:val="en-NZ"/>
              </w:rPr>
              <w:t>Data summary</w:t>
            </w:r>
            <w:r w:rsidR="003C26DE">
              <w:rPr>
                <w:noProof/>
                <w:webHidden/>
              </w:rPr>
              <w:tab/>
            </w:r>
            <w:r w:rsidR="003C26DE">
              <w:rPr>
                <w:noProof/>
                <w:webHidden/>
              </w:rPr>
              <w:fldChar w:fldCharType="begin"/>
            </w:r>
            <w:r w:rsidR="003C26DE">
              <w:rPr>
                <w:noProof/>
                <w:webHidden/>
              </w:rPr>
              <w:instrText xml:space="preserve"> PAGEREF _Toc179192046 \h </w:instrText>
            </w:r>
            <w:r w:rsidR="003C26DE">
              <w:rPr>
                <w:noProof/>
                <w:webHidden/>
              </w:rPr>
            </w:r>
            <w:r w:rsidR="003C26DE">
              <w:rPr>
                <w:noProof/>
                <w:webHidden/>
              </w:rPr>
              <w:fldChar w:fldCharType="separate"/>
            </w:r>
            <w:r w:rsidR="00162202">
              <w:rPr>
                <w:noProof/>
                <w:webHidden/>
              </w:rPr>
              <w:t>5</w:t>
            </w:r>
            <w:r w:rsidR="003C26DE">
              <w:rPr>
                <w:noProof/>
                <w:webHidden/>
              </w:rPr>
              <w:fldChar w:fldCharType="end"/>
            </w:r>
          </w:hyperlink>
        </w:p>
        <w:p w14:paraId="13C96FA4" w14:textId="510CC7BF"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47" w:history="1">
            <w:r w:rsidR="003C26DE" w:rsidRPr="00873928">
              <w:rPr>
                <w:rStyle w:val="Hyperlink"/>
                <w:noProof/>
                <w:lang w:val="en-NZ"/>
              </w:rPr>
              <w:t>Executive summary</w:t>
            </w:r>
            <w:r w:rsidR="003C26DE">
              <w:rPr>
                <w:noProof/>
                <w:webHidden/>
              </w:rPr>
              <w:tab/>
            </w:r>
            <w:r w:rsidR="003C26DE">
              <w:rPr>
                <w:noProof/>
                <w:webHidden/>
              </w:rPr>
              <w:fldChar w:fldCharType="begin"/>
            </w:r>
            <w:r w:rsidR="003C26DE">
              <w:rPr>
                <w:noProof/>
                <w:webHidden/>
              </w:rPr>
              <w:instrText xml:space="preserve"> PAGEREF _Toc179192047 \h </w:instrText>
            </w:r>
            <w:r w:rsidR="003C26DE">
              <w:rPr>
                <w:noProof/>
                <w:webHidden/>
              </w:rPr>
            </w:r>
            <w:r w:rsidR="003C26DE">
              <w:rPr>
                <w:noProof/>
                <w:webHidden/>
              </w:rPr>
              <w:fldChar w:fldCharType="separate"/>
            </w:r>
            <w:r w:rsidR="00162202">
              <w:rPr>
                <w:noProof/>
                <w:webHidden/>
              </w:rPr>
              <w:t>6</w:t>
            </w:r>
            <w:r w:rsidR="003C26DE">
              <w:rPr>
                <w:noProof/>
                <w:webHidden/>
              </w:rPr>
              <w:fldChar w:fldCharType="end"/>
            </w:r>
          </w:hyperlink>
        </w:p>
        <w:p w14:paraId="31CCA632" w14:textId="2ED896AC"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48" w:history="1">
            <w:r w:rsidR="003C26DE" w:rsidRPr="00873928">
              <w:rPr>
                <w:rStyle w:val="Hyperlink"/>
                <w:noProof/>
                <w:lang w:val="en-NZ"/>
              </w:rPr>
              <w:t>Indicator 1: Coverage</w:t>
            </w:r>
            <w:r w:rsidR="003C26DE">
              <w:rPr>
                <w:noProof/>
                <w:webHidden/>
              </w:rPr>
              <w:tab/>
            </w:r>
            <w:r w:rsidR="003C26DE">
              <w:rPr>
                <w:noProof/>
                <w:webHidden/>
              </w:rPr>
              <w:fldChar w:fldCharType="begin"/>
            </w:r>
            <w:r w:rsidR="003C26DE">
              <w:rPr>
                <w:noProof/>
                <w:webHidden/>
              </w:rPr>
              <w:instrText xml:space="preserve"> PAGEREF _Toc179192048 \h </w:instrText>
            </w:r>
            <w:r w:rsidR="003C26DE">
              <w:rPr>
                <w:noProof/>
                <w:webHidden/>
              </w:rPr>
            </w:r>
            <w:r w:rsidR="003C26DE">
              <w:rPr>
                <w:noProof/>
                <w:webHidden/>
              </w:rPr>
              <w:fldChar w:fldCharType="separate"/>
            </w:r>
            <w:r w:rsidR="00162202">
              <w:rPr>
                <w:noProof/>
                <w:webHidden/>
              </w:rPr>
              <w:t>7</w:t>
            </w:r>
            <w:r w:rsidR="003C26DE">
              <w:rPr>
                <w:noProof/>
                <w:webHidden/>
              </w:rPr>
              <w:fldChar w:fldCharType="end"/>
            </w:r>
          </w:hyperlink>
        </w:p>
        <w:p w14:paraId="131087CF" w14:textId="48F2D2C3"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49" w:history="1">
            <w:r w:rsidR="003C26DE" w:rsidRPr="00873928">
              <w:rPr>
                <w:rStyle w:val="Hyperlink"/>
                <w:noProof/>
                <w:lang w:val="en-NZ"/>
              </w:rPr>
              <w:t>Table 1:  Coverage by Ethnicity, January to December 2022</w:t>
            </w:r>
            <w:r w:rsidR="003C26DE">
              <w:rPr>
                <w:noProof/>
                <w:webHidden/>
              </w:rPr>
              <w:tab/>
            </w:r>
            <w:r w:rsidR="003C26DE">
              <w:rPr>
                <w:noProof/>
                <w:webHidden/>
              </w:rPr>
              <w:fldChar w:fldCharType="begin"/>
            </w:r>
            <w:r w:rsidR="003C26DE">
              <w:rPr>
                <w:noProof/>
                <w:webHidden/>
              </w:rPr>
              <w:instrText xml:space="preserve"> PAGEREF _Toc179192049 \h </w:instrText>
            </w:r>
            <w:r w:rsidR="003C26DE">
              <w:rPr>
                <w:noProof/>
                <w:webHidden/>
              </w:rPr>
            </w:r>
            <w:r w:rsidR="003C26DE">
              <w:rPr>
                <w:noProof/>
                <w:webHidden/>
              </w:rPr>
              <w:fldChar w:fldCharType="separate"/>
            </w:r>
            <w:r w:rsidR="00162202">
              <w:rPr>
                <w:noProof/>
                <w:webHidden/>
              </w:rPr>
              <w:t>7</w:t>
            </w:r>
            <w:r w:rsidR="003C26DE">
              <w:rPr>
                <w:noProof/>
                <w:webHidden/>
              </w:rPr>
              <w:fldChar w:fldCharType="end"/>
            </w:r>
          </w:hyperlink>
        </w:p>
        <w:p w14:paraId="7C36DA26" w14:textId="6FCCA7E6"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0" w:history="1">
            <w:r w:rsidR="003C26DE" w:rsidRPr="00873928">
              <w:rPr>
                <w:rStyle w:val="Hyperlink"/>
                <w:noProof/>
                <w:lang w:val="en-NZ"/>
              </w:rPr>
              <w:t>Table 2: Coverage by District, January to December 2022</w:t>
            </w:r>
            <w:r w:rsidR="003C26DE">
              <w:rPr>
                <w:noProof/>
                <w:webHidden/>
              </w:rPr>
              <w:tab/>
            </w:r>
            <w:r w:rsidR="003C26DE">
              <w:rPr>
                <w:noProof/>
                <w:webHidden/>
              </w:rPr>
              <w:fldChar w:fldCharType="begin"/>
            </w:r>
            <w:r w:rsidR="003C26DE">
              <w:rPr>
                <w:noProof/>
                <w:webHidden/>
              </w:rPr>
              <w:instrText xml:space="preserve"> PAGEREF _Toc179192050 \h </w:instrText>
            </w:r>
            <w:r w:rsidR="003C26DE">
              <w:rPr>
                <w:noProof/>
                <w:webHidden/>
              </w:rPr>
            </w:r>
            <w:r w:rsidR="003C26DE">
              <w:rPr>
                <w:noProof/>
                <w:webHidden/>
              </w:rPr>
              <w:fldChar w:fldCharType="separate"/>
            </w:r>
            <w:r w:rsidR="00162202">
              <w:rPr>
                <w:noProof/>
                <w:webHidden/>
              </w:rPr>
              <w:t>8</w:t>
            </w:r>
            <w:r w:rsidR="003C26DE">
              <w:rPr>
                <w:noProof/>
                <w:webHidden/>
              </w:rPr>
              <w:fldChar w:fldCharType="end"/>
            </w:r>
          </w:hyperlink>
        </w:p>
        <w:p w14:paraId="5F5BEEB8" w14:textId="7FAD36FA"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1" w:history="1">
            <w:r w:rsidR="003C26DE" w:rsidRPr="00873928">
              <w:rPr>
                <w:rStyle w:val="Hyperlink"/>
                <w:noProof/>
                <w:lang w:val="en-NZ"/>
              </w:rPr>
              <w:t>Table 3: Coverage by district and ethnicity, January to December 2022</w:t>
            </w:r>
            <w:r w:rsidR="003C26DE">
              <w:rPr>
                <w:noProof/>
                <w:webHidden/>
              </w:rPr>
              <w:tab/>
            </w:r>
            <w:r w:rsidR="003C26DE">
              <w:rPr>
                <w:noProof/>
                <w:webHidden/>
              </w:rPr>
              <w:fldChar w:fldCharType="begin"/>
            </w:r>
            <w:r w:rsidR="003C26DE">
              <w:rPr>
                <w:noProof/>
                <w:webHidden/>
              </w:rPr>
              <w:instrText xml:space="preserve"> PAGEREF _Toc179192051 \h </w:instrText>
            </w:r>
            <w:r w:rsidR="003C26DE">
              <w:rPr>
                <w:noProof/>
                <w:webHidden/>
              </w:rPr>
            </w:r>
            <w:r w:rsidR="003C26DE">
              <w:rPr>
                <w:noProof/>
                <w:webHidden/>
              </w:rPr>
              <w:fldChar w:fldCharType="separate"/>
            </w:r>
            <w:r w:rsidR="00162202">
              <w:rPr>
                <w:noProof/>
                <w:webHidden/>
              </w:rPr>
              <w:t>9</w:t>
            </w:r>
            <w:r w:rsidR="003C26DE">
              <w:rPr>
                <w:noProof/>
                <w:webHidden/>
              </w:rPr>
              <w:fldChar w:fldCharType="end"/>
            </w:r>
          </w:hyperlink>
        </w:p>
        <w:p w14:paraId="64E2000D" w14:textId="64CD6EC8"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2" w:history="1">
            <w:r w:rsidR="003C26DE" w:rsidRPr="00873928">
              <w:rPr>
                <w:rStyle w:val="Hyperlink"/>
                <w:noProof/>
                <w:lang w:val="en-NZ"/>
              </w:rPr>
              <w:t>Table 4: Coverage by year, 2012 to 2022</w:t>
            </w:r>
            <w:r w:rsidR="003C26DE">
              <w:rPr>
                <w:noProof/>
                <w:webHidden/>
              </w:rPr>
              <w:tab/>
            </w:r>
            <w:r w:rsidR="003C26DE">
              <w:rPr>
                <w:noProof/>
                <w:webHidden/>
              </w:rPr>
              <w:fldChar w:fldCharType="begin"/>
            </w:r>
            <w:r w:rsidR="003C26DE">
              <w:rPr>
                <w:noProof/>
                <w:webHidden/>
              </w:rPr>
              <w:instrText xml:space="preserve"> PAGEREF _Toc179192052 \h </w:instrText>
            </w:r>
            <w:r w:rsidR="003C26DE">
              <w:rPr>
                <w:noProof/>
                <w:webHidden/>
              </w:rPr>
            </w:r>
            <w:r w:rsidR="003C26DE">
              <w:rPr>
                <w:noProof/>
                <w:webHidden/>
              </w:rPr>
              <w:fldChar w:fldCharType="separate"/>
            </w:r>
            <w:r w:rsidR="00162202">
              <w:rPr>
                <w:noProof/>
                <w:webHidden/>
              </w:rPr>
              <w:t>9</w:t>
            </w:r>
            <w:r w:rsidR="003C26DE">
              <w:rPr>
                <w:noProof/>
                <w:webHidden/>
              </w:rPr>
              <w:fldChar w:fldCharType="end"/>
            </w:r>
          </w:hyperlink>
        </w:p>
        <w:p w14:paraId="4D28F28D" w14:textId="3B54E885"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53" w:history="1">
            <w:r w:rsidR="003C26DE" w:rsidRPr="00873928">
              <w:rPr>
                <w:rStyle w:val="Hyperlink"/>
                <w:noProof/>
                <w:lang w:val="en-NZ"/>
              </w:rPr>
              <w:t>Indicator 2: Timing of sample taking</w:t>
            </w:r>
            <w:r w:rsidR="003C26DE">
              <w:rPr>
                <w:noProof/>
                <w:webHidden/>
              </w:rPr>
              <w:tab/>
            </w:r>
            <w:r w:rsidR="003C26DE">
              <w:rPr>
                <w:noProof/>
                <w:webHidden/>
              </w:rPr>
              <w:fldChar w:fldCharType="begin"/>
            </w:r>
            <w:r w:rsidR="003C26DE">
              <w:rPr>
                <w:noProof/>
                <w:webHidden/>
              </w:rPr>
              <w:instrText xml:space="preserve"> PAGEREF _Toc179192053 \h </w:instrText>
            </w:r>
            <w:r w:rsidR="003C26DE">
              <w:rPr>
                <w:noProof/>
                <w:webHidden/>
              </w:rPr>
            </w:r>
            <w:r w:rsidR="003C26DE">
              <w:rPr>
                <w:noProof/>
                <w:webHidden/>
              </w:rPr>
              <w:fldChar w:fldCharType="separate"/>
            </w:r>
            <w:r w:rsidR="00162202">
              <w:rPr>
                <w:noProof/>
                <w:webHidden/>
              </w:rPr>
              <w:t>10</w:t>
            </w:r>
            <w:r w:rsidR="003C26DE">
              <w:rPr>
                <w:noProof/>
                <w:webHidden/>
              </w:rPr>
              <w:fldChar w:fldCharType="end"/>
            </w:r>
          </w:hyperlink>
        </w:p>
        <w:p w14:paraId="36EDE06B" w14:textId="2D2B27E8"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4" w:history="1">
            <w:r w:rsidR="003C26DE" w:rsidRPr="00873928">
              <w:rPr>
                <w:rStyle w:val="Hyperlink"/>
                <w:noProof/>
                <w:lang w:val="en-NZ"/>
              </w:rPr>
              <w:t>Table 5: Timing of samples taken by ethnicity, January to December 2022</w:t>
            </w:r>
            <w:r w:rsidR="003C26DE">
              <w:rPr>
                <w:noProof/>
                <w:webHidden/>
              </w:rPr>
              <w:tab/>
            </w:r>
            <w:r w:rsidR="003C26DE">
              <w:rPr>
                <w:noProof/>
                <w:webHidden/>
              </w:rPr>
              <w:fldChar w:fldCharType="begin"/>
            </w:r>
            <w:r w:rsidR="003C26DE">
              <w:rPr>
                <w:noProof/>
                <w:webHidden/>
              </w:rPr>
              <w:instrText xml:space="preserve"> PAGEREF _Toc179192054 \h </w:instrText>
            </w:r>
            <w:r w:rsidR="003C26DE">
              <w:rPr>
                <w:noProof/>
                <w:webHidden/>
              </w:rPr>
            </w:r>
            <w:r w:rsidR="003C26DE">
              <w:rPr>
                <w:noProof/>
                <w:webHidden/>
              </w:rPr>
              <w:fldChar w:fldCharType="separate"/>
            </w:r>
            <w:r w:rsidR="00162202">
              <w:rPr>
                <w:noProof/>
                <w:webHidden/>
              </w:rPr>
              <w:t>11</w:t>
            </w:r>
            <w:r w:rsidR="003C26DE">
              <w:rPr>
                <w:noProof/>
                <w:webHidden/>
              </w:rPr>
              <w:fldChar w:fldCharType="end"/>
            </w:r>
          </w:hyperlink>
        </w:p>
        <w:p w14:paraId="5EC73080" w14:textId="784D9E21"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5" w:history="1">
            <w:r w:rsidR="003C26DE" w:rsidRPr="00873928">
              <w:rPr>
                <w:rStyle w:val="Hyperlink"/>
                <w:noProof/>
                <w:lang w:val="en-NZ"/>
              </w:rPr>
              <w:t>Table 6: Timing of samples taken by district, January to December 2022</w:t>
            </w:r>
            <w:r w:rsidR="003C26DE">
              <w:rPr>
                <w:noProof/>
                <w:webHidden/>
              </w:rPr>
              <w:tab/>
            </w:r>
            <w:r w:rsidR="003C26DE">
              <w:rPr>
                <w:noProof/>
                <w:webHidden/>
              </w:rPr>
              <w:fldChar w:fldCharType="begin"/>
            </w:r>
            <w:r w:rsidR="003C26DE">
              <w:rPr>
                <w:noProof/>
                <w:webHidden/>
              </w:rPr>
              <w:instrText xml:space="preserve"> PAGEREF _Toc179192055 \h </w:instrText>
            </w:r>
            <w:r w:rsidR="003C26DE">
              <w:rPr>
                <w:noProof/>
                <w:webHidden/>
              </w:rPr>
            </w:r>
            <w:r w:rsidR="003C26DE">
              <w:rPr>
                <w:noProof/>
                <w:webHidden/>
              </w:rPr>
              <w:fldChar w:fldCharType="separate"/>
            </w:r>
            <w:r w:rsidR="00162202">
              <w:rPr>
                <w:noProof/>
                <w:webHidden/>
              </w:rPr>
              <w:t>12</w:t>
            </w:r>
            <w:r w:rsidR="003C26DE">
              <w:rPr>
                <w:noProof/>
                <w:webHidden/>
              </w:rPr>
              <w:fldChar w:fldCharType="end"/>
            </w:r>
          </w:hyperlink>
        </w:p>
        <w:p w14:paraId="1A9C9138" w14:textId="3E0DEDB4"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6" w:history="1">
            <w:r w:rsidR="003C26DE" w:rsidRPr="00873928">
              <w:rPr>
                <w:rStyle w:val="Hyperlink"/>
                <w:noProof/>
                <w:lang w:val="en-NZ"/>
              </w:rPr>
              <w:t>Figure 1: Percent of samples taken between 48 and 72 hours, January to December 2022</w:t>
            </w:r>
            <w:r w:rsidR="003C26DE">
              <w:rPr>
                <w:noProof/>
                <w:webHidden/>
              </w:rPr>
              <w:tab/>
            </w:r>
            <w:r w:rsidR="003C26DE">
              <w:rPr>
                <w:noProof/>
                <w:webHidden/>
              </w:rPr>
              <w:fldChar w:fldCharType="begin"/>
            </w:r>
            <w:r w:rsidR="003C26DE">
              <w:rPr>
                <w:noProof/>
                <w:webHidden/>
              </w:rPr>
              <w:instrText xml:space="preserve"> PAGEREF _Toc179192056 \h </w:instrText>
            </w:r>
            <w:r w:rsidR="003C26DE">
              <w:rPr>
                <w:noProof/>
                <w:webHidden/>
              </w:rPr>
            </w:r>
            <w:r w:rsidR="003C26DE">
              <w:rPr>
                <w:noProof/>
                <w:webHidden/>
              </w:rPr>
              <w:fldChar w:fldCharType="separate"/>
            </w:r>
            <w:r w:rsidR="00162202">
              <w:rPr>
                <w:noProof/>
                <w:webHidden/>
              </w:rPr>
              <w:t>13</w:t>
            </w:r>
            <w:r w:rsidR="003C26DE">
              <w:rPr>
                <w:noProof/>
                <w:webHidden/>
              </w:rPr>
              <w:fldChar w:fldCharType="end"/>
            </w:r>
          </w:hyperlink>
        </w:p>
        <w:p w14:paraId="037BC858" w14:textId="37513363"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57" w:history="1">
            <w:r w:rsidR="003C26DE" w:rsidRPr="00873928">
              <w:rPr>
                <w:rStyle w:val="Hyperlink"/>
                <w:noProof/>
                <w:lang w:val="en-NZ"/>
              </w:rPr>
              <w:t>Indicator 3: Quality of blood samples</w:t>
            </w:r>
            <w:r w:rsidR="003C26DE">
              <w:rPr>
                <w:noProof/>
                <w:webHidden/>
              </w:rPr>
              <w:tab/>
            </w:r>
            <w:r w:rsidR="003C26DE">
              <w:rPr>
                <w:noProof/>
                <w:webHidden/>
              </w:rPr>
              <w:fldChar w:fldCharType="begin"/>
            </w:r>
            <w:r w:rsidR="003C26DE">
              <w:rPr>
                <w:noProof/>
                <w:webHidden/>
              </w:rPr>
              <w:instrText xml:space="preserve"> PAGEREF _Toc179192057 \h </w:instrText>
            </w:r>
            <w:r w:rsidR="003C26DE">
              <w:rPr>
                <w:noProof/>
                <w:webHidden/>
              </w:rPr>
            </w:r>
            <w:r w:rsidR="003C26DE">
              <w:rPr>
                <w:noProof/>
                <w:webHidden/>
              </w:rPr>
              <w:fldChar w:fldCharType="separate"/>
            </w:r>
            <w:r w:rsidR="00162202">
              <w:rPr>
                <w:noProof/>
                <w:webHidden/>
              </w:rPr>
              <w:t>14</w:t>
            </w:r>
            <w:r w:rsidR="003C26DE">
              <w:rPr>
                <w:noProof/>
                <w:webHidden/>
              </w:rPr>
              <w:fldChar w:fldCharType="end"/>
            </w:r>
          </w:hyperlink>
        </w:p>
        <w:p w14:paraId="3EC197E2" w14:textId="002BDC89"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8" w:history="1">
            <w:r w:rsidR="003C26DE" w:rsidRPr="00873928">
              <w:rPr>
                <w:rStyle w:val="Hyperlink"/>
                <w:noProof/>
                <w:lang w:val="en-NZ"/>
              </w:rPr>
              <w:t>Table 7: Reason for unsatisfactory sample, January to December 2022</w:t>
            </w:r>
            <w:r w:rsidR="003C26DE">
              <w:rPr>
                <w:noProof/>
                <w:webHidden/>
              </w:rPr>
              <w:tab/>
            </w:r>
            <w:r w:rsidR="003C26DE">
              <w:rPr>
                <w:noProof/>
                <w:webHidden/>
              </w:rPr>
              <w:fldChar w:fldCharType="begin"/>
            </w:r>
            <w:r w:rsidR="003C26DE">
              <w:rPr>
                <w:noProof/>
                <w:webHidden/>
              </w:rPr>
              <w:instrText xml:space="preserve"> PAGEREF _Toc179192058 \h </w:instrText>
            </w:r>
            <w:r w:rsidR="003C26DE">
              <w:rPr>
                <w:noProof/>
                <w:webHidden/>
              </w:rPr>
            </w:r>
            <w:r w:rsidR="003C26DE">
              <w:rPr>
                <w:noProof/>
                <w:webHidden/>
              </w:rPr>
              <w:fldChar w:fldCharType="separate"/>
            </w:r>
            <w:r w:rsidR="00162202">
              <w:rPr>
                <w:noProof/>
                <w:webHidden/>
              </w:rPr>
              <w:t>14</w:t>
            </w:r>
            <w:r w:rsidR="003C26DE">
              <w:rPr>
                <w:noProof/>
                <w:webHidden/>
              </w:rPr>
              <w:fldChar w:fldCharType="end"/>
            </w:r>
          </w:hyperlink>
        </w:p>
        <w:p w14:paraId="23EC909F" w14:textId="0D19C9D0"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59" w:history="1">
            <w:r w:rsidR="003C26DE" w:rsidRPr="00873928">
              <w:rPr>
                <w:rStyle w:val="Hyperlink"/>
                <w:noProof/>
                <w:lang w:val="en-NZ"/>
              </w:rPr>
              <w:t>Table 8: Percent of samples of a satisfactory quality, January to December 2022</w:t>
            </w:r>
            <w:r w:rsidR="003C26DE">
              <w:rPr>
                <w:noProof/>
                <w:webHidden/>
              </w:rPr>
              <w:tab/>
            </w:r>
            <w:r w:rsidR="003C26DE">
              <w:rPr>
                <w:noProof/>
                <w:webHidden/>
              </w:rPr>
              <w:fldChar w:fldCharType="begin"/>
            </w:r>
            <w:r w:rsidR="003C26DE">
              <w:rPr>
                <w:noProof/>
                <w:webHidden/>
              </w:rPr>
              <w:instrText xml:space="preserve"> PAGEREF _Toc179192059 \h </w:instrText>
            </w:r>
            <w:r w:rsidR="003C26DE">
              <w:rPr>
                <w:noProof/>
                <w:webHidden/>
              </w:rPr>
            </w:r>
            <w:r w:rsidR="003C26DE">
              <w:rPr>
                <w:noProof/>
                <w:webHidden/>
              </w:rPr>
              <w:fldChar w:fldCharType="separate"/>
            </w:r>
            <w:r w:rsidR="00162202">
              <w:rPr>
                <w:noProof/>
                <w:webHidden/>
              </w:rPr>
              <w:t>15</w:t>
            </w:r>
            <w:r w:rsidR="003C26DE">
              <w:rPr>
                <w:noProof/>
                <w:webHidden/>
              </w:rPr>
              <w:fldChar w:fldCharType="end"/>
            </w:r>
          </w:hyperlink>
        </w:p>
        <w:p w14:paraId="4574DD3B" w14:textId="482934E1"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60" w:history="1">
            <w:r w:rsidR="003C26DE" w:rsidRPr="00873928">
              <w:rPr>
                <w:rStyle w:val="Hyperlink"/>
                <w:noProof/>
                <w:lang w:val="en-NZ"/>
              </w:rPr>
              <w:t>Indicator 4: Sample dispatch and delivery</w:t>
            </w:r>
            <w:r w:rsidR="003C26DE">
              <w:rPr>
                <w:noProof/>
                <w:webHidden/>
              </w:rPr>
              <w:tab/>
            </w:r>
            <w:r w:rsidR="003C26DE">
              <w:rPr>
                <w:noProof/>
                <w:webHidden/>
              </w:rPr>
              <w:fldChar w:fldCharType="begin"/>
            </w:r>
            <w:r w:rsidR="003C26DE">
              <w:rPr>
                <w:noProof/>
                <w:webHidden/>
              </w:rPr>
              <w:instrText xml:space="preserve"> PAGEREF _Toc179192060 \h </w:instrText>
            </w:r>
            <w:r w:rsidR="003C26DE">
              <w:rPr>
                <w:noProof/>
                <w:webHidden/>
              </w:rPr>
            </w:r>
            <w:r w:rsidR="003C26DE">
              <w:rPr>
                <w:noProof/>
                <w:webHidden/>
              </w:rPr>
              <w:fldChar w:fldCharType="separate"/>
            </w:r>
            <w:r w:rsidR="00162202">
              <w:rPr>
                <w:noProof/>
                <w:webHidden/>
              </w:rPr>
              <w:t>16</w:t>
            </w:r>
            <w:r w:rsidR="003C26DE">
              <w:rPr>
                <w:noProof/>
                <w:webHidden/>
              </w:rPr>
              <w:fldChar w:fldCharType="end"/>
            </w:r>
          </w:hyperlink>
        </w:p>
        <w:p w14:paraId="2F58067D" w14:textId="464E498C"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61" w:history="1">
            <w:r w:rsidR="003C26DE" w:rsidRPr="00873928">
              <w:rPr>
                <w:rStyle w:val="Hyperlink"/>
                <w:noProof/>
                <w:lang w:val="en-NZ"/>
              </w:rPr>
              <w:t>Table 9: Percent of samples received by the laboratory within four days of being taken, January to December 2022</w:t>
            </w:r>
            <w:r w:rsidR="003C26DE">
              <w:rPr>
                <w:noProof/>
                <w:webHidden/>
              </w:rPr>
              <w:tab/>
            </w:r>
            <w:r w:rsidR="003C26DE">
              <w:rPr>
                <w:noProof/>
                <w:webHidden/>
              </w:rPr>
              <w:fldChar w:fldCharType="begin"/>
            </w:r>
            <w:r w:rsidR="003C26DE">
              <w:rPr>
                <w:noProof/>
                <w:webHidden/>
              </w:rPr>
              <w:instrText xml:space="preserve"> PAGEREF _Toc179192061 \h </w:instrText>
            </w:r>
            <w:r w:rsidR="003C26DE">
              <w:rPr>
                <w:noProof/>
                <w:webHidden/>
              </w:rPr>
            </w:r>
            <w:r w:rsidR="003C26DE">
              <w:rPr>
                <w:noProof/>
                <w:webHidden/>
              </w:rPr>
              <w:fldChar w:fldCharType="separate"/>
            </w:r>
            <w:r w:rsidR="00162202">
              <w:rPr>
                <w:noProof/>
                <w:webHidden/>
              </w:rPr>
              <w:t>17</w:t>
            </w:r>
            <w:r w:rsidR="003C26DE">
              <w:rPr>
                <w:noProof/>
                <w:webHidden/>
              </w:rPr>
              <w:fldChar w:fldCharType="end"/>
            </w:r>
          </w:hyperlink>
        </w:p>
        <w:p w14:paraId="5EFDAC05" w14:textId="72237B40"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62" w:history="1">
            <w:r w:rsidR="003C26DE" w:rsidRPr="00873928">
              <w:rPr>
                <w:rStyle w:val="Hyperlink"/>
                <w:noProof/>
                <w:lang w:val="en-NZ"/>
              </w:rPr>
              <w:t>Figure 2: Percent of samples received by the laboratory within four days of being taken by district, January to December 2022</w:t>
            </w:r>
            <w:r w:rsidR="003C26DE">
              <w:rPr>
                <w:noProof/>
                <w:webHidden/>
              </w:rPr>
              <w:tab/>
            </w:r>
            <w:r w:rsidR="003C26DE">
              <w:rPr>
                <w:noProof/>
                <w:webHidden/>
              </w:rPr>
              <w:fldChar w:fldCharType="begin"/>
            </w:r>
            <w:r w:rsidR="003C26DE">
              <w:rPr>
                <w:noProof/>
                <w:webHidden/>
              </w:rPr>
              <w:instrText xml:space="preserve"> PAGEREF _Toc179192062 \h </w:instrText>
            </w:r>
            <w:r w:rsidR="003C26DE">
              <w:rPr>
                <w:noProof/>
                <w:webHidden/>
              </w:rPr>
            </w:r>
            <w:r w:rsidR="003C26DE">
              <w:rPr>
                <w:noProof/>
                <w:webHidden/>
              </w:rPr>
              <w:fldChar w:fldCharType="separate"/>
            </w:r>
            <w:r w:rsidR="00162202">
              <w:rPr>
                <w:noProof/>
                <w:webHidden/>
              </w:rPr>
              <w:t>18</w:t>
            </w:r>
            <w:r w:rsidR="003C26DE">
              <w:rPr>
                <w:noProof/>
                <w:webHidden/>
              </w:rPr>
              <w:fldChar w:fldCharType="end"/>
            </w:r>
          </w:hyperlink>
        </w:p>
        <w:p w14:paraId="44BD2803" w14:textId="5D4011BD"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63" w:history="1">
            <w:r w:rsidR="003C26DE" w:rsidRPr="00873928">
              <w:rPr>
                <w:rStyle w:val="Hyperlink"/>
                <w:noProof/>
                <w:lang w:val="en-NZ"/>
              </w:rPr>
              <w:t>Indicator 5: Receipt and follow-up of second sample</w:t>
            </w:r>
            <w:r w:rsidR="003C26DE">
              <w:rPr>
                <w:noProof/>
                <w:webHidden/>
              </w:rPr>
              <w:tab/>
            </w:r>
            <w:r w:rsidR="003C26DE">
              <w:rPr>
                <w:noProof/>
                <w:webHidden/>
              </w:rPr>
              <w:fldChar w:fldCharType="begin"/>
            </w:r>
            <w:r w:rsidR="003C26DE">
              <w:rPr>
                <w:noProof/>
                <w:webHidden/>
              </w:rPr>
              <w:instrText xml:space="preserve"> PAGEREF _Toc179192063 \h </w:instrText>
            </w:r>
            <w:r w:rsidR="003C26DE">
              <w:rPr>
                <w:noProof/>
                <w:webHidden/>
              </w:rPr>
            </w:r>
            <w:r w:rsidR="003C26DE">
              <w:rPr>
                <w:noProof/>
                <w:webHidden/>
              </w:rPr>
              <w:fldChar w:fldCharType="separate"/>
            </w:r>
            <w:r w:rsidR="00162202">
              <w:rPr>
                <w:noProof/>
                <w:webHidden/>
              </w:rPr>
              <w:t>19</w:t>
            </w:r>
            <w:r w:rsidR="003C26DE">
              <w:rPr>
                <w:noProof/>
                <w:webHidden/>
              </w:rPr>
              <w:fldChar w:fldCharType="end"/>
            </w:r>
          </w:hyperlink>
        </w:p>
        <w:p w14:paraId="27B4E005" w14:textId="47FBBABC"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64" w:history="1">
            <w:r w:rsidR="003C26DE" w:rsidRPr="00873928">
              <w:rPr>
                <w:rStyle w:val="Hyperlink"/>
                <w:noProof/>
                <w:lang w:val="en-NZ"/>
              </w:rPr>
              <w:t>Table 10: Percentage of second samples the laboratory received (or when other appropriate follow-up occurred) within 10 days, January to December 2022</w:t>
            </w:r>
            <w:r w:rsidR="003C26DE">
              <w:rPr>
                <w:noProof/>
                <w:webHidden/>
              </w:rPr>
              <w:tab/>
            </w:r>
            <w:r w:rsidR="003C26DE">
              <w:rPr>
                <w:noProof/>
                <w:webHidden/>
              </w:rPr>
              <w:fldChar w:fldCharType="begin"/>
            </w:r>
            <w:r w:rsidR="003C26DE">
              <w:rPr>
                <w:noProof/>
                <w:webHidden/>
              </w:rPr>
              <w:instrText xml:space="preserve"> PAGEREF _Toc179192064 \h </w:instrText>
            </w:r>
            <w:r w:rsidR="003C26DE">
              <w:rPr>
                <w:noProof/>
                <w:webHidden/>
              </w:rPr>
            </w:r>
            <w:r w:rsidR="003C26DE">
              <w:rPr>
                <w:noProof/>
                <w:webHidden/>
              </w:rPr>
              <w:fldChar w:fldCharType="separate"/>
            </w:r>
            <w:r w:rsidR="00162202">
              <w:rPr>
                <w:noProof/>
                <w:webHidden/>
              </w:rPr>
              <w:t>20</w:t>
            </w:r>
            <w:r w:rsidR="003C26DE">
              <w:rPr>
                <w:noProof/>
                <w:webHidden/>
              </w:rPr>
              <w:fldChar w:fldCharType="end"/>
            </w:r>
          </w:hyperlink>
        </w:p>
        <w:p w14:paraId="6102ECFE" w14:textId="30956241"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65" w:history="1">
            <w:r w:rsidR="003C26DE" w:rsidRPr="00873928">
              <w:rPr>
                <w:rStyle w:val="Hyperlink"/>
                <w:noProof/>
                <w:lang w:val="en-NZ"/>
              </w:rPr>
              <w:t>Figure 3: Percentage of second samples the laboratory received (or when other appropriate follow-up occurred) within 10 days, January to December 2022</w:t>
            </w:r>
            <w:r w:rsidR="003C26DE">
              <w:rPr>
                <w:noProof/>
                <w:webHidden/>
              </w:rPr>
              <w:tab/>
            </w:r>
            <w:r w:rsidR="003C26DE">
              <w:rPr>
                <w:noProof/>
                <w:webHidden/>
              </w:rPr>
              <w:fldChar w:fldCharType="begin"/>
            </w:r>
            <w:r w:rsidR="003C26DE">
              <w:rPr>
                <w:noProof/>
                <w:webHidden/>
              </w:rPr>
              <w:instrText xml:space="preserve"> PAGEREF _Toc179192065 \h </w:instrText>
            </w:r>
            <w:r w:rsidR="003C26DE">
              <w:rPr>
                <w:noProof/>
                <w:webHidden/>
              </w:rPr>
            </w:r>
            <w:r w:rsidR="003C26DE">
              <w:rPr>
                <w:noProof/>
                <w:webHidden/>
              </w:rPr>
              <w:fldChar w:fldCharType="separate"/>
            </w:r>
            <w:r w:rsidR="00162202">
              <w:rPr>
                <w:noProof/>
                <w:webHidden/>
              </w:rPr>
              <w:t>21</w:t>
            </w:r>
            <w:r w:rsidR="003C26DE">
              <w:rPr>
                <w:noProof/>
                <w:webHidden/>
              </w:rPr>
              <w:fldChar w:fldCharType="end"/>
            </w:r>
          </w:hyperlink>
        </w:p>
        <w:p w14:paraId="484AA98F" w14:textId="5658E3BB"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66" w:history="1">
            <w:r w:rsidR="003C26DE" w:rsidRPr="00873928">
              <w:rPr>
                <w:rStyle w:val="Hyperlink"/>
                <w:noProof/>
                <w:lang w:val="en-NZ"/>
              </w:rPr>
              <w:t>Indicator 6: Laboratory turnaround time for positive results</w:t>
            </w:r>
            <w:r w:rsidR="003C26DE">
              <w:rPr>
                <w:noProof/>
                <w:webHidden/>
              </w:rPr>
              <w:tab/>
            </w:r>
            <w:r w:rsidR="003C26DE">
              <w:rPr>
                <w:noProof/>
                <w:webHidden/>
              </w:rPr>
              <w:fldChar w:fldCharType="begin"/>
            </w:r>
            <w:r w:rsidR="003C26DE">
              <w:rPr>
                <w:noProof/>
                <w:webHidden/>
              </w:rPr>
              <w:instrText xml:space="preserve"> PAGEREF _Toc179192066 \h </w:instrText>
            </w:r>
            <w:r w:rsidR="003C26DE">
              <w:rPr>
                <w:noProof/>
                <w:webHidden/>
              </w:rPr>
            </w:r>
            <w:r w:rsidR="003C26DE">
              <w:rPr>
                <w:noProof/>
                <w:webHidden/>
              </w:rPr>
              <w:fldChar w:fldCharType="separate"/>
            </w:r>
            <w:r w:rsidR="00162202">
              <w:rPr>
                <w:noProof/>
                <w:webHidden/>
              </w:rPr>
              <w:t>22</w:t>
            </w:r>
            <w:r w:rsidR="003C26DE">
              <w:rPr>
                <w:noProof/>
                <w:webHidden/>
              </w:rPr>
              <w:fldChar w:fldCharType="end"/>
            </w:r>
          </w:hyperlink>
        </w:p>
        <w:p w14:paraId="7357B241" w14:textId="52733C1E"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67" w:history="1">
            <w:r w:rsidR="003C26DE" w:rsidRPr="00873928">
              <w:rPr>
                <w:rStyle w:val="Hyperlink"/>
                <w:noProof/>
                <w:lang w:val="en-NZ"/>
              </w:rPr>
              <w:t>Table 11: Notification of screen positives by disorder, January to December 2022</w:t>
            </w:r>
            <w:r w:rsidR="003C26DE">
              <w:rPr>
                <w:noProof/>
                <w:webHidden/>
              </w:rPr>
              <w:tab/>
            </w:r>
            <w:r w:rsidR="003C26DE">
              <w:rPr>
                <w:noProof/>
                <w:webHidden/>
              </w:rPr>
              <w:fldChar w:fldCharType="begin"/>
            </w:r>
            <w:r w:rsidR="003C26DE">
              <w:rPr>
                <w:noProof/>
                <w:webHidden/>
              </w:rPr>
              <w:instrText xml:space="preserve"> PAGEREF _Toc179192067 \h </w:instrText>
            </w:r>
            <w:r w:rsidR="003C26DE">
              <w:rPr>
                <w:noProof/>
                <w:webHidden/>
              </w:rPr>
            </w:r>
            <w:r w:rsidR="003C26DE">
              <w:rPr>
                <w:noProof/>
                <w:webHidden/>
              </w:rPr>
              <w:fldChar w:fldCharType="separate"/>
            </w:r>
            <w:r w:rsidR="00162202">
              <w:rPr>
                <w:noProof/>
                <w:webHidden/>
              </w:rPr>
              <w:t>23</w:t>
            </w:r>
            <w:r w:rsidR="003C26DE">
              <w:rPr>
                <w:noProof/>
                <w:webHidden/>
              </w:rPr>
              <w:fldChar w:fldCharType="end"/>
            </w:r>
          </w:hyperlink>
        </w:p>
        <w:p w14:paraId="065E699E" w14:textId="19B35CA9"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68" w:history="1">
            <w:r w:rsidR="003C26DE" w:rsidRPr="00873928">
              <w:rPr>
                <w:rStyle w:val="Hyperlink"/>
                <w:noProof/>
                <w:lang w:val="en-NZ"/>
              </w:rPr>
              <w:t>Figure 4: Percentage of screen positives the laboratory notified within the disorder-specific timeframe, January to December 2022</w:t>
            </w:r>
            <w:r w:rsidR="003C26DE">
              <w:rPr>
                <w:noProof/>
                <w:webHidden/>
              </w:rPr>
              <w:tab/>
            </w:r>
            <w:r w:rsidR="003C26DE">
              <w:rPr>
                <w:noProof/>
                <w:webHidden/>
              </w:rPr>
              <w:fldChar w:fldCharType="begin"/>
            </w:r>
            <w:r w:rsidR="003C26DE">
              <w:rPr>
                <w:noProof/>
                <w:webHidden/>
              </w:rPr>
              <w:instrText xml:space="preserve"> PAGEREF _Toc179192068 \h </w:instrText>
            </w:r>
            <w:r w:rsidR="003C26DE">
              <w:rPr>
                <w:noProof/>
                <w:webHidden/>
              </w:rPr>
            </w:r>
            <w:r w:rsidR="003C26DE">
              <w:rPr>
                <w:noProof/>
                <w:webHidden/>
              </w:rPr>
              <w:fldChar w:fldCharType="separate"/>
            </w:r>
            <w:r w:rsidR="00162202">
              <w:rPr>
                <w:noProof/>
                <w:webHidden/>
              </w:rPr>
              <w:t>24</w:t>
            </w:r>
            <w:r w:rsidR="003C26DE">
              <w:rPr>
                <w:noProof/>
                <w:webHidden/>
              </w:rPr>
              <w:fldChar w:fldCharType="end"/>
            </w:r>
          </w:hyperlink>
        </w:p>
        <w:p w14:paraId="6F068B91" w14:textId="59A1A6AF"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69" w:history="1">
            <w:r w:rsidR="003C26DE" w:rsidRPr="00873928">
              <w:rPr>
                <w:rStyle w:val="Hyperlink"/>
                <w:noProof/>
                <w:lang w:val="en-NZ"/>
              </w:rPr>
              <w:t>Indicator 7: Age of receipt into clinical care</w:t>
            </w:r>
            <w:r w:rsidR="003C26DE">
              <w:rPr>
                <w:noProof/>
                <w:webHidden/>
              </w:rPr>
              <w:tab/>
            </w:r>
            <w:r w:rsidR="003C26DE">
              <w:rPr>
                <w:noProof/>
                <w:webHidden/>
              </w:rPr>
              <w:fldChar w:fldCharType="begin"/>
            </w:r>
            <w:r w:rsidR="003C26DE">
              <w:rPr>
                <w:noProof/>
                <w:webHidden/>
              </w:rPr>
              <w:instrText xml:space="preserve"> PAGEREF _Toc179192069 \h </w:instrText>
            </w:r>
            <w:r w:rsidR="003C26DE">
              <w:rPr>
                <w:noProof/>
                <w:webHidden/>
              </w:rPr>
            </w:r>
            <w:r w:rsidR="003C26DE">
              <w:rPr>
                <w:noProof/>
                <w:webHidden/>
              </w:rPr>
              <w:fldChar w:fldCharType="separate"/>
            </w:r>
            <w:r w:rsidR="00162202">
              <w:rPr>
                <w:noProof/>
                <w:webHidden/>
              </w:rPr>
              <w:t>25</w:t>
            </w:r>
            <w:r w:rsidR="003C26DE">
              <w:rPr>
                <w:noProof/>
                <w:webHidden/>
              </w:rPr>
              <w:fldChar w:fldCharType="end"/>
            </w:r>
          </w:hyperlink>
        </w:p>
        <w:p w14:paraId="69252A37" w14:textId="5688B1F4"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70" w:history="1">
            <w:r w:rsidR="003C26DE" w:rsidRPr="00873928">
              <w:rPr>
                <w:rStyle w:val="Hyperlink"/>
                <w:noProof/>
                <w:lang w:val="en-NZ"/>
              </w:rPr>
              <w:t>Table 12: Timeframe met for receipt into clinical care after confirmed diagnosis, January to December 2022</w:t>
            </w:r>
            <w:r w:rsidR="003C26DE">
              <w:rPr>
                <w:noProof/>
                <w:webHidden/>
              </w:rPr>
              <w:tab/>
            </w:r>
            <w:r w:rsidR="003C26DE">
              <w:rPr>
                <w:noProof/>
                <w:webHidden/>
              </w:rPr>
              <w:fldChar w:fldCharType="begin"/>
            </w:r>
            <w:r w:rsidR="003C26DE">
              <w:rPr>
                <w:noProof/>
                <w:webHidden/>
              </w:rPr>
              <w:instrText xml:space="preserve"> PAGEREF _Toc179192070 \h </w:instrText>
            </w:r>
            <w:r w:rsidR="003C26DE">
              <w:rPr>
                <w:noProof/>
                <w:webHidden/>
              </w:rPr>
            </w:r>
            <w:r w:rsidR="003C26DE">
              <w:rPr>
                <w:noProof/>
                <w:webHidden/>
              </w:rPr>
              <w:fldChar w:fldCharType="separate"/>
            </w:r>
            <w:r w:rsidR="00162202">
              <w:rPr>
                <w:noProof/>
                <w:webHidden/>
              </w:rPr>
              <w:t>26</w:t>
            </w:r>
            <w:r w:rsidR="003C26DE">
              <w:rPr>
                <w:noProof/>
                <w:webHidden/>
              </w:rPr>
              <w:fldChar w:fldCharType="end"/>
            </w:r>
          </w:hyperlink>
        </w:p>
        <w:p w14:paraId="51D17997" w14:textId="40721174"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71" w:history="1">
            <w:r w:rsidR="003C26DE" w:rsidRPr="00873928">
              <w:rPr>
                <w:rStyle w:val="Hyperlink"/>
                <w:noProof/>
                <w:lang w:val="en-NZ"/>
              </w:rPr>
              <w:t>Indicator 8: Positive predictive value of the screening test</w:t>
            </w:r>
            <w:r w:rsidR="003C26DE">
              <w:rPr>
                <w:noProof/>
                <w:webHidden/>
              </w:rPr>
              <w:tab/>
            </w:r>
            <w:r w:rsidR="003C26DE">
              <w:rPr>
                <w:noProof/>
                <w:webHidden/>
              </w:rPr>
              <w:fldChar w:fldCharType="begin"/>
            </w:r>
            <w:r w:rsidR="003C26DE">
              <w:rPr>
                <w:noProof/>
                <w:webHidden/>
              </w:rPr>
              <w:instrText xml:space="preserve"> PAGEREF _Toc179192071 \h </w:instrText>
            </w:r>
            <w:r w:rsidR="003C26DE">
              <w:rPr>
                <w:noProof/>
                <w:webHidden/>
              </w:rPr>
            </w:r>
            <w:r w:rsidR="003C26DE">
              <w:rPr>
                <w:noProof/>
                <w:webHidden/>
              </w:rPr>
              <w:fldChar w:fldCharType="separate"/>
            </w:r>
            <w:r w:rsidR="00162202">
              <w:rPr>
                <w:noProof/>
                <w:webHidden/>
              </w:rPr>
              <w:t>27</w:t>
            </w:r>
            <w:r w:rsidR="003C26DE">
              <w:rPr>
                <w:noProof/>
                <w:webHidden/>
              </w:rPr>
              <w:fldChar w:fldCharType="end"/>
            </w:r>
          </w:hyperlink>
        </w:p>
        <w:p w14:paraId="6C326820" w14:textId="721A6AB2" w:rsidR="003C26DE" w:rsidRDefault="001047E0">
          <w:pPr>
            <w:pStyle w:val="TOC2"/>
            <w:rPr>
              <w:rFonts w:asciiTheme="minorHAnsi" w:eastAsiaTheme="minorEastAsia" w:hAnsiTheme="minorHAnsi" w:cstheme="minorBidi"/>
              <w:noProof/>
              <w:kern w:val="2"/>
              <w:sz w:val="24"/>
              <w:szCs w:val="24"/>
              <w:lang w:val="en-NZ" w:eastAsia="en-NZ"/>
              <w14:ligatures w14:val="standardContextual"/>
            </w:rPr>
          </w:pPr>
          <w:hyperlink w:anchor="_Toc179192072" w:history="1">
            <w:r w:rsidR="003C26DE" w:rsidRPr="00873928">
              <w:rPr>
                <w:rStyle w:val="Hyperlink"/>
                <w:noProof/>
                <w:lang w:val="en-NZ"/>
              </w:rPr>
              <w:t>Table 13: Positive predictive value of the screening test, January 2018 to December 2022</w:t>
            </w:r>
            <w:r w:rsidR="003C26DE">
              <w:rPr>
                <w:noProof/>
                <w:webHidden/>
              </w:rPr>
              <w:tab/>
            </w:r>
            <w:r w:rsidR="003C26DE">
              <w:rPr>
                <w:noProof/>
                <w:webHidden/>
              </w:rPr>
              <w:fldChar w:fldCharType="begin"/>
            </w:r>
            <w:r w:rsidR="003C26DE">
              <w:rPr>
                <w:noProof/>
                <w:webHidden/>
              </w:rPr>
              <w:instrText xml:space="preserve"> PAGEREF _Toc179192072 \h </w:instrText>
            </w:r>
            <w:r w:rsidR="003C26DE">
              <w:rPr>
                <w:noProof/>
                <w:webHidden/>
              </w:rPr>
            </w:r>
            <w:r w:rsidR="003C26DE">
              <w:rPr>
                <w:noProof/>
                <w:webHidden/>
              </w:rPr>
              <w:fldChar w:fldCharType="separate"/>
            </w:r>
            <w:r w:rsidR="00162202">
              <w:rPr>
                <w:noProof/>
                <w:webHidden/>
              </w:rPr>
              <w:t>28</w:t>
            </w:r>
            <w:r w:rsidR="003C26DE">
              <w:rPr>
                <w:noProof/>
                <w:webHidden/>
              </w:rPr>
              <w:fldChar w:fldCharType="end"/>
            </w:r>
          </w:hyperlink>
        </w:p>
        <w:p w14:paraId="64D17E65" w14:textId="087DD3A4" w:rsidR="003C26DE" w:rsidRDefault="001047E0">
          <w:pPr>
            <w:pStyle w:val="TOC1"/>
            <w:rPr>
              <w:rFonts w:asciiTheme="minorHAnsi" w:eastAsiaTheme="minorEastAsia" w:hAnsiTheme="minorHAnsi" w:cstheme="minorBidi"/>
              <w:noProof/>
              <w:kern w:val="2"/>
              <w:sz w:val="24"/>
              <w:szCs w:val="24"/>
              <w:lang w:val="en-NZ" w:eastAsia="en-NZ"/>
              <w14:ligatures w14:val="standardContextual"/>
            </w:rPr>
          </w:pPr>
          <w:hyperlink w:anchor="_Toc179192073" w:history="1">
            <w:r w:rsidR="003C26DE" w:rsidRPr="00873928">
              <w:rPr>
                <w:rStyle w:val="Hyperlink"/>
                <w:noProof/>
                <w:lang w:val="en-NZ"/>
              </w:rPr>
              <w:t>Appendix 1: List of screened conditions</w:t>
            </w:r>
            <w:r w:rsidR="003C26DE">
              <w:rPr>
                <w:noProof/>
                <w:webHidden/>
              </w:rPr>
              <w:tab/>
            </w:r>
            <w:r w:rsidR="003C26DE">
              <w:rPr>
                <w:noProof/>
                <w:webHidden/>
              </w:rPr>
              <w:fldChar w:fldCharType="begin"/>
            </w:r>
            <w:r w:rsidR="003C26DE">
              <w:rPr>
                <w:noProof/>
                <w:webHidden/>
              </w:rPr>
              <w:instrText xml:space="preserve"> PAGEREF _Toc179192073 \h </w:instrText>
            </w:r>
            <w:r w:rsidR="003C26DE">
              <w:rPr>
                <w:noProof/>
                <w:webHidden/>
              </w:rPr>
            </w:r>
            <w:r w:rsidR="003C26DE">
              <w:rPr>
                <w:noProof/>
                <w:webHidden/>
              </w:rPr>
              <w:fldChar w:fldCharType="separate"/>
            </w:r>
            <w:r w:rsidR="00162202">
              <w:rPr>
                <w:noProof/>
                <w:webHidden/>
              </w:rPr>
              <w:t>29</w:t>
            </w:r>
            <w:r w:rsidR="003C26DE">
              <w:rPr>
                <w:noProof/>
                <w:webHidden/>
              </w:rPr>
              <w:fldChar w:fldCharType="end"/>
            </w:r>
          </w:hyperlink>
        </w:p>
        <w:p w14:paraId="523F8AC2" w14:textId="384C39F6" w:rsidR="00B31853" w:rsidRDefault="00EB3422" w:rsidP="00FB74A1">
          <w:pPr>
            <w:pStyle w:val="TOC1"/>
            <w:rPr>
              <w:lang w:val="en-NZ"/>
            </w:rPr>
          </w:pPr>
          <w:r w:rsidRPr="00613DE5">
            <w:rPr>
              <w:color w:val="2B579A"/>
              <w:shd w:val="clear" w:color="auto" w:fill="E6E6E6"/>
              <w:lang w:val="en-NZ"/>
            </w:rPr>
            <w:lastRenderedPageBreak/>
            <w:fldChar w:fldCharType="end"/>
          </w:r>
        </w:p>
      </w:sdtContent>
    </w:sdt>
    <w:bookmarkStart w:id="0" w:name="_Toc160616203" w:displacedByCustomXml="prev"/>
    <w:p w14:paraId="7C7AF1AF" w14:textId="384C39F6" w:rsidR="00D066C7" w:rsidRPr="007C4467" w:rsidRDefault="00D066C7" w:rsidP="007C4467">
      <w:pPr>
        <w:pStyle w:val="Heading1"/>
        <w:rPr>
          <w:lang w:val="en-NZ"/>
        </w:rPr>
      </w:pPr>
      <w:bookmarkStart w:id="1" w:name="_Toc179192044"/>
      <w:r w:rsidRPr="00B31853">
        <w:rPr>
          <w:lang w:val="en-NZ"/>
        </w:rPr>
        <w:t>Introduction</w:t>
      </w:r>
      <w:bookmarkEnd w:id="0"/>
      <w:bookmarkEnd w:id="1"/>
    </w:p>
    <w:p w14:paraId="1396BFBC" w14:textId="61E4C595" w:rsidR="00D066C7" w:rsidRPr="00613DE5" w:rsidRDefault="00D066C7" w:rsidP="00651321">
      <w:pPr>
        <w:rPr>
          <w:lang w:val="en-NZ"/>
        </w:rPr>
      </w:pPr>
      <w:r w:rsidRPr="4B3F588B">
        <w:rPr>
          <w:lang w:val="en-NZ"/>
        </w:rPr>
        <w:t>This annual report provides information on the performance of the Newborn Metabolic Screening Programme (NMSP) against the agreed set of national indicators</w:t>
      </w:r>
      <w:r w:rsidR="0057765E">
        <w:rPr>
          <w:lang w:val="en-NZ"/>
        </w:rPr>
        <w:t xml:space="preserve"> in 2022</w:t>
      </w:r>
      <w:r w:rsidRPr="4B3F588B">
        <w:rPr>
          <w:lang w:val="en-NZ"/>
        </w:rPr>
        <w:t>. Regular analysis and reporting of NMSP data</w:t>
      </w:r>
      <w:r w:rsidR="00FA7A31" w:rsidRPr="4B3F588B">
        <w:rPr>
          <w:lang w:val="en-NZ"/>
        </w:rPr>
        <w:t xml:space="preserve"> are </w:t>
      </w:r>
      <w:r w:rsidRPr="4B3F588B">
        <w:rPr>
          <w:lang w:val="en-NZ"/>
        </w:rPr>
        <w:t>key tool</w:t>
      </w:r>
      <w:r w:rsidR="00FA7A31" w:rsidRPr="4B3F588B">
        <w:rPr>
          <w:lang w:val="en-NZ"/>
        </w:rPr>
        <w:t>s</w:t>
      </w:r>
      <w:r w:rsidRPr="4B3F588B">
        <w:rPr>
          <w:lang w:val="en-NZ"/>
        </w:rPr>
        <w:t xml:space="preserve"> in enabling continuous quality improvement of the programme.</w:t>
      </w:r>
    </w:p>
    <w:p w14:paraId="24129C01" w14:textId="6130E56A" w:rsidR="4D5F7E0D" w:rsidRDefault="4D5F7E0D" w:rsidP="4B3F588B">
      <w:pPr>
        <w:rPr>
          <w:rFonts w:eastAsia="Arial"/>
          <w:color w:val="000000"/>
          <w:lang w:val="en-NZ"/>
        </w:rPr>
      </w:pPr>
      <w:r w:rsidRPr="4B3F588B">
        <w:rPr>
          <w:rFonts w:eastAsia="Arial"/>
          <w:color w:val="000000"/>
          <w:lang w:val="en-NZ"/>
        </w:rPr>
        <w:t xml:space="preserve">The NMSP Monitoring Framework and monitoring reports are published at </w:t>
      </w:r>
      <w:hyperlink r:id="rId13" w:history="1">
        <w:r w:rsidR="00DB214C" w:rsidRPr="00DB214C">
          <w:rPr>
            <w:rStyle w:val="Hyperlink"/>
          </w:rPr>
          <w:t>Quality standards and monitoring reports – Health New Zealand | Te Whatu Ora</w:t>
        </w:r>
      </w:hyperlink>
      <w:r w:rsidR="00DB214C">
        <w:t>.</w:t>
      </w:r>
      <w:r w:rsidRPr="00DC1957">
        <w:rPr>
          <w:rFonts w:eastAsia="Arial"/>
          <w:color w:val="000000"/>
          <w:lang w:val="en-NZ"/>
        </w:rPr>
        <w:t xml:space="preserve"> </w:t>
      </w:r>
      <w:r w:rsidRPr="4B3F588B">
        <w:rPr>
          <w:rFonts w:eastAsia="Arial"/>
          <w:color w:val="000000"/>
          <w:lang w:val="en-NZ"/>
        </w:rPr>
        <w:t xml:space="preserve">The </w:t>
      </w:r>
      <w:hyperlink r:id="rId14">
        <w:r w:rsidRPr="4B3F588B">
          <w:rPr>
            <w:rStyle w:val="Hyperlink"/>
            <w:rFonts w:eastAsia="Arial"/>
            <w:lang w:val="en-NZ"/>
          </w:rPr>
          <w:t xml:space="preserve">Newborn Metabolic Screening Programme monitoring indicators  </w:t>
        </w:r>
      </w:hyperlink>
      <w:r w:rsidRPr="4B3F588B">
        <w:rPr>
          <w:rFonts w:eastAsia="Arial"/>
          <w:color w:val="000000"/>
          <w:lang w:val="en-NZ"/>
        </w:rPr>
        <w:t xml:space="preserve">dated February 2018, updates and replaces the indicators in the Newborn Metabolic Screening Programme Monitoring Framework, November 2010. </w:t>
      </w:r>
    </w:p>
    <w:p w14:paraId="3EAE4AD4" w14:textId="7BEA20DF" w:rsidR="4D5F7E0D" w:rsidRDefault="4D5F7E0D" w:rsidP="4B3F588B">
      <w:pPr>
        <w:rPr>
          <w:rFonts w:eastAsia="Arial"/>
          <w:color w:val="2B529C" w:themeColor="accent5" w:themeTint="BF"/>
          <w:lang w:val="en-NZ"/>
        </w:rPr>
      </w:pPr>
      <w:r w:rsidRPr="4B3F588B">
        <w:rPr>
          <w:rFonts w:eastAsia="Arial"/>
          <w:color w:val="000000"/>
          <w:lang w:val="en-NZ"/>
        </w:rPr>
        <w:t xml:space="preserve">The reports and monitoring framework are available at: </w:t>
      </w:r>
      <w:hyperlink r:id="rId15">
        <w:r w:rsidRPr="4B3F588B">
          <w:rPr>
            <w:rStyle w:val="Hyperlink"/>
            <w:rFonts w:eastAsia="Arial"/>
            <w:lang w:val="en-NZ"/>
          </w:rPr>
          <w:t>https://www.tewhatuora.govt.nz/health-services-and-programmes/newborn-metabolic-screening-programme/quality-standards/</w:t>
        </w:r>
      </w:hyperlink>
    </w:p>
    <w:p w14:paraId="7387C14B" w14:textId="219835E6" w:rsidR="4B3F588B" w:rsidRDefault="4B3F588B" w:rsidP="4B3F588B">
      <w:pPr>
        <w:rPr>
          <w:lang w:val="en-NZ"/>
        </w:rPr>
      </w:pPr>
    </w:p>
    <w:p w14:paraId="65B08C51" w14:textId="77777777" w:rsidR="00D066C7" w:rsidRPr="00613DE5" w:rsidRDefault="00D066C7" w:rsidP="00D066C7">
      <w:pPr>
        <w:pStyle w:val="Heading1"/>
        <w:rPr>
          <w:lang w:val="en-NZ"/>
        </w:rPr>
      </w:pPr>
      <w:bookmarkStart w:id="2" w:name="_Toc139960551"/>
      <w:bookmarkStart w:id="3" w:name="_Toc160616204"/>
      <w:bookmarkStart w:id="4" w:name="_Toc179192045"/>
      <w:r w:rsidRPr="00613DE5">
        <w:rPr>
          <w:lang w:val="en-NZ"/>
        </w:rPr>
        <w:t>Background to the programme</w:t>
      </w:r>
      <w:bookmarkEnd w:id="2"/>
      <w:bookmarkEnd w:id="3"/>
      <w:bookmarkEnd w:id="4"/>
    </w:p>
    <w:p w14:paraId="4103E3AE" w14:textId="29059F8B" w:rsidR="00D066C7" w:rsidRPr="00613DE5" w:rsidRDefault="00D066C7" w:rsidP="202ACABF">
      <w:pPr>
        <w:rPr>
          <w:rFonts w:cstheme="minorBidi"/>
          <w:lang w:val="en-NZ"/>
        </w:rPr>
      </w:pPr>
      <w:r w:rsidRPr="202ACABF">
        <w:rPr>
          <w:rFonts w:cstheme="minorBidi"/>
          <w:lang w:val="en-NZ"/>
        </w:rPr>
        <w:t xml:space="preserve">The aim of the NMSP is to reduce morbidity and mortality associated with specific congenital disorders by screening newborns to detect the conditions before life-threatening illness or developmental delays occur. Since 1969, almost all newborns in </w:t>
      </w:r>
      <w:r w:rsidR="00AA228A" w:rsidRPr="202ACABF">
        <w:rPr>
          <w:rFonts w:cstheme="minorBidi"/>
          <w:lang w:val="en-NZ"/>
        </w:rPr>
        <w:t xml:space="preserve">Aotearoa </w:t>
      </w:r>
      <w:r w:rsidRPr="202ACABF">
        <w:rPr>
          <w:rFonts w:cstheme="minorBidi"/>
          <w:lang w:val="en-NZ"/>
        </w:rPr>
        <w:t xml:space="preserve">New Zealand have been screened by the programme. Currently, the NMSP identifies about </w:t>
      </w:r>
      <w:r w:rsidRPr="48CFFEE7">
        <w:rPr>
          <w:rFonts w:cstheme="minorBidi"/>
          <w:lang w:val="en-NZ"/>
        </w:rPr>
        <w:t>60 newborns</w:t>
      </w:r>
      <w:r w:rsidRPr="202ACABF">
        <w:rPr>
          <w:rFonts w:cstheme="minorBidi"/>
          <w:lang w:val="en-NZ"/>
        </w:rPr>
        <w:t xml:space="preserve"> a year with a screened disorder.</w:t>
      </w:r>
    </w:p>
    <w:p w14:paraId="4D426566" w14:textId="1C876BC0" w:rsidR="00D066C7" w:rsidRPr="00613DE5" w:rsidRDefault="00D066C7" w:rsidP="00D066C7">
      <w:pPr>
        <w:rPr>
          <w:rFonts w:cstheme="minorHAnsi"/>
          <w:szCs w:val="24"/>
          <w:lang w:val="en-NZ"/>
        </w:rPr>
      </w:pPr>
      <w:r w:rsidRPr="00613DE5">
        <w:rPr>
          <w:rFonts w:cstheme="minorHAnsi"/>
          <w:szCs w:val="24"/>
          <w:lang w:val="en-NZ"/>
        </w:rPr>
        <w:t xml:space="preserve">To conduct the screening, a midwife, nurse, </w:t>
      </w:r>
      <w:r w:rsidR="00FA7A31" w:rsidRPr="00613DE5">
        <w:rPr>
          <w:rFonts w:cstheme="minorHAnsi"/>
          <w:szCs w:val="24"/>
          <w:lang w:val="en-NZ"/>
        </w:rPr>
        <w:t>phlebotomist,</w:t>
      </w:r>
      <w:r w:rsidRPr="00613DE5">
        <w:rPr>
          <w:rFonts w:cstheme="minorHAnsi"/>
          <w:szCs w:val="24"/>
          <w:lang w:val="en-NZ"/>
        </w:rPr>
        <w:t xml:space="preserve"> or doctor collects a blood sample from the newborn’s heel onto a blood spot card (a ‘Guthrie card’). The recommended collection time for samples in 2022 was when the newborn was between 48 and 72 hours of age</w:t>
      </w:r>
      <w:r w:rsidR="00B07421">
        <w:rPr>
          <w:rFonts w:cstheme="minorHAnsi"/>
          <w:szCs w:val="24"/>
          <w:lang w:val="en-NZ"/>
        </w:rPr>
        <w:t>,</w:t>
      </w:r>
      <w:r w:rsidRPr="00613DE5">
        <w:rPr>
          <w:lang w:val="en-NZ"/>
        </w:rPr>
        <w:t xml:space="preserve"> although </w:t>
      </w:r>
      <w:r w:rsidRPr="00613DE5">
        <w:rPr>
          <w:rFonts w:cstheme="minorHAnsi"/>
          <w:szCs w:val="24"/>
          <w:lang w:val="en-NZ"/>
        </w:rPr>
        <w:t xml:space="preserve">samples collected from 24 hours of age were considered acceptable for screening completion. The optimal time for collection was updated in December 2022 to between 24 and 48 hours. Cards are sent urgently to the laboratory, LabPLUS at Auckland City Hospital, which analyses the samples and reports the results to appropriate clinicians. These blood spot samples </w:t>
      </w:r>
      <w:r w:rsidR="001C63DA">
        <w:rPr>
          <w:rFonts w:cstheme="minorHAnsi"/>
          <w:szCs w:val="24"/>
          <w:lang w:val="en-NZ"/>
        </w:rPr>
        <w:t>are</w:t>
      </w:r>
      <w:r w:rsidR="001C63DA" w:rsidRPr="00613DE5">
        <w:rPr>
          <w:rFonts w:cstheme="minorHAnsi"/>
          <w:szCs w:val="24"/>
          <w:lang w:val="en-NZ"/>
        </w:rPr>
        <w:t xml:space="preserve"> </w:t>
      </w:r>
      <w:r w:rsidRPr="00613DE5">
        <w:rPr>
          <w:rFonts w:cstheme="minorHAnsi"/>
          <w:szCs w:val="24"/>
          <w:lang w:val="en-NZ"/>
        </w:rPr>
        <w:t>screened for the conditions listed in Appendix 1.</w:t>
      </w:r>
    </w:p>
    <w:p w14:paraId="0738D612" w14:textId="63BE59FD" w:rsidR="00D066C7" w:rsidRPr="00613DE5" w:rsidRDefault="00D066C7" w:rsidP="00D066C7">
      <w:pPr>
        <w:rPr>
          <w:lang w:val="en-NZ"/>
        </w:rPr>
      </w:pPr>
      <w:r w:rsidRPr="0ED270C0">
        <w:rPr>
          <w:rFonts w:cstheme="minorBidi"/>
          <w:lang w:val="en-NZ"/>
        </w:rPr>
        <w:t xml:space="preserve">In 2005, the </w:t>
      </w:r>
      <w:r w:rsidR="00EE1593" w:rsidRPr="0ED270C0">
        <w:rPr>
          <w:rFonts w:cstheme="minorBidi"/>
          <w:lang w:val="en-NZ"/>
        </w:rPr>
        <w:t>National Screening Unit (</w:t>
      </w:r>
      <w:r w:rsidRPr="0ED270C0">
        <w:rPr>
          <w:rFonts w:cstheme="minorBidi"/>
          <w:lang w:val="en-NZ"/>
        </w:rPr>
        <w:t>NSU</w:t>
      </w:r>
      <w:r w:rsidR="00EE1593" w:rsidRPr="0ED270C0">
        <w:rPr>
          <w:rFonts w:cstheme="minorBidi"/>
          <w:lang w:val="en-NZ"/>
        </w:rPr>
        <w:t>)</w:t>
      </w:r>
      <w:r w:rsidRPr="0ED270C0">
        <w:rPr>
          <w:rFonts w:cstheme="minorBidi"/>
          <w:lang w:val="en-NZ"/>
        </w:rPr>
        <w:t xml:space="preserve"> at the Ministry of Health </w:t>
      </w:r>
      <w:r w:rsidR="478F1350" w:rsidRPr="49A3FCF9">
        <w:rPr>
          <w:rFonts w:cstheme="minorBidi"/>
          <w:lang w:val="en-NZ"/>
        </w:rPr>
        <w:t>-</w:t>
      </w:r>
      <w:r w:rsidR="71836B26" w:rsidRPr="49A3FCF9">
        <w:rPr>
          <w:rFonts w:cstheme="minorBidi"/>
          <w:lang w:val="en-NZ"/>
        </w:rPr>
        <w:t xml:space="preserve"> Manatū Hauora</w:t>
      </w:r>
      <w:r w:rsidRPr="49A3FCF9">
        <w:rPr>
          <w:rFonts w:cstheme="minorBidi"/>
          <w:lang w:val="en-NZ"/>
        </w:rPr>
        <w:t xml:space="preserve"> </w:t>
      </w:r>
      <w:r w:rsidRPr="0ED270C0">
        <w:rPr>
          <w:rFonts w:cstheme="minorBidi"/>
          <w:lang w:val="en-NZ"/>
        </w:rPr>
        <w:t xml:space="preserve">began overseeing the NMSP nationally. A significant milestone for the programme came in 2006 when newborn screening was expanded to include fatty acid oxidation disorders and more amino acid breakdown disorders in the screening panel. Screening for severe combined immunodeficiency (SCID) was added in December 2017. </w:t>
      </w:r>
      <w:r w:rsidRPr="0ED270C0">
        <w:rPr>
          <w:lang w:val="en-NZ"/>
        </w:rPr>
        <w:t>In 2023 the NSU was disestablished, and its functions incorporated into the National Public Health Service, Health N</w:t>
      </w:r>
      <w:r w:rsidR="017AFCA2" w:rsidRPr="0ED270C0">
        <w:rPr>
          <w:lang w:val="en-NZ"/>
        </w:rPr>
        <w:t xml:space="preserve">ew </w:t>
      </w:r>
      <w:r w:rsidRPr="0ED270C0">
        <w:rPr>
          <w:lang w:val="en-NZ"/>
        </w:rPr>
        <w:t>Z</w:t>
      </w:r>
      <w:r w:rsidR="49019F82" w:rsidRPr="0ED270C0">
        <w:rPr>
          <w:lang w:val="en-NZ"/>
        </w:rPr>
        <w:t>ealand</w:t>
      </w:r>
      <w:r w:rsidR="00AA228A" w:rsidRPr="0ED270C0">
        <w:rPr>
          <w:lang w:val="en-NZ"/>
        </w:rPr>
        <w:t xml:space="preserve"> </w:t>
      </w:r>
      <w:r w:rsidR="1009AD4F" w:rsidRPr="0EC271CA">
        <w:rPr>
          <w:lang w:val="en-NZ"/>
        </w:rPr>
        <w:t>|</w:t>
      </w:r>
      <w:r w:rsidR="00AA228A" w:rsidRPr="0ED270C0">
        <w:rPr>
          <w:lang w:val="en-NZ"/>
        </w:rPr>
        <w:t>Te Whatu Ora</w:t>
      </w:r>
      <w:r w:rsidRPr="0ED270C0">
        <w:rPr>
          <w:lang w:val="en-NZ"/>
        </w:rPr>
        <w:t>.</w:t>
      </w:r>
    </w:p>
    <w:p w14:paraId="01FC1B70" w14:textId="77777777" w:rsidR="007C4467" w:rsidRDefault="007C4467">
      <w:pPr>
        <w:rPr>
          <w:rFonts w:ascii="Poppins" w:eastAsiaTheme="majorEastAsia" w:hAnsi="Poppins" w:cs="Poppins"/>
          <w:b/>
          <w:bCs/>
          <w:color w:val="30A1AC"/>
          <w:sz w:val="36"/>
          <w:szCs w:val="36"/>
          <w:lang w:val="en-NZ"/>
        </w:rPr>
      </w:pPr>
      <w:bookmarkStart w:id="5" w:name="_Toc22895378"/>
      <w:bookmarkStart w:id="6" w:name="_Toc74131367"/>
      <w:bookmarkStart w:id="7" w:name="_Toc93071255"/>
      <w:bookmarkStart w:id="8" w:name="_Toc93648508"/>
      <w:bookmarkStart w:id="9" w:name="_Toc139960552"/>
      <w:bookmarkStart w:id="10" w:name="_Toc160616205"/>
      <w:r>
        <w:rPr>
          <w:lang w:val="en-NZ"/>
        </w:rPr>
        <w:br w:type="page"/>
      </w:r>
    </w:p>
    <w:p w14:paraId="2A79261D" w14:textId="002E0ED8" w:rsidR="00D066C7" w:rsidRPr="00613DE5" w:rsidRDefault="00D066C7" w:rsidP="00D066C7">
      <w:pPr>
        <w:pStyle w:val="Heading1"/>
        <w:rPr>
          <w:lang w:val="en-NZ"/>
        </w:rPr>
      </w:pPr>
      <w:bookmarkStart w:id="11" w:name="_Toc179192046"/>
      <w:r w:rsidRPr="00613DE5">
        <w:rPr>
          <w:lang w:val="en-NZ"/>
        </w:rPr>
        <w:lastRenderedPageBreak/>
        <w:t>Data summary</w:t>
      </w:r>
      <w:bookmarkEnd w:id="5"/>
      <w:bookmarkEnd w:id="6"/>
      <w:bookmarkEnd w:id="7"/>
      <w:bookmarkEnd w:id="8"/>
      <w:bookmarkEnd w:id="9"/>
      <w:bookmarkEnd w:id="10"/>
      <w:bookmarkEnd w:id="11"/>
    </w:p>
    <w:p w14:paraId="04B7FB82" w14:textId="241BCAC2" w:rsidR="00D066C7" w:rsidRPr="00613DE5" w:rsidRDefault="00D066C7" w:rsidP="00D066C7">
      <w:pPr>
        <w:rPr>
          <w:shd w:val="clear" w:color="auto" w:fill="FFFFFF"/>
          <w:lang w:val="en-NZ"/>
        </w:rPr>
      </w:pPr>
      <w:r w:rsidRPr="00613DE5">
        <w:rPr>
          <w:shd w:val="clear" w:color="auto" w:fill="FFFFFF"/>
          <w:lang w:val="en-NZ"/>
        </w:rPr>
        <w:t xml:space="preserve">Screening data </w:t>
      </w:r>
      <w:r w:rsidR="00231E35">
        <w:rPr>
          <w:shd w:val="clear" w:color="auto" w:fill="FFFFFF"/>
          <w:lang w:val="en-NZ"/>
        </w:rPr>
        <w:t>are</w:t>
      </w:r>
      <w:r w:rsidRPr="00613DE5">
        <w:rPr>
          <w:shd w:val="clear" w:color="auto" w:fill="FFFFFF"/>
          <w:lang w:val="en-NZ"/>
        </w:rPr>
        <w:t xml:space="preserve"> sourced from LabPLUS at Te Toka Tumai Auckland for all blood spot cards received in the 2022 calendar year. </w:t>
      </w:r>
    </w:p>
    <w:p w14:paraId="21385CF5" w14:textId="0D66BE4F" w:rsidR="00D066C7" w:rsidRPr="00613DE5" w:rsidRDefault="00D066C7" w:rsidP="00D066C7">
      <w:pPr>
        <w:rPr>
          <w:shd w:val="clear" w:color="auto" w:fill="FFFFFF"/>
          <w:lang w:val="en-NZ"/>
        </w:rPr>
      </w:pPr>
      <w:r w:rsidRPr="00613DE5">
        <w:rPr>
          <w:shd w:val="clear" w:color="auto" w:fill="FFFFFF"/>
          <w:lang w:val="en-NZ"/>
        </w:rPr>
        <w:t xml:space="preserve">Birth data from the 2022 calendar year </w:t>
      </w:r>
      <w:r w:rsidR="00231E35">
        <w:rPr>
          <w:shd w:val="clear" w:color="auto" w:fill="FFFFFF"/>
          <w:lang w:val="en-NZ"/>
        </w:rPr>
        <w:t>are</w:t>
      </w:r>
      <w:r w:rsidRPr="00613DE5">
        <w:rPr>
          <w:shd w:val="clear" w:color="auto" w:fill="FFFFFF"/>
          <w:lang w:val="en-NZ"/>
        </w:rPr>
        <w:t xml:space="preserve"> sourced from the Maternity data collection at </w:t>
      </w:r>
      <w:r w:rsidR="009906E4" w:rsidRPr="00746CF5">
        <w:rPr>
          <w:szCs w:val="24"/>
        </w:rPr>
        <w:t>Health New Zealand | Te Whatu Ora</w:t>
      </w:r>
      <w:r w:rsidRPr="00613DE5">
        <w:rPr>
          <w:shd w:val="clear" w:color="auto" w:fill="FFFFFF"/>
          <w:lang w:val="en-NZ"/>
        </w:rPr>
        <w:t xml:space="preserve">. In this 2022 report, as occurred for the 2021 report, when a baby is present in screening data but is not in maternity data, that baby is added into the denominator (births). This supplementation </w:t>
      </w:r>
      <w:r w:rsidRPr="0019520D">
        <w:rPr>
          <w:shd w:val="clear" w:color="auto" w:fill="FFFFFF"/>
          <w:lang w:val="en-NZ"/>
        </w:rPr>
        <w:t xml:space="preserve">is </w:t>
      </w:r>
      <w:r w:rsidR="00B53A75" w:rsidRPr="0019520D">
        <w:rPr>
          <w:shd w:val="clear" w:color="auto" w:fill="FFFFFF"/>
          <w:lang w:val="en-NZ"/>
        </w:rPr>
        <w:t>because</w:t>
      </w:r>
      <w:r w:rsidRPr="00613DE5">
        <w:rPr>
          <w:shd w:val="clear" w:color="auto" w:fill="FFFFFF"/>
          <w:lang w:val="en-NZ"/>
        </w:rPr>
        <w:t xml:space="preserve"> maternity is an incomplete data set and doing so prevents coverage rates exceeding 100 percent as sometimes was the case in previous years</w:t>
      </w:r>
      <w:r w:rsidR="00231E35">
        <w:rPr>
          <w:shd w:val="clear" w:color="auto" w:fill="FFFFFF"/>
          <w:lang w:val="en-NZ"/>
        </w:rPr>
        <w:t>’</w:t>
      </w:r>
      <w:r w:rsidRPr="00613DE5">
        <w:rPr>
          <w:shd w:val="clear" w:color="auto" w:fill="FFFFFF"/>
          <w:lang w:val="en-NZ"/>
        </w:rPr>
        <w:t xml:space="preserve"> reports.</w:t>
      </w:r>
    </w:p>
    <w:p w14:paraId="0A52D55C" w14:textId="39089520" w:rsidR="00D066C7" w:rsidRPr="00613DE5" w:rsidRDefault="00D066C7" w:rsidP="00651321">
      <w:pPr>
        <w:rPr>
          <w:shd w:val="clear" w:color="auto" w:fill="FFFFFF"/>
        </w:rPr>
      </w:pPr>
      <w:r w:rsidRPr="40789E16">
        <w:rPr>
          <w:shd w:val="clear" w:color="auto" w:fill="FFFFFF"/>
        </w:rPr>
        <w:t xml:space="preserve">District of domicile is taken from the National Enrolment System (NES) data-warehouse. The NES has historical address data so the </w:t>
      </w:r>
      <w:r w:rsidR="57B8E488" w:rsidRPr="40789E16">
        <w:rPr>
          <w:shd w:val="clear" w:color="auto" w:fill="FFFFFF"/>
        </w:rPr>
        <w:t>district</w:t>
      </w:r>
      <w:r w:rsidRPr="40789E16">
        <w:rPr>
          <w:shd w:val="clear" w:color="auto" w:fill="FFFFFF"/>
        </w:rPr>
        <w:t xml:space="preserve"> of domicile for a baby during the reporting year can be derived. In cases where a baby is not in the NES, the District is then taken from the Health Care User (HCU) data-warehouse. When a newborn’s </w:t>
      </w:r>
      <w:r w:rsidR="500A2820" w:rsidRPr="40789E16">
        <w:rPr>
          <w:shd w:val="clear" w:color="auto" w:fill="FFFFFF"/>
        </w:rPr>
        <w:t>d</w:t>
      </w:r>
      <w:r w:rsidRPr="40789E16">
        <w:rPr>
          <w:shd w:val="clear" w:color="auto" w:fill="FFFFFF"/>
        </w:rPr>
        <w:t xml:space="preserve">istrict of domicile is unknown it is set to ‘Unknown’. </w:t>
      </w:r>
    </w:p>
    <w:p w14:paraId="26CFE04C" w14:textId="761401CF" w:rsidR="00D066C7" w:rsidRPr="00613DE5" w:rsidRDefault="00D066C7" w:rsidP="00D066C7">
      <w:pPr>
        <w:rPr>
          <w:shd w:val="clear" w:color="auto" w:fill="FFFFFF"/>
          <w:lang w:val="en-NZ"/>
        </w:rPr>
      </w:pPr>
      <w:r w:rsidRPr="00613DE5">
        <w:rPr>
          <w:shd w:val="clear" w:color="auto" w:fill="FFFFFF"/>
          <w:lang w:val="en-NZ"/>
        </w:rPr>
        <w:t xml:space="preserve">Ethnicity data </w:t>
      </w:r>
      <w:r w:rsidR="00231E35">
        <w:rPr>
          <w:shd w:val="clear" w:color="auto" w:fill="FFFFFF"/>
          <w:lang w:val="en-NZ"/>
        </w:rPr>
        <w:t>are</w:t>
      </w:r>
      <w:r w:rsidRPr="00613DE5">
        <w:rPr>
          <w:shd w:val="clear" w:color="auto" w:fill="FFFFFF"/>
          <w:lang w:val="en-NZ"/>
        </w:rPr>
        <w:t xml:space="preserve"> prioritised following Statistics New Zealand’s HISO 10001:2017 ethnicity data protocol, which is the standard approach across the health sector. </w:t>
      </w:r>
    </w:p>
    <w:p w14:paraId="0FDC8E17" w14:textId="59639197" w:rsidR="00D066C7" w:rsidRPr="00613DE5" w:rsidRDefault="00D066C7" w:rsidP="00D066C7">
      <w:pPr>
        <w:rPr>
          <w:shd w:val="clear" w:color="auto" w:fill="FFFFFF"/>
          <w:lang w:val="en-NZ"/>
        </w:rPr>
      </w:pPr>
      <w:r w:rsidRPr="00613DE5">
        <w:rPr>
          <w:shd w:val="clear" w:color="auto" w:fill="FFFFFF"/>
          <w:lang w:val="en-NZ"/>
        </w:rPr>
        <w:t xml:space="preserve">This report uses data as </w:t>
      </w:r>
      <w:r w:rsidR="00FA7A31" w:rsidRPr="00613DE5">
        <w:rPr>
          <w:shd w:val="clear" w:color="auto" w:fill="FFFFFF"/>
          <w:lang w:val="en-NZ"/>
        </w:rPr>
        <w:t>of</w:t>
      </w:r>
      <w:r w:rsidRPr="00613DE5">
        <w:rPr>
          <w:shd w:val="clear" w:color="auto" w:fill="FFFFFF"/>
          <w:lang w:val="en-NZ"/>
        </w:rPr>
        <w:t xml:space="preserve"> November 202</w:t>
      </w:r>
      <w:r w:rsidR="00756A5E">
        <w:rPr>
          <w:shd w:val="clear" w:color="auto" w:fill="FFFFFF"/>
          <w:lang w:val="en-NZ"/>
        </w:rPr>
        <w:t>3</w:t>
      </w:r>
      <w:r w:rsidRPr="00613DE5">
        <w:rPr>
          <w:shd w:val="clear" w:color="auto" w:fill="FFFFFF"/>
          <w:lang w:val="en-NZ"/>
        </w:rPr>
        <w:t>.</w:t>
      </w:r>
    </w:p>
    <w:p w14:paraId="292145AE" w14:textId="77777777" w:rsidR="00D066C7" w:rsidRPr="00613DE5" w:rsidRDefault="00D066C7" w:rsidP="00D066C7">
      <w:pPr>
        <w:rPr>
          <w:lang w:val="en-NZ"/>
        </w:rPr>
      </w:pPr>
    </w:p>
    <w:p w14:paraId="6427BAC8" w14:textId="77777777" w:rsidR="007E1BB0" w:rsidRPr="00613DE5" w:rsidRDefault="007E1BB0">
      <w:pPr>
        <w:rPr>
          <w:rFonts w:ascii="Poppins" w:eastAsiaTheme="majorEastAsia" w:hAnsi="Poppins" w:cs="Poppins"/>
          <w:b/>
          <w:bCs/>
          <w:color w:val="30A1AC"/>
          <w:sz w:val="36"/>
          <w:szCs w:val="36"/>
          <w:lang w:val="en-NZ"/>
        </w:rPr>
      </w:pPr>
      <w:bookmarkStart w:id="12" w:name="_Toc160616206"/>
      <w:r w:rsidRPr="00613DE5">
        <w:rPr>
          <w:lang w:val="en-NZ"/>
        </w:rPr>
        <w:br w:type="page"/>
      </w:r>
    </w:p>
    <w:p w14:paraId="091E15CF" w14:textId="7C825E98" w:rsidR="007E1BB0" w:rsidRPr="00613DE5" w:rsidRDefault="007E1BB0" w:rsidP="007E1BB0">
      <w:pPr>
        <w:pStyle w:val="Heading1"/>
        <w:rPr>
          <w:lang w:val="en-NZ"/>
        </w:rPr>
      </w:pPr>
      <w:bookmarkStart w:id="13" w:name="_Toc179192047"/>
      <w:r w:rsidRPr="00613DE5">
        <w:rPr>
          <w:lang w:val="en-NZ"/>
        </w:rPr>
        <w:lastRenderedPageBreak/>
        <w:t xml:space="preserve">Executive </w:t>
      </w:r>
      <w:bookmarkEnd w:id="12"/>
      <w:r w:rsidR="00EF3443">
        <w:rPr>
          <w:lang w:val="en-NZ"/>
        </w:rPr>
        <w:t>s</w:t>
      </w:r>
      <w:r w:rsidR="00EF3443" w:rsidRPr="00613DE5">
        <w:rPr>
          <w:lang w:val="en-NZ"/>
        </w:rPr>
        <w:t>ummary</w:t>
      </w:r>
      <w:bookmarkEnd w:id="13"/>
    </w:p>
    <w:p w14:paraId="62375447" w14:textId="7062F163" w:rsidR="007E1BB0" w:rsidRPr="00613DE5" w:rsidRDefault="007E1BB0" w:rsidP="007E1BB0">
      <w:pPr>
        <w:rPr>
          <w:shd w:val="clear" w:color="auto" w:fill="FFFFFF"/>
          <w:lang w:val="en-NZ"/>
        </w:rPr>
      </w:pPr>
      <w:r w:rsidRPr="00613DE5">
        <w:rPr>
          <w:shd w:val="clear" w:color="auto" w:fill="FFFFFF"/>
          <w:lang w:val="en-NZ"/>
        </w:rPr>
        <w:t xml:space="preserve">The Newborn Metabolic Screening Programme (NMSP) screened </w:t>
      </w:r>
      <w:r w:rsidRPr="0D67CDED">
        <w:rPr>
          <w:shd w:val="clear" w:color="auto" w:fill="FFFFFF"/>
          <w:lang w:val="en-NZ"/>
        </w:rPr>
        <w:t>56,875</w:t>
      </w:r>
      <w:r w:rsidRPr="00613DE5">
        <w:rPr>
          <w:shd w:val="clear" w:color="auto" w:fill="FFFFFF"/>
          <w:lang w:val="en-NZ"/>
        </w:rPr>
        <w:t xml:space="preserve"> of the 58,113 babies born in 2022. This represents a national coverage rate of 97.9 percent, which is slightly lower than previous years</w:t>
      </w:r>
      <w:r w:rsidR="00DC4042">
        <w:rPr>
          <w:shd w:val="clear" w:color="auto" w:fill="FFFFFF"/>
          <w:lang w:val="en-NZ"/>
        </w:rPr>
        <w:t>’</w:t>
      </w:r>
      <w:r w:rsidRPr="00613DE5">
        <w:rPr>
          <w:shd w:val="clear" w:color="auto" w:fill="FFFFFF"/>
          <w:lang w:val="en-NZ"/>
        </w:rPr>
        <w:t xml:space="preserve"> coverage rates.</w:t>
      </w:r>
    </w:p>
    <w:p w14:paraId="7FA91CD4" w14:textId="77777777" w:rsidR="007E1BB0" w:rsidRPr="00613DE5" w:rsidRDefault="007E1BB0" w:rsidP="007E1BB0">
      <w:pPr>
        <w:rPr>
          <w:shd w:val="clear" w:color="auto" w:fill="FFFFFF"/>
          <w:lang w:val="en-NZ"/>
        </w:rPr>
      </w:pPr>
      <w:r w:rsidRPr="00613DE5">
        <w:rPr>
          <w:shd w:val="clear" w:color="auto" w:fill="FFFFFF"/>
          <w:lang w:val="en-NZ"/>
        </w:rPr>
        <w:t xml:space="preserve">Coverage rates at a District level range from 95.7 percent to 99.5 percent. Since 2017, Districts have been increasingly encouraged to match their birth data with their data on babies screened to ensure all babies whose parents/guardians have given consent are screened. In 2022, national coverage varied by ethnic group: 96.3 percent of Māori newborns, 96.6 percent of Pacific newborns, 98.9 percent of Asian and 98.6 percent of newborns of all other ethnicities were screened. </w:t>
      </w:r>
    </w:p>
    <w:p w14:paraId="15C3E695" w14:textId="48F3D0B4" w:rsidR="007E1BB0" w:rsidRPr="00613DE5" w:rsidRDefault="007E1BB0" w:rsidP="007E1BB0">
      <w:pPr>
        <w:rPr>
          <w:shd w:val="clear" w:color="auto" w:fill="FFFFFF"/>
          <w:lang w:val="en-NZ"/>
        </w:rPr>
      </w:pPr>
      <w:r w:rsidRPr="00613DE5">
        <w:rPr>
          <w:shd w:val="clear" w:color="auto" w:fill="FFFFFF"/>
          <w:lang w:val="en-NZ"/>
        </w:rPr>
        <w:t xml:space="preserve">In 2022, </w:t>
      </w:r>
      <w:r w:rsidRPr="0D67CDED">
        <w:rPr>
          <w:shd w:val="clear" w:color="auto" w:fill="FFFFFF"/>
          <w:lang w:val="en-NZ"/>
        </w:rPr>
        <w:t>5</w:t>
      </w:r>
      <w:r w:rsidR="006C214E" w:rsidRPr="0D67CDED">
        <w:rPr>
          <w:shd w:val="clear" w:color="auto" w:fill="FFFFFF"/>
          <w:lang w:val="en-NZ"/>
        </w:rPr>
        <w:t>2</w:t>
      </w:r>
      <w:r w:rsidRPr="0D67CDED">
        <w:rPr>
          <w:shd w:val="clear" w:color="auto" w:fill="FFFFFF"/>
          <w:lang w:val="en-NZ"/>
        </w:rPr>
        <w:t xml:space="preserve"> newborns</w:t>
      </w:r>
      <w:r w:rsidRPr="00613DE5">
        <w:rPr>
          <w:shd w:val="clear" w:color="auto" w:fill="FFFFFF"/>
          <w:lang w:val="en-NZ"/>
        </w:rPr>
        <w:t xml:space="preserve"> were diagnosed with a screened disorder. </w:t>
      </w:r>
    </w:p>
    <w:p w14:paraId="50D5343A" w14:textId="77777777" w:rsidR="00AE1B4C" w:rsidRPr="00613DE5" w:rsidRDefault="00AE1B4C" w:rsidP="00AE1B4C">
      <w:pPr>
        <w:rPr>
          <w:shd w:val="clear" w:color="auto" w:fill="FFFFFF"/>
          <w:lang w:val="en-NZ"/>
        </w:rPr>
      </w:pPr>
      <w:r w:rsidRPr="00613DE5">
        <w:rPr>
          <w:shd w:val="clear" w:color="auto" w:fill="FFFFFF"/>
          <w:lang w:val="en-NZ"/>
        </w:rPr>
        <w:t>Of the seven indicators with a national target, six were not met:</w:t>
      </w:r>
    </w:p>
    <w:tbl>
      <w:tblPr>
        <w:tblStyle w:val="ListTable4-Accent5"/>
        <w:tblW w:w="0" w:type="auto"/>
        <w:tblLook w:val="04A0" w:firstRow="1" w:lastRow="0" w:firstColumn="1" w:lastColumn="0" w:noHBand="0" w:noVBand="1"/>
      </w:tblPr>
      <w:tblGrid>
        <w:gridCol w:w="2122"/>
        <w:gridCol w:w="3118"/>
        <w:gridCol w:w="3776"/>
      </w:tblGrid>
      <w:tr w:rsidR="005A6D28" w:rsidRPr="0030764C" w14:paraId="7DCF641B" w14:textId="77777777" w:rsidTr="4150A3D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B725B8D" w14:textId="77777777" w:rsidR="005A6D28" w:rsidRPr="0030764C" w:rsidRDefault="005A6D28" w:rsidP="00635FD1">
            <w:pPr>
              <w:rPr>
                <w:rFonts w:eastAsia="Times New Roman"/>
                <w:lang w:val="en-NZ" w:eastAsia="en-NZ"/>
              </w:rPr>
            </w:pPr>
            <w:bookmarkStart w:id="14" w:name="_Toc160616207"/>
            <w:r w:rsidRPr="0030764C">
              <w:rPr>
                <w:rFonts w:eastAsia="Times New Roman"/>
                <w:lang w:val="en-NZ" w:eastAsia="en-NZ"/>
              </w:rPr>
              <w:t xml:space="preserve">Indicator </w:t>
            </w:r>
          </w:p>
        </w:tc>
        <w:tc>
          <w:tcPr>
            <w:tcW w:w="3118" w:type="dxa"/>
            <w:hideMark/>
          </w:tcPr>
          <w:p w14:paraId="0D2EEE31" w14:textId="77777777" w:rsidR="005A6D28" w:rsidRPr="0030764C" w:rsidRDefault="005A6D28" w:rsidP="00635FD1">
            <w:pPr>
              <w:cnfStyle w:val="100000000000" w:firstRow="1" w:lastRow="0" w:firstColumn="0" w:lastColumn="0" w:oddVBand="0" w:evenVBand="0" w:oddHBand="0" w:evenHBand="0" w:firstRowFirstColumn="0" w:firstRowLastColumn="0" w:lastRowFirstColumn="0" w:lastRowLastColumn="0"/>
              <w:rPr>
                <w:rFonts w:eastAsia="Times New Roman"/>
                <w:lang w:val="en-NZ" w:eastAsia="en-NZ"/>
              </w:rPr>
            </w:pPr>
            <w:r w:rsidRPr="0030764C">
              <w:rPr>
                <w:rFonts w:eastAsia="Times New Roman"/>
                <w:lang w:val="en-NZ" w:eastAsia="en-NZ"/>
              </w:rPr>
              <w:t>Target</w:t>
            </w:r>
          </w:p>
        </w:tc>
        <w:tc>
          <w:tcPr>
            <w:tcW w:w="3776" w:type="dxa"/>
            <w:hideMark/>
          </w:tcPr>
          <w:p w14:paraId="5C748998" w14:textId="77777777" w:rsidR="005A6D28" w:rsidRPr="0030764C" w:rsidRDefault="005A6D28" w:rsidP="00635FD1">
            <w:pPr>
              <w:cnfStyle w:val="100000000000" w:firstRow="1" w:lastRow="0" w:firstColumn="0" w:lastColumn="0" w:oddVBand="0" w:evenVBand="0" w:oddHBand="0" w:evenHBand="0" w:firstRowFirstColumn="0" w:firstRowLastColumn="0" w:lastRowFirstColumn="0" w:lastRowLastColumn="0"/>
              <w:rPr>
                <w:rFonts w:eastAsia="Times New Roman"/>
                <w:lang w:val="en-NZ" w:eastAsia="en-NZ"/>
              </w:rPr>
            </w:pPr>
            <w:r w:rsidRPr="0030764C">
              <w:rPr>
                <w:rFonts w:eastAsia="Times New Roman"/>
                <w:lang w:val="en-NZ" w:eastAsia="en-NZ"/>
              </w:rPr>
              <w:t>Commentary</w:t>
            </w:r>
          </w:p>
        </w:tc>
      </w:tr>
      <w:tr w:rsidR="005A6D28" w:rsidRPr="0030764C" w14:paraId="4DC0CA80" w14:textId="77777777" w:rsidTr="4150A3D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840627C" w14:textId="77777777" w:rsidR="005A6D28" w:rsidRPr="0030764C" w:rsidRDefault="005A6D28" w:rsidP="00635FD1">
            <w:pPr>
              <w:rPr>
                <w:rFonts w:eastAsia="Times New Roman"/>
                <w:color w:val="000000"/>
                <w:lang w:val="en-NZ" w:eastAsia="en-NZ"/>
              </w:rPr>
            </w:pPr>
            <w:r w:rsidRPr="0030764C">
              <w:rPr>
                <w:rFonts w:eastAsia="Times New Roman"/>
                <w:color w:val="000000"/>
                <w:lang w:val="en-NZ" w:eastAsia="en-NZ"/>
              </w:rPr>
              <w:t>Indicator 1: Coverage</w:t>
            </w:r>
          </w:p>
        </w:tc>
        <w:tc>
          <w:tcPr>
            <w:tcW w:w="3118" w:type="dxa"/>
            <w:hideMark/>
          </w:tcPr>
          <w:p w14:paraId="790F007E" w14:textId="02A3C3D4"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 99</w:t>
            </w:r>
            <w:r w:rsidRPr="0030764C">
              <w:rPr>
                <w:rFonts w:eastAsia="Times New Roman"/>
                <w:color w:val="000000"/>
                <w:lang w:val="en-NZ" w:eastAsia="en-NZ"/>
              </w:rPr>
              <w:t>% of babies born nationally and within each of Māori, Pacific, Asian and Other population groups are screened</w:t>
            </w:r>
            <w:r w:rsidR="0070338E">
              <w:rPr>
                <w:rFonts w:eastAsia="Times New Roman"/>
                <w:color w:val="000000"/>
                <w:lang w:val="en-NZ" w:eastAsia="en-NZ"/>
              </w:rPr>
              <w:t>.</w:t>
            </w:r>
          </w:p>
        </w:tc>
        <w:tc>
          <w:tcPr>
            <w:tcW w:w="3776" w:type="dxa"/>
            <w:noWrap/>
            <w:hideMark/>
          </w:tcPr>
          <w:p w14:paraId="4F92CC9F" w14:textId="15F2460D"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color w:val="000000"/>
                <w:lang w:val="en-NZ" w:eastAsia="en-NZ"/>
              </w:rPr>
              <w:t xml:space="preserve">The national coverage rate was </w:t>
            </w:r>
            <w:r w:rsidRPr="0030764C">
              <w:rPr>
                <w:rFonts w:eastAsia="Times New Roman"/>
                <w:b/>
                <w:bCs/>
                <w:color w:val="000000"/>
                <w:lang w:val="en-NZ" w:eastAsia="en-NZ"/>
              </w:rPr>
              <w:t>97.9</w:t>
            </w:r>
            <w:r w:rsidR="004F46A9">
              <w:rPr>
                <w:rFonts w:eastAsia="Times New Roman"/>
                <w:b/>
                <w:bCs/>
                <w:color w:val="000000"/>
                <w:lang w:val="en-NZ" w:eastAsia="en-NZ"/>
              </w:rPr>
              <w:t>%</w:t>
            </w:r>
            <w:r w:rsidRPr="0030764C">
              <w:rPr>
                <w:rFonts w:eastAsia="Times New Roman"/>
                <w:b/>
                <w:bCs/>
                <w:color w:val="000000"/>
                <w:lang w:val="en-NZ" w:eastAsia="en-NZ"/>
              </w:rPr>
              <w:t>.</w:t>
            </w:r>
          </w:p>
        </w:tc>
      </w:tr>
      <w:tr w:rsidR="005A6D28" w:rsidRPr="0030764C" w14:paraId="6BA2D3B8" w14:textId="77777777" w:rsidTr="4150A3DB">
        <w:trPr>
          <w:trHeight w:val="5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8256910" w14:textId="77777777" w:rsidR="005A6D28" w:rsidRPr="0030764C" w:rsidRDefault="005A6D28" w:rsidP="00635FD1">
            <w:pPr>
              <w:rPr>
                <w:rFonts w:eastAsia="Times New Roman"/>
                <w:color w:val="000000"/>
                <w:lang w:val="en-NZ" w:eastAsia="en-NZ"/>
              </w:rPr>
            </w:pPr>
            <w:r w:rsidRPr="0030764C">
              <w:rPr>
                <w:rFonts w:eastAsia="Times New Roman"/>
                <w:color w:val="000000"/>
                <w:lang w:val="en-NZ" w:eastAsia="en-NZ"/>
              </w:rPr>
              <w:t>Indicator 2: Timing of sample taking</w:t>
            </w:r>
          </w:p>
        </w:tc>
        <w:tc>
          <w:tcPr>
            <w:tcW w:w="3118" w:type="dxa"/>
            <w:hideMark/>
          </w:tcPr>
          <w:p w14:paraId="4E3C7F7A" w14:textId="77777777" w:rsidR="005A6D28" w:rsidRPr="0030764C" w:rsidRDefault="005A6D28" w:rsidP="00635FD1">
            <w:pP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 95</w:t>
            </w:r>
            <w:r w:rsidRPr="0030764C">
              <w:rPr>
                <w:rFonts w:eastAsia="Times New Roman"/>
                <w:color w:val="000000"/>
                <w:lang w:val="en-NZ" w:eastAsia="en-NZ"/>
              </w:rPr>
              <w:t>% of first samples are taken between 24 and 72 hours after birth.</w:t>
            </w:r>
          </w:p>
        </w:tc>
        <w:tc>
          <w:tcPr>
            <w:tcW w:w="3776" w:type="dxa"/>
            <w:noWrap/>
            <w:hideMark/>
          </w:tcPr>
          <w:p w14:paraId="01F33E1F" w14:textId="6FE2892F" w:rsidR="005A6D28" w:rsidRPr="0030764C" w:rsidRDefault="005A6D28" w:rsidP="00635FD1">
            <w:pP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30764C">
              <w:rPr>
                <w:rFonts w:eastAsia="Times New Roman"/>
                <w:color w:val="000000"/>
                <w:lang w:val="en-NZ" w:eastAsia="en-NZ"/>
              </w:rPr>
              <w:t xml:space="preserve">The national average of first samples taken between 24 and 72 hours after birth was </w:t>
            </w:r>
            <w:r w:rsidRPr="0030764C">
              <w:rPr>
                <w:rFonts w:eastAsia="Times New Roman"/>
                <w:b/>
                <w:bCs/>
                <w:color w:val="000000"/>
                <w:lang w:val="en-NZ" w:eastAsia="en-NZ"/>
              </w:rPr>
              <w:t>83.4</w:t>
            </w:r>
            <w:r w:rsidR="004F46A9">
              <w:rPr>
                <w:rFonts w:eastAsia="Times New Roman"/>
                <w:b/>
                <w:bCs/>
                <w:color w:val="000000"/>
                <w:lang w:val="en-NZ" w:eastAsia="en-NZ"/>
              </w:rPr>
              <w:t>%</w:t>
            </w:r>
            <w:r w:rsidRPr="0030764C">
              <w:rPr>
                <w:rFonts w:eastAsia="Times New Roman"/>
                <w:b/>
                <w:bCs/>
                <w:color w:val="000000"/>
                <w:lang w:val="en-NZ" w:eastAsia="en-NZ"/>
              </w:rPr>
              <w:t>.</w:t>
            </w:r>
          </w:p>
        </w:tc>
      </w:tr>
      <w:tr w:rsidR="005A6D28" w:rsidRPr="0030764C" w14:paraId="661F8330" w14:textId="77777777" w:rsidTr="4150A3D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0A13D58" w14:textId="77777777" w:rsidR="005A6D28" w:rsidRPr="0030764C" w:rsidRDefault="005A6D28" w:rsidP="00635FD1">
            <w:pPr>
              <w:rPr>
                <w:rFonts w:eastAsia="Times New Roman"/>
                <w:color w:val="000000"/>
                <w:lang w:val="en-NZ" w:eastAsia="en-NZ"/>
              </w:rPr>
            </w:pPr>
            <w:r w:rsidRPr="0030764C">
              <w:rPr>
                <w:rFonts w:eastAsia="Times New Roman"/>
                <w:color w:val="000000"/>
                <w:sz w:val="14"/>
                <w:szCs w:val="14"/>
                <w:lang w:val="en-NZ" w:eastAsia="en-NZ"/>
              </w:rPr>
              <w:t xml:space="preserve"> </w:t>
            </w:r>
            <w:r w:rsidRPr="0030764C">
              <w:rPr>
                <w:rFonts w:eastAsia="Times New Roman"/>
                <w:color w:val="000000"/>
                <w:lang w:val="en-NZ" w:eastAsia="en-NZ"/>
              </w:rPr>
              <w:t>Indicator 3: Quality of blood samples</w:t>
            </w:r>
          </w:p>
        </w:tc>
        <w:tc>
          <w:tcPr>
            <w:tcW w:w="3118" w:type="dxa"/>
            <w:hideMark/>
          </w:tcPr>
          <w:p w14:paraId="24BB4159" w14:textId="77777777"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 99%</w:t>
            </w:r>
            <w:r w:rsidRPr="0030764C">
              <w:rPr>
                <w:rFonts w:eastAsia="Times New Roman"/>
                <w:color w:val="000000"/>
                <w:lang w:val="en-NZ" w:eastAsia="en-NZ"/>
              </w:rPr>
              <w:t xml:space="preserve"> of blood spot samples received are of satisfactory quality.</w:t>
            </w:r>
          </w:p>
        </w:tc>
        <w:tc>
          <w:tcPr>
            <w:tcW w:w="3776" w:type="dxa"/>
            <w:noWrap/>
            <w:hideMark/>
          </w:tcPr>
          <w:p w14:paraId="3EC6A7C8" w14:textId="3183E870"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99.1</w:t>
            </w:r>
            <w:r w:rsidR="0070338E">
              <w:rPr>
                <w:rFonts w:eastAsia="Times New Roman"/>
                <w:b/>
                <w:bCs/>
                <w:color w:val="000000"/>
                <w:lang w:val="en-NZ" w:eastAsia="en-NZ"/>
              </w:rPr>
              <w:t xml:space="preserve">% </w:t>
            </w:r>
            <w:r w:rsidR="0070338E" w:rsidRPr="0030764C">
              <w:rPr>
                <w:rFonts w:eastAsia="Times New Roman"/>
                <w:color w:val="000000"/>
                <w:lang w:val="en-NZ" w:eastAsia="en-NZ"/>
              </w:rPr>
              <w:t>of</w:t>
            </w:r>
            <w:r w:rsidRPr="0030764C">
              <w:rPr>
                <w:rFonts w:eastAsia="Times New Roman"/>
                <w:color w:val="000000"/>
                <w:lang w:val="en-NZ" w:eastAsia="en-NZ"/>
              </w:rPr>
              <w:t xml:space="preserve"> all samples were of satisfactory quality. </w:t>
            </w:r>
          </w:p>
        </w:tc>
      </w:tr>
      <w:tr w:rsidR="005A6D28" w:rsidRPr="0030764C" w14:paraId="7AA7CC6C" w14:textId="77777777" w:rsidTr="4150A3DB">
        <w:trPr>
          <w:trHeight w:val="87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61F8B8FA" w14:textId="77777777" w:rsidR="005A6D28" w:rsidRPr="0030764C" w:rsidRDefault="005A6D28" w:rsidP="00635FD1">
            <w:pPr>
              <w:rPr>
                <w:rFonts w:eastAsia="Times New Roman"/>
                <w:color w:val="000000"/>
                <w:lang w:val="en-NZ" w:eastAsia="en-NZ"/>
              </w:rPr>
            </w:pPr>
            <w:r w:rsidRPr="0030764C">
              <w:rPr>
                <w:rFonts w:eastAsia="Times New Roman"/>
                <w:color w:val="000000"/>
                <w:lang w:val="en-NZ" w:eastAsia="en-NZ"/>
              </w:rPr>
              <w:t>Indicator 4: Sample dispatch and delivery</w:t>
            </w:r>
          </w:p>
        </w:tc>
        <w:tc>
          <w:tcPr>
            <w:tcW w:w="3118" w:type="dxa"/>
            <w:hideMark/>
          </w:tcPr>
          <w:p w14:paraId="1DDD4848" w14:textId="77777777" w:rsidR="005A6D28" w:rsidRPr="0030764C" w:rsidRDefault="005A6D28" w:rsidP="00635FD1">
            <w:pP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 95%</w:t>
            </w:r>
            <w:r w:rsidRPr="0030764C">
              <w:rPr>
                <w:rFonts w:eastAsia="Times New Roman"/>
                <w:color w:val="000000"/>
                <w:lang w:val="en-NZ" w:eastAsia="en-NZ"/>
              </w:rPr>
              <w:t xml:space="preserve"> of samples are received by the laboratory within four calendar days of being taken.</w:t>
            </w:r>
          </w:p>
        </w:tc>
        <w:tc>
          <w:tcPr>
            <w:tcW w:w="3776" w:type="dxa"/>
            <w:noWrap/>
            <w:hideMark/>
          </w:tcPr>
          <w:p w14:paraId="4D2AB67E" w14:textId="735D83A8" w:rsidR="005A6D28" w:rsidRPr="0030764C" w:rsidRDefault="005A6D28" w:rsidP="00635FD1">
            <w:pP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79.8</w:t>
            </w:r>
            <w:r w:rsidR="004F46A9">
              <w:rPr>
                <w:rFonts w:eastAsia="Times New Roman"/>
                <w:b/>
                <w:bCs/>
                <w:color w:val="000000"/>
                <w:lang w:val="en-NZ" w:eastAsia="en-NZ"/>
              </w:rPr>
              <w:t xml:space="preserve">% </w:t>
            </w:r>
            <w:r w:rsidRPr="0030764C">
              <w:rPr>
                <w:rFonts w:eastAsia="Times New Roman"/>
                <w:color w:val="000000"/>
                <w:lang w:val="en-NZ" w:eastAsia="en-NZ"/>
              </w:rPr>
              <w:t xml:space="preserve">of the blood spot cards arrived at the laboratory within four days of sampling. </w:t>
            </w:r>
          </w:p>
        </w:tc>
      </w:tr>
      <w:tr w:rsidR="005A6D28" w:rsidRPr="0030764C" w14:paraId="5403E5B6" w14:textId="77777777" w:rsidTr="4150A3DB">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25A4479" w14:textId="77777777" w:rsidR="005A6D28" w:rsidRPr="0030764C" w:rsidRDefault="005A6D28" w:rsidP="00635FD1">
            <w:pPr>
              <w:rPr>
                <w:rFonts w:eastAsia="Times New Roman"/>
                <w:color w:val="000000"/>
                <w:lang w:val="en-NZ" w:eastAsia="en-NZ"/>
              </w:rPr>
            </w:pPr>
            <w:r w:rsidRPr="0030764C">
              <w:rPr>
                <w:rFonts w:eastAsia="Times New Roman"/>
                <w:color w:val="000000"/>
                <w:lang w:val="en-NZ" w:eastAsia="en-NZ"/>
              </w:rPr>
              <w:t>Indicator 5: Receipt and follow-up of second samples</w:t>
            </w:r>
          </w:p>
        </w:tc>
        <w:tc>
          <w:tcPr>
            <w:tcW w:w="3118" w:type="dxa"/>
            <w:hideMark/>
          </w:tcPr>
          <w:p w14:paraId="2C01858A" w14:textId="77777777"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100%</w:t>
            </w:r>
            <w:r w:rsidRPr="0030764C">
              <w:rPr>
                <w:rFonts w:eastAsia="Times New Roman"/>
                <w:color w:val="000000"/>
                <w:lang w:val="en-NZ" w:eastAsia="en-NZ"/>
              </w:rPr>
              <w:t xml:space="preserve"> of second samples requested are received by the laboratory, had other appropriate follow-up, or were declined by parents/guardians, within ten calendar days of request.</w:t>
            </w:r>
          </w:p>
        </w:tc>
        <w:tc>
          <w:tcPr>
            <w:tcW w:w="3776" w:type="dxa"/>
            <w:hideMark/>
          </w:tcPr>
          <w:p w14:paraId="516CBFB8" w14:textId="0F201020"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82.7</w:t>
            </w:r>
            <w:r w:rsidR="004F46A9">
              <w:rPr>
                <w:rFonts w:eastAsia="Times New Roman"/>
                <w:b/>
                <w:bCs/>
                <w:color w:val="000000"/>
                <w:lang w:val="en-NZ" w:eastAsia="en-NZ"/>
              </w:rPr>
              <w:t xml:space="preserve">% </w:t>
            </w:r>
            <w:r w:rsidRPr="0030764C">
              <w:rPr>
                <w:rFonts w:eastAsia="Times New Roman"/>
                <w:color w:val="000000"/>
                <w:lang w:val="en-NZ" w:eastAsia="en-NZ"/>
              </w:rPr>
              <w:t xml:space="preserve">of requests for second samples had appropriate follow up within </w:t>
            </w:r>
            <w:r w:rsidR="00155C78">
              <w:rPr>
                <w:rFonts w:eastAsia="Times New Roman"/>
                <w:color w:val="000000"/>
                <w:lang w:val="en-NZ" w:eastAsia="en-NZ"/>
              </w:rPr>
              <w:t>ten</w:t>
            </w:r>
            <w:r w:rsidRPr="0030764C">
              <w:rPr>
                <w:rFonts w:eastAsia="Times New Roman"/>
                <w:color w:val="000000"/>
                <w:lang w:val="en-NZ" w:eastAsia="en-NZ"/>
              </w:rPr>
              <w:t xml:space="preserve"> days</w:t>
            </w:r>
            <w:r w:rsidR="0070338E">
              <w:rPr>
                <w:rFonts w:eastAsia="Times New Roman"/>
                <w:color w:val="000000"/>
                <w:lang w:val="en-NZ" w:eastAsia="en-NZ"/>
              </w:rPr>
              <w:t>.</w:t>
            </w:r>
          </w:p>
        </w:tc>
      </w:tr>
      <w:tr w:rsidR="005A6D28" w:rsidRPr="0030764C" w14:paraId="12179C0F" w14:textId="77777777" w:rsidTr="4150A3DB">
        <w:trPr>
          <w:trHeight w:val="145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490583A" w14:textId="77777777" w:rsidR="005A6D28" w:rsidRPr="0030764C" w:rsidRDefault="005A6D28" w:rsidP="00635FD1">
            <w:pPr>
              <w:rPr>
                <w:rFonts w:eastAsia="Times New Roman"/>
                <w:color w:val="000000"/>
                <w:lang w:val="en-NZ" w:eastAsia="en-NZ"/>
              </w:rPr>
            </w:pPr>
            <w:r w:rsidRPr="0030764C">
              <w:rPr>
                <w:rFonts w:eastAsia="Times New Roman"/>
                <w:color w:val="000000"/>
                <w:lang w:val="en-NZ" w:eastAsia="en-NZ"/>
              </w:rPr>
              <w:t>Indicator 6: Laboratory turnaround time for positive results</w:t>
            </w:r>
          </w:p>
        </w:tc>
        <w:tc>
          <w:tcPr>
            <w:tcW w:w="3118" w:type="dxa"/>
            <w:hideMark/>
          </w:tcPr>
          <w:p w14:paraId="20956C22" w14:textId="0CB1E291" w:rsidR="005A6D28" w:rsidRPr="0030764C" w:rsidRDefault="005A6D28" w:rsidP="00635FD1">
            <w:pP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 xml:space="preserve">100% </w:t>
            </w:r>
            <w:r w:rsidRPr="0030764C">
              <w:rPr>
                <w:rFonts w:eastAsia="Times New Roman"/>
                <w:color w:val="000000"/>
                <w:lang w:val="en-NZ" w:eastAsia="en-NZ"/>
              </w:rPr>
              <w:t>of babies with positive results are notified to their L</w:t>
            </w:r>
            <w:r w:rsidR="00AA228A">
              <w:rPr>
                <w:rFonts w:eastAsia="Times New Roman"/>
                <w:color w:val="000000"/>
                <w:lang w:val="en-NZ" w:eastAsia="en-NZ"/>
              </w:rPr>
              <w:t xml:space="preserve">ead </w:t>
            </w:r>
            <w:r w:rsidRPr="0030764C">
              <w:rPr>
                <w:rFonts w:eastAsia="Times New Roman"/>
                <w:color w:val="000000"/>
                <w:lang w:val="en-NZ" w:eastAsia="en-NZ"/>
              </w:rPr>
              <w:t>M</w:t>
            </w:r>
            <w:r w:rsidR="00AA228A">
              <w:rPr>
                <w:rFonts w:eastAsia="Times New Roman"/>
                <w:color w:val="000000"/>
                <w:lang w:val="en-NZ" w:eastAsia="en-NZ"/>
              </w:rPr>
              <w:t xml:space="preserve">aternity </w:t>
            </w:r>
            <w:r w:rsidRPr="0030764C">
              <w:rPr>
                <w:rFonts w:eastAsia="Times New Roman"/>
                <w:color w:val="000000"/>
                <w:lang w:val="en-NZ" w:eastAsia="en-NZ"/>
              </w:rPr>
              <w:t>C</w:t>
            </w:r>
            <w:r w:rsidR="00AA228A">
              <w:rPr>
                <w:rFonts w:eastAsia="Times New Roman"/>
                <w:color w:val="000000"/>
                <w:lang w:val="en-NZ" w:eastAsia="en-NZ"/>
              </w:rPr>
              <w:t>arer (LMC)</w:t>
            </w:r>
            <w:r w:rsidRPr="0030764C">
              <w:rPr>
                <w:rFonts w:eastAsia="Times New Roman"/>
                <w:color w:val="000000"/>
                <w:lang w:val="en-NZ" w:eastAsia="en-NZ"/>
              </w:rPr>
              <w:t xml:space="preserve"> / specialist paediatrician by the laboratory within the set timeframes.</w:t>
            </w:r>
          </w:p>
        </w:tc>
        <w:tc>
          <w:tcPr>
            <w:tcW w:w="3776" w:type="dxa"/>
            <w:hideMark/>
          </w:tcPr>
          <w:p w14:paraId="1F621DA2" w14:textId="29DD856A" w:rsidR="005A6D28" w:rsidRPr="0030764C" w:rsidRDefault="529FE25B" w:rsidP="00635FD1">
            <w:pP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4150A3DB">
              <w:rPr>
                <w:rFonts w:eastAsia="Times New Roman"/>
                <w:b/>
                <w:bCs/>
                <w:color w:val="000000"/>
                <w:lang w:val="en-NZ" w:eastAsia="en-NZ"/>
              </w:rPr>
              <w:t>100</w:t>
            </w:r>
            <w:r w:rsidR="718A5D7E" w:rsidRPr="4150A3DB">
              <w:rPr>
                <w:rFonts w:eastAsia="Times New Roman"/>
                <w:b/>
                <w:bCs/>
                <w:color w:val="000000"/>
                <w:lang w:val="en-NZ" w:eastAsia="en-NZ"/>
              </w:rPr>
              <w:t xml:space="preserve">% </w:t>
            </w:r>
            <w:r w:rsidRPr="4150A3DB">
              <w:rPr>
                <w:rFonts w:eastAsia="Times New Roman"/>
                <w:b/>
                <w:bCs/>
                <w:color w:val="000000"/>
                <w:lang w:val="en-NZ" w:eastAsia="en-NZ"/>
              </w:rPr>
              <w:t xml:space="preserve">of clinical critical </w:t>
            </w:r>
            <w:r w:rsidRPr="4150A3DB">
              <w:rPr>
                <w:rFonts w:eastAsia="Times New Roman"/>
                <w:color w:val="000000"/>
                <w:lang w:val="en-NZ" w:eastAsia="en-NZ"/>
              </w:rPr>
              <w:t xml:space="preserve">screen positives, and </w:t>
            </w:r>
            <w:r w:rsidRPr="4150A3DB">
              <w:rPr>
                <w:rFonts w:eastAsia="Times New Roman"/>
                <w:b/>
                <w:bCs/>
                <w:color w:val="000000"/>
                <w:lang w:val="en-NZ" w:eastAsia="en-NZ"/>
              </w:rPr>
              <w:t>98</w:t>
            </w:r>
            <w:r w:rsidR="6D9EFC86" w:rsidRPr="4150A3DB">
              <w:rPr>
                <w:rFonts w:eastAsia="Times New Roman"/>
                <w:b/>
                <w:bCs/>
                <w:color w:val="000000"/>
                <w:lang w:val="en-NZ" w:eastAsia="en-NZ"/>
              </w:rPr>
              <w:t>%</w:t>
            </w:r>
            <w:r w:rsidR="3313C0A5" w:rsidRPr="4150A3DB">
              <w:rPr>
                <w:rFonts w:eastAsia="Times New Roman"/>
                <w:b/>
                <w:bCs/>
                <w:color w:val="000000"/>
                <w:lang w:val="en-NZ" w:eastAsia="en-NZ"/>
              </w:rPr>
              <w:t xml:space="preserve"> </w:t>
            </w:r>
            <w:r w:rsidRPr="4150A3DB">
              <w:rPr>
                <w:rFonts w:eastAsia="Times New Roman"/>
                <w:b/>
                <w:bCs/>
                <w:color w:val="000000"/>
                <w:lang w:val="en-NZ" w:eastAsia="en-NZ"/>
              </w:rPr>
              <w:t>of non-clinical critical</w:t>
            </w:r>
            <w:r w:rsidRPr="4150A3DB">
              <w:rPr>
                <w:rFonts w:eastAsia="Times New Roman"/>
                <w:color w:val="000000"/>
                <w:lang w:val="en-NZ" w:eastAsia="en-NZ"/>
              </w:rPr>
              <w:t xml:space="preserve"> screen positives, were notified within the expected timeframes.</w:t>
            </w:r>
          </w:p>
        </w:tc>
      </w:tr>
      <w:tr w:rsidR="005A6D28" w:rsidRPr="0030764C" w14:paraId="5B32F20B" w14:textId="77777777" w:rsidTr="4150A3DB">
        <w:trPr>
          <w:cnfStyle w:val="000000100000" w:firstRow="0" w:lastRow="0" w:firstColumn="0" w:lastColumn="0" w:oddVBand="0" w:evenVBand="0" w:oddHBand="1"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2ECA9483" w14:textId="77777777" w:rsidR="005A6D28" w:rsidRPr="0030764C" w:rsidRDefault="005A6D28" w:rsidP="00635FD1">
            <w:pPr>
              <w:rPr>
                <w:rFonts w:eastAsia="Times New Roman"/>
                <w:color w:val="000000"/>
                <w:lang w:val="en-NZ" w:eastAsia="en-NZ"/>
              </w:rPr>
            </w:pPr>
            <w:r w:rsidRPr="0030764C">
              <w:rPr>
                <w:rFonts w:eastAsia="Times New Roman"/>
                <w:color w:val="000000"/>
                <w:lang w:val="en-NZ" w:eastAsia="en-NZ"/>
              </w:rPr>
              <w:t xml:space="preserve">Indicator 7: Age of receipt into clinical care </w:t>
            </w:r>
          </w:p>
        </w:tc>
        <w:tc>
          <w:tcPr>
            <w:tcW w:w="3118" w:type="dxa"/>
            <w:hideMark/>
          </w:tcPr>
          <w:p w14:paraId="2CB02DBF" w14:textId="77777777"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100%</w:t>
            </w:r>
            <w:r w:rsidRPr="0030764C">
              <w:rPr>
                <w:rFonts w:eastAsia="Times New Roman"/>
                <w:color w:val="000000"/>
                <w:lang w:val="en-NZ" w:eastAsia="en-NZ"/>
              </w:rPr>
              <w:t xml:space="preserve"> of babies who receive a screen positive result and are diagnosed with a screened condition receive active clinical management by the set time frames.</w:t>
            </w:r>
          </w:p>
        </w:tc>
        <w:tc>
          <w:tcPr>
            <w:tcW w:w="3776" w:type="dxa"/>
            <w:noWrap/>
            <w:hideMark/>
          </w:tcPr>
          <w:p w14:paraId="7DD7CF26" w14:textId="6B7EBE7F" w:rsidR="005A6D28" w:rsidRPr="0030764C" w:rsidRDefault="005A6D28" w:rsidP="00635FD1">
            <w:pP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30764C">
              <w:rPr>
                <w:rFonts w:eastAsia="Times New Roman"/>
                <w:b/>
                <w:bCs/>
                <w:color w:val="000000"/>
                <w:lang w:val="en-NZ" w:eastAsia="en-NZ"/>
              </w:rPr>
              <w:t>95</w:t>
            </w:r>
            <w:r w:rsidR="004F46A9">
              <w:rPr>
                <w:rFonts w:eastAsia="Times New Roman"/>
                <w:b/>
                <w:bCs/>
                <w:color w:val="000000"/>
                <w:lang w:val="en-NZ" w:eastAsia="en-NZ"/>
              </w:rPr>
              <w:t xml:space="preserve">% </w:t>
            </w:r>
            <w:r w:rsidRPr="0030764C">
              <w:rPr>
                <w:rFonts w:eastAsia="Times New Roman"/>
                <w:color w:val="000000"/>
                <w:lang w:val="en-NZ" w:eastAsia="en-NZ"/>
              </w:rPr>
              <w:t>of babies with disease detected following a positive newborn screen were received into clinical care within an acceptable timeframe.</w:t>
            </w:r>
          </w:p>
        </w:tc>
      </w:tr>
    </w:tbl>
    <w:p w14:paraId="5042B138" w14:textId="51970A01" w:rsidR="00CC3ED5" w:rsidRPr="00613DE5" w:rsidRDefault="00CC3ED5" w:rsidP="00CC3ED5">
      <w:pPr>
        <w:pStyle w:val="Heading1"/>
        <w:rPr>
          <w:lang w:val="en-NZ"/>
        </w:rPr>
      </w:pPr>
      <w:bookmarkStart w:id="15" w:name="_Toc179192048"/>
      <w:r w:rsidRPr="00613DE5">
        <w:rPr>
          <w:lang w:val="en-NZ"/>
        </w:rPr>
        <w:lastRenderedPageBreak/>
        <w:t>Indicator 1: Coverage</w:t>
      </w:r>
      <w:bookmarkEnd w:id="14"/>
      <w:bookmarkEnd w:id="15"/>
    </w:p>
    <w:p w14:paraId="29959227" w14:textId="77777777" w:rsidR="00CC3ED5" w:rsidRPr="00613DE5" w:rsidRDefault="00CC3ED5" w:rsidP="00CC3ED5">
      <w:pPr>
        <w:ind w:right="-284"/>
        <w:rPr>
          <w:shd w:val="clear" w:color="auto" w:fill="FFFFFF"/>
          <w:lang w:val="en-NZ"/>
        </w:rPr>
      </w:pPr>
      <w:r w:rsidRPr="00613DE5">
        <w:rPr>
          <w:b/>
          <w:bCs/>
          <w:shd w:val="clear" w:color="auto" w:fill="FFFFFF"/>
          <w:lang w:val="en-NZ"/>
        </w:rPr>
        <w:t>Description:</w:t>
      </w:r>
      <w:r w:rsidRPr="00613DE5">
        <w:rPr>
          <w:shd w:val="clear" w:color="auto" w:fill="FFFFFF"/>
          <w:lang w:val="en-NZ"/>
        </w:rPr>
        <w:t xml:space="preserve"> The proportion of babies born who complete newborn metabolic screening.</w:t>
      </w:r>
    </w:p>
    <w:p w14:paraId="6A14AFB7" w14:textId="77777777" w:rsidR="00CC3ED5" w:rsidRPr="00613DE5" w:rsidRDefault="00CC3ED5" w:rsidP="00CC3ED5">
      <w:pPr>
        <w:rPr>
          <w:shd w:val="clear" w:color="auto" w:fill="FFFFFF"/>
          <w:lang w:val="en-NZ"/>
        </w:rPr>
      </w:pPr>
      <w:r w:rsidRPr="00613DE5">
        <w:rPr>
          <w:b/>
          <w:bCs/>
          <w:shd w:val="clear" w:color="auto" w:fill="FFFFFF"/>
          <w:lang w:val="en-NZ"/>
        </w:rPr>
        <w:t>Rationale:</w:t>
      </w:r>
      <w:r w:rsidRPr="00613DE5">
        <w:rPr>
          <w:shd w:val="clear" w:color="auto" w:fill="FFFFFF"/>
          <w:lang w:val="en-NZ"/>
        </w:rPr>
        <w:t xml:space="preserve"> Newborn screening must be offered for all babies. All babies whose parents/guardians have consented to screening should have completed screening.</w:t>
      </w:r>
    </w:p>
    <w:p w14:paraId="36A5FF9C" w14:textId="0E89B7CB" w:rsidR="00CC3ED5" w:rsidRPr="00613DE5" w:rsidRDefault="00CC3ED5" w:rsidP="00CC3ED5">
      <w:pPr>
        <w:rPr>
          <w:shd w:val="clear" w:color="auto" w:fill="FFFFFF"/>
          <w:lang w:val="en-NZ"/>
        </w:rPr>
      </w:pPr>
      <w:r w:rsidRPr="00613DE5">
        <w:rPr>
          <w:b/>
          <w:bCs/>
          <w:shd w:val="clear" w:color="auto" w:fill="FFFFFF"/>
          <w:lang w:val="en-NZ"/>
        </w:rPr>
        <w:t>Target</w:t>
      </w:r>
      <w:r w:rsidRPr="00613DE5">
        <w:rPr>
          <w:shd w:val="clear" w:color="auto" w:fill="FFFFFF"/>
          <w:lang w:val="en-NZ"/>
        </w:rPr>
        <w:t xml:space="preserve">: ≥99 percent of babies born nationally and within each of Māori, Pacific, Asian and </w:t>
      </w:r>
      <w:r w:rsidR="00034001">
        <w:rPr>
          <w:shd w:val="clear" w:color="auto" w:fill="FFFFFF"/>
          <w:lang w:val="en-NZ"/>
        </w:rPr>
        <w:t>O</w:t>
      </w:r>
      <w:r w:rsidRPr="00613DE5">
        <w:rPr>
          <w:shd w:val="clear" w:color="auto" w:fill="FFFFFF"/>
          <w:lang w:val="en-NZ"/>
        </w:rPr>
        <w:t>ther population groups are screened.</w:t>
      </w:r>
    </w:p>
    <w:p w14:paraId="41D4F172" w14:textId="023BA4AB" w:rsidR="00D317E9" w:rsidRPr="00613DE5" w:rsidRDefault="00CC3ED5" w:rsidP="00D317E9">
      <w:pPr>
        <w:rPr>
          <w:shd w:val="clear" w:color="auto" w:fill="FFFFFF"/>
          <w:lang w:val="en-NZ"/>
        </w:rPr>
      </w:pPr>
      <w:r w:rsidRPr="00613DE5">
        <w:rPr>
          <w:b/>
          <w:bCs/>
          <w:shd w:val="clear" w:color="auto" w:fill="FFFFFF"/>
          <w:lang w:val="en-NZ"/>
        </w:rPr>
        <w:t>Interpretation:</w:t>
      </w:r>
      <w:r w:rsidRPr="00613DE5">
        <w:rPr>
          <w:shd w:val="clear" w:color="auto" w:fill="FFFFFF"/>
          <w:lang w:val="en-NZ"/>
        </w:rPr>
        <w:t xml:space="preserve"> National coverage </w:t>
      </w:r>
      <w:r w:rsidR="0074435C">
        <w:rPr>
          <w:shd w:val="clear" w:color="auto" w:fill="FFFFFF"/>
          <w:lang w:val="en-NZ"/>
        </w:rPr>
        <w:t>was</w:t>
      </w:r>
      <w:r w:rsidR="0074435C" w:rsidRPr="00613DE5">
        <w:rPr>
          <w:shd w:val="clear" w:color="auto" w:fill="FFFFFF"/>
          <w:lang w:val="en-NZ"/>
        </w:rPr>
        <w:t xml:space="preserve"> </w:t>
      </w:r>
      <w:r w:rsidRPr="00613DE5">
        <w:rPr>
          <w:shd w:val="clear" w:color="auto" w:fill="FFFFFF"/>
          <w:lang w:val="en-NZ"/>
        </w:rPr>
        <w:t>at 97.9 percent</w:t>
      </w:r>
      <w:r w:rsidR="00722824">
        <w:rPr>
          <w:shd w:val="clear" w:color="auto" w:fill="FFFFFF"/>
          <w:lang w:val="en-NZ"/>
        </w:rPr>
        <w:t xml:space="preserve">, </w:t>
      </w:r>
      <w:r w:rsidRPr="00613DE5">
        <w:rPr>
          <w:shd w:val="clear" w:color="auto" w:fill="FFFFFF"/>
          <w:lang w:val="en-NZ"/>
        </w:rPr>
        <w:t>which is below target. Total coverage by District varied from 95.7 percent (MidCentral) to 99.5 percent (Southern). Coverage by ethnicity varied: 96.3 percent for Māori newborns, 96.6 percent for Pacific newborns, 98.9 percent for Asian newborns and 98.6 percent for Other newborns.</w:t>
      </w:r>
    </w:p>
    <w:p w14:paraId="0C391664" w14:textId="2A601743" w:rsidR="00CC3ED5" w:rsidRPr="00613DE5" w:rsidRDefault="00D317E9" w:rsidP="00D317E9">
      <w:pPr>
        <w:rPr>
          <w:lang w:val="en-NZ"/>
        </w:rPr>
      </w:pPr>
      <w:r w:rsidRPr="00613DE5">
        <w:rPr>
          <w:b/>
          <w:bCs/>
          <w:shd w:val="clear" w:color="auto" w:fill="FFFFFF"/>
          <w:lang w:val="en-NZ"/>
        </w:rPr>
        <w:t>C</w:t>
      </w:r>
      <w:r w:rsidR="00CC3ED5" w:rsidRPr="00613DE5">
        <w:rPr>
          <w:b/>
          <w:bCs/>
          <w:shd w:val="clear" w:color="auto" w:fill="FFFFFF"/>
          <w:lang w:val="en-NZ"/>
        </w:rPr>
        <w:t>omment:</w:t>
      </w:r>
      <w:r w:rsidR="00CC3ED5" w:rsidRPr="00613DE5">
        <w:rPr>
          <w:shd w:val="clear" w:color="auto" w:fill="FFFFFF"/>
          <w:lang w:val="en-NZ"/>
        </w:rPr>
        <w:t xml:space="preserve">  All 20 Districts achieved at least 95 percent coverage in total. Only one District </w:t>
      </w:r>
      <w:r w:rsidR="0011367C">
        <w:rPr>
          <w:lang w:val="en-NZ"/>
        </w:rPr>
        <w:t>reached</w:t>
      </w:r>
      <w:r w:rsidR="00CC3ED5" w:rsidRPr="00613DE5">
        <w:rPr>
          <w:lang w:val="en-NZ"/>
        </w:rPr>
        <w:t xml:space="preserve"> the 99 percent target for total coverage; however, no Districts achieved the 99 percent target within each of the Māori, Pacific, Asian</w:t>
      </w:r>
      <w:r w:rsidR="0012001B">
        <w:rPr>
          <w:lang w:val="en-NZ"/>
        </w:rPr>
        <w:t xml:space="preserve">, </w:t>
      </w:r>
      <w:r w:rsidR="00CC3ED5" w:rsidRPr="00613DE5">
        <w:rPr>
          <w:lang w:val="en-NZ"/>
        </w:rPr>
        <w:t>and Other population groups. The slight drop in the coverage rate is likely due to the introduction of the supplementation of data as outlined in the Data Summary.</w:t>
      </w:r>
    </w:p>
    <w:p w14:paraId="051CA1D2" w14:textId="7C990E73" w:rsidR="00CC3ED5" w:rsidRPr="00613DE5" w:rsidRDefault="00CC3ED5" w:rsidP="00CC3ED5">
      <w:pPr>
        <w:rPr>
          <w:lang w:val="en-NZ"/>
        </w:rPr>
      </w:pPr>
      <w:r w:rsidRPr="2D67B1A9">
        <w:rPr>
          <w:lang w:val="en-NZ"/>
        </w:rPr>
        <w:t xml:space="preserve">It is estimated that the NMSP </w:t>
      </w:r>
      <w:r w:rsidRPr="00287582">
        <w:rPr>
          <w:lang w:val="en-NZ"/>
        </w:rPr>
        <w:t>did not screen 1</w:t>
      </w:r>
      <w:r w:rsidR="6850798C" w:rsidRPr="00287582">
        <w:rPr>
          <w:lang w:val="en-NZ"/>
        </w:rPr>
        <w:t>,</w:t>
      </w:r>
      <w:r w:rsidRPr="00287582">
        <w:rPr>
          <w:lang w:val="en-NZ"/>
        </w:rPr>
        <w:t>238</w:t>
      </w:r>
      <w:r w:rsidRPr="2D67B1A9">
        <w:rPr>
          <w:lang w:val="en-NZ"/>
        </w:rPr>
        <w:t xml:space="preserve"> newborns in 2022. It is not possible to distinguish between those unscreened who were offered screening and declined and those who were missed. </w:t>
      </w:r>
    </w:p>
    <w:p w14:paraId="36789E33" w14:textId="01A6FEBF" w:rsidR="00CC3ED5" w:rsidRPr="00613DE5" w:rsidRDefault="00CC3ED5" w:rsidP="00CC3ED5">
      <w:pPr>
        <w:rPr>
          <w:lang w:val="en-NZ"/>
        </w:rPr>
      </w:pPr>
      <w:r w:rsidRPr="00613DE5">
        <w:rPr>
          <w:lang w:val="en-NZ"/>
        </w:rPr>
        <w:t xml:space="preserve">Some </w:t>
      </w:r>
      <w:r w:rsidR="121F5951" w:rsidRPr="296B6C0E">
        <w:rPr>
          <w:lang w:val="en-NZ"/>
        </w:rPr>
        <w:t>d</w:t>
      </w:r>
      <w:r w:rsidRPr="296B6C0E">
        <w:rPr>
          <w:lang w:val="en-NZ"/>
        </w:rPr>
        <w:t>istricts</w:t>
      </w:r>
      <w:r w:rsidRPr="00613DE5">
        <w:rPr>
          <w:lang w:val="en-NZ"/>
        </w:rPr>
        <w:t xml:space="preserve"> are actively identifying and following up on unscreened newborns, with the support of </w:t>
      </w:r>
      <w:r w:rsidR="00A34917" w:rsidRPr="00613DE5">
        <w:rPr>
          <w:lang w:val="en-NZ"/>
        </w:rPr>
        <w:t>LabPLUS</w:t>
      </w:r>
      <w:r w:rsidRPr="00613DE5">
        <w:rPr>
          <w:lang w:val="en-NZ"/>
        </w:rPr>
        <w:t xml:space="preserve">, to ensure that an offer of screening has been made. Maternity services should contact the Antenatal and Childhood Screening Programme if they would like to put the same processes in place. Improving data quality initiatives are underway to ensure future reporting uses the most accurate data possible. </w:t>
      </w:r>
    </w:p>
    <w:p w14:paraId="4C59EB1C" w14:textId="048F2317" w:rsidR="00CC3ED5" w:rsidRPr="00613DE5" w:rsidRDefault="00CC3ED5" w:rsidP="00ED31AC">
      <w:pPr>
        <w:pStyle w:val="Heading2"/>
        <w:rPr>
          <w:lang w:val="en-NZ"/>
        </w:rPr>
      </w:pPr>
      <w:bookmarkStart w:id="16" w:name="_Toc160616208"/>
      <w:bookmarkStart w:id="17" w:name="_Toc179192049"/>
      <w:r w:rsidRPr="00613DE5">
        <w:rPr>
          <w:lang w:val="en-NZ"/>
        </w:rPr>
        <w:t xml:space="preserve">Table </w:t>
      </w:r>
      <w:r w:rsidRPr="4FB1E1B7">
        <w:rPr>
          <w:color w:val="2B579A"/>
          <w:lang w:val="en-NZ"/>
        </w:rPr>
        <w:fldChar w:fldCharType="begin"/>
      </w:r>
      <w:r w:rsidRPr="00613DE5">
        <w:rPr>
          <w:lang w:val="en-NZ"/>
        </w:rPr>
        <w:instrText xml:space="preserve"> SEQ Table \* ARABIC </w:instrText>
      </w:r>
      <w:r w:rsidRPr="4FB1E1B7">
        <w:rPr>
          <w:color w:val="2B579A"/>
          <w:lang w:val="en-NZ"/>
        </w:rPr>
        <w:fldChar w:fldCharType="separate"/>
      </w:r>
      <w:r w:rsidR="00E60918">
        <w:rPr>
          <w:noProof/>
          <w:lang w:val="en-NZ"/>
        </w:rPr>
        <w:t>1</w:t>
      </w:r>
      <w:r w:rsidRPr="4FB1E1B7">
        <w:rPr>
          <w:color w:val="2B579A"/>
          <w:lang w:val="en-NZ"/>
        </w:rPr>
        <w:fldChar w:fldCharType="end"/>
      </w:r>
      <w:r w:rsidRPr="00613DE5">
        <w:rPr>
          <w:lang w:val="en-NZ"/>
        </w:rPr>
        <w:t>:  Coverage by Ethnicity, January to December 2022</w:t>
      </w:r>
      <w:bookmarkEnd w:id="16"/>
      <w:bookmarkEnd w:id="17"/>
    </w:p>
    <w:tbl>
      <w:tblPr>
        <w:tblStyle w:val="GridTable4-Accent5"/>
        <w:tblW w:w="8995" w:type="dxa"/>
        <w:tblLayout w:type="fixed"/>
        <w:tblLook w:val="04A0" w:firstRow="1" w:lastRow="0" w:firstColumn="1" w:lastColumn="0" w:noHBand="0" w:noVBand="1"/>
      </w:tblPr>
      <w:tblGrid>
        <w:gridCol w:w="1230"/>
        <w:gridCol w:w="2588"/>
        <w:gridCol w:w="2588"/>
        <w:gridCol w:w="2589"/>
      </w:tblGrid>
      <w:tr w:rsidR="00613DE5" w:rsidRPr="00613DE5" w14:paraId="1A20ED9C" w14:textId="77777777" w:rsidTr="4154E41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09D702F" w14:textId="77777777" w:rsidR="00CC3ED5" w:rsidRPr="00613DE5" w:rsidRDefault="00CC3ED5" w:rsidP="00635FD1">
            <w:pPr>
              <w:rPr>
                <w:rFonts w:eastAsia="Times New Roman" w:cstheme="minorHAnsi"/>
                <w:b w:val="0"/>
                <w:bCs w:val="0"/>
                <w:szCs w:val="24"/>
                <w:lang w:val="en-NZ" w:eastAsia="en-NZ"/>
              </w:rPr>
            </w:pPr>
            <w:r w:rsidRPr="00613DE5">
              <w:rPr>
                <w:rFonts w:eastAsia="Times New Roman" w:cstheme="minorHAnsi"/>
                <w:szCs w:val="24"/>
                <w:lang w:val="en-NZ" w:eastAsia="en-NZ"/>
              </w:rPr>
              <w:t>Ethnicity</w:t>
            </w:r>
          </w:p>
        </w:tc>
        <w:tc>
          <w:tcPr>
            <w:tcW w:w="2588" w:type="dxa"/>
            <w:noWrap/>
            <w:hideMark/>
          </w:tcPr>
          <w:p w14:paraId="22E57AD7" w14:textId="256CAAD2" w:rsidR="00CC3ED5" w:rsidRPr="00613DE5" w:rsidRDefault="697A78A3" w:rsidP="003D5947">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Arial"/>
                <w:lang w:val="en-NZ"/>
              </w:rPr>
            </w:pPr>
            <w:r w:rsidRPr="4154E410">
              <w:rPr>
                <w:rFonts w:eastAsia="Times New Roman" w:cstheme="minorBidi"/>
                <w:lang w:val="en-NZ" w:eastAsia="en-NZ"/>
              </w:rPr>
              <w:t>Babies screened</w:t>
            </w:r>
          </w:p>
        </w:tc>
        <w:tc>
          <w:tcPr>
            <w:tcW w:w="2588" w:type="dxa"/>
            <w:noWrap/>
            <w:hideMark/>
          </w:tcPr>
          <w:p w14:paraId="58A653AF" w14:textId="77777777"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Births</w:t>
            </w:r>
          </w:p>
        </w:tc>
        <w:tc>
          <w:tcPr>
            <w:tcW w:w="2589" w:type="dxa"/>
            <w:noWrap/>
            <w:hideMark/>
          </w:tcPr>
          <w:p w14:paraId="7FE548A5" w14:textId="77777777"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Coverage (%)</w:t>
            </w:r>
          </w:p>
        </w:tc>
      </w:tr>
      <w:tr w:rsidR="00287E8C" w:rsidRPr="00613DE5" w14:paraId="6FB42D98" w14:textId="77777777" w:rsidTr="4154E4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0" w:type="dxa"/>
            <w:noWrap/>
            <w:vAlign w:val="center"/>
            <w:hideMark/>
          </w:tcPr>
          <w:p w14:paraId="7C484353" w14:textId="77777777" w:rsidR="00CC3ED5" w:rsidRPr="00613DE5" w:rsidRDefault="00CC3ED5" w:rsidP="00065F12">
            <w:pPr>
              <w:jc w:val="center"/>
              <w:rPr>
                <w:rFonts w:eastAsia="Times New Roman" w:cstheme="minorHAnsi"/>
                <w:color w:val="000000"/>
                <w:szCs w:val="24"/>
                <w:lang w:val="en-NZ" w:eastAsia="en-NZ"/>
              </w:rPr>
            </w:pPr>
            <w:r w:rsidRPr="00613DE5">
              <w:rPr>
                <w:rFonts w:eastAsia="Times New Roman" w:cstheme="minorHAnsi"/>
                <w:color w:val="000000"/>
                <w:szCs w:val="24"/>
                <w:lang w:val="en-NZ" w:eastAsia="en-NZ"/>
              </w:rPr>
              <w:t>Māori</w:t>
            </w:r>
          </w:p>
        </w:tc>
        <w:tc>
          <w:tcPr>
            <w:tcW w:w="2588" w:type="dxa"/>
            <w:noWrap/>
            <w:vAlign w:val="center"/>
            <w:hideMark/>
          </w:tcPr>
          <w:p w14:paraId="7B4BB631"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14857</w:t>
            </w:r>
          </w:p>
        </w:tc>
        <w:tc>
          <w:tcPr>
            <w:tcW w:w="2588" w:type="dxa"/>
            <w:noWrap/>
            <w:vAlign w:val="center"/>
            <w:hideMark/>
          </w:tcPr>
          <w:p w14:paraId="22997D7F"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15425</w:t>
            </w:r>
          </w:p>
        </w:tc>
        <w:tc>
          <w:tcPr>
            <w:tcW w:w="2589" w:type="dxa"/>
            <w:noWrap/>
            <w:vAlign w:val="center"/>
            <w:hideMark/>
          </w:tcPr>
          <w:p w14:paraId="7570492D"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96.3</w:t>
            </w:r>
          </w:p>
        </w:tc>
      </w:tr>
      <w:tr w:rsidR="00CC3ED5" w:rsidRPr="00613DE5" w14:paraId="0179DFCA" w14:textId="77777777" w:rsidTr="4154E410">
        <w:trPr>
          <w:trHeight w:val="290"/>
        </w:trPr>
        <w:tc>
          <w:tcPr>
            <w:cnfStyle w:val="001000000000" w:firstRow="0" w:lastRow="0" w:firstColumn="1" w:lastColumn="0" w:oddVBand="0" w:evenVBand="0" w:oddHBand="0" w:evenHBand="0" w:firstRowFirstColumn="0" w:firstRowLastColumn="0" w:lastRowFirstColumn="0" w:lastRowLastColumn="0"/>
            <w:tcW w:w="1230" w:type="dxa"/>
            <w:noWrap/>
            <w:vAlign w:val="center"/>
            <w:hideMark/>
          </w:tcPr>
          <w:p w14:paraId="6E460FEF" w14:textId="77777777" w:rsidR="00CC3ED5" w:rsidRPr="00613DE5" w:rsidRDefault="00CC3ED5" w:rsidP="00065F12">
            <w:pPr>
              <w:jc w:val="center"/>
              <w:rPr>
                <w:rFonts w:eastAsia="Times New Roman" w:cstheme="minorHAnsi"/>
                <w:color w:val="000000"/>
                <w:szCs w:val="24"/>
                <w:lang w:val="en-NZ" w:eastAsia="en-NZ"/>
              </w:rPr>
            </w:pPr>
            <w:r w:rsidRPr="00613DE5">
              <w:rPr>
                <w:rFonts w:eastAsia="Times New Roman" w:cstheme="minorHAnsi"/>
                <w:color w:val="000000"/>
                <w:szCs w:val="24"/>
                <w:lang w:val="en-NZ" w:eastAsia="en-NZ"/>
              </w:rPr>
              <w:t>Pacific</w:t>
            </w:r>
          </w:p>
        </w:tc>
        <w:tc>
          <w:tcPr>
            <w:tcW w:w="2588" w:type="dxa"/>
            <w:noWrap/>
            <w:vAlign w:val="center"/>
            <w:hideMark/>
          </w:tcPr>
          <w:p w14:paraId="10DE3D70"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5653</w:t>
            </w:r>
          </w:p>
        </w:tc>
        <w:tc>
          <w:tcPr>
            <w:tcW w:w="2588" w:type="dxa"/>
            <w:noWrap/>
            <w:vAlign w:val="center"/>
            <w:hideMark/>
          </w:tcPr>
          <w:p w14:paraId="38E79DAC"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5854</w:t>
            </w:r>
          </w:p>
        </w:tc>
        <w:tc>
          <w:tcPr>
            <w:tcW w:w="2589" w:type="dxa"/>
            <w:noWrap/>
            <w:vAlign w:val="center"/>
            <w:hideMark/>
          </w:tcPr>
          <w:p w14:paraId="28989ADD"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96.6</w:t>
            </w:r>
          </w:p>
        </w:tc>
      </w:tr>
      <w:tr w:rsidR="00287E8C" w:rsidRPr="00613DE5" w14:paraId="65DE6CCF" w14:textId="77777777" w:rsidTr="4154E4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0" w:type="dxa"/>
            <w:noWrap/>
            <w:vAlign w:val="center"/>
            <w:hideMark/>
          </w:tcPr>
          <w:p w14:paraId="3B8AF125" w14:textId="77777777" w:rsidR="00CC3ED5" w:rsidRPr="00613DE5" w:rsidRDefault="00CC3ED5" w:rsidP="00065F12">
            <w:pPr>
              <w:jc w:val="center"/>
              <w:rPr>
                <w:rFonts w:eastAsia="Times New Roman" w:cstheme="minorHAnsi"/>
                <w:color w:val="000000"/>
                <w:szCs w:val="24"/>
                <w:lang w:val="en-NZ" w:eastAsia="en-NZ"/>
              </w:rPr>
            </w:pPr>
            <w:r w:rsidRPr="00613DE5">
              <w:rPr>
                <w:rFonts w:eastAsia="Times New Roman" w:cstheme="minorHAnsi"/>
                <w:color w:val="000000"/>
                <w:szCs w:val="24"/>
                <w:lang w:val="en-NZ" w:eastAsia="en-NZ"/>
              </w:rPr>
              <w:t>Asian</w:t>
            </w:r>
          </w:p>
        </w:tc>
        <w:tc>
          <w:tcPr>
            <w:tcW w:w="2588" w:type="dxa"/>
            <w:noWrap/>
            <w:vAlign w:val="center"/>
            <w:hideMark/>
          </w:tcPr>
          <w:p w14:paraId="5C51EB16"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10816</w:t>
            </w:r>
          </w:p>
        </w:tc>
        <w:tc>
          <w:tcPr>
            <w:tcW w:w="2588" w:type="dxa"/>
            <w:noWrap/>
            <w:vAlign w:val="center"/>
            <w:hideMark/>
          </w:tcPr>
          <w:p w14:paraId="4DB49DB5"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10932</w:t>
            </w:r>
          </w:p>
        </w:tc>
        <w:tc>
          <w:tcPr>
            <w:tcW w:w="2589" w:type="dxa"/>
            <w:noWrap/>
            <w:vAlign w:val="center"/>
            <w:hideMark/>
          </w:tcPr>
          <w:p w14:paraId="2513061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r>
      <w:tr w:rsidR="00CC3ED5" w:rsidRPr="00613DE5" w14:paraId="4E911059" w14:textId="77777777" w:rsidTr="4154E410">
        <w:trPr>
          <w:trHeight w:val="290"/>
        </w:trPr>
        <w:tc>
          <w:tcPr>
            <w:cnfStyle w:val="001000000000" w:firstRow="0" w:lastRow="0" w:firstColumn="1" w:lastColumn="0" w:oddVBand="0" w:evenVBand="0" w:oddHBand="0" w:evenHBand="0" w:firstRowFirstColumn="0" w:firstRowLastColumn="0" w:lastRowFirstColumn="0" w:lastRowLastColumn="0"/>
            <w:tcW w:w="1230" w:type="dxa"/>
            <w:noWrap/>
            <w:vAlign w:val="center"/>
            <w:hideMark/>
          </w:tcPr>
          <w:p w14:paraId="21013F15" w14:textId="77777777" w:rsidR="00CC3ED5" w:rsidRPr="00613DE5" w:rsidRDefault="00CC3ED5" w:rsidP="00065F12">
            <w:pPr>
              <w:jc w:val="center"/>
              <w:rPr>
                <w:rFonts w:eastAsia="Times New Roman" w:cstheme="minorHAnsi"/>
                <w:color w:val="000000"/>
                <w:szCs w:val="24"/>
                <w:lang w:val="en-NZ" w:eastAsia="en-NZ"/>
              </w:rPr>
            </w:pPr>
            <w:r w:rsidRPr="00613DE5">
              <w:rPr>
                <w:rFonts w:eastAsia="Times New Roman" w:cstheme="minorHAnsi"/>
                <w:color w:val="000000"/>
                <w:szCs w:val="24"/>
                <w:lang w:val="en-NZ" w:eastAsia="en-NZ"/>
              </w:rPr>
              <w:t>Other</w:t>
            </w:r>
          </w:p>
        </w:tc>
        <w:tc>
          <w:tcPr>
            <w:tcW w:w="2588" w:type="dxa"/>
            <w:noWrap/>
            <w:vAlign w:val="center"/>
            <w:hideMark/>
          </w:tcPr>
          <w:p w14:paraId="47DDC219"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25519</w:t>
            </w:r>
          </w:p>
        </w:tc>
        <w:tc>
          <w:tcPr>
            <w:tcW w:w="2588" w:type="dxa"/>
            <w:noWrap/>
            <w:vAlign w:val="center"/>
            <w:hideMark/>
          </w:tcPr>
          <w:p w14:paraId="216C1F23"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25889</w:t>
            </w:r>
          </w:p>
        </w:tc>
        <w:tc>
          <w:tcPr>
            <w:tcW w:w="2589" w:type="dxa"/>
            <w:noWrap/>
            <w:vAlign w:val="center"/>
            <w:hideMark/>
          </w:tcPr>
          <w:p w14:paraId="4BF34453"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98.6</w:t>
            </w:r>
          </w:p>
        </w:tc>
      </w:tr>
      <w:tr w:rsidR="00287E8C" w:rsidRPr="00613DE5" w14:paraId="7E9FA93A" w14:textId="77777777" w:rsidTr="4154E4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30" w:type="dxa"/>
            <w:noWrap/>
            <w:vAlign w:val="center"/>
            <w:hideMark/>
          </w:tcPr>
          <w:p w14:paraId="2E2D0B43" w14:textId="7C94F994"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Total</w:t>
            </w:r>
            <w:r w:rsidR="00756A5E">
              <w:rPr>
                <w:rFonts w:eastAsia="Times New Roman" w:cstheme="minorHAnsi"/>
                <w:color w:val="000000"/>
                <w:szCs w:val="24"/>
                <w:lang w:val="en-NZ" w:eastAsia="en-NZ"/>
              </w:rPr>
              <w:t>*</w:t>
            </w:r>
          </w:p>
        </w:tc>
        <w:tc>
          <w:tcPr>
            <w:tcW w:w="2588" w:type="dxa"/>
            <w:noWrap/>
            <w:vAlign w:val="center"/>
            <w:hideMark/>
          </w:tcPr>
          <w:p w14:paraId="1115D685"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56875</w:t>
            </w:r>
          </w:p>
        </w:tc>
        <w:tc>
          <w:tcPr>
            <w:tcW w:w="2588" w:type="dxa"/>
            <w:noWrap/>
            <w:vAlign w:val="center"/>
            <w:hideMark/>
          </w:tcPr>
          <w:p w14:paraId="0DD3633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58113</w:t>
            </w:r>
          </w:p>
        </w:tc>
        <w:tc>
          <w:tcPr>
            <w:tcW w:w="2589" w:type="dxa"/>
            <w:noWrap/>
            <w:vAlign w:val="center"/>
            <w:hideMark/>
          </w:tcPr>
          <w:p w14:paraId="0192FA7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97.9</w:t>
            </w:r>
          </w:p>
        </w:tc>
      </w:tr>
    </w:tbl>
    <w:p w14:paraId="7A58FA52" w14:textId="77777777" w:rsidR="00756A5E" w:rsidRPr="00B852D2" w:rsidRDefault="00756A5E" w:rsidP="00756A5E">
      <w:pPr>
        <w:rPr>
          <w:rFonts w:cstheme="minorHAnsi"/>
          <w:i/>
          <w:iCs/>
          <w:sz w:val="20"/>
          <w:szCs w:val="20"/>
          <w:lang w:val="en-NZ"/>
        </w:rPr>
      </w:pPr>
      <w:r w:rsidRPr="00B852D2">
        <w:rPr>
          <w:rFonts w:cstheme="minorHAnsi"/>
          <w:i/>
          <w:iCs/>
          <w:sz w:val="20"/>
          <w:szCs w:val="20"/>
          <w:lang w:val="en-NZ"/>
        </w:rPr>
        <w:t>*Sub-counts do not add up to the total due to unknowns not being shown.</w:t>
      </w:r>
    </w:p>
    <w:p w14:paraId="4E2C1BE5" w14:textId="77777777" w:rsidR="00CC3ED5" w:rsidRPr="00613DE5" w:rsidRDefault="00CC3ED5" w:rsidP="00CC3ED5">
      <w:pPr>
        <w:rPr>
          <w:rFonts w:cstheme="minorHAnsi"/>
          <w:szCs w:val="24"/>
          <w:lang w:val="en-NZ"/>
        </w:rPr>
      </w:pPr>
    </w:p>
    <w:p w14:paraId="418E2717" w14:textId="77777777" w:rsidR="005C49F4" w:rsidRPr="00613DE5" w:rsidRDefault="005C49F4">
      <w:pPr>
        <w:rPr>
          <w:rFonts w:asciiTheme="minorHAnsi" w:hAnsiTheme="minorHAnsi" w:cstheme="minorHAnsi"/>
          <w:i/>
          <w:iCs/>
          <w:color w:val="15284C" w:themeColor="text2"/>
          <w:sz w:val="24"/>
          <w:szCs w:val="24"/>
          <w:lang w:val="en-NZ"/>
        </w:rPr>
      </w:pPr>
      <w:bookmarkStart w:id="18" w:name="_Toc160616209"/>
      <w:r w:rsidRPr="00613DE5">
        <w:rPr>
          <w:rFonts w:cstheme="minorHAnsi"/>
          <w:sz w:val="24"/>
          <w:szCs w:val="24"/>
          <w:lang w:val="en-NZ"/>
        </w:rPr>
        <w:br w:type="page"/>
      </w:r>
    </w:p>
    <w:p w14:paraId="0F7969B9" w14:textId="024CC521" w:rsidR="00CC3ED5" w:rsidRPr="00613DE5" w:rsidRDefault="00CC3ED5" w:rsidP="00ED31AC">
      <w:pPr>
        <w:pStyle w:val="Heading2"/>
        <w:rPr>
          <w:lang w:val="en-NZ"/>
        </w:rPr>
      </w:pPr>
      <w:bookmarkStart w:id="19" w:name="_Toc179192050"/>
      <w:r w:rsidRPr="00613DE5">
        <w:rPr>
          <w:lang w:val="en-NZ"/>
        </w:rPr>
        <w:lastRenderedPageBreak/>
        <w:t xml:space="preserve">Table </w:t>
      </w:r>
      <w:r w:rsidRPr="00613DE5">
        <w:rPr>
          <w:color w:val="2B579A"/>
          <w:shd w:val="clear" w:color="auto" w:fill="E6E6E6"/>
          <w:lang w:val="en-NZ"/>
        </w:rPr>
        <w:fldChar w:fldCharType="begin"/>
      </w:r>
      <w:r w:rsidRPr="00613DE5">
        <w:rPr>
          <w:lang w:val="en-NZ"/>
        </w:rPr>
        <w:instrText xml:space="preserve"> SEQ Table \* ARABIC </w:instrText>
      </w:r>
      <w:r w:rsidRPr="00613DE5">
        <w:rPr>
          <w:color w:val="2B579A"/>
          <w:shd w:val="clear" w:color="auto" w:fill="E6E6E6"/>
          <w:lang w:val="en-NZ"/>
        </w:rPr>
        <w:fldChar w:fldCharType="separate"/>
      </w:r>
      <w:r w:rsidR="00E60918">
        <w:rPr>
          <w:noProof/>
          <w:lang w:val="en-NZ"/>
        </w:rPr>
        <w:t>2</w:t>
      </w:r>
      <w:r w:rsidRPr="00613DE5">
        <w:rPr>
          <w:color w:val="2B579A"/>
          <w:shd w:val="clear" w:color="auto" w:fill="E6E6E6"/>
          <w:lang w:val="en-NZ"/>
        </w:rPr>
        <w:fldChar w:fldCharType="end"/>
      </w:r>
      <w:r w:rsidRPr="00613DE5">
        <w:rPr>
          <w:lang w:val="en-NZ"/>
        </w:rPr>
        <w:t>: Coverage by District, January to December 2022</w:t>
      </w:r>
      <w:bookmarkEnd w:id="18"/>
      <w:bookmarkEnd w:id="19"/>
    </w:p>
    <w:tbl>
      <w:tblPr>
        <w:tblStyle w:val="GridTable4-Accent5"/>
        <w:tblW w:w="8995" w:type="dxa"/>
        <w:tblLayout w:type="fixed"/>
        <w:tblLook w:val="04A0" w:firstRow="1" w:lastRow="0" w:firstColumn="1" w:lastColumn="0" w:noHBand="0" w:noVBand="1"/>
      </w:tblPr>
      <w:tblGrid>
        <w:gridCol w:w="2689"/>
        <w:gridCol w:w="2102"/>
        <w:gridCol w:w="2102"/>
        <w:gridCol w:w="2102"/>
      </w:tblGrid>
      <w:tr w:rsidR="00CC3ED5" w:rsidRPr="00613DE5" w14:paraId="3F80DC2B" w14:textId="77777777" w:rsidTr="56BCA29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FD98D56" w14:textId="77777777" w:rsidR="00CC3ED5" w:rsidRPr="00613DE5" w:rsidRDefault="00CC3ED5" w:rsidP="00635FD1">
            <w:pPr>
              <w:rPr>
                <w:rFonts w:eastAsia="Times New Roman" w:cstheme="minorHAnsi"/>
                <w:szCs w:val="24"/>
                <w:lang w:val="en-NZ" w:eastAsia="en-NZ"/>
              </w:rPr>
            </w:pPr>
            <w:r w:rsidRPr="00613DE5">
              <w:rPr>
                <w:rFonts w:eastAsia="Times New Roman" w:cstheme="minorHAnsi"/>
                <w:szCs w:val="24"/>
                <w:lang w:val="en-NZ" w:eastAsia="en-NZ"/>
              </w:rPr>
              <w:t>District</w:t>
            </w:r>
          </w:p>
        </w:tc>
        <w:tc>
          <w:tcPr>
            <w:tcW w:w="2102" w:type="dxa"/>
            <w:noWrap/>
            <w:hideMark/>
          </w:tcPr>
          <w:p w14:paraId="180FFFC0" w14:textId="52AB3B5C" w:rsidR="00CC3ED5" w:rsidRPr="00613DE5" w:rsidRDefault="15ACEC03" w:rsidP="4A9E3384">
            <w:pPr>
              <w:jc w:val="center"/>
              <w:cnfStyle w:val="100000000000" w:firstRow="1" w:lastRow="0" w:firstColumn="0" w:lastColumn="0" w:oddVBand="0" w:evenVBand="0" w:oddHBand="0" w:evenHBand="0" w:firstRowFirstColumn="0" w:firstRowLastColumn="0" w:lastRowFirstColumn="0" w:lastRowLastColumn="0"/>
              <w:rPr>
                <w:rFonts w:eastAsia="Times New Roman" w:cstheme="minorBidi"/>
                <w:lang w:val="en-NZ" w:eastAsia="en-NZ"/>
              </w:rPr>
            </w:pPr>
            <w:r w:rsidRPr="56BCA295">
              <w:rPr>
                <w:rFonts w:eastAsia="Times New Roman" w:cstheme="minorBidi"/>
                <w:lang w:val="en-NZ" w:eastAsia="en-NZ"/>
              </w:rPr>
              <w:t xml:space="preserve"> Babies screened</w:t>
            </w:r>
          </w:p>
        </w:tc>
        <w:tc>
          <w:tcPr>
            <w:tcW w:w="2102" w:type="dxa"/>
            <w:noWrap/>
            <w:hideMark/>
          </w:tcPr>
          <w:p w14:paraId="38D3249E" w14:textId="77777777"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Births</w:t>
            </w:r>
          </w:p>
        </w:tc>
        <w:tc>
          <w:tcPr>
            <w:tcW w:w="2102" w:type="dxa"/>
            <w:noWrap/>
            <w:hideMark/>
          </w:tcPr>
          <w:p w14:paraId="1730A043" w14:textId="46965F74"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Coverage</w:t>
            </w:r>
            <w:r w:rsidR="005C49F4" w:rsidRPr="00613DE5">
              <w:rPr>
                <w:rFonts w:eastAsia="Times New Roman" w:cstheme="minorHAnsi"/>
                <w:szCs w:val="24"/>
                <w:lang w:val="en-NZ" w:eastAsia="en-NZ"/>
              </w:rPr>
              <w:t xml:space="preserve"> </w:t>
            </w:r>
            <w:r w:rsidRPr="00613DE5">
              <w:rPr>
                <w:rFonts w:eastAsia="Times New Roman" w:cstheme="minorHAnsi"/>
                <w:szCs w:val="24"/>
                <w:lang w:val="en-NZ" w:eastAsia="en-NZ"/>
              </w:rPr>
              <w:t>(%)</w:t>
            </w:r>
          </w:p>
        </w:tc>
      </w:tr>
      <w:tr w:rsidR="00666250" w:rsidRPr="00613DE5" w14:paraId="66D8CB4A"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D8B2F71" w14:textId="77777777" w:rsidR="00CC3ED5" w:rsidRPr="00613DE5" w:rsidRDefault="00CC3ED5" w:rsidP="00065F12">
            <w:pPr>
              <w:rPr>
                <w:lang w:val="en-NZ"/>
              </w:rPr>
            </w:pPr>
            <w:r w:rsidRPr="00613DE5">
              <w:rPr>
                <w:lang w:val="en-NZ"/>
              </w:rPr>
              <w:t>Northland</w:t>
            </w:r>
          </w:p>
        </w:tc>
        <w:tc>
          <w:tcPr>
            <w:tcW w:w="2102" w:type="dxa"/>
            <w:noWrap/>
            <w:vAlign w:val="center"/>
            <w:hideMark/>
          </w:tcPr>
          <w:p w14:paraId="6FA7E960"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2334</w:t>
            </w:r>
          </w:p>
        </w:tc>
        <w:tc>
          <w:tcPr>
            <w:tcW w:w="2102" w:type="dxa"/>
            <w:noWrap/>
            <w:vAlign w:val="center"/>
            <w:hideMark/>
          </w:tcPr>
          <w:p w14:paraId="17B0F43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2415</w:t>
            </w:r>
          </w:p>
        </w:tc>
        <w:tc>
          <w:tcPr>
            <w:tcW w:w="2102" w:type="dxa"/>
            <w:noWrap/>
            <w:vAlign w:val="center"/>
            <w:hideMark/>
          </w:tcPr>
          <w:p w14:paraId="7A95FB5B"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96.6</w:t>
            </w:r>
          </w:p>
        </w:tc>
      </w:tr>
      <w:tr w:rsidR="00CC3ED5" w:rsidRPr="00613DE5" w14:paraId="7B253178"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5FBD231" w14:textId="77777777" w:rsidR="00CC3ED5" w:rsidRPr="00613DE5" w:rsidRDefault="00CC3ED5" w:rsidP="00065F12">
            <w:pPr>
              <w:rPr>
                <w:lang w:val="en-NZ"/>
              </w:rPr>
            </w:pPr>
            <w:r w:rsidRPr="00613DE5">
              <w:rPr>
                <w:lang w:val="en-NZ"/>
              </w:rPr>
              <w:t>Waitemata</w:t>
            </w:r>
          </w:p>
        </w:tc>
        <w:tc>
          <w:tcPr>
            <w:tcW w:w="2102" w:type="dxa"/>
            <w:noWrap/>
            <w:vAlign w:val="center"/>
            <w:hideMark/>
          </w:tcPr>
          <w:p w14:paraId="48BB6264"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7341</w:t>
            </w:r>
          </w:p>
        </w:tc>
        <w:tc>
          <w:tcPr>
            <w:tcW w:w="2102" w:type="dxa"/>
            <w:noWrap/>
            <w:vAlign w:val="center"/>
            <w:hideMark/>
          </w:tcPr>
          <w:p w14:paraId="57BA5FD5"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7419</w:t>
            </w:r>
          </w:p>
        </w:tc>
        <w:tc>
          <w:tcPr>
            <w:tcW w:w="2102" w:type="dxa"/>
            <w:noWrap/>
            <w:vAlign w:val="center"/>
            <w:hideMark/>
          </w:tcPr>
          <w:p w14:paraId="23FB4F7D"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r>
      <w:tr w:rsidR="00666250" w:rsidRPr="00613DE5" w14:paraId="2898051B"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CE7B83C" w14:textId="77777777" w:rsidR="00CC3ED5" w:rsidRPr="00613DE5" w:rsidRDefault="00CC3ED5" w:rsidP="00065F12">
            <w:pPr>
              <w:rPr>
                <w:lang w:val="en-NZ"/>
              </w:rPr>
            </w:pPr>
            <w:r w:rsidRPr="00613DE5">
              <w:rPr>
                <w:lang w:val="en-NZ"/>
              </w:rPr>
              <w:t>Auckland</w:t>
            </w:r>
          </w:p>
        </w:tc>
        <w:tc>
          <w:tcPr>
            <w:tcW w:w="2102" w:type="dxa"/>
            <w:noWrap/>
            <w:vAlign w:val="center"/>
            <w:hideMark/>
          </w:tcPr>
          <w:p w14:paraId="4093C883"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4964</w:t>
            </w:r>
          </w:p>
        </w:tc>
        <w:tc>
          <w:tcPr>
            <w:tcW w:w="2102" w:type="dxa"/>
            <w:noWrap/>
            <w:vAlign w:val="center"/>
            <w:hideMark/>
          </w:tcPr>
          <w:p w14:paraId="008026F4"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5020</w:t>
            </w:r>
          </w:p>
        </w:tc>
        <w:tc>
          <w:tcPr>
            <w:tcW w:w="2102" w:type="dxa"/>
            <w:noWrap/>
            <w:vAlign w:val="center"/>
            <w:hideMark/>
          </w:tcPr>
          <w:p w14:paraId="4F631E8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r>
      <w:tr w:rsidR="00CC3ED5" w:rsidRPr="00613DE5" w14:paraId="70A9E829"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B08A1BE" w14:textId="77777777" w:rsidR="00CC3ED5" w:rsidRPr="00613DE5" w:rsidRDefault="00CC3ED5" w:rsidP="00065F12">
            <w:pPr>
              <w:rPr>
                <w:lang w:val="en-NZ"/>
              </w:rPr>
            </w:pPr>
            <w:r w:rsidRPr="00613DE5">
              <w:rPr>
                <w:lang w:val="en-NZ"/>
              </w:rPr>
              <w:t>Counties Manukau</w:t>
            </w:r>
          </w:p>
        </w:tc>
        <w:tc>
          <w:tcPr>
            <w:tcW w:w="2102" w:type="dxa"/>
            <w:noWrap/>
            <w:vAlign w:val="center"/>
            <w:hideMark/>
          </w:tcPr>
          <w:p w14:paraId="4531D40F"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7916</w:t>
            </w:r>
          </w:p>
        </w:tc>
        <w:tc>
          <w:tcPr>
            <w:tcW w:w="2102" w:type="dxa"/>
            <w:noWrap/>
            <w:vAlign w:val="center"/>
            <w:hideMark/>
          </w:tcPr>
          <w:p w14:paraId="23A11BCB"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8165</w:t>
            </w:r>
          </w:p>
        </w:tc>
        <w:tc>
          <w:tcPr>
            <w:tcW w:w="2102" w:type="dxa"/>
            <w:noWrap/>
            <w:vAlign w:val="center"/>
            <w:hideMark/>
          </w:tcPr>
          <w:p w14:paraId="76B3F423"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97.0</w:t>
            </w:r>
          </w:p>
        </w:tc>
      </w:tr>
      <w:tr w:rsidR="00666250" w:rsidRPr="00613DE5" w14:paraId="29E50F96"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13C5A11" w14:textId="77777777" w:rsidR="00CC3ED5" w:rsidRPr="00613DE5" w:rsidRDefault="00CC3ED5" w:rsidP="00065F12">
            <w:pPr>
              <w:rPr>
                <w:lang w:val="en-NZ"/>
              </w:rPr>
            </w:pPr>
            <w:r w:rsidRPr="00613DE5">
              <w:rPr>
                <w:lang w:val="en-NZ"/>
              </w:rPr>
              <w:t>Waikato</w:t>
            </w:r>
          </w:p>
        </w:tc>
        <w:tc>
          <w:tcPr>
            <w:tcW w:w="2102" w:type="dxa"/>
            <w:noWrap/>
            <w:vAlign w:val="center"/>
            <w:hideMark/>
          </w:tcPr>
          <w:p w14:paraId="43580AAD"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5325</w:t>
            </w:r>
          </w:p>
        </w:tc>
        <w:tc>
          <w:tcPr>
            <w:tcW w:w="2102" w:type="dxa"/>
            <w:noWrap/>
            <w:vAlign w:val="center"/>
            <w:hideMark/>
          </w:tcPr>
          <w:p w14:paraId="239E7A26"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5521</w:t>
            </w:r>
          </w:p>
        </w:tc>
        <w:tc>
          <w:tcPr>
            <w:tcW w:w="2102" w:type="dxa"/>
            <w:noWrap/>
            <w:vAlign w:val="center"/>
            <w:hideMark/>
          </w:tcPr>
          <w:p w14:paraId="11C0BB7B"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96.4</w:t>
            </w:r>
          </w:p>
        </w:tc>
      </w:tr>
      <w:tr w:rsidR="00CC3ED5" w:rsidRPr="00613DE5" w14:paraId="018176EE"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393C648" w14:textId="77777777" w:rsidR="00CC3ED5" w:rsidRPr="00613DE5" w:rsidRDefault="00CC3ED5" w:rsidP="00065F12">
            <w:pPr>
              <w:rPr>
                <w:lang w:val="en-NZ"/>
              </w:rPr>
            </w:pPr>
            <w:r w:rsidRPr="00613DE5">
              <w:rPr>
                <w:lang w:val="en-NZ"/>
              </w:rPr>
              <w:t>Lakes</w:t>
            </w:r>
          </w:p>
        </w:tc>
        <w:tc>
          <w:tcPr>
            <w:tcW w:w="2102" w:type="dxa"/>
            <w:noWrap/>
            <w:vAlign w:val="center"/>
            <w:hideMark/>
          </w:tcPr>
          <w:p w14:paraId="672A9B5C"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1511</w:t>
            </w:r>
          </w:p>
        </w:tc>
        <w:tc>
          <w:tcPr>
            <w:tcW w:w="2102" w:type="dxa"/>
            <w:noWrap/>
            <w:vAlign w:val="center"/>
            <w:hideMark/>
          </w:tcPr>
          <w:p w14:paraId="68970524"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1561</w:t>
            </w:r>
          </w:p>
        </w:tc>
        <w:tc>
          <w:tcPr>
            <w:tcW w:w="2102" w:type="dxa"/>
            <w:noWrap/>
            <w:vAlign w:val="center"/>
            <w:hideMark/>
          </w:tcPr>
          <w:p w14:paraId="04AD256D"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96.8</w:t>
            </w:r>
          </w:p>
        </w:tc>
      </w:tr>
      <w:tr w:rsidR="00666250" w:rsidRPr="00613DE5" w14:paraId="2B1B1BBE"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EBC4201" w14:textId="77777777" w:rsidR="00CC3ED5" w:rsidRPr="00613DE5" w:rsidRDefault="00CC3ED5" w:rsidP="00065F12">
            <w:pPr>
              <w:rPr>
                <w:lang w:val="en-NZ"/>
              </w:rPr>
            </w:pPr>
            <w:r w:rsidRPr="00613DE5">
              <w:rPr>
                <w:lang w:val="en-NZ"/>
              </w:rPr>
              <w:t>Bay of Plenty</w:t>
            </w:r>
          </w:p>
        </w:tc>
        <w:tc>
          <w:tcPr>
            <w:tcW w:w="2102" w:type="dxa"/>
            <w:noWrap/>
            <w:vAlign w:val="center"/>
            <w:hideMark/>
          </w:tcPr>
          <w:p w14:paraId="773D0D62"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3108</w:t>
            </w:r>
          </w:p>
        </w:tc>
        <w:tc>
          <w:tcPr>
            <w:tcW w:w="2102" w:type="dxa"/>
            <w:noWrap/>
            <w:vAlign w:val="center"/>
            <w:hideMark/>
          </w:tcPr>
          <w:p w14:paraId="7C3758EA"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3182</w:t>
            </w:r>
          </w:p>
        </w:tc>
        <w:tc>
          <w:tcPr>
            <w:tcW w:w="2102" w:type="dxa"/>
            <w:noWrap/>
            <w:vAlign w:val="center"/>
            <w:hideMark/>
          </w:tcPr>
          <w:p w14:paraId="725B13FF"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97.7</w:t>
            </w:r>
          </w:p>
        </w:tc>
      </w:tr>
      <w:tr w:rsidR="00CC3ED5" w:rsidRPr="00613DE5" w14:paraId="29F3FF0A"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A041679" w14:textId="77777777" w:rsidR="00CC3ED5" w:rsidRPr="00613DE5" w:rsidRDefault="00CC3ED5" w:rsidP="00065F12">
            <w:pPr>
              <w:rPr>
                <w:lang w:val="en-NZ"/>
              </w:rPr>
            </w:pPr>
            <w:r w:rsidRPr="00613DE5">
              <w:rPr>
                <w:lang w:val="en-NZ"/>
              </w:rPr>
              <w:t>Tairawhiti</w:t>
            </w:r>
          </w:p>
        </w:tc>
        <w:tc>
          <w:tcPr>
            <w:tcW w:w="2102" w:type="dxa"/>
            <w:noWrap/>
            <w:vAlign w:val="center"/>
            <w:hideMark/>
          </w:tcPr>
          <w:p w14:paraId="19DF009E"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698</w:t>
            </w:r>
          </w:p>
        </w:tc>
        <w:tc>
          <w:tcPr>
            <w:tcW w:w="2102" w:type="dxa"/>
            <w:noWrap/>
            <w:vAlign w:val="center"/>
            <w:hideMark/>
          </w:tcPr>
          <w:p w14:paraId="1B276D04"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723</w:t>
            </w:r>
          </w:p>
        </w:tc>
        <w:tc>
          <w:tcPr>
            <w:tcW w:w="2102" w:type="dxa"/>
            <w:noWrap/>
            <w:vAlign w:val="center"/>
            <w:hideMark/>
          </w:tcPr>
          <w:p w14:paraId="528DEE18"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96.5</w:t>
            </w:r>
          </w:p>
        </w:tc>
      </w:tr>
      <w:tr w:rsidR="00666250" w:rsidRPr="00613DE5" w14:paraId="0AFBAD67"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08BE0D4" w14:textId="77777777" w:rsidR="00CC3ED5" w:rsidRPr="00613DE5" w:rsidRDefault="00CC3ED5" w:rsidP="00065F12">
            <w:pPr>
              <w:rPr>
                <w:lang w:val="en-NZ"/>
              </w:rPr>
            </w:pPr>
            <w:r w:rsidRPr="00613DE5">
              <w:rPr>
                <w:lang w:val="en-NZ"/>
              </w:rPr>
              <w:t>Hawkes Bay</w:t>
            </w:r>
          </w:p>
        </w:tc>
        <w:tc>
          <w:tcPr>
            <w:tcW w:w="2102" w:type="dxa"/>
            <w:noWrap/>
            <w:vAlign w:val="center"/>
            <w:hideMark/>
          </w:tcPr>
          <w:p w14:paraId="613CCF5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2025</w:t>
            </w:r>
          </w:p>
        </w:tc>
        <w:tc>
          <w:tcPr>
            <w:tcW w:w="2102" w:type="dxa"/>
            <w:noWrap/>
            <w:vAlign w:val="center"/>
            <w:hideMark/>
          </w:tcPr>
          <w:p w14:paraId="74EB7B38"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2077</w:t>
            </w:r>
          </w:p>
        </w:tc>
        <w:tc>
          <w:tcPr>
            <w:tcW w:w="2102" w:type="dxa"/>
            <w:noWrap/>
            <w:vAlign w:val="center"/>
            <w:hideMark/>
          </w:tcPr>
          <w:p w14:paraId="08E31725"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97.5</w:t>
            </w:r>
          </w:p>
        </w:tc>
      </w:tr>
      <w:tr w:rsidR="00CC3ED5" w:rsidRPr="00613DE5" w14:paraId="0C2E6522"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7437FC6A" w14:textId="77777777" w:rsidR="00CC3ED5" w:rsidRPr="00613DE5" w:rsidRDefault="00CC3ED5" w:rsidP="00065F12">
            <w:pPr>
              <w:rPr>
                <w:lang w:val="en-NZ"/>
              </w:rPr>
            </w:pPr>
            <w:r w:rsidRPr="00613DE5">
              <w:rPr>
                <w:lang w:val="en-NZ"/>
              </w:rPr>
              <w:t>Taranaki</w:t>
            </w:r>
          </w:p>
        </w:tc>
        <w:tc>
          <w:tcPr>
            <w:tcW w:w="2102" w:type="dxa"/>
            <w:noWrap/>
            <w:vAlign w:val="center"/>
            <w:hideMark/>
          </w:tcPr>
          <w:p w14:paraId="22DB70F6"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1367</w:t>
            </w:r>
          </w:p>
        </w:tc>
        <w:tc>
          <w:tcPr>
            <w:tcW w:w="2102" w:type="dxa"/>
            <w:noWrap/>
            <w:vAlign w:val="center"/>
            <w:hideMark/>
          </w:tcPr>
          <w:p w14:paraId="578949FC"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1402</w:t>
            </w:r>
          </w:p>
        </w:tc>
        <w:tc>
          <w:tcPr>
            <w:tcW w:w="2102" w:type="dxa"/>
            <w:noWrap/>
            <w:vAlign w:val="center"/>
            <w:hideMark/>
          </w:tcPr>
          <w:p w14:paraId="48E8205D"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97.5</w:t>
            </w:r>
          </w:p>
        </w:tc>
      </w:tr>
      <w:tr w:rsidR="00666250" w:rsidRPr="00613DE5" w14:paraId="1AF3F9A3"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AEA788E" w14:textId="77777777" w:rsidR="00CC3ED5" w:rsidRPr="00613DE5" w:rsidRDefault="00CC3ED5" w:rsidP="00065F12">
            <w:pPr>
              <w:rPr>
                <w:lang w:val="en-NZ"/>
              </w:rPr>
            </w:pPr>
            <w:r w:rsidRPr="00613DE5">
              <w:rPr>
                <w:lang w:val="en-NZ"/>
              </w:rPr>
              <w:t>MidCentral</w:t>
            </w:r>
          </w:p>
        </w:tc>
        <w:tc>
          <w:tcPr>
            <w:tcW w:w="2102" w:type="dxa"/>
            <w:noWrap/>
            <w:vAlign w:val="center"/>
            <w:hideMark/>
          </w:tcPr>
          <w:p w14:paraId="401FCA0F"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2113</w:t>
            </w:r>
          </w:p>
        </w:tc>
        <w:tc>
          <w:tcPr>
            <w:tcW w:w="2102" w:type="dxa"/>
            <w:noWrap/>
            <w:vAlign w:val="center"/>
            <w:hideMark/>
          </w:tcPr>
          <w:p w14:paraId="1E977FA3"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2208</w:t>
            </w:r>
          </w:p>
        </w:tc>
        <w:tc>
          <w:tcPr>
            <w:tcW w:w="2102" w:type="dxa"/>
            <w:noWrap/>
            <w:vAlign w:val="center"/>
            <w:hideMark/>
          </w:tcPr>
          <w:p w14:paraId="3508500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95.7</w:t>
            </w:r>
          </w:p>
        </w:tc>
      </w:tr>
      <w:tr w:rsidR="00CC3ED5" w:rsidRPr="00613DE5" w14:paraId="1BF64E18"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CBC9FCF" w14:textId="77777777" w:rsidR="00CC3ED5" w:rsidRPr="00613DE5" w:rsidRDefault="00CC3ED5" w:rsidP="00065F12">
            <w:pPr>
              <w:rPr>
                <w:lang w:val="en-NZ"/>
              </w:rPr>
            </w:pPr>
            <w:r w:rsidRPr="00613DE5">
              <w:rPr>
                <w:lang w:val="en-NZ"/>
              </w:rPr>
              <w:t>Whanganui</w:t>
            </w:r>
          </w:p>
        </w:tc>
        <w:tc>
          <w:tcPr>
            <w:tcW w:w="2102" w:type="dxa"/>
            <w:noWrap/>
            <w:vAlign w:val="center"/>
            <w:hideMark/>
          </w:tcPr>
          <w:p w14:paraId="0B4B8784"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800</w:t>
            </w:r>
          </w:p>
        </w:tc>
        <w:tc>
          <w:tcPr>
            <w:tcW w:w="2102" w:type="dxa"/>
            <w:noWrap/>
            <w:vAlign w:val="center"/>
            <w:hideMark/>
          </w:tcPr>
          <w:p w14:paraId="6B9A9915"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825</w:t>
            </w:r>
          </w:p>
        </w:tc>
        <w:tc>
          <w:tcPr>
            <w:tcW w:w="2102" w:type="dxa"/>
            <w:noWrap/>
            <w:vAlign w:val="center"/>
            <w:hideMark/>
          </w:tcPr>
          <w:p w14:paraId="24EFBB6F"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97.0</w:t>
            </w:r>
          </w:p>
        </w:tc>
      </w:tr>
      <w:tr w:rsidR="00666250" w:rsidRPr="00613DE5" w14:paraId="7CBE9B2F"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31EAE1B" w14:textId="77777777" w:rsidR="00CC3ED5" w:rsidRPr="00613DE5" w:rsidRDefault="00CC3ED5" w:rsidP="00065F12">
            <w:pPr>
              <w:rPr>
                <w:lang w:val="en-NZ"/>
              </w:rPr>
            </w:pPr>
            <w:r w:rsidRPr="00613DE5">
              <w:rPr>
                <w:lang w:val="en-NZ"/>
              </w:rPr>
              <w:t>Capital and Coast</w:t>
            </w:r>
          </w:p>
        </w:tc>
        <w:tc>
          <w:tcPr>
            <w:tcW w:w="2102" w:type="dxa"/>
            <w:noWrap/>
            <w:vAlign w:val="center"/>
            <w:hideMark/>
          </w:tcPr>
          <w:p w14:paraId="5B0A3546"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2894</w:t>
            </w:r>
          </w:p>
        </w:tc>
        <w:tc>
          <w:tcPr>
            <w:tcW w:w="2102" w:type="dxa"/>
            <w:noWrap/>
            <w:vAlign w:val="center"/>
            <w:hideMark/>
          </w:tcPr>
          <w:p w14:paraId="31AA94C0"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2931</w:t>
            </w:r>
          </w:p>
        </w:tc>
        <w:tc>
          <w:tcPr>
            <w:tcW w:w="2102" w:type="dxa"/>
            <w:noWrap/>
            <w:vAlign w:val="center"/>
            <w:hideMark/>
          </w:tcPr>
          <w:p w14:paraId="781946D0"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98.7</w:t>
            </w:r>
          </w:p>
        </w:tc>
      </w:tr>
      <w:tr w:rsidR="00CC3ED5" w:rsidRPr="00613DE5" w14:paraId="0A1935A0"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37546392" w14:textId="77777777" w:rsidR="00CC3ED5" w:rsidRPr="00613DE5" w:rsidRDefault="00CC3ED5" w:rsidP="00065F12">
            <w:pPr>
              <w:rPr>
                <w:lang w:val="en-NZ"/>
              </w:rPr>
            </w:pPr>
            <w:r w:rsidRPr="00613DE5">
              <w:rPr>
                <w:lang w:val="en-NZ"/>
              </w:rPr>
              <w:t>Hutt Valley</w:t>
            </w:r>
          </w:p>
        </w:tc>
        <w:tc>
          <w:tcPr>
            <w:tcW w:w="2102" w:type="dxa"/>
            <w:noWrap/>
            <w:vAlign w:val="center"/>
            <w:hideMark/>
          </w:tcPr>
          <w:p w14:paraId="3B7C9781"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1814</w:t>
            </w:r>
          </w:p>
        </w:tc>
        <w:tc>
          <w:tcPr>
            <w:tcW w:w="2102" w:type="dxa"/>
            <w:noWrap/>
            <w:vAlign w:val="center"/>
            <w:hideMark/>
          </w:tcPr>
          <w:p w14:paraId="35CD03EF"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1866</w:t>
            </w:r>
          </w:p>
        </w:tc>
        <w:tc>
          <w:tcPr>
            <w:tcW w:w="2102" w:type="dxa"/>
            <w:noWrap/>
            <w:vAlign w:val="center"/>
            <w:hideMark/>
          </w:tcPr>
          <w:p w14:paraId="151CBA06"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97.2</w:t>
            </w:r>
          </w:p>
        </w:tc>
      </w:tr>
      <w:tr w:rsidR="00666250" w:rsidRPr="00613DE5" w14:paraId="240C61F7"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42AEC82" w14:textId="77777777" w:rsidR="00CC3ED5" w:rsidRPr="00613DE5" w:rsidRDefault="00CC3ED5" w:rsidP="00065F12">
            <w:pPr>
              <w:rPr>
                <w:lang w:val="en-NZ"/>
              </w:rPr>
            </w:pPr>
            <w:r w:rsidRPr="00613DE5">
              <w:rPr>
                <w:lang w:val="en-NZ"/>
              </w:rPr>
              <w:t>Wairarapa</w:t>
            </w:r>
          </w:p>
        </w:tc>
        <w:tc>
          <w:tcPr>
            <w:tcW w:w="2102" w:type="dxa"/>
            <w:noWrap/>
            <w:vAlign w:val="center"/>
            <w:hideMark/>
          </w:tcPr>
          <w:p w14:paraId="7DBFDF3C"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529</w:t>
            </w:r>
          </w:p>
        </w:tc>
        <w:tc>
          <w:tcPr>
            <w:tcW w:w="2102" w:type="dxa"/>
            <w:noWrap/>
            <w:vAlign w:val="center"/>
            <w:hideMark/>
          </w:tcPr>
          <w:p w14:paraId="44E400D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538</w:t>
            </w:r>
          </w:p>
        </w:tc>
        <w:tc>
          <w:tcPr>
            <w:tcW w:w="2102" w:type="dxa"/>
            <w:noWrap/>
            <w:vAlign w:val="center"/>
            <w:hideMark/>
          </w:tcPr>
          <w:p w14:paraId="7A016F01"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98.3</w:t>
            </w:r>
          </w:p>
        </w:tc>
      </w:tr>
      <w:tr w:rsidR="00CC3ED5" w:rsidRPr="00613DE5" w14:paraId="41E8A8B7"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A170A17" w14:textId="77777777" w:rsidR="00CC3ED5" w:rsidRPr="00613DE5" w:rsidRDefault="00CC3ED5" w:rsidP="00065F12">
            <w:pPr>
              <w:rPr>
                <w:lang w:val="en-NZ"/>
              </w:rPr>
            </w:pPr>
            <w:r w:rsidRPr="00613DE5">
              <w:rPr>
                <w:lang w:val="en-NZ"/>
              </w:rPr>
              <w:t>Nelson Marlborough</w:t>
            </w:r>
          </w:p>
        </w:tc>
        <w:tc>
          <w:tcPr>
            <w:tcW w:w="2102" w:type="dxa"/>
            <w:noWrap/>
            <w:vAlign w:val="center"/>
            <w:hideMark/>
          </w:tcPr>
          <w:p w14:paraId="30EAC12A"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1390</w:t>
            </w:r>
          </w:p>
        </w:tc>
        <w:tc>
          <w:tcPr>
            <w:tcW w:w="2102" w:type="dxa"/>
            <w:noWrap/>
            <w:vAlign w:val="center"/>
            <w:hideMark/>
          </w:tcPr>
          <w:p w14:paraId="39013390"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1415</w:t>
            </w:r>
          </w:p>
        </w:tc>
        <w:tc>
          <w:tcPr>
            <w:tcW w:w="2102" w:type="dxa"/>
            <w:noWrap/>
            <w:vAlign w:val="center"/>
            <w:hideMark/>
          </w:tcPr>
          <w:p w14:paraId="7E23E3D7"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98.2</w:t>
            </w:r>
          </w:p>
        </w:tc>
      </w:tr>
      <w:tr w:rsidR="00666250" w:rsidRPr="00613DE5" w14:paraId="1CB01CBF"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59D46D4" w14:textId="77777777" w:rsidR="00CC3ED5" w:rsidRPr="00613DE5" w:rsidRDefault="00CC3ED5" w:rsidP="00065F12">
            <w:pPr>
              <w:rPr>
                <w:lang w:val="en-NZ"/>
              </w:rPr>
            </w:pPr>
            <w:r w:rsidRPr="00613DE5">
              <w:rPr>
                <w:lang w:val="en-NZ"/>
              </w:rPr>
              <w:t>West Coast</w:t>
            </w:r>
          </w:p>
        </w:tc>
        <w:tc>
          <w:tcPr>
            <w:tcW w:w="2102" w:type="dxa"/>
            <w:noWrap/>
            <w:vAlign w:val="center"/>
            <w:hideMark/>
          </w:tcPr>
          <w:p w14:paraId="4DB2FE65"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291</w:t>
            </w:r>
          </w:p>
        </w:tc>
        <w:tc>
          <w:tcPr>
            <w:tcW w:w="2102" w:type="dxa"/>
            <w:noWrap/>
            <w:vAlign w:val="center"/>
            <w:hideMark/>
          </w:tcPr>
          <w:p w14:paraId="66D63830"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297</w:t>
            </w:r>
          </w:p>
        </w:tc>
        <w:tc>
          <w:tcPr>
            <w:tcW w:w="2102" w:type="dxa"/>
            <w:noWrap/>
            <w:vAlign w:val="center"/>
            <w:hideMark/>
          </w:tcPr>
          <w:p w14:paraId="43367EED"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98.0</w:t>
            </w:r>
          </w:p>
        </w:tc>
      </w:tr>
      <w:tr w:rsidR="00CC3ED5" w:rsidRPr="00613DE5" w14:paraId="7D98632C"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B4B8C47" w14:textId="77777777" w:rsidR="00CC3ED5" w:rsidRPr="00613DE5" w:rsidRDefault="00CC3ED5" w:rsidP="00065F12">
            <w:pPr>
              <w:rPr>
                <w:lang w:val="en-NZ"/>
              </w:rPr>
            </w:pPr>
            <w:r w:rsidRPr="00613DE5">
              <w:rPr>
                <w:lang w:val="en-NZ"/>
              </w:rPr>
              <w:t>Canterbury</w:t>
            </w:r>
          </w:p>
        </w:tc>
        <w:tc>
          <w:tcPr>
            <w:tcW w:w="2102" w:type="dxa"/>
            <w:noWrap/>
            <w:vAlign w:val="center"/>
            <w:hideMark/>
          </w:tcPr>
          <w:p w14:paraId="0C513ED0"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6498</w:t>
            </w:r>
          </w:p>
        </w:tc>
        <w:tc>
          <w:tcPr>
            <w:tcW w:w="2102" w:type="dxa"/>
            <w:noWrap/>
            <w:vAlign w:val="center"/>
            <w:hideMark/>
          </w:tcPr>
          <w:p w14:paraId="23E35BD3"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6579</w:t>
            </w:r>
          </w:p>
        </w:tc>
        <w:tc>
          <w:tcPr>
            <w:tcW w:w="2102" w:type="dxa"/>
            <w:noWrap/>
            <w:vAlign w:val="center"/>
            <w:hideMark/>
          </w:tcPr>
          <w:p w14:paraId="64467236"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98.8</w:t>
            </w:r>
          </w:p>
        </w:tc>
      </w:tr>
      <w:tr w:rsidR="00666250" w:rsidRPr="00613DE5" w14:paraId="0989C7E5"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A217BDB" w14:textId="77777777" w:rsidR="00CC3ED5" w:rsidRPr="00613DE5" w:rsidRDefault="00CC3ED5" w:rsidP="00065F12">
            <w:pPr>
              <w:rPr>
                <w:lang w:val="en-NZ"/>
              </w:rPr>
            </w:pPr>
            <w:r w:rsidRPr="00613DE5">
              <w:rPr>
                <w:lang w:val="en-NZ"/>
              </w:rPr>
              <w:t>South Canterbury</w:t>
            </w:r>
          </w:p>
        </w:tc>
        <w:tc>
          <w:tcPr>
            <w:tcW w:w="2102" w:type="dxa"/>
            <w:noWrap/>
            <w:vAlign w:val="center"/>
            <w:hideMark/>
          </w:tcPr>
          <w:p w14:paraId="5199578D"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588</w:t>
            </w:r>
          </w:p>
        </w:tc>
        <w:tc>
          <w:tcPr>
            <w:tcW w:w="2102" w:type="dxa"/>
            <w:noWrap/>
            <w:vAlign w:val="center"/>
            <w:hideMark/>
          </w:tcPr>
          <w:p w14:paraId="02C091A5"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601</w:t>
            </w:r>
          </w:p>
        </w:tc>
        <w:tc>
          <w:tcPr>
            <w:tcW w:w="2102" w:type="dxa"/>
            <w:noWrap/>
            <w:vAlign w:val="center"/>
            <w:hideMark/>
          </w:tcPr>
          <w:p w14:paraId="30A01D1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97.8</w:t>
            </w:r>
          </w:p>
        </w:tc>
      </w:tr>
      <w:tr w:rsidR="00CC3ED5" w:rsidRPr="00613DE5" w14:paraId="4050D89D" w14:textId="77777777" w:rsidTr="56BCA295">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5C644F5" w14:textId="77777777" w:rsidR="00CC3ED5" w:rsidRPr="00613DE5" w:rsidRDefault="00CC3ED5" w:rsidP="00065F12">
            <w:pPr>
              <w:rPr>
                <w:lang w:val="en-NZ"/>
              </w:rPr>
            </w:pPr>
            <w:r w:rsidRPr="00613DE5">
              <w:rPr>
                <w:lang w:val="en-NZ"/>
              </w:rPr>
              <w:t>Southern</w:t>
            </w:r>
          </w:p>
        </w:tc>
        <w:tc>
          <w:tcPr>
            <w:tcW w:w="2102" w:type="dxa"/>
            <w:noWrap/>
            <w:vAlign w:val="center"/>
            <w:hideMark/>
          </w:tcPr>
          <w:p w14:paraId="2250174A"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3348</w:t>
            </w:r>
          </w:p>
        </w:tc>
        <w:tc>
          <w:tcPr>
            <w:tcW w:w="2102" w:type="dxa"/>
            <w:noWrap/>
            <w:vAlign w:val="center"/>
            <w:hideMark/>
          </w:tcPr>
          <w:p w14:paraId="759A32C5"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3365</w:t>
            </w:r>
          </w:p>
        </w:tc>
        <w:tc>
          <w:tcPr>
            <w:tcW w:w="2102" w:type="dxa"/>
            <w:noWrap/>
            <w:vAlign w:val="center"/>
            <w:hideMark/>
          </w:tcPr>
          <w:p w14:paraId="379A94F2"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99.5</w:t>
            </w:r>
          </w:p>
        </w:tc>
      </w:tr>
      <w:tr w:rsidR="005C49F4" w:rsidRPr="00613DE5" w14:paraId="2DBF37FD" w14:textId="77777777" w:rsidTr="56BCA29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7892CA8F" w14:textId="79149D61" w:rsidR="00CC3ED5" w:rsidRPr="00613DE5" w:rsidRDefault="00CC3ED5" w:rsidP="00065F12">
            <w:pPr>
              <w:rPr>
                <w:lang w:val="en-NZ"/>
              </w:rPr>
            </w:pPr>
            <w:r w:rsidRPr="00613DE5">
              <w:rPr>
                <w:lang w:val="en-NZ"/>
              </w:rPr>
              <w:t>National</w:t>
            </w:r>
            <w:r w:rsidR="00756A5E">
              <w:rPr>
                <w:lang w:val="en-NZ"/>
              </w:rPr>
              <w:t>*</w:t>
            </w:r>
          </w:p>
        </w:tc>
        <w:tc>
          <w:tcPr>
            <w:tcW w:w="2102" w:type="dxa"/>
            <w:noWrap/>
            <w:vAlign w:val="center"/>
            <w:hideMark/>
          </w:tcPr>
          <w:p w14:paraId="3271D3C0"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56875</w:t>
            </w:r>
          </w:p>
        </w:tc>
        <w:tc>
          <w:tcPr>
            <w:tcW w:w="2102" w:type="dxa"/>
            <w:noWrap/>
            <w:vAlign w:val="center"/>
            <w:hideMark/>
          </w:tcPr>
          <w:p w14:paraId="53D533B5"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58113</w:t>
            </w:r>
          </w:p>
        </w:tc>
        <w:tc>
          <w:tcPr>
            <w:tcW w:w="2102" w:type="dxa"/>
            <w:noWrap/>
            <w:vAlign w:val="center"/>
            <w:hideMark/>
          </w:tcPr>
          <w:p w14:paraId="352D811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97.9</w:t>
            </w:r>
          </w:p>
        </w:tc>
      </w:tr>
    </w:tbl>
    <w:p w14:paraId="2FC2A44F" w14:textId="77777777" w:rsidR="00756A5E" w:rsidRPr="00B852D2" w:rsidRDefault="00756A5E" w:rsidP="00756A5E">
      <w:pPr>
        <w:rPr>
          <w:rFonts w:cstheme="minorHAnsi"/>
          <w:i/>
          <w:iCs/>
          <w:sz w:val="20"/>
          <w:szCs w:val="20"/>
          <w:lang w:val="en-NZ"/>
        </w:rPr>
      </w:pPr>
      <w:r w:rsidRPr="00B852D2">
        <w:rPr>
          <w:rFonts w:cstheme="minorHAnsi"/>
          <w:i/>
          <w:iCs/>
          <w:sz w:val="20"/>
          <w:szCs w:val="20"/>
          <w:lang w:val="en-NZ"/>
        </w:rPr>
        <w:t>*Sub-counts do not add up to the total due to unknowns not being shown.</w:t>
      </w:r>
    </w:p>
    <w:p w14:paraId="1BD3A174" w14:textId="77777777" w:rsidR="00CC3ED5" w:rsidRPr="00613DE5" w:rsidRDefault="00CC3ED5" w:rsidP="00CC3ED5">
      <w:pPr>
        <w:rPr>
          <w:rFonts w:cstheme="minorHAnsi"/>
          <w:szCs w:val="24"/>
          <w:lang w:val="en-NZ"/>
        </w:rPr>
      </w:pPr>
    </w:p>
    <w:p w14:paraId="698BA696" w14:textId="77777777" w:rsidR="000811FB" w:rsidRPr="00613DE5" w:rsidRDefault="000811FB">
      <w:pPr>
        <w:rPr>
          <w:rFonts w:ascii="Poppins" w:hAnsi="Poppins" w:cs="Poppins"/>
          <w:b/>
          <w:bCs/>
          <w:color w:val="15284C"/>
          <w:sz w:val="32"/>
          <w:szCs w:val="32"/>
          <w:lang w:val="en-NZ"/>
        </w:rPr>
      </w:pPr>
      <w:bookmarkStart w:id="20" w:name="_Toc160616210"/>
      <w:r w:rsidRPr="00613DE5">
        <w:rPr>
          <w:lang w:val="en-NZ"/>
        </w:rPr>
        <w:br w:type="page"/>
      </w:r>
    </w:p>
    <w:p w14:paraId="269D5660" w14:textId="78479476" w:rsidR="00CC3ED5" w:rsidRPr="00613DE5" w:rsidRDefault="00CC3ED5" w:rsidP="000811FB">
      <w:pPr>
        <w:pStyle w:val="Heading2"/>
        <w:rPr>
          <w:lang w:val="en-NZ"/>
        </w:rPr>
      </w:pPr>
      <w:bookmarkStart w:id="21" w:name="_Toc179192051"/>
      <w:r w:rsidRPr="00613DE5">
        <w:rPr>
          <w:lang w:val="en-NZ"/>
        </w:rPr>
        <w:lastRenderedPageBreak/>
        <w:t xml:space="preserve">Table </w:t>
      </w:r>
      <w:r w:rsidRPr="00613DE5">
        <w:rPr>
          <w:color w:val="2B579A"/>
          <w:shd w:val="clear" w:color="auto" w:fill="E6E6E6"/>
          <w:lang w:val="en-NZ"/>
        </w:rPr>
        <w:fldChar w:fldCharType="begin"/>
      </w:r>
      <w:r w:rsidRPr="00613DE5">
        <w:rPr>
          <w:lang w:val="en-NZ"/>
        </w:rPr>
        <w:instrText xml:space="preserve"> SEQ Table \* ARABIC </w:instrText>
      </w:r>
      <w:r w:rsidRPr="00613DE5">
        <w:rPr>
          <w:color w:val="2B579A"/>
          <w:shd w:val="clear" w:color="auto" w:fill="E6E6E6"/>
          <w:lang w:val="en-NZ"/>
        </w:rPr>
        <w:fldChar w:fldCharType="separate"/>
      </w:r>
      <w:r w:rsidR="00E60918">
        <w:rPr>
          <w:noProof/>
          <w:lang w:val="en-NZ"/>
        </w:rPr>
        <w:t>3</w:t>
      </w:r>
      <w:r w:rsidRPr="00613DE5">
        <w:rPr>
          <w:color w:val="2B579A"/>
          <w:shd w:val="clear" w:color="auto" w:fill="E6E6E6"/>
          <w:lang w:val="en-NZ"/>
        </w:rPr>
        <w:fldChar w:fldCharType="end"/>
      </w:r>
      <w:r w:rsidRPr="00613DE5">
        <w:rPr>
          <w:lang w:val="en-NZ"/>
        </w:rPr>
        <w:t>: Coverage by district and ethnicity, January to December 2022</w:t>
      </w:r>
      <w:bookmarkEnd w:id="20"/>
      <w:bookmarkEnd w:id="21"/>
    </w:p>
    <w:tbl>
      <w:tblPr>
        <w:tblStyle w:val="GridTable4-Accent5"/>
        <w:tblW w:w="8995" w:type="dxa"/>
        <w:tblLayout w:type="fixed"/>
        <w:tblLook w:val="04A0" w:firstRow="1" w:lastRow="0" w:firstColumn="1" w:lastColumn="0" w:noHBand="0" w:noVBand="1"/>
      </w:tblPr>
      <w:tblGrid>
        <w:gridCol w:w="2689"/>
        <w:gridCol w:w="1051"/>
        <w:gridCol w:w="1051"/>
        <w:gridCol w:w="1051"/>
        <w:gridCol w:w="1051"/>
        <w:gridCol w:w="1051"/>
        <w:gridCol w:w="1051"/>
      </w:tblGrid>
      <w:tr w:rsidR="0087128E" w:rsidRPr="00613DE5" w14:paraId="72C85C55" w14:textId="77777777" w:rsidTr="5B552406">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8995" w:type="dxa"/>
            <w:gridSpan w:val="7"/>
            <w:tcBorders>
              <w:bottom w:val="nil"/>
            </w:tcBorders>
            <w:noWrap/>
            <w:hideMark/>
          </w:tcPr>
          <w:p w14:paraId="2249582C" w14:textId="113A3BA2" w:rsidR="0087128E" w:rsidRPr="00613DE5" w:rsidRDefault="0087128E" w:rsidP="0087128E">
            <w:pPr>
              <w:rPr>
                <w:rFonts w:eastAsia="Times New Roman" w:cstheme="minorHAnsi"/>
                <w:b w:val="0"/>
                <w:bCs w:val="0"/>
                <w:szCs w:val="24"/>
                <w:lang w:val="en-NZ" w:eastAsia="en-NZ"/>
              </w:rPr>
            </w:pPr>
            <w:r w:rsidRPr="00613DE5">
              <w:rPr>
                <w:rFonts w:eastAsia="Times New Roman" w:cstheme="minorHAnsi"/>
                <w:szCs w:val="24"/>
                <w:lang w:val="en-NZ" w:eastAsia="en-NZ"/>
              </w:rPr>
              <w:t>                                                                            Coverage (%)</w:t>
            </w:r>
          </w:p>
        </w:tc>
      </w:tr>
      <w:tr w:rsidR="0087128E" w:rsidRPr="00613DE5" w14:paraId="74260581" w14:textId="77777777" w:rsidTr="5B55240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8995" w:type="dxa"/>
            <w:gridSpan w:val="7"/>
            <w:tcBorders>
              <w:top w:val="nil"/>
              <w:left w:val="nil"/>
              <w:bottom w:val="nil"/>
              <w:right w:val="nil"/>
            </w:tcBorders>
            <w:shd w:val="clear" w:color="auto" w:fill="15284C" w:themeFill="accent5"/>
            <w:noWrap/>
          </w:tcPr>
          <w:p w14:paraId="102EF2D1" w14:textId="4080A9C6" w:rsidR="0087128E" w:rsidRPr="00613DE5" w:rsidRDefault="0087128E" w:rsidP="0087128E">
            <w:pPr>
              <w:rPr>
                <w:rFonts w:eastAsia="Times New Roman" w:cstheme="minorHAnsi"/>
                <w:b w:val="0"/>
                <w:bCs w:val="0"/>
                <w:color w:val="F6F4EC" w:themeColor="background1"/>
                <w:szCs w:val="24"/>
                <w:lang w:val="en-NZ" w:eastAsia="en-NZ"/>
              </w:rPr>
            </w:pPr>
          </w:p>
        </w:tc>
      </w:tr>
      <w:tr w:rsidR="0087128E" w:rsidRPr="00613DE5" w14:paraId="0248B33B"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tcBorders>
              <w:top w:val="nil"/>
              <w:left w:val="nil"/>
              <w:bottom w:val="nil"/>
              <w:right w:val="nil"/>
            </w:tcBorders>
            <w:shd w:val="clear" w:color="auto" w:fill="15284C" w:themeFill="accent5"/>
            <w:noWrap/>
          </w:tcPr>
          <w:p w14:paraId="6484CC03" w14:textId="778F2024" w:rsidR="0087128E" w:rsidRPr="00613DE5" w:rsidRDefault="0087128E" w:rsidP="0087128E">
            <w:pPr>
              <w:rPr>
                <w:rFonts w:eastAsia="Times New Roman" w:cstheme="minorHAnsi"/>
                <w:color w:val="000000"/>
                <w:szCs w:val="24"/>
                <w:lang w:val="en-NZ" w:eastAsia="en-NZ"/>
              </w:rPr>
            </w:pPr>
            <w:r w:rsidRPr="00613DE5">
              <w:rPr>
                <w:rFonts w:eastAsia="Times New Roman" w:cstheme="minorHAnsi"/>
                <w:color w:val="F6F4EC" w:themeColor="background1"/>
                <w:szCs w:val="24"/>
                <w:lang w:val="en-NZ" w:eastAsia="en-NZ"/>
              </w:rPr>
              <w:t>District</w:t>
            </w:r>
          </w:p>
        </w:tc>
        <w:tc>
          <w:tcPr>
            <w:tcW w:w="1051" w:type="dxa"/>
            <w:tcBorders>
              <w:top w:val="nil"/>
              <w:left w:val="nil"/>
              <w:bottom w:val="nil"/>
              <w:right w:val="nil"/>
            </w:tcBorders>
            <w:shd w:val="clear" w:color="auto" w:fill="15284C" w:themeFill="accent5"/>
            <w:noWrap/>
          </w:tcPr>
          <w:p w14:paraId="55936E9F" w14:textId="48D0EECD" w:rsidR="0087128E" w:rsidRPr="00613DE5" w:rsidRDefault="0087128E" w:rsidP="0087128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b/>
                <w:bCs/>
                <w:color w:val="F6F4EC" w:themeColor="background1"/>
                <w:szCs w:val="24"/>
                <w:lang w:val="en-NZ" w:eastAsia="en-NZ"/>
              </w:rPr>
              <w:t>Māori</w:t>
            </w:r>
          </w:p>
        </w:tc>
        <w:tc>
          <w:tcPr>
            <w:tcW w:w="1051" w:type="dxa"/>
            <w:tcBorders>
              <w:top w:val="nil"/>
              <w:left w:val="nil"/>
              <w:bottom w:val="nil"/>
              <w:right w:val="nil"/>
            </w:tcBorders>
            <w:shd w:val="clear" w:color="auto" w:fill="15284C" w:themeFill="accent5"/>
            <w:noWrap/>
          </w:tcPr>
          <w:p w14:paraId="1407BA4F" w14:textId="126613B4" w:rsidR="0087128E" w:rsidRPr="00613DE5" w:rsidRDefault="0087128E" w:rsidP="0087128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b/>
                <w:bCs/>
                <w:color w:val="F6F4EC" w:themeColor="background1"/>
                <w:szCs w:val="24"/>
                <w:lang w:val="en-NZ" w:eastAsia="en-NZ"/>
              </w:rPr>
              <w:t>Pacific</w:t>
            </w:r>
          </w:p>
        </w:tc>
        <w:tc>
          <w:tcPr>
            <w:tcW w:w="1051" w:type="dxa"/>
            <w:tcBorders>
              <w:top w:val="nil"/>
              <w:left w:val="nil"/>
              <w:bottom w:val="nil"/>
              <w:right w:val="nil"/>
            </w:tcBorders>
            <w:shd w:val="clear" w:color="auto" w:fill="15284C" w:themeFill="accent5"/>
            <w:noWrap/>
          </w:tcPr>
          <w:p w14:paraId="0783156F" w14:textId="710EA313" w:rsidR="0087128E" w:rsidRPr="00613DE5" w:rsidRDefault="0087128E" w:rsidP="0087128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b/>
                <w:bCs/>
                <w:color w:val="F6F4EC" w:themeColor="background1"/>
                <w:szCs w:val="24"/>
                <w:lang w:val="en-NZ" w:eastAsia="en-NZ"/>
              </w:rPr>
              <w:t>Asian</w:t>
            </w:r>
          </w:p>
        </w:tc>
        <w:tc>
          <w:tcPr>
            <w:tcW w:w="1051" w:type="dxa"/>
            <w:tcBorders>
              <w:top w:val="nil"/>
              <w:left w:val="nil"/>
              <w:bottom w:val="nil"/>
              <w:right w:val="nil"/>
            </w:tcBorders>
            <w:shd w:val="clear" w:color="auto" w:fill="15284C" w:themeFill="accent5"/>
            <w:noWrap/>
          </w:tcPr>
          <w:p w14:paraId="4ADA07A9" w14:textId="59930311" w:rsidR="0087128E" w:rsidRPr="00613DE5" w:rsidRDefault="0087128E" w:rsidP="0087128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b/>
                <w:bCs/>
                <w:color w:val="F6F4EC" w:themeColor="background1"/>
                <w:szCs w:val="24"/>
                <w:lang w:val="en-NZ" w:eastAsia="en-NZ"/>
              </w:rPr>
              <w:t>Other</w:t>
            </w:r>
          </w:p>
        </w:tc>
        <w:tc>
          <w:tcPr>
            <w:tcW w:w="1051" w:type="dxa"/>
            <w:tcBorders>
              <w:top w:val="nil"/>
              <w:left w:val="nil"/>
              <w:bottom w:val="nil"/>
              <w:right w:val="nil"/>
            </w:tcBorders>
            <w:shd w:val="clear" w:color="auto" w:fill="15284C" w:themeFill="accent5"/>
            <w:noWrap/>
          </w:tcPr>
          <w:p w14:paraId="2964AB0C" w14:textId="77E9840E" w:rsidR="0087128E" w:rsidRPr="00613DE5" w:rsidRDefault="0087128E" w:rsidP="0087128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b/>
                <w:bCs/>
                <w:color w:val="F6F4EC" w:themeColor="background1"/>
                <w:szCs w:val="24"/>
                <w:lang w:val="en-NZ" w:eastAsia="en-NZ"/>
              </w:rPr>
              <w:t>Total</w:t>
            </w:r>
          </w:p>
        </w:tc>
        <w:tc>
          <w:tcPr>
            <w:tcW w:w="1051" w:type="dxa"/>
            <w:tcBorders>
              <w:top w:val="nil"/>
              <w:left w:val="nil"/>
              <w:bottom w:val="nil"/>
              <w:right w:val="nil"/>
            </w:tcBorders>
            <w:shd w:val="clear" w:color="auto" w:fill="15284C" w:themeFill="accent5"/>
            <w:noWrap/>
          </w:tcPr>
          <w:p w14:paraId="1602BE3C" w14:textId="547C07F8" w:rsidR="0087128E" w:rsidRPr="00613DE5" w:rsidRDefault="0087128E" w:rsidP="0087128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b/>
                <w:bCs/>
                <w:color w:val="F6F4EC" w:themeColor="background1"/>
                <w:szCs w:val="24"/>
                <w:lang w:val="en-NZ" w:eastAsia="en-NZ"/>
              </w:rPr>
              <w:t>Rati</w:t>
            </w:r>
            <w:r w:rsidRPr="00B35FE5">
              <w:rPr>
                <w:rFonts w:eastAsia="Times New Roman" w:cstheme="minorHAnsi"/>
                <w:b/>
                <w:bCs/>
                <w:color w:val="F6F4EC" w:themeColor="background1"/>
                <w:szCs w:val="24"/>
                <w:lang w:val="en-NZ" w:eastAsia="en-NZ"/>
              </w:rPr>
              <w:t>o</w:t>
            </w:r>
            <w:r w:rsidRPr="00B35FE5">
              <w:rPr>
                <w:rFonts w:eastAsia="Times New Roman" w:cstheme="minorHAnsi"/>
                <w:b/>
                <w:bCs/>
                <w:color w:val="F6F4EC" w:themeColor="background1"/>
                <w:szCs w:val="24"/>
                <w:highlight w:val="blue"/>
                <w:lang w:val="en-NZ" w:eastAsia="en-NZ"/>
              </w:rPr>
              <w:t>†</w:t>
            </w:r>
          </w:p>
        </w:tc>
      </w:tr>
      <w:tr w:rsidR="0087128E" w:rsidRPr="00613DE5" w14:paraId="0641CD5E"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tcBorders>
              <w:top w:val="nil"/>
            </w:tcBorders>
            <w:noWrap/>
            <w:vAlign w:val="center"/>
            <w:hideMark/>
          </w:tcPr>
          <w:p w14:paraId="71AE0DF0"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Northland</w:t>
            </w:r>
          </w:p>
        </w:tc>
        <w:tc>
          <w:tcPr>
            <w:tcW w:w="1051" w:type="dxa"/>
            <w:tcBorders>
              <w:top w:val="nil"/>
            </w:tcBorders>
            <w:noWrap/>
            <w:vAlign w:val="center"/>
            <w:hideMark/>
          </w:tcPr>
          <w:p w14:paraId="3D59959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95.6</w:t>
            </w:r>
          </w:p>
        </w:tc>
        <w:tc>
          <w:tcPr>
            <w:tcW w:w="1051" w:type="dxa"/>
            <w:tcBorders>
              <w:top w:val="nil"/>
            </w:tcBorders>
            <w:noWrap/>
            <w:vAlign w:val="center"/>
            <w:hideMark/>
          </w:tcPr>
          <w:p w14:paraId="30CBAC60"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97.4</w:t>
            </w:r>
          </w:p>
        </w:tc>
        <w:tc>
          <w:tcPr>
            <w:tcW w:w="1051" w:type="dxa"/>
            <w:tcBorders>
              <w:top w:val="nil"/>
            </w:tcBorders>
            <w:noWrap/>
            <w:vAlign w:val="center"/>
            <w:hideMark/>
          </w:tcPr>
          <w:p w14:paraId="10A0AA6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tcBorders>
              <w:top w:val="nil"/>
            </w:tcBorders>
            <w:noWrap/>
            <w:vAlign w:val="center"/>
            <w:hideMark/>
          </w:tcPr>
          <w:p w14:paraId="7EB60EDA"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97.7</w:t>
            </w:r>
          </w:p>
        </w:tc>
        <w:tc>
          <w:tcPr>
            <w:tcW w:w="1051" w:type="dxa"/>
            <w:tcBorders>
              <w:top w:val="nil"/>
            </w:tcBorders>
            <w:noWrap/>
            <w:vAlign w:val="center"/>
            <w:hideMark/>
          </w:tcPr>
          <w:p w14:paraId="2964AE7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96.6</w:t>
            </w:r>
          </w:p>
        </w:tc>
        <w:tc>
          <w:tcPr>
            <w:tcW w:w="1051" w:type="dxa"/>
            <w:tcBorders>
              <w:top w:val="nil"/>
            </w:tcBorders>
            <w:noWrap/>
            <w:vAlign w:val="center"/>
            <w:hideMark/>
          </w:tcPr>
          <w:p w14:paraId="1684F899"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0.98</w:t>
            </w:r>
          </w:p>
        </w:tc>
      </w:tr>
      <w:tr w:rsidR="00097AC2" w:rsidRPr="00613DE5" w14:paraId="43131212"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5704313"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Waitemata</w:t>
            </w:r>
          </w:p>
        </w:tc>
        <w:tc>
          <w:tcPr>
            <w:tcW w:w="1051" w:type="dxa"/>
            <w:noWrap/>
            <w:vAlign w:val="center"/>
            <w:hideMark/>
          </w:tcPr>
          <w:p w14:paraId="5ECA0505"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97.7</w:t>
            </w:r>
          </w:p>
        </w:tc>
        <w:tc>
          <w:tcPr>
            <w:tcW w:w="1051" w:type="dxa"/>
            <w:noWrap/>
            <w:vAlign w:val="center"/>
            <w:hideMark/>
          </w:tcPr>
          <w:p w14:paraId="072F77D9"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051" w:type="dxa"/>
            <w:noWrap/>
            <w:vAlign w:val="center"/>
            <w:hideMark/>
          </w:tcPr>
          <w:p w14:paraId="431569F1"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c>
          <w:tcPr>
            <w:tcW w:w="1051" w:type="dxa"/>
            <w:noWrap/>
            <w:vAlign w:val="center"/>
            <w:hideMark/>
          </w:tcPr>
          <w:p w14:paraId="278E1F8A"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051" w:type="dxa"/>
            <w:noWrap/>
            <w:vAlign w:val="center"/>
            <w:hideMark/>
          </w:tcPr>
          <w:p w14:paraId="125CB492"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09880ACD"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0.99</w:t>
            </w:r>
          </w:p>
        </w:tc>
      </w:tr>
      <w:tr w:rsidR="0087128E" w:rsidRPr="00613DE5" w14:paraId="21825B06"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DA90DD6"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Auckland</w:t>
            </w:r>
          </w:p>
        </w:tc>
        <w:tc>
          <w:tcPr>
            <w:tcW w:w="1051" w:type="dxa"/>
            <w:noWrap/>
            <w:vAlign w:val="center"/>
            <w:hideMark/>
          </w:tcPr>
          <w:p w14:paraId="6984A7A7"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97.1</w:t>
            </w:r>
          </w:p>
        </w:tc>
        <w:tc>
          <w:tcPr>
            <w:tcW w:w="1051" w:type="dxa"/>
            <w:noWrap/>
            <w:vAlign w:val="center"/>
            <w:hideMark/>
          </w:tcPr>
          <w:p w14:paraId="21209480"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97.2</w:t>
            </w:r>
          </w:p>
        </w:tc>
        <w:tc>
          <w:tcPr>
            <w:tcW w:w="1051" w:type="dxa"/>
            <w:noWrap/>
            <w:vAlign w:val="center"/>
            <w:hideMark/>
          </w:tcPr>
          <w:p w14:paraId="79EDBC60"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99.9</w:t>
            </w:r>
          </w:p>
        </w:tc>
        <w:tc>
          <w:tcPr>
            <w:tcW w:w="1051" w:type="dxa"/>
            <w:noWrap/>
            <w:vAlign w:val="center"/>
            <w:hideMark/>
          </w:tcPr>
          <w:p w14:paraId="3060B2D3"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99.4</w:t>
            </w:r>
          </w:p>
        </w:tc>
        <w:tc>
          <w:tcPr>
            <w:tcW w:w="1051" w:type="dxa"/>
            <w:noWrap/>
            <w:vAlign w:val="center"/>
            <w:hideMark/>
          </w:tcPr>
          <w:p w14:paraId="08B91D8D"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40AF55FB"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0.98</w:t>
            </w:r>
          </w:p>
        </w:tc>
      </w:tr>
      <w:tr w:rsidR="00097AC2" w:rsidRPr="00613DE5" w14:paraId="1DE3181D"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0EAAAAE"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Counties Manukau</w:t>
            </w:r>
          </w:p>
        </w:tc>
        <w:tc>
          <w:tcPr>
            <w:tcW w:w="1051" w:type="dxa"/>
            <w:noWrap/>
            <w:vAlign w:val="center"/>
            <w:hideMark/>
          </w:tcPr>
          <w:p w14:paraId="65A2A336"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95.7</w:t>
            </w:r>
          </w:p>
        </w:tc>
        <w:tc>
          <w:tcPr>
            <w:tcW w:w="1051" w:type="dxa"/>
            <w:noWrap/>
            <w:vAlign w:val="center"/>
            <w:hideMark/>
          </w:tcPr>
          <w:p w14:paraId="2B5C2BD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95.1</w:t>
            </w:r>
          </w:p>
        </w:tc>
        <w:tc>
          <w:tcPr>
            <w:tcW w:w="1051" w:type="dxa"/>
            <w:noWrap/>
            <w:vAlign w:val="center"/>
            <w:hideMark/>
          </w:tcPr>
          <w:p w14:paraId="0A0A3C5C"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98.6</w:t>
            </w:r>
          </w:p>
        </w:tc>
        <w:tc>
          <w:tcPr>
            <w:tcW w:w="1051" w:type="dxa"/>
            <w:noWrap/>
            <w:vAlign w:val="center"/>
            <w:hideMark/>
          </w:tcPr>
          <w:p w14:paraId="45BA4ED1"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98.5</w:t>
            </w:r>
          </w:p>
        </w:tc>
        <w:tc>
          <w:tcPr>
            <w:tcW w:w="1051" w:type="dxa"/>
            <w:noWrap/>
            <w:vAlign w:val="center"/>
            <w:hideMark/>
          </w:tcPr>
          <w:p w14:paraId="176E8703"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97.0</w:t>
            </w:r>
          </w:p>
        </w:tc>
        <w:tc>
          <w:tcPr>
            <w:tcW w:w="1051" w:type="dxa"/>
            <w:noWrap/>
            <w:vAlign w:val="center"/>
            <w:hideMark/>
          </w:tcPr>
          <w:p w14:paraId="063E44D3"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0.98</w:t>
            </w:r>
          </w:p>
        </w:tc>
      </w:tr>
      <w:tr w:rsidR="0087128E" w:rsidRPr="00613DE5" w14:paraId="34CB512B"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C20D2A0"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Waikato</w:t>
            </w:r>
          </w:p>
        </w:tc>
        <w:tc>
          <w:tcPr>
            <w:tcW w:w="1051" w:type="dxa"/>
            <w:noWrap/>
            <w:vAlign w:val="center"/>
            <w:hideMark/>
          </w:tcPr>
          <w:p w14:paraId="023CFF8C"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93.6</w:t>
            </w:r>
          </w:p>
        </w:tc>
        <w:tc>
          <w:tcPr>
            <w:tcW w:w="1051" w:type="dxa"/>
            <w:noWrap/>
            <w:vAlign w:val="center"/>
            <w:hideMark/>
          </w:tcPr>
          <w:p w14:paraId="792452E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94.1</w:t>
            </w:r>
          </w:p>
        </w:tc>
        <w:tc>
          <w:tcPr>
            <w:tcW w:w="1051" w:type="dxa"/>
            <w:noWrap/>
            <w:vAlign w:val="center"/>
            <w:hideMark/>
          </w:tcPr>
          <w:p w14:paraId="018D7F34"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98.7</w:t>
            </w:r>
          </w:p>
        </w:tc>
        <w:tc>
          <w:tcPr>
            <w:tcW w:w="1051" w:type="dxa"/>
            <w:noWrap/>
            <w:vAlign w:val="center"/>
            <w:hideMark/>
          </w:tcPr>
          <w:p w14:paraId="2C55AE1B"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98.0</w:t>
            </w:r>
          </w:p>
        </w:tc>
        <w:tc>
          <w:tcPr>
            <w:tcW w:w="1051" w:type="dxa"/>
            <w:noWrap/>
            <w:vAlign w:val="center"/>
            <w:hideMark/>
          </w:tcPr>
          <w:p w14:paraId="6E050ED5"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96.4</w:t>
            </w:r>
          </w:p>
        </w:tc>
        <w:tc>
          <w:tcPr>
            <w:tcW w:w="1051" w:type="dxa"/>
            <w:noWrap/>
            <w:vAlign w:val="center"/>
            <w:hideMark/>
          </w:tcPr>
          <w:p w14:paraId="5317029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0.96</w:t>
            </w:r>
          </w:p>
        </w:tc>
      </w:tr>
      <w:tr w:rsidR="00097AC2" w:rsidRPr="00613DE5" w14:paraId="56C0E057"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76F5B130"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Lakes</w:t>
            </w:r>
          </w:p>
        </w:tc>
        <w:tc>
          <w:tcPr>
            <w:tcW w:w="1051" w:type="dxa"/>
            <w:noWrap/>
            <w:vAlign w:val="center"/>
            <w:hideMark/>
          </w:tcPr>
          <w:p w14:paraId="4A9B8515"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95.4</w:t>
            </w:r>
          </w:p>
        </w:tc>
        <w:tc>
          <w:tcPr>
            <w:tcW w:w="1051" w:type="dxa"/>
            <w:noWrap/>
            <w:vAlign w:val="center"/>
            <w:hideMark/>
          </w:tcPr>
          <w:p w14:paraId="4B4D603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96.4</w:t>
            </w:r>
          </w:p>
        </w:tc>
        <w:tc>
          <w:tcPr>
            <w:tcW w:w="1051" w:type="dxa"/>
            <w:noWrap/>
            <w:vAlign w:val="center"/>
            <w:hideMark/>
          </w:tcPr>
          <w:p w14:paraId="7270821B"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98.1</w:t>
            </w:r>
          </w:p>
        </w:tc>
        <w:tc>
          <w:tcPr>
            <w:tcW w:w="1051" w:type="dxa"/>
            <w:noWrap/>
            <w:vAlign w:val="center"/>
            <w:hideMark/>
          </w:tcPr>
          <w:p w14:paraId="613C3021"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5D0F5899"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96.8</w:t>
            </w:r>
          </w:p>
        </w:tc>
        <w:tc>
          <w:tcPr>
            <w:tcW w:w="1051" w:type="dxa"/>
            <w:noWrap/>
            <w:vAlign w:val="center"/>
            <w:hideMark/>
          </w:tcPr>
          <w:p w14:paraId="30C6D407"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0.97</w:t>
            </w:r>
          </w:p>
        </w:tc>
      </w:tr>
      <w:tr w:rsidR="0087128E" w:rsidRPr="00613DE5" w14:paraId="69D441E2"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06B549A"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Bay of Plenty</w:t>
            </w:r>
          </w:p>
        </w:tc>
        <w:tc>
          <w:tcPr>
            <w:tcW w:w="1051" w:type="dxa"/>
            <w:noWrap/>
            <w:vAlign w:val="center"/>
            <w:hideMark/>
          </w:tcPr>
          <w:p w14:paraId="7099807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97.8</w:t>
            </w:r>
          </w:p>
        </w:tc>
        <w:tc>
          <w:tcPr>
            <w:tcW w:w="1051" w:type="dxa"/>
            <w:noWrap/>
            <w:vAlign w:val="center"/>
            <w:hideMark/>
          </w:tcPr>
          <w:p w14:paraId="4BE26458" w14:textId="77777777" w:rsidR="0087128E" w:rsidRPr="002F15CB"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2F15CB">
              <w:rPr>
                <w:rFonts w:eastAsia="Times New Roman" w:cstheme="minorHAnsi"/>
                <w:color w:val="000000"/>
                <w:szCs w:val="24"/>
                <w:lang w:val="en-NZ" w:eastAsia="en-NZ"/>
              </w:rPr>
              <w:t>92.8</w:t>
            </w:r>
          </w:p>
        </w:tc>
        <w:tc>
          <w:tcPr>
            <w:tcW w:w="1051" w:type="dxa"/>
            <w:noWrap/>
            <w:vAlign w:val="center"/>
            <w:hideMark/>
          </w:tcPr>
          <w:p w14:paraId="47305B69"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97.0</w:t>
            </w:r>
          </w:p>
        </w:tc>
        <w:tc>
          <w:tcPr>
            <w:tcW w:w="1051" w:type="dxa"/>
            <w:noWrap/>
            <w:vAlign w:val="center"/>
            <w:hideMark/>
          </w:tcPr>
          <w:p w14:paraId="252FA403"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98.0</w:t>
            </w:r>
          </w:p>
        </w:tc>
        <w:tc>
          <w:tcPr>
            <w:tcW w:w="1051" w:type="dxa"/>
            <w:noWrap/>
            <w:vAlign w:val="center"/>
            <w:hideMark/>
          </w:tcPr>
          <w:p w14:paraId="2FB3CAE7"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97.7</w:t>
            </w:r>
          </w:p>
        </w:tc>
        <w:tc>
          <w:tcPr>
            <w:tcW w:w="1051" w:type="dxa"/>
            <w:noWrap/>
            <w:vAlign w:val="center"/>
            <w:hideMark/>
          </w:tcPr>
          <w:p w14:paraId="1F7BC22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w:t>
            </w:r>
          </w:p>
        </w:tc>
      </w:tr>
      <w:tr w:rsidR="00097AC2" w:rsidRPr="00613DE5" w14:paraId="56443EA6"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EF074A3"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Tairawhiti</w:t>
            </w:r>
          </w:p>
        </w:tc>
        <w:tc>
          <w:tcPr>
            <w:tcW w:w="1051" w:type="dxa"/>
            <w:noWrap/>
            <w:vAlign w:val="center"/>
            <w:hideMark/>
          </w:tcPr>
          <w:p w14:paraId="39B75C85"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96.2</w:t>
            </w:r>
          </w:p>
        </w:tc>
        <w:tc>
          <w:tcPr>
            <w:tcW w:w="1051" w:type="dxa"/>
            <w:noWrap/>
            <w:vAlign w:val="center"/>
            <w:hideMark/>
          </w:tcPr>
          <w:p w14:paraId="4A6522D9" w14:textId="591F502C" w:rsidR="0087128E" w:rsidRPr="002F15CB" w:rsidRDefault="549060CE" w:rsidP="35AEA116">
            <w:pPr>
              <w:jc w:val="center"/>
              <w:cnfStyle w:val="000000000000" w:firstRow="0" w:lastRow="0" w:firstColumn="0" w:lastColumn="0" w:oddVBand="0" w:evenVBand="0" w:oddHBand="0" w:evenHBand="0" w:firstRowFirstColumn="0" w:firstRowLastColumn="0" w:lastRowFirstColumn="0" w:lastRowLastColumn="0"/>
              <w:rPr>
                <w:rFonts w:eastAsia="Times New Roman" w:cstheme="minorBidi"/>
                <w:color w:val="000000"/>
                <w:lang w:val="en-NZ" w:eastAsia="en-NZ"/>
              </w:rPr>
            </w:pPr>
            <w:r w:rsidRPr="5B552406">
              <w:rPr>
                <w:rFonts w:eastAsia="Times New Roman" w:cstheme="minorBidi"/>
                <w:color w:val="000000"/>
                <w:lang w:val="en-NZ" w:eastAsia="en-NZ"/>
              </w:rPr>
              <w:t>10</w:t>
            </w:r>
            <w:r w:rsidR="4D1C1AFE" w:rsidRPr="5B552406">
              <w:rPr>
                <w:rFonts w:eastAsia="Times New Roman" w:cstheme="minorBidi"/>
                <w:color w:val="000000"/>
                <w:lang w:val="en-NZ" w:eastAsia="en-NZ"/>
              </w:rPr>
              <w:t>0*</w:t>
            </w:r>
          </w:p>
        </w:tc>
        <w:tc>
          <w:tcPr>
            <w:tcW w:w="1051" w:type="dxa"/>
            <w:noWrap/>
            <w:vAlign w:val="center"/>
            <w:hideMark/>
          </w:tcPr>
          <w:p w14:paraId="24F6B21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90.3</w:t>
            </w:r>
          </w:p>
        </w:tc>
        <w:tc>
          <w:tcPr>
            <w:tcW w:w="1051" w:type="dxa"/>
            <w:noWrap/>
            <w:vAlign w:val="center"/>
            <w:hideMark/>
          </w:tcPr>
          <w:p w14:paraId="271A7B8A"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97.6</w:t>
            </w:r>
          </w:p>
        </w:tc>
        <w:tc>
          <w:tcPr>
            <w:tcW w:w="1051" w:type="dxa"/>
            <w:noWrap/>
            <w:vAlign w:val="center"/>
            <w:hideMark/>
          </w:tcPr>
          <w:p w14:paraId="3E02218B"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96.5</w:t>
            </w:r>
          </w:p>
        </w:tc>
        <w:tc>
          <w:tcPr>
            <w:tcW w:w="1051" w:type="dxa"/>
            <w:noWrap/>
            <w:vAlign w:val="center"/>
            <w:hideMark/>
          </w:tcPr>
          <w:p w14:paraId="72CDA51D"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0.99</w:t>
            </w:r>
          </w:p>
        </w:tc>
      </w:tr>
      <w:tr w:rsidR="0087128E" w:rsidRPr="00613DE5" w14:paraId="0EE54681"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3243C8D"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Hawkes Bay</w:t>
            </w:r>
          </w:p>
        </w:tc>
        <w:tc>
          <w:tcPr>
            <w:tcW w:w="1051" w:type="dxa"/>
            <w:noWrap/>
            <w:vAlign w:val="center"/>
            <w:hideMark/>
          </w:tcPr>
          <w:p w14:paraId="7033A35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96.5</w:t>
            </w:r>
          </w:p>
        </w:tc>
        <w:tc>
          <w:tcPr>
            <w:tcW w:w="1051" w:type="dxa"/>
            <w:noWrap/>
            <w:vAlign w:val="center"/>
            <w:hideMark/>
          </w:tcPr>
          <w:p w14:paraId="080D602D"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92.5</w:t>
            </w:r>
          </w:p>
        </w:tc>
        <w:tc>
          <w:tcPr>
            <w:tcW w:w="1051" w:type="dxa"/>
            <w:noWrap/>
            <w:vAlign w:val="center"/>
            <w:hideMark/>
          </w:tcPr>
          <w:p w14:paraId="042F5AAB"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27B60E1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98.6</w:t>
            </w:r>
          </w:p>
        </w:tc>
        <w:tc>
          <w:tcPr>
            <w:tcW w:w="1051" w:type="dxa"/>
            <w:noWrap/>
            <w:vAlign w:val="center"/>
            <w:hideMark/>
          </w:tcPr>
          <w:p w14:paraId="0E4661A5"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97.5</w:t>
            </w:r>
          </w:p>
        </w:tc>
        <w:tc>
          <w:tcPr>
            <w:tcW w:w="1051" w:type="dxa"/>
            <w:noWrap/>
            <w:vAlign w:val="center"/>
            <w:hideMark/>
          </w:tcPr>
          <w:p w14:paraId="3D1CA4A6"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0.98</w:t>
            </w:r>
          </w:p>
        </w:tc>
      </w:tr>
      <w:tr w:rsidR="00097AC2" w:rsidRPr="00613DE5" w14:paraId="37099277"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CCE804F"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Taranaki</w:t>
            </w:r>
          </w:p>
        </w:tc>
        <w:tc>
          <w:tcPr>
            <w:tcW w:w="1051" w:type="dxa"/>
            <w:noWrap/>
            <w:vAlign w:val="center"/>
            <w:hideMark/>
          </w:tcPr>
          <w:p w14:paraId="691D0813"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94.1</w:t>
            </w:r>
          </w:p>
        </w:tc>
        <w:tc>
          <w:tcPr>
            <w:tcW w:w="1051" w:type="dxa"/>
            <w:noWrap/>
            <w:vAlign w:val="center"/>
            <w:hideMark/>
          </w:tcPr>
          <w:p w14:paraId="19CBB5A5"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37042E45"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051" w:type="dxa"/>
            <w:noWrap/>
            <w:vAlign w:val="center"/>
            <w:hideMark/>
          </w:tcPr>
          <w:p w14:paraId="366FD0CD"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7AAA2A1A"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97.5</w:t>
            </w:r>
          </w:p>
        </w:tc>
        <w:tc>
          <w:tcPr>
            <w:tcW w:w="1051" w:type="dxa"/>
            <w:noWrap/>
            <w:vAlign w:val="center"/>
            <w:hideMark/>
          </w:tcPr>
          <w:p w14:paraId="6D1E1B48"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0.95</w:t>
            </w:r>
          </w:p>
        </w:tc>
      </w:tr>
      <w:tr w:rsidR="0087128E" w:rsidRPr="00613DE5" w14:paraId="2328AE8D"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544BC12"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MidCentral</w:t>
            </w:r>
          </w:p>
        </w:tc>
        <w:tc>
          <w:tcPr>
            <w:tcW w:w="1051" w:type="dxa"/>
            <w:noWrap/>
            <w:vAlign w:val="center"/>
            <w:hideMark/>
          </w:tcPr>
          <w:p w14:paraId="38EFB40A"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93.2</w:t>
            </w:r>
          </w:p>
        </w:tc>
        <w:tc>
          <w:tcPr>
            <w:tcW w:w="1051" w:type="dxa"/>
            <w:noWrap/>
            <w:vAlign w:val="center"/>
            <w:hideMark/>
          </w:tcPr>
          <w:p w14:paraId="5EDAB1A2"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93.7</w:t>
            </w:r>
          </w:p>
        </w:tc>
        <w:tc>
          <w:tcPr>
            <w:tcW w:w="1051" w:type="dxa"/>
            <w:noWrap/>
            <w:vAlign w:val="center"/>
            <w:hideMark/>
          </w:tcPr>
          <w:p w14:paraId="06DD711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78474B26"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96.7</w:t>
            </w:r>
          </w:p>
        </w:tc>
        <w:tc>
          <w:tcPr>
            <w:tcW w:w="1051" w:type="dxa"/>
            <w:noWrap/>
            <w:vAlign w:val="center"/>
            <w:hideMark/>
          </w:tcPr>
          <w:p w14:paraId="621AF6ED"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95.7</w:t>
            </w:r>
          </w:p>
        </w:tc>
        <w:tc>
          <w:tcPr>
            <w:tcW w:w="1051" w:type="dxa"/>
            <w:noWrap/>
            <w:vAlign w:val="center"/>
            <w:hideMark/>
          </w:tcPr>
          <w:p w14:paraId="3F7FC155"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0.96</w:t>
            </w:r>
          </w:p>
        </w:tc>
      </w:tr>
      <w:tr w:rsidR="00097AC2" w:rsidRPr="00613DE5" w14:paraId="7762C664"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ABD1470"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Whanganui</w:t>
            </w:r>
          </w:p>
        </w:tc>
        <w:tc>
          <w:tcPr>
            <w:tcW w:w="1051" w:type="dxa"/>
            <w:noWrap/>
            <w:vAlign w:val="center"/>
            <w:hideMark/>
          </w:tcPr>
          <w:p w14:paraId="72C5F5E2"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96.5</w:t>
            </w:r>
          </w:p>
        </w:tc>
        <w:tc>
          <w:tcPr>
            <w:tcW w:w="1051" w:type="dxa"/>
            <w:noWrap/>
            <w:vAlign w:val="center"/>
            <w:hideMark/>
          </w:tcPr>
          <w:p w14:paraId="2F76E03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94.7</w:t>
            </w:r>
          </w:p>
        </w:tc>
        <w:tc>
          <w:tcPr>
            <w:tcW w:w="1051" w:type="dxa"/>
            <w:noWrap/>
            <w:vAlign w:val="center"/>
            <w:hideMark/>
          </w:tcPr>
          <w:p w14:paraId="7E840387"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97.6</w:t>
            </w:r>
          </w:p>
        </w:tc>
        <w:tc>
          <w:tcPr>
            <w:tcW w:w="1051" w:type="dxa"/>
            <w:noWrap/>
            <w:vAlign w:val="center"/>
            <w:hideMark/>
          </w:tcPr>
          <w:p w14:paraId="29884DAD"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97.6</w:t>
            </w:r>
          </w:p>
        </w:tc>
        <w:tc>
          <w:tcPr>
            <w:tcW w:w="1051" w:type="dxa"/>
            <w:noWrap/>
            <w:vAlign w:val="center"/>
            <w:hideMark/>
          </w:tcPr>
          <w:p w14:paraId="6D18B498"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97.0</w:t>
            </w:r>
          </w:p>
        </w:tc>
        <w:tc>
          <w:tcPr>
            <w:tcW w:w="1051" w:type="dxa"/>
            <w:noWrap/>
            <w:vAlign w:val="center"/>
            <w:hideMark/>
          </w:tcPr>
          <w:p w14:paraId="67D527BF"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0.99</w:t>
            </w:r>
          </w:p>
        </w:tc>
      </w:tr>
      <w:tr w:rsidR="0087128E" w:rsidRPr="00613DE5" w14:paraId="44B37FC2"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361DBC6"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Capital and Coast</w:t>
            </w:r>
          </w:p>
        </w:tc>
        <w:tc>
          <w:tcPr>
            <w:tcW w:w="1051" w:type="dxa"/>
            <w:noWrap/>
            <w:vAlign w:val="center"/>
            <w:hideMark/>
          </w:tcPr>
          <w:p w14:paraId="7C38EEB4"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98.2</w:t>
            </w:r>
          </w:p>
        </w:tc>
        <w:tc>
          <w:tcPr>
            <w:tcW w:w="1051" w:type="dxa"/>
            <w:noWrap/>
            <w:vAlign w:val="center"/>
            <w:hideMark/>
          </w:tcPr>
          <w:p w14:paraId="2F2A5CF0"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98.1</w:t>
            </w:r>
          </w:p>
        </w:tc>
        <w:tc>
          <w:tcPr>
            <w:tcW w:w="1051" w:type="dxa"/>
            <w:noWrap/>
            <w:vAlign w:val="center"/>
            <w:hideMark/>
          </w:tcPr>
          <w:p w14:paraId="073C2C3F"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98.8</w:t>
            </w:r>
          </w:p>
        </w:tc>
        <w:tc>
          <w:tcPr>
            <w:tcW w:w="1051" w:type="dxa"/>
            <w:noWrap/>
            <w:vAlign w:val="center"/>
            <w:hideMark/>
          </w:tcPr>
          <w:p w14:paraId="2A7A242F"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051" w:type="dxa"/>
            <w:noWrap/>
            <w:vAlign w:val="center"/>
            <w:hideMark/>
          </w:tcPr>
          <w:p w14:paraId="2ACAFADD"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98.7</w:t>
            </w:r>
          </w:p>
        </w:tc>
        <w:tc>
          <w:tcPr>
            <w:tcW w:w="1051" w:type="dxa"/>
            <w:noWrap/>
            <w:vAlign w:val="center"/>
            <w:hideMark/>
          </w:tcPr>
          <w:p w14:paraId="4806B75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0.99</w:t>
            </w:r>
          </w:p>
        </w:tc>
      </w:tr>
      <w:tr w:rsidR="00097AC2" w:rsidRPr="00613DE5" w14:paraId="239CDB41"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35390D72"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Hutt Valley</w:t>
            </w:r>
          </w:p>
        </w:tc>
        <w:tc>
          <w:tcPr>
            <w:tcW w:w="1051" w:type="dxa"/>
            <w:noWrap/>
            <w:vAlign w:val="center"/>
            <w:hideMark/>
          </w:tcPr>
          <w:p w14:paraId="68C58B5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96.8</w:t>
            </w:r>
          </w:p>
        </w:tc>
        <w:tc>
          <w:tcPr>
            <w:tcW w:w="1051" w:type="dxa"/>
            <w:noWrap/>
            <w:vAlign w:val="center"/>
            <w:hideMark/>
          </w:tcPr>
          <w:p w14:paraId="7D7F093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99.5</w:t>
            </w:r>
          </w:p>
        </w:tc>
        <w:tc>
          <w:tcPr>
            <w:tcW w:w="1051" w:type="dxa"/>
            <w:noWrap/>
            <w:vAlign w:val="center"/>
            <w:hideMark/>
          </w:tcPr>
          <w:p w14:paraId="0D90FB1E"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96.2</w:t>
            </w:r>
          </w:p>
        </w:tc>
        <w:tc>
          <w:tcPr>
            <w:tcW w:w="1051" w:type="dxa"/>
            <w:noWrap/>
            <w:vAlign w:val="center"/>
            <w:hideMark/>
          </w:tcPr>
          <w:p w14:paraId="0DFE5EAE"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97.5</w:t>
            </w:r>
          </w:p>
        </w:tc>
        <w:tc>
          <w:tcPr>
            <w:tcW w:w="1051" w:type="dxa"/>
            <w:noWrap/>
            <w:vAlign w:val="center"/>
            <w:hideMark/>
          </w:tcPr>
          <w:p w14:paraId="7282F633"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97.2</w:t>
            </w:r>
          </w:p>
        </w:tc>
        <w:tc>
          <w:tcPr>
            <w:tcW w:w="1051" w:type="dxa"/>
            <w:noWrap/>
            <w:vAlign w:val="center"/>
            <w:hideMark/>
          </w:tcPr>
          <w:p w14:paraId="252BFD30"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0.99</w:t>
            </w:r>
          </w:p>
        </w:tc>
      </w:tr>
      <w:tr w:rsidR="0087128E" w:rsidRPr="00613DE5" w14:paraId="0B992B58"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39404A9"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Wairarapa</w:t>
            </w:r>
          </w:p>
        </w:tc>
        <w:tc>
          <w:tcPr>
            <w:tcW w:w="1051" w:type="dxa"/>
            <w:noWrap/>
            <w:vAlign w:val="center"/>
            <w:hideMark/>
          </w:tcPr>
          <w:p w14:paraId="70839C23"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0409D544"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08475092"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95.8</w:t>
            </w:r>
          </w:p>
        </w:tc>
        <w:tc>
          <w:tcPr>
            <w:tcW w:w="1051" w:type="dxa"/>
            <w:noWrap/>
            <w:vAlign w:val="center"/>
            <w:hideMark/>
          </w:tcPr>
          <w:p w14:paraId="32EAB3BA"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98.1</w:t>
            </w:r>
          </w:p>
        </w:tc>
        <w:tc>
          <w:tcPr>
            <w:tcW w:w="1051" w:type="dxa"/>
            <w:noWrap/>
            <w:vAlign w:val="center"/>
            <w:hideMark/>
          </w:tcPr>
          <w:p w14:paraId="70FDB35F"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98.3</w:t>
            </w:r>
          </w:p>
        </w:tc>
        <w:tc>
          <w:tcPr>
            <w:tcW w:w="1051" w:type="dxa"/>
            <w:noWrap/>
            <w:vAlign w:val="center"/>
            <w:hideMark/>
          </w:tcPr>
          <w:p w14:paraId="4FD72452"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1.01</w:t>
            </w:r>
          </w:p>
        </w:tc>
      </w:tr>
      <w:tr w:rsidR="00097AC2" w:rsidRPr="00613DE5" w14:paraId="3ACF41B5"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0E20825F"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Nelson Marlborough</w:t>
            </w:r>
          </w:p>
        </w:tc>
        <w:tc>
          <w:tcPr>
            <w:tcW w:w="1051" w:type="dxa"/>
            <w:noWrap/>
            <w:vAlign w:val="center"/>
            <w:hideMark/>
          </w:tcPr>
          <w:p w14:paraId="10364138"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c>
          <w:tcPr>
            <w:tcW w:w="1051" w:type="dxa"/>
            <w:noWrap/>
            <w:vAlign w:val="center"/>
            <w:hideMark/>
          </w:tcPr>
          <w:p w14:paraId="0C70B87F"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97.9</w:t>
            </w:r>
          </w:p>
        </w:tc>
        <w:tc>
          <w:tcPr>
            <w:tcW w:w="1051" w:type="dxa"/>
            <w:noWrap/>
            <w:vAlign w:val="center"/>
            <w:hideMark/>
          </w:tcPr>
          <w:p w14:paraId="5B62879F" w14:textId="5ABB8A9A" w:rsidR="0087128E" w:rsidRPr="00613DE5" w:rsidRDefault="0087128E" w:rsidP="35AEA116">
            <w:pPr>
              <w:jc w:val="center"/>
              <w:cnfStyle w:val="000000000000" w:firstRow="0" w:lastRow="0" w:firstColumn="0" w:lastColumn="0" w:oddVBand="0" w:evenVBand="0" w:oddHBand="0" w:evenHBand="0" w:firstRowFirstColumn="0" w:firstRowLastColumn="0" w:lastRowFirstColumn="0" w:lastRowLastColumn="0"/>
              <w:rPr>
                <w:rFonts w:eastAsia="Times New Roman" w:cstheme="minorBidi"/>
                <w:color w:val="000000"/>
                <w:lang w:val="en-NZ" w:eastAsia="en-NZ"/>
              </w:rPr>
            </w:pPr>
            <w:r w:rsidRPr="35AEA116">
              <w:rPr>
                <w:rFonts w:eastAsia="Times New Roman" w:cstheme="minorBidi"/>
                <w:color w:val="000000"/>
                <w:lang w:val="en-NZ" w:eastAsia="en-NZ"/>
              </w:rPr>
              <w:t>100</w:t>
            </w:r>
            <w:r w:rsidR="15372DD9" w:rsidRPr="35AEA116">
              <w:rPr>
                <w:rFonts w:eastAsia="Times New Roman" w:cstheme="minorBidi"/>
                <w:color w:val="000000"/>
                <w:lang w:val="en-NZ" w:eastAsia="en-NZ"/>
              </w:rPr>
              <w:t>*</w:t>
            </w:r>
          </w:p>
        </w:tc>
        <w:tc>
          <w:tcPr>
            <w:tcW w:w="1051" w:type="dxa"/>
            <w:noWrap/>
            <w:vAlign w:val="center"/>
            <w:hideMark/>
          </w:tcPr>
          <w:p w14:paraId="6DF9D466"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97.5</w:t>
            </w:r>
          </w:p>
        </w:tc>
        <w:tc>
          <w:tcPr>
            <w:tcW w:w="1051" w:type="dxa"/>
            <w:noWrap/>
            <w:vAlign w:val="center"/>
            <w:hideMark/>
          </w:tcPr>
          <w:p w14:paraId="24562DA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98.2</w:t>
            </w:r>
          </w:p>
        </w:tc>
        <w:tc>
          <w:tcPr>
            <w:tcW w:w="1051" w:type="dxa"/>
            <w:noWrap/>
            <w:vAlign w:val="center"/>
            <w:hideMark/>
          </w:tcPr>
          <w:p w14:paraId="1921A54D"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1.01</w:t>
            </w:r>
          </w:p>
        </w:tc>
      </w:tr>
      <w:tr w:rsidR="0087128E" w:rsidRPr="00613DE5" w14:paraId="300C1EAF"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3C188237"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West Coast</w:t>
            </w:r>
          </w:p>
        </w:tc>
        <w:tc>
          <w:tcPr>
            <w:tcW w:w="1051" w:type="dxa"/>
            <w:noWrap/>
            <w:vAlign w:val="center"/>
            <w:hideMark/>
          </w:tcPr>
          <w:p w14:paraId="13483A12"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94.8</w:t>
            </w:r>
          </w:p>
        </w:tc>
        <w:tc>
          <w:tcPr>
            <w:tcW w:w="1051" w:type="dxa"/>
            <w:noWrap/>
            <w:vAlign w:val="center"/>
            <w:hideMark/>
          </w:tcPr>
          <w:p w14:paraId="54E87FF5"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7681B56A"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6919946C"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051" w:type="dxa"/>
            <w:noWrap/>
            <w:vAlign w:val="center"/>
            <w:hideMark/>
          </w:tcPr>
          <w:p w14:paraId="155FE940"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98.0</w:t>
            </w:r>
          </w:p>
        </w:tc>
        <w:tc>
          <w:tcPr>
            <w:tcW w:w="1051" w:type="dxa"/>
            <w:noWrap/>
            <w:vAlign w:val="center"/>
            <w:hideMark/>
          </w:tcPr>
          <w:p w14:paraId="1B83F2F3"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0.96</w:t>
            </w:r>
          </w:p>
        </w:tc>
      </w:tr>
      <w:tr w:rsidR="00097AC2" w:rsidRPr="00613DE5" w14:paraId="7C4D0ACE"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C01E136"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Canterbury</w:t>
            </w:r>
          </w:p>
        </w:tc>
        <w:tc>
          <w:tcPr>
            <w:tcW w:w="1051" w:type="dxa"/>
            <w:noWrap/>
            <w:vAlign w:val="center"/>
            <w:hideMark/>
          </w:tcPr>
          <w:p w14:paraId="4F29B2F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98.1</w:t>
            </w:r>
          </w:p>
        </w:tc>
        <w:tc>
          <w:tcPr>
            <w:tcW w:w="1051" w:type="dxa"/>
            <w:noWrap/>
            <w:vAlign w:val="center"/>
            <w:hideMark/>
          </w:tcPr>
          <w:p w14:paraId="0DC3086B"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051" w:type="dxa"/>
            <w:noWrap/>
            <w:vAlign w:val="center"/>
            <w:hideMark/>
          </w:tcPr>
          <w:p w14:paraId="0E26B92E"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051" w:type="dxa"/>
            <w:noWrap/>
            <w:vAlign w:val="center"/>
            <w:hideMark/>
          </w:tcPr>
          <w:p w14:paraId="7E9AD80C"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155F495C"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98.8</w:t>
            </w:r>
          </w:p>
        </w:tc>
        <w:tc>
          <w:tcPr>
            <w:tcW w:w="1051" w:type="dxa"/>
            <w:noWrap/>
            <w:vAlign w:val="center"/>
            <w:hideMark/>
          </w:tcPr>
          <w:p w14:paraId="038E11C9"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0.99</w:t>
            </w:r>
          </w:p>
        </w:tc>
      </w:tr>
      <w:tr w:rsidR="0087128E" w:rsidRPr="00613DE5" w14:paraId="2011E6ED"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32A48948"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 Canterbury</w:t>
            </w:r>
          </w:p>
        </w:tc>
        <w:tc>
          <w:tcPr>
            <w:tcW w:w="1051" w:type="dxa"/>
            <w:noWrap/>
            <w:vAlign w:val="center"/>
            <w:hideMark/>
          </w:tcPr>
          <w:p w14:paraId="6D336027"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98.0</w:t>
            </w:r>
          </w:p>
        </w:tc>
        <w:tc>
          <w:tcPr>
            <w:tcW w:w="1051" w:type="dxa"/>
            <w:noWrap/>
            <w:vAlign w:val="center"/>
            <w:hideMark/>
          </w:tcPr>
          <w:p w14:paraId="66FC9F91"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93.3</w:t>
            </w:r>
          </w:p>
        </w:tc>
        <w:tc>
          <w:tcPr>
            <w:tcW w:w="1051" w:type="dxa"/>
            <w:noWrap/>
            <w:vAlign w:val="center"/>
            <w:hideMark/>
          </w:tcPr>
          <w:p w14:paraId="048270FF"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051" w:type="dxa"/>
            <w:noWrap/>
            <w:vAlign w:val="center"/>
            <w:hideMark/>
          </w:tcPr>
          <w:p w14:paraId="1B3588A8" w14:textId="77777777" w:rsidR="0087128E" w:rsidRPr="00613DE5" w:rsidRDefault="0087128E" w:rsidP="2F2C1968">
            <w:pPr>
              <w:jc w:val="center"/>
              <w:cnfStyle w:val="000000100000" w:firstRow="0" w:lastRow="0" w:firstColumn="0" w:lastColumn="0" w:oddVBand="0" w:evenVBand="0" w:oddHBand="1" w:evenHBand="0" w:firstRowFirstColumn="0" w:firstRowLastColumn="0" w:lastRowFirstColumn="0" w:lastRowLastColumn="0"/>
              <w:rPr>
                <w:rFonts w:eastAsia="Times New Roman" w:cstheme="minorBidi"/>
                <w:color w:val="000000"/>
                <w:lang w:val="en-NZ" w:eastAsia="en-NZ"/>
              </w:rPr>
            </w:pPr>
            <w:r w:rsidRPr="2F2C1968">
              <w:rPr>
                <w:rFonts w:eastAsia="Times New Roman" w:cstheme="minorBidi"/>
                <w:color w:val="000000"/>
                <w:lang w:val="en-NZ" w:eastAsia="en-NZ"/>
              </w:rPr>
              <w:t>97.8</w:t>
            </w:r>
          </w:p>
        </w:tc>
        <w:tc>
          <w:tcPr>
            <w:tcW w:w="1051" w:type="dxa"/>
            <w:noWrap/>
            <w:vAlign w:val="center"/>
            <w:hideMark/>
          </w:tcPr>
          <w:p w14:paraId="6FC85A56"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97.8</w:t>
            </w:r>
          </w:p>
        </w:tc>
        <w:tc>
          <w:tcPr>
            <w:tcW w:w="1051" w:type="dxa"/>
            <w:noWrap/>
            <w:vAlign w:val="center"/>
            <w:hideMark/>
          </w:tcPr>
          <w:p w14:paraId="743E961E"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w:t>
            </w:r>
          </w:p>
        </w:tc>
      </w:tr>
      <w:tr w:rsidR="00097AC2" w:rsidRPr="00613DE5" w14:paraId="0A98DA8C" w14:textId="77777777" w:rsidTr="5B552406">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9D4C678"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Southern</w:t>
            </w:r>
          </w:p>
        </w:tc>
        <w:tc>
          <w:tcPr>
            <w:tcW w:w="1051" w:type="dxa"/>
            <w:noWrap/>
            <w:vAlign w:val="center"/>
            <w:hideMark/>
          </w:tcPr>
          <w:p w14:paraId="22CEE886"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99.7</w:t>
            </w:r>
          </w:p>
        </w:tc>
        <w:tc>
          <w:tcPr>
            <w:tcW w:w="1051" w:type="dxa"/>
            <w:noWrap/>
            <w:vAlign w:val="center"/>
            <w:hideMark/>
          </w:tcPr>
          <w:p w14:paraId="76BB2AFA"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98.2</w:t>
            </w:r>
          </w:p>
        </w:tc>
        <w:tc>
          <w:tcPr>
            <w:tcW w:w="1051" w:type="dxa"/>
            <w:noWrap/>
            <w:vAlign w:val="center"/>
            <w:hideMark/>
          </w:tcPr>
          <w:p w14:paraId="056CB1E9"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051" w:type="dxa"/>
            <w:noWrap/>
            <w:vAlign w:val="center"/>
            <w:hideMark/>
          </w:tcPr>
          <w:p w14:paraId="35F1D923"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99.6</w:t>
            </w:r>
          </w:p>
        </w:tc>
        <w:tc>
          <w:tcPr>
            <w:tcW w:w="1051" w:type="dxa"/>
            <w:noWrap/>
            <w:vAlign w:val="center"/>
            <w:hideMark/>
          </w:tcPr>
          <w:p w14:paraId="1A23F4F9"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99.5</w:t>
            </w:r>
          </w:p>
        </w:tc>
        <w:tc>
          <w:tcPr>
            <w:tcW w:w="1051" w:type="dxa"/>
            <w:noWrap/>
            <w:vAlign w:val="center"/>
            <w:hideMark/>
          </w:tcPr>
          <w:p w14:paraId="7079C574" w14:textId="77777777" w:rsidR="0087128E" w:rsidRPr="00613DE5" w:rsidRDefault="0087128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w:t>
            </w:r>
          </w:p>
        </w:tc>
      </w:tr>
      <w:tr w:rsidR="0087128E" w:rsidRPr="00613DE5" w14:paraId="6708EFAF" w14:textId="77777777" w:rsidTr="5B55240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504D373" w14:textId="77777777" w:rsidR="0087128E" w:rsidRPr="00613DE5" w:rsidRDefault="0087128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National</w:t>
            </w:r>
          </w:p>
        </w:tc>
        <w:tc>
          <w:tcPr>
            <w:tcW w:w="1051" w:type="dxa"/>
            <w:noWrap/>
            <w:vAlign w:val="center"/>
            <w:hideMark/>
          </w:tcPr>
          <w:p w14:paraId="4530AB2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96.3</w:t>
            </w:r>
          </w:p>
        </w:tc>
        <w:tc>
          <w:tcPr>
            <w:tcW w:w="1051" w:type="dxa"/>
            <w:noWrap/>
            <w:vAlign w:val="center"/>
            <w:hideMark/>
          </w:tcPr>
          <w:p w14:paraId="77230933"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96.6</w:t>
            </w:r>
          </w:p>
        </w:tc>
        <w:tc>
          <w:tcPr>
            <w:tcW w:w="1051" w:type="dxa"/>
            <w:noWrap/>
            <w:vAlign w:val="center"/>
            <w:hideMark/>
          </w:tcPr>
          <w:p w14:paraId="1624EA68"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98.9</w:t>
            </w:r>
          </w:p>
        </w:tc>
        <w:tc>
          <w:tcPr>
            <w:tcW w:w="1051" w:type="dxa"/>
            <w:noWrap/>
            <w:vAlign w:val="center"/>
            <w:hideMark/>
          </w:tcPr>
          <w:p w14:paraId="21415B72"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98.6</w:t>
            </w:r>
          </w:p>
        </w:tc>
        <w:tc>
          <w:tcPr>
            <w:tcW w:w="1051" w:type="dxa"/>
            <w:noWrap/>
            <w:vAlign w:val="center"/>
            <w:hideMark/>
          </w:tcPr>
          <w:p w14:paraId="635DD8B6"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97.9</w:t>
            </w:r>
          </w:p>
        </w:tc>
        <w:tc>
          <w:tcPr>
            <w:tcW w:w="1051" w:type="dxa"/>
            <w:noWrap/>
            <w:vAlign w:val="center"/>
            <w:hideMark/>
          </w:tcPr>
          <w:p w14:paraId="224FB614" w14:textId="77777777" w:rsidR="0087128E" w:rsidRPr="00613DE5" w:rsidRDefault="0087128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0.98</w:t>
            </w:r>
          </w:p>
        </w:tc>
      </w:tr>
    </w:tbl>
    <w:p w14:paraId="4EEDDFBE" w14:textId="77777777" w:rsidR="00B87BB2" w:rsidRPr="000E3BAF" w:rsidRDefault="00B87BB2" w:rsidP="00B87BB2">
      <w:pPr>
        <w:rPr>
          <w:rFonts w:cstheme="minorHAnsi"/>
          <w:i/>
          <w:iCs/>
          <w:sz w:val="20"/>
          <w:szCs w:val="20"/>
        </w:rPr>
      </w:pPr>
      <w:r w:rsidRPr="35AEA116">
        <w:rPr>
          <w:rFonts w:cstheme="minorBidi"/>
          <w:sz w:val="20"/>
          <w:szCs w:val="20"/>
        </w:rPr>
        <w:t xml:space="preserve">† </w:t>
      </w:r>
      <w:r w:rsidRPr="35AEA116">
        <w:rPr>
          <w:rFonts w:cstheme="minorBidi"/>
          <w:i/>
          <w:iCs/>
          <w:sz w:val="20"/>
          <w:szCs w:val="20"/>
        </w:rPr>
        <w:t>A rate ratio is used here to focus on equity. It is calculated by dividing Māori coverage by non-Māori coverage. A ratio over 1 means higher coverage for Māori compared with non-Māori.</w:t>
      </w:r>
    </w:p>
    <w:p w14:paraId="00B4C9CB" w14:textId="4077DF46" w:rsidR="65A2BAEE" w:rsidRDefault="65A2BAEE" w:rsidP="2F2C1968">
      <w:pPr>
        <w:rPr>
          <w:rFonts w:eastAsia="Arial"/>
          <w:i/>
          <w:iCs/>
          <w:sz w:val="20"/>
          <w:szCs w:val="20"/>
        </w:rPr>
      </w:pPr>
      <w:r w:rsidRPr="2F2C1968">
        <w:rPr>
          <w:rFonts w:eastAsia="Arial"/>
          <w:i/>
          <w:iCs/>
          <w:sz w:val="20"/>
          <w:szCs w:val="20"/>
        </w:rPr>
        <w:t>*</w:t>
      </w:r>
      <w:r w:rsidR="7A46960D" w:rsidRPr="2F2C1968">
        <w:rPr>
          <w:rFonts w:eastAsia="Arial"/>
          <w:i/>
          <w:iCs/>
          <w:sz w:val="20"/>
          <w:szCs w:val="20"/>
        </w:rPr>
        <w:t xml:space="preserve"> Due to a data mismatch between the denominator and numerator, percentages in this table may exceed 100%. Values greater than 100% are capped at 100</w:t>
      </w:r>
    </w:p>
    <w:p w14:paraId="0325230F" w14:textId="0651BA7F" w:rsidR="00CC3ED5" w:rsidRPr="00613DE5" w:rsidRDefault="00CC3ED5" w:rsidP="00ED31AC">
      <w:pPr>
        <w:pStyle w:val="Heading2"/>
        <w:rPr>
          <w:lang w:val="en-NZ"/>
        </w:rPr>
      </w:pPr>
      <w:bookmarkStart w:id="22" w:name="_Toc160616211"/>
      <w:bookmarkStart w:id="23" w:name="_Toc179192052"/>
      <w:r w:rsidRPr="00613DE5">
        <w:rPr>
          <w:lang w:val="en-NZ"/>
        </w:rPr>
        <w:t xml:space="preserve">Table </w:t>
      </w:r>
      <w:r w:rsidRPr="00613DE5">
        <w:rPr>
          <w:color w:val="2B579A"/>
          <w:shd w:val="clear" w:color="auto" w:fill="E6E6E6"/>
          <w:lang w:val="en-NZ"/>
        </w:rPr>
        <w:fldChar w:fldCharType="begin"/>
      </w:r>
      <w:r w:rsidRPr="00613DE5">
        <w:rPr>
          <w:lang w:val="en-NZ"/>
        </w:rPr>
        <w:instrText xml:space="preserve"> SEQ Table \* ARABIC </w:instrText>
      </w:r>
      <w:r w:rsidRPr="00613DE5">
        <w:rPr>
          <w:color w:val="2B579A"/>
          <w:shd w:val="clear" w:color="auto" w:fill="E6E6E6"/>
          <w:lang w:val="en-NZ"/>
        </w:rPr>
        <w:fldChar w:fldCharType="separate"/>
      </w:r>
      <w:r w:rsidR="00E60918">
        <w:rPr>
          <w:noProof/>
          <w:lang w:val="en-NZ"/>
        </w:rPr>
        <w:t>4</w:t>
      </w:r>
      <w:r w:rsidRPr="00613DE5">
        <w:rPr>
          <w:color w:val="2B579A"/>
          <w:shd w:val="clear" w:color="auto" w:fill="E6E6E6"/>
          <w:lang w:val="en-NZ"/>
        </w:rPr>
        <w:fldChar w:fldCharType="end"/>
      </w:r>
      <w:r w:rsidRPr="00613DE5">
        <w:rPr>
          <w:lang w:val="en-NZ"/>
        </w:rPr>
        <w:t>: Coverage by year, 2012 to 2022</w:t>
      </w:r>
      <w:bookmarkEnd w:id="22"/>
      <w:bookmarkEnd w:id="23"/>
    </w:p>
    <w:tbl>
      <w:tblPr>
        <w:tblStyle w:val="GridTable4-Accent5"/>
        <w:tblW w:w="8995" w:type="dxa"/>
        <w:tblLayout w:type="fixed"/>
        <w:tblLook w:val="04A0" w:firstRow="1" w:lastRow="0" w:firstColumn="1" w:lastColumn="0" w:noHBand="0" w:noVBand="1"/>
      </w:tblPr>
      <w:tblGrid>
        <w:gridCol w:w="1271"/>
        <w:gridCol w:w="2574"/>
        <w:gridCol w:w="2575"/>
        <w:gridCol w:w="2575"/>
      </w:tblGrid>
      <w:tr w:rsidR="00287E8C" w:rsidRPr="00613DE5" w14:paraId="4B1412DA" w14:textId="77777777" w:rsidTr="00AD1EF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2BE9F36" w14:textId="77777777" w:rsidR="00CC3ED5" w:rsidRPr="00613DE5" w:rsidRDefault="00CC3ED5" w:rsidP="00635FD1">
            <w:pPr>
              <w:rPr>
                <w:rFonts w:eastAsia="Times New Roman" w:cstheme="minorHAnsi"/>
                <w:b w:val="0"/>
                <w:bCs w:val="0"/>
                <w:szCs w:val="24"/>
                <w:lang w:val="en-NZ" w:eastAsia="en-NZ"/>
              </w:rPr>
            </w:pPr>
            <w:r w:rsidRPr="00613DE5">
              <w:rPr>
                <w:rFonts w:eastAsia="Times New Roman" w:cstheme="minorHAnsi"/>
                <w:szCs w:val="24"/>
                <w:lang w:val="en-NZ" w:eastAsia="en-NZ"/>
              </w:rPr>
              <w:t>Year</w:t>
            </w:r>
          </w:p>
        </w:tc>
        <w:tc>
          <w:tcPr>
            <w:tcW w:w="2574" w:type="dxa"/>
            <w:noWrap/>
            <w:hideMark/>
          </w:tcPr>
          <w:p w14:paraId="25EEAD44" w14:textId="77777777"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Births</w:t>
            </w:r>
          </w:p>
        </w:tc>
        <w:tc>
          <w:tcPr>
            <w:tcW w:w="2575" w:type="dxa"/>
            <w:noWrap/>
            <w:hideMark/>
          </w:tcPr>
          <w:p w14:paraId="5079E198" w14:textId="77777777"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Babies Screened</w:t>
            </w:r>
          </w:p>
        </w:tc>
        <w:tc>
          <w:tcPr>
            <w:tcW w:w="2575" w:type="dxa"/>
            <w:noWrap/>
            <w:hideMark/>
          </w:tcPr>
          <w:p w14:paraId="6ED06087" w14:textId="77777777" w:rsidR="00CC3ED5" w:rsidRPr="00613DE5" w:rsidRDefault="00CC3ED5"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Coverage (%)</w:t>
            </w:r>
          </w:p>
        </w:tc>
      </w:tr>
      <w:tr w:rsidR="00287E8C" w:rsidRPr="00613DE5" w14:paraId="00B3E40D"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C24201E"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2012</w:t>
            </w:r>
          </w:p>
        </w:tc>
        <w:tc>
          <w:tcPr>
            <w:tcW w:w="2574" w:type="dxa"/>
            <w:noWrap/>
            <w:vAlign w:val="center"/>
            <w:hideMark/>
          </w:tcPr>
          <w:p w14:paraId="70F10074"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62,842</w:t>
            </w:r>
          </w:p>
        </w:tc>
        <w:tc>
          <w:tcPr>
            <w:tcW w:w="2575" w:type="dxa"/>
            <w:noWrap/>
            <w:vAlign w:val="center"/>
            <w:hideMark/>
          </w:tcPr>
          <w:p w14:paraId="68AB4F02"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61,422</w:t>
            </w:r>
          </w:p>
        </w:tc>
        <w:tc>
          <w:tcPr>
            <w:tcW w:w="2575" w:type="dxa"/>
            <w:noWrap/>
            <w:vAlign w:val="center"/>
            <w:hideMark/>
          </w:tcPr>
          <w:p w14:paraId="0F02FD16"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97.7</w:t>
            </w:r>
          </w:p>
        </w:tc>
      </w:tr>
      <w:tr w:rsidR="00287E8C" w:rsidRPr="00613DE5" w14:paraId="0BD95ECD"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0407CE6"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2013</w:t>
            </w:r>
          </w:p>
        </w:tc>
        <w:tc>
          <w:tcPr>
            <w:tcW w:w="2574" w:type="dxa"/>
            <w:noWrap/>
            <w:vAlign w:val="center"/>
            <w:hideMark/>
          </w:tcPr>
          <w:p w14:paraId="1504438C"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59,707</w:t>
            </w:r>
          </w:p>
        </w:tc>
        <w:tc>
          <w:tcPr>
            <w:tcW w:w="2575" w:type="dxa"/>
            <w:noWrap/>
            <w:vAlign w:val="center"/>
            <w:hideMark/>
          </w:tcPr>
          <w:p w14:paraId="5FA0157B"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59,192</w:t>
            </w:r>
          </w:p>
        </w:tc>
        <w:tc>
          <w:tcPr>
            <w:tcW w:w="2575" w:type="dxa"/>
            <w:noWrap/>
            <w:vAlign w:val="center"/>
            <w:hideMark/>
          </w:tcPr>
          <w:p w14:paraId="1B64FA0C"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r>
      <w:tr w:rsidR="00287E8C" w:rsidRPr="00613DE5" w14:paraId="503516EF"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169A0B"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2014</w:t>
            </w:r>
          </w:p>
        </w:tc>
        <w:tc>
          <w:tcPr>
            <w:tcW w:w="2574" w:type="dxa"/>
            <w:noWrap/>
            <w:vAlign w:val="center"/>
            <w:hideMark/>
          </w:tcPr>
          <w:p w14:paraId="57205AFB"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59,097</w:t>
            </w:r>
          </w:p>
        </w:tc>
        <w:tc>
          <w:tcPr>
            <w:tcW w:w="2575" w:type="dxa"/>
            <w:noWrap/>
            <w:vAlign w:val="center"/>
            <w:hideMark/>
          </w:tcPr>
          <w:p w14:paraId="0F4F37DD"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58,673</w:t>
            </w:r>
          </w:p>
        </w:tc>
        <w:tc>
          <w:tcPr>
            <w:tcW w:w="2575" w:type="dxa"/>
            <w:noWrap/>
            <w:vAlign w:val="center"/>
            <w:hideMark/>
          </w:tcPr>
          <w:p w14:paraId="6D1EC33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r>
      <w:tr w:rsidR="00287E8C" w:rsidRPr="00613DE5" w14:paraId="16D7FB0C"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FBDC0F1"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2015</w:t>
            </w:r>
          </w:p>
        </w:tc>
        <w:tc>
          <w:tcPr>
            <w:tcW w:w="2574" w:type="dxa"/>
            <w:noWrap/>
            <w:vAlign w:val="center"/>
            <w:hideMark/>
          </w:tcPr>
          <w:p w14:paraId="4D9FA987"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59,058</w:t>
            </w:r>
          </w:p>
        </w:tc>
        <w:tc>
          <w:tcPr>
            <w:tcW w:w="2575" w:type="dxa"/>
            <w:noWrap/>
            <w:vAlign w:val="center"/>
            <w:hideMark/>
          </w:tcPr>
          <w:p w14:paraId="013780EE"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58,463</w:t>
            </w:r>
          </w:p>
        </w:tc>
        <w:tc>
          <w:tcPr>
            <w:tcW w:w="2575" w:type="dxa"/>
            <w:noWrap/>
            <w:vAlign w:val="center"/>
            <w:hideMark/>
          </w:tcPr>
          <w:p w14:paraId="4959D89E"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r>
      <w:tr w:rsidR="00287E8C" w:rsidRPr="00613DE5" w14:paraId="1788F51B"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6C6AB89"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2016</w:t>
            </w:r>
          </w:p>
        </w:tc>
        <w:tc>
          <w:tcPr>
            <w:tcW w:w="2574" w:type="dxa"/>
            <w:noWrap/>
            <w:vAlign w:val="center"/>
            <w:hideMark/>
          </w:tcPr>
          <w:p w14:paraId="3EAF9F1B"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59,640</w:t>
            </w:r>
          </w:p>
        </w:tc>
        <w:tc>
          <w:tcPr>
            <w:tcW w:w="2575" w:type="dxa"/>
            <w:noWrap/>
            <w:vAlign w:val="center"/>
            <w:hideMark/>
          </w:tcPr>
          <w:p w14:paraId="72779DDB"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59,010</w:t>
            </w:r>
          </w:p>
        </w:tc>
        <w:tc>
          <w:tcPr>
            <w:tcW w:w="2575" w:type="dxa"/>
            <w:noWrap/>
            <w:vAlign w:val="center"/>
            <w:hideMark/>
          </w:tcPr>
          <w:p w14:paraId="71EFCC9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r>
      <w:tr w:rsidR="00287E8C" w:rsidRPr="00613DE5" w14:paraId="4EF5290F"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C2FD975"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2017</w:t>
            </w:r>
          </w:p>
        </w:tc>
        <w:tc>
          <w:tcPr>
            <w:tcW w:w="2574" w:type="dxa"/>
            <w:noWrap/>
            <w:vAlign w:val="center"/>
            <w:hideMark/>
          </w:tcPr>
          <w:p w14:paraId="52B656BD"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59,517</w:t>
            </w:r>
          </w:p>
        </w:tc>
        <w:tc>
          <w:tcPr>
            <w:tcW w:w="2575" w:type="dxa"/>
            <w:noWrap/>
            <w:vAlign w:val="center"/>
            <w:hideMark/>
          </w:tcPr>
          <w:p w14:paraId="382A669B"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58,935</w:t>
            </w:r>
          </w:p>
        </w:tc>
        <w:tc>
          <w:tcPr>
            <w:tcW w:w="2575" w:type="dxa"/>
            <w:noWrap/>
            <w:vAlign w:val="center"/>
            <w:hideMark/>
          </w:tcPr>
          <w:p w14:paraId="4DAF08E5"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r>
      <w:tr w:rsidR="00287E8C" w:rsidRPr="00613DE5" w14:paraId="0D1949E8"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E35058F"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2018</w:t>
            </w:r>
          </w:p>
        </w:tc>
        <w:tc>
          <w:tcPr>
            <w:tcW w:w="2574" w:type="dxa"/>
            <w:noWrap/>
            <w:vAlign w:val="center"/>
            <w:hideMark/>
          </w:tcPr>
          <w:p w14:paraId="43230203"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58,163</w:t>
            </w:r>
          </w:p>
        </w:tc>
        <w:tc>
          <w:tcPr>
            <w:tcW w:w="2575" w:type="dxa"/>
            <w:noWrap/>
            <w:vAlign w:val="center"/>
            <w:hideMark/>
          </w:tcPr>
          <w:p w14:paraId="3110F65F"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57,880</w:t>
            </w:r>
          </w:p>
        </w:tc>
        <w:tc>
          <w:tcPr>
            <w:tcW w:w="2575" w:type="dxa"/>
            <w:noWrap/>
            <w:vAlign w:val="center"/>
            <w:hideMark/>
          </w:tcPr>
          <w:p w14:paraId="72C866B6"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99.5</w:t>
            </w:r>
          </w:p>
        </w:tc>
      </w:tr>
      <w:tr w:rsidR="00287E8C" w:rsidRPr="00613DE5" w14:paraId="69F3C8DE"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E351171"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2019</w:t>
            </w:r>
          </w:p>
        </w:tc>
        <w:tc>
          <w:tcPr>
            <w:tcW w:w="2574" w:type="dxa"/>
            <w:noWrap/>
            <w:vAlign w:val="center"/>
            <w:hideMark/>
          </w:tcPr>
          <w:p w14:paraId="74EACC74"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59,733</w:t>
            </w:r>
          </w:p>
        </w:tc>
        <w:tc>
          <w:tcPr>
            <w:tcW w:w="2575" w:type="dxa"/>
            <w:noWrap/>
            <w:vAlign w:val="center"/>
            <w:hideMark/>
          </w:tcPr>
          <w:p w14:paraId="6EB26504"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59,315</w:t>
            </w:r>
          </w:p>
        </w:tc>
        <w:tc>
          <w:tcPr>
            <w:tcW w:w="2575" w:type="dxa"/>
            <w:noWrap/>
            <w:vAlign w:val="center"/>
            <w:hideMark/>
          </w:tcPr>
          <w:p w14:paraId="4CDA336D"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r>
      <w:tr w:rsidR="00287E8C" w:rsidRPr="00613DE5" w14:paraId="705A65AD"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486DD88C"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2020</w:t>
            </w:r>
          </w:p>
        </w:tc>
        <w:tc>
          <w:tcPr>
            <w:tcW w:w="2574" w:type="dxa"/>
            <w:noWrap/>
            <w:vAlign w:val="center"/>
            <w:hideMark/>
          </w:tcPr>
          <w:p w14:paraId="39193BEA"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58,373</w:t>
            </w:r>
          </w:p>
        </w:tc>
        <w:tc>
          <w:tcPr>
            <w:tcW w:w="2575" w:type="dxa"/>
            <w:noWrap/>
            <w:vAlign w:val="center"/>
            <w:hideMark/>
          </w:tcPr>
          <w:p w14:paraId="181C5DAC"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57,930</w:t>
            </w:r>
          </w:p>
        </w:tc>
        <w:tc>
          <w:tcPr>
            <w:tcW w:w="2575" w:type="dxa"/>
            <w:noWrap/>
            <w:vAlign w:val="center"/>
            <w:hideMark/>
          </w:tcPr>
          <w:p w14:paraId="134244E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99.2</w:t>
            </w:r>
          </w:p>
        </w:tc>
      </w:tr>
      <w:tr w:rsidR="00287E8C" w:rsidRPr="00613DE5" w14:paraId="38E9467D"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6FB7F2E"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2021</w:t>
            </w:r>
          </w:p>
        </w:tc>
        <w:tc>
          <w:tcPr>
            <w:tcW w:w="2574" w:type="dxa"/>
            <w:noWrap/>
            <w:vAlign w:val="center"/>
            <w:hideMark/>
          </w:tcPr>
          <w:p w14:paraId="094ADFC1"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62,623</w:t>
            </w:r>
          </w:p>
        </w:tc>
        <w:tc>
          <w:tcPr>
            <w:tcW w:w="2575" w:type="dxa"/>
            <w:noWrap/>
            <w:vAlign w:val="center"/>
            <w:hideMark/>
          </w:tcPr>
          <w:p w14:paraId="1876B300"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61,585</w:t>
            </w:r>
          </w:p>
        </w:tc>
        <w:tc>
          <w:tcPr>
            <w:tcW w:w="2575" w:type="dxa"/>
            <w:noWrap/>
            <w:vAlign w:val="center"/>
            <w:hideMark/>
          </w:tcPr>
          <w:p w14:paraId="1CBDD035" w14:textId="77777777" w:rsidR="00CC3ED5" w:rsidRPr="00613DE5" w:rsidRDefault="00CC3ED5"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98.3</w:t>
            </w:r>
          </w:p>
        </w:tc>
      </w:tr>
      <w:tr w:rsidR="00287E8C" w:rsidRPr="00613DE5" w14:paraId="28C10AF4"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841FCF4" w14:textId="77777777" w:rsidR="00CC3ED5" w:rsidRPr="00613DE5" w:rsidRDefault="00CC3ED5" w:rsidP="00065F12">
            <w:pPr>
              <w:jc w:val="cente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2022</w:t>
            </w:r>
          </w:p>
        </w:tc>
        <w:tc>
          <w:tcPr>
            <w:tcW w:w="2574" w:type="dxa"/>
            <w:noWrap/>
            <w:vAlign w:val="center"/>
            <w:hideMark/>
          </w:tcPr>
          <w:p w14:paraId="46920AC9"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58,113</w:t>
            </w:r>
          </w:p>
        </w:tc>
        <w:tc>
          <w:tcPr>
            <w:tcW w:w="2575" w:type="dxa"/>
            <w:noWrap/>
            <w:vAlign w:val="center"/>
            <w:hideMark/>
          </w:tcPr>
          <w:p w14:paraId="6BB49B4E"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56,875</w:t>
            </w:r>
          </w:p>
        </w:tc>
        <w:tc>
          <w:tcPr>
            <w:tcW w:w="2575" w:type="dxa"/>
            <w:noWrap/>
            <w:vAlign w:val="center"/>
            <w:hideMark/>
          </w:tcPr>
          <w:p w14:paraId="0AB6FAD2" w14:textId="77777777" w:rsidR="00CC3ED5" w:rsidRPr="00613DE5" w:rsidRDefault="00CC3ED5"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97.9</w:t>
            </w:r>
          </w:p>
        </w:tc>
      </w:tr>
    </w:tbl>
    <w:p w14:paraId="1887F0FA" w14:textId="317477A0" w:rsidR="000E18C2" w:rsidRPr="00613DE5" w:rsidRDefault="000E18C2" w:rsidP="000E18C2">
      <w:pPr>
        <w:pStyle w:val="Heading1"/>
        <w:rPr>
          <w:lang w:val="en-NZ"/>
        </w:rPr>
      </w:pPr>
      <w:bookmarkStart w:id="24" w:name="_Toc160616212"/>
      <w:bookmarkStart w:id="25" w:name="_Toc179192053"/>
      <w:r w:rsidRPr="00613DE5">
        <w:rPr>
          <w:lang w:val="en-NZ"/>
        </w:rPr>
        <w:lastRenderedPageBreak/>
        <w:t>Indicator 2: Timing of sample taking</w:t>
      </w:r>
      <w:bookmarkStart w:id="26" w:name="_Hlk166571796"/>
      <w:bookmarkEnd w:id="24"/>
      <w:bookmarkEnd w:id="25"/>
    </w:p>
    <w:p w14:paraId="32346564" w14:textId="77777777" w:rsidR="000E18C2" w:rsidRPr="00613DE5" w:rsidRDefault="000E18C2" w:rsidP="000E18C2">
      <w:pPr>
        <w:rPr>
          <w:lang w:val="en-NZ"/>
        </w:rPr>
      </w:pPr>
      <w:r w:rsidRPr="00613DE5">
        <w:rPr>
          <w:b/>
          <w:bCs/>
          <w:lang w:val="en-NZ"/>
        </w:rPr>
        <w:t>Description:</w:t>
      </w:r>
      <w:r w:rsidRPr="00613DE5">
        <w:rPr>
          <w:lang w:val="en-NZ"/>
        </w:rPr>
        <w:t xml:space="preserve"> The proportion of babies screened who have a newborn metabolic screening sample taken between 48 and 72 hours of age. </w:t>
      </w:r>
    </w:p>
    <w:bookmarkEnd w:id="26"/>
    <w:p w14:paraId="1F226B25" w14:textId="5B281367" w:rsidR="000E18C2" w:rsidRPr="00613DE5" w:rsidRDefault="000E18C2" w:rsidP="000E18C2">
      <w:pPr>
        <w:rPr>
          <w:lang w:val="en-NZ"/>
        </w:rPr>
      </w:pPr>
      <w:r w:rsidRPr="1C0925A3">
        <w:rPr>
          <w:b/>
          <w:bCs/>
          <w:lang w:val="en-NZ"/>
        </w:rPr>
        <w:t>Rationale:</w:t>
      </w:r>
      <w:r w:rsidRPr="1C0925A3">
        <w:rPr>
          <w:lang w:val="en-NZ"/>
        </w:rPr>
        <w:t xml:space="preserve"> Prompt sample collection leads to the best possible chance of a baby with a screened condition receiving early diagnosis and treatment. Severe forms of some of the disorders can be fatal within seven to ten days, and many babies may not show any signs or symptoms of disease until irreversible damage has occurred. However, the baby must have </w:t>
      </w:r>
      <w:r w:rsidRPr="00287582">
        <w:rPr>
          <w:lang w:val="en-NZ"/>
        </w:rPr>
        <w:t>been independent of their mother long enough</w:t>
      </w:r>
      <w:r w:rsidRPr="1C0925A3">
        <w:rPr>
          <w:lang w:val="en-NZ"/>
        </w:rPr>
        <w:t xml:space="preserve"> for some biochemical markers to show an abnormality. </w:t>
      </w:r>
    </w:p>
    <w:p w14:paraId="06753EAA" w14:textId="77777777" w:rsidR="000E18C2" w:rsidRPr="00613DE5" w:rsidRDefault="000E18C2" w:rsidP="000E18C2">
      <w:pPr>
        <w:rPr>
          <w:lang w:val="en-NZ"/>
        </w:rPr>
      </w:pPr>
      <w:r w:rsidRPr="00613DE5">
        <w:rPr>
          <w:b/>
          <w:bCs/>
          <w:lang w:val="en-NZ"/>
        </w:rPr>
        <w:t>Target:</w:t>
      </w:r>
      <w:r w:rsidRPr="00613DE5">
        <w:rPr>
          <w:lang w:val="en-NZ"/>
        </w:rPr>
        <w:t xml:space="preserve"> ≥95 percent of first samples are taken between 48 and 72 hours after birth.</w:t>
      </w:r>
    </w:p>
    <w:p w14:paraId="5AF1B987" w14:textId="42D159F4" w:rsidR="000E18C2" w:rsidRPr="00613DE5" w:rsidRDefault="000E18C2" w:rsidP="000E18C2">
      <w:pPr>
        <w:rPr>
          <w:lang w:val="en-NZ"/>
        </w:rPr>
      </w:pPr>
      <w:r w:rsidRPr="00613DE5">
        <w:rPr>
          <w:b/>
          <w:bCs/>
          <w:lang w:val="en-NZ"/>
        </w:rPr>
        <w:t>Note:</w:t>
      </w:r>
      <w:r w:rsidRPr="00613DE5">
        <w:rPr>
          <w:lang w:val="en-NZ"/>
        </w:rPr>
        <w:t xml:space="preserve"> Since mid-2020 </w:t>
      </w:r>
      <w:r w:rsidRPr="00BF7105">
        <w:rPr>
          <w:lang w:val="en-NZ"/>
        </w:rPr>
        <w:t>LMCs</w:t>
      </w:r>
      <w:r w:rsidRPr="00613DE5">
        <w:rPr>
          <w:lang w:val="en-NZ"/>
        </w:rPr>
        <w:t xml:space="preserve"> and other health professionals </w:t>
      </w:r>
      <w:r w:rsidR="00F071FB">
        <w:rPr>
          <w:lang w:val="en-NZ"/>
        </w:rPr>
        <w:t>have been</w:t>
      </w:r>
      <w:r w:rsidR="00F071FB" w:rsidRPr="00613DE5">
        <w:rPr>
          <w:lang w:val="en-NZ"/>
        </w:rPr>
        <w:t xml:space="preserve"> </w:t>
      </w:r>
      <w:r w:rsidRPr="00613DE5">
        <w:rPr>
          <w:lang w:val="en-NZ"/>
        </w:rPr>
        <w:t>encouraged to collect</w:t>
      </w:r>
      <w:r w:rsidR="002F34D6">
        <w:rPr>
          <w:lang w:val="en-NZ"/>
        </w:rPr>
        <w:t xml:space="preserve"> </w:t>
      </w:r>
      <w:r w:rsidRPr="00613DE5">
        <w:rPr>
          <w:lang w:val="en-NZ"/>
        </w:rPr>
        <w:t xml:space="preserve">samples from 24 hours of age to help offset some of the delays being experienced by couriers </w:t>
      </w:r>
      <w:r w:rsidR="00BF7105" w:rsidRPr="0057193D">
        <w:rPr>
          <w:lang w:val="en-NZ"/>
        </w:rPr>
        <w:t>because of</w:t>
      </w:r>
      <w:r w:rsidRPr="00613DE5">
        <w:rPr>
          <w:lang w:val="en-NZ"/>
        </w:rPr>
        <w:t xml:space="preserve"> COVID. In December 2022 the optimal time for collection was officially updated to between 24 and 48 hours.</w:t>
      </w:r>
    </w:p>
    <w:p w14:paraId="06674B9C" w14:textId="21B823D5" w:rsidR="000E18C2" w:rsidRPr="00613DE5" w:rsidRDefault="00FD1DAD" w:rsidP="000E18C2">
      <w:pPr>
        <w:rPr>
          <w:lang w:val="en-NZ"/>
        </w:rPr>
      </w:pPr>
      <w:r>
        <w:rPr>
          <w:lang w:val="en-NZ"/>
        </w:rPr>
        <w:t>T</w:t>
      </w:r>
      <w:r w:rsidR="000E18C2" w:rsidRPr="00613DE5">
        <w:rPr>
          <w:lang w:val="en-NZ"/>
        </w:rPr>
        <w:t>his report discusses the 2022 data using the target ≥95 percent of first samples</w:t>
      </w:r>
      <w:r w:rsidR="00DE6FBD">
        <w:rPr>
          <w:lang w:val="en-NZ"/>
        </w:rPr>
        <w:t>,</w:t>
      </w:r>
      <w:r w:rsidR="00D311A2">
        <w:rPr>
          <w:lang w:val="en-NZ"/>
        </w:rPr>
        <w:t xml:space="preserve"> </w:t>
      </w:r>
      <w:r w:rsidR="000E18C2" w:rsidRPr="00613DE5">
        <w:rPr>
          <w:lang w:val="en-NZ"/>
        </w:rPr>
        <w:t>taken between 24 and 72 hours after birth</w:t>
      </w:r>
      <w:r w:rsidR="00C72BD2">
        <w:rPr>
          <w:lang w:val="en-NZ"/>
        </w:rPr>
        <w:t xml:space="preserve">, </w:t>
      </w:r>
      <w:r w:rsidR="000E18C2" w:rsidRPr="00613DE5">
        <w:rPr>
          <w:lang w:val="en-NZ"/>
        </w:rPr>
        <w:t>which</w:t>
      </w:r>
      <w:r w:rsidR="00C72BD2">
        <w:rPr>
          <w:lang w:val="en-NZ"/>
        </w:rPr>
        <w:t xml:space="preserve"> </w:t>
      </w:r>
      <w:r w:rsidR="000E18C2" w:rsidRPr="000936DA">
        <w:rPr>
          <w:lang w:val="en-NZ"/>
        </w:rPr>
        <w:t>was officially amended</w:t>
      </w:r>
      <w:r w:rsidR="000E18C2" w:rsidRPr="00613DE5">
        <w:rPr>
          <w:lang w:val="en-NZ"/>
        </w:rPr>
        <w:t xml:space="preserve"> in December 2022.</w:t>
      </w:r>
    </w:p>
    <w:p w14:paraId="43CC51CD" w14:textId="4ACD9E74" w:rsidR="000E18C2" w:rsidRPr="00613DE5" w:rsidRDefault="000E18C2" w:rsidP="000E18C2">
      <w:pPr>
        <w:rPr>
          <w:lang w:val="en-NZ"/>
        </w:rPr>
      </w:pPr>
      <w:r w:rsidRPr="00613DE5">
        <w:rPr>
          <w:b/>
          <w:bCs/>
          <w:lang w:val="en-NZ"/>
        </w:rPr>
        <w:t>Interpretation:</w:t>
      </w:r>
      <w:r w:rsidRPr="00613DE5">
        <w:rPr>
          <w:lang w:val="en-NZ"/>
        </w:rPr>
        <w:t xml:space="preserve"> The national average of first samples taken between 24 and 72 hours after birth was 83.4 percent. Timeliness of sample taking varied between Districts</w:t>
      </w:r>
      <w:r w:rsidR="00877EDC">
        <w:rPr>
          <w:lang w:val="en-NZ"/>
        </w:rPr>
        <w:t xml:space="preserve">, </w:t>
      </w:r>
      <w:r w:rsidRPr="00613DE5">
        <w:rPr>
          <w:lang w:val="en-NZ"/>
        </w:rPr>
        <w:t xml:space="preserve">from 69.4 percent (Lakes District) to 92.2 percent (South Canterbury District) of first samples taken between 24 and 72 hours after birth. </w:t>
      </w:r>
    </w:p>
    <w:p w14:paraId="106AECCF" w14:textId="5BA4ABF6" w:rsidR="000E18C2" w:rsidRPr="00613DE5" w:rsidRDefault="000E18C2" w:rsidP="000E18C2">
      <w:pPr>
        <w:rPr>
          <w:lang w:val="en-NZ"/>
        </w:rPr>
      </w:pPr>
      <w:r w:rsidRPr="00613DE5">
        <w:rPr>
          <w:lang w:val="en-NZ"/>
        </w:rPr>
        <w:t>Currently</w:t>
      </w:r>
      <w:r w:rsidR="003F1EC4">
        <w:rPr>
          <w:lang w:val="en-NZ"/>
        </w:rPr>
        <w:t xml:space="preserve">, </w:t>
      </w:r>
      <w:r w:rsidR="00585AB6">
        <w:rPr>
          <w:lang w:val="en-NZ"/>
        </w:rPr>
        <w:t xml:space="preserve">there are </w:t>
      </w:r>
      <w:r w:rsidRPr="00613DE5">
        <w:rPr>
          <w:lang w:val="en-NZ"/>
        </w:rPr>
        <w:t>no Districts</w:t>
      </w:r>
      <w:r w:rsidR="00843B13">
        <w:rPr>
          <w:lang w:val="en-NZ"/>
        </w:rPr>
        <w:t xml:space="preserve"> </w:t>
      </w:r>
      <w:r w:rsidRPr="00613DE5">
        <w:rPr>
          <w:lang w:val="en-NZ"/>
        </w:rPr>
        <w:t xml:space="preserve">meeting the target. Māori and Pacific ethnic groups have a higher proportion of samples taken after 72 hours </w:t>
      </w:r>
      <w:r w:rsidR="0D8C130C" w:rsidRPr="139D58EE">
        <w:rPr>
          <w:lang w:val="en-NZ"/>
        </w:rPr>
        <w:t>when compared to</w:t>
      </w:r>
      <w:r w:rsidRPr="00613DE5">
        <w:rPr>
          <w:lang w:val="en-NZ"/>
        </w:rPr>
        <w:t xml:space="preserve"> Asian and Other ethnic groups.</w:t>
      </w:r>
    </w:p>
    <w:p w14:paraId="710B71AD" w14:textId="5D678793" w:rsidR="000E18C2" w:rsidRPr="00613DE5" w:rsidRDefault="000E18C2" w:rsidP="000E18C2">
      <w:pPr>
        <w:rPr>
          <w:lang w:val="en-NZ"/>
        </w:rPr>
      </w:pPr>
      <w:r w:rsidRPr="00FE310D">
        <w:rPr>
          <w:b/>
          <w:bCs/>
          <w:lang w:val="en-NZ"/>
        </w:rPr>
        <w:t>Comment:</w:t>
      </w:r>
      <w:r w:rsidR="000936DA">
        <w:rPr>
          <w:lang w:val="en-NZ"/>
        </w:rPr>
        <w:t xml:space="preserve"> </w:t>
      </w:r>
      <w:r w:rsidRPr="00613DE5">
        <w:rPr>
          <w:lang w:val="en-NZ"/>
        </w:rPr>
        <w:t>South Canterbury District has the highest proportion of samples taken between 24 and 72 hours after birth at 92.2</w:t>
      </w:r>
      <w:r w:rsidR="005E5411">
        <w:rPr>
          <w:lang w:val="en-NZ"/>
        </w:rPr>
        <w:t xml:space="preserve"> percent</w:t>
      </w:r>
      <w:r w:rsidRPr="00613DE5">
        <w:rPr>
          <w:lang w:val="en-NZ"/>
        </w:rPr>
        <w:t>. Lakes and Northland Districts had over 24 percent of samples taken after 72 hours after birth (27.6 percent and 24 percent respectively).</w:t>
      </w:r>
    </w:p>
    <w:p w14:paraId="454D9D6D" w14:textId="2162EE8C" w:rsidR="0024318E" w:rsidRDefault="00945DFC" w:rsidP="000E18C2">
      <w:pPr>
        <w:rPr>
          <w:lang w:val="en-NZ"/>
        </w:rPr>
      </w:pPr>
      <w:r>
        <w:rPr>
          <w:lang w:val="en-NZ"/>
        </w:rPr>
        <w:t>T</w:t>
      </w:r>
      <w:r w:rsidR="000E18C2" w:rsidRPr="00613DE5">
        <w:rPr>
          <w:lang w:val="en-NZ"/>
        </w:rPr>
        <w:t xml:space="preserve">he numbers of samples collected between 24 and 48 hours </w:t>
      </w:r>
      <w:r>
        <w:rPr>
          <w:lang w:val="en-NZ"/>
        </w:rPr>
        <w:t>has increased</w:t>
      </w:r>
      <w:r w:rsidR="000E6FB5">
        <w:rPr>
          <w:lang w:val="en-NZ"/>
        </w:rPr>
        <w:t xml:space="preserve"> </w:t>
      </w:r>
      <w:r w:rsidR="00192B95">
        <w:rPr>
          <w:lang w:val="en-NZ"/>
        </w:rPr>
        <w:t xml:space="preserve">significantly </w:t>
      </w:r>
      <w:r w:rsidR="000E18C2" w:rsidRPr="00613DE5">
        <w:rPr>
          <w:lang w:val="en-NZ"/>
        </w:rPr>
        <w:t>since 2021</w:t>
      </w:r>
      <w:r>
        <w:rPr>
          <w:lang w:val="en-NZ"/>
        </w:rPr>
        <w:t xml:space="preserve">, from </w:t>
      </w:r>
      <w:r w:rsidR="00A050CD">
        <w:rPr>
          <w:lang w:val="en-NZ"/>
        </w:rPr>
        <w:t>6.2</w:t>
      </w:r>
      <w:r>
        <w:rPr>
          <w:lang w:val="en-NZ"/>
        </w:rPr>
        <w:t xml:space="preserve"> to 22.5</w:t>
      </w:r>
      <w:r w:rsidR="005E5411">
        <w:rPr>
          <w:lang w:val="en-NZ"/>
        </w:rPr>
        <w:t xml:space="preserve"> percent</w:t>
      </w:r>
      <w:r w:rsidR="00192B95">
        <w:rPr>
          <w:lang w:val="en-NZ"/>
        </w:rPr>
        <w:t>.</w:t>
      </w:r>
      <w:r w:rsidR="000E18C2" w:rsidRPr="00613DE5">
        <w:rPr>
          <w:lang w:val="en-NZ"/>
        </w:rPr>
        <w:t xml:space="preserve"> However, the percentage of samples collected after 72 hours has not seen corresponding </w:t>
      </w:r>
      <w:r>
        <w:rPr>
          <w:lang w:val="en-NZ"/>
        </w:rPr>
        <w:t xml:space="preserve">large </w:t>
      </w:r>
      <w:r w:rsidR="000E18C2" w:rsidRPr="00613DE5">
        <w:rPr>
          <w:lang w:val="en-NZ"/>
        </w:rPr>
        <w:t>reductions</w:t>
      </w:r>
      <w:r w:rsidR="00E64846">
        <w:rPr>
          <w:lang w:val="en-NZ"/>
        </w:rPr>
        <w:t>.</w:t>
      </w:r>
      <w:r w:rsidR="000E18C2" w:rsidRPr="00613DE5">
        <w:rPr>
          <w:lang w:val="en-NZ"/>
        </w:rPr>
        <w:t xml:space="preserve"> </w:t>
      </w:r>
      <w:r w:rsidR="0024318E">
        <w:rPr>
          <w:lang w:val="en-NZ"/>
        </w:rPr>
        <w:t>In 2020</w:t>
      </w:r>
      <w:r w:rsidR="00FD1DAD">
        <w:rPr>
          <w:lang w:val="en-NZ"/>
        </w:rPr>
        <w:t>,</w:t>
      </w:r>
      <w:r w:rsidR="0024318E">
        <w:rPr>
          <w:lang w:val="en-NZ"/>
        </w:rPr>
        <w:t xml:space="preserve"> </w:t>
      </w:r>
      <w:r w:rsidR="000E18C2" w:rsidRPr="00613DE5">
        <w:rPr>
          <w:lang w:val="en-NZ"/>
        </w:rPr>
        <w:t xml:space="preserve">17.0 </w:t>
      </w:r>
      <w:r w:rsidR="0024318E">
        <w:rPr>
          <w:lang w:val="en-NZ"/>
        </w:rPr>
        <w:t>percent of samples were</w:t>
      </w:r>
      <w:r w:rsidR="00B2741C">
        <w:rPr>
          <w:lang w:val="en-NZ"/>
        </w:rPr>
        <w:t xml:space="preserve"> </w:t>
      </w:r>
      <w:r w:rsidR="0024318E" w:rsidRPr="00613DE5">
        <w:rPr>
          <w:lang w:val="en-NZ"/>
        </w:rPr>
        <w:t xml:space="preserve">collected </w:t>
      </w:r>
      <w:r w:rsidR="1BE88A25" w:rsidRPr="7A1F0C87">
        <w:rPr>
          <w:lang w:val="en-NZ"/>
        </w:rPr>
        <w:t>after 72 hours</w:t>
      </w:r>
      <w:r w:rsidR="0024318E" w:rsidRPr="7A1F0C87">
        <w:rPr>
          <w:lang w:val="en-NZ"/>
        </w:rPr>
        <w:t xml:space="preserve"> </w:t>
      </w:r>
      <w:r w:rsidR="0024318E">
        <w:rPr>
          <w:lang w:val="en-NZ"/>
        </w:rPr>
        <w:t xml:space="preserve">and </w:t>
      </w:r>
      <w:r w:rsidR="000E18C2" w:rsidRPr="00613DE5">
        <w:rPr>
          <w:lang w:val="en-NZ"/>
        </w:rPr>
        <w:t xml:space="preserve">14.3 </w:t>
      </w:r>
      <w:r w:rsidR="0024318E">
        <w:rPr>
          <w:lang w:val="en-NZ"/>
        </w:rPr>
        <w:t xml:space="preserve">percent </w:t>
      </w:r>
      <w:r w:rsidR="000E18C2" w:rsidRPr="00613DE5">
        <w:rPr>
          <w:lang w:val="en-NZ"/>
        </w:rPr>
        <w:t xml:space="preserve">in 2022. </w:t>
      </w:r>
    </w:p>
    <w:p w14:paraId="5F14E7B1" w14:textId="2ECAF78E" w:rsidR="000E18C2" w:rsidRPr="00613DE5" w:rsidRDefault="2156C114" w:rsidP="000E18C2">
      <w:pPr>
        <w:rPr>
          <w:lang w:val="en-NZ"/>
        </w:rPr>
      </w:pPr>
      <w:r w:rsidRPr="64D69AFA">
        <w:rPr>
          <w:lang w:val="en-NZ"/>
        </w:rPr>
        <w:t>The national average percentage of samples collected between 24 and 72 hours did see a slight improvement from 2021</w:t>
      </w:r>
      <w:r w:rsidR="00FD1DAD">
        <w:rPr>
          <w:lang w:val="en-NZ"/>
        </w:rPr>
        <w:t xml:space="preserve"> to 2022</w:t>
      </w:r>
      <w:r w:rsidR="4CADDC99" w:rsidRPr="64D69AFA">
        <w:rPr>
          <w:lang w:val="en-NZ"/>
        </w:rPr>
        <w:t xml:space="preserve"> </w:t>
      </w:r>
      <w:r w:rsidRPr="64D69AFA">
        <w:rPr>
          <w:lang w:val="en-NZ"/>
        </w:rPr>
        <w:t>(</w:t>
      </w:r>
      <w:r w:rsidR="1926984B" w:rsidRPr="64D69AFA">
        <w:rPr>
          <w:lang w:val="en-NZ"/>
        </w:rPr>
        <w:t xml:space="preserve">from </w:t>
      </w:r>
      <w:r w:rsidRPr="64D69AFA">
        <w:rPr>
          <w:lang w:val="en-NZ"/>
        </w:rPr>
        <w:t xml:space="preserve">81.5 </w:t>
      </w:r>
      <w:r w:rsidR="1926984B" w:rsidRPr="64D69AFA">
        <w:rPr>
          <w:lang w:val="en-NZ"/>
        </w:rPr>
        <w:t xml:space="preserve">to 83.4 </w:t>
      </w:r>
      <w:r w:rsidRPr="64D69AFA">
        <w:rPr>
          <w:lang w:val="en-NZ"/>
        </w:rPr>
        <w:t>percent</w:t>
      </w:r>
      <w:r w:rsidR="412237CA" w:rsidRPr="64D69AFA">
        <w:rPr>
          <w:lang w:val="en-NZ"/>
        </w:rPr>
        <w:t>)</w:t>
      </w:r>
      <w:r w:rsidRPr="64D69AFA">
        <w:rPr>
          <w:lang w:val="en-NZ"/>
        </w:rPr>
        <w:t>.</w:t>
      </w:r>
      <w:r w:rsidR="24299C96" w:rsidRPr="64D69AFA">
        <w:rPr>
          <w:lang w:val="en-NZ"/>
        </w:rPr>
        <w:t xml:space="preserve"> </w:t>
      </w:r>
    </w:p>
    <w:p w14:paraId="410D6B8C" w14:textId="77777777" w:rsidR="000E18C2" w:rsidRPr="00613DE5" w:rsidRDefault="000E18C2">
      <w:pPr>
        <w:rPr>
          <w:rFonts w:ascii="Poppins" w:hAnsi="Poppins" w:cs="Poppins"/>
          <w:b/>
          <w:bCs/>
          <w:color w:val="15284C"/>
          <w:sz w:val="32"/>
          <w:szCs w:val="32"/>
          <w:lang w:val="en-NZ"/>
        </w:rPr>
      </w:pPr>
      <w:bookmarkStart w:id="27" w:name="_Toc160616213"/>
      <w:r w:rsidRPr="00613DE5">
        <w:rPr>
          <w:lang w:val="en-NZ"/>
        </w:rPr>
        <w:br w:type="page"/>
      </w:r>
    </w:p>
    <w:p w14:paraId="4009563B" w14:textId="3E28D439" w:rsidR="000E18C2" w:rsidRPr="00613DE5" w:rsidRDefault="000E18C2" w:rsidP="000E18C2">
      <w:pPr>
        <w:pStyle w:val="Heading2"/>
        <w:rPr>
          <w:lang w:val="en-NZ"/>
        </w:rPr>
      </w:pPr>
      <w:bookmarkStart w:id="28" w:name="_Toc179192054"/>
      <w:r w:rsidRPr="00613DE5">
        <w:rPr>
          <w:lang w:val="en-NZ"/>
        </w:rPr>
        <w:lastRenderedPageBreak/>
        <w:t>Table 5: Timing of sample</w:t>
      </w:r>
      <w:r w:rsidR="00EF3443">
        <w:rPr>
          <w:lang w:val="en-NZ"/>
        </w:rPr>
        <w:t>s</w:t>
      </w:r>
      <w:r w:rsidRPr="00613DE5">
        <w:rPr>
          <w:lang w:val="en-NZ"/>
        </w:rPr>
        <w:t xml:space="preserve"> taken by ethnicity, January to December 2022</w:t>
      </w:r>
      <w:bookmarkEnd w:id="27"/>
      <w:bookmarkEnd w:id="28"/>
    </w:p>
    <w:tbl>
      <w:tblPr>
        <w:tblStyle w:val="GridTable4-Accent5"/>
        <w:tblW w:w="9182" w:type="dxa"/>
        <w:tblLook w:val="04A0" w:firstRow="1" w:lastRow="0" w:firstColumn="1" w:lastColumn="0" w:noHBand="0" w:noVBand="1"/>
      </w:tblPr>
      <w:tblGrid>
        <w:gridCol w:w="1355"/>
        <w:gridCol w:w="1515"/>
        <w:gridCol w:w="1702"/>
        <w:gridCol w:w="1702"/>
        <w:gridCol w:w="1376"/>
        <w:gridCol w:w="1532"/>
      </w:tblGrid>
      <w:tr w:rsidR="000E18C2" w:rsidRPr="00613DE5" w14:paraId="33F36BFB" w14:textId="77777777" w:rsidTr="00C45370">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55" w:type="dxa"/>
            <w:noWrap/>
            <w:hideMark/>
          </w:tcPr>
          <w:p w14:paraId="413DE29C" w14:textId="77777777" w:rsidR="000E18C2" w:rsidRPr="00613DE5" w:rsidRDefault="000E18C2" w:rsidP="000E18C2">
            <w:pPr>
              <w:jc w:val="center"/>
              <w:rPr>
                <w:rFonts w:eastAsia="Times New Roman" w:cstheme="minorHAnsi"/>
                <w:b w:val="0"/>
                <w:bCs w:val="0"/>
                <w:szCs w:val="24"/>
                <w:lang w:val="en-NZ" w:eastAsia="en-NZ"/>
              </w:rPr>
            </w:pPr>
            <w:r w:rsidRPr="00613DE5">
              <w:rPr>
                <w:rFonts w:eastAsia="Times New Roman" w:cstheme="minorHAnsi"/>
                <w:szCs w:val="24"/>
                <w:lang w:val="en-NZ" w:eastAsia="en-NZ"/>
              </w:rPr>
              <w:t>Ethnicity</w:t>
            </w:r>
          </w:p>
        </w:tc>
        <w:tc>
          <w:tcPr>
            <w:tcW w:w="1515" w:type="dxa"/>
            <w:noWrap/>
            <w:hideMark/>
          </w:tcPr>
          <w:p w14:paraId="056ACAAA" w14:textId="77777777" w:rsidR="000E18C2" w:rsidRDefault="000E18C2"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Less than 24 hours</w:t>
            </w:r>
          </w:p>
          <w:p w14:paraId="7E2B57F4" w14:textId="6CED81E5" w:rsidR="00C45370" w:rsidRPr="00613DE5" w:rsidRDefault="00C45370"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Pr>
                <w:rFonts w:eastAsia="Times New Roman" w:cstheme="minorHAnsi"/>
                <w:szCs w:val="24"/>
                <w:lang w:val="en-NZ" w:eastAsia="en-NZ"/>
              </w:rPr>
              <w:t>%</w:t>
            </w:r>
          </w:p>
        </w:tc>
        <w:tc>
          <w:tcPr>
            <w:tcW w:w="1702" w:type="dxa"/>
            <w:noWrap/>
            <w:hideMark/>
          </w:tcPr>
          <w:p w14:paraId="5FDA3150" w14:textId="2C9482E0" w:rsidR="000E18C2" w:rsidRPr="00613DE5" w:rsidRDefault="000E18C2"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Between 24 and 47 hours</w:t>
            </w:r>
            <w:r w:rsidR="00C45370">
              <w:rPr>
                <w:rFonts w:eastAsia="Times New Roman" w:cstheme="minorHAnsi"/>
                <w:szCs w:val="24"/>
                <w:lang w:val="en-NZ" w:eastAsia="en-NZ"/>
              </w:rPr>
              <w:t xml:space="preserve"> %</w:t>
            </w:r>
          </w:p>
        </w:tc>
        <w:tc>
          <w:tcPr>
            <w:tcW w:w="1702" w:type="dxa"/>
            <w:noWrap/>
            <w:hideMark/>
          </w:tcPr>
          <w:p w14:paraId="50A2A5B3" w14:textId="7C7179D0" w:rsidR="000E18C2" w:rsidRPr="00613DE5" w:rsidRDefault="000E18C2"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Between 48 and 72 hours</w:t>
            </w:r>
            <w:r w:rsidR="00C45370">
              <w:rPr>
                <w:rFonts w:eastAsia="Times New Roman" w:cstheme="minorHAnsi"/>
                <w:szCs w:val="24"/>
                <w:lang w:val="en-NZ" w:eastAsia="en-NZ"/>
              </w:rPr>
              <w:t xml:space="preserve"> %</w:t>
            </w:r>
          </w:p>
        </w:tc>
        <w:tc>
          <w:tcPr>
            <w:tcW w:w="1376" w:type="dxa"/>
            <w:noWrap/>
            <w:hideMark/>
          </w:tcPr>
          <w:p w14:paraId="48F35E8E" w14:textId="77777777" w:rsidR="00C45370" w:rsidRDefault="000E18C2"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Greater than 72 hours</w:t>
            </w:r>
            <w:r w:rsidR="00C45370">
              <w:rPr>
                <w:rFonts w:eastAsia="Times New Roman" w:cstheme="minorHAnsi"/>
                <w:szCs w:val="24"/>
                <w:lang w:val="en-NZ" w:eastAsia="en-NZ"/>
              </w:rPr>
              <w:t xml:space="preserve"> </w:t>
            </w:r>
          </w:p>
          <w:p w14:paraId="0ABBA37D" w14:textId="5F869447" w:rsidR="000E18C2" w:rsidRPr="00613DE5" w:rsidRDefault="00C45370"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Pr>
                <w:rFonts w:eastAsia="Times New Roman" w:cstheme="minorHAnsi"/>
                <w:szCs w:val="24"/>
                <w:lang w:val="en-NZ" w:eastAsia="en-NZ"/>
              </w:rPr>
              <w:t>%</w:t>
            </w:r>
          </w:p>
        </w:tc>
        <w:tc>
          <w:tcPr>
            <w:tcW w:w="1532" w:type="dxa"/>
            <w:noWrap/>
            <w:hideMark/>
          </w:tcPr>
          <w:p w14:paraId="48FAFB46" w14:textId="77777777" w:rsidR="00C45370" w:rsidRDefault="000E18C2"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No collection date or time</w:t>
            </w:r>
            <w:r w:rsidR="00C45370">
              <w:rPr>
                <w:rFonts w:eastAsia="Times New Roman" w:cstheme="minorHAnsi"/>
                <w:szCs w:val="24"/>
                <w:lang w:val="en-NZ" w:eastAsia="en-NZ"/>
              </w:rPr>
              <w:t xml:space="preserve"> </w:t>
            </w:r>
          </w:p>
          <w:p w14:paraId="5B7BB59F" w14:textId="0FD0668D" w:rsidR="000E18C2" w:rsidRPr="00613DE5" w:rsidRDefault="00C45370" w:rsidP="000E18C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Pr>
                <w:rFonts w:eastAsia="Times New Roman" w:cstheme="minorHAnsi"/>
                <w:szCs w:val="24"/>
                <w:lang w:val="en-NZ" w:eastAsia="en-NZ"/>
              </w:rPr>
              <w:t>%</w:t>
            </w:r>
          </w:p>
        </w:tc>
      </w:tr>
      <w:tr w:rsidR="000E18C2" w:rsidRPr="00613DE5" w14:paraId="6FE521BA" w14:textId="77777777" w:rsidTr="00C4537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1C824025" w14:textId="77777777" w:rsidR="000E18C2" w:rsidRPr="00613DE5" w:rsidRDefault="000E18C2"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Māori</w:t>
            </w:r>
          </w:p>
        </w:tc>
        <w:tc>
          <w:tcPr>
            <w:tcW w:w="1515" w:type="dxa"/>
            <w:noWrap/>
            <w:vAlign w:val="center"/>
            <w:hideMark/>
          </w:tcPr>
          <w:p w14:paraId="4BE39B9D"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0.2</w:t>
            </w:r>
          </w:p>
        </w:tc>
        <w:tc>
          <w:tcPr>
            <w:tcW w:w="1702" w:type="dxa"/>
            <w:noWrap/>
            <w:vAlign w:val="center"/>
            <w:hideMark/>
          </w:tcPr>
          <w:p w14:paraId="75D5BD82"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17.4</w:t>
            </w:r>
          </w:p>
        </w:tc>
        <w:tc>
          <w:tcPr>
            <w:tcW w:w="1702" w:type="dxa"/>
            <w:noWrap/>
            <w:vAlign w:val="center"/>
            <w:hideMark/>
          </w:tcPr>
          <w:p w14:paraId="23D41E83"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61.0</w:t>
            </w:r>
          </w:p>
        </w:tc>
        <w:tc>
          <w:tcPr>
            <w:tcW w:w="1376" w:type="dxa"/>
            <w:noWrap/>
            <w:vAlign w:val="center"/>
            <w:hideMark/>
          </w:tcPr>
          <w:p w14:paraId="1BA34BDA"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19.2</w:t>
            </w:r>
          </w:p>
        </w:tc>
        <w:tc>
          <w:tcPr>
            <w:tcW w:w="1532" w:type="dxa"/>
            <w:noWrap/>
            <w:vAlign w:val="center"/>
            <w:hideMark/>
          </w:tcPr>
          <w:p w14:paraId="62A1AFE0"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2.2</w:t>
            </w:r>
          </w:p>
        </w:tc>
      </w:tr>
      <w:tr w:rsidR="000E18C2" w:rsidRPr="00613DE5" w14:paraId="17B22E8C" w14:textId="77777777" w:rsidTr="00C45370">
        <w:trPr>
          <w:trHeight w:val="289"/>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444BD85A" w14:textId="77777777" w:rsidR="000E18C2" w:rsidRPr="00613DE5" w:rsidRDefault="000E18C2"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Pacific</w:t>
            </w:r>
          </w:p>
        </w:tc>
        <w:tc>
          <w:tcPr>
            <w:tcW w:w="1515" w:type="dxa"/>
            <w:noWrap/>
            <w:vAlign w:val="center"/>
            <w:hideMark/>
          </w:tcPr>
          <w:p w14:paraId="2CB7D13C"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0.2</w:t>
            </w:r>
          </w:p>
        </w:tc>
        <w:tc>
          <w:tcPr>
            <w:tcW w:w="1702" w:type="dxa"/>
            <w:noWrap/>
            <w:vAlign w:val="center"/>
            <w:hideMark/>
          </w:tcPr>
          <w:p w14:paraId="22E2AACA"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23.5</w:t>
            </w:r>
          </w:p>
        </w:tc>
        <w:tc>
          <w:tcPr>
            <w:tcW w:w="1702" w:type="dxa"/>
            <w:noWrap/>
            <w:vAlign w:val="center"/>
            <w:hideMark/>
          </w:tcPr>
          <w:p w14:paraId="6CBEBF80"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55.8</w:t>
            </w:r>
          </w:p>
        </w:tc>
        <w:tc>
          <w:tcPr>
            <w:tcW w:w="1376" w:type="dxa"/>
            <w:noWrap/>
            <w:vAlign w:val="center"/>
            <w:hideMark/>
          </w:tcPr>
          <w:p w14:paraId="6CC59393"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18.2</w:t>
            </w:r>
          </w:p>
        </w:tc>
        <w:tc>
          <w:tcPr>
            <w:tcW w:w="1532" w:type="dxa"/>
            <w:noWrap/>
            <w:vAlign w:val="center"/>
            <w:hideMark/>
          </w:tcPr>
          <w:p w14:paraId="72BB54D4"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w:t>
            </w:r>
          </w:p>
        </w:tc>
      </w:tr>
      <w:tr w:rsidR="000E18C2" w:rsidRPr="00613DE5" w14:paraId="00BD25BD" w14:textId="77777777" w:rsidTr="00C4537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29B06922" w14:textId="77777777" w:rsidR="000E18C2" w:rsidRPr="00613DE5" w:rsidRDefault="000E18C2"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Asian</w:t>
            </w:r>
          </w:p>
        </w:tc>
        <w:tc>
          <w:tcPr>
            <w:tcW w:w="1515" w:type="dxa"/>
            <w:noWrap/>
            <w:vAlign w:val="center"/>
            <w:hideMark/>
          </w:tcPr>
          <w:p w14:paraId="6FBE00A2"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0.1</w:t>
            </w:r>
          </w:p>
        </w:tc>
        <w:tc>
          <w:tcPr>
            <w:tcW w:w="1702" w:type="dxa"/>
            <w:noWrap/>
            <w:vAlign w:val="center"/>
            <w:hideMark/>
          </w:tcPr>
          <w:p w14:paraId="672B4B66"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30.4</w:t>
            </w:r>
          </w:p>
        </w:tc>
        <w:tc>
          <w:tcPr>
            <w:tcW w:w="1702" w:type="dxa"/>
            <w:noWrap/>
            <w:vAlign w:val="center"/>
            <w:hideMark/>
          </w:tcPr>
          <w:p w14:paraId="02F86E56"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56.9</w:t>
            </w:r>
          </w:p>
        </w:tc>
        <w:tc>
          <w:tcPr>
            <w:tcW w:w="1376" w:type="dxa"/>
            <w:noWrap/>
            <w:vAlign w:val="center"/>
            <w:hideMark/>
          </w:tcPr>
          <w:p w14:paraId="0FAD8A66"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10.5</w:t>
            </w:r>
          </w:p>
        </w:tc>
        <w:tc>
          <w:tcPr>
            <w:tcW w:w="1532" w:type="dxa"/>
            <w:noWrap/>
            <w:vAlign w:val="center"/>
            <w:hideMark/>
          </w:tcPr>
          <w:p w14:paraId="0FA32488"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2.1</w:t>
            </w:r>
          </w:p>
        </w:tc>
      </w:tr>
      <w:tr w:rsidR="000E18C2" w:rsidRPr="00613DE5" w14:paraId="1EE52D3E" w14:textId="77777777" w:rsidTr="00C45370">
        <w:trPr>
          <w:trHeight w:val="289"/>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735D7D34" w14:textId="77777777" w:rsidR="000E18C2" w:rsidRPr="00613DE5" w:rsidRDefault="000E18C2"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Other</w:t>
            </w:r>
          </w:p>
        </w:tc>
        <w:tc>
          <w:tcPr>
            <w:tcW w:w="1515" w:type="dxa"/>
            <w:noWrap/>
            <w:vAlign w:val="center"/>
            <w:hideMark/>
          </w:tcPr>
          <w:p w14:paraId="649920E9"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0.2</w:t>
            </w:r>
          </w:p>
        </w:tc>
        <w:tc>
          <w:tcPr>
            <w:tcW w:w="1702" w:type="dxa"/>
            <w:noWrap/>
            <w:vAlign w:val="center"/>
            <w:hideMark/>
          </w:tcPr>
          <w:p w14:paraId="61907B1C"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21.9</w:t>
            </w:r>
          </w:p>
        </w:tc>
        <w:tc>
          <w:tcPr>
            <w:tcW w:w="1702" w:type="dxa"/>
            <w:noWrap/>
            <w:vAlign w:val="center"/>
            <w:hideMark/>
          </w:tcPr>
          <w:p w14:paraId="7ECFD3A9"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63.6</w:t>
            </w:r>
          </w:p>
        </w:tc>
        <w:tc>
          <w:tcPr>
            <w:tcW w:w="1376" w:type="dxa"/>
            <w:noWrap/>
            <w:vAlign w:val="center"/>
            <w:hideMark/>
          </w:tcPr>
          <w:p w14:paraId="05F7E938"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12.2</w:t>
            </w:r>
          </w:p>
        </w:tc>
        <w:tc>
          <w:tcPr>
            <w:tcW w:w="1532" w:type="dxa"/>
            <w:noWrap/>
            <w:vAlign w:val="center"/>
            <w:hideMark/>
          </w:tcPr>
          <w:p w14:paraId="12BAAF56" w14:textId="77777777" w:rsidR="000E18C2" w:rsidRPr="00613DE5" w:rsidRDefault="000E18C2"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w:t>
            </w:r>
          </w:p>
        </w:tc>
      </w:tr>
      <w:tr w:rsidR="00613DE5" w:rsidRPr="00613DE5" w14:paraId="367D20E3" w14:textId="77777777" w:rsidTr="00C4537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59056370" w14:textId="77777777" w:rsidR="000E18C2" w:rsidRPr="00613DE5" w:rsidRDefault="000E18C2" w:rsidP="00065F12">
            <w:pP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Total</w:t>
            </w:r>
          </w:p>
        </w:tc>
        <w:tc>
          <w:tcPr>
            <w:tcW w:w="1515" w:type="dxa"/>
            <w:noWrap/>
            <w:vAlign w:val="center"/>
            <w:hideMark/>
          </w:tcPr>
          <w:p w14:paraId="3EC49734"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0.2</w:t>
            </w:r>
          </w:p>
        </w:tc>
        <w:tc>
          <w:tcPr>
            <w:tcW w:w="1702" w:type="dxa"/>
            <w:noWrap/>
            <w:vAlign w:val="center"/>
            <w:hideMark/>
          </w:tcPr>
          <w:p w14:paraId="16E985BA"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22.5</w:t>
            </w:r>
          </w:p>
        </w:tc>
        <w:tc>
          <w:tcPr>
            <w:tcW w:w="1702" w:type="dxa"/>
            <w:noWrap/>
            <w:vAlign w:val="center"/>
            <w:hideMark/>
          </w:tcPr>
          <w:p w14:paraId="17BBF043"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60.9</w:t>
            </w:r>
          </w:p>
        </w:tc>
        <w:tc>
          <w:tcPr>
            <w:tcW w:w="1376" w:type="dxa"/>
            <w:noWrap/>
            <w:vAlign w:val="center"/>
            <w:hideMark/>
          </w:tcPr>
          <w:p w14:paraId="1FFCFCF4"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14.3</w:t>
            </w:r>
          </w:p>
        </w:tc>
        <w:tc>
          <w:tcPr>
            <w:tcW w:w="1532" w:type="dxa"/>
            <w:noWrap/>
            <w:vAlign w:val="center"/>
            <w:hideMark/>
          </w:tcPr>
          <w:p w14:paraId="4780E279" w14:textId="77777777" w:rsidR="000E18C2" w:rsidRPr="00613DE5" w:rsidRDefault="000E18C2"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2.1</w:t>
            </w:r>
          </w:p>
        </w:tc>
      </w:tr>
    </w:tbl>
    <w:p w14:paraId="4A5FE053" w14:textId="77777777" w:rsidR="000E18C2" w:rsidRPr="00613DE5" w:rsidRDefault="000E18C2" w:rsidP="000E18C2">
      <w:pPr>
        <w:rPr>
          <w:lang w:val="en-NZ"/>
        </w:rPr>
      </w:pPr>
    </w:p>
    <w:p w14:paraId="317B6F07" w14:textId="46DB7A4D" w:rsidR="00FC6D57" w:rsidRPr="00846EA0" w:rsidRDefault="00D5134C" w:rsidP="00D5134C">
      <w:pPr>
        <w:tabs>
          <w:tab w:val="left" w:pos="3331"/>
        </w:tabs>
        <w:rPr>
          <w:lang w:val="en-NZ"/>
        </w:rPr>
        <w:sectPr w:rsidR="00FC6D57" w:rsidRPr="00846EA0" w:rsidSect="00BF4963">
          <w:headerReference w:type="default" r:id="rId16"/>
          <w:footerReference w:type="default" r:id="rId17"/>
          <w:footerReference w:type="first" r:id="rId18"/>
          <w:type w:val="continuous"/>
          <w:pgSz w:w="11906" w:h="16838" w:code="9"/>
          <w:pgMar w:top="1440" w:right="1274" w:bottom="1440" w:left="1440" w:header="709" w:footer="709" w:gutter="0"/>
          <w:cols w:space="708"/>
          <w:docGrid w:linePitch="360"/>
        </w:sectPr>
      </w:pPr>
      <w:r>
        <w:rPr>
          <w:lang w:val="en-NZ"/>
        </w:rPr>
        <w:tab/>
      </w:r>
    </w:p>
    <w:p w14:paraId="202A3AD6" w14:textId="2D7B4B38" w:rsidR="00FC6D57" w:rsidRPr="00613DE5" w:rsidRDefault="00FC6D57" w:rsidP="008250B3">
      <w:pPr>
        <w:pStyle w:val="Heading2"/>
        <w:rPr>
          <w:rFonts w:cstheme="minorHAnsi"/>
          <w:sz w:val="24"/>
          <w:szCs w:val="24"/>
          <w:lang w:val="en-NZ"/>
        </w:rPr>
      </w:pPr>
      <w:bookmarkStart w:id="29" w:name="_Toc160616214"/>
      <w:bookmarkStart w:id="30" w:name="_Toc179192055"/>
      <w:r w:rsidRPr="00613DE5">
        <w:rPr>
          <w:lang w:val="en-NZ"/>
        </w:rPr>
        <w:lastRenderedPageBreak/>
        <w:t>Table 6</w:t>
      </w:r>
      <w:r w:rsidR="00645FB5">
        <w:rPr>
          <w:lang w:val="en-NZ"/>
        </w:rPr>
        <w:t xml:space="preserve">: </w:t>
      </w:r>
      <w:r w:rsidRPr="00613DE5">
        <w:rPr>
          <w:lang w:val="en-NZ"/>
        </w:rPr>
        <w:t>Timing of samples taken by district, January to December 2022</w:t>
      </w:r>
      <w:bookmarkEnd w:id="29"/>
      <w:bookmarkEnd w:id="30"/>
    </w:p>
    <w:tbl>
      <w:tblPr>
        <w:tblStyle w:val="GridTable4-Accent5"/>
        <w:tblW w:w="13860" w:type="dxa"/>
        <w:tblLayout w:type="fixed"/>
        <w:tblLook w:val="04A0" w:firstRow="1" w:lastRow="0" w:firstColumn="1" w:lastColumn="0" w:noHBand="0" w:noVBand="1"/>
      </w:tblPr>
      <w:tblGrid>
        <w:gridCol w:w="2410"/>
        <w:gridCol w:w="1145"/>
        <w:gridCol w:w="1145"/>
        <w:gridCol w:w="1145"/>
        <w:gridCol w:w="1145"/>
        <w:gridCol w:w="1145"/>
        <w:gridCol w:w="1145"/>
        <w:gridCol w:w="1145"/>
        <w:gridCol w:w="1145"/>
        <w:gridCol w:w="1145"/>
        <w:gridCol w:w="1145"/>
      </w:tblGrid>
      <w:tr w:rsidR="00B66432" w:rsidRPr="00613DE5" w14:paraId="3D820930" w14:textId="77777777" w:rsidTr="00B66432">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5C85D2" w:themeColor="text1" w:themeTint="80"/>
              <w:left w:val="single" w:sz="4" w:space="0" w:color="5C85D2" w:themeColor="text1" w:themeTint="80"/>
              <w:right w:val="single" w:sz="4" w:space="0" w:color="5C85D2" w:themeColor="text1" w:themeTint="80"/>
            </w:tcBorders>
            <w:noWrap/>
            <w:vAlign w:val="bottom"/>
            <w:hideMark/>
          </w:tcPr>
          <w:p w14:paraId="6D67DBF1" w14:textId="04A90995" w:rsidR="00B66432" w:rsidRPr="00613DE5" w:rsidRDefault="00B66432" w:rsidP="00B66432">
            <w:pPr>
              <w:rPr>
                <w:rFonts w:eastAsia="Times New Roman" w:cstheme="minorHAnsi"/>
                <w:lang w:val="en-NZ" w:eastAsia="en-NZ"/>
              </w:rPr>
            </w:pPr>
            <w:r w:rsidRPr="00613DE5">
              <w:rPr>
                <w:rFonts w:eastAsia="Times New Roman" w:cstheme="minorHAnsi"/>
                <w:lang w:val="en-NZ" w:eastAsia="en-NZ"/>
              </w:rPr>
              <w:t>Distric</w:t>
            </w:r>
            <w:r w:rsidRPr="00613DE5">
              <w:rPr>
                <w:rFonts w:eastAsia="Times New Roman" w:cstheme="minorHAnsi"/>
                <w:shd w:val="clear" w:color="auto" w:fill="15284C" w:themeFill="text2"/>
                <w:lang w:val="en-NZ" w:eastAsia="en-NZ"/>
              </w:rPr>
              <w:t>t</w:t>
            </w:r>
          </w:p>
        </w:tc>
        <w:tc>
          <w:tcPr>
            <w:tcW w:w="2290" w:type="dxa"/>
            <w:gridSpan w:val="2"/>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noWrap/>
            <w:vAlign w:val="center"/>
            <w:hideMark/>
          </w:tcPr>
          <w:p w14:paraId="446D996C" w14:textId="1B64576D" w:rsidR="00B66432" w:rsidRPr="00613DE5" w:rsidRDefault="00B66432" w:rsidP="00CA2B9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NZ" w:eastAsia="en-NZ"/>
              </w:rPr>
            </w:pPr>
            <w:r w:rsidRPr="00613DE5">
              <w:rPr>
                <w:rFonts w:eastAsia="Times New Roman" w:cstheme="minorHAnsi"/>
                <w:szCs w:val="24"/>
                <w:lang w:val="en-NZ" w:eastAsia="en-NZ"/>
              </w:rPr>
              <w:t>Less than 24 hours</w:t>
            </w:r>
          </w:p>
        </w:tc>
        <w:tc>
          <w:tcPr>
            <w:tcW w:w="2290" w:type="dxa"/>
            <w:gridSpan w:val="2"/>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noWrap/>
            <w:vAlign w:val="center"/>
            <w:hideMark/>
          </w:tcPr>
          <w:p w14:paraId="3BA39B3A" w14:textId="3CE5CEFD" w:rsidR="00B66432" w:rsidRPr="00613DE5" w:rsidRDefault="00B66432" w:rsidP="00CA2B9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NZ" w:eastAsia="en-NZ"/>
              </w:rPr>
            </w:pPr>
            <w:r w:rsidRPr="00613DE5">
              <w:rPr>
                <w:rFonts w:eastAsia="Times New Roman" w:cstheme="minorHAnsi"/>
                <w:szCs w:val="24"/>
                <w:lang w:val="en-NZ" w:eastAsia="en-NZ"/>
              </w:rPr>
              <w:t>Between 24 and 47 hours</w:t>
            </w:r>
          </w:p>
        </w:tc>
        <w:tc>
          <w:tcPr>
            <w:tcW w:w="2290" w:type="dxa"/>
            <w:gridSpan w:val="2"/>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noWrap/>
            <w:vAlign w:val="center"/>
          </w:tcPr>
          <w:p w14:paraId="0E86D57E" w14:textId="79FF60BC" w:rsidR="00B66432" w:rsidRPr="00613DE5" w:rsidRDefault="00B66432" w:rsidP="00CA2B9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NZ" w:eastAsia="en-NZ"/>
              </w:rPr>
            </w:pPr>
            <w:r w:rsidRPr="00613DE5">
              <w:rPr>
                <w:rFonts w:eastAsia="Times New Roman" w:cstheme="minorHAnsi"/>
                <w:szCs w:val="24"/>
                <w:lang w:val="en-NZ" w:eastAsia="en-NZ"/>
              </w:rPr>
              <w:t>Between 48 and 72 hours</w:t>
            </w:r>
          </w:p>
        </w:tc>
        <w:tc>
          <w:tcPr>
            <w:tcW w:w="2290" w:type="dxa"/>
            <w:gridSpan w:val="2"/>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noWrap/>
            <w:vAlign w:val="center"/>
          </w:tcPr>
          <w:p w14:paraId="65B8F8F2" w14:textId="4F13437E" w:rsidR="00B66432" w:rsidRPr="00613DE5" w:rsidRDefault="00B66432" w:rsidP="00CA2B9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NZ" w:eastAsia="en-NZ"/>
              </w:rPr>
            </w:pPr>
            <w:r w:rsidRPr="00613DE5">
              <w:rPr>
                <w:rFonts w:eastAsia="Times New Roman" w:cstheme="minorHAnsi"/>
                <w:szCs w:val="24"/>
                <w:lang w:val="en-NZ" w:eastAsia="en-NZ"/>
              </w:rPr>
              <w:t>Greater than 72 hours</w:t>
            </w:r>
          </w:p>
        </w:tc>
        <w:tc>
          <w:tcPr>
            <w:tcW w:w="2290" w:type="dxa"/>
            <w:gridSpan w:val="2"/>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noWrap/>
            <w:vAlign w:val="center"/>
          </w:tcPr>
          <w:p w14:paraId="04334245" w14:textId="7DE12595" w:rsidR="00B66432" w:rsidRPr="00613DE5" w:rsidRDefault="00B66432" w:rsidP="00CA2B9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val="en-NZ" w:eastAsia="en-NZ"/>
              </w:rPr>
            </w:pPr>
            <w:r w:rsidRPr="00613DE5">
              <w:rPr>
                <w:rFonts w:eastAsia="Times New Roman" w:cstheme="minorHAnsi"/>
                <w:szCs w:val="24"/>
                <w:lang w:val="en-NZ" w:eastAsia="en-NZ"/>
              </w:rPr>
              <w:t>No collection date or time</w:t>
            </w:r>
          </w:p>
        </w:tc>
      </w:tr>
      <w:tr w:rsidR="006C377A" w:rsidRPr="00613DE5" w14:paraId="2B553F24" w14:textId="77777777" w:rsidTr="002F19C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40A75226" w14:textId="77777777" w:rsidR="00CA2B98" w:rsidRPr="00613DE5" w:rsidRDefault="00CA2B98" w:rsidP="00CA2B98">
            <w:pPr>
              <w:rPr>
                <w:rFonts w:eastAsia="Times New Roman" w:cstheme="minorHAnsi"/>
                <w:b w:val="0"/>
                <w:bCs w:val="0"/>
                <w:color w:val="000000"/>
                <w:lang w:val="en-NZ" w:eastAsia="en-NZ"/>
              </w:rPr>
            </w:pPr>
            <w:r w:rsidRPr="00613DE5">
              <w:rPr>
                <w:rFonts w:eastAsia="Times New Roman" w:cstheme="minorHAnsi"/>
                <w:color w:val="000000"/>
                <w:lang w:val="en-NZ" w:eastAsia="en-NZ"/>
              </w:rPr>
              <w:t> </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6E07623B"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N</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2C5056E3"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21221A35"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N</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345431A1"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1D00C72E"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lang w:val="en-NZ" w:eastAsia="en-NZ"/>
              </w:rPr>
            </w:pPr>
            <w:r w:rsidRPr="00613DE5">
              <w:rPr>
                <w:rFonts w:eastAsia="Times New Roman" w:cstheme="minorHAnsi"/>
                <w:color w:val="F6F4EC" w:themeColor="background1"/>
                <w:lang w:val="en-NZ" w:eastAsia="en-NZ"/>
              </w:rPr>
              <w:t>N</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41E5F372"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lang w:val="en-NZ" w:eastAsia="en-NZ"/>
              </w:rPr>
            </w:pPr>
            <w:r w:rsidRPr="00613DE5">
              <w:rPr>
                <w:rFonts w:eastAsia="Times New Roman" w:cstheme="minorHAnsi"/>
                <w:color w:val="F6F4EC" w:themeColor="background1"/>
                <w:lang w:val="en-NZ" w:eastAsia="en-NZ"/>
              </w:rPr>
              <w:t>%</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2DB93E0C"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N</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368E1FD6"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0568278B"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 xml:space="preserve">N </w:t>
            </w:r>
          </w:p>
        </w:tc>
        <w:tc>
          <w:tcPr>
            <w:tcW w:w="1145" w:type="dxa"/>
            <w:tcBorders>
              <w:top w:val="single" w:sz="4" w:space="0" w:color="5C85D2" w:themeColor="text1" w:themeTint="80"/>
              <w:left w:val="single" w:sz="4" w:space="0" w:color="5C85D2" w:themeColor="text1" w:themeTint="80"/>
              <w:bottom w:val="single" w:sz="4" w:space="0" w:color="5C85D2" w:themeColor="text1" w:themeTint="80"/>
              <w:right w:val="single" w:sz="4" w:space="0" w:color="5C85D2" w:themeColor="text1" w:themeTint="80"/>
            </w:tcBorders>
            <w:shd w:val="clear" w:color="auto" w:fill="15284C" w:themeFill="text2"/>
            <w:noWrap/>
            <w:hideMark/>
          </w:tcPr>
          <w:p w14:paraId="07C1A7F6" w14:textId="77777777" w:rsidR="00CA2B98" w:rsidRPr="00613DE5" w:rsidRDefault="00CA2B98" w:rsidP="00CA2B9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lang w:val="en-NZ" w:eastAsia="en-NZ"/>
              </w:rPr>
            </w:pPr>
            <w:r w:rsidRPr="00613DE5">
              <w:rPr>
                <w:rFonts w:eastAsia="Times New Roman" w:cstheme="minorHAnsi"/>
                <w:b/>
                <w:bCs/>
                <w:color w:val="F6F4EC" w:themeColor="background1"/>
                <w:lang w:val="en-NZ" w:eastAsia="en-NZ"/>
              </w:rPr>
              <w:t>%</w:t>
            </w:r>
          </w:p>
        </w:tc>
      </w:tr>
      <w:tr w:rsidR="00B66432" w:rsidRPr="00613DE5" w14:paraId="39A18F85"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5C85D2" w:themeColor="text1" w:themeTint="80"/>
            </w:tcBorders>
            <w:noWrap/>
            <w:vAlign w:val="center"/>
            <w:hideMark/>
          </w:tcPr>
          <w:p w14:paraId="00641974"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Northland</w:t>
            </w:r>
          </w:p>
        </w:tc>
        <w:tc>
          <w:tcPr>
            <w:tcW w:w="1145" w:type="dxa"/>
            <w:tcBorders>
              <w:top w:val="single" w:sz="4" w:space="0" w:color="5C85D2" w:themeColor="text1" w:themeTint="80"/>
            </w:tcBorders>
            <w:noWrap/>
            <w:vAlign w:val="center"/>
            <w:hideMark/>
          </w:tcPr>
          <w:p w14:paraId="1B3134A9"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w:t>
            </w:r>
          </w:p>
        </w:tc>
        <w:tc>
          <w:tcPr>
            <w:tcW w:w="1145" w:type="dxa"/>
            <w:tcBorders>
              <w:top w:val="single" w:sz="4" w:space="0" w:color="5C85D2" w:themeColor="text1" w:themeTint="80"/>
            </w:tcBorders>
            <w:noWrap/>
            <w:vAlign w:val="center"/>
            <w:hideMark/>
          </w:tcPr>
          <w:p w14:paraId="49BDEFBE"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tcBorders>
              <w:top w:val="single" w:sz="4" w:space="0" w:color="5C85D2" w:themeColor="text1" w:themeTint="80"/>
            </w:tcBorders>
            <w:noWrap/>
            <w:vAlign w:val="center"/>
            <w:hideMark/>
          </w:tcPr>
          <w:p w14:paraId="16A324A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250</w:t>
            </w:r>
          </w:p>
        </w:tc>
        <w:tc>
          <w:tcPr>
            <w:tcW w:w="1145" w:type="dxa"/>
            <w:tcBorders>
              <w:top w:val="single" w:sz="4" w:space="0" w:color="5C85D2" w:themeColor="text1" w:themeTint="80"/>
            </w:tcBorders>
            <w:noWrap/>
            <w:vAlign w:val="center"/>
            <w:hideMark/>
          </w:tcPr>
          <w:p w14:paraId="0BC2630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10.7</w:t>
            </w:r>
          </w:p>
        </w:tc>
        <w:tc>
          <w:tcPr>
            <w:tcW w:w="1145" w:type="dxa"/>
            <w:tcBorders>
              <w:top w:val="single" w:sz="4" w:space="0" w:color="5C85D2" w:themeColor="text1" w:themeTint="80"/>
            </w:tcBorders>
            <w:noWrap/>
            <w:vAlign w:val="center"/>
            <w:hideMark/>
          </w:tcPr>
          <w:p w14:paraId="3B5DD225"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1,482</w:t>
            </w:r>
          </w:p>
        </w:tc>
        <w:tc>
          <w:tcPr>
            <w:tcW w:w="1145" w:type="dxa"/>
            <w:tcBorders>
              <w:top w:val="single" w:sz="4" w:space="0" w:color="5C85D2" w:themeColor="text1" w:themeTint="80"/>
            </w:tcBorders>
            <w:noWrap/>
            <w:vAlign w:val="center"/>
            <w:hideMark/>
          </w:tcPr>
          <w:p w14:paraId="19539DA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63.5</w:t>
            </w:r>
          </w:p>
        </w:tc>
        <w:tc>
          <w:tcPr>
            <w:tcW w:w="1145" w:type="dxa"/>
            <w:tcBorders>
              <w:top w:val="single" w:sz="4" w:space="0" w:color="5C85D2" w:themeColor="text1" w:themeTint="80"/>
            </w:tcBorders>
            <w:noWrap/>
            <w:vAlign w:val="center"/>
            <w:hideMark/>
          </w:tcPr>
          <w:p w14:paraId="37D4AD3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560</w:t>
            </w:r>
          </w:p>
        </w:tc>
        <w:tc>
          <w:tcPr>
            <w:tcW w:w="1145" w:type="dxa"/>
            <w:tcBorders>
              <w:top w:val="single" w:sz="4" w:space="0" w:color="5C85D2" w:themeColor="text1" w:themeTint="80"/>
            </w:tcBorders>
            <w:noWrap/>
            <w:vAlign w:val="center"/>
            <w:hideMark/>
          </w:tcPr>
          <w:p w14:paraId="75062019"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24.0</w:t>
            </w:r>
          </w:p>
        </w:tc>
        <w:tc>
          <w:tcPr>
            <w:tcW w:w="1145" w:type="dxa"/>
            <w:tcBorders>
              <w:top w:val="single" w:sz="4" w:space="0" w:color="5C85D2" w:themeColor="text1" w:themeTint="80"/>
            </w:tcBorders>
            <w:noWrap/>
            <w:vAlign w:val="center"/>
            <w:hideMark/>
          </w:tcPr>
          <w:p w14:paraId="070A485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41</w:t>
            </w:r>
          </w:p>
        </w:tc>
        <w:tc>
          <w:tcPr>
            <w:tcW w:w="1145" w:type="dxa"/>
            <w:tcBorders>
              <w:top w:val="single" w:sz="4" w:space="0" w:color="5C85D2" w:themeColor="text1" w:themeTint="80"/>
            </w:tcBorders>
            <w:noWrap/>
            <w:vAlign w:val="center"/>
            <w:hideMark/>
          </w:tcPr>
          <w:p w14:paraId="3086ACD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1.8</w:t>
            </w:r>
          </w:p>
        </w:tc>
      </w:tr>
      <w:tr w:rsidR="00CA2B98" w:rsidRPr="00613DE5" w14:paraId="139E8B6A"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060BABE0"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Waitemata</w:t>
            </w:r>
          </w:p>
        </w:tc>
        <w:tc>
          <w:tcPr>
            <w:tcW w:w="1145" w:type="dxa"/>
            <w:noWrap/>
            <w:vAlign w:val="center"/>
            <w:hideMark/>
          </w:tcPr>
          <w:p w14:paraId="08CD599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w:t>
            </w:r>
          </w:p>
        </w:tc>
        <w:tc>
          <w:tcPr>
            <w:tcW w:w="1145" w:type="dxa"/>
            <w:noWrap/>
            <w:vAlign w:val="center"/>
            <w:hideMark/>
          </w:tcPr>
          <w:p w14:paraId="48F2A59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0.2</w:t>
            </w:r>
          </w:p>
        </w:tc>
        <w:tc>
          <w:tcPr>
            <w:tcW w:w="1145" w:type="dxa"/>
            <w:noWrap/>
            <w:vAlign w:val="center"/>
            <w:hideMark/>
          </w:tcPr>
          <w:p w14:paraId="1FC73A0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3,247</w:t>
            </w:r>
          </w:p>
        </w:tc>
        <w:tc>
          <w:tcPr>
            <w:tcW w:w="1145" w:type="dxa"/>
            <w:noWrap/>
            <w:vAlign w:val="center"/>
            <w:hideMark/>
          </w:tcPr>
          <w:p w14:paraId="3909931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44.2</w:t>
            </w:r>
          </w:p>
        </w:tc>
        <w:tc>
          <w:tcPr>
            <w:tcW w:w="1145" w:type="dxa"/>
            <w:noWrap/>
            <w:vAlign w:val="center"/>
            <w:hideMark/>
          </w:tcPr>
          <w:p w14:paraId="3F5C481F"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3,288</w:t>
            </w:r>
          </w:p>
        </w:tc>
        <w:tc>
          <w:tcPr>
            <w:tcW w:w="1145" w:type="dxa"/>
            <w:noWrap/>
            <w:vAlign w:val="center"/>
            <w:hideMark/>
          </w:tcPr>
          <w:p w14:paraId="5247AFA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44.8</w:t>
            </w:r>
          </w:p>
        </w:tc>
        <w:tc>
          <w:tcPr>
            <w:tcW w:w="1145" w:type="dxa"/>
            <w:noWrap/>
            <w:vAlign w:val="center"/>
            <w:hideMark/>
          </w:tcPr>
          <w:p w14:paraId="232A1360"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680</w:t>
            </w:r>
          </w:p>
        </w:tc>
        <w:tc>
          <w:tcPr>
            <w:tcW w:w="1145" w:type="dxa"/>
            <w:noWrap/>
            <w:vAlign w:val="center"/>
            <w:hideMark/>
          </w:tcPr>
          <w:p w14:paraId="203619D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9.3</w:t>
            </w:r>
          </w:p>
        </w:tc>
        <w:tc>
          <w:tcPr>
            <w:tcW w:w="1145" w:type="dxa"/>
            <w:noWrap/>
            <w:vAlign w:val="center"/>
            <w:hideMark/>
          </w:tcPr>
          <w:p w14:paraId="5689863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113</w:t>
            </w:r>
          </w:p>
        </w:tc>
        <w:tc>
          <w:tcPr>
            <w:tcW w:w="1145" w:type="dxa"/>
            <w:noWrap/>
            <w:vAlign w:val="center"/>
            <w:hideMark/>
          </w:tcPr>
          <w:p w14:paraId="74EF18FD"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w:t>
            </w:r>
          </w:p>
        </w:tc>
      </w:tr>
      <w:tr w:rsidR="00B66432" w:rsidRPr="00613DE5" w14:paraId="75BF2729"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44570B65"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Auckland</w:t>
            </w:r>
          </w:p>
        </w:tc>
        <w:tc>
          <w:tcPr>
            <w:tcW w:w="1145" w:type="dxa"/>
            <w:noWrap/>
            <w:vAlign w:val="center"/>
            <w:hideMark/>
          </w:tcPr>
          <w:p w14:paraId="5A5CE9C5"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w:t>
            </w:r>
          </w:p>
        </w:tc>
        <w:tc>
          <w:tcPr>
            <w:tcW w:w="1145" w:type="dxa"/>
            <w:noWrap/>
            <w:vAlign w:val="center"/>
            <w:hideMark/>
          </w:tcPr>
          <w:p w14:paraId="398120B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0.3</w:t>
            </w:r>
          </w:p>
        </w:tc>
        <w:tc>
          <w:tcPr>
            <w:tcW w:w="1145" w:type="dxa"/>
            <w:noWrap/>
            <w:vAlign w:val="center"/>
            <w:hideMark/>
          </w:tcPr>
          <w:p w14:paraId="29D16A92"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2,875</w:t>
            </w:r>
          </w:p>
        </w:tc>
        <w:tc>
          <w:tcPr>
            <w:tcW w:w="1145" w:type="dxa"/>
            <w:noWrap/>
            <w:vAlign w:val="center"/>
            <w:hideMark/>
          </w:tcPr>
          <w:p w14:paraId="61F2253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57.9</w:t>
            </w:r>
          </w:p>
        </w:tc>
        <w:tc>
          <w:tcPr>
            <w:tcW w:w="1145" w:type="dxa"/>
            <w:noWrap/>
            <w:vAlign w:val="center"/>
            <w:hideMark/>
          </w:tcPr>
          <w:p w14:paraId="2189FE4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1,562</w:t>
            </w:r>
          </w:p>
        </w:tc>
        <w:tc>
          <w:tcPr>
            <w:tcW w:w="1145" w:type="dxa"/>
            <w:noWrap/>
            <w:vAlign w:val="center"/>
            <w:hideMark/>
          </w:tcPr>
          <w:p w14:paraId="45ECC116"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31.5</w:t>
            </w:r>
          </w:p>
        </w:tc>
        <w:tc>
          <w:tcPr>
            <w:tcW w:w="1145" w:type="dxa"/>
            <w:noWrap/>
            <w:vAlign w:val="center"/>
            <w:hideMark/>
          </w:tcPr>
          <w:p w14:paraId="26B833E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365</w:t>
            </w:r>
          </w:p>
        </w:tc>
        <w:tc>
          <w:tcPr>
            <w:tcW w:w="1145" w:type="dxa"/>
            <w:noWrap/>
            <w:vAlign w:val="center"/>
            <w:hideMark/>
          </w:tcPr>
          <w:p w14:paraId="03ACB0C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7.4</w:t>
            </w:r>
          </w:p>
        </w:tc>
        <w:tc>
          <w:tcPr>
            <w:tcW w:w="1145" w:type="dxa"/>
            <w:noWrap/>
            <w:vAlign w:val="center"/>
            <w:hideMark/>
          </w:tcPr>
          <w:p w14:paraId="1306F6E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149</w:t>
            </w:r>
          </w:p>
        </w:tc>
        <w:tc>
          <w:tcPr>
            <w:tcW w:w="1145" w:type="dxa"/>
            <w:noWrap/>
            <w:vAlign w:val="center"/>
            <w:hideMark/>
          </w:tcPr>
          <w:p w14:paraId="0D39996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3.0</w:t>
            </w:r>
          </w:p>
        </w:tc>
      </w:tr>
      <w:tr w:rsidR="00CA2B98" w:rsidRPr="00613DE5" w14:paraId="3DBFAE11"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414E3DD1"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Counties Manukau</w:t>
            </w:r>
          </w:p>
        </w:tc>
        <w:tc>
          <w:tcPr>
            <w:tcW w:w="1145" w:type="dxa"/>
            <w:noWrap/>
            <w:vAlign w:val="center"/>
            <w:hideMark/>
          </w:tcPr>
          <w:p w14:paraId="71A64062"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w:t>
            </w:r>
          </w:p>
        </w:tc>
        <w:tc>
          <w:tcPr>
            <w:tcW w:w="1145" w:type="dxa"/>
            <w:noWrap/>
            <w:vAlign w:val="center"/>
            <w:hideMark/>
          </w:tcPr>
          <w:p w14:paraId="1200D80E"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0.2</w:t>
            </w:r>
          </w:p>
        </w:tc>
        <w:tc>
          <w:tcPr>
            <w:tcW w:w="1145" w:type="dxa"/>
            <w:noWrap/>
            <w:vAlign w:val="center"/>
            <w:hideMark/>
          </w:tcPr>
          <w:p w14:paraId="456D4CA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1,657</w:t>
            </w:r>
          </w:p>
        </w:tc>
        <w:tc>
          <w:tcPr>
            <w:tcW w:w="1145" w:type="dxa"/>
            <w:noWrap/>
            <w:vAlign w:val="center"/>
            <w:hideMark/>
          </w:tcPr>
          <w:p w14:paraId="0D228C0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20.9</w:t>
            </w:r>
          </w:p>
        </w:tc>
        <w:tc>
          <w:tcPr>
            <w:tcW w:w="1145" w:type="dxa"/>
            <w:noWrap/>
            <w:vAlign w:val="center"/>
            <w:hideMark/>
          </w:tcPr>
          <w:p w14:paraId="01625E22"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4,543</w:t>
            </w:r>
          </w:p>
        </w:tc>
        <w:tc>
          <w:tcPr>
            <w:tcW w:w="1145" w:type="dxa"/>
            <w:noWrap/>
            <w:vAlign w:val="center"/>
            <w:hideMark/>
          </w:tcPr>
          <w:p w14:paraId="35C1E850"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57.4</w:t>
            </w:r>
          </w:p>
        </w:tc>
        <w:tc>
          <w:tcPr>
            <w:tcW w:w="1145" w:type="dxa"/>
            <w:noWrap/>
            <w:vAlign w:val="center"/>
            <w:hideMark/>
          </w:tcPr>
          <w:p w14:paraId="6AFA141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1,508</w:t>
            </w:r>
          </w:p>
        </w:tc>
        <w:tc>
          <w:tcPr>
            <w:tcW w:w="1145" w:type="dxa"/>
            <w:noWrap/>
            <w:vAlign w:val="center"/>
            <w:hideMark/>
          </w:tcPr>
          <w:p w14:paraId="16E273AE"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19.1</w:t>
            </w:r>
          </w:p>
        </w:tc>
        <w:tc>
          <w:tcPr>
            <w:tcW w:w="1145" w:type="dxa"/>
            <w:noWrap/>
            <w:vAlign w:val="center"/>
            <w:hideMark/>
          </w:tcPr>
          <w:p w14:paraId="087C9748"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191</w:t>
            </w:r>
          </w:p>
        </w:tc>
        <w:tc>
          <w:tcPr>
            <w:tcW w:w="1145" w:type="dxa"/>
            <w:noWrap/>
            <w:vAlign w:val="center"/>
            <w:hideMark/>
          </w:tcPr>
          <w:p w14:paraId="2EC45A0F"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2.4</w:t>
            </w:r>
          </w:p>
        </w:tc>
      </w:tr>
      <w:tr w:rsidR="00B66432" w:rsidRPr="00613DE5" w14:paraId="1FE3E4EA"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7D8599FD"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Waikato</w:t>
            </w:r>
          </w:p>
        </w:tc>
        <w:tc>
          <w:tcPr>
            <w:tcW w:w="1145" w:type="dxa"/>
            <w:noWrap/>
            <w:vAlign w:val="center"/>
            <w:hideMark/>
          </w:tcPr>
          <w:p w14:paraId="09717A9F"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w:t>
            </w:r>
          </w:p>
        </w:tc>
        <w:tc>
          <w:tcPr>
            <w:tcW w:w="1145" w:type="dxa"/>
            <w:noWrap/>
            <w:vAlign w:val="center"/>
            <w:hideMark/>
          </w:tcPr>
          <w:p w14:paraId="6179D50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0.1</w:t>
            </w:r>
          </w:p>
        </w:tc>
        <w:tc>
          <w:tcPr>
            <w:tcW w:w="1145" w:type="dxa"/>
            <w:noWrap/>
            <w:vAlign w:val="center"/>
            <w:hideMark/>
          </w:tcPr>
          <w:p w14:paraId="19EED21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502</w:t>
            </w:r>
          </w:p>
        </w:tc>
        <w:tc>
          <w:tcPr>
            <w:tcW w:w="1145" w:type="dxa"/>
            <w:noWrap/>
            <w:vAlign w:val="center"/>
            <w:hideMark/>
          </w:tcPr>
          <w:p w14:paraId="79FDFCE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9.4</w:t>
            </w:r>
          </w:p>
        </w:tc>
        <w:tc>
          <w:tcPr>
            <w:tcW w:w="1145" w:type="dxa"/>
            <w:noWrap/>
            <w:vAlign w:val="center"/>
            <w:hideMark/>
          </w:tcPr>
          <w:p w14:paraId="1FDB967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3,479</w:t>
            </w:r>
          </w:p>
        </w:tc>
        <w:tc>
          <w:tcPr>
            <w:tcW w:w="1145" w:type="dxa"/>
            <w:noWrap/>
            <w:vAlign w:val="center"/>
            <w:hideMark/>
          </w:tcPr>
          <w:p w14:paraId="462717D6"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65.3</w:t>
            </w:r>
          </w:p>
        </w:tc>
        <w:tc>
          <w:tcPr>
            <w:tcW w:w="1145" w:type="dxa"/>
            <w:noWrap/>
            <w:vAlign w:val="center"/>
            <w:hideMark/>
          </w:tcPr>
          <w:p w14:paraId="64CA3BB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1,201</w:t>
            </w:r>
          </w:p>
        </w:tc>
        <w:tc>
          <w:tcPr>
            <w:tcW w:w="1145" w:type="dxa"/>
            <w:noWrap/>
            <w:vAlign w:val="center"/>
            <w:hideMark/>
          </w:tcPr>
          <w:p w14:paraId="3D61C68E"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22.6</w:t>
            </w:r>
          </w:p>
        </w:tc>
        <w:tc>
          <w:tcPr>
            <w:tcW w:w="1145" w:type="dxa"/>
            <w:noWrap/>
            <w:vAlign w:val="center"/>
            <w:hideMark/>
          </w:tcPr>
          <w:p w14:paraId="6B0AFEB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139</w:t>
            </w:r>
          </w:p>
        </w:tc>
        <w:tc>
          <w:tcPr>
            <w:tcW w:w="1145" w:type="dxa"/>
            <w:noWrap/>
            <w:vAlign w:val="center"/>
            <w:hideMark/>
          </w:tcPr>
          <w:p w14:paraId="1FDA971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2.6</w:t>
            </w:r>
          </w:p>
        </w:tc>
      </w:tr>
      <w:tr w:rsidR="00CA2B98" w:rsidRPr="00613DE5" w14:paraId="4F80FA0B"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04D1B363"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Lakes</w:t>
            </w:r>
          </w:p>
        </w:tc>
        <w:tc>
          <w:tcPr>
            <w:tcW w:w="1145" w:type="dxa"/>
            <w:noWrap/>
            <w:vAlign w:val="center"/>
            <w:hideMark/>
          </w:tcPr>
          <w:p w14:paraId="7BDB904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w:t>
            </w:r>
          </w:p>
        </w:tc>
        <w:tc>
          <w:tcPr>
            <w:tcW w:w="1145" w:type="dxa"/>
            <w:noWrap/>
            <w:vAlign w:val="center"/>
            <w:hideMark/>
          </w:tcPr>
          <w:p w14:paraId="313B50F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0.1</w:t>
            </w:r>
          </w:p>
        </w:tc>
        <w:tc>
          <w:tcPr>
            <w:tcW w:w="1145" w:type="dxa"/>
            <w:noWrap/>
            <w:vAlign w:val="center"/>
            <w:hideMark/>
          </w:tcPr>
          <w:p w14:paraId="4B9E8ED1"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125</w:t>
            </w:r>
          </w:p>
        </w:tc>
        <w:tc>
          <w:tcPr>
            <w:tcW w:w="1145" w:type="dxa"/>
            <w:noWrap/>
            <w:vAlign w:val="center"/>
            <w:hideMark/>
          </w:tcPr>
          <w:p w14:paraId="1CD9B56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8.3</w:t>
            </w:r>
          </w:p>
        </w:tc>
        <w:tc>
          <w:tcPr>
            <w:tcW w:w="1145" w:type="dxa"/>
            <w:noWrap/>
            <w:vAlign w:val="center"/>
            <w:hideMark/>
          </w:tcPr>
          <w:p w14:paraId="6711033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924</w:t>
            </w:r>
          </w:p>
        </w:tc>
        <w:tc>
          <w:tcPr>
            <w:tcW w:w="1145" w:type="dxa"/>
            <w:noWrap/>
            <w:vAlign w:val="center"/>
            <w:hideMark/>
          </w:tcPr>
          <w:p w14:paraId="12B523CF"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61.2</w:t>
            </w:r>
          </w:p>
        </w:tc>
        <w:tc>
          <w:tcPr>
            <w:tcW w:w="1145" w:type="dxa"/>
            <w:noWrap/>
            <w:vAlign w:val="center"/>
            <w:hideMark/>
          </w:tcPr>
          <w:p w14:paraId="4A2B72F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417</w:t>
            </w:r>
          </w:p>
        </w:tc>
        <w:tc>
          <w:tcPr>
            <w:tcW w:w="1145" w:type="dxa"/>
            <w:noWrap/>
            <w:vAlign w:val="center"/>
            <w:hideMark/>
          </w:tcPr>
          <w:p w14:paraId="7FE68BD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27.6</w:t>
            </w:r>
          </w:p>
        </w:tc>
        <w:tc>
          <w:tcPr>
            <w:tcW w:w="1145" w:type="dxa"/>
            <w:noWrap/>
            <w:vAlign w:val="center"/>
            <w:hideMark/>
          </w:tcPr>
          <w:p w14:paraId="4A8F27E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44</w:t>
            </w:r>
          </w:p>
        </w:tc>
        <w:tc>
          <w:tcPr>
            <w:tcW w:w="1145" w:type="dxa"/>
            <w:noWrap/>
            <w:vAlign w:val="center"/>
            <w:hideMark/>
          </w:tcPr>
          <w:p w14:paraId="70FA5AF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2.9</w:t>
            </w:r>
          </w:p>
        </w:tc>
      </w:tr>
      <w:tr w:rsidR="00B66432" w:rsidRPr="00613DE5" w14:paraId="431464F0"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22054DF1"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Bay of Plenty</w:t>
            </w:r>
          </w:p>
        </w:tc>
        <w:tc>
          <w:tcPr>
            <w:tcW w:w="1145" w:type="dxa"/>
            <w:noWrap/>
            <w:vAlign w:val="center"/>
            <w:hideMark/>
          </w:tcPr>
          <w:p w14:paraId="408BD72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w:t>
            </w:r>
          </w:p>
        </w:tc>
        <w:tc>
          <w:tcPr>
            <w:tcW w:w="1145" w:type="dxa"/>
            <w:noWrap/>
            <w:vAlign w:val="center"/>
            <w:hideMark/>
          </w:tcPr>
          <w:p w14:paraId="4FC94995"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0.2</w:t>
            </w:r>
          </w:p>
        </w:tc>
        <w:tc>
          <w:tcPr>
            <w:tcW w:w="1145" w:type="dxa"/>
            <w:noWrap/>
            <w:vAlign w:val="center"/>
            <w:hideMark/>
          </w:tcPr>
          <w:p w14:paraId="7818BA3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660</w:t>
            </w:r>
          </w:p>
        </w:tc>
        <w:tc>
          <w:tcPr>
            <w:tcW w:w="1145" w:type="dxa"/>
            <w:noWrap/>
            <w:vAlign w:val="center"/>
            <w:hideMark/>
          </w:tcPr>
          <w:p w14:paraId="67AD793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21.2</w:t>
            </w:r>
          </w:p>
        </w:tc>
        <w:tc>
          <w:tcPr>
            <w:tcW w:w="1145" w:type="dxa"/>
            <w:noWrap/>
            <w:vAlign w:val="center"/>
            <w:hideMark/>
          </w:tcPr>
          <w:p w14:paraId="05104911"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1,653</w:t>
            </w:r>
          </w:p>
        </w:tc>
        <w:tc>
          <w:tcPr>
            <w:tcW w:w="1145" w:type="dxa"/>
            <w:noWrap/>
            <w:vAlign w:val="center"/>
            <w:hideMark/>
          </w:tcPr>
          <w:p w14:paraId="5CCFBDF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53.2</w:t>
            </w:r>
          </w:p>
        </w:tc>
        <w:tc>
          <w:tcPr>
            <w:tcW w:w="1145" w:type="dxa"/>
            <w:noWrap/>
            <w:vAlign w:val="center"/>
            <w:hideMark/>
          </w:tcPr>
          <w:p w14:paraId="28B837D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713</w:t>
            </w:r>
          </w:p>
        </w:tc>
        <w:tc>
          <w:tcPr>
            <w:tcW w:w="1145" w:type="dxa"/>
            <w:noWrap/>
            <w:vAlign w:val="center"/>
            <w:hideMark/>
          </w:tcPr>
          <w:p w14:paraId="3E436EB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22.9</w:t>
            </w:r>
          </w:p>
        </w:tc>
        <w:tc>
          <w:tcPr>
            <w:tcW w:w="1145" w:type="dxa"/>
            <w:noWrap/>
            <w:vAlign w:val="center"/>
            <w:hideMark/>
          </w:tcPr>
          <w:p w14:paraId="3BFBA8D1"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76</w:t>
            </w:r>
          </w:p>
        </w:tc>
        <w:tc>
          <w:tcPr>
            <w:tcW w:w="1145" w:type="dxa"/>
            <w:noWrap/>
            <w:vAlign w:val="center"/>
            <w:hideMark/>
          </w:tcPr>
          <w:p w14:paraId="40882C3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2.4</w:t>
            </w:r>
          </w:p>
        </w:tc>
      </w:tr>
      <w:tr w:rsidR="00CA2B98" w:rsidRPr="00613DE5" w14:paraId="621B8423"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00711ED0"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Tairawhiti</w:t>
            </w:r>
          </w:p>
        </w:tc>
        <w:tc>
          <w:tcPr>
            <w:tcW w:w="1145" w:type="dxa"/>
            <w:noWrap/>
            <w:vAlign w:val="center"/>
            <w:hideMark/>
          </w:tcPr>
          <w:p w14:paraId="0EB7B9F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w:t>
            </w:r>
          </w:p>
        </w:tc>
        <w:tc>
          <w:tcPr>
            <w:tcW w:w="1145" w:type="dxa"/>
            <w:noWrap/>
            <w:vAlign w:val="center"/>
            <w:hideMark/>
          </w:tcPr>
          <w:p w14:paraId="39657572"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noWrap/>
            <w:vAlign w:val="center"/>
            <w:hideMark/>
          </w:tcPr>
          <w:p w14:paraId="0457776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138</w:t>
            </w:r>
          </w:p>
        </w:tc>
        <w:tc>
          <w:tcPr>
            <w:tcW w:w="1145" w:type="dxa"/>
            <w:noWrap/>
            <w:vAlign w:val="center"/>
            <w:hideMark/>
          </w:tcPr>
          <w:p w14:paraId="2A8CC2F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19.8</w:t>
            </w:r>
          </w:p>
        </w:tc>
        <w:tc>
          <w:tcPr>
            <w:tcW w:w="1145" w:type="dxa"/>
            <w:noWrap/>
            <w:vAlign w:val="center"/>
            <w:hideMark/>
          </w:tcPr>
          <w:p w14:paraId="75209D6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457</w:t>
            </w:r>
          </w:p>
        </w:tc>
        <w:tc>
          <w:tcPr>
            <w:tcW w:w="1145" w:type="dxa"/>
            <w:noWrap/>
            <w:vAlign w:val="center"/>
            <w:hideMark/>
          </w:tcPr>
          <w:p w14:paraId="7F43552D"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65.5</w:t>
            </w:r>
          </w:p>
        </w:tc>
        <w:tc>
          <w:tcPr>
            <w:tcW w:w="1145" w:type="dxa"/>
            <w:noWrap/>
            <w:vAlign w:val="center"/>
            <w:hideMark/>
          </w:tcPr>
          <w:p w14:paraId="55279AC1"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91</w:t>
            </w:r>
          </w:p>
        </w:tc>
        <w:tc>
          <w:tcPr>
            <w:tcW w:w="1145" w:type="dxa"/>
            <w:noWrap/>
            <w:vAlign w:val="center"/>
            <w:hideMark/>
          </w:tcPr>
          <w:p w14:paraId="6B68BE3E"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13.0</w:t>
            </w:r>
          </w:p>
        </w:tc>
        <w:tc>
          <w:tcPr>
            <w:tcW w:w="1145" w:type="dxa"/>
            <w:noWrap/>
            <w:vAlign w:val="center"/>
            <w:hideMark/>
          </w:tcPr>
          <w:p w14:paraId="2C57527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w:t>
            </w:r>
          </w:p>
        </w:tc>
        <w:tc>
          <w:tcPr>
            <w:tcW w:w="1145" w:type="dxa"/>
            <w:noWrap/>
            <w:vAlign w:val="center"/>
            <w:hideMark/>
          </w:tcPr>
          <w:p w14:paraId="2D02DE6B"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w:t>
            </w:r>
          </w:p>
        </w:tc>
      </w:tr>
      <w:tr w:rsidR="00B66432" w:rsidRPr="00613DE5" w14:paraId="6F77B085"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54A927AD"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Hawkes Bay</w:t>
            </w:r>
          </w:p>
        </w:tc>
        <w:tc>
          <w:tcPr>
            <w:tcW w:w="1145" w:type="dxa"/>
            <w:noWrap/>
            <w:vAlign w:val="center"/>
            <w:hideMark/>
          </w:tcPr>
          <w:p w14:paraId="7864067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w:t>
            </w:r>
          </w:p>
        </w:tc>
        <w:tc>
          <w:tcPr>
            <w:tcW w:w="1145" w:type="dxa"/>
            <w:noWrap/>
            <w:vAlign w:val="center"/>
            <w:hideMark/>
          </w:tcPr>
          <w:p w14:paraId="3057FAC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noWrap/>
            <w:vAlign w:val="center"/>
            <w:hideMark/>
          </w:tcPr>
          <w:p w14:paraId="3A3CD3D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181</w:t>
            </w:r>
          </w:p>
        </w:tc>
        <w:tc>
          <w:tcPr>
            <w:tcW w:w="1145" w:type="dxa"/>
            <w:noWrap/>
            <w:vAlign w:val="center"/>
            <w:hideMark/>
          </w:tcPr>
          <w:p w14:paraId="4A981C1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8.9</w:t>
            </w:r>
          </w:p>
        </w:tc>
        <w:tc>
          <w:tcPr>
            <w:tcW w:w="1145" w:type="dxa"/>
            <w:noWrap/>
            <w:vAlign w:val="center"/>
            <w:hideMark/>
          </w:tcPr>
          <w:p w14:paraId="4879E27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1,425</w:t>
            </w:r>
          </w:p>
        </w:tc>
        <w:tc>
          <w:tcPr>
            <w:tcW w:w="1145" w:type="dxa"/>
            <w:noWrap/>
            <w:vAlign w:val="center"/>
            <w:hideMark/>
          </w:tcPr>
          <w:p w14:paraId="06F2AA3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70.4</w:t>
            </w:r>
          </w:p>
        </w:tc>
        <w:tc>
          <w:tcPr>
            <w:tcW w:w="1145" w:type="dxa"/>
            <w:noWrap/>
            <w:vAlign w:val="center"/>
            <w:hideMark/>
          </w:tcPr>
          <w:p w14:paraId="2679649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384</w:t>
            </w:r>
          </w:p>
        </w:tc>
        <w:tc>
          <w:tcPr>
            <w:tcW w:w="1145" w:type="dxa"/>
            <w:noWrap/>
            <w:vAlign w:val="center"/>
            <w:hideMark/>
          </w:tcPr>
          <w:p w14:paraId="1A14AF7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19.0</w:t>
            </w:r>
          </w:p>
        </w:tc>
        <w:tc>
          <w:tcPr>
            <w:tcW w:w="1145" w:type="dxa"/>
            <w:noWrap/>
            <w:vAlign w:val="center"/>
            <w:hideMark/>
          </w:tcPr>
          <w:p w14:paraId="269BAA4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34</w:t>
            </w:r>
          </w:p>
        </w:tc>
        <w:tc>
          <w:tcPr>
            <w:tcW w:w="1145" w:type="dxa"/>
            <w:noWrap/>
            <w:vAlign w:val="center"/>
            <w:hideMark/>
          </w:tcPr>
          <w:p w14:paraId="3CDFC43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w:t>
            </w:r>
          </w:p>
        </w:tc>
      </w:tr>
      <w:tr w:rsidR="00CA2B98" w:rsidRPr="00613DE5" w14:paraId="01B9B141"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5DBBDB25"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Taranaki</w:t>
            </w:r>
          </w:p>
        </w:tc>
        <w:tc>
          <w:tcPr>
            <w:tcW w:w="1145" w:type="dxa"/>
            <w:noWrap/>
            <w:vAlign w:val="center"/>
            <w:hideMark/>
          </w:tcPr>
          <w:p w14:paraId="0AD30BF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w:t>
            </w:r>
          </w:p>
        </w:tc>
        <w:tc>
          <w:tcPr>
            <w:tcW w:w="1145" w:type="dxa"/>
            <w:noWrap/>
            <w:vAlign w:val="center"/>
            <w:hideMark/>
          </w:tcPr>
          <w:p w14:paraId="5D7E96F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0.1</w:t>
            </w:r>
          </w:p>
        </w:tc>
        <w:tc>
          <w:tcPr>
            <w:tcW w:w="1145" w:type="dxa"/>
            <w:noWrap/>
            <w:vAlign w:val="center"/>
            <w:hideMark/>
          </w:tcPr>
          <w:p w14:paraId="5C7236D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263</w:t>
            </w:r>
          </w:p>
        </w:tc>
        <w:tc>
          <w:tcPr>
            <w:tcW w:w="1145" w:type="dxa"/>
            <w:noWrap/>
            <w:vAlign w:val="center"/>
            <w:hideMark/>
          </w:tcPr>
          <w:p w14:paraId="24AF411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19.2</w:t>
            </w:r>
          </w:p>
        </w:tc>
        <w:tc>
          <w:tcPr>
            <w:tcW w:w="1145" w:type="dxa"/>
            <w:noWrap/>
            <w:vAlign w:val="center"/>
            <w:hideMark/>
          </w:tcPr>
          <w:p w14:paraId="72608E1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863</w:t>
            </w:r>
          </w:p>
        </w:tc>
        <w:tc>
          <w:tcPr>
            <w:tcW w:w="1145" w:type="dxa"/>
            <w:noWrap/>
            <w:vAlign w:val="center"/>
            <w:hideMark/>
          </w:tcPr>
          <w:p w14:paraId="7D379218"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63.1</w:t>
            </w:r>
          </w:p>
        </w:tc>
        <w:tc>
          <w:tcPr>
            <w:tcW w:w="1145" w:type="dxa"/>
            <w:noWrap/>
            <w:vAlign w:val="center"/>
            <w:hideMark/>
          </w:tcPr>
          <w:p w14:paraId="57EC943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214</w:t>
            </w:r>
          </w:p>
        </w:tc>
        <w:tc>
          <w:tcPr>
            <w:tcW w:w="1145" w:type="dxa"/>
            <w:noWrap/>
            <w:vAlign w:val="center"/>
            <w:hideMark/>
          </w:tcPr>
          <w:p w14:paraId="29FFA2D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15.7</w:t>
            </w:r>
          </w:p>
        </w:tc>
        <w:tc>
          <w:tcPr>
            <w:tcW w:w="1145" w:type="dxa"/>
            <w:noWrap/>
            <w:vAlign w:val="center"/>
            <w:hideMark/>
          </w:tcPr>
          <w:p w14:paraId="4F16817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26</w:t>
            </w:r>
          </w:p>
        </w:tc>
        <w:tc>
          <w:tcPr>
            <w:tcW w:w="1145" w:type="dxa"/>
            <w:noWrap/>
            <w:vAlign w:val="center"/>
            <w:hideMark/>
          </w:tcPr>
          <w:p w14:paraId="2D71CC5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1.9</w:t>
            </w:r>
          </w:p>
        </w:tc>
      </w:tr>
      <w:tr w:rsidR="00B66432" w:rsidRPr="00613DE5" w14:paraId="60F98E70"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4BD1B732"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MidCentral</w:t>
            </w:r>
          </w:p>
        </w:tc>
        <w:tc>
          <w:tcPr>
            <w:tcW w:w="1145" w:type="dxa"/>
            <w:noWrap/>
            <w:vAlign w:val="center"/>
            <w:hideMark/>
          </w:tcPr>
          <w:p w14:paraId="476DD5E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w:t>
            </w:r>
          </w:p>
        </w:tc>
        <w:tc>
          <w:tcPr>
            <w:tcW w:w="1145" w:type="dxa"/>
            <w:noWrap/>
            <w:vAlign w:val="center"/>
            <w:hideMark/>
          </w:tcPr>
          <w:p w14:paraId="5BB4D0FE"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0.2</w:t>
            </w:r>
          </w:p>
        </w:tc>
        <w:tc>
          <w:tcPr>
            <w:tcW w:w="1145" w:type="dxa"/>
            <w:noWrap/>
            <w:vAlign w:val="center"/>
            <w:hideMark/>
          </w:tcPr>
          <w:p w14:paraId="42C28FB1"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244</w:t>
            </w:r>
          </w:p>
        </w:tc>
        <w:tc>
          <w:tcPr>
            <w:tcW w:w="1145" w:type="dxa"/>
            <w:noWrap/>
            <w:vAlign w:val="center"/>
            <w:hideMark/>
          </w:tcPr>
          <w:p w14:paraId="3D0F56F6"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11.5</w:t>
            </w:r>
          </w:p>
        </w:tc>
        <w:tc>
          <w:tcPr>
            <w:tcW w:w="1145" w:type="dxa"/>
            <w:noWrap/>
            <w:vAlign w:val="center"/>
            <w:hideMark/>
          </w:tcPr>
          <w:p w14:paraId="1087F72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1,628</w:t>
            </w:r>
          </w:p>
        </w:tc>
        <w:tc>
          <w:tcPr>
            <w:tcW w:w="1145" w:type="dxa"/>
            <w:noWrap/>
            <w:vAlign w:val="center"/>
            <w:hideMark/>
          </w:tcPr>
          <w:p w14:paraId="4B21809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77.0</w:t>
            </w:r>
          </w:p>
        </w:tc>
        <w:tc>
          <w:tcPr>
            <w:tcW w:w="1145" w:type="dxa"/>
            <w:noWrap/>
            <w:vAlign w:val="center"/>
            <w:hideMark/>
          </w:tcPr>
          <w:p w14:paraId="5F4DF5A5"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179</w:t>
            </w:r>
          </w:p>
        </w:tc>
        <w:tc>
          <w:tcPr>
            <w:tcW w:w="1145" w:type="dxa"/>
            <w:noWrap/>
            <w:vAlign w:val="center"/>
            <w:hideMark/>
          </w:tcPr>
          <w:p w14:paraId="4CD592E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8.5</w:t>
            </w:r>
          </w:p>
        </w:tc>
        <w:tc>
          <w:tcPr>
            <w:tcW w:w="1145" w:type="dxa"/>
            <w:noWrap/>
            <w:vAlign w:val="center"/>
            <w:hideMark/>
          </w:tcPr>
          <w:p w14:paraId="3871B19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57</w:t>
            </w:r>
          </w:p>
        </w:tc>
        <w:tc>
          <w:tcPr>
            <w:tcW w:w="1145" w:type="dxa"/>
            <w:noWrap/>
            <w:vAlign w:val="center"/>
            <w:hideMark/>
          </w:tcPr>
          <w:p w14:paraId="7CB5AEA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2.7</w:t>
            </w:r>
          </w:p>
        </w:tc>
      </w:tr>
      <w:tr w:rsidR="00CA2B98" w:rsidRPr="00613DE5" w14:paraId="04AA8E56"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60DA35D4"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Whanganui</w:t>
            </w:r>
          </w:p>
        </w:tc>
        <w:tc>
          <w:tcPr>
            <w:tcW w:w="1145" w:type="dxa"/>
            <w:noWrap/>
            <w:vAlign w:val="center"/>
            <w:hideMark/>
          </w:tcPr>
          <w:p w14:paraId="2E4FE95F"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w:t>
            </w:r>
          </w:p>
        </w:tc>
        <w:tc>
          <w:tcPr>
            <w:tcW w:w="1145" w:type="dxa"/>
            <w:noWrap/>
            <w:vAlign w:val="center"/>
            <w:hideMark/>
          </w:tcPr>
          <w:p w14:paraId="4AB8B5CE"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noWrap/>
            <w:vAlign w:val="center"/>
            <w:hideMark/>
          </w:tcPr>
          <w:p w14:paraId="2B2386F0"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91</w:t>
            </w:r>
          </w:p>
        </w:tc>
        <w:tc>
          <w:tcPr>
            <w:tcW w:w="1145" w:type="dxa"/>
            <w:noWrap/>
            <w:vAlign w:val="center"/>
            <w:hideMark/>
          </w:tcPr>
          <w:p w14:paraId="0CFC7CA2"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11.4</w:t>
            </w:r>
          </w:p>
        </w:tc>
        <w:tc>
          <w:tcPr>
            <w:tcW w:w="1145" w:type="dxa"/>
            <w:noWrap/>
            <w:vAlign w:val="center"/>
            <w:hideMark/>
          </w:tcPr>
          <w:p w14:paraId="4D46055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622</w:t>
            </w:r>
          </w:p>
        </w:tc>
        <w:tc>
          <w:tcPr>
            <w:tcW w:w="1145" w:type="dxa"/>
            <w:noWrap/>
            <w:vAlign w:val="center"/>
            <w:hideMark/>
          </w:tcPr>
          <w:p w14:paraId="124837DF"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77.8</w:t>
            </w:r>
          </w:p>
        </w:tc>
        <w:tc>
          <w:tcPr>
            <w:tcW w:w="1145" w:type="dxa"/>
            <w:noWrap/>
            <w:vAlign w:val="center"/>
            <w:hideMark/>
          </w:tcPr>
          <w:p w14:paraId="7794283F"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80</w:t>
            </w:r>
          </w:p>
        </w:tc>
        <w:tc>
          <w:tcPr>
            <w:tcW w:w="1145" w:type="dxa"/>
            <w:noWrap/>
            <w:vAlign w:val="center"/>
            <w:hideMark/>
          </w:tcPr>
          <w:p w14:paraId="09D8E89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10.0</w:t>
            </w:r>
          </w:p>
        </w:tc>
        <w:tc>
          <w:tcPr>
            <w:tcW w:w="1145" w:type="dxa"/>
            <w:noWrap/>
            <w:vAlign w:val="center"/>
            <w:hideMark/>
          </w:tcPr>
          <w:p w14:paraId="6160558D"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w:t>
            </w:r>
          </w:p>
        </w:tc>
        <w:tc>
          <w:tcPr>
            <w:tcW w:w="1145" w:type="dxa"/>
            <w:noWrap/>
            <w:vAlign w:val="center"/>
            <w:hideMark/>
          </w:tcPr>
          <w:p w14:paraId="47BEFADB"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0.9</w:t>
            </w:r>
          </w:p>
        </w:tc>
      </w:tr>
      <w:tr w:rsidR="00B66432" w:rsidRPr="00613DE5" w14:paraId="58969784"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1E232680"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Capital and Coast</w:t>
            </w:r>
          </w:p>
        </w:tc>
        <w:tc>
          <w:tcPr>
            <w:tcW w:w="1145" w:type="dxa"/>
            <w:noWrap/>
            <w:vAlign w:val="center"/>
            <w:hideMark/>
          </w:tcPr>
          <w:p w14:paraId="4588CB4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w:t>
            </w:r>
          </w:p>
        </w:tc>
        <w:tc>
          <w:tcPr>
            <w:tcW w:w="1145" w:type="dxa"/>
            <w:noWrap/>
            <w:vAlign w:val="center"/>
            <w:hideMark/>
          </w:tcPr>
          <w:p w14:paraId="2BEA2C6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0.4</w:t>
            </w:r>
          </w:p>
        </w:tc>
        <w:tc>
          <w:tcPr>
            <w:tcW w:w="1145" w:type="dxa"/>
            <w:noWrap/>
            <w:vAlign w:val="center"/>
            <w:hideMark/>
          </w:tcPr>
          <w:p w14:paraId="51B6DA5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272</w:t>
            </w:r>
          </w:p>
        </w:tc>
        <w:tc>
          <w:tcPr>
            <w:tcW w:w="1145" w:type="dxa"/>
            <w:noWrap/>
            <w:vAlign w:val="center"/>
            <w:hideMark/>
          </w:tcPr>
          <w:p w14:paraId="6EE4054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9.4</w:t>
            </w:r>
          </w:p>
        </w:tc>
        <w:tc>
          <w:tcPr>
            <w:tcW w:w="1145" w:type="dxa"/>
            <w:noWrap/>
            <w:vAlign w:val="center"/>
            <w:hideMark/>
          </w:tcPr>
          <w:p w14:paraId="3CABCA1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2,177</w:t>
            </w:r>
          </w:p>
        </w:tc>
        <w:tc>
          <w:tcPr>
            <w:tcW w:w="1145" w:type="dxa"/>
            <w:noWrap/>
            <w:vAlign w:val="center"/>
            <w:hideMark/>
          </w:tcPr>
          <w:p w14:paraId="25759979"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75.2</w:t>
            </w:r>
          </w:p>
        </w:tc>
        <w:tc>
          <w:tcPr>
            <w:tcW w:w="1145" w:type="dxa"/>
            <w:noWrap/>
            <w:vAlign w:val="center"/>
            <w:hideMark/>
          </w:tcPr>
          <w:p w14:paraId="2B8D6FC1"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360</w:t>
            </w:r>
          </w:p>
        </w:tc>
        <w:tc>
          <w:tcPr>
            <w:tcW w:w="1145" w:type="dxa"/>
            <w:noWrap/>
            <w:vAlign w:val="center"/>
            <w:hideMark/>
          </w:tcPr>
          <w:p w14:paraId="6C050CD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12.4</w:t>
            </w:r>
          </w:p>
        </w:tc>
        <w:tc>
          <w:tcPr>
            <w:tcW w:w="1145" w:type="dxa"/>
            <w:noWrap/>
            <w:vAlign w:val="center"/>
            <w:hideMark/>
          </w:tcPr>
          <w:p w14:paraId="18C96F4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72</w:t>
            </w:r>
          </w:p>
        </w:tc>
        <w:tc>
          <w:tcPr>
            <w:tcW w:w="1145" w:type="dxa"/>
            <w:noWrap/>
            <w:vAlign w:val="center"/>
            <w:hideMark/>
          </w:tcPr>
          <w:p w14:paraId="02BE462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2.5</w:t>
            </w:r>
          </w:p>
        </w:tc>
      </w:tr>
      <w:tr w:rsidR="00CA2B98" w:rsidRPr="00613DE5" w14:paraId="048AB157"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243F9021"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Hutt Valley</w:t>
            </w:r>
          </w:p>
        </w:tc>
        <w:tc>
          <w:tcPr>
            <w:tcW w:w="1145" w:type="dxa"/>
            <w:noWrap/>
            <w:vAlign w:val="center"/>
            <w:hideMark/>
          </w:tcPr>
          <w:p w14:paraId="3588FF0E"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w:t>
            </w:r>
          </w:p>
        </w:tc>
        <w:tc>
          <w:tcPr>
            <w:tcW w:w="1145" w:type="dxa"/>
            <w:noWrap/>
            <w:vAlign w:val="center"/>
            <w:hideMark/>
          </w:tcPr>
          <w:p w14:paraId="63AD975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0.3</w:t>
            </w:r>
          </w:p>
        </w:tc>
        <w:tc>
          <w:tcPr>
            <w:tcW w:w="1145" w:type="dxa"/>
            <w:noWrap/>
            <w:vAlign w:val="center"/>
            <w:hideMark/>
          </w:tcPr>
          <w:p w14:paraId="15941451"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295</w:t>
            </w:r>
          </w:p>
        </w:tc>
        <w:tc>
          <w:tcPr>
            <w:tcW w:w="1145" w:type="dxa"/>
            <w:noWrap/>
            <w:vAlign w:val="center"/>
            <w:hideMark/>
          </w:tcPr>
          <w:p w14:paraId="6CDC18E0"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16.3</w:t>
            </w:r>
          </w:p>
        </w:tc>
        <w:tc>
          <w:tcPr>
            <w:tcW w:w="1145" w:type="dxa"/>
            <w:noWrap/>
            <w:vAlign w:val="center"/>
            <w:hideMark/>
          </w:tcPr>
          <w:p w14:paraId="52B3451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1,204</w:t>
            </w:r>
          </w:p>
        </w:tc>
        <w:tc>
          <w:tcPr>
            <w:tcW w:w="1145" w:type="dxa"/>
            <w:noWrap/>
            <w:vAlign w:val="center"/>
            <w:hideMark/>
          </w:tcPr>
          <w:p w14:paraId="426E0C4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66.4</w:t>
            </w:r>
          </w:p>
        </w:tc>
        <w:tc>
          <w:tcPr>
            <w:tcW w:w="1145" w:type="dxa"/>
            <w:noWrap/>
            <w:vAlign w:val="center"/>
            <w:hideMark/>
          </w:tcPr>
          <w:p w14:paraId="12D9A48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288</w:t>
            </w:r>
          </w:p>
        </w:tc>
        <w:tc>
          <w:tcPr>
            <w:tcW w:w="1145" w:type="dxa"/>
            <w:noWrap/>
            <w:vAlign w:val="center"/>
            <w:hideMark/>
          </w:tcPr>
          <w:p w14:paraId="4288E93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15.9</w:t>
            </w:r>
          </w:p>
        </w:tc>
        <w:tc>
          <w:tcPr>
            <w:tcW w:w="1145" w:type="dxa"/>
            <w:noWrap/>
            <w:vAlign w:val="center"/>
            <w:hideMark/>
          </w:tcPr>
          <w:p w14:paraId="1967C29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22</w:t>
            </w:r>
          </w:p>
        </w:tc>
        <w:tc>
          <w:tcPr>
            <w:tcW w:w="1145" w:type="dxa"/>
            <w:noWrap/>
            <w:vAlign w:val="center"/>
            <w:hideMark/>
          </w:tcPr>
          <w:p w14:paraId="3CA0EC01"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w:t>
            </w:r>
          </w:p>
        </w:tc>
      </w:tr>
      <w:tr w:rsidR="00B66432" w:rsidRPr="00613DE5" w14:paraId="57023E31"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57C21B50"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Wairarapa</w:t>
            </w:r>
          </w:p>
        </w:tc>
        <w:tc>
          <w:tcPr>
            <w:tcW w:w="1145" w:type="dxa"/>
            <w:noWrap/>
            <w:vAlign w:val="center"/>
            <w:hideMark/>
          </w:tcPr>
          <w:p w14:paraId="4C9EBB8E"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w:t>
            </w:r>
          </w:p>
        </w:tc>
        <w:tc>
          <w:tcPr>
            <w:tcW w:w="1145" w:type="dxa"/>
            <w:noWrap/>
            <w:vAlign w:val="center"/>
            <w:hideMark/>
          </w:tcPr>
          <w:p w14:paraId="008E1B3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noWrap/>
            <w:vAlign w:val="center"/>
            <w:hideMark/>
          </w:tcPr>
          <w:p w14:paraId="66B6E4A5"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93</w:t>
            </w:r>
          </w:p>
        </w:tc>
        <w:tc>
          <w:tcPr>
            <w:tcW w:w="1145" w:type="dxa"/>
            <w:noWrap/>
            <w:vAlign w:val="center"/>
            <w:hideMark/>
          </w:tcPr>
          <w:p w14:paraId="116E7BB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17.6</w:t>
            </w:r>
          </w:p>
        </w:tc>
        <w:tc>
          <w:tcPr>
            <w:tcW w:w="1145" w:type="dxa"/>
            <w:noWrap/>
            <w:vAlign w:val="center"/>
            <w:hideMark/>
          </w:tcPr>
          <w:p w14:paraId="568CDE6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374</w:t>
            </w:r>
          </w:p>
        </w:tc>
        <w:tc>
          <w:tcPr>
            <w:tcW w:w="1145" w:type="dxa"/>
            <w:noWrap/>
            <w:vAlign w:val="center"/>
            <w:hideMark/>
          </w:tcPr>
          <w:p w14:paraId="753C840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70.7</w:t>
            </w:r>
          </w:p>
        </w:tc>
        <w:tc>
          <w:tcPr>
            <w:tcW w:w="1145" w:type="dxa"/>
            <w:noWrap/>
            <w:vAlign w:val="center"/>
            <w:hideMark/>
          </w:tcPr>
          <w:p w14:paraId="2DA221B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57</w:t>
            </w:r>
          </w:p>
        </w:tc>
        <w:tc>
          <w:tcPr>
            <w:tcW w:w="1145" w:type="dxa"/>
            <w:noWrap/>
            <w:vAlign w:val="center"/>
            <w:hideMark/>
          </w:tcPr>
          <w:p w14:paraId="3FF4383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10.8</w:t>
            </w:r>
          </w:p>
        </w:tc>
        <w:tc>
          <w:tcPr>
            <w:tcW w:w="1145" w:type="dxa"/>
            <w:noWrap/>
            <w:vAlign w:val="center"/>
            <w:hideMark/>
          </w:tcPr>
          <w:p w14:paraId="171E059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w:t>
            </w:r>
          </w:p>
        </w:tc>
        <w:tc>
          <w:tcPr>
            <w:tcW w:w="1145" w:type="dxa"/>
            <w:noWrap/>
            <w:vAlign w:val="center"/>
            <w:hideMark/>
          </w:tcPr>
          <w:p w14:paraId="75C9BA6F"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0.9</w:t>
            </w:r>
          </w:p>
        </w:tc>
      </w:tr>
      <w:tr w:rsidR="00CA2B98" w:rsidRPr="00613DE5" w14:paraId="42F86367"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0C18C009"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Nelson Marlborough</w:t>
            </w:r>
          </w:p>
        </w:tc>
        <w:tc>
          <w:tcPr>
            <w:tcW w:w="1145" w:type="dxa"/>
            <w:noWrap/>
            <w:vAlign w:val="center"/>
            <w:hideMark/>
          </w:tcPr>
          <w:p w14:paraId="2C8BD1C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w:t>
            </w:r>
          </w:p>
        </w:tc>
        <w:tc>
          <w:tcPr>
            <w:tcW w:w="1145" w:type="dxa"/>
            <w:noWrap/>
            <w:vAlign w:val="center"/>
            <w:hideMark/>
          </w:tcPr>
          <w:p w14:paraId="0AFB246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0.4</w:t>
            </w:r>
          </w:p>
        </w:tc>
        <w:tc>
          <w:tcPr>
            <w:tcW w:w="1145" w:type="dxa"/>
            <w:noWrap/>
            <w:vAlign w:val="center"/>
            <w:hideMark/>
          </w:tcPr>
          <w:p w14:paraId="5FB0088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131</w:t>
            </w:r>
          </w:p>
        </w:tc>
        <w:tc>
          <w:tcPr>
            <w:tcW w:w="1145" w:type="dxa"/>
            <w:noWrap/>
            <w:vAlign w:val="center"/>
            <w:hideMark/>
          </w:tcPr>
          <w:p w14:paraId="7F4370E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9.4</w:t>
            </w:r>
          </w:p>
        </w:tc>
        <w:tc>
          <w:tcPr>
            <w:tcW w:w="1145" w:type="dxa"/>
            <w:noWrap/>
            <w:vAlign w:val="center"/>
            <w:hideMark/>
          </w:tcPr>
          <w:p w14:paraId="594FAD5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1,101</w:t>
            </w:r>
          </w:p>
        </w:tc>
        <w:tc>
          <w:tcPr>
            <w:tcW w:w="1145" w:type="dxa"/>
            <w:noWrap/>
            <w:vAlign w:val="center"/>
            <w:hideMark/>
          </w:tcPr>
          <w:p w14:paraId="60BA48B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79.2</w:t>
            </w:r>
          </w:p>
        </w:tc>
        <w:tc>
          <w:tcPr>
            <w:tcW w:w="1145" w:type="dxa"/>
            <w:noWrap/>
            <w:vAlign w:val="center"/>
            <w:hideMark/>
          </w:tcPr>
          <w:p w14:paraId="658440F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138</w:t>
            </w:r>
          </w:p>
        </w:tc>
        <w:tc>
          <w:tcPr>
            <w:tcW w:w="1145" w:type="dxa"/>
            <w:noWrap/>
            <w:vAlign w:val="center"/>
            <w:hideMark/>
          </w:tcPr>
          <w:p w14:paraId="1DBDFFB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9.9</w:t>
            </w:r>
          </w:p>
        </w:tc>
        <w:tc>
          <w:tcPr>
            <w:tcW w:w="1145" w:type="dxa"/>
            <w:noWrap/>
            <w:vAlign w:val="center"/>
            <w:hideMark/>
          </w:tcPr>
          <w:p w14:paraId="1D077568"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w:t>
            </w:r>
          </w:p>
        </w:tc>
        <w:tc>
          <w:tcPr>
            <w:tcW w:w="1145" w:type="dxa"/>
            <w:noWrap/>
            <w:vAlign w:val="center"/>
            <w:hideMark/>
          </w:tcPr>
          <w:p w14:paraId="422FE88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1.1</w:t>
            </w:r>
          </w:p>
        </w:tc>
      </w:tr>
      <w:tr w:rsidR="00B66432" w:rsidRPr="00613DE5" w14:paraId="154640FD"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4E0A3086"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West Coast</w:t>
            </w:r>
          </w:p>
        </w:tc>
        <w:tc>
          <w:tcPr>
            <w:tcW w:w="1145" w:type="dxa"/>
            <w:noWrap/>
            <w:vAlign w:val="center"/>
            <w:hideMark/>
          </w:tcPr>
          <w:p w14:paraId="77F450CE"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w:t>
            </w:r>
          </w:p>
        </w:tc>
        <w:tc>
          <w:tcPr>
            <w:tcW w:w="1145" w:type="dxa"/>
            <w:noWrap/>
            <w:vAlign w:val="center"/>
            <w:hideMark/>
          </w:tcPr>
          <w:p w14:paraId="72CCDDA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noWrap/>
            <w:vAlign w:val="center"/>
            <w:hideMark/>
          </w:tcPr>
          <w:p w14:paraId="38604262"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26</w:t>
            </w:r>
          </w:p>
        </w:tc>
        <w:tc>
          <w:tcPr>
            <w:tcW w:w="1145" w:type="dxa"/>
            <w:noWrap/>
            <w:vAlign w:val="center"/>
            <w:hideMark/>
          </w:tcPr>
          <w:p w14:paraId="5FDF8709"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8.9</w:t>
            </w:r>
          </w:p>
        </w:tc>
        <w:tc>
          <w:tcPr>
            <w:tcW w:w="1145" w:type="dxa"/>
            <w:noWrap/>
            <w:vAlign w:val="center"/>
            <w:hideMark/>
          </w:tcPr>
          <w:p w14:paraId="1D4C518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239</w:t>
            </w:r>
          </w:p>
        </w:tc>
        <w:tc>
          <w:tcPr>
            <w:tcW w:w="1145" w:type="dxa"/>
            <w:noWrap/>
            <w:vAlign w:val="center"/>
            <w:hideMark/>
          </w:tcPr>
          <w:p w14:paraId="13E0085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82.1</w:t>
            </w:r>
          </w:p>
        </w:tc>
        <w:tc>
          <w:tcPr>
            <w:tcW w:w="1145" w:type="dxa"/>
            <w:noWrap/>
            <w:vAlign w:val="center"/>
            <w:hideMark/>
          </w:tcPr>
          <w:p w14:paraId="14AD1E8B"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21</w:t>
            </w:r>
          </w:p>
        </w:tc>
        <w:tc>
          <w:tcPr>
            <w:tcW w:w="1145" w:type="dxa"/>
            <w:noWrap/>
            <w:vAlign w:val="center"/>
            <w:hideMark/>
          </w:tcPr>
          <w:p w14:paraId="507976A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7.2</w:t>
            </w:r>
          </w:p>
        </w:tc>
        <w:tc>
          <w:tcPr>
            <w:tcW w:w="1145" w:type="dxa"/>
            <w:noWrap/>
            <w:vAlign w:val="center"/>
            <w:hideMark/>
          </w:tcPr>
          <w:p w14:paraId="5ECA2C20"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w:t>
            </w:r>
          </w:p>
        </w:tc>
        <w:tc>
          <w:tcPr>
            <w:tcW w:w="1145" w:type="dxa"/>
            <w:noWrap/>
            <w:vAlign w:val="center"/>
            <w:hideMark/>
          </w:tcPr>
          <w:p w14:paraId="0D0BB5B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w:t>
            </w:r>
          </w:p>
        </w:tc>
      </w:tr>
      <w:tr w:rsidR="00CA2B98" w:rsidRPr="00613DE5" w14:paraId="6F7CCE4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4337DCC9"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Canterbury</w:t>
            </w:r>
          </w:p>
        </w:tc>
        <w:tc>
          <w:tcPr>
            <w:tcW w:w="1145" w:type="dxa"/>
            <w:noWrap/>
            <w:vAlign w:val="center"/>
            <w:hideMark/>
          </w:tcPr>
          <w:p w14:paraId="511DF1A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w:t>
            </w:r>
          </w:p>
        </w:tc>
        <w:tc>
          <w:tcPr>
            <w:tcW w:w="1145" w:type="dxa"/>
            <w:noWrap/>
            <w:vAlign w:val="center"/>
            <w:hideMark/>
          </w:tcPr>
          <w:p w14:paraId="04CD277C"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0.1</w:t>
            </w:r>
          </w:p>
        </w:tc>
        <w:tc>
          <w:tcPr>
            <w:tcW w:w="1145" w:type="dxa"/>
            <w:noWrap/>
            <w:vAlign w:val="center"/>
            <w:hideMark/>
          </w:tcPr>
          <w:p w14:paraId="4D7064E9"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809</w:t>
            </w:r>
          </w:p>
        </w:tc>
        <w:tc>
          <w:tcPr>
            <w:tcW w:w="1145" w:type="dxa"/>
            <w:noWrap/>
            <w:vAlign w:val="center"/>
            <w:hideMark/>
          </w:tcPr>
          <w:p w14:paraId="6BDC2691"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12.4</w:t>
            </w:r>
          </w:p>
        </w:tc>
        <w:tc>
          <w:tcPr>
            <w:tcW w:w="1145" w:type="dxa"/>
            <w:noWrap/>
            <w:vAlign w:val="center"/>
            <w:hideMark/>
          </w:tcPr>
          <w:p w14:paraId="77C0866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5,119</w:t>
            </w:r>
          </w:p>
        </w:tc>
        <w:tc>
          <w:tcPr>
            <w:tcW w:w="1145" w:type="dxa"/>
            <w:noWrap/>
            <w:vAlign w:val="center"/>
            <w:hideMark/>
          </w:tcPr>
          <w:p w14:paraId="2FF115D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78.8</w:t>
            </w:r>
          </w:p>
        </w:tc>
        <w:tc>
          <w:tcPr>
            <w:tcW w:w="1145" w:type="dxa"/>
            <w:noWrap/>
            <w:vAlign w:val="center"/>
            <w:hideMark/>
          </w:tcPr>
          <w:p w14:paraId="4EDF3BF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443</w:t>
            </w:r>
          </w:p>
        </w:tc>
        <w:tc>
          <w:tcPr>
            <w:tcW w:w="1145" w:type="dxa"/>
            <w:noWrap/>
            <w:vAlign w:val="center"/>
            <w:hideMark/>
          </w:tcPr>
          <w:p w14:paraId="650C0CF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6.8</w:t>
            </w:r>
          </w:p>
        </w:tc>
        <w:tc>
          <w:tcPr>
            <w:tcW w:w="1145" w:type="dxa"/>
            <w:noWrap/>
            <w:vAlign w:val="center"/>
            <w:hideMark/>
          </w:tcPr>
          <w:p w14:paraId="1A59DC8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120</w:t>
            </w:r>
          </w:p>
        </w:tc>
        <w:tc>
          <w:tcPr>
            <w:tcW w:w="1145" w:type="dxa"/>
            <w:noWrap/>
            <w:vAlign w:val="center"/>
            <w:hideMark/>
          </w:tcPr>
          <w:p w14:paraId="046D485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1.8</w:t>
            </w:r>
          </w:p>
        </w:tc>
      </w:tr>
      <w:tr w:rsidR="00B66432" w:rsidRPr="00613DE5" w14:paraId="604BF845"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22034F9E"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South Canterbury</w:t>
            </w:r>
          </w:p>
        </w:tc>
        <w:tc>
          <w:tcPr>
            <w:tcW w:w="1145" w:type="dxa"/>
            <w:noWrap/>
            <w:vAlign w:val="center"/>
            <w:hideMark/>
          </w:tcPr>
          <w:p w14:paraId="74122CBF"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w:t>
            </w:r>
          </w:p>
        </w:tc>
        <w:tc>
          <w:tcPr>
            <w:tcW w:w="1145" w:type="dxa"/>
            <w:noWrap/>
            <w:vAlign w:val="center"/>
            <w:hideMark/>
          </w:tcPr>
          <w:p w14:paraId="784B9F1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0.0</w:t>
            </w:r>
          </w:p>
        </w:tc>
        <w:tc>
          <w:tcPr>
            <w:tcW w:w="1145" w:type="dxa"/>
            <w:noWrap/>
            <w:vAlign w:val="center"/>
            <w:hideMark/>
          </w:tcPr>
          <w:p w14:paraId="0823DB9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271</w:t>
            </w:r>
          </w:p>
        </w:tc>
        <w:tc>
          <w:tcPr>
            <w:tcW w:w="1145" w:type="dxa"/>
            <w:noWrap/>
            <w:vAlign w:val="center"/>
            <w:hideMark/>
          </w:tcPr>
          <w:p w14:paraId="62AC621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46.1</w:t>
            </w:r>
          </w:p>
        </w:tc>
        <w:tc>
          <w:tcPr>
            <w:tcW w:w="1145" w:type="dxa"/>
            <w:noWrap/>
            <w:vAlign w:val="center"/>
            <w:hideMark/>
          </w:tcPr>
          <w:p w14:paraId="0A3CAAB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271</w:t>
            </w:r>
          </w:p>
        </w:tc>
        <w:tc>
          <w:tcPr>
            <w:tcW w:w="1145" w:type="dxa"/>
            <w:noWrap/>
            <w:vAlign w:val="center"/>
            <w:hideMark/>
          </w:tcPr>
          <w:p w14:paraId="546EAA9D"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46.1</w:t>
            </w:r>
          </w:p>
        </w:tc>
        <w:tc>
          <w:tcPr>
            <w:tcW w:w="1145" w:type="dxa"/>
            <w:noWrap/>
            <w:vAlign w:val="center"/>
            <w:hideMark/>
          </w:tcPr>
          <w:p w14:paraId="34942B58"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37</w:t>
            </w:r>
          </w:p>
        </w:tc>
        <w:tc>
          <w:tcPr>
            <w:tcW w:w="1145" w:type="dxa"/>
            <w:noWrap/>
            <w:vAlign w:val="center"/>
            <w:hideMark/>
          </w:tcPr>
          <w:p w14:paraId="334F8E6F"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6.3</w:t>
            </w:r>
          </w:p>
        </w:tc>
        <w:tc>
          <w:tcPr>
            <w:tcW w:w="1145" w:type="dxa"/>
            <w:noWrap/>
            <w:vAlign w:val="center"/>
            <w:hideMark/>
          </w:tcPr>
          <w:p w14:paraId="0E180C66"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9</w:t>
            </w:r>
          </w:p>
        </w:tc>
        <w:tc>
          <w:tcPr>
            <w:tcW w:w="1145" w:type="dxa"/>
            <w:noWrap/>
            <w:vAlign w:val="center"/>
            <w:hideMark/>
          </w:tcPr>
          <w:p w14:paraId="4BA050E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1.5</w:t>
            </w:r>
          </w:p>
        </w:tc>
      </w:tr>
      <w:tr w:rsidR="00CA2B98" w:rsidRPr="00613DE5" w14:paraId="7808F026"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5D8046CE"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Southern</w:t>
            </w:r>
          </w:p>
        </w:tc>
        <w:tc>
          <w:tcPr>
            <w:tcW w:w="1145" w:type="dxa"/>
            <w:noWrap/>
            <w:vAlign w:val="center"/>
            <w:hideMark/>
          </w:tcPr>
          <w:p w14:paraId="1D294194"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3</w:t>
            </w:r>
          </w:p>
        </w:tc>
        <w:tc>
          <w:tcPr>
            <w:tcW w:w="1145" w:type="dxa"/>
            <w:noWrap/>
            <w:vAlign w:val="center"/>
            <w:hideMark/>
          </w:tcPr>
          <w:p w14:paraId="52C57E17"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0.1</w:t>
            </w:r>
          </w:p>
        </w:tc>
        <w:tc>
          <w:tcPr>
            <w:tcW w:w="1145" w:type="dxa"/>
            <w:noWrap/>
            <w:vAlign w:val="center"/>
            <w:hideMark/>
          </w:tcPr>
          <w:p w14:paraId="7D832273"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676</w:t>
            </w:r>
          </w:p>
        </w:tc>
        <w:tc>
          <w:tcPr>
            <w:tcW w:w="1145" w:type="dxa"/>
            <w:noWrap/>
            <w:vAlign w:val="center"/>
            <w:hideMark/>
          </w:tcPr>
          <w:p w14:paraId="2ACD9DC6"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20.2</w:t>
            </w:r>
          </w:p>
        </w:tc>
        <w:tc>
          <w:tcPr>
            <w:tcW w:w="1145" w:type="dxa"/>
            <w:noWrap/>
            <w:vAlign w:val="center"/>
            <w:hideMark/>
          </w:tcPr>
          <w:p w14:paraId="2D2A827B"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2,207</w:t>
            </w:r>
          </w:p>
        </w:tc>
        <w:tc>
          <w:tcPr>
            <w:tcW w:w="1145" w:type="dxa"/>
            <w:noWrap/>
            <w:vAlign w:val="center"/>
            <w:hideMark/>
          </w:tcPr>
          <w:p w14:paraId="52DC8272"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65.9</w:t>
            </w:r>
          </w:p>
        </w:tc>
        <w:tc>
          <w:tcPr>
            <w:tcW w:w="1145" w:type="dxa"/>
            <w:noWrap/>
            <w:vAlign w:val="center"/>
            <w:hideMark/>
          </w:tcPr>
          <w:p w14:paraId="7085407A"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406</w:t>
            </w:r>
          </w:p>
        </w:tc>
        <w:tc>
          <w:tcPr>
            <w:tcW w:w="1145" w:type="dxa"/>
            <w:noWrap/>
            <w:vAlign w:val="center"/>
            <w:hideMark/>
          </w:tcPr>
          <w:p w14:paraId="43078C32"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12.1</w:t>
            </w:r>
          </w:p>
        </w:tc>
        <w:tc>
          <w:tcPr>
            <w:tcW w:w="1145" w:type="dxa"/>
            <w:noWrap/>
            <w:vAlign w:val="center"/>
            <w:hideMark/>
          </w:tcPr>
          <w:p w14:paraId="139A2805"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56</w:t>
            </w:r>
          </w:p>
        </w:tc>
        <w:tc>
          <w:tcPr>
            <w:tcW w:w="1145" w:type="dxa"/>
            <w:noWrap/>
            <w:vAlign w:val="center"/>
            <w:hideMark/>
          </w:tcPr>
          <w:p w14:paraId="1BFDF0BB" w14:textId="77777777" w:rsidR="00CA2B98" w:rsidRPr="00613DE5" w:rsidRDefault="00CA2B98"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NZ" w:eastAsia="en-NZ"/>
              </w:rPr>
            </w:pPr>
            <w:r w:rsidRPr="00613DE5">
              <w:rPr>
                <w:rFonts w:eastAsia="Times New Roman" w:cstheme="minorHAnsi"/>
                <w:color w:val="000000"/>
                <w:lang w:val="en-NZ" w:eastAsia="en-NZ"/>
              </w:rPr>
              <w:t>1.7</w:t>
            </w:r>
          </w:p>
        </w:tc>
      </w:tr>
      <w:tr w:rsidR="00B66432" w:rsidRPr="00613DE5" w14:paraId="3E32AEAE"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410" w:type="dxa"/>
            <w:noWrap/>
            <w:vAlign w:val="center"/>
            <w:hideMark/>
          </w:tcPr>
          <w:p w14:paraId="09F1E72E" w14:textId="77777777" w:rsidR="00CA2B98" w:rsidRPr="00613DE5" w:rsidRDefault="00CA2B98" w:rsidP="00065F12">
            <w:pPr>
              <w:rPr>
                <w:rFonts w:eastAsia="Times New Roman" w:cstheme="minorHAnsi"/>
                <w:b w:val="0"/>
                <w:bCs w:val="0"/>
                <w:color w:val="000000"/>
                <w:lang w:val="en-NZ" w:eastAsia="en-NZ"/>
              </w:rPr>
            </w:pPr>
            <w:r w:rsidRPr="00613DE5">
              <w:rPr>
                <w:rFonts w:eastAsia="Times New Roman" w:cstheme="minorHAnsi"/>
                <w:color w:val="000000"/>
                <w:lang w:val="en-NZ" w:eastAsia="en-NZ"/>
              </w:rPr>
              <w:t>National</w:t>
            </w:r>
          </w:p>
        </w:tc>
        <w:tc>
          <w:tcPr>
            <w:tcW w:w="1145" w:type="dxa"/>
            <w:noWrap/>
            <w:vAlign w:val="center"/>
            <w:hideMark/>
          </w:tcPr>
          <w:p w14:paraId="203E8F7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95</w:t>
            </w:r>
          </w:p>
        </w:tc>
        <w:tc>
          <w:tcPr>
            <w:tcW w:w="1145" w:type="dxa"/>
            <w:noWrap/>
            <w:vAlign w:val="center"/>
            <w:hideMark/>
          </w:tcPr>
          <w:p w14:paraId="1B1304E7"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0.2</w:t>
            </w:r>
          </w:p>
        </w:tc>
        <w:tc>
          <w:tcPr>
            <w:tcW w:w="1145" w:type="dxa"/>
            <w:noWrap/>
            <w:vAlign w:val="center"/>
            <w:hideMark/>
          </w:tcPr>
          <w:p w14:paraId="43AFD3A1"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12,809</w:t>
            </w:r>
          </w:p>
        </w:tc>
        <w:tc>
          <w:tcPr>
            <w:tcW w:w="1145" w:type="dxa"/>
            <w:noWrap/>
            <w:vAlign w:val="center"/>
            <w:hideMark/>
          </w:tcPr>
          <w:p w14:paraId="4B56ACCA"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22.5</w:t>
            </w:r>
          </w:p>
        </w:tc>
        <w:tc>
          <w:tcPr>
            <w:tcW w:w="1145" w:type="dxa"/>
            <w:noWrap/>
            <w:vAlign w:val="center"/>
            <w:hideMark/>
          </w:tcPr>
          <w:p w14:paraId="572FB166"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34,625</w:t>
            </w:r>
          </w:p>
        </w:tc>
        <w:tc>
          <w:tcPr>
            <w:tcW w:w="1145" w:type="dxa"/>
            <w:noWrap/>
            <w:vAlign w:val="center"/>
            <w:hideMark/>
          </w:tcPr>
          <w:p w14:paraId="5BB58519"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60.9</w:t>
            </w:r>
          </w:p>
        </w:tc>
        <w:tc>
          <w:tcPr>
            <w:tcW w:w="1145" w:type="dxa"/>
            <w:noWrap/>
            <w:vAlign w:val="center"/>
            <w:hideMark/>
          </w:tcPr>
          <w:p w14:paraId="5DBFF143"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8,143</w:t>
            </w:r>
          </w:p>
        </w:tc>
        <w:tc>
          <w:tcPr>
            <w:tcW w:w="1145" w:type="dxa"/>
            <w:noWrap/>
            <w:vAlign w:val="center"/>
            <w:hideMark/>
          </w:tcPr>
          <w:p w14:paraId="279787BC"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14.3</w:t>
            </w:r>
          </w:p>
        </w:tc>
        <w:tc>
          <w:tcPr>
            <w:tcW w:w="1145" w:type="dxa"/>
            <w:noWrap/>
            <w:vAlign w:val="center"/>
            <w:hideMark/>
          </w:tcPr>
          <w:p w14:paraId="7B3EFC74"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1,203</w:t>
            </w:r>
          </w:p>
        </w:tc>
        <w:tc>
          <w:tcPr>
            <w:tcW w:w="1145" w:type="dxa"/>
            <w:noWrap/>
            <w:vAlign w:val="center"/>
            <w:hideMark/>
          </w:tcPr>
          <w:p w14:paraId="3A67E115" w14:textId="77777777" w:rsidR="00CA2B98" w:rsidRPr="00613DE5" w:rsidRDefault="00CA2B98"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en-NZ" w:eastAsia="en-NZ"/>
              </w:rPr>
            </w:pPr>
            <w:r w:rsidRPr="00613DE5">
              <w:rPr>
                <w:rFonts w:eastAsia="Times New Roman" w:cstheme="minorHAnsi"/>
                <w:b/>
                <w:bCs/>
                <w:color w:val="000000"/>
                <w:lang w:val="en-NZ" w:eastAsia="en-NZ"/>
              </w:rPr>
              <w:t>2.1</w:t>
            </w:r>
          </w:p>
        </w:tc>
      </w:tr>
    </w:tbl>
    <w:p w14:paraId="6E305BF9" w14:textId="0D235CC9" w:rsidR="00EE6579" w:rsidRPr="00613DE5" w:rsidRDefault="00EE6579" w:rsidP="0012660D">
      <w:pPr>
        <w:rPr>
          <w:lang w:val="en-NZ"/>
        </w:rPr>
      </w:pPr>
    </w:p>
    <w:p w14:paraId="20AB49F6" w14:textId="0F81AE98" w:rsidR="00917250" w:rsidRPr="00613DE5" w:rsidRDefault="00EE6579">
      <w:pPr>
        <w:rPr>
          <w:lang w:val="en-NZ"/>
        </w:rPr>
      </w:pPr>
      <w:r w:rsidRPr="00613DE5">
        <w:rPr>
          <w:lang w:val="en-NZ"/>
        </w:rPr>
        <w:br w:type="page"/>
      </w:r>
    </w:p>
    <w:p w14:paraId="068510B0" w14:textId="583255DC" w:rsidR="00B963A4" w:rsidRPr="00613DE5" w:rsidRDefault="00225B8C" w:rsidP="00225B8C">
      <w:pPr>
        <w:pStyle w:val="Heading2"/>
        <w:rPr>
          <w:lang w:val="en-NZ"/>
        </w:rPr>
      </w:pPr>
      <w:bookmarkStart w:id="31" w:name="_Toc160616215"/>
      <w:bookmarkStart w:id="32" w:name="_Toc179192056"/>
      <w:r w:rsidRPr="00613DE5">
        <w:rPr>
          <w:lang w:val="en-NZ"/>
        </w:rPr>
        <w:lastRenderedPageBreak/>
        <w:softHyphen/>
        <w:t xml:space="preserve">Figure </w:t>
      </w:r>
      <w:r w:rsidRPr="00613DE5">
        <w:rPr>
          <w:color w:val="2B579A"/>
          <w:shd w:val="clear" w:color="auto" w:fill="E6E6E6"/>
          <w:lang w:val="en-NZ"/>
        </w:rPr>
        <w:fldChar w:fldCharType="begin"/>
      </w:r>
      <w:r w:rsidRPr="00613DE5">
        <w:rPr>
          <w:lang w:val="en-NZ"/>
        </w:rPr>
        <w:instrText xml:space="preserve"> SEQ Figure \* ARABIC </w:instrText>
      </w:r>
      <w:r w:rsidRPr="00613DE5">
        <w:rPr>
          <w:color w:val="2B579A"/>
          <w:shd w:val="clear" w:color="auto" w:fill="E6E6E6"/>
          <w:lang w:val="en-NZ"/>
        </w:rPr>
        <w:fldChar w:fldCharType="separate"/>
      </w:r>
      <w:r w:rsidR="00E60918">
        <w:rPr>
          <w:noProof/>
          <w:lang w:val="en-NZ"/>
        </w:rPr>
        <w:t>1</w:t>
      </w:r>
      <w:r w:rsidRPr="00613DE5">
        <w:rPr>
          <w:color w:val="2B579A"/>
          <w:shd w:val="clear" w:color="auto" w:fill="E6E6E6"/>
          <w:lang w:val="en-NZ"/>
        </w:rPr>
        <w:fldChar w:fldCharType="end"/>
      </w:r>
      <w:r w:rsidRPr="00613DE5">
        <w:rPr>
          <w:lang w:val="en-NZ"/>
        </w:rPr>
        <w:t>: Percent of samples taken between 48 and 72 hours, January to December 2022</w:t>
      </w:r>
      <w:bookmarkEnd w:id="31"/>
      <w:bookmarkEnd w:id="32"/>
    </w:p>
    <w:p w14:paraId="44FFAAEE" w14:textId="73438883" w:rsidR="00776FBA" w:rsidRPr="00613DE5" w:rsidRDefault="00225B8C" w:rsidP="008247BB">
      <w:pPr>
        <w:rPr>
          <w:lang w:val="en-NZ"/>
        </w:rPr>
        <w:sectPr w:rsidR="00776FBA" w:rsidRPr="00613DE5" w:rsidSect="00BF4963">
          <w:headerReference w:type="default" r:id="rId19"/>
          <w:footerReference w:type="default" r:id="rId20"/>
          <w:headerReference w:type="first" r:id="rId21"/>
          <w:footerReference w:type="first" r:id="rId22"/>
          <w:pgSz w:w="16838" w:h="11906" w:orient="landscape"/>
          <w:pgMar w:top="992" w:right="1440" w:bottom="1440" w:left="1440" w:header="709" w:footer="709" w:gutter="0"/>
          <w:cols w:space="708"/>
          <w:docGrid w:linePitch="360"/>
        </w:sectPr>
      </w:pPr>
      <w:r w:rsidRPr="00613DE5">
        <w:rPr>
          <w:noProof/>
          <w:color w:val="2B579A"/>
          <w:shd w:val="clear" w:color="auto" w:fill="E6E6E6"/>
          <w:lang w:val="en-NZ"/>
        </w:rPr>
        <w:drawing>
          <wp:inline distT="0" distB="0" distL="0" distR="0" wp14:anchorId="73D5643D" wp14:editId="46CC9910">
            <wp:extent cx="8801100" cy="5060315"/>
            <wp:effectExtent l="0" t="0" r="0" b="6985"/>
            <wp:docPr id="1" name="Chart 1" descr="¬Figure 1: Percent of samples taken between 48 and 72 hours, January to December 2022">
              <a:extLst xmlns:a="http://schemas.openxmlformats.org/drawingml/2006/main">
                <a:ext uri="{FF2B5EF4-FFF2-40B4-BE49-F238E27FC236}">
                  <a16:creationId xmlns:a16="http://schemas.microsoft.com/office/drawing/2014/main" id="{2F522B49-E84A-C965-4377-828FEA338C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33" w:name="_Toc160616216"/>
      <w:r w:rsidR="00C86E8B" w:rsidRPr="00613DE5">
        <w:rPr>
          <w:lang w:val="en-NZ"/>
        </w:rPr>
        <w:br w:type="page"/>
      </w:r>
    </w:p>
    <w:p w14:paraId="72A80668" w14:textId="4536DC5E" w:rsidR="002E10E6" w:rsidRPr="00613DE5" w:rsidRDefault="002E10E6" w:rsidP="002E10E6">
      <w:pPr>
        <w:pStyle w:val="Heading1"/>
        <w:rPr>
          <w:lang w:val="en-NZ"/>
        </w:rPr>
      </w:pPr>
      <w:bookmarkStart w:id="34" w:name="_Toc179192057"/>
      <w:r w:rsidRPr="00613DE5">
        <w:rPr>
          <w:lang w:val="en-NZ"/>
        </w:rPr>
        <w:lastRenderedPageBreak/>
        <w:t>Indicator 3: Quality of blood samples</w:t>
      </w:r>
      <w:bookmarkEnd w:id="34"/>
    </w:p>
    <w:p w14:paraId="330AAD95" w14:textId="77777777" w:rsidR="002E10E6" w:rsidRPr="00613DE5" w:rsidRDefault="002E10E6" w:rsidP="002E10E6">
      <w:pPr>
        <w:rPr>
          <w:lang w:val="en-NZ"/>
        </w:rPr>
      </w:pPr>
      <w:r w:rsidRPr="00613DE5">
        <w:rPr>
          <w:b/>
          <w:bCs/>
          <w:lang w:val="en-NZ"/>
        </w:rPr>
        <w:t>Description:</w:t>
      </w:r>
      <w:r w:rsidRPr="00613DE5">
        <w:rPr>
          <w:lang w:val="en-NZ"/>
        </w:rPr>
        <w:t xml:space="preserve"> The proportion of samples received by the laboratory that are of satisfactory quality.</w:t>
      </w:r>
    </w:p>
    <w:p w14:paraId="3BB1F2E3" w14:textId="77777777" w:rsidR="002E10E6" w:rsidRPr="00613DE5" w:rsidRDefault="002E10E6" w:rsidP="002E10E6">
      <w:pPr>
        <w:rPr>
          <w:lang w:val="en-NZ"/>
        </w:rPr>
      </w:pPr>
      <w:r w:rsidRPr="00613DE5">
        <w:rPr>
          <w:b/>
          <w:bCs/>
          <w:lang w:val="en-NZ"/>
        </w:rPr>
        <w:t>Rationale:</w:t>
      </w:r>
      <w:r w:rsidRPr="00613DE5">
        <w:rPr>
          <w:lang w:val="en-NZ"/>
        </w:rPr>
        <w:t xml:space="preserve"> Accurate testing is reliant on a good quality blood spot sample. Unsatisfactory samples require a repeat sample which could have been avoided. This indicator measures the proportion of blood spot samples that require repeating due to a quality issue.</w:t>
      </w:r>
    </w:p>
    <w:p w14:paraId="34BFCC6D" w14:textId="77777777" w:rsidR="002E10E6" w:rsidRPr="00613DE5" w:rsidRDefault="002E10E6" w:rsidP="002E10E6">
      <w:pPr>
        <w:rPr>
          <w:lang w:val="en-NZ"/>
        </w:rPr>
      </w:pPr>
      <w:r w:rsidRPr="00613DE5">
        <w:rPr>
          <w:b/>
          <w:bCs/>
          <w:lang w:val="en-NZ"/>
        </w:rPr>
        <w:t>Target:</w:t>
      </w:r>
      <w:r w:rsidRPr="00613DE5">
        <w:rPr>
          <w:lang w:val="en-NZ"/>
        </w:rPr>
        <w:t xml:space="preserve"> ≥99 percent of blood spot samples received are of satisfactory quality.</w:t>
      </w:r>
    </w:p>
    <w:p w14:paraId="3D1242E5" w14:textId="77777777" w:rsidR="002E10E6" w:rsidRPr="00613DE5" w:rsidRDefault="002E10E6" w:rsidP="002E10E6">
      <w:pPr>
        <w:rPr>
          <w:lang w:val="en-NZ"/>
        </w:rPr>
      </w:pPr>
      <w:r w:rsidRPr="00613DE5">
        <w:rPr>
          <w:b/>
          <w:bCs/>
          <w:lang w:val="en-NZ"/>
        </w:rPr>
        <w:t>Interpretation:</w:t>
      </w:r>
      <w:r w:rsidRPr="00613DE5">
        <w:rPr>
          <w:lang w:val="en-NZ"/>
        </w:rPr>
        <w:t xml:space="preserve"> The proportion of satisfactory blood samples ranged from 98.5 percent (Taranaki and Whanganui Districts) to 100 percent (West Coast District) across Districts. The national average was 99.1 percent.</w:t>
      </w:r>
    </w:p>
    <w:p w14:paraId="009D281B" w14:textId="77777777" w:rsidR="002E10E6" w:rsidRPr="00613DE5" w:rsidRDefault="002E10E6" w:rsidP="002E10E6">
      <w:pPr>
        <w:rPr>
          <w:lang w:val="en-NZ"/>
        </w:rPr>
      </w:pPr>
      <w:r w:rsidRPr="001937B5">
        <w:rPr>
          <w:b/>
          <w:bCs/>
          <w:lang w:val="en-NZ"/>
        </w:rPr>
        <w:t>Comment:</w:t>
      </w:r>
      <w:r w:rsidRPr="00613DE5">
        <w:rPr>
          <w:lang w:val="en-NZ"/>
        </w:rPr>
        <w:t xml:space="preserve"> Overall sample quality improved slightly in 2022, with 0.9 percent (500) of all samples being unsatisfactory compared with 1.0 percent (612) in 2021 and 1.1 percent (636) in 2020.</w:t>
      </w:r>
    </w:p>
    <w:p w14:paraId="28185047" w14:textId="386B0A32" w:rsidR="002E10E6" w:rsidRPr="00613DE5" w:rsidRDefault="002E10E6" w:rsidP="002E10E6">
      <w:pPr>
        <w:rPr>
          <w:lang w:val="en-NZ"/>
        </w:rPr>
      </w:pPr>
      <w:r w:rsidRPr="3672B2F3">
        <w:rPr>
          <w:lang w:val="en-NZ"/>
        </w:rPr>
        <w:t>Sample collection quality</w:t>
      </w:r>
      <w:r w:rsidR="00AF15FC" w:rsidRPr="3672B2F3">
        <w:rPr>
          <w:lang w:val="en-NZ"/>
        </w:rPr>
        <w:t xml:space="preserve">, </w:t>
      </w:r>
      <w:r w:rsidRPr="3672B2F3">
        <w:rPr>
          <w:lang w:val="en-NZ"/>
        </w:rPr>
        <w:t>for example</w:t>
      </w:r>
      <w:r w:rsidR="00AF15FC" w:rsidRPr="3672B2F3">
        <w:rPr>
          <w:lang w:val="en-NZ"/>
        </w:rPr>
        <w:t xml:space="preserve">, </w:t>
      </w:r>
      <w:r w:rsidRPr="3672B2F3">
        <w:rPr>
          <w:lang w:val="en-NZ"/>
        </w:rPr>
        <w:t>due to</w:t>
      </w:r>
      <w:r w:rsidR="00AF15FC" w:rsidRPr="3672B2F3">
        <w:rPr>
          <w:lang w:val="en-NZ"/>
        </w:rPr>
        <w:t xml:space="preserve"> </w:t>
      </w:r>
      <w:r w:rsidRPr="3672B2F3">
        <w:rPr>
          <w:lang w:val="en-NZ"/>
        </w:rPr>
        <w:t xml:space="preserve">insufficient blood on the card, remains the main reason why samples were unsatisfactory, although the number decreased </w:t>
      </w:r>
      <w:r w:rsidR="00F251D1">
        <w:rPr>
          <w:lang w:val="en-NZ"/>
        </w:rPr>
        <w:t>in 2022</w:t>
      </w:r>
      <w:r w:rsidRPr="3672B2F3">
        <w:rPr>
          <w:lang w:val="en-NZ"/>
        </w:rPr>
        <w:t xml:space="preserve">. </w:t>
      </w:r>
      <w:r w:rsidR="001937B5" w:rsidRPr="3672B2F3">
        <w:rPr>
          <w:lang w:val="en-NZ"/>
        </w:rPr>
        <w:t xml:space="preserve">The percentage of samples that were unsatisfactory due to being collected early has gone down (from 23.1 percent in 2018) predominantly due to samples collected from 24 hours now being acceptable samples. </w:t>
      </w:r>
      <w:r w:rsidRPr="3672B2F3">
        <w:rPr>
          <w:lang w:val="en-NZ"/>
        </w:rPr>
        <w:t xml:space="preserve">Each unsatisfactory sample is followed up with a request for a second sample (Indicator 5) to </w:t>
      </w:r>
      <w:r w:rsidR="48E4AAEF" w:rsidRPr="2120DDA5">
        <w:rPr>
          <w:lang w:val="en-NZ"/>
        </w:rPr>
        <w:t>ensure that all babies have been adequately screened</w:t>
      </w:r>
      <w:r w:rsidRPr="2120DDA5">
        <w:rPr>
          <w:lang w:val="en-NZ"/>
        </w:rPr>
        <w:t>.</w:t>
      </w:r>
    </w:p>
    <w:p w14:paraId="47CC7DAC" w14:textId="178E39FD" w:rsidR="002E10E6" w:rsidRPr="00613DE5" w:rsidRDefault="002E10E6" w:rsidP="002E10E6">
      <w:pPr>
        <w:pStyle w:val="Heading2"/>
        <w:rPr>
          <w:lang w:val="en-NZ"/>
        </w:rPr>
      </w:pPr>
      <w:bookmarkStart w:id="35" w:name="_Toc160616217"/>
      <w:bookmarkStart w:id="36" w:name="_Toc179192058"/>
      <w:r w:rsidRPr="00613DE5">
        <w:rPr>
          <w:lang w:val="en-NZ"/>
        </w:rPr>
        <w:t>Table</w:t>
      </w:r>
      <w:r w:rsidR="0053022E">
        <w:rPr>
          <w:lang w:val="en-NZ"/>
        </w:rPr>
        <w:t xml:space="preserve"> 7</w:t>
      </w:r>
      <w:r w:rsidRPr="00613DE5">
        <w:rPr>
          <w:lang w:val="en-NZ"/>
        </w:rPr>
        <w:t>: Reason for unsatisfactory sample, January to December 2022</w:t>
      </w:r>
      <w:bookmarkEnd w:id="35"/>
      <w:bookmarkEnd w:id="36"/>
    </w:p>
    <w:tbl>
      <w:tblPr>
        <w:tblStyle w:val="GridTable4-Accent5"/>
        <w:tblW w:w="5920" w:type="dxa"/>
        <w:tblLook w:val="04A0" w:firstRow="1" w:lastRow="0" w:firstColumn="1" w:lastColumn="0" w:noHBand="0" w:noVBand="1"/>
      </w:tblPr>
      <w:tblGrid>
        <w:gridCol w:w="1580"/>
        <w:gridCol w:w="2780"/>
        <w:gridCol w:w="1560"/>
      </w:tblGrid>
      <w:tr w:rsidR="002E10E6" w:rsidRPr="00613DE5" w14:paraId="2E22386E" w14:textId="77777777" w:rsidTr="00635F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80" w:type="dxa"/>
            <w:noWrap/>
            <w:hideMark/>
          </w:tcPr>
          <w:p w14:paraId="0AFE1893" w14:textId="77777777" w:rsidR="002E10E6" w:rsidRPr="00613DE5" w:rsidRDefault="002E10E6" w:rsidP="00635FD1">
            <w:pPr>
              <w:rPr>
                <w:rFonts w:eastAsia="Times New Roman" w:cstheme="minorHAnsi"/>
                <w:b w:val="0"/>
                <w:bCs w:val="0"/>
                <w:szCs w:val="24"/>
                <w:lang w:val="en-NZ" w:eastAsia="en-NZ"/>
              </w:rPr>
            </w:pPr>
            <w:r w:rsidRPr="00613DE5">
              <w:rPr>
                <w:rFonts w:eastAsia="Times New Roman" w:cstheme="minorHAnsi"/>
                <w:szCs w:val="24"/>
                <w:lang w:val="en-NZ" w:eastAsia="en-NZ"/>
              </w:rPr>
              <w:t>Reason</w:t>
            </w:r>
          </w:p>
        </w:tc>
        <w:tc>
          <w:tcPr>
            <w:tcW w:w="2780" w:type="dxa"/>
            <w:noWrap/>
            <w:hideMark/>
          </w:tcPr>
          <w:p w14:paraId="51017C8B" w14:textId="77777777" w:rsidR="002E10E6" w:rsidRPr="00613DE5" w:rsidRDefault="002E10E6"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Number</w:t>
            </w:r>
          </w:p>
        </w:tc>
        <w:tc>
          <w:tcPr>
            <w:tcW w:w="1560" w:type="dxa"/>
            <w:noWrap/>
            <w:hideMark/>
          </w:tcPr>
          <w:p w14:paraId="4113C2BA" w14:textId="77777777" w:rsidR="002E10E6" w:rsidRPr="00613DE5" w:rsidRDefault="002E10E6"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4"/>
                <w:lang w:val="en-NZ" w:eastAsia="en-NZ"/>
              </w:rPr>
            </w:pPr>
            <w:r w:rsidRPr="00613DE5">
              <w:rPr>
                <w:rFonts w:eastAsia="Times New Roman" w:cstheme="minorHAnsi"/>
                <w:szCs w:val="24"/>
                <w:lang w:val="en-NZ" w:eastAsia="en-NZ"/>
              </w:rPr>
              <w:t>Percentage</w:t>
            </w:r>
          </w:p>
        </w:tc>
      </w:tr>
      <w:tr w:rsidR="002E10E6" w:rsidRPr="00613DE5" w14:paraId="42A7E425"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80" w:type="dxa"/>
            <w:noWrap/>
            <w:vAlign w:val="center"/>
            <w:hideMark/>
          </w:tcPr>
          <w:p w14:paraId="71DBAC26" w14:textId="77777777" w:rsidR="002E10E6" w:rsidRPr="00613DE5" w:rsidRDefault="002E10E6"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Collection</w:t>
            </w:r>
          </w:p>
        </w:tc>
        <w:tc>
          <w:tcPr>
            <w:tcW w:w="2780" w:type="dxa"/>
            <w:noWrap/>
            <w:vAlign w:val="center"/>
            <w:hideMark/>
          </w:tcPr>
          <w:p w14:paraId="136825FE" w14:textId="77777777" w:rsidR="002E10E6" w:rsidRPr="00613DE5" w:rsidRDefault="002E10E6"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377</w:t>
            </w:r>
          </w:p>
        </w:tc>
        <w:tc>
          <w:tcPr>
            <w:tcW w:w="1560" w:type="dxa"/>
            <w:noWrap/>
            <w:vAlign w:val="center"/>
            <w:hideMark/>
          </w:tcPr>
          <w:p w14:paraId="1D86423D" w14:textId="77777777" w:rsidR="002E10E6" w:rsidRPr="00613DE5" w:rsidRDefault="002E10E6"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75.4</w:t>
            </w:r>
          </w:p>
        </w:tc>
      </w:tr>
      <w:tr w:rsidR="002E10E6" w:rsidRPr="00613DE5" w14:paraId="43BED5EA"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580" w:type="dxa"/>
            <w:noWrap/>
            <w:vAlign w:val="center"/>
            <w:hideMark/>
          </w:tcPr>
          <w:p w14:paraId="3DE82BF2" w14:textId="77777777" w:rsidR="002E10E6" w:rsidRPr="00613DE5" w:rsidRDefault="002E10E6"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Timing</w:t>
            </w:r>
          </w:p>
        </w:tc>
        <w:tc>
          <w:tcPr>
            <w:tcW w:w="2780" w:type="dxa"/>
            <w:noWrap/>
            <w:vAlign w:val="center"/>
            <w:hideMark/>
          </w:tcPr>
          <w:p w14:paraId="0EEAA7DA" w14:textId="77777777" w:rsidR="002E10E6" w:rsidRPr="00613DE5" w:rsidRDefault="002E10E6"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74*</w:t>
            </w:r>
          </w:p>
        </w:tc>
        <w:tc>
          <w:tcPr>
            <w:tcW w:w="1560" w:type="dxa"/>
            <w:noWrap/>
            <w:vAlign w:val="center"/>
            <w:hideMark/>
          </w:tcPr>
          <w:p w14:paraId="5B360DDE" w14:textId="77777777" w:rsidR="002E10E6" w:rsidRPr="00613DE5" w:rsidRDefault="002E10E6"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14.8</w:t>
            </w:r>
          </w:p>
        </w:tc>
      </w:tr>
      <w:tr w:rsidR="002E10E6" w:rsidRPr="00613DE5" w14:paraId="12C3DC01"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80" w:type="dxa"/>
            <w:noWrap/>
            <w:vAlign w:val="center"/>
            <w:hideMark/>
          </w:tcPr>
          <w:p w14:paraId="0B214ACD" w14:textId="77777777" w:rsidR="002E10E6" w:rsidRPr="00613DE5" w:rsidRDefault="002E10E6"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Transport</w:t>
            </w:r>
          </w:p>
        </w:tc>
        <w:tc>
          <w:tcPr>
            <w:tcW w:w="2780" w:type="dxa"/>
            <w:noWrap/>
            <w:vAlign w:val="center"/>
            <w:hideMark/>
          </w:tcPr>
          <w:p w14:paraId="173F5751" w14:textId="77777777" w:rsidR="002E10E6" w:rsidRPr="00613DE5" w:rsidRDefault="002E10E6"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49</w:t>
            </w:r>
          </w:p>
        </w:tc>
        <w:tc>
          <w:tcPr>
            <w:tcW w:w="1560" w:type="dxa"/>
            <w:noWrap/>
            <w:vAlign w:val="center"/>
            <w:hideMark/>
          </w:tcPr>
          <w:p w14:paraId="740584C8" w14:textId="77777777" w:rsidR="002E10E6" w:rsidRPr="00613DE5" w:rsidRDefault="002E10E6"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w:t>
            </w:r>
          </w:p>
        </w:tc>
      </w:tr>
      <w:tr w:rsidR="002E10E6" w:rsidRPr="00613DE5" w14:paraId="2356486F"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1580" w:type="dxa"/>
            <w:noWrap/>
            <w:vAlign w:val="center"/>
            <w:hideMark/>
          </w:tcPr>
          <w:p w14:paraId="7EDBC2D7" w14:textId="77777777" w:rsidR="002E10E6" w:rsidRPr="00613DE5" w:rsidRDefault="002E10E6" w:rsidP="00065F12">
            <w:pP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Total</w:t>
            </w:r>
          </w:p>
        </w:tc>
        <w:tc>
          <w:tcPr>
            <w:tcW w:w="2780" w:type="dxa"/>
            <w:noWrap/>
            <w:vAlign w:val="center"/>
            <w:hideMark/>
          </w:tcPr>
          <w:p w14:paraId="4FCE9FF3" w14:textId="77777777" w:rsidR="002E10E6" w:rsidRPr="00613DE5" w:rsidRDefault="002E10E6"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500</w:t>
            </w:r>
          </w:p>
        </w:tc>
        <w:tc>
          <w:tcPr>
            <w:tcW w:w="1560" w:type="dxa"/>
            <w:noWrap/>
            <w:vAlign w:val="center"/>
            <w:hideMark/>
          </w:tcPr>
          <w:p w14:paraId="44DB1235" w14:textId="77777777" w:rsidR="002E10E6" w:rsidRPr="00613DE5" w:rsidRDefault="002E10E6"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100</w:t>
            </w:r>
          </w:p>
        </w:tc>
      </w:tr>
    </w:tbl>
    <w:p w14:paraId="36CEAFF8" w14:textId="77777777" w:rsidR="00D715E3" w:rsidRPr="00C71C24" w:rsidRDefault="00D715E3" w:rsidP="00D715E3">
      <w:pPr>
        <w:rPr>
          <w:i/>
          <w:iCs/>
          <w:sz w:val="20"/>
          <w:szCs w:val="20"/>
          <w:lang w:val="en-NZ"/>
        </w:rPr>
      </w:pPr>
      <w:r w:rsidRPr="00C71C24">
        <w:rPr>
          <w:i/>
          <w:iCs/>
          <w:sz w:val="20"/>
          <w:szCs w:val="20"/>
          <w:lang w:val="en-NZ"/>
        </w:rPr>
        <w:t>* This number differs to the one in Table 6 as samples collected early from babies with low birth weight are not counted as unsatisfactory samples with repeat samples requested, as second samples are routinely collected within a few days.</w:t>
      </w:r>
    </w:p>
    <w:p w14:paraId="79DC2D31" w14:textId="77777777" w:rsidR="002E10E6" w:rsidRPr="00613DE5" w:rsidRDefault="002E10E6" w:rsidP="002E10E6">
      <w:pPr>
        <w:rPr>
          <w:lang w:val="en-NZ"/>
        </w:rPr>
      </w:pPr>
      <w:r w:rsidRPr="00613DE5">
        <w:rPr>
          <w:lang w:val="en-NZ"/>
        </w:rPr>
        <w:t>Summary of main reasons:</w:t>
      </w:r>
    </w:p>
    <w:p w14:paraId="0EBEB2CE" w14:textId="77777777" w:rsidR="002E10E6" w:rsidRPr="00613DE5" w:rsidRDefault="002E10E6" w:rsidP="002E10E6">
      <w:pPr>
        <w:pStyle w:val="ListParagraph"/>
        <w:numPr>
          <w:ilvl w:val="0"/>
          <w:numId w:val="15"/>
        </w:numPr>
        <w:rPr>
          <w:lang w:val="en-NZ"/>
        </w:rPr>
      </w:pPr>
      <w:r w:rsidRPr="00613DE5">
        <w:rPr>
          <w:b/>
          <w:lang w:val="en-NZ"/>
        </w:rPr>
        <w:t>collection:</w:t>
      </w:r>
      <w:r w:rsidRPr="00613DE5">
        <w:rPr>
          <w:lang w:val="en-NZ"/>
        </w:rPr>
        <w:t xml:space="preserve"> insufficient blood or the sample was contaminated.</w:t>
      </w:r>
    </w:p>
    <w:p w14:paraId="44DE4202" w14:textId="77777777" w:rsidR="002E10E6" w:rsidRPr="00613DE5" w:rsidRDefault="002E10E6" w:rsidP="002E10E6">
      <w:pPr>
        <w:pStyle w:val="ListParagraph"/>
        <w:numPr>
          <w:ilvl w:val="0"/>
          <w:numId w:val="15"/>
        </w:numPr>
        <w:rPr>
          <w:lang w:val="en-NZ"/>
        </w:rPr>
      </w:pPr>
      <w:r w:rsidRPr="391D71D2">
        <w:rPr>
          <w:b/>
          <w:bCs/>
          <w:lang w:val="en-NZ"/>
        </w:rPr>
        <w:t>timing:</w:t>
      </w:r>
      <w:r w:rsidRPr="391D71D2">
        <w:rPr>
          <w:lang w:val="en-NZ"/>
        </w:rPr>
        <w:t xml:space="preserve"> sample was collected too early (before 24 hours of age).</w:t>
      </w:r>
    </w:p>
    <w:p w14:paraId="1D9710E8" w14:textId="3F3387BE" w:rsidR="002E10E6" w:rsidRPr="00613DE5" w:rsidRDefault="002E10E6" w:rsidP="002E10E6">
      <w:pPr>
        <w:pStyle w:val="ListParagraph"/>
        <w:numPr>
          <w:ilvl w:val="0"/>
          <w:numId w:val="15"/>
        </w:numPr>
        <w:rPr>
          <w:lang w:val="en-NZ"/>
        </w:rPr>
      </w:pPr>
      <w:r w:rsidRPr="00613DE5">
        <w:rPr>
          <w:b/>
          <w:lang w:val="en-NZ"/>
        </w:rPr>
        <w:t>transport:</w:t>
      </w:r>
      <w:r w:rsidRPr="00613DE5">
        <w:rPr>
          <w:lang w:val="en-NZ"/>
        </w:rPr>
        <w:t xml:space="preserve"> sample took more than one month to arrive</w:t>
      </w:r>
      <w:r w:rsidR="00D913F2">
        <w:rPr>
          <w:lang w:val="en-NZ"/>
        </w:rPr>
        <w:t>;</w:t>
      </w:r>
      <w:r w:rsidRPr="00613DE5">
        <w:rPr>
          <w:lang w:val="en-NZ"/>
        </w:rPr>
        <w:t xml:space="preserve"> blood was wet when sample card was folded</w:t>
      </w:r>
      <w:r w:rsidR="00A558FE">
        <w:rPr>
          <w:lang w:val="en-NZ"/>
        </w:rPr>
        <w:t>,</w:t>
      </w:r>
      <w:r w:rsidRPr="00613DE5">
        <w:rPr>
          <w:lang w:val="en-NZ"/>
        </w:rPr>
        <w:t xml:space="preserve"> damaged in transit</w:t>
      </w:r>
      <w:r w:rsidR="00E81F55">
        <w:rPr>
          <w:lang w:val="en-NZ"/>
        </w:rPr>
        <w:t>;</w:t>
      </w:r>
      <w:r w:rsidRPr="00613DE5">
        <w:rPr>
          <w:lang w:val="en-NZ"/>
        </w:rPr>
        <w:t xml:space="preserve"> or sample was put wet into a plastic bag.</w:t>
      </w:r>
    </w:p>
    <w:p w14:paraId="3D433127" w14:textId="3E3AB893" w:rsidR="002E10E6" w:rsidRPr="00613DE5" w:rsidRDefault="002E10E6">
      <w:pPr>
        <w:rPr>
          <w:rFonts w:ascii="Poppins" w:eastAsiaTheme="majorEastAsia" w:hAnsi="Poppins" w:cs="Poppins"/>
          <w:b/>
          <w:bCs/>
          <w:color w:val="30A1AC"/>
          <w:sz w:val="36"/>
          <w:szCs w:val="36"/>
          <w:lang w:val="en-NZ"/>
        </w:rPr>
      </w:pPr>
    </w:p>
    <w:p w14:paraId="34B10AAD" w14:textId="77777777" w:rsidR="00A402DE" w:rsidRPr="00613DE5" w:rsidRDefault="00A402DE">
      <w:pPr>
        <w:rPr>
          <w:rFonts w:ascii="Poppins" w:hAnsi="Poppins" w:cs="Poppins"/>
          <w:b/>
          <w:bCs/>
          <w:color w:val="15284C"/>
          <w:sz w:val="32"/>
          <w:szCs w:val="32"/>
          <w:lang w:val="en-NZ"/>
        </w:rPr>
      </w:pPr>
      <w:bookmarkStart w:id="37" w:name="_Toc160616218"/>
      <w:bookmarkEnd w:id="33"/>
      <w:r w:rsidRPr="00613DE5">
        <w:rPr>
          <w:lang w:val="en-NZ"/>
        </w:rPr>
        <w:br w:type="page"/>
      </w:r>
    </w:p>
    <w:p w14:paraId="61FA802E" w14:textId="1EDB1E69" w:rsidR="00C042EF" w:rsidRPr="00613DE5" w:rsidRDefault="00C042EF" w:rsidP="008F44C1">
      <w:pPr>
        <w:pStyle w:val="Heading2"/>
        <w:rPr>
          <w:lang w:val="en-NZ"/>
        </w:rPr>
      </w:pPr>
      <w:bookmarkStart w:id="38" w:name="_Toc179192059"/>
      <w:r w:rsidRPr="00613DE5">
        <w:rPr>
          <w:lang w:val="en-NZ"/>
        </w:rPr>
        <w:lastRenderedPageBreak/>
        <w:t>Table</w:t>
      </w:r>
      <w:r w:rsidR="0053022E">
        <w:rPr>
          <w:lang w:val="en-NZ"/>
        </w:rPr>
        <w:t xml:space="preserve"> 8</w:t>
      </w:r>
      <w:r w:rsidRPr="00613DE5">
        <w:rPr>
          <w:lang w:val="en-NZ"/>
        </w:rPr>
        <w:t>: Percent of samples of a satisfactory quality, January to December 2022</w:t>
      </w:r>
      <w:bookmarkEnd w:id="37"/>
      <w:bookmarkEnd w:id="38"/>
    </w:p>
    <w:tbl>
      <w:tblPr>
        <w:tblStyle w:val="GridTable4-Accent5"/>
        <w:tblW w:w="9535" w:type="dxa"/>
        <w:tblLayout w:type="fixed"/>
        <w:tblLook w:val="04A0" w:firstRow="1" w:lastRow="0" w:firstColumn="1" w:lastColumn="0" w:noHBand="0" w:noVBand="1"/>
      </w:tblPr>
      <w:tblGrid>
        <w:gridCol w:w="2626"/>
        <w:gridCol w:w="1384"/>
        <w:gridCol w:w="1385"/>
        <w:gridCol w:w="1260"/>
        <w:gridCol w:w="1260"/>
        <w:gridCol w:w="1620"/>
      </w:tblGrid>
      <w:tr w:rsidR="00954B0E" w:rsidRPr="00613DE5" w14:paraId="2A47CE36" w14:textId="77777777" w:rsidTr="006A54B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2870FF" w:themeColor="accent2" w:themeTint="99"/>
              <w:right w:val="single" w:sz="4" w:space="0" w:color="2870FF" w:themeColor="accent2" w:themeTint="99"/>
            </w:tcBorders>
            <w:noWrap/>
          </w:tcPr>
          <w:p w14:paraId="7F62B648" w14:textId="557791E9" w:rsidR="00954B0E" w:rsidRPr="00613DE5" w:rsidRDefault="00954B0E" w:rsidP="00635FD1">
            <w:pPr>
              <w:rPr>
                <w:rFonts w:eastAsia="Times New Roman" w:cstheme="minorHAnsi"/>
                <w:szCs w:val="24"/>
                <w:lang w:val="en-NZ" w:eastAsia="en-NZ"/>
              </w:rPr>
            </w:pPr>
          </w:p>
        </w:tc>
        <w:tc>
          <w:tcPr>
            <w:tcW w:w="2769" w:type="dxa"/>
            <w:gridSpan w:val="2"/>
            <w:vMerge w:val="restart"/>
            <w:tcBorders>
              <w:left w:val="single" w:sz="4" w:space="0" w:color="2870FF" w:themeColor="accent2" w:themeTint="99"/>
              <w:right w:val="single" w:sz="4" w:space="0" w:color="2870FF" w:themeColor="accent2" w:themeTint="99"/>
            </w:tcBorders>
            <w:noWrap/>
          </w:tcPr>
          <w:p w14:paraId="08F7DE66" w14:textId="3300AAB9" w:rsidR="00954B0E" w:rsidRPr="00613DE5" w:rsidRDefault="00954B0E"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Satisfactory</w:t>
            </w:r>
          </w:p>
        </w:tc>
        <w:tc>
          <w:tcPr>
            <w:tcW w:w="2520" w:type="dxa"/>
            <w:gridSpan w:val="2"/>
            <w:vMerge w:val="restart"/>
            <w:tcBorders>
              <w:left w:val="single" w:sz="4" w:space="0" w:color="2870FF" w:themeColor="accent2" w:themeTint="99"/>
              <w:right w:val="single" w:sz="4" w:space="0" w:color="2870FF" w:themeColor="accent2" w:themeTint="99"/>
            </w:tcBorders>
            <w:noWrap/>
          </w:tcPr>
          <w:p w14:paraId="281B9472" w14:textId="690B32D9" w:rsidR="00954B0E" w:rsidRPr="00613DE5" w:rsidRDefault="00954B0E"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Unsatisfactory</w:t>
            </w:r>
          </w:p>
        </w:tc>
        <w:tc>
          <w:tcPr>
            <w:tcW w:w="1620" w:type="dxa"/>
            <w:vMerge w:val="restart"/>
            <w:tcBorders>
              <w:left w:val="single" w:sz="4" w:space="0" w:color="2870FF" w:themeColor="accent2" w:themeTint="99"/>
            </w:tcBorders>
            <w:noWrap/>
          </w:tcPr>
          <w:p w14:paraId="451AA564" w14:textId="54FE1337" w:rsidR="00954B0E" w:rsidRPr="00613DE5" w:rsidRDefault="00954B0E" w:rsidP="00954B0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Total</w:t>
            </w:r>
          </w:p>
        </w:tc>
      </w:tr>
      <w:tr w:rsidR="00954B0E" w:rsidRPr="00613DE5" w14:paraId="48FD7946" w14:textId="77777777" w:rsidTr="006A54B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626" w:type="dxa"/>
            <w:tcBorders>
              <w:right w:val="single" w:sz="4" w:space="0" w:color="2870FF" w:themeColor="accent2" w:themeTint="99"/>
            </w:tcBorders>
            <w:shd w:val="clear" w:color="auto" w:fill="15284C" w:themeFill="accent5"/>
            <w:noWrap/>
            <w:hideMark/>
          </w:tcPr>
          <w:p w14:paraId="621451BB" w14:textId="1509F4C6" w:rsidR="00954B0E" w:rsidRPr="00613DE5" w:rsidRDefault="00954B0E" w:rsidP="00954B0E">
            <w:pPr>
              <w:rPr>
                <w:rFonts w:eastAsia="Times New Roman" w:cstheme="minorHAnsi"/>
                <w:color w:val="F6F4EC" w:themeColor="background1"/>
                <w:szCs w:val="24"/>
                <w:lang w:val="en-NZ" w:eastAsia="en-NZ"/>
              </w:rPr>
            </w:pPr>
            <w:r w:rsidRPr="00613DE5">
              <w:rPr>
                <w:rFonts w:eastAsia="Times New Roman" w:cstheme="minorHAnsi"/>
                <w:color w:val="F6F4EC" w:themeColor="background1"/>
                <w:szCs w:val="24"/>
                <w:lang w:val="en-NZ" w:eastAsia="en-NZ"/>
              </w:rPr>
              <w:t>District</w:t>
            </w:r>
          </w:p>
        </w:tc>
        <w:tc>
          <w:tcPr>
            <w:tcW w:w="2769" w:type="dxa"/>
            <w:gridSpan w:val="2"/>
            <w:vMerge/>
            <w:tcBorders>
              <w:left w:val="single" w:sz="4" w:space="0" w:color="2870FF" w:themeColor="accent2" w:themeTint="99"/>
              <w:right w:val="single" w:sz="4" w:space="0" w:color="2870FF" w:themeColor="accent2" w:themeTint="99"/>
            </w:tcBorders>
            <w:shd w:val="clear" w:color="auto" w:fill="15284C" w:themeFill="text2"/>
            <w:noWrap/>
            <w:hideMark/>
          </w:tcPr>
          <w:p w14:paraId="409057CA" w14:textId="135496F1" w:rsidR="00954B0E" w:rsidRPr="00613DE5" w:rsidRDefault="00954B0E" w:rsidP="00954B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szCs w:val="24"/>
                <w:lang w:val="en-NZ" w:eastAsia="en-NZ"/>
              </w:rPr>
            </w:pPr>
          </w:p>
        </w:tc>
        <w:tc>
          <w:tcPr>
            <w:tcW w:w="2520" w:type="dxa"/>
            <w:gridSpan w:val="2"/>
            <w:vMerge/>
            <w:tcBorders>
              <w:left w:val="single" w:sz="4" w:space="0" w:color="2870FF" w:themeColor="accent2" w:themeTint="99"/>
              <w:right w:val="single" w:sz="4" w:space="0" w:color="2870FF" w:themeColor="accent2" w:themeTint="99"/>
            </w:tcBorders>
            <w:shd w:val="clear" w:color="auto" w:fill="15284C" w:themeFill="text2"/>
            <w:noWrap/>
            <w:hideMark/>
          </w:tcPr>
          <w:p w14:paraId="7C84A696" w14:textId="1090021F" w:rsidR="00954B0E" w:rsidRPr="00613DE5" w:rsidRDefault="00954B0E" w:rsidP="00954B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szCs w:val="24"/>
                <w:lang w:val="en-NZ" w:eastAsia="en-NZ"/>
              </w:rPr>
            </w:pPr>
          </w:p>
        </w:tc>
        <w:tc>
          <w:tcPr>
            <w:tcW w:w="1620" w:type="dxa"/>
            <w:vMerge/>
            <w:tcBorders>
              <w:left w:val="single" w:sz="4" w:space="0" w:color="2870FF" w:themeColor="accent2" w:themeTint="99"/>
            </w:tcBorders>
            <w:shd w:val="clear" w:color="auto" w:fill="15284C" w:themeFill="text2"/>
            <w:noWrap/>
            <w:hideMark/>
          </w:tcPr>
          <w:p w14:paraId="07F7D044" w14:textId="26F8CE11" w:rsidR="00954B0E" w:rsidRPr="00613DE5" w:rsidRDefault="00954B0E" w:rsidP="00954B0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szCs w:val="24"/>
                <w:lang w:val="en-NZ" w:eastAsia="en-NZ"/>
              </w:rPr>
            </w:pPr>
          </w:p>
        </w:tc>
      </w:tr>
      <w:tr w:rsidR="00954B0E" w:rsidRPr="00613DE5" w14:paraId="72BED606" w14:textId="77777777" w:rsidTr="006A54B1">
        <w:trPr>
          <w:trHeight w:val="290"/>
        </w:trPr>
        <w:tc>
          <w:tcPr>
            <w:cnfStyle w:val="001000000000" w:firstRow="0" w:lastRow="0" w:firstColumn="1" w:lastColumn="0" w:oddVBand="0" w:evenVBand="0" w:oddHBand="0" w:evenHBand="0" w:firstRowFirstColumn="0" w:firstRowLastColumn="0" w:lastRowFirstColumn="0" w:lastRowLastColumn="0"/>
            <w:tcW w:w="2626" w:type="dxa"/>
            <w:shd w:val="clear" w:color="auto" w:fill="15284C" w:themeFill="text2"/>
            <w:noWrap/>
            <w:hideMark/>
          </w:tcPr>
          <w:p w14:paraId="3F225197" w14:textId="77777777" w:rsidR="00954B0E" w:rsidRPr="00613DE5" w:rsidRDefault="00954B0E" w:rsidP="00954B0E">
            <w:pPr>
              <w:rPr>
                <w:rFonts w:eastAsia="Times New Roman" w:cstheme="minorHAnsi"/>
                <w:color w:val="F6F4EC" w:themeColor="background1"/>
                <w:szCs w:val="24"/>
                <w:lang w:val="en-NZ" w:eastAsia="en-NZ"/>
              </w:rPr>
            </w:pPr>
            <w:r w:rsidRPr="00613DE5">
              <w:rPr>
                <w:rFonts w:eastAsia="Times New Roman" w:cstheme="minorHAnsi"/>
                <w:color w:val="F6F4EC" w:themeColor="background1"/>
                <w:szCs w:val="24"/>
                <w:lang w:val="en-NZ" w:eastAsia="en-NZ"/>
              </w:rPr>
              <w:t> </w:t>
            </w:r>
          </w:p>
        </w:tc>
        <w:tc>
          <w:tcPr>
            <w:tcW w:w="1384" w:type="dxa"/>
            <w:shd w:val="clear" w:color="auto" w:fill="15284C" w:themeFill="text2"/>
            <w:noWrap/>
            <w:hideMark/>
          </w:tcPr>
          <w:p w14:paraId="22A0DB8F" w14:textId="77777777" w:rsidR="00954B0E" w:rsidRPr="00613DE5" w:rsidRDefault="00954B0E" w:rsidP="00954B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c>
          <w:tcPr>
            <w:tcW w:w="1385" w:type="dxa"/>
            <w:shd w:val="clear" w:color="auto" w:fill="15284C" w:themeFill="text2"/>
            <w:noWrap/>
            <w:hideMark/>
          </w:tcPr>
          <w:p w14:paraId="1013BE4A" w14:textId="77777777" w:rsidR="00954B0E" w:rsidRPr="00613DE5" w:rsidRDefault="00954B0E" w:rsidP="00954B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w:t>
            </w:r>
          </w:p>
        </w:tc>
        <w:tc>
          <w:tcPr>
            <w:tcW w:w="1260" w:type="dxa"/>
            <w:shd w:val="clear" w:color="auto" w:fill="15284C" w:themeFill="text2"/>
            <w:noWrap/>
            <w:hideMark/>
          </w:tcPr>
          <w:p w14:paraId="6077DF58" w14:textId="77777777" w:rsidR="00954B0E" w:rsidRPr="00613DE5" w:rsidRDefault="00954B0E" w:rsidP="00954B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c>
          <w:tcPr>
            <w:tcW w:w="1260" w:type="dxa"/>
            <w:shd w:val="clear" w:color="auto" w:fill="15284C" w:themeFill="text2"/>
            <w:noWrap/>
            <w:hideMark/>
          </w:tcPr>
          <w:p w14:paraId="71C0113A" w14:textId="77777777" w:rsidR="00954B0E" w:rsidRPr="00613DE5" w:rsidRDefault="00954B0E" w:rsidP="00954B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w:t>
            </w:r>
          </w:p>
        </w:tc>
        <w:tc>
          <w:tcPr>
            <w:tcW w:w="1620" w:type="dxa"/>
            <w:shd w:val="clear" w:color="auto" w:fill="15284C" w:themeFill="text2"/>
            <w:noWrap/>
            <w:hideMark/>
          </w:tcPr>
          <w:p w14:paraId="7061CB3D" w14:textId="77777777" w:rsidR="00954B0E" w:rsidRPr="00613DE5" w:rsidRDefault="00954B0E" w:rsidP="00954B0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r>
      <w:tr w:rsidR="00F55CAB" w:rsidRPr="00613DE5" w14:paraId="51D74DC8"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1E258F8E"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Northland</w:t>
            </w:r>
          </w:p>
        </w:tc>
        <w:tc>
          <w:tcPr>
            <w:tcW w:w="1384" w:type="dxa"/>
            <w:noWrap/>
            <w:vAlign w:val="center"/>
            <w:hideMark/>
          </w:tcPr>
          <w:p w14:paraId="2200F94E"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2,320</w:t>
            </w:r>
          </w:p>
        </w:tc>
        <w:tc>
          <w:tcPr>
            <w:tcW w:w="1385" w:type="dxa"/>
            <w:noWrap/>
            <w:vAlign w:val="center"/>
            <w:hideMark/>
          </w:tcPr>
          <w:p w14:paraId="1A68DA17"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99.4</w:t>
            </w:r>
          </w:p>
        </w:tc>
        <w:tc>
          <w:tcPr>
            <w:tcW w:w="1260" w:type="dxa"/>
            <w:noWrap/>
            <w:vAlign w:val="center"/>
            <w:hideMark/>
          </w:tcPr>
          <w:p w14:paraId="43835309"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w:t>
            </w:r>
          </w:p>
        </w:tc>
        <w:tc>
          <w:tcPr>
            <w:tcW w:w="1260" w:type="dxa"/>
            <w:noWrap/>
            <w:vAlign w:val="center"/>
            <w:hideMark/>
          </w:tcPr>
          <w:p w14:paraId="20156054"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0.6</w:t>
            </w:r>
          </w:p>
        </w:tc>
        <w:tc>
          <w:tcPr>
            <w:tcW w:w="1620" w:type="dxa"/>
            <w:noWrap/>
            <w:vAlign w:val="center"/>
            <w:hideMark/>
          </w:tcPr>
          <w:p w14:paraId="6F1D4B1B"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2,334</w:t>
            </w:r>
          </w:p>
        </w:tc>
      </w:tr>
      <w:tr w:rsidR="00954B0E" w:rsidRPr="00613DE5" w14:paraId="75BBBE0F"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4BCFDEFA"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Waitemata</w:t>
            </w:r>
          </w:p>
        </w:tc>
        <w:tc>
          <w:tcPr>
            <w:tcW w:w="1384" w:type="dxa"/>
            <w:noWrap/>
            <w:vAlign w:val="center"/>
            <w:hideMark/>
          </w:tcPr>
          <w:p w14:paraId="00A9F730"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7,287</w:t>
            </w:r>
          </w:p>
        </w:tc>
        <w:tc>
          <w:tcPr>
            <w:tcW w:w="1385" w:type="dxa"/>
            <w:noWrap/>
            <w:vAlign w:val="center"/>
            <w:hideMark/>
          </w:tcPr>
          <w:p w14:paraId="137CA22A"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c>
          <w:tcPr>
            <w:tcW w:w="1260" w:type="dxa"/>
            <w:noWrap/>
            <w:vAlign w:val="center"/>
            <w:hideMark/>
          </w:tcPr>
          <w:p w14:paraId="2F65E1CD"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54</w:t>
            </w:r>
          </w:p>
        </w:tc>
        <w:tc>
          <w:tcPr>
            <w:tcW w:w="1260" w:type="dxa"/>
            <w:noWrap/>
            <w:vAlign w:val="center"/>
            <w:hideMark/>
          </w:tcPr>
          <w:p w14:paraId="729451D2"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0.7</w:t>
            </w:r>
          </w:p>
        </w:tc>
        <w:tc>
          <w:tcPr>
            <w:tcW w:w="1620" w:type="dxa"/>
            <w:noWrap/>
            <w:vAlign w:val="center"/>
            <w:hideMark/>
          </w:tcPr>
          <w:p w14:paraId="3F13CD67"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7,341</w:t>
            </w:r>
          </w:p>
        </w:tc>
      </w:tr>
      <w:tr w:rsidR="00F55CAB" w:rsidRPr="00613DE5" w14:paraId="5240CD58"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3E7736E4"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Auckland</w:t>
            </w:r>
          </w:p>
        </w:tc>
        <w:tc>
          <w:tcPr>
            <w:tcW w:w="1384" w:type="dxa"/>
            <w:noWrap/>
            <w:vAlign w:val="center"/>
            <w:hideMark/>
          </w:tcPr>
          <w:p w14:paraId="7E81A2F7"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4,926</w:t>
            </w:r>
          </w:p>
        </w:tc>
        <w:tc>
          <w:tcPr>
            <w:tcW w:w="1385" w:type="dxa"/>
            <w:noWrap/>
            <w:vAlign w:val="center"/>
            <w:hideMark/>
          </w:tcPr>
          <w:p w14:paraId="4E55CB46"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99.2</w:t>
            </w:r>
          </w:p>
        </w:tc>
        <w:tc>
          <w:tcPr>
            <w:tcW w:w="1260" w:type="dxa"/>
            <w:noWrap/>
            <w:vAlign w:val="center"/>
            <w:hideMark/>
          </w:tcPr>
          <w:p w14:paraId="4C642BD9"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38</w:t>
            </w:r>
          </w:p>
        </w:tc>
        <w:tc>
          <w:tcPr>
            <w:tcW w:w="1260" w:type="dxa"/>
            <w:noWrap/>
            <w:vAlign w:val="center"/>
            <w:hideMark/>
          </w:tcPr>
          <w:p w14:paraId="39F3017E"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0.8</w:t>
            </w:r>
          </w:p>
        </w:tc>
        <w:tc>
          <w:tcPr>
            <w:tcW w:w="1620" w:type="dxa"/>
            <w:noWrap/>
            <w:vAlign w:val="center"/>
            <w:hideMark/>
          </w:tcPr>
          <w:p w14:paraId="3A8D1A90"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4,964</w:t>
            </w:r>
          </w:p>
        </w:tc>
      </w:tr>
      <w:tr w:rsidR="00954B0E" w:rsidRPr="00613DE5" w14:paraId="58900E0E"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1B128A4E"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Counties Manukau</w:t>
            </w:r>
          </w:p>
        </w:tc>
        <w:tc>
          <w:tcPr>
            <w:tcW w:w="1384" w:type="dxa"/>
            <w:noWrap/>
            <w:vAlign w:val="center"/>
            <w:hideMark/>
          </w:tcPr>
          <w:p w14:paraId="315083F1"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7,830</w:t>
            </w:r>
          </w:p>
        </w:tc>
        <w:tc>
          <w:tcPr>
            <w:tcW w:w="1385" w:type="dxa"/>
            <w:noWrap/>
            <w:vAlign w:val="center"/>
            <w:hideMark/>
          </w:tcPr>
          <w:p w14:paraId="78E27177"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98.9</w:t>
            </w:r>
          </w:p>
        </w:tc>
        <w:tc>
          <w:tcPr>
            <w:tcW w:w="1260" w:type="dxa"/>
            <w:noWrap/>
            <w:vAlign w:val="center"/>
            <w:hideMark/>
          </w:tcPr>
          <w:p w14:paraId="2227D5E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86</w:t>
            </w:r>
          </w:p>
        </w:tc>
        <w:tc>
          <w:tcPr>
            <w:tcW w:w="1260" w:type="dxa"/>
            <w:noWrap/>
            <w:vAlign w:val="center"/>
            <w:hideMark/>
          </w:tcPr>
          <w:p w14:paraId="6D468397"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1.1</w:t>
            </w:r>
          </w:p>
        </w:tc>
        <w:tc>
          <w:tcPr>
            <w:tcW w:w="1620" w:type="dxa"/>
            <w:noWrap/>
            <w:vAlign w:val="center"/>
            <w:hideMark/>
          </w:tcPr>
          <w:p w14:paraId="45333549"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7,916</w:t>
            </w:r>
          </w:p>
        </w:tc>
      </w:tr>
      <w:tr w:rsidR="00F55CAB" w:rsidRPr="00613DE5" w14:paraId="0976D130"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29781571"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Waikato</w:t>
            </w:r>
          </w:p>
        </w:tc>
        <w:tc>
          <w:tcPr>
            <w:tcW w:w="1384" w:type="dxa"/>
            <w:noWrap/>
            <w:vAlign w:val="center"/>
            <w:hideMark/>
          </w:tcPr>
          <w:p w14:paraId="7EDB482B"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5,284</w:t>
            </w:r>
          </w:p>
        </w:tc>
        <w:tc>
          <w:tcPr>
            <w:tcW w:w="1385" w:type="dxa"/>
            <w:noWrap/>
            <w:vAlign w:val="center"/>
            <w:hideMark/>
          </w:tcPr>
          <w:p w14:paraId="3D6C9BB2"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99.2</w:t>
            </w:r>
          </w:p>
        </w:tc>
        <w:tc>
          <w:tcPr>
            <w:tcW w:w="1260" w:type="dxa"/>
            <w:noWrap/>
            <w:vAlign w:val="center"/>
            <w:hideMark/>
          </w:tcPr>
          <w:p w14:paraId="0A9DE218"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41</w:t>
            </w:r>
          </w:p>
        </w:tc>
        <w:tc>
          <w:tcPr>
            <w:tcW w:w="1260" w:type="dxa"/>
            <w:noWrap/>
            <w:vAlign w:val="center"/>
            <w:hideMark/>
          </w:tcPr>
          <w:p w14:paraId="65F771CE"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0.8</w:t>
            </w:r>
          </w:p>
        </w:tc>
        <w:tc>
          <w:tcPr>
            <w:tcW w:w="1620" w:type="dxa"/>
            <w:noWrap/>
            <w:vAlign w:val="center"/>
            <w:hideMark/>
          </w:tcPr>
          <w:p w14:paraId="60D5E9CA"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5,325</w:t>
            </w:r>
          </w:p>
        </w:tc>
      </w:tr>
      <w:tr w:rsidR="00954B0E" w:rsidRPr="00613DE5" w14:paraId="2FE672E0"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2E43DA02"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Lakes</w:t>
            </w:r>
          </w:p>
        </w:tc>
        <w:tc>
          <w:tcPr>
            <w:tcW w:w="1384" w:type="dxa"/>
            <w:noWrap/>
            <w:vAlign w:val="center"/>
            <w:hideMark/>
          </w:tcPr>
          <w:p w14:paraId="7C0F41B6"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1,493</w:t>
            </w:r>
          </w:p>
        </w:tc>
        <w:tc>
          <w:tcPr>
            <w:tcW w:w="1385" w:type="dxa"/>
            <w:noWrap/>
            <w:vAlign w:val="center"/>
            <w:hideMark/>
          </w:tcPr>
          <w:p w14:paraId="7058CBCA"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98.8</w:t>
            </w:r>
          </w:p>
        </w:tc>
        <w:tc>
          <w:tcPr>
            <w:tcW w:w="1260" w:type="dxa"/>
            <w:noWrap/>
            <w:vAlign w:val="center"/>
            <w:hideMark/>
          </w:tcPr>
          <w:p w14:paraId="198EFB26"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w:t>
            </w:r>
          </w:p>
        </w:tc>
        <w:tc>
          <w:tcPr>
            <w:tcW w:w="1260" w:type="dxa"/>
            <w:noWrap/>
            <w:vAlign w:val="center"/>
            <w:hideMark/>
          </w:tcPr>
          <w:p w14:paraId="1D459089"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w:t>
            </w:r>
          </w:p>
        </w:tc>
        <w:tc>
          <w:tcPr>
            <w:tcW w:w="1620" w:type="dxa"/>
            <w:noWrap/>
            <w:vAlign w:val="center"/>
            <w:hideMark/>
          </w:tcPr>
          <w:p w14:paraId="10C6A64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1,511</w:t>
            </w:r>
          </w:p>
        </w:tc>
      </w:tr>
      <w:tr w:rsidR="00F55CAB" w:rsidRPr="00613DE5" w14:paraId="5395D5D2"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36D1B6DE"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Bay of Plenty</w:t>
            </w:r>
          </w:p>
        </w:tc>
        <w:tc>
          <w:tcPr>
            <w:tcW w:w="1384" w:type="dxa"/>
            <w:noWrap/>
            <w:vAlign w:val="center"/>
            <w:hideMark/>
          </w:tcPr>
          <w:p w14:paraId="26614508"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3,078</w:t>
            </w:r>
          </w:p>
        </w:tc>
        <w:tc>
          <w:tcPr>
            <w:tcW w:w="1385" w:type="dxa"/>
            <w:noWrap/>
            <w:vAlign w:val="center"/>
            <w:hideMark/>
          </w:tcPr>
          <w:p w14:paraId="7CA20A56"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260" w:type="dxa"/>
            <w:noWrap/>
            <w:vAlign w:val="center"/>
            <w:hideMark/>
          </w:tcPr>
          <w:p w14:paraId="6F737B8D"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30</w:t>
            </w:r>
          </w:p>
        </w:tc>
        <w:tc>
          <w:tcPr>
            <w:tcW w:w="1260" w:type="dxa"/>
            <w:noWrap/>
            <w:vAlign w:val="center"/>
            <w:hideMark/>
          </w:tcPr>
          <w:p w14:paraId="3C57C93B"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w:t>
            </w:r>
          </w:p>
        </w:tc>
        <w:tc>
          <w:tcPr>
            <w:tcW w:w="1620" w:type="dxa"/>
            <w:noWrap/>
            <w:vAlign w:val="center"/>
            <w:hideMark/>
          </w:tcPr>
          <w:p w14:paraId="0ECFC3C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3,108</w:t>
            </w:r>
          </w:p>
        </w:tc>
      </w:tr>
      <w:tr w:rsidR="00954B0E" w:rsidRPr="00613DE5" w14:paraId="56ABDDD6"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3638CC28"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Tairawhiti</w:t>
            </w:r>
          </w:p>
        </w:tc>
        <w:tc>
          <w:tcPr>
            <w:tcW w:w="1384" w:type="dxa"/>
            <w:noWrap/>
            <w:vAlign w:val="center"/>
            <w:hideMark/>
          </w:tcPr>
          <w:p w14:paraId="3BFCDF77"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691</w:t>
            </w:r>
          </w:p>
        </w:tc>
        <w:tc>
          <w:tcPr>
            <w:tcW w:w="1385" w:type="dxa"/>
            <w:noWrap/>
            <w:vAlign w:val="center"/>
            <w:hideMark/>
          </w:tcPr>
          <w:p w14:paraId="6F15B643"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260" w:type="dxa"/>
            <w:noWrap/>
            <w:vAlign w:val="center"/>
            <w:hideMark/>
          </w:tcPr>
          <w:p w14:paraId="2EFE26F8"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w:t>
            </w:r>
          </w:p>
        </w:tc>
        <w:tc>
          <w:tcPr>
            <w:tcW w:w="1260" w:type="dxa"/>
            <w:noWrap/>
            <w:vAlign w:val="center"/>
            <w:hideMark/>
          </w:tcPr>
          <w:p w14:paraId="6729D108"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w:t>
            </w:r>
          </w:p>
        </w:tc>
        <w:tc>
          <w:tcPr>
            <w:tcW w:w="1620" w:type="dxa"/>
            <w:noWrap/>
            <w:vAlign w:val="center"/>
            <w:hideMark/>
          </w:tcPr>
          <w:p w14:paraId="4A45110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698</w:t>
            </w:r>
          </w:p>
        </w:tc>
      </w:tr>
      <w:tr w:rsidR="00F55CAB" w:rsidRPr="00613DE5" w14:paraId="6A0588E4"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1A6A4AD6"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Hawkes Bay</w:t>
            </w:r>
          </w:p>
        </w:tc>
        <w:tc>
          <w:tcPr>
            <w:tcW w:w="1384" w:type="dxa"/>
            <w:noWrap/>
            <w:vAlign w:val="center"/>
            <w:hideMark/>
          </w:tcPr>
          <w:p w14:paraId="7AC5C36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2,011</w:t>
            </w:r>
          </w:p>
        </w:tc>
        <w:tc>
          <w:tcPr>
            <w:tcW w:w="1385" w:type="dxa"/>
            <w:noWrap/>
            <w:vAlign w:val="center"/>
            <w:hideMark/>
          </w:tcPr>
          <w:p w14:paraId="0FE5B064"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c>
          <w:tcPr>
            <w:tcW w:w="1260" w:type="dxa"/>
            <w:noWrap/>
            <w:vAlign w:val="center"/>
            <w:hideMark/>
          </w:tcPr>
          <w:p w14:paraId="79ACB6E1"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w:t>
            </w:r>
          </w:p>
        </w:tc>
        <w:tc>
          <w:tcPr>
            <w:tcW w:w="1260" w:type="dxa"/>
            <w:noWrap/>
            <w:vAlign w:val="center"/>
            <w:hideMark/>
          </w:tcPr>
          <w:p w14:paraId="71F0CBAC"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0.7</w:t>
            </w:r>
          </w:p>
        </w:tc>
        <w:tc>
          <w:tcPr>
            <w:tcW w:w="1620" w:type="dxa"/>
            <w:noWrap/>
            <w:vAlign w:val="center"/>
            <w:hideMark/>
          </w:tcPr>
          <w:p w14:paraId="3DC28217"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2,025</w:t>
            </w:r>
          </w:p>
        </w:tc>
      </w:tr>
      <w:tr w:rsidR="00954B0E" w:rsidRPr="00613DE5" w14:paraId="70A2C61B"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7161792D"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Taranaki</w:t>
            </w:r>
          </w:p>
        </w:tc>
        <w:tc>
          <w:tcPr>
            <w:tcW w:w="1384" w:type="dxa"/>
            <w:noWrap/>
            <w:vAlign w:val="center"/>
            <w:hideMark/>
          </w:tcPr>
          <w:p w14:paraId="4372B832"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1,347</w:t>
            </w:r>
          </w:p>
        </w:tc>
        <w:tc>
          <w:tcPr>
            <w:tcW w:w="1385" w:type="dxa"/>
            <w:noWrap/>
            <w:vAlign w:val="center"/>
            <w:hideMark/>
          </w:tcPr>
          <w:p w14:paraId="231131F4"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98.5</w:t>
            </w:r>
          </w:p>
        </w:tc>
        <w:tc>
          <w:tcPr>
            <w:tcW w:w="1260" w:type="dxa"/>
            <w:noWrap/>
            <w:vAlign w:val="center"/>
            <w:hideMark/>
          </w:tcPr>
          <w:p w14:paraId="65B624A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w:t>
            </w:r>
          </w:p>
        </w:tc>
        <w:tc>
          <w:tcPr>
            <w:tcW w:w="1260" w:type="dxa"/>
            <w:noWrap/>
            <w:vAlign w:val="center"/>
            <w:hideMark/>
          </w:tcPr>
          <w:p w14:paraId="17A9BBD2"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w:t>
            </w:r>
          </w:p>
        </w:tc>
        <w:tc>
          <w:tcPr>
            <w:tcW w:w="1620" w:type="dxa"/>
            <w:noWrap/>
            <w:vAlign w:val="center"/>
            <w:hideMark/>
          </w:tcPr>
          <w:p w14:paraId="659718E4"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1,367</w:t>
            </w:r>
          </w:p>
        </w:tc>
      </w:tr>
      <w:tr w:rsidR="00F55CAB" w:rsidRPr="00613DE5" w14:paraId="79B988D1"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2F96ED80"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MidCentral</w:t>
            </w:r>
          </w:p>
        </w:tc>
        <w:tc>
          <w:tcPr>
            <w:tcW w:w="1384" w:type="dxa"/>
            <w:noWrap/>
            <w:vAlign w:val="center"/>
            <w:hideMark/>
          </w:tcPr>
          <w:p w14:paraId="4C220C5C"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2,085</w:t>
            </w:r>
          </w:p>
        </w:tc>
        <w:tc>
          <w:tcPr>
            <w:tcW w:w="1385" w:type="dxa"/>
            <w:noWrap/>
            <w:vAlign w:val="center"/>
            <w:hideMark/>
          </w:tcPr>
          <w:p w14:paraId="5140FC7D"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98.7</w:t>
            </w:r>
          </w:p>
        </w:tc>
        <w:tc>
          <w:tcPr>
            <w:tcW w:w="1260" w:type="dxa"/>
            <w:noWrap/>
            <w:vAlign w:val="center"/>
            <w:hideMark/>
          </w:tcPr>
          <w:p w14:paraId="452323CC"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w:t>
            </w:r>
          </w:p>
        </w:tc>
        <w:tc>
          <w:tcPr>
            <w:tcW w:w="1260" w:type="dxa"/>
            <w:noWrap/>
            <w:vAlign w:val="center"/>
            <w:hideMark/>
          </w:tcPr>
          <w:p w14:paraId="70212186"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w:t>
            </w:r>
          </w:p>
        </w:tc>
        <w:tc>
          <w:tcPr>
            <w:tcW w:w="1620" w:type="dxa"/>
            <w:noWrap/>
            <w:vAlign w:val="center"/>
            <w:hideMark/>
          </w:tcPr>
          <w:p w14:paraId="420FF868"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2,113</w:t>
            </w:r>
          </w:p>
        </w:tc>
      </w:tr>
      <w:tr w:rsidR="00954B0E" w:rsidRPr="00613DE5" w14:paraId="1F49B309"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5DC2AE5D"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Whanganui</w:t>
            </w:r>
          </w:p>
        </w:tc>
        <w:tc>
          <w:tcPr>
            <w:tcW w:w="1384" w:type="dxa"/>
            <w:noWrap/>
            <w:vAlign w:val="center"/>
            <w:hideMark/>
          </w:tcPr>
          <w:p w14:paraId="10A80A1E"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788</w:t>
            </w:r>
          </w:p>
        </w:tc>
        <w:tc>
          <w:tcPr>
            <w:tcW w:w="1385" w:type="dxa"/>
            <w:noWrap/>
            <w:vAlign w:val="center"/>
            <w:hideMark/>
          </w:tcPr>
          <w:p w14:paraId="1998DCB2"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98.5</w:t>
            </w:r>
          </w:p>
        </w:tc>
        <w:tc>
          <w:tcPr>
            <w:tcW w:w="1260" w:type="dxa"/>
            <w:noWrap/>
            <w:vAlign w:val="center"/>
            <w:hideMark/>
          </w:tcPr>
          <w:p w14:paraId="18574A32"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w:t>
            </w:r>
          </w:p>
        </w:tc>
        <w:tc>
          <w:tcPr>
            <w:tcW w:w="1260" w:type="dxa"/>
            <w:noWrap/>
            <w:vAlign w:val="center"/>
            <w:hideMark/>
          </w:tcPr>
          <w:p w14:paraId="67C6161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w:t>
            </w:r>
          </w:p>
        </w:tc>
        <w:tc>
          <w:tcPr>
            <w:tcW w:w="1620" w:type="dxa"/>
            <w:noWrap/>
            <w:vAlign w:val="center"/>
            <w:hideMark/>
          </w:tcPr>
          <w:p w14:paraId="354B27F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800</w:t>
            </w:r>
          </w:p>
        </w:tc>
      </w:tr>
      <w:tr w:rsidR="00F55CAB" w:rsidRPr="00613DE5" w14:paraId="2BE0B54E"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6966147E"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Capital and Coast</w:t>
            </w:r>
          </w:p>
        </w:tc>
        <w:tc>
          <w:tcPr>
            <w:tcW w:w="1384" w:type="dxa"/>
            <w:noWrap/>
            <w:vAlign w:val="center"/>
            <w:hideMark/>
          </w:tcPr>
          <w:p w14:paraId="0C2D16C5"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2,867</w:t>
            </w:r>
          </w:p>
        </w:tc>
        <w:tc>
          <w:tcPr>
            <w:tcW w:w="1385" w:type="dxa"/>
            <w:noWrap/>
            <w:vAlign w:val="center"/>
            <w:hideMark/>
          </w:tcPr>
          <w:p w14:paraId="38CF33BF"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260" w:type="dxa"/>
            <w:noWrap/>
            <w:vAlign w:val="center"/>
            <w:hideMark/>
          </w:tcPr>
          <w:p w14:paraId="0000F85D"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27</w:t>
            </w:r>
          </w:p>
        </w:tc>
        <w:tc>
          <w:tcPr>
            <w:tcW w:w="1260" w:type="dxa"/>
            <w:noWrap/>
            <w:vAlign w:val="center"/>
            <w:hideMark/>
          </w:tcPr>
          <w:p w14:paraId="4044B052"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w:t>
            </w:r>
          </w:p>
        </w:tc>
        <w:tc>
          <w:tcPr>
            <w:tcW w:w="1620" w:type="dxa"/>
            <w:noWrap/>
            <w:vAlign w:val="center"/>
            <w:hideMark/>
          </w:tcPr>
          <w:p w14:paraId="262D1DE6"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2,894</w:t>
            </w:r>
          </w:p>
        </w:tc>
      </w:tr>
      <w:tr w:rsidR="00954B0E" w:rsidRPr="00613DE5" w14:paraId="164435F6"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66984661"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Hutt Valley</w:t>
            </w:r>
          </w:p>
        </w:tc>
        <w:tc>
          <w:tcPr>
            <w:tcW w:w="1384" w:type="dxa"/>
            <w:noWrap/>
            <w:vAlign w:val="center"/>
            <w:hideMark/>
          </w:tcPr>
          <w:p w14:paraId="7AD0D74B"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1,804</w:t>
            </w:r>
          </w:p>
        </w:tc>
        <w:tc>
          <w:tcPr>
            <w:tcW w:w="1385" w:type="dxa"/>
            <w:noWrap/>
            <w:vAlign w:val="center"/>
            <w:hideMark/>
          </w:tcPr>
          <w:p w14:paraId="38E05334"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99.4</w:t>
            </w:r>
          </w:p>
        </w:tc>
        <w:tc>
          <w:tcPr>
            <w:tcW w:w="1260" w:type="dxa"/>
            <w:noWrap/>
            <w:vAlign w:val="center"/>
            <w:hideMark/>
          </w:tcPr>
          <w:p w14:paraId="10E4CE95"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w:t>
            </w:r>
          </w:p>
        </w:tc>
        <w:tc>
          <w:tcPr>
            <w:tcW w:w="1260" w:type="dxa"/>
            <w:noWrap/>
            <w:vAlign w:val="center"/>
            <w:hideMark/>
          </w:tcPr>
          <w:p w14:paraId="34D5D1B1"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0.6</w:t>
            </w:r>
          </w:p>
        </w:tc>
        <w:tc>
          <w:tcPr>
            <w:tcW w:w="1620" w:type="dxa"/>
            <w:noWrap/>
            <w:vAlign w:val="center"/>
            <w:hideMark/>
          </w:tcPr>
          <w:p w14:paraId="09DA498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1,814</w:t>
            </w:r>
          </w:p>
        </w:tc>
      </w:tr>
      <w:tr w:rsidR="00F55CAB" w:rsidRPr="00613DE5" w14:paraId="6D8491C4"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51D6D763"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Wairarapa</w:t>
            </w:r>
          </w:p>
        </w:tc>
        <w:tc>
          <w:tcPr>
            <w:tcW w:w="1384" w:type="dxa"/>
            <w:noWrap/>
            <w:vAlign w:val="center"/>
            <w:hideMark/>
          </w:tcPr>
          <w:p w14:paraId="3A11D392"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524</w:t>
            </w:r>
          </w:p>
        </w:tc>
        <w:tc>
          <w:tcPr>
            <w:tcW w:w="1385" w:type="dxa"/>
            <w:noWrap/>
            <w:vAlign w:val="center"/>
            <w:hideMark/>
          </w:tcPr>
          <w:p w14:paraId="58EE6360"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260" w:type="dxa"/>
            <w:noWrap/>
            <w:vAlign w:val="center"/>
            <w:hideMark/>
          </w:tcPr>
          <w:p w14:paraId="4C6743D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w:t>
            </w:r>
          </w:p>
        </w:tc>
        <w:tc>
          <w:tcPr>
            <w:tcW w:w="1260" w:type="dxa"/>
            <w:noWrap/>
            <w:vAlign w:val="center"/>
            <w:hideMark/>
          </w:tcPr>
          <w:p w14:paraId="30A1C959"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w:t>
            </w:r>
          </w:p>
        </w:tc>
        <w:tc>
          <w:tcPr>
            <w:tcW w:w="1620" w:type="dxa"/>
            <w:noWrap/>
            <w:vAlign w:val="center"/>
            <w:hideMark/>
          </w:tcPr>
          <w:p w14:paraId="49B6310D"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529</w:t>
            </w:r>
          </w:p>
        </w:tc>
      </w:tr>
      <w:tr w:rsidR="00954B0E" w:rsidRPr="00613DE5" w14:paraId="2BA27C08"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11D90870"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Nelson Marlborough</w:t>
            </w:r>
          </w:p>
        </w:tc>
        <w:tc>
          <w:tcPr>
            <w:tcW w:w="1384" w:type="dxa"/>
            <w:noWrap/>
            <w:vAlign w:val="center"/>
            <w:hideMark/>
          </w:tcPr>
          <w:p w14:paraId="4E256A75"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1,378</w:t>
            </w:r>
          </w:p>
        </w:tc>
        <w:tc>
          <w:tcPr>
            <w:tcW w:w="1385" w:type="dxa"/>
            <w:noWrap/>
            <w:vAlign w:val="center"/>
            <w:hideMark/>
          </w:tcPr>
          <w:p w14:paraId="0C71E612"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260" w:type="dxa"/>
            <w:noWrap/>
            <w:vAlign w:val="center"/>
            <w:hideMark/>
          </w:tcPr>
          <w:p w14:paraId="0893F2AB"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w:t>
            </w:r>
          </w:p>
        </w:tc>
        <w:tc>
          <w:tcPr>
            <w:tcW w:w="1260" w:type="dxa"/>
            <w:noWrap/>
            <w:vAlign w:val="center"/>
            <w:hideMark/>
          </w:tcPr>
          <w:p w14:paraId="2ED15174"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w:t>
            </w:r>
          </w:p>
        </w:tc>
        <w:tc>
          <w:tcPr>
            <w:tcW w:w="1620" w:type="dxa"/>
            <w:noWrap/>
            <w:vAlign w:val="center"/>
            <w:hideMark/>
          </w:tcPr>
          <w:p w14:paraId="2F2EA5FC"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1,390</w:t>
            </w:r>
          </w:p>
        </w:tc>
      </w:tr>
      <w:tr w:rsidR="00F55CAB" w:rsidRPr="00613DE5" w14:paraId="4EB5EA5E"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137CFD53"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West Coast</w:t>
            </w:r>
          </w:p>
        </w:tc>
        <w:tc>
          <w:tcPr>
            <w:tcW w:w="1384" w:type="dxa"/>
            <w:noWrap/>
            <w:vAlign w:val="center"/>
            <w:hideMark/>
          </w:tcPr>
          <w:p w14:paraId="3D0F1864"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291</w:t>
            </w:r>
          </w:p>
        </w:tc>
        <w:tc>
          <w:tcPr>
            <w:tcW w:w="1385" w:type="dxa"/>
            <w:noWrap/>
            <w:vAlign w:val="center"/>
            <w:hideMark/>
          </w:tcPr>
          <w:p w14:paraId="072799DC"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260" w:type="dxa"/>
            <w:noWrap/>
            <w:vAlign w:val="center"/>
            <w:hideMark/>
          </w:tcPr>
          <w:p w14:paraId="1546451F"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w:t>
            </w:r>
          </w:p>
        </w:tc>
        <w:tc>
          <w:tcPr>
            <w:tcW w:w="1260" w:type="dxa"/>
            <w:noWrap/>
            <w:vAlign w:val="center"/>
            <w:hideMark/>
          </w:tcPr>
          <w:p w14:paraId="43D67294"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0.0</w:t>
            </w:r>
          </w:p>
        </w:tc>
        <w:tc>
          <w:tcPr>
            <w:tcW w:w="1620" w:type="dxa"/>
            <w:noWrap/>
            <w:vAlign w:val="center"/>
            <w:hideMark/>
          </w:tcPr>
          <w:p w14:paraId="14F67A1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291</w:t>
            </w:r>
          </w:p>
        </w:tc>
      </w:tr>
      <w:tr w:rsidR="00954B0E" w:rsidRPr="00613DE5" w14:paraId="11C76E10"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33ECEC38"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Canterbury</w:t>
            </w:r>
          </w:p>
        </w:tc>
        <w:tc>
          <w:tcPr>
            <w:tcW w:w="1384" w:type="dxa"/>
            <w:noWrap/>
            <w:vAlign w:val="center"/>
            <w:hideMark/>
          </w:tcPr>
          <w:p w14:paraId="232EF28B"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6,451</w:t>
            </w:r>
          </w:p>
        </w:tc>
        <w:tc>
          <w:tcPr>
            <w:tcW w:w="1385" w:type="dxa"/>
            <w:noWrap/>
            <w:vAlign w:val="center"/>
            <w:hideMark/>
          </w:tcPr>
          <w:p w14:paraId="5B1B7BF0"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99.3</w:t>
            </w:r>
          </w:p>
        </w:tc>
        <w:tc>
          <w:tcPr>
            <w:tcW w:w="1260" w:type="dxa"/>
            <w:noWrap/>
            <w:vAlign w:val="center"/>
            <w:hideMark/>
          </w:tcPr>
          <w:p w14:paraId="486E7DEE"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47</w:t>
            </w:r>
          </w:p>
        </w:tc>
        <w:tc>
          <w:tcPr>
            <w:tcW w:w="1260" w:type="dxa"/>
            <w:noWrap/>
            <w:vAlign w:val="center"/>
            <w:hideMark/>
          </w:tcPr>
          <w:p w14:paraId="51E1E1D6"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0.7</w:t>
            </w:r>
          </w:p>
        </w:tc>
        <w:tc>
          <w:tcPr>
            <w:tcW w:w="1620" w:type="dxa"/>
            <w:noWrap/>
            <w:vAlign w:val="center"/>
            <w:hideMark/>
          </w:tcPr>
          <w:p w14:paraId="61A1A86E"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6,498</w:t>
            </w:r>
          </w:p>
        </w:tc>
      </w:tr>
      <w:tr w:rsidR="00F55CAB" w:rsidRPr="00613DE5" w14:paraId="345306BD"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2AD61715"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 Canterbury</w:t>
            </w:r>
          </w:p>
        </w:tc>
        <w:tc>
          <w:tcPr>
            <w:tcW w:w="1384" w:type="dxa"/>
            <w:noWrap/>
            <w:vAlign w:val="center"/>
            <w:hideMark/>
          </w:tcPr>
          <w:p w14:paraId="72404E1A"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582</w:t>
            </w:r>
          </w:p>
        </w:tc>
        <w:tc>
          <w:tcPr>
            <w:tcW w:w="1385" w:type="dxa"/>
            <w:noWrap/>
            <w:vAlign w:val="center"/>
            <w:hideMark/>
          </w:tcPr>
          <w:p w14:paraId="2801349B"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99.0</w:t>
            </w:r>
          </w:p>
        </w:tc>
        <w:tc>
          <w:tcPr>
            <w:tcW w:w="1260" w:type="dxa"/>
            <w:noWrap/>
            <w:vAlign w:val="center"/>
            <w:hideMark/>
          </w:tcPr>
          <w:p w14:paraId="514BED35"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w:t>
            </w:r>
          </w:p>
        </w:tc>
        <w:tc>
          <w:tcPr>
            <w:tcW w:w="1260" w:type="dxa"/>
            <w:noWrap/>
            <w:vAlign w:val="center"/>
            <w:hideMark/>
          </w:tcPr>
          <w:p w14:paraId="68D7EE5B"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w:t>
            </w:r>
          </w:p>
        </w:tc>
        <w:tc>
          <w:tcPr>
            <w:tcW w:w="1620" w:type="dxa"/>
            <w:noWrap/>
            <w:vAlign w:val="center"/>
            <w:hideMark/>
          </w:tcPr>
          <w:p w14:paraId="3EE00CAC"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588</w:t>
            </w:r>
          </w:p>
        </w:tc>
      </w:tr>
      <w:tr w:rsidR="00954B0E" w:rsidRPr="00613DE5" w14:paraId="79EBB1BA"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70365BD8" w14:textId="77777777" w:rsidR="00954B0E" w:rsidRPr="00613DE5" w:rsidRDefault="00954B0E"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Southern</w:t>
            </w:r>
          </w:p>
        </w:tc>
        <w:tc>
          <w:tcPr>
            <w:tcW w:w="1384" w:type="dxa"/>
            <w:noWrap/>
            <w:vAlign w:val="center"/>
            <w:hideMark/>
          </w:tcPr>
          <w:p w14:paraId="706E6FD7"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3,317</w:t>
            </w:r>
          </w:p>
        </w:tc>
        <w:tc>
          <w:tcPr>
            <w:tcW w:w="1385" w:type="dxa"/>
            <w:noWrap/>
            <w:vAlign w:val="center"/>
            <w:hideMark/>
          </w:tcPr>
          <w:p w14:paraId="57C58D68"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99.1</w:t>
            </w:r>
          </w:p>
        </w:tc>
        <w:tc>
          <w:tcPr>
            <w:tcW w:w="1260" w:type="dxa"/>
            <w:noWrap/>
            <w:vAlign w:val="center"/>
            <w:hideMark/>
          </w:tcPr>
          <w:p w14:paraId="50CEA3D3"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w:t>
            </w:r>
          </w:p>
        </w:tc>
        <w:tc>
          <w:tcPr>
            <w:tcW w:w="1260" w:type="dxa"/>
            <w:noWrap/>
            <w:vAlign w:val="center"/>
            <w:hideMark/>
          </w:tcPr>
          <w:p w14:paraId="226FB5B6"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0.9</w:t>
            </w:r>
          </w:p>
        </w:tc>
        <w:tc>
          <w:tcPr>
            <w:tcW w:w="1620" w:type="dxa"/>
            <w:noWrap/>
            <w:vAlign w:val="center"/>
            <w:hideMark/>
          </w:tcPr>
          <w:p w14:paraId="329ADBB6" w14:textId="77777777" w:rsidR="00954B0E" w:rsidRPr="00613DE5" w:rsidRDefault="00954B0E"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3,348</w:t>
            </w:r>
          </w:p>
        </w:tc>
      </w:tr>
      <w:tr w:rsidR="00954B0E" w:rsidRPr="00613DE5" w14:paraId="71DFDBDC"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26" w:type="dxa"/>
            <w:noWrap/>
            <w:vAlign w:val="center"/>
            <w:hideMark/>
          </w:tcPr>
          <w:p w14:paraId="620E19E4" w14:textId="77777777" w:rsidR="00954B0E" w:rsidRPr="00613DE5" w:rsidRDefault="00954B0E" w:rsidP="00065F12">
            <w:pP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National</w:t>
            </w:r>
          </w:p>
        </w:tc>
        <w:tc>
          <w:tcPr>
            <w:tcW w:w="1384" w:type="dxa"/>
            <w:noWrap/>
            <w:vAlign w:val="center"/>
            <w:hideMark/>
          </w:tcPr>
          <w:p w14:paraId="52041A44"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56,375</w:t>
            </w:r>
          </w:p>
        </w:tc>
        <w:tc>
          <w:tcPr>
            <w:tcW w:w="1385" w:type="dxa"/>
            <w:noWrap/>
            <w:vAlign w:val="center"/>
            <w:hideMark/>
          </w:tcPr>
          <w:p w14:paraId="027085C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99.1</w:t>
            </w:r>
          </w:p>
        </w:tc>
        <w:tc>
          <w:tcPr>
            <w:tcW w:w="1260" w:type="dxa"/>
            <w:noWrap/>
            <w:vAlign w:val="center"/>
            <w:hideMark/>
          </w:tcPr>
          <w:p w14:paraId="31C8424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500</w:t>
            </w:r>
          </w:p>
        </w:tc>
        <w:tc>
          <w:tcPr>
            <w:tcW w:w="1260" w:type="dxa"/>
            <w:noWrap/>
            <w:vAlign w:val="center"/>
            <w:hideMark/>
          </w:tcPr>
          <w:p w14:paraId="6AA2D590"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0.9</w:t>
            </w:r>
          </w:p>
        </w:tc>
        <w:tc>
          <w:tcPr>
            <w:tcW w:w="1620" w:type="dxa"/>
            <w:noWrap/>
            <w:vAlign w:val="center"/>
            <w:hideMark/>
          </w:tcPr>
          <w:p w14:paraId="03E7E243" w14:textId="77777777" w:rsidR="00954B0E" w:rsidRPr="00613DE5" w:rsidRDefault="00954B0E"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56,875</w:t>
            </w:r>
          </w:p>
        </w:tc>
      </w:tr>
    </w:tbl>
    <w:p w14:paraId="3402779D" w14:textId="428B28CD" w:rsidR="00D73FDA" w:rsidRPr="00613DE5" w:rsidRDefault="00D73FDA" w:rsidP="00C042EF">
      <w:pPr>
        <w:rPr>
          <w:lang w:val="en-NZ"/>
        </w:rPr>
      </w:pPr>
    </w:p>
    <w:p w14:paraId="6FA91A16" w14:textId="77777777" w:rsidR="00D73FDA" w:rsidRPr="00613DE5" w:rsidRDefault="00D73FDA">
      <w:pPr>
        <w:rPr>
          <w:lang w:val="en-NZ"/>
        </w:rPr>
      </w:pPr>
      <w:r w:rsidRPr="00613DE5">
        <w:rPr>
          <w:lang w:val="en-NZ"/>
        </w:rPr>
        <w:br w:type="page"/>
      </w:r>
    </w:p>
    <w:p w14:paraId="7791600B" w14:textId="77777777" w:rsidR="00C93BDF" w:rsidRPr="00613DE5" w:rsidRDefault="00D675FC" w:rsidP="00D675FC">
      <w:pPr>
        <w:pStyle w:val="Heading1"/>
        <w:rPr>
          <w:lang w:val="en-NZ"/>
        </w:rPr>
      </w:pPr>
      <w:bookmarkStart w:id="39" w:name="_Toc179192060"/>
      <w:r w:rsidRPr="00613DE5">
        <w:rPr>
          <w:lang w:val="en-NZ"/>
        </w:rPr>
        <w:lastRenderedPageBreak/>
        <w:t>Indicator 4: Sample dispatch and delivery</w:t>
      </w:r>
      <w:bookmarkStart w:id="40" w:name="_Toc160616219"/>
      <w:bookmarkEnd w:id="39"/>
      <w:r w:rsidRPr="00613DE5">
        <w:rPr>
          <w:lang w:val="en-NZ"/>
        </w:rPr>
        <w:t xml:space="preserve"> </w:t>
      </w:r>
    </w:p>
    <w:bookmarkEnd w:id="40"/>
    <w:p w14:paraId="60BC1762" w14:textId="77777777" w:rsidR="00D675FC" w:rsidRPr="00613DE5" w:rsidRDefault="00D675FC" w:rsidP="00D675FC">
      <w:pPr>
        <w:rPr>
          <w:lang w:val="en-NZ"/>
        </w:rPr>
      </w:pPr>
      <w:r w:rsidRPr="00613DE5">
        <w:rPr>
          <w:b/>
          <w:bCs/>
          <w:lang w:val="en-NZ"/>
        </w:rPr>
        <w:t>Description:</w:t>
      </w:r>
      <w:r w:rsidRPr="00613DE5">
        <w:rPr>
          <w:lang w:val="en-NZ"/>
        </w:rPr>
        <w:t xml:space="preserve"> The time taken for the sample to be received by the laboratory after being taken.</w:t>
      </w:r>
    </w:p>
    <w:p w14:paraId="2ADA063C" w14:textId="2A919247" w:rsidR="00D675FC" w:rsidRPr="00613DE5" w:rsidRDefault="00D675FC" w:rsidP="00D675FC">
      <w:pPr>
        <w:rPr>
          <w:lang w:val="en-NZ"/>
        </w:rPr>
      </w:pPr>
      <w:r w:rsidRPr="00613DE5">
        <w:rPr>
          <w:b/>
          <w:bCs/>
          <w:lang w:val="en-NZ"/>
        </w:rPr>
        <w:t>Rationale:</w:t>
      </w:r>
      <w:r w:rsidRPr="00613DE5">
        <w:rPr>
          <w:lang w:val="en-NZ"/>
        </w:rPr>
        <w:t xml:space="preserve"> Samples must be received by the laboratory as soon as possible</w:t>
      </w:r>
      <w:r w:rsidR="00255B55">
        <w:rPr>
          <w:lang w:val="en-NZ"/>
        </w:rPr>
        <w:t xml:space="preserve"> </w:t>
      </w:r>
      <w:r w:rsidRPr="00613DE5">
        <w:rPr>
          <w:lang w:val="en-NZ"/>
        </w:rPr>
        <w:t>after they are taken.</w:t>
      </w:r>
    </w:p>
    <w:p w14:paraId="092DFA66" w14:textId="77777777" w:rsidR="00D675FC" w:rsidRPr="00613DE5" w:rsidRDefault="00D675FC" w:rsidP="00D675FC">
      <w:pPr>
        <w:rPr>
          <w:lang w:val="en-NZ"/>
        </w:rPr>
      </w:pPr>
      <w:r w:rsidRPr="00613DE5">
        <w:rPr>
          <w:b/>
          <w:bCs/>
          <w:lang w:val="en-NZ"/>
        </w:rPr>
        <w:t>Target:</w:t>
      </w:r>
      <w:r w:rsidRPr="00613DE5">
        <w:rPr>
          <w:lang w:val="en-NZ"/>
        </w:rPr>
        <w:t xml:space="preserve"> ≥95 percent of samples are received by the laboratory within four calendar days of being taken.</w:t>
      </w:r>
    </w:p>
    <w:p w14:paraId="43EBE349" w14:textId="77777777" w:rsidR="00D675FC" w:rsidRPr="00613DE5" w:rsidRDefault="00D675FC" w:rsidP="00D675FC">
      <w:pPr>
        <w:rPr>
          <w:lang w:val="en-NZ"/>
        </w:rPr>
      </w:pPr>
      <w:r w:rsidRPr="00613DE5">
        <w:rPr>
          <w:b/>
          <w:bCs/>
          <w:lang w:val="en-NZ"/>
        </w:rPr>
        <w:t>Interpretation:</w:t>
      </w:r>
      <w:r w:rsidRPr="00613DE5">
        <w:rPr>
          <w:lang w:val="en-NZ"/>
        </w:rPr>
        <w:t xml:space="preserve"> Timeliness of sample dispatch and delivery varied widely between Districts, ranging from 65.3 percent (West Coast District) to 90.7 percent (Auckland District) of samples received within four days. National timeliness has slightly increased to 79.8 percent of samples received within four days from 78.4 percent in 2021.</w:t>
      </w:r>
    </w:p>
    <w:p w14:paraId="3610B4FC" w14:textId="0DFCA621" w:rsidR="00AE1B4C" w:rsidRDefault="00D675FC" w:rsidP="00D675FC">
      <w:pPr>
        <w:rPr>
          <w:lang w:val="en-NZ"/>
        </w:rPr>
      </w:pPr>
      <w:r w:rsidRPr="00613DE5">
        <w:rPr>
          <w:b/>
          <w:bCs/>
          <w:lang w:val="en-NZ"/>
        </w:rPr>
        <w:t>Comment:</w:t>
      </w:r>
      <w:r w:rsidRPr="00613DE5">
        <w:rPr>
          <w:lang w:val="en-NZ"/>
        </w:rPr>
        <w:t xml:space="preserve"> Considerable quality improvement work has been undertaken for this indicator since 2016 and this work is on</w:t>
      </w:r>
      <w:r w:rsidRPr="00AE1B4C">
        <w:rPr>
          <w:lang w:val="en-NZ"/>
        </w:rPr>
        <w:t xml:space="preserve">-going. </w:t>
      </w:r>
      <w:r w:rsidR="00AE1B4C" w:rsidRPr="00AE1B4C">
        <w:rPr>
          <w:lang w:val="en-NZ"/>
        </w:rPr>
        <w:t xml:space="preserve">The result has seen significant increases from the </w:t>
      </w:r>
      <w:r w:rsidR="00AE1B4C">
        <w:rPr>
          <w:lang w:val="en-NZ"/>
        </w:rPr>
        <w:t>6</w:t>
      </w:r>
      <w:r w:rsidR="00AE1B4C" w:rsidRPr="00AE1B4C">
        <w:rPr>
          <w:lang w:val="en-NZ"/>
        </w:rPr>
        <w:t xml:space="preserve">6 percent achieved in 2014. </w:t>
      </w:r>
    </w:p>
    <w:p w14:paraId="4B7B4541" w14:textId="721E7908" w:rsidR="00D675FC" w:rsidRPr="00613DE5" w:rsidRDefault="00D675FC" w:rsidP="00D675FC">
      <w:pPr>
        <w:rPr>
          <w:lang w:val="en-NZ"/>
        </w:rPr>
      </w:pPr>
      <w:r w:rsidRPr="00613DE5">
        <w:rPr>
          <w:lang w:val="en-NZ"/>
        </w:rPr>
        <w:t xml:space="preserve">The national rate of samples reaching the laboratory within four calendar days of being taken </w:t>
      </w:r>
      <w:r w:rsidR="00AE1B4C">
        <w:rPr>
          <w:lang w:val="en-NZ"/>
        </w:rPr>
        <w:t>was</w:t>
      </w:r>
      <w:r w:rsidRPr="00613DE5">
        <w:rPr>
          <w:lang w:val="en-NZ"/>
        </w:rPr>
        <w:t xml:space="preserve"> 79.8 percent in 2022. However, it remains lower than the 83 percent achieved in 2020. COVID-19 was the primary reason for drop in dispatch and delivery timeliness prior to 2022 as courier delivery times increased. </w:t>
      </w:r>
    </w:p>
    <w:p w14:paraId="531CB15E" w14:textId="7B91F2CC" w:rsidR="00D675FC" w:rsidRPr="00613DE5" w:rsidRDefault="00D675FC" w:rsidP="00D675FC">
      <w:pPr>
        <w:rPr>
          <w:lang w:val="en-NZ"/>
        </w:rPr>
      </w:pPr>
      <w:r w:rsidRPr="55EBA62A">
        <w:rPr>
          <w:lang w:val="en-NZ"/>
        </w:rPr>
        <w:t xml:space="preserve">Throughout 2022 there were </w:t>
      </w:r>
      <w:r w:rsidR="67AEDC83" w:rsidRPr="55EBA62A">
        <w:rPr>
          <w:lang w:val="en-NZ"/>
        </w:rPr>
        <w:t>several</w:t>
      </w:r>
      <w:r w:rsidRPr="55EBA62A">
        <w:rPr>
          <w:lang w:val="en-NZ"/>
        </w:rPr>
        <w:t xml:space="preserve"> severe weather events that caused disruption to roads </w:t>
      </w:r>
      <w:r w:rsidR="2C8846CF" w:rsidRPr="55EBA62A">
        <w:rPr>
          <w:lang w:val="en-NZ"/>
        </w:rPr>
        <w:t xml:space="preserve">leading to </w:t>
      </w:r>
      <w:r w:rsidRPr="55EBA62A">
        <w:rPr>
          <w:lang w:val="en-NZ"/>
        </w:rPr>
        <w:t xml:space="preserve">access </w:t>
      </w:r>
      <w:r w:rsidR="391139E6" w:rsidRPr="55EBA62A">
        <w:rPr>
          <w:lang w:val="en-NZ"/>
        </w:rPr>
        <w:t>issues</w:t>
      </w:r>
      <w:r w:rsidRPr="55EBA62A">
        <w:rPr>
          <w:lang w:val="en-NZ"/>
        </w:rPr>
        <w:t xml:space="preserve"> to a number of regions. It is acknowledged that these events may have had an impact on the timeliness of samples reaching the laboratory. Having no courier pickups or deliveries </w:t>
      </w:r>
      <w:r w:rsidR="05CF5A2B" w:rsidRPr="55EBA62A">
        <w:rPr>
          <w:lang w:val="en-NZ"/>
        </w:rPr>
        <w:t xml:space="preserve">available </w:t>
      </w:r>
      <w:r w:rsidRPr="55EBA62A">
        <w:rPr>
          <w:lang w:val="en-NZ"/>
        </w:rPr>
        <w:t>on weekends and public holidays also impacts on some samples reaching the laboratory within four calendar days of being taken.</w:t>
      </w:r>
    </w:p>
    <w:p w14:paraId="51F718CB" w14:textId="1C4B66CE" w:rsidR="00FE310D" w:rsidRDefault="00D675FC" w:rsidP="00FE310D">
      <w:pPr>
        <w:rPr>
          <w:sz w:val="20"/>
          <w:szCs w:val="20"/>
        </w:rPr>
      </w:pPr>
      <w:r w:rsidRPr="00613DE5">
        <w:rPr>
          <w:lang w:val="en-NZ"/>
        </w:rPr>
        <w:t xml:space="preserve">The Antenatal and Childhood Screening team continues to work with Districts to review their </w:t>
      </w:r>
      <w:r w:rsidRPr="00FE310D">
        <w:rPr>
          <w:lang w:val="en-NZ"/>
        </w:rPr>
        <w:t xml:space="preserve">processes for getting samples to the laboratory, to develop quality improvement actions, and provide quarterly ‘transit time’ reports as feedback on transit times. To access the transit time reports, go to: </w:t>
      </w:r>
      <w:hyperlink r:id="rId24" w:history="1">
        <w:r w:rsidR="00FE310D" w:rsidRPr="00FE310D">
          <w:rPr>
            <w:rStyle w:val="cf01"/>
            <w:rFonts w:ascii="Arial" w:hAnsi="Arial" w:cs="Arial"/>
            <w:color w:val="0000FF"/>
            <w:sz w:val="22"/>
            <w:szCs w:val="22"/>
            <w:u w:val="single"/>
          </w:rPr>
          <w:t>https://tewhatuora.shinyapps.io/nsu-nmsp-transittime/</w:t>
        </w:r>
      </w:hyperlink>
    </w:p>
    <w:p w14:paraId="5189FBD8" w14:textId="77777777" w:rsidR="00AE1B4C" w:rsidRDefault="00AE1B4C" w:rsidP="00FE310D">
      <w:pPr>
        <w:rPr>
          <w:highlight w:val="red"/>
          <w:lang w:val="en-NZ"/>
        </w:rPr>
      </w:pPr>
    </w:p>
    <w:p w14:paraId="74F9ACF0" w14:textId="2B3CE5AE" w:rsidR="00D675FC" w:rsidRPr="00613DE5" w:rsidRDefault="00D675FC" w:rsidP="00D675FC">
      <w:pPr>
        <w:rPr>
          <w:i/>
          <w:iCs/>
          <w:color w:val="15284C" w:themeColor="text2"/>
          <w:lang w:val="en-NZ"/>
        </w:rPr>
      </w:pPr>
    </w:p>
    <w:p w14:paraId="14A45FF1" w14:textId="77777777" w:rsidR="00FE310D" w:rsidRDefault="00FE310D">
      <w:pPr>
        <w:rPr>
          <w:rFonts w:ascii="Poppins" w:hAnsi="Poppins" w:cs="Poppins"/>
          <w:b/>
          <w:bCs/>
          <w:color w:val="15284C"/>
          <w:sz w:val="32"/>
          <w:szCs w:val="32"/>
          <w:lang w:val="en-NZ"/>
        </w:rPr>
      </w:pPr>
      <w:bookmarkStart w:id="41" w:name="_Toc160616220"/>
      <w:r>
        <w:rPr>
          <w:lang w:val="en-NZ"/>
        </w:rPr>
        <w:br w:type="page"/>
      </w:r>
    </w:p>
    <w:p w14:paraId="296C6DFF" w14:textId="52E1FD33" w:rsidR="00D675FC" w:rsidRPr="00613DE5" w:rsidRDefault="00D675FC" w:rsidP="00D675FC">
      <w:pPr>
        <w:pStyle w:val="Heading2"/>
        <w:rPr>
          <w:lang w:val="en-NZ"/>
        </w:rPr>
      </w:pPr>
      <w:bookmarkStart w:id="42" w:name="_Toc179192061"/>
      <w:r w:rsidRPr="00613DE5">
        <w:rPr>
          <w:lang w:val="en-NZ"/>
        </w:rPr>
        <w:lastRenderedPageBreak/>
        <w:t xml:space="preserve">Table </w:t>
      </w:r>
      <w:r w:rsidR="0053022E">
        <w:rPr>
          <w:lang w:val="en-NZ"/>
        </w:rPr>
        <w:t>9</w:t>
      </w:r>
      <w:r w:rsidRPr="00613DE5">
        <w:rPr>
          <w:lang w:val="en-NZ"/>
        </w:rPr>
        <w:t>: Percent of samples received by the laboratory within four days of being taken, January to December 2022</w:t>
      </w:r>
      <w:bookmarkEnd w:id="41"/>
      <w:bookmarkEnd w:id="42"/>
    </w:p>
    <w:tbl>
      <w:tblPr>
        <w:tblStyle w:val="GridTable4-Accent5"/>
        <w:tblW w:w="9535" w:type="dxa"/>
        <w:tblLayout w:type="fixed"/>
        <w:tblLook w:val="04A0" w:firstRow="1" w:lastRow="0" w:firstColumn="1" w:lastColumn="0" w:noHBand="0" w:noVBand="1"/>
      </w:tblPr>
      <w:tblGrid>
        <w:gridCol w:w="2515"/>
        <w:gridCol w:w="1350"/>
        <w:gridCol w:w="1350"/>
        <w:gridCol w:w="1350"/>
        <w:gridCol w:w="1350"/>
        <w:gridCol w:w="1620"/>
      </w:tblGrid>
      <w:tr w:rsidR="00D675FC" w:rsidRPr="00613DE5" w14:paraId="01DDE847" w14:textId="77777777" w:rsidTr="006A54B1">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515" w:type="dxa"/>
            <w:tcBorders>
              <w:right w:val="single" w:sz="4" w:space="0" w:color="2870FF" w:themeColor="accent2" w:themeTint="99"/>
            </w:tcBorders>
            <w:noWrap/>
          </w:tcPr>
          <w:p w14:paraId="75FCC78C" w14:textId="05D5EB99" w:rsidR="00D675FC" w:rsidRPr="00613DE5" w:rsidRDefault="00D675FC" w:rsidP="00D675FC">
            <w:pPr>
              <w:rPr>
                <w:rFonts w:eastAsia="Times New Roman" w:cstheme="minorHAnsi"/>
                <w:color w:val="000000"/>
                <w:szCs w:val="24"/>
                <w:lang w:val="en-NZ" w:eastAsia="en-NZ"/>
              </w:rPr>
            </w:pPr>
          </w:p>
        </w:tc>
        <w:tc>
          <w:tcPr>
            <w:tcW w:w="2700" w:type="dxa"/>
            <w:gridSpan w:val="2"/>
            <w:vMerge w:val="restart"/>
            <w:tcBorders>
              <w:left w:val="single" w:sz="4" w:space="0" w:color="2870FF" w:themeColor="accent2" w:themeTint="99"/>
              <w:right w:val="single" w:sz="4" w:space="0" w:color="2870FF" w:themeColor="accent2" w:themeTint="99"/>
            </w:tcBorders>
            <w:noWrap/>
            <w:vAlign w:val="center"/>
          </w:tcPr>
          <w:p w14:paraId="7D803E31" w14:textId="2850A309" w:rsidR="00D675FC" w:rsidRPr="00613DE5" w:rsidRDefault="00D675FC" w:rsidP="00D675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szCs w:val="24"/>
                <w:lang w:val="en-NZ" w:eastAsia="en-NZ"/>
              </w:rPr>
              <w:t>Within 4 days</w:t>
            </w:r>
          </w:p>
        </w:tc>
        <w:tc>
          <w:tcPr>
            <w:tcW w:w="2700" w:type="dxa"/>
            <w:gridSpan w:val="2"/>
            <w:vMerge w:val="restart"/>
            <w:tcBorders>
              <w:left w:val="single" w:sz="4" w:space="0" w:color="2870FF" w:themeColor="accent2" w:themeTint="99"/>
              <w:right w:val="single" w:sz="4" w:space="0" w:color="2870FF" w:themeColor="accent2" w:themeTint="99"/>
            </w:tcBorders>
            <w:noWrap/>
            <w:vAlign w:val="center"/>
          </w:tcPr>
          <w:p w14:paraId="3BDED337" w14:textId="3C75A340" w:rsidR="00D675FC" w:rsidRPr="00613DE5" w:rsidRDefault="00D675FC" w:rsidP="00D675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szCs w:val="24"/>
                <w:lang w:val="en-NZ" w:eastAsia="en-NZ"/>
              </w:rPr>
              <w:t xml:space="preserve">Greater than 4 </w:t>
            </w:r>
            <w:r w:rsidR="00415752">
              <w:rPr>
                <w:rFonts w:eastAsia="Times New Roman" w:cstheme="minorHAnsi"/>
                <w:szCs w:val="24"/>
                <w:lang w:val="en-NZ" w:eastAsia="en-NZ"/>
              </w:rPr>
              <w:t>d</w:t>
            </w:r>
            <w:r w:rsidR="00415752" w:rsidRPr="00613DE5">
              <w:rPr>
                <w:rFonts w:eastAsia="Times New Roman" w:cstheme="minorHAnsi"/>
                <w:szCs w:val="24"/>
                <w:lang w:val="en-NZ" w:eastAsia="en-NZ"/>
              </w:rPr>
              <w:t>ays</w:t>
            </w:r>
          </w:p>
        </w:tc>
        <w:tc>
          <w:tcPr>
            <w:tcW w:w="1620" w:type="dxa"/>
            <w:vMerge w:val="restart"/>
            <w:tcBorders>
              <w:left w:val="single" w:sz="4" w:space="0" w:color="2870FF" w:themeColor="accent2" w:themeTint="99"/>
            </w:tcBorders>
            <w:noWrap/>
            <w:vAlign w:val="center"/>
          </w:tcPr>
          <w:p w14:paraId="6E59B0BB" w14:textId="448D6BAE" w:rsidR="00D675FC" w:rsidRPr="00613DE5" w:rsidRDefault="00D675FC" w:rsidP="00D675F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szCs w:val="24"/>
                <w:lang w:val="en-NZ" w:eastAsia="en-NZ"/>
              </w:rPr>
              <w:t>Total</w:t>
            </w:r>
          </w:p>
        </w:tc>
      </w:tr>
      <w:tr w:rsidR="00D675FC" w:rsidRPr="00613DE5" w14:paraId="57591E8F" w14:textId="77777777" w:rsidTr="006A54B1">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515" w:type="dxa"/>
            <w:tcBorders>
              <w:right w:val="single" w:sz="4" w:space="0" w:color="2870FF" w:themeColor="accent2" w:themeTint="99"/>
            </w:tcBorders>
            <w:shd w:val="clear" w:color="auto" w:fill="15284C" w:themeFill="text2"/>
            <w:noWrap/>
          </w:tcPr>
          <w:p w14:paraId="3FC49E63" w14:textId="1982C294" w:rsidR="00D675FC" w:rsidRPr="00613DE5" w:rsidRDefault="00D675FC" w:rsidP="00D675FC">
            <w:pPr>
              <w:rPr>
                <w:rFonts w:eastAsia="Times New Roman" w:cstheme="minorHAnsi"/>
                <w:color w:val="F6F4EC" w:themeColor="background1"/>
                <w:szCs w:val="24"/>
                <w:lang w:val="en-NZ" w:eastAsia="en-NZ"/>
              </w:rPr>
            </w:pPr>
            <w:r w:rsidRPr="00613DE5">
              <w:rPr>
                <w:rFonts w:eastAsia="Times New Roman" w:cstheme="minorHAnsi"/>
                <w:color w:val="F6F4EC" w:themeColor="background1"/>
                <w:szCs w:val="24"/>
                <w:lang w:val="en-NZ" w:eastAsia="en-NZ"/>
              </w:rPr>
              <w:t>District</w:t>
            </w:r>
          </w:p>
        </w:tc>
        <w:tc>
          <w:tcPr>
            <w:tcW w:w="2700" w:type="dxa"/>
            <w:gridSpan w:val="2"/>
            <w:vMerge/>
            <w:tcBorders>
              <w:left w:val="single" w:sz="4" w:space="0" w:color="2870FF" w:themeColor="accent2" w:themeTint="99"/>
              <w:right w:val="single" w:sz="4" w:space="0" w:color="2870FF" w:themeColor="accent2" w:themeTint="99"/>
            </w:tcBorders>
            <w:shd w:val="clear" w:color="auto" w:fill="15284C" w:themeFill="text2"/>
            <w:noWrap/>
          </w:tcPr>
          <w:p w14:paraId="74FD1221" w14:textId="622D31C8" w:rsidR="00D675FC" w:rsidRPr="00613DE5" w:rsidRDefault="00D675FC" w:rsidP="00D675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szCs w:val="24"/>
                <w:lang w:val="en-NZ" w:eastAsia="en-NZ"/>
              </w:rPr>
            </w:pPr>
          </w:p>
        </w:tc>
        <w:tc>
          <w:tcPr>
            <w:tcW w:w="2700" w:type="dxa"/>
            <w:gridSpan w:val="2"/>
            <w:vMerge/>
            <w:tcBorders>
              <w:left w:val="single" w:sz="4" w:space="0" w:color="2870FF" w:themeColor="accent2" w:themeTint="99"/>
              <w:right w:val="single" w:sz="4" w:space="0" w:color="2870FF" w:themeColor="accent2" w:themeTint="99"/>
            </w:tcBorders>
            <w:shd w:val="clear" w:color="auto" w:fill="15284C" w:themeFill="text2"/>
            <w:noWrap/>
          </w:tcPr>
          <w:p w14:paraId="2BAD77D9" w14:textId="67C2ACD2" w:rsidR="00D675FC" w:rsidRPr="00613DE5" w:rsidRDefault="00D675FC" w:rsidP="00D675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szCs w:val="24"/>
                <w:lang w:val="en-NZ" w:eastAsia="en-NZ"/>
              </w:rPr>
            </w:pPr>
          </w:p>
        </w:tc>
        <w:tc>
          <w:tcPr>
            <w:tcW w:w="1620" w:type="dxa"/>
            <w:vMerge/>
            <w:tcBorders>
              <w:left w:val="single" w:sz="4" w:space="0" w:color="2870FF" w:themeColor="accent2" w:themeTint="99"/>
            </w:tcBorders>
            <w:shd w:val="clear" w:color="auto" w:fill="15284C" w:themeFill="text2"/>
            <w:noWrap/>
          </w:tcPr>
          <w:p w14:paraId="38DB7D0D" w14:textId="13E9560C" w:rsidR="00D675FC" w:rsidRPr="00613DE5" w:rsidRDefault="00D675FC" w:rsidP="00D675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6F4EC" w:themeColor="background1"/>
                <w:szCs w:val="24"/>
                <w:lang w:val="en-NZ" w:eastAsia="en-NZ"/>
              </w:rPr>
            </w:pPr>
          </w:p>
        </w:tc>
      </w:tr>
      <w:tr w:rsidR="00D675FC" w:rsidRPr="00613DE5" w14:paraId="5FFCA2D3" w14:textId="77777777" w:rsidTr="006A54B1">
        <w:trPr>
          <w:trHeight w:val="140"/>
        </w:trPr>
        <w:tc>
          <w:tcPr>
            <w:cnfStyle w:val="001000000000" w:firstRow="0" w:lastRow="0" w:firstColumn="1" w:lastColumn="0" w:oddVBand="0" w:evenVBand="0" w:oddHBand="0" w:evenHBand="0" w:firstRowFirstColumn="0" w:firstRowLastColumn="0" w:lastRowFirstColumn="0" w:lastRowLastColumn="0"/>
            <w:tcW w:w="2515" w:type="dxa"/>
            <w:shd w:val="clear" w:color="auto" w:fill="15284C" w:themeFill="text2"/>
            <w:noWrap/>
            <w:hideMark/>
          </w:tcPr>
          <w:p w14:paraId="10F62EB1" w14:textId="77777777" w:rsidR="00D675FC" w:rsidRPr="00613DE5" w:rsidRDefault="00D675FC" w:rsidP="00D675FC">
            <w:pPr>
              <w:rPr>
                <w:rFonts w:eastAsia="Times New Roman" w:cstheme="minorHAnsi"/>
                <w:color w:val="F6F4EC" w:themeColor="background1"/>
                <w:szCs w:val="24"/>
                <w:lang w:val="en-NZ" w:eastAsia="en-NZ"/>
              </w:rPr>
            </w:pPr>
            <w:r w:rsidRPr="00613DE5">
              <w:rPr>
                <w:rFonts w:eastAsia="Times New Roman" w:cstheme="minorHAnsi"/>
                <w:color w:val="F6F4EC" w:themeColor="background1"/>
                <w:szCs w:val="24"/>
                <w:lang w:val="en-NZ" w:eastAsia="en-NZ"/>
              </w:rPr>
              <w:t> </w:t>
            </w:r>
          </w:p>
        </w:tc>
        <w:tc>
          <w:tcPr>
            <w:tcW w:w="1350" w:type="dxa"/>
            <w:shd w:val="clear" w:color="auto" w:fill="15284C" w:themeFill="text2"/>
            <w:noWrap/>
            <w:hideMark/>
          </w:tcPr>
          <w:p w14:paraId="4F69EE81" w14:textId="77777777" w:rsidR="00D675FC" w:rsidRPr="00613DE5" w:rsidRDefault="00D675FC" w:rsidP="00D675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c>
          <w:tcPr>
            <w:tcW w:w="1350" w:type="dxa"/>
            <w:shd w:val="clear" w:color="auto" w:fill="15284C" w:themeFill="text2"/>
            <w:noWrap/>
            <w:hideMark/>
          </w:tcPr>
          <w:p w14:paraId="2DEF992A" w14:textId="77777777" w:rsidR="00D675FC" w:rsidRPr="00613DE5" w:rsidRDefault="00D675FC" w:rsidP="00D675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w:t>
            </w:r>
          </w:p>
        </w:tc>
        <w:tc>
          <w:tcPr>
            <w:tcW w:w="1350" w:type="dxa"/>
            <w:shd w:val="clear" w:color="auto" w:fill="15284C" w:themeFill="text2"/>
            <w:noWrap/>
            <w:hideMark/>
          </w:tcPr>
          <w:p w14:paraId="5BD3B2FA" w14:textId="77777777" w:rsidR="00D675FC" w:rsidRPr="00613DE5" w:rsidRDefault="00D675FC" w:rsidP="00D675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c>
          <w:tcPr>
            <w:tcW w:w="1350" w:type="dxa"/>
            <w:shd w:val="clear" w:color="auto" w:fill="15284C" w:themeFill="text2"/>
            <w:noWrap/>
            <w:hideMark/>
          </w:tcPr>
          <w:p w14:paraId="63860F0A" w14:textId="77777777" w:rsidR="00D675FC" w:rsidRPr="00613DE5" w:rsidRDefault="00D675FC" w:rsidP="00D675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w:t>
            </w:r>
          </w:p>
        </w:tc>
        <w:tc>
          <w:tcPr>
            <w:tcW w:w="1620" w:type="dxa"/>
            <w:shd w:val="clear" w:color="auto" w:fill="15284C" w:themeFill="text2"/>
            <w:noWrap/>
            <w:hideMark/>
          </w:tcPr>
          <w:p w14:paraId="28FBD3E4" w14:textId="77777777" w:rsidR="00D675FC" w:rsidRPr="00613DE5" w:rsidRDefault="00D675FC" w:rsidP="00D675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r>
      <w:tr w:rsidR="00D675FC" w:rsidRPr="00613DE5" w14:paraId="588E09D2"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79FF600D"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Northland</w:t>
            </w:r>
          </w:p>
        </w:tc>
        <w:tc>
          <w:tcPr>
            <w:tcW w:w="1350" w:type="dxa"/>
            <w:noWrap/>
            <w:vAlign w:val="center"/>
            <w:hideMark/>
          </w:tcPr>
          <w:p w14:paraId="5514C609"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1876</w:t>
            </w:r>
          </w:p>
        </w:tc>
        <w:tc>
          <w:tcPr>
            <w:tcW w:w="1350" w:type="dxa"/>
            <w:noWrap/>
            <w:vAlign w:val="center"/>
            <w:hideMark/>
          </w:tcPr>
          <w:p w14:paraId="18FE3617"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80.4</w:t>
            </w:r>
          </w:p>
        </w:tc>
        <w:tc>
          <w:tcPr>
            <w:tcW w:w="1350" w:type="dxa"/>
            <w:noWrap/>
            <w:vAlign w:val="center"/>
            <w:hideMark/>
          </w:tcPr>
          <w:p w14:paraId="6B6DDCA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439</w:t>
            </w:r>
          </w:p>
        </w:tc>
        <w:tc>
          <w:tcPr>
            <w:tcW w:w="1350" w:type="dxa"/>
            <w:noWrap/>
            <w:vAlign w:val="center"/>
            <w:hideMark/>
          </w:tcPr>
          <w:p w14:paraId="70B6093E"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18.8</w:t>
            </w:r>
          </w:p>
        </w:tc>
        <w:tc>
          <w:tcPr>
            <w:tcW w:w="1620" w:type="dxa"/>
            <w:noWrap/>
            <w:vAlign w:val="center"/>
            <w:hideMark/>
          </w:tcPr>
          <w:p w14:paraId="128D7A00"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2334</w:t>
            </w:r>
          </w:p>
        </w:tc>
      </w:tr>
      <w:tr w:rsidR="00D675FC" w:rsidRPr="00613DE5" w14:paraId="3BE55C29"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5C1BA37D"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Waitemata</w:t>
            </w:r>
          </w:p>
        </w:tc>
        <w:tc>
          <w:tcPr>
            <w:tcW w:w="1350" w:type="dxa"/>
            <w:noWrap/>
            <w:vAlign w:val="center"/>
            <w:hideMark/>
          </w:tcPr>
          <w:p w14:paraId="2B5BE953"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6267</w:t>
            </w:r>
          </w:p>
        </w:tc>
        <w:tc>
          <w:tcPr>
            <w:tcW w:w="1350" w:type="dxa"/>
            <w:noWrap/>
            <w:vAlign w:val="center"/>
            <w:hideMark/>
          </w:tcPr>
          <w:p w14:paraId="0012D2BF"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85.4</w:t>
            </w:r>
          </w:p>
        </w:tc>
        <w:tc>
          <w:tcPr>
            <w:tcW w:w="1350" w:type="dxa"/>
            <w:noWrap/>
            <w:vAlign w:val="center"/>
            <w:hideMark/>
          </w:tcPr>
          <w:p w14:paraId="6D2BA8B3"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1020</w:t>
            </w:r>
          </w:p>
        </w:tc>
        <w:tc>
          <w:tcPr>
            <w:tcW w:w="1350" w:type="dxa"/>
            <w:noWrap/>
            <w:vAlign w:val="center"/>
            <w:hideMark/>
          </w:tcPr>
          <w:p w14:paraId="3EF3C786"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13.9</w:t>
            </w:r>
          </w:p>
        </w:tc>
        <w:tc>
          <w:tcPr>
            <w:tcW w:w="1620" w:type="dxa"/>
            <w:noWrap/>
            <w:vAlign w:val="center"/>
            <w:hideMark/>
          </w:tcPr>
          <w:p w14:paraId="293A47E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7341</w:t>
            </w:r>
          </w:p>
        </w:tc>
      </w:tr>
      <w:tr w:rsidR="00D675FC" w:rsidRPr="00613DE5" w14:paraId="5C1D621F"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690D524E"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Auckland</w:t>
            </w:r>
          </w:p>
        </w:tc>
        <w:tc>
          <w:tcPr>
            <w:tcW w:w="1350" w:type="dxa"/>
            <w:noWrap/>
            <w:vAlign w:val="center"/>
            <w:hideMark/>
          </w:tcPr>
          <w:p w14:paraId="3F1B6A2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4503</w:t>
            </w:r>
          </w:p>
        </w:tc>
        <w:tc>
          <w:tcPr>
            <w:tcW w:w="1350" w:type="dxa"/>
            <w:noWrap/>
            <w:vAlign w:val="center"/>
            <w:hideMark/>
          </w:tcPr>
          <w:p w14:paraId="19C34E2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90.7</w:t>
            </w:r>
          </w:p>
        </w:tc>
        <w:tc>
          <w:tcPr>
            <w:tcW w:w="1350" w:type="dxa"/>
            <w:noWrap/>
            <w:vAlign w:val="center"/>
            <w:hideMark/>
          </w:tcPr>
          <w:p w14:paraId="74990F2B"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373</w:t>
            </w:r>
          </w:p>
        </w:tc>
        <w:tc>
          <w:tcPr>
            <w:tcW w:w="1350" w:type="dxa"/>
            <w:noWrap/>
            <w:vAlign w:val="center"/>
            <w:hideMark/>
          </w:tcPr>
          <w:p w14:paraId="2EE7D3E4"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7.5</w:t>
            </w:r>
          </w:p>
        </w:tc>
        <w:tc>
          <w:tcPr>
            <w:tcW w:w="1620" w:type="dxa"/>
            <w:noWrap/>
            <w:vAlign w:val="center"/>
            <w:hideMark/>
          </w:tcPr>
          <w:p w14:paraId="0EB8A1A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4964</w:t>
            </w:r>
          </w:p>
        </w:tc>
      </w:tr>
      <w:tr w:rsidR="00D675FC" w:rsidRPr="00613DE5" w14:paraId="311B68CC"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6E4A27C9"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Counties Manukau</w:t>
            </w:r>
          </w:p>
        </w:tc>
        <w:tc>
          <w:tcPr>
            <w:tcW w:w="1350" w:type="dxa"/>
            <w:noWrap/>
            <w:vAlign w:val="center"/>
            <w:hideMark/>
          </w:tcPr>
          <w:p w14:paraId="2DE532C5"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6635</w:t>
            </w:r>
          </w:p>
        </w:tc>
        <w:tc>
          <w:tcPr>
            <w:tcW w:w="1350" w:type="dxa"/>
            <w:noWrap/>
            <w:vAlign w:val="center"/>
            <w:hideMark/>
          </w:tcPr>
          <w:p w14:paraId="4CD98702"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83.8</w:t>
            </w:r>
          </w:p>
        </w:tc>
        <w:tc>
          <w:tcPr>
            <w:tcW w:w="1350" w:type="dxa"/>
            <w:noWrap/>
            <w:vAlign w:val="center"/>
            <w:hideMark/>
          </w:tcPr>
          <w:p w14:paraId="501D3097"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1202</w:t>
            </w:r>
          </w:p>
        </w:tc>
        <w:tc>
          <w:tcPr>
            <w:tcW w:w="1350" w:type="dxa"/>
            <w:noWrap/>
            <w:vAlign w:val="center"/>
            <w:hideMark/>
          </w:tcPr>
          <w:p w14:paraId="0ADDFB0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15.2</w:t>
            </w:r>
          </w:p>
        </w:tc>
        <w:tc>
          <w:tcPr>
            <w:tcW w:w="1620" w:type="dxa"/>
            <w:noWrap/>
            <w:vAlign w:val="center"/>
            <w:hideMark/>
          </w:tcPr>
          <w:p w14:paraId="00F42426"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7916</w:t>
            </w:r>
          </w:p>
        </w:tc>
      </w:tr>
      <w:tr w:rsidR="00D675FC" w:rsidRPr="00613DE5" w14:paraId="2DD0B345"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03902D49"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Waikato</w:t>
            </w:r>
          </w:p>
        </w:tc>
        <w:tc>
          <w:tcPr>
            <w:tcW w:w="1350" w:type="dxa"/>
            <w:noWrap/>
            <w:vAlign w:val="center"/>
            <w:hideMark/>
          </w:tcPr>
          <w:p w14:paraId="4D25F9F6"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4241</w:t>
            </w:r>
          </w:p>
        </w:tc>
        <w:tc>
          <w:tcPr>
            <w:tcW w:w="1350" w:type="dxa"/>
            <w:noWrap/>
            <w:vAlign w:val="center"/>
            <w:hideMark/>
          </w:tcPr>
          <w:p w14:paraId="44F3298C"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79.6</w:t>
            </w:r>
          </w:p>
        </w:tc>
        <w:tc>
          <w:tcPr>
            <w:tcW w:w="1350" w:type="dxa"/>
            <w:noWrap/>
            <w:vAlign w:val="center"/>
            <w:hideMark/>
          </w:tcPr>
          <w:p w14:paraId="3F8DB37B"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1026</w:t>
            </w:r>
          </w:p>
        </w:tc>
        <w:tc>
          <w:tcPr>
            <w:tcW w:w="1350" w:type="dxa"/>
            <w:noWrap/>
            <w:vAlign w:val="center"/>
            <w:hideMark/>
          </w:tcPr>
          <w:p w14:paraId="3A2B446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19.3</w:t>
            </w:r>
          </w:p>
        </w:tc>
        <w:tc>
          <w:tcPr>
            <w:tcW w:w="1620" w:type="dxa"/>
            <w:noWrap/>
            <w:vAlign w:val="center"/>
            <w:hideMark/>
          </w:tcPr>
          <w:p w14:paraId="28ED2C7E"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5325</w:t>
            </w:r>
          </w:p>
        </w:tc>
      </w:tr>
      <w:tr w:rsidR="00D675FC" w:rsidRPr="00613DE5" w14:paraId="7D49E2E3"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3A7A1B35"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Lakes</w:t>
            </w:r>
          </w:p>
        </w:tc>
        <w:tc>
          <w:tcPr>
            <w:tcW w:w="1350" w:type="dxa"/>
            <w:noWrap/>
            <w:vAlign w:val="center"/>
            <w:hideMark/>
          </w:tcPr>
          <w:p w14:paraId="7972A27B"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1126</w:t>
            </w:r>
          </w:p>
        </w:tc>
        <w:tc>
          <w:tcPr>
            <w:tcW w:w="1350" w:type="dxa"/>
            <w:noWrap/>
            <w:vAlign w:val="center"/>
            <w:hideMark/>
          </w:tcPr>
          <w:p w14:paraId="3DD04DE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74.5</w:t>
            </w:r>
          </w:p>
        </w:tc>
        <w:tc>
          <w:tcPr>
            <w:tcW w:w="1350" w:type="dxa"/>
            <w:noWrap/>
            <w:vAlign w:val="center"/>
            <w:hideMark/>
          </w:tcPr>
          <w:p w14:paraId="7B49959E"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366</w:t>
            </w:r>
          </w:p>
        </w:tc>
        <w:tc>
          <w:tcPr>
            <w:tcW w:w="1350" w:type="dxa"/>
            <w:noWrap/>
            <w:vAlign w:val="center"/>
            <w:hideMark/>
          </w:tcPr>
          <w:p w14:paraId="50FDD485"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24.2</w:t>
            </w:r>
          </w:p>
        </w:tc>
        <w:tc>
          <w:tcPr>
            <w:tcW w:w="1620" w:type="dxa"/>
            <w:noWrap/>
            <w:vAlign w:val="center"/>
            <w:hideMark/>
          </w:tcPr>
          <w:p w14:paraId="34CED18D"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1511</w:t>
            </w:r>
          </w:p>
        </w:tc>
      </w:tr>
      <w:tr w:rsidR="00D675FC" w:rsidRPr="00613DE5" w14:paraId="49993903"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16922869"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Bay of Plenty</w:t>
            </w:r>
          </w:p>
        </w:tc>
        <w:tc>
          <w:tcPr>
            <w:tcW w:w="1350" w:type="dxa"/>
            <w:noWrap/>
            <w:vAlign w:val="center"/>
            <w:hideMark/>
          </w:tcPr>
          <w:p w14:paraId="0025070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2488</w:t>
            </w:r>
          </w:p>
        </w:tc>
        <w:tc>
          <w:tcPr>
            <w:tcW w:w="1350" w:type="dxa"/>
            <w:noWrap/>
            <w:vAlign w:val="center"/>
            <w:hideMark/>
          </w:tcPr>
          <w:p w14:paraId="278C85CB"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80.1</w:t>
            </w:r>
          </w:p>
        </w:tc>
        <w:tc>
          <w:tcPr>
            <w:tcW w:w="1350" w:type="dxa"/>
            <w:noWrap/>
            <w:vAlign w:val="center"/>
            <w:hideMark/>
          </w:tcPr>
          <w:p w14:paraId="54F5913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584</w:t>
            </w:r>
          </w:p>
        </w:tc>
        <w:tc>
          <w:tcPr>
            <w:tcW w:w="1350" w:type="dxa"/>
            <w:noWrap/>
            <w:vAlign w:val="center"/>
            <w:hideMark/>
          </w:tcPr>
          <w:p w14:paraId="6BCFE1DC"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18.8</w:t>
            </w:r>
          </w:p>
        </w:tc>
        <w:tc>
          <w:tcPr>
            <w:tcW w:w="1620" w:type="dxa"/>
            <w:noWrap/>
            <w:vAlign w:val="center"/>
            <w:hideMark/>
          </w:tcPr>
          <w:p w14:paraId="2118A5B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3108</w:t>
            </w:r>
          </w:p>
        </w:tc>
      </w:tr>
      <w:tr w:rsidR="00D675FC" w:rsidRPr="00613DE5" w14:paraId="0E1CDA04"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162D0D65"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Tairawhiti</w:t>
            </w:r>
          </w:p>
        </w:tc>
        <w:tc>
          <w:tcPr>
            <w:tcW w:w="1350" w:type="dxa"/>
            <w:noWrap/>
            <w:vAlign w:val="center"/>
            <w:hideMark/>
          </w:tcPr>
          <w:p w14:paraId="5967A55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624</w:t>
            </w:r>
          </w:p>
        </w:tc>
        <w:tc>
          <w:tcPr>
            <w:tcW w:w="1350" w:type="dxa"/>
            <w:noWrap/>
            <w:vAlign w:val="center"/>
            <w:hideMark/>
          </w:tcPr>
          <w:p w14:paraId="783F1002"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89.4</w:t>
            </w:r>
          </w:p>
        </w:tc>
        <w:tc>
          <w:tcPr>
            <w:tcW w:w="1350" w:type="dxa"/>
            <w:noWrap/>
            <w:vAlign w:val="center"/>
            <w:hideMark/>
          </w:tcPr>
          <w:p w14:paraId="26562446"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72</w:t>
            </w:r>
          </w:p>
        </w:tc>
        <w:tc>
          <w:tcPr>
            <w:tcW w:w="1350" w:type="dxa"/>
            <w:noWrap/>
            <w:vAlign w:val="center"/>
            <w:hideMark/>
          </w:tcPr>
          <w:p w14:paraId="51BA5B8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10.3</w:t>
            </w:r>
          </w:p>
        </w:tc>
        <w:tc>
          <w:tcPr>
            <w:tcW w:w="1620" w:type="dxa"/>
            <w:noWrap/>
            <w:vAlign w:val="center"/>
            <w:hideMark/>
          </w:tcPr>
          <w:p w14:paraId="755662E5"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698</w:t>
            </w:r>
          </w:p>
        </w:tc>
      </w:tr>
      <w:tr w:rsidR="00D675FC" w:rsidRPr="00613DE5" w14:paraId="46A001E3"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03E47172"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Hawkes Bay</w:t>
            </w:r>
          </w:p>
        </w:tc>
        <w:tc>
          <w:tcPr>
            <w:tcW w:w="1350" w:type="dxa"/>
            <w:noWrap/>
            <w:vAlign w:val="center"/>
            <w:hideMark/>
          </w:tcPr>
          <w:p w14:paraId="6DE0D969"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1663</w:t>
            </w:r>
          </w:p>
        </w:tc>
        <w:tc>
          <w:tcPr>
            <w:tcW w:w="1350" w:type="dxa"/>
            <w:noWrap/>
            <w:vAlign w:val="center"/>
            <w:hideMark/>
          </w:tcPr>
          <w:p w14:paraId="6601776B"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82.1</w:t>
            </w:r>
          </w:p>
        </w:tc>
        <w:tc>
          <w:tcPr>
            <w:tcW w:w="1350" w:type="dxa"/>
            <w:noWrap/>
            <w:vAlign w:val="center"/>
            <w:hideMark/>
          </w:tcPr>
          <w:p w14:paraId="614F41D3"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349</w:t>
            </w:r>
          </w:p>
        </w:tc>
        <w:tc>
          <w:tcPr>
            <w:tcW w:w="1350" w:type="dxa"/>
            <w:noWrap/>
            <w:vAlign w:val="center"/>
            <w:hideMark/>
          </w:tcPr>
          <w:p w14:paraId="389D2274"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17.2</w:t>
            </w:r>
          </w:p>
        </w:tc>
        <w:tc>
          <w:tcPr>
            <w:tcW w:w="1620" w:type="dxa"/>
            <w:noWrap/>
            <w:vAlign w:val="center"/>
            <w:hideMark/>
          </w:tcPr>
          <w:p w14:paraId="7F3F9E12"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2025</w:t>
            </w:r>
          </w:p>
        </w:tc>
      </w:tr>
      <w:tr w:rsidR="00D675FC" w:rsidRPr="00613DE5" w14:paraId="623151C1"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03754A4B"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Taranaki</w:t>
            </w:r>
          </w:p>
        </w:tc>
        <w:tc>
          <w:tcPr>
            <w:tcW w:w="1350" w:type="dxa"/>
            <w:noWrap/>
            <w:vAlign w:val="center"/>
            <w:hideMark/>
          </w:tcPr>
          <w:p w14:paraId="45AFD725"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1031</w:t>
            </w:r>
          </w:p>
        </w:tc>
        <w:tc>
          <w:tcPr>
            <w:tcW w:w="1350" w:type="dxa"/>
            <w:noWrap/>
            <w:vAlign w:val="center"/>
            <w:hideMark/>
          </w:tcPr>
          <w:p w14:paraId="05DD6D41"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75.4</w:t>
            </w:r>
          </w:p>
        </w:tc>
        <w:tc>
          <w:tcPr>
            <w:tcW w:w="1350" w:type="dxa"/>
            <w:noWrap/>
            <w:vAlign w:val="center"/>
            <w:hideMark/>
          </w:tcPr>
          <w:p w14:paraId="1AB4FCAE"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321</w:t>
            </w:r>
          </w:p>
        </w:tc>
        <w:tc>
          <w:tcPr>
            <w:tcW w:w="1350" w:type="dxa"/>
            <w:noWrap/>
            <w:vAlign w:val="center"/>
            <w:hideMark/>
          </w:tcPr>
          <w:p w14:paraId="2C4E5D2E"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23.5</w:t>
            </w:r>
          </w:p>
        </w:tc>
        <w:tc>
          <w:tcPr>
            <w:tcW w:w="1620" w:type="dxa"/>
            <w:noWrap/>
            <w:vAlign w:val="center"/>
            <w:hideMark/>
          </w:tcPr>
          <w:p w14:paraId="55596981"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1367</w:t>
            </w:r>
          </w:p>
        </w:tc>
      </w:tr>
      <w:tr w:rsidR="00D675FC" w:rsidRPr="00613DE5" w14:paraId="2F39072C"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191A356D"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MidCentral</w:t>
            </w:r>
          </w:p>
        </w:tc>
        <w:tc>
          <w:tcPr>
            <w:tcW w:w="1350" w:type="dxa"/>
            <w:noWrap/>
            <w:vAlign w:val="center"/>
            <w:hideMark/>
          </w:tcPr>
          <w:p w14:paraId="1D80680C"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1705</w:t>
            </w:r>
          </w:p>
        </w:tc>
        <w:tc>
          <w:tcPr>
            <w:tcW w:w="1350" w:type="dxa"/>
            <w:noWrap/>
            <w:vAlign w:val="center"/>
            <w:hideMark/>
          </w:tcPr>
          <w:p w14:paraId="622458D8"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80.7</w:t>
            </w:r>
          </w:p>
        </w:tc>
        <w:tc>
          <w:tcPr>
            <w:tcW w:w="1350" w:type="dxa"/>
            <w:noWrap/>
            <w:vAlign w:val="center"/>
            <w:hideMark/>
          </w:tcPr>
          <w:p w14:paraId="2771310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385</w:t>
            </w:r>
          </w:p>
        </w:tc>
        <w:tc>
          <w:tcPr>
            <w:tcW w:w="1350" w:type="dxa"/>
            <w:noWrap/>
            <w:vAlign w:val="center"/>
            <w:hideMark/>
          </w:tcPr>
          <w:p w14:paraId="3C73D714"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18.2</w:t>
            </w:r>
          </w:p>
        </w:tc>
        <w:tc>
          <w:tcPr>
            <w:tcW w:w="1620" w:type="dxa"/>
            <w:noWrap/>
            <w:vAlign w:val="center"/>
            <w:hideMark/>
          </w:tcPr>
          <w:p w14:paraId="430EF0C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2113</w:t>
            </w:r>
          </w:p>
        </w:tc>
      </w:tr>
      <w:tr w:rsidR="00D675FC" w:rsidRPr="00613DE5" w14:paraId="2AD4924D"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39D4F1E2"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Whanganui</w:t>
            </w:r>
          </w:p>
        </w:tc>
        <w:tc>
          <w:tcPr>
            <w:tcW w:w="1350" w:type="dxa"/>
            <w:noWrap/>
            <w:vAlign w:val="center"/>
            <w:hideMark/>
          </w:tcPr>
          <w:p w14:paraId="39504F35"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597</w:t>
            </w:r>
          </w:p>
        </w:tc>
        <w:tc>
          <w:tcPr>
            <w:tcW w:w="1350" w:type="dxa"/>
            <w:noWrap/>
            <w:vAlign w:val="center"/>
            <w:hideMark/>
          </w:tcPr>
          <w:p w14:paraId="58FB7181"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74.6</w:t>
            </w:r>
          </w:p>
        </w:tc>
        <w:tc>
          <w:tcPr>
            <w:tcW w:w="1350" w:type="dxa"/>
            <w:noWrap/>
            <w:vAlign w:val="center"/>
            <w:hideMark/>
          </w:tcPr>
          <w:p w14:paraId="413E461E"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200</w:t>
            </w:r>
          </w:p>
        </w:tc>
        <w:tc>
          <w:tcPr>
            <w:tcW w:w="1350" w:type="dxa"/>
            <w:noWrap/>
            <w:vAlign w:val="center"/>
            <w:hideMark/>
          </w:tcPr>
          <w:p w14:paraId="0D14C817"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25.0</w:t>
            </w:r>
          </w:p>
        </w:tc>
        <w:tc>
          <w:tcPr>
            <w:tcW w:w="1620" w:type="dxa"/>
            <w:noWrap/>
            <w:vAlign w:val="center"/>
            <w:hideMark/>
          </w:tcPr>
          <w:p w14:paraId="714CD000"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800</w:t>
            </w:r>
          </w:p>
        </w:tc>
      </w:tr>
      <w:tr w:rsidR="00D675FC" w:rsidRPr="00613DE5" w14:paraId="14ABB7A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37FD6904"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Capital and Coast</w:t>
            </w:r>
          </w:p>
        </w:tc>
        <w:tc>
          <w:tcPr>
            <w:tcW w:w="1350" w:type="dxa"/>
            <w:noWrap/>
            <w:vAlign w:val="center"/>
            <w:hideMark/>
          </w:tcPr>
          <w:p w14:paraId="0FB29E84"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2305</w:t>
            </w:r>
          </w:p>
        </w:tc>
        <w:tc>
          <w:tcPr>
            <w:tcW w:w="1350" w:type="dxa"/>
            <w:noWrap/>
            <w:vAlign w:val="center"/>
            <w:hideMark/>
          </w:tcPr>
          <w:p w14:paraId="5277DC2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79.6</w:t>
            </w:r>
          </w:p>
        </w:tc>
        <w:tc>
          <w:tcPr>
            <w:tcW w:w="1350" w:type="dxa"/>
            <w:noWrap/>
            <w:vAlign w:val="center"/>
            <w:hideMark/>
          </w:tcPr>
          <w:p w14:paraId="5B46D3A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566</w:t>
            </w:r>
          </w:p>
        </w:tc>
        <w:tc>
          <w:tcPr>
            <w:tcW w:w="1350" w:type="dxa"/>
            <w:noWrap/>
            <w:vAlign w:val="center"/>
            <w:hideMark/>
          </w:tcPr>
          <w:p w14:paraId="4733CDE5"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19.6</w:t>
            </w:r>
          </w:p>
        </w:tc>
        <w:tc>
          <w:tcPr>
            <w:tcW w:w="1620" w:type="dxa"/>
            <w:noWrap/>
            <w:vAlign w:val="center"/>
            <w:hideMark/>
          </w:tcPr>
          <w:p w14:paraId="296EA48E"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2894</w:t>
            </w:r>
          </w:p>
        </w:tc>
      </w:tr>
      <w:tr w:rsidR="00D675FC" w:rsidRPr="00613DE5" w14:paraId="6EA23FCD"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1AB22464"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Hutt Valley</w:t>
            </w:r>
          </w:p>
        </w:tc>
        <w:tc>
          <w:tcPr>
            <w:tcW w:w="1350" w:type="dxa"/>
            <w:noWrap/>
            <w:vAlign w:val="center"/>
            <w:hideMark/>
          </w:tcPr>
          <w:p w14:paraId="3F2AE12D"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1291</w:t>
            </w:r>
          </w:p>
        </w:tc>
        <w:tc>
          <w:tcPr>
            <w:tcW w:w="1350" w:type="dxa"/>
            <w:noWrap/>
            <w:vAlign w:val="center"/>
            <w:hideMark/>
          </w:tcPr>
          <w:p w14:paraId="6B0D54CF"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71.2</w:t>
            </w:r>
          </w:p>
        </w:tc>
        <w:tc>
          <w:tcPr>
            <w:tcW w:w="1350" w:type="dxa"/>
            <w:noWrap/>
            <w:vAlign w:val="center"/>
            <w:hideMark/>
          </w:tcPr>
          <w:p w14:paraId="797B84C1"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520</w:t>
            </w:r>
          </w:p>
        </w:tc>
        <w:tc>
          <w:tcPr>
            <w:tcW w:w="1350" w:type="dxa"/>
            <w:noWrap/>
            <w:vAlign w:val="center"/>
            <w:hideMark/>
          </w:tcPr>
          <w:p w14:paraId="12A0CE30"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28.7</w:t>
            </w:r>
          </w:p>
        </w:tc>
        <w:tc>
          <w:tcPr>
            <w:tcW w:w="1620" w:type="dxa"/>
            <w:noWrap/>
            <w:vAlign w:val="center"/>
            <w:hideMark/>
          </w:tcPr>
          <w:p w14:paraId="3E12B47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1814</w:t>
            </w:r>
          </w:p>
        </w:tc>
      </w:tr>
      <w:tr w:rsidR="00D675FC" w:rsidRPr="00613DE5" w14:paraId="3012D1E2"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61767E00"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Wairarapa</w:t>
            </w:r>
          </w:p>
        </w:tc>
        <w:tc>
          <w:tcPr>
            <w:tcW w:w="1350" w:type="dxa"/>
            <w:noWrap/>
            <w:vAlign w:val="center"/>
            <w:hideMark/>
          </w:tcPr>
          <w:p w14:paraId="19CCC0C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418</w:t>
            </w:r>
          </w:p>
        </w:tc>
        <w:tc>
          <w:tcPr>
            <w:tcW w:w="1350" w:type="dxa"/>
            <w:noWrap/>
            <w:vAlign w:val="center"/>
            <w:hideMark/>
          </w:tcPr>
          <w:p w14:paraId="5F0D93D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79.0</w:t>
            </w:r>
          </w:p>
        </w:tc>
        <w:tc>
          <w:tcPr>
            <w:tcW w:w="1350" w:type="dxa"/>
            <w:noWrap/>
            <w:vAlign w:val="center"/>
            <w:hideMark/>
          </w:tcPr>
          <w:p w14:paraId="26EEC793"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109</w:t>
            </w:r>
          </w:p>
        </w:tc>
        <w:tc>
          <w:tcPr>
            <w:tcW w:w="1350" w:type="dxa"/>
            <w:noWrap/>
            <w:vAlign w:val="center"/>
            <w:hideMark/>
          </w:tcPr>
          <w:p w14:paraId="316B2C05"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20.6</w:t>
            </w:r>
          </w:p>
        </w:tc>
        <w:tc>
          <w:tcPr>
            <w:tcW w:w="1620" w:type="dxa"/>
            <w:noWrap/>
            <w:vAlign w:val="center"/>
            <w:hideMark/>
          </w:tcPr>
          <w:p w14:paraId="77847895"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529</w:t>
            </w:r>
          </w:p>
        </w:tc>
      </w:tr>
      <w:tr w:rsidR="00D675FC" w:rsidRPr="00613DE5" w14:paraId="62C42A08"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5D0A985A"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Nelson Marlborough</w:t>
            </w:r>
          </w:p>
        </w:tc>
        <w:tc>
          <w:tcPr>
            <w:tcW w:w="1350" w:type="dxa"/>
            <w:noWrap/>
            <w:vAlign w:val="center"/>
            <w:hideMark/>
          </w:tcPr>
          <w:p w14:paraId="7A8398F2"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1006</w:t>
            </w:r>
          </w:p>
        </w:tc>
        <w:tc>
          <w:tcPr>
            <w:tcW w:w="1350" w:type="dxa"/>
            <w:noWrap/>
            <w:vAlign w:val="center"/>
            <w:hideMark/>
          </w:tcPr>
          <w:p w14:paraId="258F7D7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72.4</w:t>
            </w:r>
          </w:p>
        </w:tc>
        <w:tc>
          <w:tcPr>
            <w:tcW w:w="1350" w:type="dxa"/>
            <w:noWrap/>
            <w:vAlign w:val="center"/>
            <w:hideMark/>
          </w:tcPr>
          <w:p w14:paraId="0CCD1A52"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376</w:t>
            </w:r>
          </w:p>
        </w:tc>
        <w:tc>
          <w:tcPr>
            <w:tcW w:w="1350" w:type="dxa"/>
            <w:noWrap/>
            <w:vAlign w:val="center"/>
            <w:hideMark/>
          </w:tcPr>
          <w:p w14:paraId="33777855"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27.1</w:t>
            </w:r>
          </w:p>
        </w:tc>
        <w:tc>
          <w:tcPr>
            <w:tcW w:w="1620" w:type="dxa"/>
            <w:noWrap/>
            <w:vAlign w:val="center"/>
            <w:hideMark/>
          </w:tcPr>
          <w:p w14:paraId="095025BB"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1390</w:t>
            </w:r>
          </w:p>
        </w:tc>
      </w:tr>
      <w:tr w:rsidR="00D675FC" w:rsidRPr="00613DE5" w14:paraId="0B4FAE68"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1A8D7077"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West Coast</w:t>
            </w:r>
          </w:p>
        </w:tc>
        <w:tc>
          <w:tcPr>
            <w:tcW w:w="1350" w:type="dxa"/>
            <w:noWrap/>
            <w:vAlign w:val="center"/>
            <w:hideMark/>
          </w:tcPr>
          <w:p w14:paraId="3F204CDD"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190</w:t>
            </w:r>
          </w:p>
        </w:tc>
        <w:tc>
          <w:tcPr>
            <w:tcW w:w="1350" w:type="dxa"/>
            <w:noWrap/>
            <w:vAlign w:val="center"/>
            <w:hideMark/>
          </w:tcPr>
          <w:p w14:paraId="553186A3"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65.3</w:t>
            </w:r>
          </w:p>
        </w:tc>
        <w:tc>
          <w:tcPr>
            <w:tcW w:w="1350" w:type="dxa"/>
            <w:noWrap/>
            <w:vAlign w:val="center"/>
            <w:hideMark/>
          </w:tcPr>
          <w:p w14:paraId="6806F893"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99</w:t>
            </w:r>
          </w:p>
        </w:tc>
        <w:tc>
          <w:tcPr>
            <w:tcW w:w="1350" w:type="dxa"/>
            <w:noWrap/>
            <w:vAlign w:val="center"/>
            <w:hideMark/>
          </w:tcPr>
          <w:p w14:paraId="6E7B05AD"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34.0</w:t>
            </w:r>
          </w:p>
        </w:tc>
        <w:tc>
          <w:tcPr>
            <w:tcW w:w="1620" w:type="dxa"/>
            <w:noWrap/>
            <w:vAlign w:val="center"/>
            <w:hideMark/>
          </w:tcPr>
          <w:p w14:paraId="0095BBBB"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291</w:t>
            </w:r>
          </w:p>
        </w:tc>
      </w:tr>
      <w:tr w:rsidR="00D675FC" w:rsidRPr="00613DE5" w14:paraId="40288D0B"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0AE28B7A"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Canterbury</w:t>
            </w:r>
          </w:p>
        </w:tc>
        <w:tc>
          <w:tcPr>
            <w:tcW w:w="1350" w:type="dxa"/>
            <w:noWrap/>
            <w:vAlign w:val="center"/>
            <w:hideMark/>
          </w:tcPr>
          <w:p w14:paraId="300D6F12"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4574</w:t>
            </w:r>
          </w:p>
        </w:tc>
        <w:tc>
          <w:tcPr>
            <w:tcW w:w="1350" w:type="dxa"/>
            <w:noWrap/>
            <w:vAlign w:val="center"/>
            <w:hideMark/>
          </w:tcPr>
          <w:p w14:paraId="0E6ADA06"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70.4</w:t>
            </w:r>
          </w:p>
        </w:tc>
        <w:tc>
          <w:tcPr>
            <w:tcW w:w="1350" w:type="dxa"/>
            <w:noWrap/>
            <w:vAlign w:val="center"/>
            <w:hideMark/>
          </w:tcPr>
          <w:p w14:paraId="343AD728"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1865</w:t>
            </w:r>
          </w:p>
        </w:tc>
        <w:tc>
          <w:tcPr>
            <w:tcW w:w="1350" w:type="dxa"/>
            <w:noWrap/>
            <w:vAlign w:val="center"/>
            <w:hideMark/>
          </w:tcPr>
          <w:p w14:paraId="505CF9DA"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28.7</w:t>
            </w:r>
          </w:p>
        </w:tc>
        <w:tc>
          <w:tcPr>
            <w:tcW w:w="1620" w:type="dxa"/>
            <w:noWrap/>
            <w:vAlign w:val="center"/>
            <w:hideMark/>
          </w:tcPr>
          <w:p w14:paraId="19E9FA00"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6498</w:t>
            </w:r>
          </w:p>
        </w:tc>
      </w:tr>
      <w:tr w:rsidR="00D675FC" w:rsidRPr="00613DE5" w14:paraId="0FE4AE63"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6EB7BDED"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 Canterbury</w:t>
            </w:r>
          </w:p>
        </w:tc>
        <w:tc>
          <w:tcPr>
            <w:tcW w:w="1350" w:type="dxa"/>
            <w:noWrap/>
            <w:vAlign w:val="center"/>
            <w:hideMark/>
          </w:tcPr>
          <w:p w14:paraId="19FE329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447</w:t>
            </w:r>
          </w:p>
        </w:tc>
        <w:tc>
          <w:tcPr>
            <w:tcW w:w="1350" w:type="dxa"/>
            <w:noWrap/>
            <w:vAlign w:val="center"/>
            <w:hideMark/>
          </w:tcPr>
          <w:p w14:paraId="47E8CB9D"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76.0</w:t>
            </w:r>
          </w:p>
        </w:tc>
        <w:tc>
          <w:tcPr>
            <w:tcW w:w="1350" w:type="dxa"/>
            <w:noWrap/>
            <w:vAlign w:val="center"/>
            <w:hideMark/>
          </w:tcPr>
          <w:p w14:paraId="48D8154F"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138</w:t>
            </w:r>
          </w:p>
        </w:tc>
        <w:tc>
          <w:tcPr>
            <w:tcW w:w="1350" w:type="dxa"/>
            <w:noWrap/>
            <w:vAlign w:val="center"/>
            <w:hideMark/>
          </w:tcPr>
          <w:p w14:paraId="24B65849"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23.5</w:t>
            </w:r>
          </w:p>
        </w:tc>
        <w:tc>
          <w:tcPr>
            <w:tcW w:w="1620" w:type="dxa"/>
            <w:noWrap/>
            <w:vAlign w:val="center"/>
            <w:hideMark/>
          </w:tcPr>
          <w:p w14:paraId="0265A12B"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588</w:t>
            </w:r>
          </w:p>
        </w:tc>
      </w:tr>
      <w:tr w:rsidR="00D675FC" w:rsidRPr="00613DE5" w14:paraId="2BE43420"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5302D58C" w14:textId="77777777" w:rsidR="00D675FC" w:rsidRPr="00613DE5" w:rsidRDefault="00D675FC" w:rsidP="00416C2F">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Southern</w:t>
            </w:r>
          </w:p>
        </w:tc>
        <w:tc>
          <w:tcPr>
            <w:tcW w:w="1350" w:type="dxa"/>
            <w:noWrap/>
            <w:vAlign w:val="center"/>
            <w:hideMark/>
          </w:tcPr>
          <w:p w14:paraId="2EC73493"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2361</w:t>
            </w:r>
          </w:p>
        </w:tc>
        <w:tc>
          <w:tcPr>
            <w:tcW w:w="1350" w:type="dxa"/>
            <w:noWrap/>
            <w:vAlign w:val="center"/>
            <w:hideMark/>
          </w:tcPr>
          <w:p w14:paraId="2B38C7A4"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70.5</w:t>
            </w:r>
          </w:p>
        </w:tc>
        <w:tc>
          <w:tcPr>
            <w:tcW w:w="1350" w:type="dxa"/>
            <w:noWrap/>
            <w:vAlign w:val="center"/>
            <w:hideMark/>
          </w:tcPr>
          <w:p w14:paraId="3C4FA90F"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955</w:t>
            </w:r>
          </w:p>
        </w:tc>
        <w:tc>
          <w:tcPr>
            <w:tcW w:w="1350" w:type="dxa"/>
            <w:noWrap/>
            <w:vAlign w:val="center"/>
            <w:hideMark/>
          </w:tcPr>
          <w:p w14:paraId="57156D0E"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28.5</w:t>
            </w:r>
          </w:p>
        </w:tc>
        <w:tc>
          <w:tcPr>
            <w:tcW w:w="1620" w:type="dxa"/>
            <w:noWrap/>
            <w:vAlign w:val="center"/>
            <w:hideMark/>
          </w:tcPr>
          <w:p w14:paraId="6C058C4C" w14:textId="77777777" w:rsidR="00D675FC" w:rsidRPr="00613DE5" w:rsidRDefault="00D675FC"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3348</w:t>
            </w:r>
          </w:p>
        </w:tc>
      </w:tr>
      <w:tr w:rsidR="00D675FC" w:rsidRPr="00613DE5" w14:paraId="6623A85B"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6CB0747B" w14:textId="77777777" w:rsidR="00D675FC" w:rsidRPr="00613DE5" w:rsidRDefault="00D675FC" w:rsidP="00416C2F">
            <w:pP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National</w:t>
            </w:r>
          </w:p>
        </w:tc>
        <w:tc>
          <w:tcPr>
            <w:tcW w:w="1350" w:type="dxa"/>
            <w:noWrap/>
            <w:vAlign w:val="center"/>
            <w:hideMark/>
          </w:tcPr>
          <w:p w14:paraId="4871901D"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45363</w:t>
            </w:r>
          </w:p>
        </w:tc>
        <w:tc>
          <w:tcPr>
            <w:tcW w:w="1350" w:type="dxa"/>
            <w:noWrap/>
            <w:vAlign w:val="center"/>
            <w:hideMark/>
          </w:tcPr>
          <w:p w14:paraId="47B28512"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79.8</w:t>
            </w:r>
          </w:p>
        </w:tc>
        <w:tc>
          <w:tcPr>
            <w:tcW w:w="1350" w:type="dxa"/>
            <w:noWrap/>
            <w:vAlign w:val="center"/>
            <w:hideMark/>
          </w:tcPr>
          <w:p w14:paraId="26A7E9E5"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10968</w:t>
            </w:r>
          </w:p>
        </w:tc>
        <w:tc>
          <w:tcPr>
            <w:tcW w:w="1350" w:type="dxa"/>
            <w:noWrap/>
            <w:vAlign w:val="center"/>
            <w:hideMark/>
          </w:tcPr>
          <w:p w14:paraId="12C4AE51" w14:textId="77777777"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19.3</w:t>
            </w:r>
          </w:p>
        </w:tc>
        <w:tc>
          <w:tcPr>
            <w:tcW w:w="1620" w:type="dxa"/>
            <w:noWrap/>
            <w:vAlign w:val="center"/>
            <w:hideMark/>
          </w:tcPr>
          <w:p w14:paraId="1E600EC7" w14:textId="790F72E2" w:rsidR="00D675FC" w:rsidRPr="00613DE5" w:rsidRDefault="00D675FC"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56875</w:t>
            </w:r>
            <w:r w:rsidR="00565B39">
              <w:rPr>
                <w:rFonts w:eastAsia="Times New Roman" w:cstheme="minorHAnsi"/>
                <w:b/>
                <w:bCs/>
                <w:color w:val="000000"/>
                <w:szCs w:val="24"/>
                <w:lang w:val="en-NZ" w:eastAsia="en-NZ"/>
              </w:rPr>
              <w:t>*</w:t>
            </w:r>
          </w:p>
        </w:tc>
      </w:tr>
    </w:tbl>
    <w:p w14:paraId="0D9FB263" w14:textId="5FF1204D" w:rsidR="00C042EF" w:rsidRPr="0004369F" w:rsidRDefault="00D675FC" w:rsidP="00D675FC">
      <w:pPr>
        <w:rPr>
          <w:i/>
          <w:iCs/>
          <w:sz w:val="20"/>
          <w:szCs w:val="20"/>
          <w:lang w:val="en-NZ"/>
        </w:rPr>
      </w:pPr>
      <w:r w:rsidRPr="0004369F">
        <w:rPr>
          <w:i/>
          <w:iCs/>
          <w:sz w:val="20"/>
          <w:szCs w:val="20"/>
          <w:lang w:val="en-NZ"/>
        </w:rPr>
        <w:t>*</w:t>
      </w:r>
      <w:r w:rsidR="006617D3">
        <w:rPr>
          <w:i/>
          <w:iCs/>
          <w:sz w:val="20"/>
          <w:szCs w:val="20"/>
          <w:lang w:val="en-NZ"/>
        </w:rPr>
        <w:t xml:space="preserve">Totals of columns do not add up as </w:t>
      </w:r>
      <w:r w:rsidRPr="0004369F">
        <w:rPr>
          <w:i/>
          <w:iCs/>
          <w:sz w:val="20"/>
          <w:szCs w:val="20"/>
          <w:lang w:val="en-NZ"/>
        </w:rPr>
        <w:t>544 samples had no collection date</w:t>
      </w:r>
    </w:p>
    <w:p w14:paraId="1D06FFC1" w14:textId="77777777" w:rsidR="0061629A" w:rsidRPr="00613DE5" w:rsidRDefault="0061629A">
      <w:pPr>
        <w:rPr>
          <w:rFonts w:ascii="Poppins" w:hAnsi="Poppins" w:cs="Poppins"/>
          <w:b/>
          <w:bCs/>
          <w:color w:val="15284C"/>
          <w:sz w:val="32"/>
          <w:szCs w:val="32"/>
          <w:lang w:val="en-NZ"/>
        </w:rPr>
      </w:pPr>
      <w:bookmarkStart w:id="43" w:name="_Toc160616221"/>
      <w:r w:rsidRPr="00613DE5">
        <w:rPr>
          <w:lang w:val="en-NZ"/>
        </w:rPr>
        <w:br w:type="page"/>
      </w:r>
    </w:p>
    <w:p w14:paraId="44EBF8D2" w14:textId="67AE5BB0" w:rsidR="00B5370F" w:rsidRPr="00613DE5" w:rsidRDefault="00B5370F" w:rsidP="00A06EA0">
      <w:pPr>
        <w:pStyle w:val="Heading2"/>
        <w:rPr>
          <w:lang w:val="en-NZ"/>
        </w:rPr>
      </w:pPr>
      <w:bookmarkStart w:id="44" w:name="_Toc179192062"/>
      <w:r w:rsidRPr="00613DE5">
        <w:rPr>
          <w:lang w:val="en-NZ"/>
        </w:rPr>
        <w:lastRenderedPageBreak/>
        <w:t xml:space="preserve">Figure </w:t>
      </w:r>
      <w:r w:rsidRPr="00613DE5">
        <w:rPr>
          <w:color w:val="2B579A"/>
          <w:shd w:val="clear" w:color="auto" w:fill="E6E6E6"/>
          <w:lang w:val="en-NZ"/>
        </w:rPr>
        <w:fldChar w:fldCharType="begin"/>
      </w:r>
      <w:r w:rsidRPr="00613DE5">
        <w:rPr>
          <w:lang w:val="en-NZ"/>
        </w:rPr>
        <w:instrText xml:space="preserve"> SEQ Figure \* ARABIC </w:instrText>
      </w:r>
      <w:r w:rsidRPr="00613DE5">
        <w:rPr>
          <w:color w:val="2B579A"/>
          <w:shd w:val="clear" w:color="auto" w:fill="E6E6E6"/>
          <w:lang w:val="en-NZ"/>
        </w:rPr>
        <w:fldChar w:fldCharType="separate"/>
      </w:r>
      <w:r w:rsidR="00E60918">
        <w:rPr>
          <w:noProof/>
          <w:lang w:val="en-NZ"/>
        </w:rPr>
        <w:t>2</w:t>
      </w:r>
      <w:r w:rsidRPr="00613DE5">
        <w:rPr>
          <w:color w:val="2B579A"/>
          <w:shd w:val="clear" w:color="auto" w:fill="E6E6E6"/>
          <w:lang w:val="en-NZ"/>
        </w:rPr>
        <w:fldChar w:fldCharType="end"/>
      </w:r>
      <w:r w:rsidRPr="00613DE5">
        <w:rPr>
          <w:lang w:val="en-NZ"/>
        </w:rPr>
        <w:t>: Percent of samples received by the laboratory within four days of being taken by district, January to December 2022</w:t>
      </w:r>
      <w:bookmarkEnd w:id="43"/>
      <w:bookmarkEnd w:id="44"/>
    </w:p>
    <w:p w14:paraId="2BB57153" w14:textId="77777777" w:rsidR="00B5370F" w:rsidRPr="00613DE5" w:rsidRDefault="00B5370F" w:rsidP="00B5370F">
      <w:pPr>
        <w:rPr>
          <w:lang w:val="en-NZ"/>
        </w:rPr>
      </w:pPr>
      <w:r w:rsidRPr="00613DE5">
        <w:rPr>
          <w:noProof/>
          <w:color w:val="2B579A"/>
          <w:shd w:val="clear" w:color="auto" w:fill="E6E6E6"/>
          <w:lang w:val="en-NZ"/>
        </w:rPr>
        <w:drawing>
          <wp:inline distT="0" distB="0" distL="0" distR="0" wp14:anchorId="44A5F34A" wp14:editId="2AC9451D">
            <wp:extent cx="6059155" cy="3443469"/>
            <wp:effectExtent l="0" t="0" r="18415" b="5080"/>
            <wp:docPr id="4" name="Chart 4" descr="Figure 2: Percent of samples received by the laboratory within four days of being taken by district, January to December 2022">
              <a:extLst xmlns:a="http://schemas.openxmlformats.org/drawingml/2006/main">
                <a:ext uri="{FF2B5EF4-FFF2-40B4-BE49-F238E27FC236}">
                  <a16:creationId xmlns:a16="http://schemas.microsoft.com/office/drawing/2014/main" id="{C3A70D40-3397-77B3-54DE-53BD1C588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829159" w14:textId="77777777" w:rsidR="00CB277B" w:rsidRPr="00613DE5" w:rsidRDefault="00CB277B">
      <w:pPr>
        <w:rPr>
          <w:rFonts w:ascii="Poppins" w:eastAsiaTheme="majorEastAsia" w:hAnsi="Poppins" w:cs="Poppins"/>
          <w:b/>
          <w:bCs/>
          <w:color w:val="30A1AC"/>
          <w:sz w:val="36"/>
          <w:szCs w:val="36"/>
          <w:lang w:val="en-NZ"/>
        </w:rPr>
      </w:pPr>
      <w:bookmarkStart w:id="45" w:name="_Toc160616222"/>
      <w:r w:rsidRPr="00613DE5">
        <w:rPr>
          <w:lang w:val="en-NZ"/>
        </w:rPr>
        <w:br w:type="page"/>
      </w:r>
    </w:p>
    <w:p w14:paraId="67AEA477" w14:textId="1C40D0A4" w:rsidR="0061629A" w:rsidRPr="00613DE5" w:rsidRDefault="0061629A" w:rsidP="00A06EA0">
      <w:pPr>
        <w:pStyle w:val="Heading1"/>
        <w:rPr>
          <w:lang w:val="en-NZ"/>
        </w:rPr>
      </w:pPr>
      <w:bookmarkStart w:id="46" w:name="_Toc179192063"/>
      <w:r w:rsidRPr="2367D3E9">
        <w:rPr>
          <w:lang w:val="en-NZ"/>
        </w:rPr>
        <w:lastRenderedPageBreak/>
        <w:t>Indicator 5: Receipt and follow-up of second</w:t>
      </w:r>
      <w:r w:rsidR="0E569D8E" w:rsidRPr="2367D3E9">
        <w:rPr>
          <w:lang w:val="en-NZ"/>
        </w:rPr>
        <w:t xml:space="preserve"> </w:t>
      </w:r>
      <w:r w:rsidRPr="2367D3E9">
        <w:rPr>
          <w:lang w:val="en-NZ"/>
        </w:rPr>
        <w:t>sample</w:t>
      </w:r>
      <w:bookmarkEnd w:id="45"/>
      <w:bookmarkEnd w:id="46"/>
    </w:p>
    <w:p w14:paraId="31E84F95" w14:textId="51CDFFED" w:rsidR="0061629A" w:rsidRPr="00613DE5" w:rsidRDefault="0061629A" w:rsidP="009D2530">
      <w:pPr>
        <w:rPr>
          <w:lang w:val="en-NZ"/>
        </w:rPr>
      </w:pPr>
      <w:r w:rsidRPr="46A66C4C">
        <w:rPr>
          <w:b/>
          <w:bCs/>
          <w:lang w:val="en-NZ"/>
        </w:rPr>
        <w:t>Description:</w:t>
      </w:r>
      <w:r w:rsidRPr="46A66C4C">
        <w:rPr>
          <w:lang w:val="en-NZ"/>
        </w:rPr>
        <w:t xml:space="preserve"> The proportion of second sample requests that had appropriate </w:t>
      </w:r>
      <w:r w:rsidR="0B75F1AA" w:rsidRPr="46A66C4C">
        <w:rPr>
          <w:lang w:val="en-NZ"/>
        </w:rPr>
        <w:t>follow-up</w:t>
      </w:r>
      <w:r w:rsidRPr="46A66C4C">
        <w:rPr>
          <w:lang w:val="en-NZ"/>
        </w:rPr>
        <w:t xml:space="preserve"> (timely receipt of second sample, decline notified or other appropriate follow-up).</w:t>
      </w:r>
    </w:p>
    <w:p w14:paraId="3841E59D" w14:textId="5BD80E0A" w:rsidR="0061629A" w:rsidRPr="00613DE5" w:rsidRDefault="0061629A" w:rsidP="009D2530">
      <w:pPr>
        <w:rPr>
          <w:lang w:val="en-NZ"/>
        </w:rPr>
      </w:pPr>
      <w:r w:rsidRPr="00613DE5">
        <w:rPr>
          <w:b/>
          <w:bCs/>
          <w:lang w:val="en-NZ"/>
        </w:rPr>
        <w:t>Rationale:</w:t>
      </w:r>
      <w:r w:rsidRPr="00613DE5">
        <w:rPr>
          <w:lang w:val="en-NZ"/>
        </w:rPr>
        <w:t xml:space="preserve"> Second samples are requested if first samples give borderline results or are inadequate. Where requested, second samples should be taken as soon as possible.</w:t>
      </w:r>
    </w:p>
    <w:p w14:paraId="531293BF" w14:textId="77777777" w:rsidR="0061629A" w:rsidRPr="00613DE5" w:rsidRDefault="0061629A" w:rsidP="009D2530">
      <w:pPr>
        <w:rPr>
          <w:lang w:val="en-NZ"/>
        </w:rPr>
      </w:pPr>
      <w:r w:rsidRPr="00613DE5">
        <w:rPr>
          <w:b/>
          <w:bCs/>
          <w:lang w:val="en-NZ"/>
        </w:rPr>
        <w:t>Target:</w:t>
      </w:r>
      <w:r w:rsidRPr="00613DE5">
        <w:rPr>
          <w:lang w:val="en-NZ"/>
        </w:rPr>
        <w:t xml:space="preserve"> 100 percent of second samples requested are received by the laboratory, had other appropriate follow-up, or were declined by parents/guardians, within 10 calendar days of the request.</w:t>
      </w:r>
    </w:p>
    <w:p w14:paraId="0ABAECD1" w14:textId="017CBB4E" w:rsidR="0061629A" w:rsidRPr="00613DE5" w:rsidRDefault="0061629A" w:rsidP="009D2530">
      <w:pPr>
        <w:rPr>
          <w:lang w:val="en-NZ"/>
        </w:rPr>
      </w:pPr>
      <w:r w:rsidRPr="00613DE5">
        <w:rPr>
          <w:b/>
          <w:bCs/>
          <w:lang w:val="en-NZ"/>
        </w:rPr>
        <w:t>Interpretation:</w:t>
      </w:r>
      <w:r w:rsidRPr="00613DE5">
        <w:rPr>
          <w:lang w:val="en-NZ"/>
        </w:rPr>
        <w:t xml:space="preserve"> In 2022, 82.7 percent of requests for second samples resulted in one of the following within 10 days: a second sample arrived at the laboratory; or the laboratory received notification that the parents/guardians had declined the request</w:t>
      </w:r>
      <w:r w:rsidR="757C0539" w:rsidRPr="3FEE8C88">
        <w:rPr>
          <w:lang w:val="en-NZ"/>
        </w:rPr>
        <w:t>;</w:t>
      </w:r>
      <w:r w:rsidRPr="00613DE5">
        <w:rPr>
          <w:lang w:val="en-NZ"/>
        </w:rPr>
        <w:t xml:space="preserve"> or that the newborn had been referred to a </w:t>
      </w:r>
      <w:r w:rsidR="00AA4C2B" w:rsidRPr="00613DE5">
        <w:rPr>
          <w:lang w:val="en-NZ"/>
        </w:rPr>
        <w:t>specialist,</w:t>
      </w:r>
      <w:r w:rsidR="00AA4C2B">
        <w:rPr>
          <w:lang w:val="en-NZ"/>
        </w:rPr>
        <w:t xml:space="preserve"> or</w:t>
      </w:r>
      <w:r w:rsidRPr="00613DE5">
        <w:rPr>
          <w:lang w:val="en-NZ"/>
        </w:rPr>
        <w:t xml:space="preserve"> other appropriate follow-up had occurred</w:t>
      </w:r>
      <w:r w:rsidR="00D6794E">
        <w:rPr>
          <w:lang w:val="en-NZ"/>
        </w:rPr>
        <w:t>;</w:t>
      </w:r>
      <w:r w:rsidR="00D6794E" w:rsidRPr="00613DE5">
        <w:rPr>
          <w:lang w:val="en-NZ"/>
        </w:rPr>
        <w:t xml:space="preserve"> </w:t>
      </w:r>
      <w:r w:rsidRPr="00613DE5">
        <w:rPr>
          <w:lang w:val="en-NZ"/>
        </w:rPr>
        <w:t xml:space="preserve">or that the newborn had passed away. </w:t>
      </w:r>
    </w:p>
    <w:p w14:paraId="37D5180A" w14:textId="2C2FC894" w:rsidR="00AE1B4C" w:rsidRPr="00483E89" w:rsidRDefault="0061629A" w:rsidP="00AE1B4C">
      <w:pPr>
        <w:rPr>
          <w:lang w:val="en-NZ"/>
        </w:rPr>
      </w:pPr>
      <w:r w:rsidRPr="46242143">
        <w:rPr>
          <w:b/>
          <w:bCs/>
          <w:lang w:val="en-NZ"/>
        </w:rPr>
        <w:t>Comment:</w:t>
      </w:r>
      <w:r w:rsidRPr="46242143">
        <w:rPr>
          <w:lang w:val="en-NZ"/>
        </w:rPr>
        <w:t xml:space="preserve"> </w:t>
      </w:r>
      <w:r w:rsidR="00AE1B4C" w:rsidRPr="46242143">
        <w:rPr>
          <w:lang w:val="en-NZ"/>
        </w:rPr>
        <w:t>In 2015 a new protocol was introduced by LabPLUS</w:t>
      </w:r>
      <w:r w:rsidR="00DD1B3F" w:rsidRPr="46242143">
        <w:rPr>
          <w:lang w:val="en-NZ"/>
        </w:rPr>
        <w:t xml:space="preserve">, </w:t>
      </w:r>
      <w:r w:rsidR="00AE1B4C" w:rsidRPr="46242143">
        <w:rPr>
          <w:lang w:val="en-NZ"/>
        </w:rPr>
        <w:t xml:space="preserve">which aimed to improve the time second samples were received at LabPLUS. This included sending text messages, making extra phone </w:t>
      </w:r>
      <w:r w:rsidR="008F615B" w:rsidRPr="46242143">
        <w:rPr>
          <w:lang w:val="en-NZ"/>
        </w:rPr>
        <w:t>calls,</w:t>
      </w:r>
      <w:r w:rsidR="00AE1B4C" w:rsidRPr="46242143">
        <w:rPr>
          <w:lang w:val="en-NZ"/>
        </w:rPr>
        <w:t xml:space="preserve"> and providing additional written reports to LMCs. The rate of return within the expected 10-day timeframe has risen from 38 percent in 2014 to 82.7 percent in 2022.</w:t>
      </w:r>
      <w:r w:rsidR="00483E89" w:rsidRPr="46242143">
        <w:rPr>
          <w:lang w:val="en-NZ"/>
        </w:rPr>
        <w:t xml:space="preserve"> There were no</w:t>
      </w:r>
      <w:r w:rsidR="0B5239C5" w:rsidRPr="46242143">
        <w:rPr>
          <w:lang w:val="en-NZ"/>
        </w:rPr>
        <w:t xml:space="preserve"> adverse</w:t>
      </w:r>
      <w:r w:rsidR="00483E89" w:rsidRPr="46242143">
        <w:rPr>
          <w:lang w:val="en-NZ"/>
        </w:rPr>
        <w:t xml:space="preserve"> clinical consequences from second samples not </w:t>
      </w:r>
      <w:r w:rsidR="00D6794E">
        <w:rPr>
          <w:lang w:val="en-NZ"/>
        </w:rPr>
        <w:t xml:space="preserve">being </w:t>
      </w:r>
      <w:r w:rsidR="00483E89" w:rsidRPr="46242143">
        <w:rPr>
          <w:lang w:val="en-NZ"/>
        </w:rPr>
        <w:t xml:space="preserve">received within the 10-day </w:t>
      </w:r>
      <w:r w:rsidR="008F615B" w:rsidRPr="46242143">
        <w:rPr>
          <w:lang w:val="en-NZ"/>
        </w:rPr>
        <w:t>timeframe.</w:t>
      </w:r>
    </w:p>
    <w:p w14:paraId="0AE3963F" w14:textId="0578BECF" w:rsidR="009B130F" w:rsidRPr="00483E89" w:rsidRDefault="009B130F" w:rsidP="009B130F">
      <w:r w:rsidRPr="00483E89" w:rsidDel="008F150E">
        <w:t>In the 2022 reporting period, 619 second samples were requested.</w:t>
      </w:r>
      <w:r w:rsidR="00553190">
        <w:t xml:space="preserve"> </w:t>
      </w:r>
      <w:r w:rsidR="5387F3C1">
        <w:t xml:space="preserve">A second sample was received, </w:t>
      </w:r>
      <w:r w:rsidR="0652EFBF">
        <w:t>declined</w:t>
      </w:r>
      <w:r w:rsidR="2E0BF3ED">
        <w:t xml:space="preserve"> (by the famil</w:t>
      </w:r>
      <w:r w:rsidR="5045340D">
        <w:t>y)</w:t>
      </w:r>
      <w:r w:rsidR="0652EFBF">
        <w:t>,</w:t>
      </w:r>
      <w:r w:rsidR="5387F3C1">
        <w:t xml:space="preserve"> or other follow-up</w:t>
      </w:r>
      <w:r w:rsidR="4089179A">
        <w:t xml:space="preserve"> occurred</w:t>
      </w:r>
      <w:r w:rsidR="5387F3C1">
        <w:t xml:space="preserve"> in 98.9 percent of the instances when a second sample was requested. </w:t>
      </w:r>
      <w:r w:rsidR="35C61467">
        <w:t>For the remaining s</w:t>
      </w:r>
      <w:r w:rsidR="494E28A5">
        <w:t>even</w:t>
      </w:r>
      <w:r w:rsidR="167EEB03">
        <w:t xml:space="preserve"> (1.1</w:t>
      </w:r>
      <w:r w:rsidR="49313111">
        <w:t xml:space="preserve"> </w:t>
      </w:r>
      <w:r w:rsidR="5387F3C1">
        <w:t xml:space="preserve">percent) </w:t>
      </w:r>
      <w:r w:rsidR="0BC21253">
        <w:t>second sample requests</w:t>
      </w:r>
      <w:r w:rsidR="69423117">
        <w:t>,</w:t>
      </w:r>
      <w:r w:rsidR="5387F3C1">
        <w:t xml:space="preserve"> </w:t>
      </w:r>
      <w:r w:rsidR="35C61467">
        <w:t>multiple</w:t>
      </w:r>
      <w:r w:rsidR="1A54EC0D">
        <w:t xml:space="preserve"> attempts</w:t>
      </w:r>
      <w:r w:rsidR="35C61467">
        <w:t xml:space="preserve"> were</w:t>
      </w:r>
      <w:r w:rsidR="1A54EC0D">
        <w:t xml:space="preserve"> made by </w:t>
      </w:r>
      <w:r w:rsidR="5387F3C1">
        <w:t xml:space="preserve">the screening lab </w:t>
      </w:r>
      <w:r w:rsidR="25ACF9C5">
        <w:t xml:space="preserve">to contact the </w:t>
      </w:r>
      <w:r w:rsidR="5387F3C1">
        <w:t>LMC</w:t>
      </w:r>
      <w:r w:rsidR="6FBAB7DC">
        <w:t xml:space="preserve"> or </w:t>
      </w:r>
      <w:r w:rsidR="225F65A0">
        <w:t xml:space="preserve">by the LMC to contact </w:t>
      </w:r>
      <w:r w:rsidR="5387F3C1">
        <w:t>families to obtain follow-up samples</w:t>
      </w:r>
      <w:r w:rsidR="225F65A0">
        <w:t xml:space="preserve">, without success </w:t>
      </w:r>
      <w:r w:rsidR="055FEF9B">
        <w:t>and the task closed at 28 day</w:t>
      </w:r>
      <w:r w:rsidR="00A06EA0">
        <w:t>s</w:t>
      </w:r>
      <w:r w:rsidR="5387F3C1">
        <w:t xml:space="preserve">. </w:t>
      </w:r>
      <w:r w:rsidR="203D7CCC">
        <w:t>T</w:t>
      </w:r>
      <w:r w:rsidR="5387F3C1">
        <w:t>he</w:t>
      </w:r>
      <w:r w:rsidR="203D7CCC">
        <w:t>se</w:t>
      </w:r>
      <w:r w:rsidR="5A6C0027">
        <w:t xml:space="preserve"> seven samples </w:t>
      </w:r>
      <w:r w:rsidR="5387F3C1">
        <w:t xml:space="preserve">were </w:t>
      </w:r>
      <w:r w:rsidR="62F616B7">
        <w:t>requested as the initial sample was</w:t>
      </w:r>
      <w:r w:rsidR="038DC6C6">
        <w:t xml:space="preserve"> </w:t>
      </w:r>
      <w:r w:rsidR="5676BC7F">
        <w:t>considered an</w:t>
      </w:r>
      <w:r w:rsidR="5387F3C1">
        <w:t xml:space="preserve"> inadequate sample rather than borderline results.</w:t>
      </w:r>
      <w:r w:rsidR="564DADF1">
        <w:t xml:space="preserve"> </w:t>
      </w:r>
    </w:p>
    <w:p w14:paraId="0D481CD5" w14:textId="649648C4" w:rsidR="00565B39" w:rsidRDefault="003D38CB" w:rsidP="003D38CB">
      <w:pPr>
        <w:rPr>
          <w:lang w:val="en-NZ"/>
        </w:rPr>
      </w:pPr>
      <w:r w:rsidRPr="00483E89">
        <w:rPr>
          <w:lang w:val="en-NZ"/>
        </w:rPr>
        <w:t>The time taken to receive a follow-up sample is influenced by</w:t>
      </w:r>
      <w:r w:rsidR="00565B39">
        <w:rPr>
          <w:lang w:val="en-NZ"/>
        </w:rPr>
        <w:t>:</w:t>
      </w:r>
    </w:p>
    <w:p w14:paraId="5D51EFDE" w14:textId="09FE7CC5" w:rsidR="00565B39" w:rsidRDefault="003D38CB" w:rsidP="00565B39">
      <w:pPr>
        <w:pStyle w:val="ListParagraph"/>
        <w:numPr>
          <w:ilvl w:val="0"/>
          <w:numId w:val="17"/>
        </w:numPr>
        <w:rPr>
          <w:lang w:val="en-NZ"/>
        </w:rPr>
      </w:pPr>
      <w:r w:rsidRPr="00565B39">
        <w:rPr>
          <w:lang w:val="en-NZ"/>
        </w:rPr>
        <w:t xml:space="preserve">the time it takes to generate, </w:t>
      </w:r>
      <w:r w:rsidR="00201CF6" w:rsidRPr="00565B39">
        <w:rPr>
          <w:lang w:val="en-NZ"/>
        </w:rPr>
        <w:t>send,</w:t>
      </w:r>
      <w:r w:rsidRPr="00565B39">
        <w:rPr>
          <w:lang w:val="en-NZ"/>
        </w:rPr>
        <w:t xml:space="preserve"> and receive the request (usually reported via text with a request to recollect ASAP); </w:t>
      </w:r>
    </w:p>
    <w:p w14:paraId="4139B277" w14:textId="356D43D6" w:rsidR="00565B39" w:rsidRDefault="00635FD1" w:rsidP="00565B39">
      <w:pPr>
        <w:pStyle w:val="ListParagraph"/>
        <w:numPr>
          <w:ilvl w:val="0"/>
          <w:numId w:val="17"/>
        </w:numPr>
        <w:rPr>
          <w:lang w:val="en-NZ"/>
        </w:rPr>
      </w:pPr>
      <w:r>
        <w:rPr>
          <w:lang w:val="en-NZ"/>
        </w:rPr>
        <w:t>t</w:t>
      </w:r>
      <w:r w:rsidR="003D38CB" w:rsidRPr="00565B39">
        <w:rPr>
          <w:lang w:val="en-NZ"/>
        </w:rPr>
        <w:t xml:space="preserve">he time it takes to collect the second sample (usually at the next scheduled visit of the LMC) and send it to the laboratory; and </w:t>
      </w:r>
    </w:p>
    <w:p w14:paraId="2F6E3DED" w14:textId="6D1CC1B4" w:rsidR="003D38CB" w:rsidRPr="00565B39" w:rsidRDefault="00EA4A9E" w:rsidP="00946626">
      <w:pPr>
        <w:pStyle w:val="ListParagraph"/>
        <w:numPr>
          <w:ilvl w:val="0"/>
          <w:numId w:val="17"/>
        </w:numPr>
        <w:rPr>
          <w:lang w:val="en-NZ"/>
        </w:rPr>
      </w:pPr>
      <w:r w:rsidRPr="312CCCBB">
        <w:rPr>
          <w:lang w:val="en-NZ"/>
        </w:rPr>
        <w:t xml:space="preserve">the transit time of the sample to reach the </w:t>
      </w:r>
      <w:r w:rsidR="003D38CB" w:rsidRPr="312CCCBB">
        <w:rPr>
          <w:lang w:val="en-NZ"/>
        </w:rPr>
        <w:t xml:space="preserve">laboratory. </w:t>
      </w:r>
    </w:p>
    <w:p w14:paraId="3479E57E" w14:textId="77777777" w:rsidR="00AE1B4C" w:rsidRPr="00613DE5" w:rsidRDefault="00AE1B4C" w:rsidP="009D2530">
      <w:pPr>
        <w:rPr>
          <w:lang w:val="en-NZ"/>
        </w:rPr>
      </w:pPr>
    </w:p>
    <w:p w14:paraId="0A0227DD" w14:textId="77777777" w:rsidR="0061629A" w:rsidRPr="00613DE5" w:rsidRDefault="0061629A" w:rsidP="009D2530">
      <w:pPr>
        <w:rPr>
          <w:lang w:val="en-NZ"/>
        </w:rPr>
      </w:pPr>
    </w:p>
    <w:p w14:paraId="0FBFFEC0" w14:textId="77777777" w:rsidR="0061629A" w:rsidRPr="00613DE5" w:rsidRDefault="0061629A" w:rsidP="009D2530">
      <w:pPr>
        <w:rPr>
          <w:i/>
          <w:iCs/>
          <w:color w:val="15284C" w:themeColor="text2"/>
          <w:lang w:val="en-NZ"/>
        </w:rPr>
      </w:pPr>
      <w:r w:rsidRPr="00613DE5">
        <w:rPr>
          <w:lang w:val="en-NZ"/>
        </w:rPr>
        <w:br w:type="page"/>
      </w:r>
    </w:p>
    <w:p w14:paraId="539CC315" w14:textId="785E9E1A" w:rsidR="0061629A" w:rsidRPr="00613DE5" w:rsidRDefault="0061629A" w:rsidP="009D2530">
      <w:pPr>
        <w:pStyle w:val="Heading2"/>
        <w:rPr>
          <w:lang w:val="en-NZ"/>
        </w:rPr>
      </w:pPr>
      <w:bookmarkStart w:id="47" w:name="_Toc160616223"/>
      <w:bookmarkStart w:id="48" w:name="_Toc179192064"/>
      <w:r w:rsidRPr="00613DE5">
        <w:rPr>
          <w:lang w:val="en-NZ"/>
        </w:rPr>
        <w:lastRenderedPageBreak/>
        <w:t xml:space="preserve">Table </w:t>
      </w:r>
      <w:r w:rsidR="0053022E" w:rsidRPr="0053022E">
        <w:rPr>
          <w:lang w:val="en-NZ"/>
        </w:rPr>
        <w:t>10</w:t>
      </w:r>
      <w:r w:rsidRPr="00613DE5">
        <w:rPr>
          <w:lang w:val="en-NZ"/>
        </w:rPr>
        <w:t>: Percentage of second samples the laboratory received (or when other appropriate follow-up occurred) within 10 days, January to December 2022</w:t>
      </w:r>
      <w:bookmarkEnd w:id="47"/>
      <w:bookmarkEnd w:id="48"/>
    </w:p>
    <w:tbl>
      <w:tblPr>
        <w:tblStyle w:val="GridTable4-Accent5"/>
        <w:tblW w:w="9535" w:type="dxa"/>
        <w:tblLayout w:type="fixed"/>
        <w:tblLook w:val="04A0" w:firstRow="1" w:lastRow="0" w:firstColumn="1" w:lastColumn="0" w:noHBand="0" w:noVBand="1"/>
      </w:tblPr>
      <w:tblGrid>
        <w:gridCol w:w="2689"/>
        <w:gridCol w:w="1443"/>
        <w:gridCol w:w="1443"/>
        <w:gridCol w:w="1350"/>
        <w:gridCol w:w="1350"/>
        <w:gridCol w:w="1260"/>
      </w:tblGrid>
      <w:tr w:rsidR="001376AB" w:rsidRPr="00613DE5" w14:paraId="5B833F1A" w14:textId="77777777" w:rsidTr="002466F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2870FF" w:themeColor="accent2" w:themeTint="99"/>
            </w:tcBorders>
            <w:shd w:val="clear" w:color="auto" w:fill="15284C" w:themeFill="text1"/>
            <w:noWrap/>
          </w:tcPr>
          <w:p w14:paraId="24B1079A" w14:textId="77777777" w:rsidR="001376AB" w:rsidRPr="00613DE5" w:rsidRDefault="001376AB" w:rsidP="00635FD1">
            <w:pPr>
              <w:rPr>
                <w:rFonts w:eastAsia="Times New Roman" w:cstheme="minorHAnsi"/>
                <w:szCs w:val="24"/>
                <w:lang w:val="en-NZ" w:eastAsia="en-NZ"/>
              </w:rPr>
            </w:pPr>
          </w:p>
        </w:tc>
        <w:tc>
          <w:tcPr>
            <w:tcW w:w="2886" w:type="dxa"/>
            <w:gridSpan w:val="2"/>
            <w:vMerge w:val="restart"/>
            <w:tcBorders>
              <w:left w:val="single" w:sz="4" w:space="0" w:color="2870FF" w:themeColor="accent2" w:themeTint="99"/>
              <w:right w:val="single" w:sz="4" w:space="0" w:color="2870FF" w:themeColor="accent2" w:themeTint="99"/>
            </w:tcBorders>
            <w:shd w:val="clear" w:color="auto" w:fill="15284C" w:themeFill="text1"/>
            <w:noWrap/>
            <w:vAlign w:val="center"/>
          </w:tcPr>
          <w:p w14:paraId="367D72B7" w14:textId="79B9CAE0" w:rsidR="001376AB" w:rsidRPr="00613DE5" w:rsidRDefault="001376AB" w:rsidP="001376A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Within 10 Days</w:t>
            </w:r>
          </w:p>
        </w:tc>
        <w:tc>
          <w:tcPr>
            <w:tcW w:w="2700" w:type="dxa"/>
            <w:gridSpan w:val="2"/>
            <w:vMerge w:val="restart"/>
            <w:tcBorders>
              <w:left w:val="single" w:sz="4" w:space="0" w:color="2870FF" w:themeColor="accent2" w:themeTint="99"/>
              <w:right w:val="single" w:sz="4" w:space="0" w:color="2870FF" w:themeColor="accent2" w:themeTint="99"/>
            </w:tcBorders>
            <w:shd w:val="clear" w:color="auto" w:fill="15284C" w:themeFill="text1"/>
            <w:noWrap/>
            <w:vAlign w:val="center"/>
          </w:tcPr>
          <w:p w14:paraId="05A6B32C" w14:textId="7C81DAAF" w:rsidR="001376AB" w:rsidRPr="00613DE5" w:rsidRDefault="001376AB" w:rsidP="001376A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After 10 Days</w:t>
            </w:r>
          </w:p>
        </w:tc>
        <w:tc>
          <w:tcPr>
            <w:tcW w:w="1260" w:type="dxa"/>
            <w:vMerge w:val="restart"/>
            <w:tcBorders>
              <w:left w:val="single" w:sz="4" w:space="0" w:color="2870FF" w:themeColor="accent2" w:themeTint="99"/>
            </w:tcBorders>
            <w:shd w:val="clear" w:color="auto" w:fill="15284C" w:themeFill="text1"/>
            <w:noWrap/>
            <w:vAlign w:val="center"/>
          </w:tcPr>
          <w:p w14:paraId="6734468B" w14:textId="649F4FB9" w:rsidR="001376AB" w:rsidRPr="00613DE5" w:rsidRDefault="001376AB" w:rsidP="001376A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val="en-NZ" w:eastAsia="en-NZ"/>
              </w:rPr>
            </w:pPr>
            <w:r w:rsidRPr="00613DE5">
              <w:rPr>
                <w:rFonts w:eastAsia="Times New Roman" w:cstheme="minorHAnsi"/>
                <w:szCs w:val="24"/>
                <w:lang w:val="en-NZ" w:eastAsia="en-NZ"/>
              </w:rPr>
              <w:t>Total</w:t>
            </w:r>
          </w:p>
        </w:tc>
      </w:tr>
      <w:tr w:rsidR="001376AB" w:rsidRPr="00613DE5" w14:paraId="643FE347" w14:textId="77777777" w:rsidTr="002466F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2870FF" w:themeColor="accent2" w:themeTint="99"/>
            </w:tcBorders>
            <w:shd w:val="clear" w:color="auto" w:fill="15284C" w:themeFill="text1"/>
            <w:noWrap/>
            <w:hideMark/>
          </w:tcPr>
          <w:p w14:paraId="3FF4EF15" w14:textId="77777777" w:rsidR="001376AB" w:rsidRPr="00613DE5" w:rsidRDefault="001376AB" w:rsidP="00635FD1">
            <w:pPr>
              <w:rPr>
                <w:rFonts w:eastAsia="Times New Roman" w:cstheme="minorHAnsi"/>
                <w:b w:val="0"/>
                <w:bCs w:val="0"/>
                <w:color w:val="F6F4EC" w:themeColor="background1"/>
                <w:szCs w:val="24"/>
                <w:lang w:val="en-NZ" w:eastAsia="en-NZ"/>
              </w:rPr>
            </w:pPr>
            <w:r w:rsidRPr="00613DE5">
              <w:rPr>
                <w:rFonts w:eastAsia="Times New Roman" w:cstheme="minorHAnsi"/>
                <w:color w:val="F6F4EC" w:themeColor="background1"/>
                <w:szCs w:val="24"/>
                <w:lang w:val="en-NZ" w:eastAsia="en-NZ"/>
              </w:rPr>
              <w:t>District</w:t>
            </w:r>
          </w:p>
        </w:tc>
        <w:tc>
          <w:tcPr>
            <w:tcW w:w="2886" w:type="dxa"/>
            <w:gridSpan w:val="2"/>
            <w:vMerge/>
            <w:tcBorders>
              <w:left w:val="single" w:sz="4" w:space="0" w:color="2870FF" w:themeColor="accent2" w:themeTint="99"/>
              <w:right w:val="single" w:sz="4" w:space="0" w:color="2870FF" w:themeColor="accent2" w:themeTint="99"/>
            </w:tcBorders>
            <w:shd w:val="clear" w:color="auto" w:fill="15284C" w:themeFill="text1"/>
            <w:noWrap/>
            <w:hideMark/>
          </w:tcPr>
          <w:p w14:paraId="3284D0BF" w14:textId="2EC89C30" w:rsidR="001376AB" w:rsidRPr="00613DE5" w:rsidRDefault="001376AB"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szCs w:val="24"/>
                <w:lang w:val="en-NZ" w:eastAsia="en-NZ"/>
              </w:rPr>
            </w:pPr>
          </w:p>
        </w:tc>
        <w:tc>
          <w:tcPr>
            <w:tcW w:w="2700" w:type="dxa"/>
            <w:gridSpan w:val="2"/>
            <w:vMerge/>
            <w:tcBorders>
              <w:left w:val="single" w:sz="4" w:space="0" w:color="2870FF" w:themeColor="accent2" w:themeTint="99"/>
              <w:right w:val="single" w:sz="4" w:space="0" w:color="2870FF" w:themeColor="accent2" w:themeTint="99"/>
            </w:tcBorders>
            <w:shd w:val="clear" w:color="auto" w:fill="15284C" w:themeFill="text1"/>
            <w:noWrap/>
            <w:hideMark/>
          </w:tcPr>
          <w:p w14:paraId="2C48FA3E" w14:textId="1F68E0A5" w:rsidR="001376AB" w:rsidRPr="00613DE5" w:rsidRDefault="001376AB"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szCs w:val="24"/>
                <w:lang w:val="en-NZ" w:eastAsia="en-NZ"/>
              </w:rPr>
            </w:pPr>
          </w:p>
        </w:tc>
        <w:tc>
          <w:tcPr>
            <w:tcW w:w="1260" w:type="dxa"/>
            <w:vMerge/>
            <w:tcBorders>
              <w:left w:val="single" w:sz="4" w:space="0" w:color="2870FF" w:themeColor="accent2" w:themeTint="99"/>
            </w:tcBorders>
            <w:shd w:val="clear" w:color="auto" w:fill="15284C" w:themeFill="text1"/>
            <w:noWrap/>
            <w:hideMark/>
          </w:tcPr>
          <w:p w14:paraId="06B4E19C" w14:textId="2BC87B8D" w:rsidR="001376AB" w:rsidRPr="00613DE5" w:rsidRDefault="001376AB" w:rsidP="00635FD1">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6F4EC" w:themeColor="background1"/>
                <w:szCs w:val="24"/>
                <w:lang w:val="en-NZ" w:eastAsia="en-NZ"/>
              </w:rPr>
            </w:pPr>
          </w:p>
        </w:tc>
      </w:tr>
      <w:tr w:rsidR="00024DB2" w:rsidRPr="00613DE5" w14:paraId="570CB52A" w14:textId="77777777" w:rsidTr="002466FF">
        <w:trPr>
          <w:trHeight w:val="290"/>
        </w:trPr>
        <w:tc>
          <w:tcPr>
            <w:cnfStyle w:val="001000000000" w:firstRow="0" w:lastRow="0" w:firstColumn="1" w:lastColumn="0" w:oddVBand="0" w:evenVBand="0" w:oddHBand="0" w:evenHBand="0" w:firstRowFirstColumn="0" w:firstRowLastColumn="0" w:lastRowFirstColumn="0" w:lastRowLastColumn="0"/>
            <w:tcW w:w="2689" w:type="dxa"/>
            <w:shd w:val="clear" w:color="auto" w:fill="15284C" w:themeFill="text1"/>
            <w:noWrap/>
            <w:hideMark/>
          </w:tcPr>
          <w:p w14:paraId="01FF112F" w14:textId="77777777" w:rsidR="0061629A" w:rsidRPr="00613DE5" w:rsidRDefault="0061629A" w:rsidP="00635FD1">
            <w:pPr>
              <w:rPr>
                <w:rFonts w:eastAsia="Times New Roman" w:cstheme="minorHAnsi"/>
                <w:b w:val="0"/>
                <w:bCs w:val="0"/>
                <w:color w:val="F6F4EC" w:themeColor="background1"/>
                <w:szCs w:val="24"/>
                <w:lang w:val="en-NZ" w:eastAsia="en-NZ"/>
              </w:rPr>
            </w:pPr>
            <w:r w:rsidRPr="00613DE5">
              <w:rPr>
                <w:rFonts w:eastAsia="Times New Roman" w:cstheme="minorHAnsi"/>
                <w:color w:val="F6F4EC" w:themeColor="background1"/>
                <w:szCs w:val="24"/>
                <w:lang w:val="en-NZ" w:eastAsia="en-NZ"/>
              </w:rPr>
              <w:t> </w:t>
            </w:r>
          </w:p>
        </w:tc>
        <w:tc>
          <w:tcPr>
            <w:tcW w:w="1443" w:type="dxa"/>
            <w:shd w:val="clear" w:color="auto" w:fill="15284C" w:themeFill="text1"/>
            <w:noWrap/>
            <w:hideMark/>
          </w:tcPr>
          <w:p w14:paraId="3142EB40" w14:textId="77777777" w:rsidR="0061629A" w:rsidRPr="00613DE5" w:rsidRDefault="0061629A" w:rsidP="00635F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c>
          <w:tcPr>
            <w:tcW w:w="1443" w:type="dxa"/>
            <w:shd w:val="clear" w:color="auto" w:fill="15284C" w:themeFill="text1"/>
            <w:noWrap/>
            <w:hideMark/>
          </w:tcPr>
          <w:p w14:paraId="6F47D269" w14:textId="77777777" w:rsidR="0061629A" w:rsidRPr="00613DE5" w:rsidRDefault="0061629A" w:rsidP="00635F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w:t>
            </w:r>
          </w:p>
        </w:tc>
        <w:tc>
          <w:tcPr>
            <w:tcW w:w="1350" w:type="dxa"/>
            <w:shd w:val="clear" w:color="auto" w:fill="15284C" w:themeFill="text1"/>
            <w:noWrap/>
            <w:hideMark/>
          </w:tcPr>
          <w:p w14:paraId="31600706" w14:textId="77777777" w:rsidR="0061629A" w:rsidRPr="00613DE5" w:rsidRDefault="0061629A" w:rsidP="00635F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c>
          <w:tcPr>
            <w:tcW w:w="1350" w:type="dxa"/>
            <w:shd w:val="clear" w:color="auto" w:fill="15284C" w:themeFill="text1"/>
            <w:noWrap/>
            <w:hideMark/>
          </w:tcPr>
          <w:p w14:paraId="4BFA34D7" w14:textId="77777777" w:rsidR="0061629A" w:rsidRPr="00613DE5" w:rsidRDefault="0061629A" w:rsidP="00635F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w:t>
            </w:r>
          </w:p>
        </w:tc>
        <w:tc>
          <w:tcPr>
            <w:tcW w:w="1260" w:type="dxa"/>
            <w:shd w:val="clear" w:color="auto" w:fill="15284C" w:themeFill="text1"/>
            <w:noWrap/>
            <w:hideMark/>
          </w:tcPr>
          <w:p w14:paraId="58C9F6C4" w14:textId="77777777" w:rsidR="0061629A" w:rsidRPr="00613DE5" w:rsidRDefault="0061629A" w:rsidP="00635F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6F4EC" w:themeColor="background1"/>
                <w:szCs w:val="24"/>
                <w:lang w:val="en-NZ" w:eastAsia="en-NZ"/>
              </w:rPr>
            </w:pPr>
            <w:r w:rsidRPr="00613DE5">
              <w:rPr>
                <w:rFonts w:eastAsia="Times New Roman" w:cstheme="minorHAnsi"/>
                <w:b/>
                <w:bCs/>
                <w:color w:val="F6F4EC" w:themeColor="background1"/>
                <w:szCs w:val="24"/>
                <w:lang w:val="en-NZ" w:eastAsia="en-NZ"/>
              </w:rPr>
              <w:t>N</w:t>
            </w:r>
          </w:p>
        </w:tc>
      </w:tr>
      <w:tr w:rsidR="002466FF" w:rsidRPr="00613DE5" w14:paraId="07B28166"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D8EDEAE"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Northland</w:t>
            </w:r>
          </w:p>
        </w:tc>
        <w:tc>
          <w:tcPr>
            <w:tcW w:w="1443" w:type="dxa"/>
            <w:noWrap/>
            <w:vAlign w:val="center"/>
            <w:hideMark/>
          </w:tcPr>
          <w:p w14:paraId="0D018B9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w:t>
            </w:r>
          </w:p>
        </w:tc>
        <w:tc>
          <w:tcPr>
            <w:tcW w:w="1443" w:type="dxa"/>
            <w:noWrap/>
            <w:vAlign w:val="center"/>
            <w:hideMark/>
          </w:tcPr>
          <w:p w14:paraId="0F53B855"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66.7</w:t>
            </w:r>
          </w:p>
        </w:tc>
        <w:tc>
          <w:tcPr>
            <w:tcW w:w="1350" w:type="dxa"/>
            <w:noWrap/>
            <w:vAlign w:val="center"/>
            <w:hideMark/>
          </w:tcPr>
          <w:p w14:paraId="19D33E0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w:t>
            </w:r>
          </w:p>
        </w:tc>
        <w:tc>
          <w:tcPr>
            <w:tcW w:w="1350" w:type="dxa"/>
            <w:noWrap/>
            <w:vAlign w:val="center"/>
            <w:hideMark/>
          </w:tcPr>
          <w:p w14:paraId="57FEEE9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33.3</w:t>
            </w:r>
          </w:p>
        </w:tc>
        <w:tc>
          <w:tcPr>
            <w:tcW w:w="1260" w:type="dxa"/>
            <w:noWrap/>
            <w:vAlign w:val="center"/>
            <w:hideMark/>
          </w:tcPr>
          <w:p w14:paraId="6A13766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w:t>
            </w:r>
          </w:p>
        </w:tc>
      </w:tr>
      <w:tr w:rsidR="00024DB2" w:rsidRPr="00613DE5" w14:paraId="63573E42"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61AE511"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Waitematā</w:t>
            </w:r>
          </w:p>
        </w:tc>
        <w:tc>
          <w:tcPr>
            <w:tcW w:w="1443" w:type="dxa"/>
            <w:noWrap/>
            <w:vAlign w:val="center"/>
            <w:hideMark/>
          </w:tcPr>
          <w:p w14:paraId="30D2B42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53</w:t>
            </w:r>
          </w:p>
        </w:tc>
        <w:tc>
          <w:tcPr>
            <w:tcW w:w="1443" w:type="dxa"/>
            <w:noWrap/>
            <w:vAlign w:val="center"/>
            <w:hideMark/>
          </w:tcPr>
          <w:p w14:paraId="1E5673D2"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82.8</w:t>
            </w:r>
          </w:p>
        </w:tc>
        <w:tc>
          <w:tcPr>
            <w:tcW w:w="1350" w:type="dxa"/>
            <w:noWrap/>
            <w:vAlign w:val="center"/>
            <w:hideMark/>
          </w:tcPr>
          <w:p w14:paraId="75A5FA7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11</w:t>
            </w:r>
          </w:p>
        </w:tc>
        <w:tc>
          <w:tcPr>
            <w:tcW w:w="1350" w:type="dxa"/>
            <w:noWrap/>
            <w:vAlign w:val="center"/>
            <w:hideMark/>
          </w:tcPr>
          <w:p w14:paraId="7B872D8D"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17.2</w:t>
            </w:r>
          </w:p>
        </w:tc>
        <w:tc>
          <w:tcPr>
            <w:tcW w:w="1260" w:type="dxa"/>
            <w:noWrap/>
            <w:vAlign w:val="center"/>
            <w:hideMark/>
          </w:tcPr>
          <w:p w14:paraId="0BEB779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64</w:t>
            </w:r>
          </w:p>
        </w:tc>
      </w:tr>
      <w:tr w:rsidR="002466FF" w:rsidRPr="00613DE5" w14:paraId="1337ABBB"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4FC4D7C"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Auckland</w:t>
            </w:r>
          </w:p>
        </w:tc>
        <w:tc>
          <w:tcPr>
            <w:tcW w:w="1443" w:type="dxa"/>
            <w:noWrap/>
            <w:vAlign w:val="center"/>
            <w:hideMark/>
          </w:tcPr>
          <w:p w14:paraId="7E3549E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44</w:t>
            </w:r>
          </w:p>
        </w:tc>
        <w:tc>
          <w:tcPr>
            <w:tcW w:w="1443" w:type="dxa"/>
            <w:noWrap/>
            <w:vAlign w:val="center"/>
            <w:hideMark/>
          </w:tcPr>
          <w:p w14:paraId="5D6174D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84.6</w:t>
            </w:r>
          </w:p>
        </w:tc>
        <w:tc>
          <w:tcPr>
            <w:tcW w:w="1350" w:type="dxa"/>
            <w:noWrap/>
            <w:vAlign w:val="center"/>
            <w:hideMark/>
          </w:tcPr>
          <w:p w14:paraId="7ECD40F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w:t>
            </w:r>
          </w:p>
        </w:tc>
        <w:tc>
          <w:tcPr>
            <w:tcW w:w="1350" w:type="dxa"/>
            <w:noWrap/>
            <w:vAlign w:val="center"/>
            <w:hideMark/>
          </w:tcPr>
          <w:p w14:paraId="234309A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15.4</w:t>
            </w:r>
          </w:p>
        </w:tc>
        <w:tc>
          <w:tcPr>
            <w:tcW w:w="1260" w:type="dxa"/>
            <w:noWrap/>
            <w:vAlign w:val="center"/>
            <w:hideMark/>
          </w:tcPr>
          <w:p w14:paraId="5DD6C45A"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52</w:t>
            </w:r>
          </w:p>
        </w:tc>
      </w:tr>
      <w:tr w:rsidR="00024DB2" w:rsidRPr="00613DE5" w14:paraId="2ADF0E95"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9C3E226"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Counties Manukau</w:t>
            </w:r>
          </w:p>
        </w:tc>
        <w:tc>
          <w:tcPr>
            <w:tcW w:w="1443" w:type="dxa"/>
            <w:noWrap/>
            <w:vAlign w:val="center"/>
            <w:hideMark/>
          </w:tcPr>
          <w:p w14:paraId="4AC7B50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w:t>
            </w:r>
          </w:p>
        </w:tc>
        <w:tc>
          <w:tcPr>
            <w:tcW w:w="1443" w:type="dxa"/>
            <w:noWrap/>
            <w:vAlign w:val="center"/>
            <w:hideMark/>
          </w:tcPr>
          <w:p w14:paraId="6A77C21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81.6</w:t>
            </w:r>
          </w:p>
        </w:tc>
        <w:tc>
          <w:tcPr>
            <w:tcW w:w="1350" w:type="dxa"/>
            <w:noWrap/>
            <w:vAlign w:val="center"/>
            <w:hideMark/>
          </w:tcPr>
          <w:p w14:paraId="0F5E380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w:t>
            </w:r>
          </w:p>
        </w:tc>
        <w:tc>
          <w:tcPr>
            <w:tcW w:w="1350" w:type="dxa"/>
            <w:noWrap/>
            <w:vAlign w:val="center"/>
            <w:hideMark/>
          </w:tcPr>
          <w:p w14:paraId="2C97996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18.4</w:t>
            </w:r>
          </w:p>
        </w:tc>
        <w:tc>
          <w:tcPr>
            <w:tcW w:w="1260" w:type="dxa"/>
            <w:noWrap/>
            <w:vAlign w:val="center"/>
            <w:hideMark/>
          </w:tcPr>
          <w:p w14:paraId="4EE4640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98</w:t>
            </w:r>
          </w:p>
        </w:tc>
      </w:tr>
      <w:tr w:rsidR="002466FF" w:rsidRPr="00613DE5" w14:paraId="20DE9591"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A3F2506"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Waikato</w:t>
            </w:r>
          </w:p>
        </w:tc>
        <w:tc>
          <w:tcPr>
            <w:tcW w:w="1443" w:type="dxa"/>
            <w:noWrap/>
            <w:vAlign w:val="center"/>
            <w:hideMark/>
          </w:tcPr>
          <w:p w14:paraId="737C282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30</w:t>
            </w:r>
          </w:p>
        </w:tc>
        <w:tc>
          <w:tcPr>
            <w:tcW w:w="1443" w:type="dxa"/>
            <w:noWrap/>
            <w:vAlign w:val="center"/>
            <w:hideMark/>
          </w:tcPr>
          <w:p w14:paraId="7D1E2DB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63.8</w:t>
            </w:r>
          </w:p>
        </w:tc>
        <w:tc>
          <w:tcPr>
            <w:tcW w:w="1350" w:type="dxa"/>
            <w:noWrap/>
            <w:vAlign w:val="center"/>
            <w:hideMark/>
          </w:tcPr>
          <w:p w14:paraId="09CDEBB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w:t>
            </w:r>
          </w:p>
        </w:tc>
        <w:tc>
          <w:tcPr>
            <w:tcW w:w="1350" w:type="dxa"/>
            <w:noWrap/>
            <w:vAlign w:val="center"/>
            <w:hideMark/>
          </w:tcPr>
          <w:p w14:paraId="3BD820D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36.2</w:t>
            </w:r>
          </w:p>
        </w:tc>
        <w:tc>
          <w:tcPr>
            <w:tcW w:w="1260" w:type="dxa"/>
            <w:noWrap/>
            <w:vAlign w:val="center"/>
            <w:hideMark/>
          </w:tcPr>
          <w:p w14:paraId="6D70F11B"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47</w:t>
            </w:r>
          </w:p>
        </w:tc>
      </w:tr>
      <w:tr w:rsidR="00024DB2" w:rsidRPr="00613DE5" w14:paraId="14BB2921"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61C9FCA"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Lakes</w:t>
            </w:r>
          </w:p>
        </w:tc>
        <w:tc>
          <w:tcPr>
            <w:tcW w:w="1443" w:type="dxa"/>
            <w:noWrap/>
            <w:vAlign w:val="center"/>
            <w:hideMark/>
          </w:tcPr>
          <w:p w14:paraId="632AC02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13</w:t>
            </w:r>
          </w:p>
        </w:tc>
        <w:tc>
          <w:tcPr>
            <w:tcW w:w="1443" w:type="dxa"/>
            <w:noWrap/>
            <w:vAlign w:val="center"/>
            <w:hideMark/>
          </w:tcPr>
          <w:p w14:paraId="7A199138"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68.4</w:t>
            </w:r>
          </w:p>
        </w:tc>
        <w:tc>
          <w:tcPr>
            <w:tcW w:w="1350" w:type="dxa"/>
            <w:noWrap/>
            <w:vAlign w:val="center"/>
            <w:hideMark/>
          </w:tcPr>
          <w:p w14:paraId="41E50C60"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w:t>
            </w:r>
          </w:p>
        </w:tc>
        <w:tc>
          <w:tcPr>
            <w:tcW w:w="1350" w:type="dxa"/>
            <w:noWrap/>
            <w:vAlign w:val="center"/>
            <w:hideMark/>
          </w:tcPr>
          <w:p w14:paraId="0B18A29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31.6</w:t>
            </w:r>
          </w:p>
        </w:tc>
        <w:tc>
          <w:tcPr>
            <w:tcW w:w="1260" w:type="dxa"/>
            <w:noWrap/>
            <w:vAlign w:val="center"/>
            <w:hideMark/>
          </w:tcPr>
          <w:p w14:paraId="4B22E51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19</w:t>
            </w:r>
          </w:p>
        </w:tc>
      </w:tr>
      <w:tr w:rsidR="002466FF" w:rsidRPr="00613DE5" w14:paraId="0FE0D428"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B2589F0"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Bay of Plenty</w:t>
            </w:r>
          </w:p>
        </w:tc>
        <w:tc>
          <w:tcPr>
            <w:tcW w:w="1443" w:type="dxa"/>
            <w:noWrap/>
            <w:vAlign w:val="center"/>
            <w:hideMark/>
          </w:tcPr>
          <w:p w14:paraId="1A29A9C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w:t>
            </w:r>
          </w:p>
        </w:tc>
        <w:tc>
          <w:tcPr>
            <w:tcW w:w="1443" w:type="dxa"/>
            <w:noWrap/>
            <w:vAlign w:val="center"/>
            <w:hideMark/>
          </w:tcPr>
          <w:p w14:paraId="4B643A26"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93.5</w:t>
            </w:r>
          </w:p>
        </w:tc>
        <w:tc>
          <w:tcPr>
            <w:tcW w:w="1350" w:type="dxa"/>
            <w:noWrap/>
            <w:vAlign w:val="center"/>
            <w:hideMark/>
          </w:tcPr>
          <w:p w14:paraId="5F17966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w:t>
            </w:r>
          </w:p>
        </w:tc>
        <w:tc>
          <w:tcPr>
            <w:tcW w:w="1350" w:type="dxa"/>
            <w:noWrap/>
            <w:vAlign w:val="center"/>
            <w:hideMark/>
          </w:tcPr>
          <w:p w14:paraId="26F0C12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6.5</w:t>
            </w:r>
          </w:p>
        </w:tc>
        <w:tc>
          <w:tcPr>
            <w:tcW w:w="1260" w:type="dxa"/>
            <w:noWrap/>
            <w:vAlign w:val="center"/>
            <w:hideMark/>
          </w:tcPr>
          <w:p w14:paraId="7D2F050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w:t>
            </w:r>
          </w:p>
        </w:tc>
      </w:tr>
      <w:tr w:rsidR="00024DB2" w:rsidRPr="00613DE5" w14:paraId="758E9911"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3F37CAB0"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Tairāwhiti</w:t>
            </w:r>
          </w:p>
        </w:tc>
        <w:tc>
          <w:tcPr>
            <w:tcW w:w="1443" w:type="dxa"/>
            <w:noWrap/>
            <w:vAlign w:val="center"/>
            <w:hideMark/>
          </w:tcPr>
          <w:p w14:paraId="5A6798B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w:t>
            </w:r>
          </w:p>
        </w:tc>
        <w:tc>
          <w:tcPr>
            <w:tcW w:w="1443" w:type="dxa"/>
            <w:noWrap/>
            <w:vAlign w:val="center"/>
            <w:hideMark/>
          </w:tcPr>
          <w:p w14:paraId="535A184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77.8</w:t>
            </w:r>
          </w:p>
        </w:tc>
        <w:tc>
          <w:tcPr>
            <w:tcW w:w="1350" w:type="dxa"/>
            <w:noWrap/>
            <w:vAlign w:val="center"/>
            <w:hideMark/>
          </w:tcPr>
          <w:p w14:paraId="4261D19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w:t>
            </w:r>
          </w:p>
        </w:tc>
        <w:tc>
          <w:tcPr>
            <w:tcW w:w="1350" w:type="dxa"/>
            <w:noWrap/>
            <w:vAlign w:val="center"/>
            <w:hideMark/>
          </w:tcPr>
          <w:p w14:paraId="3DB2E62D"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22.2</w:t>
            </w:r>
          </w:p>
        </w:tc>
        <w:tc>
          <w:tcPr>
            <w:tcW w:w="1260" w:type="dxa"/>
            <w:noWrap/>
            <w:vAlign w:val="center"/>
            <w:hideMark/>
          </w:tcPr>
          <w:p w14:paraId="13350F0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w:t>
            </w:r>
          </w:p>
        </w:tc>
      </w:tr>
      <w:tr w:rsidR="002466FF" w:rsidRPr="00613DE5" w14:paraId="1331D066"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7A932858"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Hawkes Bay</w:t>
            </w:r>
          </w:p>
        </w:tc>
        <w:tc>
          <w:tcPr>
            <w:tcW w:w="1443" w:type="dxa"/>
            <w:noWrap/>
            <w:vAlign w:val="center"/>
            <w:hideMark/>
          </w:tcPr>
          <w:p w14:paraId="7A7FABE1"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15</w:t>
            </w:r>
          </w:p>
        </w:tc>
        <w:tc>
          <w:tcPr>
            <w:tcW w:w="1443" w:type="dxa"/>
            <w:noWrap/>
            <w:vAlign w:val="center"/>
            <w:hideMark/>
          </w:tcPr>
          <w:p w14:paraId="0EF1D6F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88.2</w:t>
            </w:r>
          </w:p>
        </w:tc>
        <w:tc>
          <w:tcPr>
            <w:tcW w:w="1350" w:type="dxa"/>
            <w:noWrap/>
            <w:vAlign w:val="center"/>
            <w:hideMark/>
          </w:tcPr>
          <w:p w14:paraId="6ECFAD4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w:t>
            </w:r>
          </w:p>
        </w:tc>
        <w:tc>
          <w:tcPr>
            <w:tcW w:w="1350" w:type="dxa"/>
            <w:noWrap/>
            <w:vAlign w:val="center"/>
            <w:hideMark/>
          </w:tcPr>
          <w:p w14:paraId="30381CF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11.8</w:t>
            </w:r>
          </w:p>
        </w:tc>
        <w:tc>
          <w:tcPr>
            <w:tcW w:w="1260" w:type="dxa"/>
            <w:noWrap/>
            <w:vAlign w:val="center"/>
            <w:hideMark/>
          </w:tcPr>
          <w:p w14:paraId="73BC205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w:t>
            </w:r>
          </w:p>
        </w:tc>
      </w:tr>
      <w:tr w:rsidR="00024DB2" w:rsidRPr="00613DE5" w14:paraId="52DE0AD5"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7914996A"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Taranaki</w:t>
            </w:r>
          </w:p>
        </w:tc>
        <w:tc>
          <w:tcPr>
            <w:tcW w:w="1443" w:type="dxa"/>
            <w:noWrap/>
            <w:vAlign w:val="center"/>
            <w:hideMark/>
          </w:tcPr>
          <w:p w14:paraId="264E78D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23</w:t>
            </w:r>
          </w:p>
        </w:tc>
        <w:tc>
          <w:tcPr>
            <w:tcW w:w="1443" w:type="dxa"/>
            <w:noWrap/>
            <w:vAlign w:val="center"/>
            <w:hideMark/>
          </w:tcPr>
          <w:p w14:paraId="2B7E7100"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95.8</w:t>
            </w:r>
          </w:p>
        </w:tc>
        <w:tc>
          <w:tcPr>
            <w:tcW w:w="1350" w:type="dxa"/>
            <w:noWrap/>
            <w:vAlign w:val="center"/>
            <w:hideMark/>
          </w:tcPr>
          <w:p w14:paraId="2CC1DCE0"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w:t>
            </w:r>
          </w:p>
        </w:tc>
        <w:tc>
          <w:tcPr>
            <w:tcW w:w="1350" w:type="dxa"/>
            <w:noWrap/>
            <w:vAlign w:val="center"/>
            <w:hideMark/>
          </w:tcPr>
          <w:p w14:paraId="244348F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4.2</w:t>
            </w:r>
          </w:p>
        </w:tc>
        <w:tc>
          <w:tcPr>
            <w:tcW w:w="1260" w:type="dxa"/>
            <w:noWrap/>
            <w:vAlign w:val="center"/>
            <w:hideMark/>
          </w:tcPr>
          <w:p w14:paraId="4453833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24</w:t>
            </w:r>
          </w:p>
        </w:tc>
      </w:tr>
      <w:tr w:rsidR="002466FF" w:rsidRPr="00613DE5" w14:paraId="2943D034"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B526126"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MidCentral</w:t>
            </w:r>
          </w:p>
        </w:tc>
        <w:tc>
          <w:tcPr>
            <w:tcW w:w="1443" w:type="dxa"/>
            <w:noWrap/>
            <w:vAlign w:val="center"/>
            <w:hideMark/>
          </w:tcPr>
          <w:p w14:paraId="1265CB7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26</w:t>
            </w:r>
          </w:p>
        </w:tc>
        <w:tc>
          <w:tcPr>
            <w:tcW w:w="1443" w:type="dxa"/>
            <w:noWrap/>
            <w:vAlign w:val="center"/>
            <w:hideMark/>
          </w:tcPr>
          <w:p w14:paraId="663C6EB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83.9</w:t>
            </w:r>
          </w:p>
        </w:tc>
        <w:tc>
          <w:tcPr>
            <w:tcW w:w="1350" w:type="dxa"/>
            <w:noWrap/>
            <w:vAlign w:val="center"/>
            <w:hideMark/>
          </w:tcPr>
          <w:p w14:paraId="376F9F45"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w:t>
            </w:r>
          </w:p>
        </w:tc>
        <w:tc>
          <w:tcPr>
            <w:tcW w:w="1350" w:type="dxa"/>
            <w:noWrap/>
            <w:vAlign w:val="center"/>
            <w:hideMark/>
          </w:tcPr>
          <w:p w14:paraId="503DF68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16.1</w:t>
            </w:r>
          </w:p>
        </w:tc>
        <w:tc>
          <w:tcPr>
            <w:tcW w:w="1260" w:type="dxa"/>
            <w:noWrap/>
            <w:vAlign w:val="center"/>
            <w:hideMark/>
          </w:tcPr>
          <w:p w14:paraId="7427786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w:t>
            </w:r>
          </w:p>
        </w:tc>
      </w:tr>
      <w:tr w:rsidR="00024DB2" w:rsidRPr="00613DE5" w14:paraId="1D3521C0"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2997363B"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Whanganui</w:t>
            </w:r>
          </w:p>
        </w:tc>
        <w:tc>
          <w:tcPr>
            <w:tcW w:w="1443" w:type="dxa"/>
            <w:noWrap/>
            <w:vAlign w:val="center"/>
            <w:hideMark/>
          </w:tcPr>
          <w:p w14:paraId="2908390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w:t>
            </w:r>
          </w:p>
        </w:tc>
        <w:tc>
          <w:tcPr>
            <w:tcW w:w="1443" w:type="dxa"/>
            <w:noWrap/>
            <w:vAlign w:val="center"/>
            <w:hideMark/>
          </w:tcPr>
          <w:p w14:paraId="3B80488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64.3</w:t>
            </w:r>
          </w:p>
        </w:tc>
        <w:tc>
          <w:tcPr>
            <w:tcW w:w="1350" w:type="dxa"/>
            <w:noWrap/>
            <w:vAlign w:val="center"/>
            <w:hideMark/>
          </w:tcPr>
          <w:p w14:paraId="436A9F4F"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w:t>
            </w:r>
          </w:p>
        </w:tc>
        <w:tc>
          <w:tcPr>
            <w:tcW w:w="1350" w:type="dxa"/>
            <w:noWrap/>
            <w:vAlign w:val="center"/>
            <w:hideMark/>
          </w:tcPr>
          <w:p w14:paraId="6C6E6BBE"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35.7</w:t>
            </w:r>
          </w:p>
        </w:tc>
        <w:tc>
          <w:tcPr>
            <w:tcW w:w="1260" w:type="dxa"/>
            <w:noWrap/>
            <w:vAlign w:val="center"/>
            <w:hideMark/>
          </w:tcPr>
          <w:p w14:paraId="6328544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w:t>
            </w:r>
          </w:p>
        </w:tc>
      </w:tr>
      <w:tr w:rsidR="002466FF" w:rsidRPr="00613DE5" w14:paraId="11E8F777"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A5C77F4"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Capital and Coast</w:t>
            </w:r>
          </w:p>
        </w:tc>
        <w:tc>
          <w:tcPr>
            <w:tcW w:w="1443" w:type="dxa"/>
            <w:noWrap/>
            <w:vAlign w:val="center"/>
            <w:hideMark/>
          </w:tcPr>
          <w:p w14:paraId="68727DC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31</w:t>
            </w:r>
          </w:p>
        </w:tc>
        <w:tc>
          <w:tcPr>
            <w:tcW w:w="1443" w:type="dxa"/>
            <w:noWrap/>
            <w:vAlign w:val="center"/>
            <w:hideMark/>
          </w:tcPr>
          <w:p w14:paraId="0B4FB5E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91.2</w:t>
            </w:r>
          </w:p>
        </w:tc>
        <w:tc>
          <w:tcPr>
            <w:tcW w:w="1350" w:type="dxa"/>
            <w:noWrap/>
            <w:vAlign w:val="center"/>
            <w:hideMark/>
          </w:tcPr>
          <w:p w14:paraId="0C020F66"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w:t>
            </w:r>
          </w:p>
        </w:tc>
        <w:tc>
          <w:tcPr>
            <w:tcW w:w="1350" w:type="dxa"/>
            <w:noWrap/>
            <w:vAlign w:val="center"/>
            <w:hideMark/>
          </w:tcPr>
          <w:p w14:paraId="4615838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8.8</w:t>
            </w:r>
          </w:p>
        </w:tc>
        <w:tc>
          <w:tcPr>
            <w:tcW w:w="1260" w:type="dxa"/>
            <w:noWrap/>
            <w:vAlign w:val="center"/>
            <w:hideMark/>
          </w:tcPr>
          <w:p w14:paraId="4264038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34</w:t>
            </w:r>
          </w:p>
        </w:tc>
      </w:tr>
      <w:tr w:rsidR="00024DB2" w:rsidRPr="00613DE5" w14:paraId="3FE4CD04"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316A4F65"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Hutt Valley</w:t>
            </w:r>
          </w:p>
        </w:tc>
        <w:tc>
          <w:tcPr>
            <w:tcW w:w="1443" w:type="dxa"/>
            <w:noWrap/>
            <w:vAlign w:val="center"/>
            <w:hideMark/>
          </w:tcPr>
          <w:p w14:paraId="5674B440"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w:t>
            </w:r>
          </w:p>
        </w:tc>
        <w:tc>
          <w:tcPr>
            <w:tcW w:w="1443" w:type="dxa"/>
            <w:noWrap/>
            <w:vAlign w:val="center"/>
            <w:hideMark/>
          </w:tcPr>
          <w:p w14:paraId="5633DDEE"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100.0</w:t>
            </w:r>
          </w:p>
        </w:tc>
        <w:tc>
          <w:tcPr>
            <w:tcW w:w="1350" w:type="dxa"/>
            <w:noWrap/>
            <w:vAlign w:val="center"/>
            <w:hideMark/>
          </w:tcPr>
          <w:p w14:paraId="1ED5D5C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w:t>
            </w:r>
          </w:p>
        </w:tc>
        <w:tc>
          <w:tcPr>
            <w:tcW w:w="1350" w:type="dxa"/>
            <w:noWrap/>
            <w:vAlign w:val="center"/>
            <w:hideMark/>
          </w:tcPr>
          <w:p w14:paraId="0C76A60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0.0</w:t>
            </w:r>
          </w:p>
        </w:tc>
        <w:tc>
          <w:tcPr>
            <w:tcW w:w="1260" w:type="dxa"/>
            <w:noWrap/>
            <w:vAlign w:val="center"/>
            <w:hideMark/>
          </w:tcPr>
          <w:p w14:paraId="3ECC54F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12</w:t>
            </w:r>
          </w:p>
        </w:tc>
      </w:tr>
      <w:tr w:rsidR="002466FF" w:rsidRPr="00613DE5" w14:paraId="39354043"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799F642"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Wairarapa</w:t>
            </w:r>
          </w:p>
        </w:tc>
        <w:tc>
          <w:tcPr>
            <w:tcW w:w="1443" w:type="dxa"/>
            <w:noWrap/>
            <w:vAlign w:val="center"/>
            <w:hideMark/>
          </w:tcPr>
          <w:p w14:paraId="788919B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w:t>
            </w:r>
          </w:p>
        </w:tc>
        <w:tc>
          <w:tcPr>
            <w:tcW w:w="1443" w:type="dxa"/>
            <w:noWrap/>
            <w:vAlign w:val="center"/>
            <w:hideMark/>
          </w:tcPr>
          <w:p w14:paraId="3EAC763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80.0</w:t>
            </w:r>
          </w:p>
        </w:tc>
        <w:tc>
          <w:tcPr>
            <w:tcW w:w="1350" w:type="dxa"/>
            <w:noWrap/>
            <w:vAlign w:val="center"/>
            <w:hideMark/>
          </w:tcPr>
          <w:p w14:paraId="79401C2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w:t>
            </w:r>
          </w:p>
        </w:tc>
        <w:tc>
          <w:tcPr>
            <w:tcW w:w="1350" w:type="dxa"/>
            <w:noWrap/>
            <w:vAlign w:val="center"/>
            <w:hideMark/>
          </w:tcPr>
          <w:p w14:paraId="2B8608B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20.0</w:t>
            </w:r>
          </w:p>
        </w:tc>
        <w:tc>
          <w:tcPr>
            <w:tcW w:w="1260" w:type="dxa"/>
            <w:noWrap/>
            <w:vAlign w:val="center"/>
            <w:hideMark/>
          </w:tcPr>
          <w:p w14:paraId="500A60E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w:t>
            </w:r>
          </w:p>
        </w:tc>
      </w:tr>
      <w:tr w:rsidR="00024DB2" w:rsidRPr="00613DE5" w14:paraId="785142B5"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4AEF0DDA"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Nelson Marlborough</w:t>
            </w:r>
          </w:p>
        </w:tc>
        <w:tc>
          <w:tcPr>
            <w:tcW w:w="1443" w:type="dxa"/>
            <w:noWrap/>
            <w:vAlign w:val="center"/>
            <w:hideMark/>
          </w:tcPr>
          <w:p w14:paraId="4FF330E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w:t>
            </w:r>
          </w:p>
        </w:tc>
        <w:tc>
          <w:tcPr>
            <w:tcW w:w="1443" w:type="dxa"/>
            <w:noWrap/>
            <w:vAlign w:val="center"/>
            <w:hideMark/>
          </w:tcPr>
          <w:p w14:paraId="3FA8A79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82.4</w:t>
            </w:r>
          </w:p>
        </w:tc>
        <w:tc>
          <w:tcPr>
            <w:tcW w:w="1350" w:type="dxa"/>
            <w:noWrap/>
            <w:vAlign w:val="center"/>
            <w:hideMark/>
          </w:tcPr>
          <w:p w14:paraId="4431841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3</w:t>
            </w:r>
          </w:p>
        </w:tc>
        <w:tc>
          <w:tcPr>
            <w:tcW w:w="1350" w:type="dxa"/>
            <w:noWrap/>
            <w:vAlign w:val="center"/>
            <w:hideMark/>
          </w:tcPr>
          <w:p w14:paraId="3AA4A64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17.6</w:t>
            </w:r>
          </w:p>
        </w:tc>
        <w:tc>
          <w:tcPr>
            <w:tcW w:w="1260" w:type="dxa"/>
            <w:noWrap/>
            <w:vAlign w:val="center"/>
            <w:hideMark/>
          </w:tcPr>
          <w:p w14:paraId="598C5978"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w:t>
            </w:r>
          </w:p>
        </w:tc>
      </w:tr>
      <w:tr w:rsidR="002466FF" w:rsidRPr="00613DE5" w14:paraId="421AB44D"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60790C18"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Canterbury</w:t>
            </w:r>
          </w:p>
        </w:tc>
        <w:tc>
          <w:tcPr>
            <w:tcW w:w="1443" w:type="dxa"/>
            <w:noWrap/>
            <w:vAlign w:val="center"/>
            <w:hideMark/>
          </w:tcPr>
          <w:p w14:paraId="1ED1D5C1"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48</w:t>
            </w:r>
          </w:p>
        </w:tc>
        <w:tc>
          <w:tcPr>
            <w:tcW w:w="1443" w:type="dxa"/>
            <w:noWrap/>
            <w:vAlign w:val="center"/>
            <w:hideMark/>
          </w:tcPr>
          <w:p w14:paraId="7302093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85.7</w:t>
            </w:r>
          </w:p>
        </w:tc>
        <w:tc>
          <w:tcPr>
            <w:tcW w:w="1350" w:type="dxa"/>
            <w:noWrap/>
            <w:vAlign w:val="center"/>
            <w:hideMark/>
          </w:tcPr>
          <w:p w14:paraId="302803A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w:t>
            </w:r>
          </w:p>
        </w:tc>
        <w:tc>
          <w:tcPr>
            <w:tcW w:w="1350" w:type="dxa"/>
            <w:noWrap/>
            <w:vAlign w:val="center"/>
            <w:hideMark/>
          </w:tcPr>
          <w:p w14:paraId="0A210FF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14.3</w:t>
            </w:r>
          </w:p>
        </w:tc>
        <w:tc>
          <w:tcPr>
            <w:tcW w:w="1260" w:type="dxa"/>
            <w:noWrap/>
            <w:vAlign w:val="center"/>
            <w:hideMark/>
          </w:tcPr>
          <w:p w14:paraId="316D1DB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56</w:t>
            </w:r>
          </w:p>
        </w:tc>
      </w:tr>
      <w:tr w:rsidR="00024DB2" w:rsidRPr="00613DE5" w14:paraId="1328C224"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583C33E"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 Canterbury</w:t>
            </w:r>
          </w:p>
        </w:tc>
        <w:tc>
          <w:tcPr>
            <w:tcW w:w="1443" w:type="dxa"/>
            <w:noWrap/>
            <w:vAlign w:val="center"/>
            <w:hideMark/>
          </w:tcPr>
          <w:p w14:paraId="7AE5F01F"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6</w:t>
            </w:r>
          </w:p>
        </w:tc>
        <w:tc>
          <w:tcPr>
            <w:tcW w:w="1443" w:type="dxa"/>
            <w:noWrap/>
            <w:vAlign w:val="center"/>
            <w:hideMark/>
          </w:tcPr>
          <w:p w14:paraId="6239C3D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85.7</w:t>
            </w:r>
          </w:p>
        </w:tc>
        <w:tc>
          <w:tcPr>
            <w:tcW w:w="1350" w:type="dxa"/>
            <w:noWrap/>
            <w:vAlign w:val="center"/>
            <w:hideMark/>
          </w:tcPr>
          <w:p w14:paraId="5D1B864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w:t>
            </w:r>
          </w:p>
        </w:tc>
        <w:tc>
          <w:tcPr>
            <w:tcW w:w="1350" w:type="dxa"/>
            <w:noWrap/>
            <w:vAlign w:val="center"/>
            <w:hideMark/>
          </w:tcPr>
          <w:p w14:paraId="03FBCE0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14.3</w:t>
            </w:r>
          </w:p>
        </w:tc>
        <w:tc>
          <w:tcPr>
            <w:tcW w:w="1260" w:type="dxa"/>
            <w:noWrap/>
            <w:vAlign w:val="center"/>
            <w:hideMark/>
          </w:tcPr>
          <w:p w14:paraId="6E1ABF4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w:t>
            </w:r>
          </w:p>
        </w:tc>
      </w:tr>
      <w:tr w:rsidR="002466FF" w:rsidRPr="00613DE5" w14:paraId="79FCFD31"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1DAC8D29"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Southern</w:t>
            </w:r>
          </w:p>
        </w:tc>
        <w:tc>
          <w:tcPr>
            <w:tcW w:w="1443" w:type="dxa"/>
            <w:noWrap/>
            <w:vAlign w:val="center"/>
            <w:hideMark/>
          </w:tcPr>
          <w:p w14:paraId="7FB02C91"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41</w:t>
            </w:r>
          </w:p>
        </w:tc>
        <w:tc>
          <w:tcPr>
            <w:tcW w:w="1443" w:type="dxa"/>
            <w:noWrap/>
            <w:vAlign w:val="center"/>
            <w:hideMark/>
          </w:tcPr>
          <w:p w14:paraId="24AAAC3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95.3</w:t>
            </w:r>
          </w:p>
        </w:tc>
        <w:tc>
          <w:tcPr>
            <w:tcW w:w="1350" w:type="dxa"/>
            <w:noWrap/>
            <w:vAlign w:val="center"/>
            <w:hideMark/>
          </w:tcPr>
          <w:p w14:paraId="429E79D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w:t>
            </w:r>
          </w:p>
        </w:tc>
        <w:tc>
          <w:tcPr>
            <w:tcW w:w="1350" w:type="dxa"/>
            <w:noWrap/>
            <w:vAlign w:val="center"/>
            <w:hideMark/>
          </w:tcPr>
          <w:p w14:paraId="54B563E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4.7</w:t>
            </w:r>
          </w:p>
        </w:tc>
        <w:tc>
          <w:tcPr>
            <w:tcW w:w="1260" w:type="dxa"/>
            <w:noWrap/>
            <w:vAlign w:val="center"/>
            <w:hideMark/>
          </w:tcPr>
          <w:p w14:paraId="4DC7831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43</w:t>
            </w:r>
          </w:p>
        </w:tc>
      </w:tr>
      <w:tr w:rsidR="00024DB2" w:rsidRPr="00613DE5" w14:paraId="0E11BD1A" w14:textId="77777777" w:rsidTr="00065F12">
        <w:trPr>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798A39F5" w14:textId="77777777" w:rsidR="0061629A" w:rsidRPr="00613DE5" w:rsidRDefault="0061629A" w:rsidP="00065F12">
            <w:pPr>
              <w:rPr>
                <w:rFonts w:eastAsia="Times New Roman" w:cstheme="minorHAnsi"/>
                <w:color w:val="000000"/>
                <w:szCs w:val="24"/>
                <w:lang w:val="en-NZ" w:eastAsia="en-NZ"/>
              </w:rPr>
            </w:pPr>
            <w:r w:rsidRPr="00613DE5">
              <w:rPr>
                <w:rFonts w:eastAsia="Times New Roman" w:cstheme="minorHAnsi"/>
                <w:color w:val="000000"/>
                <w:szCs w:val="24"/>
                <w:lang w:val="en-NZ" w:eastAsia="en-NZ"/>
              </w:rPr>
              <w:t>Unknown</w:t>
            </w:r>
          </w:p>
        </w:tc>
        <w:tc>
          <w:tcPr>
            <w:tcW w:w="1443" w:type="dxa"/>
            <w:noWrap/>
            <w:vAlign w:val="center"/>
            <w:hideMark/>
          </w:tcPr>
          <w:p w14:paraId="46DE614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17</w:t>
            </w:r>
          </w:p>
        </w:tc>
        <w:tc>
          <w:tcPr>
            <w:tcW w:w="1443" w:type="dxa"/>
            <w:noWrap/>
            <w:vAlign w:val="center"/>
            <w:hideMark/>
          </w:tcPr>
          <w:p w14:paraId="5C4651E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70.8</w:t>
            </w:r>
          </w:p>
        </w:tc>
        <w:tc>
          <w:tcPr>
            <w:tcW w:w="1350" w:type="dxa"/>
            <w:noWrap/>
            <w:vAlign w:val="center"/>
            <w:hideMark/>
          </w:tcPr>
          <w:p w14:paraId="10C01F5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7</w:t>
            </w:r>
          </w:p>
        </w:tc>
        <w:tc>
          <w:tcPr>
            <w:tcW w:w="1350" w:type="dxa"/>
            <w:noWrap/>
            <w:vAlign w:val="center"/>
            <w:hideMark/>
          </w:tcPr>
          <w:p w14:paraId="357E6CE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29.2</w:t>
            </w:r>
          </w:p>
        </w:tc>
        <w:tc>
          <w:tcPr>
            <w:tcW w:w="1260" w:type="dxa"/>
            <w:noWrap/>
            <w:vAlign w:val="center"/>
            <w:hideMark/>
          </w:tcPr>
          <w:p w14:paraId="4E25754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val="en-NZ" w:eastAsia="en-NZ"/>
              </w:rPr>
            </w:pPr>
            <w:r w:rsidRPr="00613DE5">
              <w:rPr>
                <w:rFonts w:eastAsia="Times New Roman" w:cstheme="minorHAnsi"/>
                <w:color w:val="000000"/>
                <w:szCs w:val="24"/>
                <w:lang w:val="en-NZ" w:eastAsia="en-NZ"/>
              </w:rPr>
              <w:t>24</w:t>
            </w:r>
          </w:p>
        </w:tc>
      </w:tr>
      <w:tr w:rsidR="00024DB2" w:rsidRPr="00613DE5" w14:paraId="5890214C" w14:textId="77777777" w:rsidTr="00065F1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89" w:type="dxa"/>
            <w:noWrap/>
            <w:vAlign w:val="center"/>
            <w:hideMark/>
          </w:tcPr>
          <w:p w14:paraId="599055C7" w14:textId="77777777" w:rsidR="0061629A" w:rsidRPr="00613DE5" w:rsidRDefault="0061629A" w:rsidP="00065F12">
            <w:pPr>
              <w:rPr>
                <w:rFonts w:eastAsia="Times New Roman" w:cstheme="minorHAnsi"/>
                <w:b w:val="0"/>
                <w:bCs w:val="0"/>
                <w:color w:val="000000"/>
                <w:szCs w:val="24"/>
                <w:lang w:val="en-NZ" w:eastAsia="en-NZ"/>
              </w:rPr>
            </w:pPr>
            <w:r w:rsidRPr="00613DE5">
              <w:rPr>
                <w:rFonts w:eastAsia="Times New Roman" w:cstheme="minorHAnsi"/>
                <w:color w:val="000000"/>
                <w:szCs w:val="24"/>
                <w:lang w:val="en-NZ" w:eastAsia="en-NZ"/>
              </w:rPr>
              <w:t>National</w:t>
            </w:r>
          </w:p>
        </w:tc>
        <w:tc>
          <w:tcPr>
            <w:tcW w:w="1443" w:type="dxa"/>
            <w:noWrap/>
            <w:vAlign w:val="center"/>
            <w:hideMark/>
          </w:tcPr>
          <w:p w14:paraId="11378A23"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512</w:t>
            </w:r>
          </w:p>
        </w:tc>
        <w:tc>
          <w:tcPr>
            <w:tcW w:w="1443" w:type="dxa"/>
            <w:noWrap/>
            <w:vAlign w:val="center"/>
            <w:hideMark/>
          </w:tcPr>
          <w:p w14:paraId="1ABB2833"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82.7</w:t>
            </w:r>
          </w:p>
        </w:tc>
        <w:tc>
          <w:tcPr>
            <w:tcW w:w="1350" w:type="dxa"/>
            <w:noWrap/>
            <w:vAlign w:val="center"/>
            <w:hideMark/>
          </w:tcPr>
          <w:p w14:paraId="1901EAF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107</w:t>
            </w:r>
          </w:p>
        </w:tc>
        <w:tc>
          <w:tcPr>
            <w:tcW w:w="1350" w:type="dxa"/>
            <w:noWrap/>
            <w:vAlign w:val="center"/>
            <w:hideMark/>
          </w:tcPr>
          <w:p w14:paraId="799F0526"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17.3</w:t>
            </w:r>
          </w:p>
        </w:tc>
        <w:tc>
          <w:tcPr>
            <w:tcW w:w="1260" w:type="dxa"/>
            <w:noWrap/>
            <w:vAlign w:val="center"/>
            <w:hideMark/>
          </w:tcPr>
          <w:p w14:paraId="64958EB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4"/>
                <w:lang w:val="en-NZ" w:eastAsia="en-NZ"/>
              </w:rPr>
            </w:pPr>
            <w:r w:rsidRPr="00613DE5">
              <w:rPr>
                <w:rFonts w:eastAsia="Times New Roman" w:cstheme="minorHAnsi"/>
                <w:b/>
                <w:bCs/>
                <w:color w:val="000000"/>
                <w:szCs w:val="24"/>
                <w:lang w:val="en-NZ" w:eastAsia="en-NZ"/>
              </w:rPr>
              <w:t>619</w:t>
            </w:r>
          </w:p>
        </w:tc>
      </w:tr>
    </w:tbl>
    <w:p w14:paraId="2C5A4A43" w14:textId="77777777" w:rsidR="0061629A" w:rsidRPr="007855B2" w:rsidRDefault="0061629A" w:rsidP="009D2530">
      <w:pPr>
        <w:rPr>
          <w:i/>
          <w:iCs/>
          <w:sz w:val="20"/>
          <w:szCs w:val="20"/>
          <w:lang w:val="en-NZ"/>
        </w:rPr>
      </w:pPr>
      <w:r w:rsidRPr="007855B2">
        <w:rPr>
          <w:i/>
          <w:iCs/>
          <w:sz w:val="20"/>
          <w:szCs w:val="20"/>
          <w:lang w:val="en-NZ"/>
        </w:rPr>
        <w:t xml:space="preserve">Note: small numbers of second samples will have a large effect on percentages </w:t>
      </w:r>
    </w:p>
    <w:p w14:paraId="1EDFA42A" w14:textId="77777777" w:rsidR="0061629A" w:rsidRPr="00613DE5" w:rsidRDefault="0061629A" w:rsidP="0061629A">
      <w:pPr>
        <w:pStyle w:val="Caption"/>
        <w:rPr>
          <w:rFonts w:cstheme="minorHAnsi"/>
          <w:sz w:val="24"/>
          <w:szCs w:val="24"/>
        </w:rPr>
      </w:pPr>
    </w:p>
    <w:p w14:paraId="04A99F1A" w14:textId="77777777" w:rsidR="0061629A" w:rsidRPr="00613DE5" w:rsidRDefault="0061629A" w:rsidP="0061629A">
      <w:pPr>
        <w:rPr>
          <w:rFonts w:cstheme="minorHAnsi"/>
          <w:i/>
          <w:iCs/>
          <w:color w:val="15284C" w:themeColor="text2"/>
          <w:szCs w:val="24"/>
          <w:lang w:val="en-NZ"/>
        </w:rPr>
      </w:pPr>
      <w:r w:rsidRPr="00613DE5">
        <w:rPr>
          <w:rFonts w:cstheme="minorHAnsi"/>
          <w:szCs w:val="24"/>
          <w:lang w:val="en-NZ"/>
        </w:rPr>
        <w:br w:type="page"/>
      </w:r>
    </w:p>
    <w:p w14:paraId="7A4952A0" w14:textId="33A1E7A7" w:rsidR="0061629A" w:rsidRPr="00613DE5" w:rsidRDefault="0061629A" w:rsidP="009D2530">
      <w:pPr>
        <w:pStyle w:val="Heading2"/>
        <w:rPr>
          <w:lang w:val="en-NZ"/>
        </w:rPr>
      </w:pPr>
      <w:bookmarkStart w:id="49" w:name="_Toc160616224"/>
      <w:bookmarkStart w:id="50" w:name="_Toc179192065"/>
      <w:r w:rsidRPr="00613DE5">
        <w:rPr>
          <w:lang w:val="en-NZ"/>
        </w:rPr>
        <w:lastRenderedPageBreak/>
        <w:t xml:space="preserve">Figure </w:t>
      </w:r>
      <w:r w:rsidRPr="00613DE5">
        <w:rPr>
          <w:color w:val="2B579A"/>
          <w:shd w:val="clear" w:color="auto" w:fill="E6E6E6"/>
          <w:lang w:val="en-NZ"/>
        </w:rPr>
        <w:fldChar w:fldCharType="begin"/>
      </w:r>
      <w:r w:rsidRPr="00613DE5">
        <w:rPr>
          <w:lang w:val="en-NZ"/>
        </w:rPr>
        <w:instrText xml:space="preserve"> SEQ Figure \* ARABIC </w:instrText>
      </w:r>
      <w:r w:rsidRPr="00613DE5">
        <w:rPr>
          <w:color w:val="2B579A"/>
          <w:shd w:val="clear" w:color="auto" w:fill="E6E6E6"/>
          <w:lang w:val="en-NZ"/>
        </w:rPr>
        <w:fldChar w:fldCharType="separate"/>
      </w:r>
      <w:r w:rsidR="00E60918">
        <w:rPr>
          <w:noProof/>
          <w:lang w:val="en-NZ"/>
        </w:rPr>
        <w:t>3</w:t>
      </w:r>
      <w:r w:rsidRPr="00613DE5">
        <w:rPr>
          <w:color w:val="2B579A"/>
          <w:shd w:val="clear" w:color="auto" w:fill="E6E6E6"/>
          <w:lang w:val="en-NZ"/>
        </w:rPr>
        <w:fldChar w:fldCharType="end"/>
      </w:r>
      <w:r w:rsidRPr="00613DE5">
        <w:rPr>
          <w:lang w:val="en-NZ"/>
        </w:rPr>
        <w:t>:</w:t>
      </w:r>
      <w:r w:rsidR="00954696">
        <w:rPr>
          <w:lang w:val="en-NZ"/>
        </w:rPr>
        <w:t xml:space="preserve"> </w:t>
      </w:r>
      <w:r w:rsidRPr="00613DE5">
        <w:rPr>
          <w:lang w:val="en-NZ"/>
        </w:rPr>
        <w:t>Percentage of second samples the laboratory received (or when other appropriate follow-up occurred) within 10 days, January to December 2022</w:t>
      </w:r>
      <w:bookmarkEnd w:id="49"/>
      <w:bookmarkEnd w:id="50"/>
    </w:p>
    <w:p w14:paraId="69F3CE71" w14:textId="77777777" w:rsidR="0061629A" w:rsidRPr="00613DE5" w:rsidRDefault="0061629A" w:rsidP="0061629A">
      <w:pPr>
        <w:rPr>
          <w:lang w:val="en-NZ"/>
        </w:rPr>
      </w:pPr>
      <w:r w:rsidRPr="00613DE5">
        <w:rPr>
          <w:noProof/>
          <w:color w:val="2B579A"/>
          <w:shd w:val="clear" w:color="auto" w:fill="E6E6E6"/>
          <w:lang w:val="en-NZ"/>
        </w:rPr>
        <w:drawing>
          <wp:inline distT="0" distB="0" distL="0" distR="0" wp14:anchorId="4CB6794C" wp14:editId="1B94121F">
            <wp:extent cx="6059155" cy="3286125"/>
            <wp:effectExtent l="0" t="0" r="18415" b="9525"/>
            <wp:docPr id="1813232147" name="Chart 1813232147" descr="Figure 3: Percentage of second samples the laboratory received (or when other appropriate follow-up occurred) within 10 days, January to December 2022">
              <a:extLst xmlns:a="http://schemas.openxmlformats.org/drawingml/2006/main">
                <a:ext uri="{FF2B5EF4-FFF2-40B4-BE49-F238E27FC236}">
                  <a16:creationId xmlns:a16="http://schemas.microsoft.com/office/drawing/2014/main" id="{0CD717E6-8236-7921-8210-A4ED16C741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43AAE1" w14:textId="77777777" w:rsidR="0061629A" w:rsidRPr="00613DE5" w:rsidRDefault="0061629A" w:rsidP="0061629A">
      <w:pPr>
        <w:rPr>
          <w:lang w:val="en-NZ"/>
        </w:rPr>
      </w:pPr>
    </w:p>
    <w:p w14:paraId="43FF4DCF" w14:textId="77777777" w:rsidR="0061629A" w:rsidRPr="00613DE5" w:rsidRDefault="0061629A" w:rsidP="0061629A">
      <w:pPr>
        <w:rPr>
          <w:lang w:val="en-NZ"/>
        </w:rPr>
      </w:pPr>
    </w:p>
    <w:p w14:paraId="3458D066" w14:textId="77777777" w:rsidR="0061629A" w:rsidRPr="00613DE5" w:rsidRDefault="0061629A" w:rsidP="0061629A">
      <w:pPr>
        <w:rPr>
          <w:rFonts w:asciiTheme="majorHAnsi" w:eastAsiaTheme="majorEastAsia" w:hAnsiTheme="majorHAnsi" w:cstheme="majorBidi"/>
          <w:b/>
          <w:color w:val="15284C" w:themeColor="text2"/>
          <w:sz w:val="48"/>
          <w:szCs w:val="26"/>
          <w:lang w:val="en-NZ"/>
        </w:rPr>
      </w:pPr>
      <w:r w:rsidRPr="00613DE5">
        <w:rPr>
          <w:lang w:val="en-NZ"/>
        </w:rPr>
        <w:br w:type="page"/>
      </w:r>
    </w:p>
    <w:p w14:paraId="4E3F967F" w14:textId="347FF2F0" w:rsidR="0061629A" w:rsidRPr="00613DE5" w:rsidRDefault="0061629A" w:rsidP="008947FC">
      <w:pPr>
        <w:pStyle w:val="Heading1"/>
        <w:spacing w:after="0"/>
        <w:contextualSpacing/>
        <w:rPr>
          <w:lang w:val="en-NZ"/>
        </w:rPr>
      </w:pPr>
      <w:bookmarkStart w:id="51" w:name="_Toc160616225"/>
      <w:bookmarkStart w:id="52" w:name="_Toc179192066"/>
      <w:r w:rsidRPr="00613DE5">
        <w:rPr>
          <w:lang w:val="en-NZ"/>
        </w:rPr>
        <w:lastRenderedPageBreak/>
        <w:t>Indicator 6: Laboratory turnaround time for positive results</w:t>
      </w:r>
      <w:bookmarkEnd w:id="51"/>
      <w:bookmarkEnd w:id="52"/>
    </w:p>
    <w:p w14:paraId="787D5DE0" w14:textId="77777777" w:rsidR="0061629A" w:rsidRPr="00613DE5" w:rsidRDefault="0061629A" w:rsidP="009D2530">
      <w:pPr>
        <w:rPr>
          <w:lang w:val="en-NZ"/>
        </w:rPr>
      </w:pPr>
      <w:r w:rsidRPr="00613DE5">
        <w:rPr>
          <w:b/>
          <w:bCs/>
          <w:lang w:val="en-NZ"/>
        </w:rPr>
        <w:t>Description:</w:t>
      </w:r>
      <w:r w:rsidRPr="00613DE5">
        <w:rPr>
          <w:lang w:val="en-NZ"/>
        </w:rPr>
        <w:t xml:space="preserve"> The time from receipt of the sample in the laboratory to notification of the referring practitioner or specialist paediatrician of a screen positive result.</w:t>
      </w:r>
    </w:p>
    <w:p w14:paraId="7C874F1C" w14:textId="77777777" w:rsidR="0061629A" w:rsidRPr="00613DE5" w:rsidRDefault="0061629A" w:rsidP="009D2530">
      <w:pPr>
        <w:rPr>
          <w:lang w:val="en-NZ"/>
        </w:rPr>
      </w:pPr>
      <w:r w:rsidRPr="00613DE5">
        <w:rPr>
          <w:b/>
          <w:bCs/>
          <w:lang w:val="en-NZ"/>
        </w:rPr>
        <w:t>Rationale:</w:t>
      </w:r>
      <w:r w:rsidRPr="00613DE5">
        <w:rPr>
          <w:lang w:val="en-NZ"/>
        </w:rPr>
        <w:t xml:space="preserve"> Timely processing and notification of screen positive samples is essential to ensure early detection and treatment. This indicator is a measure of laboratory performance.</w:t>
      </w:r>
    </w:p>
    <w:p w14:paraId="6DF2E55F" w14:textId="77777777" w:rsidR="0061629A" w:rsidRPr="00613DE5" w:rsidRDefault="0061629A" w:rsidP="009D2530">
      <w:pPr>
        <w:rPr>
          <w:lang w:val="en-NZ"/>
        </w:rPr>
      </w:pPr>
      <w:r w:rsidRPr="00613DE5">
        <w:rPr>
          <w:b/>
          <w:bCs/>
          <w:lang w:val="en-NZ"/>
        </w:rPr>
        <w:t>Target:</w:t>
      </w:r>
      <w:r w:rsidRPr="00613DE5">
        <w:rPr>
          <w:lang w:val="en-NZ"/>
        </w:rPr>
        <w:t xml:space="preserve"> 100 percent of babies with positive results are notified to their LMC / specialist paediatrician by the laboratory within the following timeframes:</w:t>
      </w:r>
    </w:p>
    <w:tbl>
      <w:tblPr>
        <w:tblStyle w:val="GridTable4-Accent5"/>
        <w:tblW w:w="4952" w:type="pct"/>
        <w:tblLook w:val="0420" w:firstRow="1" w:lastRow="0" w:firstColumn="0" w:lastColumn="0" w:noHBand="0" w:noVBand="1"/>
      </w:tblPr>
      <w:tblGrid>
        <w:gridCol w:w="3539"/>
        <w:gridCol w:w="3216"/>
        <w:gridCol w:w="2781"/>
      </w:tblGrid>
      <w:tr w:rsidR="0061629A" w:rsidRPr="00613DE5" w14:paraId="6B7DEC50" w14:textId="77777777" w:rsidTr="003104AC">
        <w:trPr>
          <w:cnfStyle w:val="100000000000" w:firstRow="1" w:lastRow="0" w:firstColumn="0" w:lastColumn="0" w:oddVBand="0" w:evenVBand="0" w:oddHBand="0" w:evenHBand="0" w:firstRowFirstColumn="0" w:firstRowLastColumn="0" w:lastRowFirstColumn="0" w:lastRowLastColumn="0"/>
          <w:trHeight w:val="183"/>
        </w:trPr>
        <w:tc>
          <w:tcPr>
            <w:tcW w:w="1856" w:type="pct"/>
            <w:vMerge w:val="restart"/>
            <w:tcBorders>
              <w:right w:val="single" w:sz="4" w:space="0" w:color="2870FF" w:themeColor="accent2" w:themeTint="99"/>
            </w:tcBorders>
            <w:hideMark/>
          </w:tcPr>
          <w:p w14:paraId="4D03A599" w14:textId="77777777" w:rsidR="003104AC" w:rsidRPr="00613DE5" w:rsidRDefault="0061629A" w:rsidP="009D2530">
            <w:pPr>
              <w:rPr>
                <w:b w:val="0"/>
                <w:bCs w:val="0"/>
                <w:lang w:val="en-NZ" w:eastAsia="en-NZ"/>
              </w:rPr>
            </w:pPr>
            <w:r w:rsidRPr="00613DE5">
              <w:rPr>
                <w:lang w:val="en-NZ" w:eastAsia="en-NZ"/>
              </w:rPr>
              <w:t> </w:t>
            </w:r>
          </w:p>
          <w:p w14:paraId="1A5665A0" w14:textId="6A0E98AA" w:rsidR="0061629A" w:rsidRPr="00613DE5" w:rsidRDefault="0061629A" w:rsidP="009D2530">
            <w:pPr>
              <w:rPr>
                <w:i/>
                <w:iCs/>
                <w:lang w:val="en-NZ" w:eastAsia="en-NZ"/>
              </w:rPr>
            </w:pPr>
            <w:r w:rsidRPr="00613DE5">
              <w:rPr>
                <w:lang w:val="en-NZ" w:eastAsia="en-NZ"/>
              </w:rPr>
              <w:t>Disorder</w:t>
            </w:r>
          </w:p>
          <w:p w14:paraId="7F856531" w14:textId="77777777" w:rsidR="0061629A" w:rsidRPr="00613DE5" w:rsidRDefault="0061629A" w:rsidP="009D2530">
            <w:pPr>
              <w:rPr>
                <w:i/>
                <w:iCs/>
                <w:lang w:val="en-NZ" w:eastAsia="en-NZ"/>
              </w:rPr>
            </w:pPr>
          </w:p>
        </w:tc>
        <w:tc>
          <w:tcPr>
            <w:tcW w:w="3144" w:type="pct"/>
            <w:gridSpan w:val="2"/>
            <w:tcBorders>
              <w:left w:val="single" w:sz="4" w:space="0" w:color="2870FF" w:themeColor="accent2" w:themeTint="99"/>
            </w:tcBorders>
            <w:noWrap/>
            <w:hideMark/>
          </w:tcPr>
          <w:p w14:paraId="3B88003D" w14:textId="77777777" w:rsidR="0061629A" w:rsidRPr="00613DE5" w:rsidRDefault="0061629A" w:rsidP="009D2530">
            <w:pPr>
              <w:rPr>
                <w:i/>
                <w:iCs/>
                <w:lang w:val="en-NZ" w:eastAsia="en-NZ"/>
              </w:rPr>
            </w:pPr>
            <w:r w:rsidRPr="00613DE5">
              <w:rPr>
                <w:lang w:val="en-NZ" w:eastAsia="en-NZ"/>
              </w:rPr>
              <w:t>Calendar days*</w:t>
            </w:r>
          </w:p>
        </w:tc>
      </w:tr>
      <w:tr w:rsidR="003104AC" w:rsidRPr="00613DE5" w14:paraId="13A8F566" w14:textId="77777777" w:rsidTr="003104AC">
        <w:trPr>
          <w:cnfStyle w:val="000000100000" w:firstRow="0" w:lastRow="0" w:firstColumn="0" w:lastColumn="0" w:oddVBand="0" w:evenVBand="0" w:oddHBand="1" w:evenHBand="0" w:firstRowFirstColumn="0" w:firstRowLastColumn="0" w:lastRowFirstColumn="0" w:lastRowLastColumn="0"/>
          <w:trHeight w:val="390"/>
        </w:trPr>
        <w:tc>
          <w:tcPr>
            <w:tcW w:w="1856" w:type="pct"/>
            <w:vMerge/>
            <w:tcBorders>
              <w:right w:val="single" w:sz="4" w:space="0" w:color="2870FF" w:themeColor="accent2" w:themeTint="99"/>
            </w:tcBorders>
            <w:hideMark/>
          </w:tcPr>
          <w:p w14:paraId="58DFB631" w14:textId="77777777" w:rsidR="0061629A" w:rsidRPr="00613DE5" w:rsidRDefault="0061629A" w:rsidP="009D2530">
            <w:pPr>
              <w:rPr>
                <w:b/>
                <w:bCs/>
                <w:color w:val="F6F4EC" w:themeColor="background1"/>
                <w:lang w:val="en-NZ" w:eastAsia="en-NZ"/>
              </w:rPr>
            </w:pPr>
          </w:p>
        </w:tc>
        <w:tc>
          <w:tcPr>
            <w:tcW w:w="1686" w:type="pct"/>
            <w:tcBorders>
              <w:left w:val="single" w:sz="4" w:space="0" w:color="2870FF" w:themeColor="accent2" w:themeTint="99"/>
            </w:tcBorders>
            <w:shd w:val="clear" w:color="auto" w:fill="15284C" w:themeFill="text1"/>
            <w:noWrap/>
            <w:hideMark/>
          </w:tcPr>
          <w:p w14:paraId="195D5CD4" w14:textId="77777777" w:rsidR="0061629A" w:rsidRPr="00613DE5" w:rsidRDefault="0061629A" w:rsidP="009D2530">
            <w:pPr>
              <w:rPr>
                <w:b/>
                <w:bCs/>
                <w:color w:val="F6F4EC" w:themeColor="background1"/>
                <w:lang w:val="en-NZ" w:eastAsia="en-NZ"/>
              </w:rPr>
            </w:pPr>
            <w:r w:rsidRPr="00613DE5">
              <w:rPr>
                <w:b/>
                <w:bCs/>
                <w:color w:val="F6F4EC" w:themeColor="background1"/>
                <w:lang w:val="en-NZ" w:eastAsia="en-NZ"/>
              </w:rPr>
              <w:t>Clinical critical</w:t>
            </w:r>
          </w:p>
        </w:tc>
        <w:tc>
          <w:tcPr>
            <w:tcW w:w="1458" w:type="pct"/>
            <w:shd w:val="clear" w:color="auto" w:fill="15284C" w:themeFill="text1"/>
            <w:hideMark/>
          </w:tcPr>
          <w:p w14:paraId="2DBF017D" w14:textId="77777777" w:rsidR="0061629A" w:rsidRPr="00613DE5" w:rsidRDefault="0061629A" w:rsidP="009D2530">
            <w:pPr>
              <w:rPr>
                <w:b/>
                <w:bCs/>
                <w:color w:val="F6F4EC" w:themeColor="background1"/>
                <w:lang w:val="en-NZ" w:eastAsia="en-NZ"/>
              </w:rPr>
            </w:pPr>
            <w:r w:rsidRPr="00613DE5">
              <w:rPr>
                <w:b/>
                <w:bCs/>
                <w:color w:val="F6F4EC" w:themeColor="background1"/>
                <w:lang w:val="en-NZ" w:eastAsia="en-NZ"/>
              </w:rPr>
              <w:t>Non-clinical critical</w:t>
            </w:r>
          </w:p>
        </w:tc>
      </w:tr>
      <w:tr w:rsidR="0061629A" w:rsidRPr="00613DE5" w14:paraId="251D2A73" w14:textId="77777777" w:rsidTr="00065F12">
        <w:trPr>
          <w:trHeight w:val="289"/>
        </w:trPr>
        <w:tc>
          <w:tcPr>
            <w:tcW w:w="1856" w:type="pct"/>
            <w:vAlign w:val="center"/>
            <w:hideMark/>
          </w:tcPr>
          <w:p w14:paraId="53DB0D7D" w14:textId="77777777" w:rsidR="0061629A" w:rsidRPr="00613DE5" w:rsidRDefault="0061629A" w:rsidP="00065F12">
            <w:pPr>
              <w:rPr>
                <w:color w:val="000000"/>
                <w:lang w:val="en-NZ" w:eastAsia="en-NZ"/>
              </w:rPr>
            </w:pPr>
            <w:r w:rsidRPr="00613DE5">
              <w:rPr>
                <w:color w:val="000000"/>
                <w:lang w:val="en-NZ" w:eastAsia="en-NZ"/>
              </w:rPr>
              <w:t>Amino acid disorders</w:t>
            </w:r>
          </w:p>
        </w:tc>
        <w:tc>
          <w:tcPr>
            <w:tcW w:w="1686" w:type="pct"/>
            <w:noWrap/>
            <w:vAlign w:val="center"/>
            <w:hideMark/>
          </w:tcPr>
          <w:p w14:paraId="15A16089" w14:textId="77777777" w:rsidR="0061629A" w:rsidRPr="00613DE5" w:rsidRDefault="0061629A" w:rsidP="00065F12">
            <w:pPr>
              <w:jc w:val="center"/>
              <w:rPr>
                <w:color w:val="000000"/>
                <w:lang w:val="en-NZ" w:eastAsia="en-NZ"/>
              </w:rPr>
            </w:pPr>
            <w:r w:rsidRPr="00613DE5">
              <w:rPr>
                <w:lang w:val="en-NZ" w:eastAsia="en-NZ"/>
              </w:rPr>
              <w:t>2</w:t>
            </w:r>
          </w:p>
        </w:tc>
        <w:tc>
          <w:tcPr>
            <w:tcW w:w="1458" w:type="pct"/>
            <w:noWrap/>
            <w:vAlign w:val="center"/>
            <w:hideMark/>
          </w:tcPr>
          <w:p w14:paraId="6B011F5D" w14:textId="77777777" w:rsidR="0061629A" w:rsidRPr="00613DE5" w:rsidRDefault="0061629A" w:rsidP="00065F12">
            <w:pPr>
              <w:jc w:val="center"/>
              <w:rPr>
                <w:color w:val="000000"/>
                <w:lang w:val="en-NZ" w:eastAsia="en-NZ"/>
              </w:rPr>
            </w:pPr>
            <w:r w:rsidRPr="00613DE5">
              <w:rPr>
                <w:lang w:val="en-NZ" w:eastAsia="en-NZ"/>
              </w:rPr>
              <w:t>7</w:t>
            </w:r>
          </w:p>
        </w:tc>
      </w:tr>
      <w:tr w:rsidR="00613DE5" w:rsidRPr="00613DE5" w14:paraId="527B2263"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1856" w:type="pct"/>
            <w:vAlign w:val="center"/>
            <w:hideMark/>
          </w:tcPr>
          <w:p w14:paraId="6AF23466" w14:textId="77777777" w:rsidR="0061629A" w:rsidRPr="00613DE5" w:rsidRDefault="0061629A" w:rsidP="00065F12">
            <w:pPr>
              <w:rPr>
                <w:color w:val="000000"/>
                <w:lang w:val="en-NZ" w:eastAsia="en-NZ"/>
              </w:rPr>
            </w:pPr>
            <w:r w:rsidRPr="00613DE5">
              <w:rPr>
                <w:color w:val="000000"/>
                <w:lang w:val="en-NZ" w:eastAsia="en-NZ"/>
              </w:rPr>
              <w:t>Biotinidase deficiency</w:t>
            </w:r>
          </w:p>
        </w:tc>
        <w:tc>
          <w:tcPr>
            <w:tcW w:w="1686" w:type="pct"/>
            <w:noWrap/>
            <w:vAlign w:val="center"/>
            <w:hideMark/>
          </w:tcPr>
          <w:p w14:paraId="68D116DA" w14:textId="77777777" w:rsidR="0061629A" w:rsidRPr="00613DE5" w:rsidRDefault="0061629A" w:rsidP="00065F12">
            <w:pPr>
              <w:jc w:val="center"/>
              <w:rPr>
                <w:color w:val="000000"/>
                <w:lang w:val="en-NZ" w:eastAsia="en-NZ"/>
              </w:rPr>
            </w:pPr>
            <w:r w:rsidRPr="00613DE5">
              <w:rPr>
                <w:lang w:val="en-NZ" w:eastAsia="en-NZ"/>
              </w:rPr>
              <w:t>-</w:t>
            </w:r>
          </w:p>
        </w:tc>
        <w:tc>
          <w:tcPr>
            <w:tcW w:w="1458" w:type="pct"/>
            <w:noWrap/>
            <w:vAlign w:val="center"/>
            <w:hideMark/>
          </w:tcPr>
          <w:p w14:paraId="38669551" w14:textId="77777777" w:rsidR="0061629A" w:rsidRPr="00613DE5" w:rsidRDefault="0061629A" w:rsidP="00065F12">
            <w:pPr>
              <w:jc w:val="center"/>
              <w:rPr>
                <w:color w:val="000000"/>
                <w:lang w:val="en-NZ" w:eastAsia="en-NZ"/>
              </w:rPr>
            </w:pPr>
            <w:r w:rsidRPr="00613DE5">
              <w:rPr>
                <w:lang w:val="en-NZ" w:eastAsia="en-NZ"/>
              </w:rPr>
              <w:t>7</w:t>
            </w:r>
          </w:p>
        </w:tc>
      </w:tr>
      <w:tr w:rsidR="0061629A" w:rsidRPr="00613DE5" w14:paraId="3713A582" w14:textId="77777777" w:rsidTr="00065F12">
        <w:trPr>
          <w:trHeight w:val="289"/>
        </w:trPr>
        <w:tc>
          <w:tcPr>
            <w:tcW w:w="1856" w:type="pct"/>
            <w:vAlign w:val="center"/>
            <w:hideMark/>
          </w:tcPr>
          <w:p w14:paraId="58E30143" w14:textId="77777777" w:rsidR="0061629A" w:rsidRPr="00613DE5" w:rsidRDefault="0061629A" w:rsidP="00065F12">
            <w:pPr>
              <w:rPr>
                <w:color w:val="000000"/>
                <w:lang w:val="en-NZ" w:eastAsia="en-NZ"/>
              </w:rPr>
            </w:pPr>
            <w:r w:rsidRPr="00613DE5">
              <w:rPr>
                <w:color w:val="000000"/>
                <w:lang w:val="en-NZ" w:eastAsia="en-NZ"/>
              </w:rPr>
              <w:t xml:space="preserve">Congenital adrenal hyperplasia </w:t>
            </w:r>
          </w:p>
        </w:tc>
        <w:tc>
          <w:tcPr>
            <w:tcW w:w="1686" w:type="pct"/>
            <w:noWrap/>
            <w:vAlign w:val="center"/>
            <w:hideMark/>
          </w:tcPr>
          <w:p w14:paraId="17B44441" w14:textId="77777777" w:rsidR="0061629A" w:rsidRPr="00613DE5" w:rsidRDefault="0061629A" w:rsidP="00065F12">
            <w:pPr>
              <w:jc w:val="center"/>
              <w:rPr>
                <w:color w:val="000000"/>
                <w:lang w:val="en-NZ" w:eastAsia="en-NZ"/>
              </w:rPr>
            </w:pPr>
            <w:r w:rsidRPr="00613DE5">
              <w:rPr>
                <w:lang w:val="en-NZ" w:eastAsia="en-NZ"/>
              </w:rPr>
              <w:t>2</w:t>
            </w:r>
          </w:p>
        </w:tc>
        <w:tc>
          <w:tcPr>
            <w:tcW w:w="1458" w:type="pct"/>
            <w:noWrap/>
            <w:vAlign w:val="center"/>
            <w:hideMark/>
          </w:tcPr>
          <w:p w14:paraId="79AB2E14" w14:textId="77777777" w:rsidR="0061629A" w:rsidRPr="00613DE5" w:rsidRDefault="0061629A" w:rsidP="00065F12">
            <w:pPr>
              <w:jc w:val="center"/>
              <w:rPr>
                <w:color w:val="000000"/>
                <w:lang w:val="en-NZ" w:eastAsia="en-NZ"/>
              </w:rPr>
            </w:pPr>
            <w:r w:rsidRPr="00613DE5">
              <w:rPr>
                <w:lang w:val="en-NZ" w:eastAsia="en-NZ"/>
              </w:rPr>
              <w:t>7</w:t>
            </w:r>
          </w:p>
        </w:tc>
      </w:tr>
      <w:tr w:rsidR="00613DE5" w:rsidRPr="00613DE5" w14:paraId="33342C7A"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1856" w:type="pct"/>
            <w:vAlign w:val="center"/>
            <w:hideMark/>
          </w:tcPr>
          <w:p w14:paraId="07C149F7" w14:textId="77777777" w:rsidR="0061629A" w:rsidRPr="00613DE5" w:rsidRDefault="0061629A" w:rsidP="00065F12">
            <w:pPr>
              <w:rPr>
                <w:color w:val="000000"/>
                <w:lang w:val="en-NZ" w:eastAsia="en-NZ"/>
              </w:rPr>
            </w:pPr>
            <w:r w:rsidRPr="00613DE5">
              <w:rPr>
                <w:color w:val="000000"/>
                <w:lang w:val="en-NZ" w:eastAsia="en-NZ"/>
              </w:rPr>
              <w:t xml:space="preserve">Cystic fibrosis </w:t>
            </w:r>
          </w:p>
        </w:tc>
        <w:tc>
          <w:tcPr>
            <w:tcW w:w="1686" w:type="pct"/>
            <w:noWrap/>
            <w:vAlign w:val="center"/>
            <w:hideMark/>
          </w:tcPr>
          <w:p w14:paraId="1D3F4520" w14:textId="77777777" w:rsidR="0061629A" w:rsidRPr="00613DE5" w:rsidRDefault="0061629A" w:rsidP="00065F12">
            <w:pPr>
              <w:jc w:val="center"/>
              <w:rPr>
                <w:color w:val="000000"/>
                <w:lang w:val="en-NZ" w:eastAsia="en-NZ"/>
              </w:rPr>
            </w:pPr>
            <w:r w:rsidRPr="00613DE5">
              <w:rPr>
                <w:lang w:val="en-NZ" w:eastAsia="en-NZ"/>
              </w:rPr>
              <w:t>-</w:t>
            </w:r>
          </w:p>
        </w:tc>
        <w:tc>
          <w:tcPr>
            <w:tcW w:w="1458" w:type="pct"/>
            <w:noWrap/>
            <w:vAlign w:val="center"/>
            <w:hideMark/>
          </w:tcPr>
          <w:p w14:paraId="1F4B9F8A" w14:textId="77777777" w:rsidR="0061629A" w:rsidRPr="00613DE5" w:rsidRDefault="0061629A" w:rsidP="00065F12">
            <w:pPr>
              <w:jc w:val="center"/>
              <w:rPr>
                <w:color w:val="000000"/>
                <w:lang w:val="en-NZ" w:eastAsia="en-NZ"/>
              </w:rPr>
            </w:pPr>
            <w:r w:rsidRPr="00613DE5">
              <w:rPr>
                <w:lang w:val="en-NZ" w:eastAsia="en-NZ"/>
              </w:rPr>
              <w:t>7</w:t>
            </w:r>
          </w:p>
        </w:tc>
      </w:tr>
      <w:tr w:rsidR="0061629A" w:rsidRPr="00613DE5" w14:paraId="221F0B8C" w14:textId="77777777" w:rsidTr="00065F12">
        <w:trPr>
          <w:trHeight w:val="289"/>
        </w:trPr>
        <w:tc>
          <w:tcPr>
            <w:tcW w:w="1856" w:type="pct"/>
            <w:vAlign w:val="center"/>
            <w:hideMark/>
          </w:tcPr>
          <w:p w14:paraId="739B18C3" w14:textId="77777777" w:rsidR="0061629A" w:rsidRPr="00613DE5" w:rsidRDefault="0061629A" w:rsidP="00065F12">
            <w:pPr>
              <w:rPr>
                <w:color w:val="000000"/>
                <w:lang w:val="en-NZ" w:eastAsia="en-NZ"/>
              </w:rPr>
            </w:pPr>
            <w:r w:rsidRPr="00613DE5">
              <w:rPr>
                <w:color w:val="000000"/>
                <w:lang w:val="en-NZ" w:eastAsia="en-NZ"/>
              </w:rPr>
              <w:t>Congenital hypothyroidism</w:t>
            </w:r>
          </w:p>
        </w:tc>
        <w:tc>
          <w:tcPr>
            <w:tcW w:w="1686" w:type="pct"/>
            <w:noWrap/>
            <w:vAlign w:val="center"/>
            <w:hideMark/>
          </w:tcPr>
          <w:p w14:paraId="2011E5E1" w14:textId="77777777" w:rsidR="0061629A" w:rsidRPr="00613DE5" w:rsidRDefault="0061629A" w:rsidP="00065F12">
            <w:pPr>
              <w:jc w:val="center"/>
              <w:rPr>
                <w:color w:val="000000"/>
                <w:lang w:val="en-NZ" w:eastAsia="en-NZ"/>
              </w:rPr>
            </w:pPr>
            <w:r w:rsidRPr="00613DE5">
              <w:rPr>
                <w:lang w:val="en-NZ" w:eastAsia="en-NZ"/>
              </w:rPr>
              <w:t>4</w:t>
            </w:r>
          </w:p>
        </w:tc>
        <w:tc>
          <w:tcPr>
            <w:tcW w:w="1458" w:type="pct"/>
            <w:noWrap/>
            <w:vAlign w:val="center"/>
            <w:hideMark/>
          </w:tcPr>
          <w:p w14:paraId="69ACB816" w14:textId="77777777" w:rsidR="0061629A" w:rsidRPr="00613DE5" w:rsidRDefault="0061629A" w:rsidP="00065F12">
            <w:pPr>
              <w:jc w:val="center"/>
              <w:rPr>
                <w:color w:val="000000"/>
                <w:lang w:val="en-NZ" w:eastAsia="en-NZ"/>
              </w:rPr>
            </w:pPr>
            <w:r w:rsidRPr="00613DE5">
              <w:rPr>
                <w:lang w:val="en-NZ" w:eastAsia="en-NZ"/>
              </w:rPr>
              <w:t>7</w:t>
            </w:r>
          </w:p>
        </w:tc>
      </w:tr>
      <w:tr w:rsidR="00613DE5" w:rsidRPr="00613DE5" w14:paraId="4DDC311E"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1856" w:type="pct"/>
            <w:vAlign w:val="center"/>
            <w:hideMark/>
          </w:tcPr>
          <w:p w14:paraId="1C0AAE63" w14:textId="77777777" w:rsidR="0061629A" w:rsidRPr="00613DE5" w:rsidRDefault="0061629A" w:rsidP="00065F12">
            <w:pPr>
              <w:rPr>
                <w:color w:val="000000"/>
                <w:lang w:val="en-NZ" w:eastAsia="en-NZ"/>
              </w:rPr>
            </w:pPr>
            <w:r w:rsidRPr="00613DE5">
              <w:rPr>
                <w:color w:val="000000"/>
                <w:lang w:val="en-NZ" w:eastAsia="en-NZ"/>
              </w:rPr>
              <w:t>Fatty acid oxidation disorders</w:t>
            </w:r>
          </w:p>
        </w:tc>
        <w:tc>
          <w:tcPr>
            <w:tcW w:w="1686" w:type="pct"/>
            <w:noWrap/>
            <w:vAlign w:val="center"/>
            <w:hideMark/>
          </w:tcPr>
          <w:p w14:paraId="60D0CC1A" w14:textId="77777777" w:rsidR="0061629A" w:rsidRPr="00613DE5" w:rsidRDefault="0061629A" w:rsidP="00065F12">
            <w:pPr>
              <w:jc w:val="center"/>
              <w:rPr>
                <w:color w:val="000000"/>
                <w:lang w:val="en-NZ" w:eastAsia="en-NZ"/>
              </w:rPr>
            </w:pPr>
            <w:r w:rsidRPr="00613DE5">
              <w:rPr>
                <w:lang w:val="en-NZ" w:eastAsia="en-NZ"/>
              </w:rPr>
              <w:t>2</w:t>
            </w:r>
          </w:p>
        </w:tc>
        <w:tc>
          <w:tcPr>
            <w:tcW w:w="1458" w:type="pct"/>
            <w:noWrap/>
            <w:vAlign w:val="center"/>
            <w:hideMark/>
          </w:tcPr>
          <w:p w14:paraId="4532EDDE" w14:textId="77777777" w:rsidR="0061629A" w:rsidRPr="00613DE5" w:rsidRDefault="0061629A" w:rsidP="00065F12">
            <w:pPr>
              <w:jc w:val="center"/>
              <w:rPr>
                <w:color w:val="000000"/>
                <w:lang w:val="en-NZ" w:eastAsia="en-NZ"/>
              </w:rPr>
            </w:pPr>
            <w:r w:rsidRPr="00613DE5">
              <w:rPr>
                <w:lang w:val="en-NZ" w:eastAsia="en-NZ"/>
              </w:rPr>
              <w:t>7</w:t>
            </w:r>
          </w:p>
        </w:tc>
      </w:tr>
      <w:tr w:rsidR="0061629A" w:rsidRPr="00613DE5" w14:paraId="7E296461" w14:textId="77777777" w:rsidTr="00065F12">
        <w:trPr>
          <w:trHeight w:val="289"/>
        </w:trPr>
        <w:tc>
          <w:tcPr>
            <w:tcW w:w="1856" w:type="pct"/>
            <w:vAlign w:val="center"/>
            <w:hideMark/>
          </w:tcPr>
          <w:p w14:paraId="13553314" w14:textId="77777777" w:rsidR="0061629A" w:rsidRPr="00613DE5" w:rsidRDefault="0061629A" w:rsidP="00065F12">
            <w:pPr>
              <w:rPr>
                <w:color w:val="000000"/>
                <w:lang w:val="en-NZ" w:eastAsia="en-NZ"/>
              </w:rPr>
            </w:pPr>
            <w:r w:rsidRPr="00613DE5">
              <w:rPr>
                <w:color w:val="000000"/>
                <w:lang w:val="en-NZ" w:eastAsia="en-NZ"/>
              </w:rPr>
              <w:t>Galactosaemia</w:t>
            </w:r>
          </w:p>
        </w:tc>
        <w:tc>
          <w:tcPr>
            <w:tcW w:w="1686" w:type="pct"/>
            <w:noWrap/>
            <w:vAlign w:val="center"/>
            <w:hideMark/>
          </w:tcPr>
          <w:p w14:paraId="46953E50" w14:textId="77777777" w:rsidR="0061629A" w:rsidRPr="00613DE5" w:rsidRDefault="0061629A" w:rsidP="00065F12">
            <w:pPr>
              <w:jc w:val="center"/>
              <w:rPr>
                <w:color w:val="000000"/>
                <w:lang w:val="en-NZ" w:eastAsia="en-NZ"/>
              </w:rPr>
            </w:pPr>
            <w:r w:rsidRPr="00613DE5">
              <w:rPr>
                <w:lang w:val="en-NZ" w:eastAsia="en-NZ"/>
              </w:rPr>
              <w:t>2</w:t>
            </w:r>
          </w:p>
        </w:tc>
        <w:tc>
          <w:tcPr>
            <w:tcW w:w="1458" w:type="pct"/>
            <w:noWrap/>
            <w:vAlign w:val="center"/>
            <w:hideMark/>
          </w:tcPr>
          <w:p w14:paraId="668457CE" w14:textId="77777777" w:rsidR="0061629A" w:rsidRPr="00613DE5" w:rsidRDefault="0061629A" w:rsidP="00065F12">
            <w:pPr>
              <w:jc w:val="center"/>
              <w:rPr>
                <w:color w:val="000000"/>
                <w:lang w:val="en-NZ" w:eastAsia="en-NZ"/>
              </w:rPr>
            </w:pPr>
            <w:r w:rsidRPr="00613DE5">
              <w:rPr>
                <w:lang w:val="en-NZ" w:eastAsia="en-NZ"/>
              </w:rPr>
              <w:t>7</w:t>
            </w:r>
          </w:p>
        </w:tc>
      </w:tr>
      <w:tr w:rsidR="003104AC" w:rsidRPr="00613DE5" w14:paraId="793E3F1C"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1856" w:type="pct"/>
            <w:vAlign w:val="center"/>
            <w:hideMark/>
          </w:tcPr>
          <w:p w14:paraId="14FCE8AF" w14:textId="77777777" w:rsidR="0061629A" w:rsidRPr="00613DE5" w:rsidRDefault="0061629A" w:rsidP="00065F12">
            <w:pPr>
              <w:rPr>
                <w:color w:val="000000"/>
                <w:lang w:val="en-NZ" w:eastAsia="en-NZ"/>
              </w:rPr>
            </w:pPr>
            <w:r w:rsidRPr="00613DE5">
              <w:rPr>
                <w:color w:val="000000"/>
                <w:lang w:val="en-NZ" w:eastAsia="en-NZ"/>
              </w:rPr>
              <w:t>SCID</w:t>
            </w:r>
          </w:p>
        </w:tc>
        <w:tc>
          <w:tcPr>
            <w:tcW w:w="1686" w:type="pct"/>
            <w:noWrap/>
            <w:vAlign w:val="center"/>
            <w:hideMark/>
          </w:tcPr>
          <w:p w14:paraId="45773666" w14:textId="77777777" w:rsidR="0061629A" w:rsidRPr="00613DE5" w:rsidRDefault="0061629A" w:rsidP="00065F12">
            <w:pPr>
              <w:jc w:val="center"/>
              <w:rPr>
                <w:color w:val="000000"/>
                <w:lang w:val="en-NZ" w:eastAsia="en-NZ"/>
              </w:rPr>
            </w:pPr>
            <w:r w:rsidRPr="00613DE5">
              <w:rPr>
                <w:lang w:val="en-NZ" w:eastAsia="en-NZ"/>
              </w:rPr>
              <w:t>-</w:t>
            </w:r>
          </w:p>
        </w:tc>
        <w:tc>
          <w:tcPr>
            <w:tcW w:w="1458" w:type="pct"/>
            <w:noWrap/>
            <w:vAlign w:val="center"/>
            <w:hideMark/>
          </w:tcPr>
          <w:p w14:paraId="096EC312" w14:textId="77777777" w:rsidR="0061629A" w:rsidRPr="00613DE5" w:rsidRDefault="0061629A" w:rsidP="00065F12">
            <w:pPr>
              <w:jc w:val="center"/>
              <w:rPr>
                <w:color w:val="000000"/>
                <w:lang w:val="en-NZ" w:eastAsia="en-NZ"/>
              </w:rPr>
            </w:pPr>
            <w:r w:rsidRPr="00613DE5">
              <w:rPr>
                <w:lang w:val="en-NZ" w:eastAsia="en-NZ"/>
              </w:rPr>
              <w:t>7</w:t>
            </w:r>
          </w:p>
        </w:tc>
      </w:tr>
    </w:tbl>
    <w:p w14:paraId="64081081" w14:textId="72BD925F" w:rsidR="0061629A" w:rsidRPr="007855B2" w:rsidRDefault="0061629A" w:rsidP="009D2530">
      <w:pPr>
        <w:rPr>
          <w:i/>
          <w:iCs/>
          <w:sz w:val="20"/>
          <w:szCs w:val="20"/>
          <w:lang w:val="en-NZ"/>
        </w:rPr>
      </w:pPr>
      <w:r w:rsidRPr="007855B2">
        <w:rPr>
          <w:i/>
          <w:iCs/>
          <w:sz w:val="20"/>
          <w:szCs w:val="20"/>
          <w:lang w:val="en-NZ"/>
        </w:rPr>
        <w:t xml:space="preserve">* </w:t>
      </w:r>
      <w:r w:rsidR="00954696" w:rsidRPr="007855B2">
        <w:rPr>
          <w:i/>
          <w:iCs/>
          <w:sz w:val="20"/>
          <w:szCs w:val="20"/>
          <w:lang w:val="en-NZ"/>
        </w:rPr>
        <w:t>From</w:t>
      </w:r>
      <w:r w:rsidRPr="007855B2">
        <w:rPr>
          <w:i/>
          <w:iCs/>
          <w:sz w:val="20"/>
          <w:szCs w:val="20"/>
          <w:lang w:val="en-NZ"/>
        </w:rPr>
        <w:t xml:space="preserve"> receipt in laboratory to notification of screen positives</w:t>
      </w:r>
    </w:p>
    <w:p w14:paraId="2365EF24" w14:textId="7EC8EC5B" w:rsidR="003D2374" w:rsidRPr="00613DE5" w:rsidRDefault="0061629A" w:rsidP="003D2374">
      <w:pPr>
        <w:rPr>
          <w:lang w:val="en-NZ"/>
        </w:rPr>
      </w:pPr>
      <w:r w:rsidRPr="00613DE5">
        <w:rPr>
          <w:b/>
          <w:bCs/>
          <w:lang w:val="en-NZ"/>
        </w:rPr>
        <w:t>Interpretation:</w:t>
      </w:r>
      <w:r w:rsidR="003D2374" w:rsidRPr="003D2374">
        <w:rPr>
          <w:lang w:val="en-NZ"/>
        </w:rPr>
        <w:t xml:space="preserve"> </w:t>
      </w:r>
      <w:r w:rsidR="003D2374" w:rsidRPr="00613DE5">
        <w:rPr>
          <w:lang w:val="en-NZ"/>
        </w:rPr>
        <w:t xml:space="preserve">A ‘clinical critical’ screening result indicates a reasonable or high probability of a disorder that can present with severe illness in the early neonatal period, and where a delay of one to two days can affect the outcome. </w:t>
      </w:r>
    </w:p>
    <w:p w14:paraId="246DFE1B" w14:textId="6DD20D51" w:rsidR="0061629A" w:rsidRPr="00613DE5" w:rsidRDefault="0061629A" w:rsidP="009D2530">
      <w:pPr>
        <w:rPr>
          <w:lang w:val="en-NZ"/>
        </w:rPr>
      </w:pPr>
      <w:r w:rsidRPr="00613DE5">
        <w:rPr>
          <w:lang w:val="en-NZ"/>
        </w:rPr>
        <w:t>Overall, 100 percent of clinical critical screen positives, and 98 percent of non-clinical criti</w:t>
      </w:r>
      <w:r w:rsidRPr="00613DE5">
        <w:rPr>
          <w:lang w:val="en-NZ"/>
        </w:rPr>
        <w:softHyphen/>
      </w:r>
      <w:r w:rsidRPr="00613DE5">
        <w:rPr>
          <w:lang w:val="en-NZ"/>
        </w:rPr>
        <w:softHyphen/>
      </w:r>
      <w:r w:rsidRPr="00613DE5">
        <w:rPr>
          <w:lang w:val="en-NZ"/>
        </w:rPr>
        <w:softHyphen/>
      </w:r>
      <w:r w:rsidRPr="00613DE5">
        <w:rPr>
          <w:lang w:val="en-NZ"/>
        </w:rPr>
        <w:softHyphen/>
        <w:t>cal screen positives, were notified within the expected timeframes in 2022</w:t>
      </w:r>
      <w:r w:rsidR="006D1366">
        <w:rPr>
          <w:lang w:val="en-NZ"/>
        </w:rPr>
        <w:t>. This was</w:t>
      </w:r>
      <w:r w:rsidRPr="00613DE5">
        <w:rPr>
          <w:lang w:val="en-NZ"/>
        </w:rPr>
        <w:t xml:space="preserve"> an improvement from 97.4 percent of clinical critical screen positives, and 95.2 percent of non-clinical critical screen positives in 2021. </w:t>
      </w:r>
    </w:p>
    <w:p w14:paraId="2ABA1219" w14:textId="66F7E100" w:rsidR="0061629A" w:rsidRPr="00613DE5" w:rsidRDefault="00836611" w:rsidP="009D2530">
      <w:pPr>
        <w:rPr>
          <w:lang w:val="en-NZ"/>
        </w:rPr>
      </w:pPr>
      <w:r w:rsidRPr="00836611">
        <w:rPr>
          <w:lang w:val="en-NZ"/>
        </w:rPr>
        <w:t>C</w:t>
      </w:r>
      <w:r w:rsidR="0061629A" w:rsidRPr="00836611">
        <w:rPr>
          <w:lang w:val="en-NZ"/>
        </w:rPr>
        <w:t xml:space="preserve">aution should be used due to the relatively low numbers of results being reported. It should be noted that samples that arrive at the laboratory on a Friday afternoon are not tested until Monday </w:t>
      </w:r>
      <w:r w:rsidR="00E13DD3" w:rsidRPr="00836611">
        <w:rPr>
          <w:lang w:val="en-NZ"/>
        </w:rPr>
        <w:t xml:space="preserve">morning </w:t>
      </w:r>
      <w:r w:rsidR="00257D00">
        <w:rPr>
          <w:lang w:val="en-NZ"/>
        </w:rPr>
        <w:t>which</w:t>
      </w:r>
      <w:r w:rsidR="00257D00" w:rsidRPr="00836611">
        <w:rPr>
          <w:lang w:val="en-NZ"/>
        </w:rPr>
        <w:t xml:space="preserve"> </w:t>
      </w:r>
      <w:r w:rsidR="0046622C">
        <w:rPr>
          <w:lang w:val="en-NZ"/>
        </w:rPr>
        <w:t>has</w:t>
      </w:r>
      <w:r w:rsidR="0061629A" w:rsidRPr="00836611">
        <w:rPr>
          <w:lang w:val="en-NZ"/>
        </w:rPr>
        <w:t xml:space="preserve"> an impact on meeting critical clinical timeframes. A Quality Improvement project to trial undertaking additional testing on a Friday evening was undertaken for three months in 2021. The results were inconclusive as no critical</w:t>
      </w:r>
      <w:r w:rsidR="0061629A" w:rsidRPr="00613DE5">
        <w:rPr>
          <w:lang w:val="en-NZ"/>
        </w:rPr>
        <w:t xml:space="preserve"> clinical samples were </w:t>
      </w:r>
      <w:r w:rsidR="004D2F1F" w:rsidRPr="00613DE5">
        <w:rPr>
          <w:lang w:val="en-NZ"/>
        </w:rPr>
        <w:t>re</w:t>
      </w:r>
      <w:r w:rsidR="004D2F1F">
        <w:rPr>
          <w:lang w:val="en-NZ"/>
        </w:rPr>
        <w:t>ceiv</w:t>
      </w:r>
      <w:r w:rsidR="004D2F1F" w:rsidRPr="00613DE5">
        <w:rPr>
          <w:lang w:val="en-NZ"/>
        </w:rPr>
        <w:t>ed</w:t>
      </w:r>
      <w:r w:rsidR="0061629A" w:rsidRPr="00613DE5">
        <w:rPr>
          <w:lang w:val="en-NZ"/>
        </w:rPr>
        <w:t xml:space="preserve"> in the tr</w:t>
      </w:r>
      <w:r w:rsidR="00794F29">
        <w:rPr>
          <w:lang w:val="en-NZ"/>
        </w:rPr>
        <w:t>ial</w:t>
      </w:r>
      <w:r w:rsidR="0061629A" w:rsidRPr="00613DE5">
        <w:rPr>
          <w:lang w:val="en-NZ"/>
        </w:rPr>
        <w:t xml:space="preserve"> time period and it was discontinued.</w:t>
      </w:r>
    </w:p>
    <w:p w14:paraId="3F49537E" w14:textId="0FDA0D79" w:rsidR="0061629A" w:rsidRPr="00613DE5" w:rsidRDefault="0061629A" w:rsidP="009D2530">
      <w:pPr>
        <w:rPr>
          <w:lang w:val="en-NZ"/>
        </w:rPr>
      </w:pPr>
      <w:r w:rsidRPr="00613DE5">
        <w:rPr>
          <w:b/>
          <w:bCs/>
          <w:lang w:val="en-NZ"/>
        </w:rPr>
        <w:t>Comment:</w:t>
      </w:r>
      <w:r w:rsidRPr="00613DE5">
        <w:rPr>
          <w:lang w:val="en-NZ"/>
        </w:rPr>
        <w:t xml:space="preserve"> In 2022, </w:t>
      </w:r>
      <w:r w:rsidRPr="002632D3">
        <w:rPr>
          <w:b/>
          <w:bCs/>
          <w:lang w:val="en-NZ"/>
        </w:rPr>
        <w:t>all</w:t>
      </w:r>
      <w:r w:rsidRPr="00613DE5">
        <w:rPr>
          <w:lang w:val="en-NZ"/>
        </w:rPr>
        <w:t xml:space="preserve"> ‘clinical critical’ results were reported within the timeframes</w:t>
      </w:r>
      <w:r w:rsidR="00C160AC">
        <w:rPr>
          <w:lang w:val="en-NZ"/>
        </w:rPr>
        <w:t xml:space="preserve"> and</w:t>
      </w:r>
      <w:r w:rsidRPr="00613DE5">
        <w:rPr>
          <w:lang w:val="en-NZ"/>
        </w:rPr>
        <w:t xml:space="preserve"> </w:t>
      </w:r>
      <w:r w:rsidR="006610BB" w:rsidRPr="00613DE5">
        <w:rPr>
          <w:lang w:val="en-NZ"/>
        </w:rPr>
        <w:t>249 of 254 ‘non-clinical critical’ cases were reported within the timeframes</w:t>
      </w:r>
      <w:r w:rsidR="008B19DE">
        <w:rPr>
          <w:lang w:val="en-NZ"/>
        </w:rPr>
        <w:t>.</w:t>
      </w:r>
    </w:p>
    <w:p w14:paraId="6D62DA64" w14:textId="74B6BE15" w:rsidR="0061629A" w:rsidRPr="00613DE5" w:rsidRDefault="0061629A" w:rsidP="009D2530">
      <w:pPr>
        <w:rPr>
          <w:lang w:val="en-NZ"/>
        </w:rPr>
      </w:pPr>
      <w:r w:rsidRPr="5EC12DAF">
        <w:rPr>
          <w:lang w:val="en-NZ"/>
        </w:rPr>
        <w:t>Non</w:t>
      </w:r>
      <w:r w:rsidR="00265928" w:rsidRPr="5EC12DAF">
        <w:rPr>
          <w:lang w:val="en-NZ"/>
        </w:rPr>
        <w:t>-</w:t>
      </w:r>
      <w:r w:rsidRPr="5EC12DAF">
        <w:rPr>
          <w:lang w:val="en-NZ"/>
        </w:rPr>
        <w:t>clinical</w:t>
      </w:r>
      <w:r w:rsidR="00265928" w:rsidRPr="5EC12DAF">
        <w:rPr>
          <w:lang w:val="en-NZ"/>
        </w:rPr>
        <w:t xml:space="preserve"> </w:t>
      </w:r>
      <w:r w:rsidRPr="5EC12DAF">
        <w:rPr>
          <w:lang w:val="en-NZ"/>
        </w:rPr>
        <w:t xml:space="preserve">critical samples received outside of the target turnaround time were due to needing clarification of out-of-range results with </w:t>
      </w:r>
      <w:r w:rsidR="00265928" w:rsidRPr="5EC12DAF">
        <w:rPr>
          <w:lang w:val="en-NZ"/>
        </w:rPr>
        <w:t>second-tier</w:t>
      </w:r>
      <w:r w:rsidRPr="5EC12DAF">
        <w:rPr>
          <w:lang w:val="en-NZ"/>
        </w:rPr>
        <w:t xml:space="preserve"> testing and clinical reasons (</w:t>
      </w:r>
      <w:r w:rsidR="228F90B3" w:rsidRPr="5EC12DAF">
        <w:rPr>
          <w:lang w:val="en-NZ"/>
        </w:rPr>
        <w:t>i.e.</w:t>
      </w:r>
      <w:r w:rsidRPr="5EC12DAF">
        <w:rPr>
          <w:lang w:val="en-NZ"/>
        </w:rPr>
        <w:t xml:space="preserve"> </w:t>
      </w:r>
      <w:r w:rsidR="006610BB" w:rsidRPr="5EC12DAF">
        <w:rPr>
          <w:lang w:val="en-NZ"/>
        </w:rPr>
        <w:t>borderline results</w:t>
      </w:r>
      <w:r w:rsidRPr="5EC12DAF">
        <w:rPr>
          <w:lang w:val="en-NZ"/>
        </w:rPr>
        <w:t>). Borderline newborn screening results are not reported until all results are available on the sample so the notification can include all results in one contact. For example, a borderline hypothyroid result may be available in two days, but if the sample also has a raised immunoreactive trypsin in the cystic fibrosis screen, it is sent for mutation analysis. The laboratory will request a second sample to confirm the thyroid result after the cystic fibrosis mutation result is available.</w:t>
      </w:r>
    </w:p>
    <w:p w14:paraId="046126BE" w14:textId="77777777" w:rsidR="0061629A" w:rsidRPr="00613DE5" w:rsidRDefault="0061629A" w:rsidP="009D2530">
      <w:pPr>
        <w:rPr>
          <w:lang w:val="en-NZ"/>
        </w:rPr>
      </w:pPr>
      <w:r w:rsidRPr="00613DE5">
        <w:rPr>
          <w:lang w:val="en-NZ"/>
        </w:rPr>
        <w:lastRenderedPageBreak/>
        <w:t>There were no adverse clinical consequences from positive screens reported outside the timeframes.</w:t>
      </w:r>
    </w:p>
    <w:p w14:paraId="3D68F1A4" w14:textId="68EB7C61" w:rsidR="0061629A" w:rsidRPr="00613DE5" w:rsidRDefault="0061629A" w:rsidP="00855FEA">
      <w:pPr>
        <w:pStyle w:val="Heading2"/>
        <w:rPr>
          <w:lang w:val="en-NZ"/>
        </w:rPr>
      </w:pPr>
      <w:r w:rsidRPr="00613DE5">
        <w:rPr>
          <w:lang w:val="en-NZ"/>
        </w:rPr>
        <w:t xml:space="preserve"> </w:t>
      </w:r>
      <w:bookmarkStart w:id="53" w:name="_Toc160616226"/>
      <w:bookmarkStart w:id="54" w:name="_Toc179192067"/>
      <w:r w:rsidRPr="00613DE5">
        <w:rPr>
          <w:lang w:val="en-NZ"/>
        </w:rPr>
        <w:t xml:space="preserve">Table </w:t>
      </w:r>
      <w:r w:rsidR="0053022E">
        <w:rPr>
          <w:lang w:val="en-NZ"/>
        </w:rPr>
        <w:t>11</w:t>
      </w:r>
      <w:r w:rsidRPr="00613DE5">
        <w:rPr>
          <w:lang w:val="en-NZ"/>
        </w:rPr>
        <w:t>: Notification of screen positives by disorder, January to December 2022</w:t>
      </w:r>
      <w:bookmarkEnd w:id="53"/>
      <w:bookmarkEnd w:id="54"/>
    </w:p>
    <w:tbl>
      <w:tblPr>
        <w:tblStyle w:val="GridTable4-Accent5"/>
        <w:tblW w:w="9551" w:type="dxa"/>
        <w:tblLayout w:type="fixed"/>
        <w:tblLook w:val="04A0" w:firstRow="1" w:lastRow="0" w:firstColumn="1" w:lastColumn="0" w:noHBand="0" w:noVBand="1"/>
      </w:tblPr>
      <w:tblGrid>
        <w:gridCol w:w="3539"/>
        <w:gridCol w:w="748"/>
        <w:gridCol w:w="748"/>
        <w:gridCol w:w="7"/>
        <w:gridCol w:w="713"/>
        <w:gridCol w:w="720"/>
        <w:gridCol w:w="800"/>
        <w:gridCol w:w="800"/>
        <w:gridCol w:w="658"/>
        <w:gridCol w:w="818"/>
      </w:tblGrid>
      <w:tr w:rsidR="00C549B8" w:rsidRPr="00613DE5" w14:paraId="209DBE72" w14:textId="77777777" w:rsidTr="0093171F">
        <w:trPr>
          <w:cnfStyle w:val="100000000000" w:firstRow="1" w:lastRow="0" w:firstColumn="0" w:lastColumn="0" w:oddVBand="0" w:evenVBand="0" w:oddHBand="0"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3539" w:type="dxa"/>
            <w:hideMark/>
          </w:tcPr>
          <w:p w14:paraId="7E0AF3D2" w14:textId="5F8F4A98" w:rsidR="0061629A" w:rsidRPr="00613DE5" w:rsidRDefault="0061629A" w:rsidP="009D2530">
            <w:pPr>
              <w:rPr>
                <w:rFonts w:eastAsia="Times New Roman"/>
                <w:lang w:val="en-NZ" w:eastAsia="en-NZ"/>
              </w:rPr>
            </w:pPr>
          </w:p>
        </w:tc>
        <w:tc>
          <w:tcPr>
            <w:tcW w:w="1503" w:type="dxa"/>
            <w:gridSpan w:val="3"/>
            <w:tcBorders>
              <w:top w:val="nil"/>
              <w:bottom w:val="nil"/>
            </w:tcBorders>
            <w:vAlign w:val="center"/>
            <w:hideMark/>
          </w:tcPr>
          <w:p w14:paraId="0538B7ED" w14:textId="77777777" w:rsidR="0061629A" w:rsidRPr="00613DE5" w:rsidRDefault="0061629A" w:rsidP="00B046CB">
            <w:pPr>
              <w:jc w:val="center"/>
              <w:cnfStyle w:val="100000000000" w:firstRow="1" w:lastRow="0" w:firstColumn="0" w:lastColumn="0" w:oddVBand="0" w:evenVBand="0" w:oddHBand="0" w:evenHBand="0" w:firstRowFirstColumn="0" w:firstRowLastColumn="0" w:lastRowFirstColumn="0" w:lastRowLastColumn="0"/>
              <w:rPr>
                <w:rFonts w:eastAsia="Times New Roman"/>
                <w:lang w:val="en-NZ" w:eastAsia="en-NZ"/>
              </w:rPr>
            </w:pPr>
            <w:r w:rsidRPr="00613DE5">
              <w:rPr>
                <w:rFonts w:eastAsia="Times New Roman"/>
                <w:lang w:val="en-NZ" w:eastAsia="en-NZ"/>
              </w:rPr>
              <w:t>Timeframe (calendar days)</w:t>
            </w:r>
          </w:p>
        </w:tc>
        <w:tc>
          <w:tcPr>
            <w:tcW w:w="1433" w:type="dxa"/>
            <w:gridSpan w:val="2"/>
            <w:tcBorders>
              <w:top w:val="nil"/>
              <w:bottom w:val="nil"/>
            </w:tcBorders>
            <w:vAlign w:val="center"/>
            <w:hideMark/>
          </w:tcPr>
          <w:p w14:paraId="6BF4C3A8" w14:textId="77777777" w:rsidR="0061629A" w:rsidRPr="00613DE5" w:rsidRDefault="0061629A" w:rsidP="00B046CB">
            <w:pPr>
              <w:jc w:val="center"/>
              <w:cnfStyle w:val="100000000000" w:firstRow="1" w:lastRow="0" w:firstColumn="0" w:lastColumn="0" w:oddVBand="0" w:evenVBand="0" w:oddHBand="0" w:evenHBand="0" w:firstRowFirstColumn="0" w:firstRowLastColumn="0" w:lastRowFirstColumn="0" w:lastRowLastColumn="0"/>
              <w:rPr>
                <w:rFonts w:eastAsia="Times New Roman"/>
                <w:lang w:val="en-NZ" w:eastAsia="en-NZ"/>
              </w:rPr>
            </w:pPr>
            <w:r w:rsidRPr="00613DE5">
              <w:rPr>
                <w:rFonts w:eastAsia="Times New Roman"/>
                <w:lang w:val="en-NZ" w:eastAsia="en-NZ"/>
              </w:rPr>
              <w:t>Total number</w:t>
            </w:r>
          </w:p>
        </w:tc>
        <w:tc>
          <w:tcPr>
            <w:tcW w:w="1600" w:type="dxa"/>
            <w:gridSpan w:val="2"/>
            <w:tcBorders>
              <w:top w:val="nil"/>
              <w:bottom w:val="nil"/>
            </w:tcBorders>
            <w:vAlign w:val="center"/>
            <w:hideMark/>
          </w:tcPr>
          <w:p w14:paraId="2802E597" w14:textId="77777777" w:rsidR="0061629A" w:rsidRPr="00613DE5" w:rsidRDefault="0061629A" w:rsidP="00B046CB">
            <w:pPr>
              <w:jc w:val="center"/>
              <w:cnfStyle w:val="100000000000" w:firstRow="1" w:lastRow="0" w:firstColumn="0" w:lastColumn="0" w:oddVBand="0" w:evenVBand="0" w:oddHBand="0" w:evenHBand="0" w:firstRowFirstColumn="0" w:firstRowLastColumn="0" w:lastRowFirstColumn="0" w:lastRowLastColumn="0"/>
              <w:rPr>
                <w:rFonts w:eastAsia="Times New Roman"/>
                <w:lang w:val="en-NZ" w:eastAsia="en-NZ"/>
              </w:rPr>
            </w:pPr>
            <w:r w:rsidRPr="00613DE5">
              <w:rPr>
                <w:rFonts w:eastAsia="Times New Roman"/>
                <w:lang w:val="en-NZ" w:eastAsia="en-NZ"/>
              </w:rPr>
              <w:t>TAT met</w:t>
            </w:r>
          </w:p>
        </w:tc>
        <w:tc>
          <w:tcPr>
            <w:tcW w:w="1476" w:type="dxa"/>
            <w:gridSpan w:val="2"/>
            <w:tcBorders>
              <w:top w:val="nil"/>
              <w:bottom w:val="nil"/>
              <w:right w:val="nil"/>
            </w:tcBorders>
            <w:vAlign w:val="center"/>
          </w:tcPr>
          <w:p w14:paraId="122E9884" w14:textId="77777777" w:rsidR="0061629A" w:rsidRPr="00613DE5" w:rsidRDefault="0061629A" w:rsidP="00B046CB">
            <w:pPr>
              <w:jc w:val="center"/>
              <w:cnfStyle w:val="100000000000" w:firstRow="1" w:lastRow="0" w:firstColumn="0" w:lastColumn="0" w:oddVBand="0" w:evenVBand="0" w:oddHBand="0" w:evenHBand="0" w:firstRowFirstColumn="0" w:firstRowLastColumn="0" w:lastRowFirstColumn="0" w:lastRowLastColumn="0"/>
              <w:rPr>
                <w:rFonts w:eastAsia="Times New Roman"/>
                <w:lang w:val="en-NZ" w:eastAsia="en-NZ"/>
              </w:rPr>
            </w:pPr>
            <w:r w:rsidRPr="00613DE5">
              <w:rPr>
                <w:rFonts w:eastAsia="Times New Roman"/>
                <w:lang w:val="en-NZ" w:eastAsia="en-NZ"/>
              </w:rPr>
              <w:t>TAT not met</w:t>
            </w:r>
          </w:p>
        </w:tc>
      </w:tr>
      <w:tr w:rsidR="00C549B8" w:rsidRPr="00613DE5" w14:paraId="2310403A" w14:textId="77777777" w:rsidTr="0093171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39" w:type="dxa"/>
            <w:tcBorders>
              <w:right w:val="nil"/>
            </w:tcBorders>
            <w:shd w:val="clear" w:color="auto" w:fill="15284C" w:themeFill="text1"/>
            <w:noWrap/>
            <w:hideMark/>
          </w:tcPr>
          <w:p w14:paraId="5E9FE19F" w14:textId="65469357" w:rsidR="0061629A" w:rsidRPr="00613DE5" w:rsidRDefault="0061629A" w:rsidP="009D2530">
            <w:pPr>
              <w:rPr>
                <w:rFonts w:eastAsia="Times New Roman"/>
                <w:color w:val="F6F4EC" w:themeColor="background1"/>
                <w:lang w:val="en-NZ" w:eastAsia="en-NZ"/>
              </w:rPr>
            </w:pPr>
            <w:r w:rsidRPr="00613DE5">
              <w:rPr>
                <w:rFonts w:eastAsia="Times New Roman"/>
                <w:color w:val="F6F4EC" w:themeColor="background1"/>
                <w:lang w:val="en-NZ" w:eastAsia="en-NZ"/>
              </w:rPr>
              <w:t> </w:t>
            </w:r>
            <w:r w:rsidR="0096703D" w:rsidRPr="00613DE5">
              <w:rPr>
                <w:rFonts w:eastAsia="Times New Roman"/>
                <w:color w:val="F6F4EC" w:themeColor="background1"/>
                <w:lang w:val="en-NZ" w:eastAsia="en-NZ"/>
              </w:rPr>
              <w:t>Disorder</w:t>
            </w:r>
          </w:p>
        </w:tc>
        <w:tc>
          <w:tcPr>
            <w:tcW w:w="748" w:type="dxa"/>
            <w:tcBorders>
              <w:top w:val="nil"/>
              <w:left w:val="nil"/>
              <w:bottom w:val="nil"/>
              <w:right w:val="nil"/>
            </w:tcBorders>
            <w:shd w:val="clear" w:color="auto" w:fill="15284C" w:themeFill="text1"/>
            <w:noWrap/>
            <w:vAlign w:val="center"/>
            <w:hideMark/>
          </w:tcPr>
          <w:p w14:paraId="369F722B"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748" w:type="dxa"/>
            <w:tcBorders>
              <w:top w:val="nil"/>
              <w:left w:val="nil"/>
              <w:bottom w:val="nil"/>
              <w:right w:val="nil"/>
            </w:tcBorders>
            <w:shd w:val="clear" w:color="auto" w:fill="15284C" w:themeFill="text1"/>
            <w:noWrap/>
            <w:vAlign w:val="center"/>
            <w:hideMark/>
          </w:tcPr>
          <w:p w14:paraId="1DEBBA8F"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c>
          <w:tcPr>
            <w:tcW w:w="720" w:type="dxa"/>
            <w:gridSpan w:val="2"/>
            <w:tcBorders>
              <w:top w:val="nil"/>
              <w:left w:val="nil"/>
              <w:bottom w:val="nil"/>
              <w:right w:val="nil"/>
            </w:tcBorders>
            <w:shd w:val="clear" w:color="auto" w:fill="15284C" w:themeFill="text1"/>
            <w:noWrap/>
            <w:vAlign w:val="center"/>
          </w:tcPr>
          <w:p w14:paraId="7760B8BE"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720" w:type="dxa"/>
            <w:tcBorders>
              <w:top w:val="nil"/>
              <w:left w:val="nil"/>
              <w:bottom w:val="nil"/>
              <w:right w:val="nil"/>
            </w:tcBorders>
            <w:shd w:val="clear" w:color="auto" w:fill="15284C" w:themeFill="text1"/>
            <w:noWrap/>
            <w:vAlign w:val="center"/>
          </w:tcPr>
          <w:p w14:paraId="549C4516"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c>
          <w:tcPr>
            <w:tcW w:w="800" w:type="dxa"/>
            <w:tcBorders>
              <w:top w:val="nil"/>
              <w:left w:val="nil"/>
              <w:bottom w:val="nil"/>
              <w:right w:val="nil"/>
            </w:tcBorders>
            <w:shd w:val="clear" w:color="auto" w:fill="15284C" w:themeFill="text1"/>
            <w:noWrap/>
            <w:vAlign w:val="center"/>
          </w:tcPr>
          <w:p w14:paraId="0A1344C6"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800" w:type="dxa"/>
            <w:tcBorders>
              <w:top w:val="nil"/>
              <w:left w:val="nil"/>
              <w:bottom w:val="nil"/>
              <w:right w:val="nil"/>
            </w:tcBorders>
            <w:shd w:val="clear" w:color="auto" w:fill="15284C" w:themeFill="text1"/>
            <w:noWrap/>
            <w:vAlign w:val="center"/>
          </w:tcPr>
          <w:p w14:paraId="20420300"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c>
          <w:tcPr>
            <w:tcW w:w="658" w:type="dxa"/>
            <w:tcBorders>
              <w:top w:val="nil"/>
              <w:left w:val="nil"/>
              <w:bottom w:val="nil"/>
              <w:right w:val="nil"/>
            </w:tcBorders>
            <w:shd w:val="clear" w:color="auto" w:fill="15284C" w:themeFill="text1"/>
            <w:noWrap/>
            <w:vAlign w:val="center"/>
          </w:tcPr>
          <w:p w14:paraId="1F79CAC7"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818" w:type="dxa"/>
            <w:tcBorders>
              <w:top w:val="nil"/>
              <w:left w:val="nil"/>
              <w:bottom w:val="nil"/>
              <w:right w:val="nil"/>
            </w:tcBorders>
            <w:shd w:val="clear" w:color="auto" w:fill="15284C" w:themeFill="text1"/>
            <w:noWrap/>
            <w:vAlign w:val="center"/>
          </w:tcPr>
          <w:p w14:paraId="1E64FB7A" w14:textId="77777777" w:rsidR="0061629A" w:rsidRPr="00613DE5" w:rsidRDefault="0061629A"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r>
      <w:tr w:rsidR="00B046CB" w:rsidRPr="00613DE5" w14:paraId="22AE3C8B"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417CC0CB" w14:textId="77777777" w:rsidR="0061629A" w:rsidRPr="00613DE5" w:rsidRDefault="0061629A" w:rsidP="00065F12">
            <w:pPr>
              <w:rPr>
                <w:rFonts w:eastAsia="Times New Roman"/>
                <w:color w:val="000000"/>
                <w:lang w:val="en-NZ" w:eastAsia="en-NZ"/>
              </w:rPr>
            </w:pPr>
            <w:r w:rsidRPr="00613DE5">
              <w:rPr>
                <w:color w:val="000000"/>
                <w:lang w:val="en-NZ" w:eastAsia="en-NZ"/>
              </w:rPr>
              <w:t>Amino acid disorders</w:t>
            </w:r>
          </w:p>
        </w:tc>
        <w:tc>
          <w:tcPr>
            <w:tcW w:w="748" w:type="dxa"/>
            <w:tcBorders>
              <w:top w:val="nil"/>
            </w:tcBorders>
            <w:noWrap/>
            <w:vAlign w:val="center"/>
            <w:hideMark/>
          </w:tcPr>
          <w:p w14:paraId="69FD0FC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748" w:type="dxa"/>
            <w:tcBorders>
              <w:top w:val="nil"/>
            </w:tcBorders>
            <w:noWrap/>
            <w:vAlign w:val="center"/>
            <w:hideMark/>
          </w:tcPr>
          <w:p w14:paraId="2C530B9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tcBorders>
              <w:top w:val="nil"/>
            </w:tcBorders>
            <w:noWrap/>
            <w:vAlign w:val="center"/>
          </w:tcPr>
          <w:p w14:paraId="08EFEEC8"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2</w:t>
            </w:r>
          </w:p>
        </w:tc>
        <w:tc>
          <w:tcPr>
            <w:tcW w:w="720" w:type="dxa"/>
            <w:tcBorders>
              <w:top w:val="nil"/>
            </w:tcBorders>
            <w:noWrap/>
            <w:vAlign w:val="center"/>
          </w:tcPr>
          <w:p w14:paraId="77A8231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31</w:t>
            </w:r>
          </w:p>
        </w:tc>
        <w:tc>
          <w:tcPr>
            <w:tcW w:w="800" w:type="dxa"/>
            <w:tcBorders>
              <w:top w:val="nil"/>
            </w:tcBorders>
            <w:noWrap/>
            <w:vAlign w:val="center"/>
          </w:tcPr>
          <w:p w14:paraId="0857A25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800" w:type="dxa"/>
            <w:tcBorders>
              <w:top w:val="nil"/>
            </w:tcBorders>
            <w:noWrap/>
            <w:vAlign w:val="center"/>
          </w:tcPr>
          <w:p w14:paraId="24FBD43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29</w:t>
            </w:r>
          </w:p>
        </w:tc>
        <w:tc>
          <w:tcPr>
            <w:tcW w:w="658" w:type="dxa"/>
            <w:tcBorders>
              <w:top w:val="nil"/>
            </w:tcBorders>
            <w:noWrap/>
            <w:vAlign w:val="center"/>
          </w:tcPr>
          <w:p w14:paraId="6C0968C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8" w:type="dxa"/>
            <w:tcBorders>
              <w:top w:val="nil"/>
            </w:tcBorders>
            <w:noWrap/>
            <w:vAlign w:val="center"/>
          </w:tcPr>
          <w:p w14:paraId="4005342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2</w:t>
            </w:r>
          </w:p>
        </w:tc>
      </w:tr>
      <w:tr w:rsidR="00C549B8" w:rsidRPr="00613DE5" w14:paraId="7BA1E686"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115576D1" w14:textId="77777777" w:rsidR="0061629A" w:rsidRPr="00613DE5" w:rsidRDefault="0061629A" w:rsidP="00065F12">
            <w:pPr>
              <w:rPr>
                <w:rFonts w:eastAsia="Times New Roman"/>
                <w:color w:val="000000"/>
                <w:lang w:val="en-NZ" w:eastAsia="en-NZ"/>
              </w:rPr>
            </w:pPr>
            <w:r w:rsidRPr="00613DE5">
              <w:rPr>
                <w:color w:val="000000"/>
                <w:lang w:val="en-NZ" w:eastAsia="en-NZ"/>
              </w:rPr>
              <w:t>Biotinidase deficiency</w:t>
            </w:r>
          </w:p>
        </w:tc>
        <w:tc>
          <w:tcPr>
            <w:tcW w:w="748" w:type="dxa"/>
            <w:vAlign w:val="center"/>
            <w:hideMark/>
          </w:tcPr>
          <w:p w14:paraId="16BBECF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748" w:type="dxa"/>
            <w:noWrap/>
            <w:vAlign w:val="center"/>
            <w:hideMark/>
          </w:tcPr>
          <w:p w14:paraId="427FA78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364B15C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w:t>
            </w:r>
          </w:p>
        </w:tc>
        <w:tc>
          <w:tcPr>
            <w:tcW w:w="720" w:type="dxa"/>
            <w:noWrap/>
            <w:vAlign w:val="center"/>
          </w:tcPr>
          <w:p w14:paraId="798E3E9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18</w:t>
            </w:r>
          </w:p>
        </w:tc>
        <w:tc>
          <w:tcPr>
            <w:tcW w:w="800" w:type="dxa"/>
            <w:noWrap/>
            <w:vAlign w:val="center"/>
          </w:tcPr>
          <w:p w14:paraId="6103160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00" w:type="dxa"/>
            <w:noWrap/>
            <w:vAlign w:val="center"/>
          </w:tcPr>
          <w:p w14:paraId="4E709375"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18</w:t>
            </w:r>
          </w:p>
        </w:tc>
        <w:tc>
          <w:tcPr>
            <w:tcW w:w="658" w:type="dxa"/>
            <w:noWrap/>
            <w:vAlign w:val="center"/>
          </w:tcPr>
          <w:p w14:paraId="4FD5E0F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c>
          <w:tcPr>
            <w:tcW w:w="818" w:type="dxa"/>
            <w:noWrap/>
            <w:vAlign w:val="center"/>
          </w:tcPr>
          <w:p w14:paraId="5B237DE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93171F" w:rsidRPr="00613DE5" w14:paraId="7CD0481C"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539" w:type="dxa"/>
            <w:noWrap/>
            <w:vAlign w:val="center"/>
            <w:hideMark/>
          </w:tcPr>
          <w:p w14:paraId="0D159A32" w14:textId="77777777" w:rsidR="0061629A" w:rsidRPr="00613DE5" w:rsidRDefault="0061629A" w:rsidP="00065F12">
            <w:pPr>
              <w:rPr>
                <w:rFonts w:eastAsia="Times New Roman"/>
                <w:color w:val="000000"/>
                <w:lang w:val="en-NZ" w:eastAsia="en-NZ"/>
              </w:rPr>
            </w:pPr>
            <w:r w:rsidRPr="00613DE5">
              <w:rPr>
                <w:color w:val="000000"/>
                <w:lang w:val="en-NZ" w:eastAsia="en-NZ"/>
              </w:rPr>
              <w:t>Congenital adrenal hyperplasia</w:t>
            </w:r>
          </w:p>
        </w:tc>
        <w:tc>
          <w:tcPr>
            <w:tcW w:w="748" w:type="dxa"/>
            <w:noWrap/>
            <w:vAlign w:val="center"/>
            <w:hideMark/>
          </w:tcPr>
          <w:p w14:paraId="10C918D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748" w:type="dxa"/>
            <w:noWrap/>
            <w:vAlign w:val="center"/>
            <w:hideMark/>
          </w:tcPr>
          <w:p w14:paraId="0DCB2EE0"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46D20C62"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4</w:t>
            </w:r>
          </w:p>
        </w:tc>
        <w:tc>
          <w:tcPr>
            <w:tcW w:w="720" w:type="dxa"/>
            <w:noWrap/>
            <w:vAlign w:val="center"/>
          </w:tcPr>
          <w:p w14:paraId="0331F09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14</w:t>
            </w:r>
          </w:p>
        </w:tc>
        <w:tc>
          <w:tcPr>
            <w:tcW w:w="800" w:type="dxa"/>
            <w:noWrap/>
            <w:vAlign w:val="center"/>
          </w:tcPr>
          <w:p w14:paraId="2DE83E7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4</w:t>
            </w:r>
          </w:p>
        </w:tc>
        <w:tc>
          <w:tcPr>
            <w:tcW w:w="800" w:type="dxa"/>
            <w:noWrap/>
            <w:vAlign w:val="center"/>
          </w:tcPr>
          <w:p w14:paraId="41B0C14F"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13</w:t>
            </w:r>
          </w:p>
        </w:tc>
        <w:tc>
          <w:tcPr>
            <w:tcW w:w="658" w:type="dxa"/>
            <w:noWrap/>
            <w:vAlign w:val="center"/>
          </w:tcPr>
          <w:p w14:paraId="34F4C40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8" w:type="dxa"/>
            <w:noWrap/>
            <w:vAlign w:val="center"/>
          </w:tcPr>
          <w:p w14:paraId="2D10E93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1</w:t>
            </w:r>
          </w:p>
        </w:tc>
      </w:tr>
      <w:tr w:rsidR="00C549B8" w:rsidRPr="00613DE5" w14:paraId="03659218"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5D6B458B" w14:textId="77777777" w:rsidR="0061629A" w:rsidRPr="00613DE5" w:rsidRDefault="0061629A" w:rsidP="00065F12">
            <w:pPr>
              <w:rPr>
                <w:rFonts w:eastAsia="Times New Roman"/>
                <w:color w:val="000000"/>
                <w:lang w:val="en-NZ" w:eastAsia="en-NZ"/>
              </w:rPr>
            </w:pPr>
            <w:r w:rsidRPr="00613DE5">
              <w:rPr>
                <w:color w:val="000000"/>
                <w:lang w:val="en-NZ" w:eastAsia="en-NZ"/>
              </w:rPr>
              <w:t>Cystic fibrosis</w:t>
            </w:r>
          </w:p>
        </w:tc>
        <w:tc>
          <w:tcPr>
            <w:tcW w:w="748" w:type="dxa"/>
            <w:vAlign w:val="center"/>
            <w:hideMark/>
          </w:tcPr>
          <w:p w14:paraId="7757CA9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748" w:type="dxa"/>
            <w:noWrap/>
            <w:vAlign w:val="center"/>
            <w:hideMark/>
          </w:tcPr>
          <w:p w14:paraId="7E034483"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5E6850F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w:t>
            </w:r>
          </w:p>
        </w:tc>
        <w:tc>
          <w:tcPr>
            <w:tcW w:w="720" w:type="dxa"/>
            <w:noWrap/>
            <w:vAlign w:val="center"/>
          </w:tcPr>
          <w:p w14:paraId="62F826C5" w14:textId="74C9B71F"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39</w:t>
            </w:r>
          </w:p>
        </w:tc>
        <w:tc>
          <w:tcPr>
            <w:tcW w:w="800" w:type="dxa"/>
            <w:noWrap/>
            <w:vAlign w:val="center"/>
          </w:tcPr>
          <w:p w14:paraId="64F42F2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00" w:type="dxa"/>
            <w:noWrap/>
            <w:vAlign w:val="center"/>
          </w:tcPr>
          <w:p w14:paraId="06C0DD7B"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37</w:t>
            </w:r>
          </w:p>
        </w:tc>
        <w:tc>
          <w:tcPr>
            <w:tcW w:w="658" w:type="dxa"/>
            <w:noWrap/>
            <w:vAlign w:val="center"/>
          </w:tcPr>
          <w:p w14:paraId="2FFD7F0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c>
          <w:tcPr>
            <w:tcW w:w="818" w:type="dxa"/>
            <w:noWrap/>
            <w:vAlign w:val="center"/>
          </w:tcPr>
          <w:p w14:paraId="2AFE934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2</w:t>
            </w:r>
          </w:p>
        </w:tc>
      </w:tr>
      <w:tr w:rsidR="0093171F" w:rsidRPr="00613DE5" w14:paraId="0CA578A8"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6AA26122" w14:textId="77777777" w:rsidR="0061629A" w:rsidRPr="00613DE5" w:rsidRDefault="0061629A" w:rsidP="00065F12">
            <w:pPr>
              <w:rPr>
                <w:rFonts w:eastAsia="Times New Roman"/>
                <w:color w:val="000000"/>
                <w:lang w:val="en-NZ" w:eastAsia="en-NZ"/>
              </w:rPr>
            </w:pPr>
            <w:r w:rsidRPr="00613DE5">
              <w:rPr>
                <w:color w:val="000000"/>
                <w:lang w:val="en-NZ" w:eastAsia="en-NZ"/>
              </w:rPr>
              <w:t>Congenital hypothyroidism</w:t>
            </w:r>
          </w:p>
        </w:tc>
        <w:tc>
          <w:tcPr>
            <w:tcW w:w="748" w:type="dxa"/>
            <w:noWrap/>
            <w:vAlign w:val="center"/>
            <w:hideMark/>
          </w:tcPr>
          <w:p w14:paraId="72753AF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4</w:t>
            </w:r>
          </w:p>
        </w:tc>
        <w:tc>
          <w:tcPr>
            <w:tcW w:w="748" w:type="dxa"/>
            <w:noWrap/>
            <w:vAlign w:val="center"/>
            <w:hideMark/>
          </w:tcPr>
          <w:p w14:paraId="1663882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036BB842"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12</w:t>
            </w:r>
          </w:p>
        </w:tc>
        <w:tc>
          <w:tcPr>
            <w:tcW w:w="720" w:type="dxa"/>
            <w:noWrap/>
            <w:vAlign w:val="center"/>
          </w:tcPr>
          <w:p w14:paraId="56887F4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115</w:t>
            </w:r>
          </w:p>
        </w:tc>
        <w:tc>
          <w:tcPr>
            <w:tcW w:w="800" w:type="dxa"/>
            <w:noWrap/>
            <w:vAlign w:val="center"/>
          </w:tcPr>
          <w:p w14:paraId="4D870B8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12</w:t>
            </w:r>
          </w:p>
        </w:tc>
        <w:tc>
          <w:tcPr>
            <w:tcW w:w="800" w:type="dxa"/>
            <w:noWrap/>
            <w:vAlign w:val="center"/>
          </w:tcPr>
          <w:p w14:paraId="50D1F9E2"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115</w:t>
            </w:r>
          </w:p>
        </w:tc>
        <w:tc>
          <w:tcPr>
            <w:tcW w:w="658" w:type="dxa"/>
            <w:noWrap/>
            <w:vAlign w:val="center"/>
          </w:tcPr>
          <w:p w14:paraId="226C23A7"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8" w:type="dxa"/>
            <w:noWrap/>
            <w:vAlign w:val="center"/>
          </w:tcPr>
          <w:p w14:paraId="29A07B4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C549B8" w:rsidRPr="00613DE5" w14:paraId="47903E88"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43128B2A" w14:textId="77777777" w:rsidR="0061629A" w:rsidRPr="00613DE5" w:rsidRDefault="0061629A" w:rsidP="00065F12">
            <w:pPr>
              <w:rPr>
                <w:rFonts w:eastAsia="Times New Roman"/>
                <w:color w:val="000000"/>
                <w:lang w:val="en-NZ" w:eastAsia="en-NZ"/>
              </w:rPr>
            </w:pPr>
            <w:r w:rsidRPr="00613DE5">
              <w:rPr>
                <w:color w:val="000000"/>
                <w:lang w:val="en-NZ" w:eastAsia="en-NZ"/>
              </w:rPr>
              <w:t>Fatty acid oxidation disorders</w:t>
            </w:r>
          </w:p>
        </w:tc>
        <w:tc>
          <w:tcPr>
            <w:tcW w:w="748" w:type="dxa"/>
            <w:noWrap/>
            <w:vAlign w:val="center"/>
            <w:hideMark/>
          </w:tcPr>
          <w:p w14:paraId="3971A4B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748" w:type="dxa"/>
            <w:noWrap/>
            <w:vAlign w:val="center"/>
            <w:hideMark/>
          </w:tcPr>
          <w:p w14:paraId="57C823B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340F28A1"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10</w:t>
            </w:r>
          </w:p>
        </w:tc>
        <w:tc>
          <w:tcPr>
            <w:tcW w:w="720" w:type="dxa"/>
            <w:noWrap/>
            <w:vAlign w:val="center"/>
          </w:tcPr>
          <w:p w14:paraId="449679B6"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2</w:t>
            </w:r>
          </w:p>
        </w:tc>
        <w:tc>
          <w:tcPr>
            <w:tcW w:w="800" w:type="dxa"/>
            <w:noWrap/>
            <w:vAlign w:val="center"/>
          </w:tcPr>
          <w:p w14:paraId="5BC8110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10</w:t>
            </w:r>
          </w:p>
        </w:tc>
        <w:tc>
          <w:tcPr>
            <w:tcW w:w="800" w:type="dxa"/>
            <w:noWrap/>
            <w:vAlign w:val="center"/>
          </w:tcPr>
          <w:p w14:paraId="2543536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658" w:type="dxa"/>
            <w:noWrap/>
            <w:vAlign w:val="center"/>
          </w:tcPr>
          <w:p w14:paraId="22E35FE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8" w:type="dxa"/>
            <w:noWrap/>
            <w:vAlign w:val="center"/>
          </w:tcPr>
          <w:p w14:paraId="07E3C1D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93171F" w:rsidRPr="00613DE5" w14:paraId="580321FB"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03BBB0B1" w14:textId="77777777" w:rsidR="0061629A" w:rsidRPr="00613DE5" w:rsidRDefault="0061629A" w:rsidP="00065F12">
            <w:pPr>
              <w:rPr>
                <w:rFonts w:eastAsia="Times New Roman"/>
                <w:color w:val="000000"/>
                <w:lang w:val="en-NZ" w:eastAsia="en-NZ"/>
              </w:rPr>
            </w:pPr>
            <w:r w:rsidRPr="00613DE5">
              <w:rPr>
                <w:color w:val="000000"/>
                <w:lang w:val="en-NZ" w:eastAsia="en-NZ"/>
              </w:rPr>
              <w:t>Galactosaemia</w:t>
            </w:r>
          </w:p>
        </w:tc>
        <w:tc>
          <w:tcPr>
            <w:tcW w:w="748" w:type="dxa"/>
            <w:noWrap/>
            <w:vAlign w:val="center"/>
            <w:hideMark/>
          </w:tcPr>
          <w:p w14:paraId="52761C2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748" w:type="dxa"/>
            <w:noWrap/>
            <w:vAlign w:val="center"/>
            <w:hideMark/>
          </w:tcPr>
          <w:p w14:paraId="1822608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79DCFD0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w:t>
            </w:r>
          </w:p>
        </w:tc>
        <w:tc>
          <w:tcPr>
            <w:tcW w:w="720" w:type="dxa"/>
            <w:noWrap/>
            <w:vAlign w:val="center"/>
          </w:tcPr>
          <w:p w14:paraId="2DE37F9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0</w:t>
            </w:r>
          </w:p>
        </w:tc>
        <w:tc>
          <w:tcPr>
            <w:tcW w:w="800" w:type="dxa"/>
            <w:noWrap/>
            <w:vAlign w:val="center"/>
          </w:tcPr>
          <w:p w14:paraId="0BA25E2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w:t>
            </w:r>
          </w:p>
        </w:tc>
        <w:tc>
          <w:tcPr>
            <w:tcW w:w="800" w:type="dxa"/>
            <w:noWrap/>
            <w:vAlign w:val="center"/>
          </w:tcPr>
          <w:p w14:paraId="6F02F500"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0</w:t>
            </w:r>
          </w:p>
        </w:tc>
        <w:tc>
          <w:tcPr>
            <w:tcW w:w="658" w:type="dxa"/>
            <w:noWrap/>
            <w:vAlign w:val="center"/>
          </w:tcPr>
          <w:p w14:paraId="5F7E045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8" w:type="dxa"/>
            <w:noWrap/>
            <w:vAlign w:val="center"/>
          </w:tcPr>
          <w:p w14:paraId="0079B43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C549B8" w:rsidRPr="00613DE5" w14:paraId="2FF31EF4"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539" w:type="dxa"/>
            <w:vAlign w:val="center"/>
            <w:hideMark/>
          </w:tcPr>
          <w:p w14:paraId="0B3B7407" w14:textId="77777777" w:rsidR="0061629A" w:rsidRPr="00613DE5" w:rsidRDefault="0061629A" w:rsidP="00065F12">
            <w:pPr>
              <w:rPr>
                <w:rFonts w:eastAsia="Times New Roman"/>
                <w:color w:val="000000"/>
                <w:lang w:val="en-NZ" w:eastAsia="en-NZ"/>
              </w:rPr>
            </w:pPr>
            <w:r w:rsidRPr="00613DE5">
              <w:rPr>
                <w:color w:val="000000"/>
                <w:lang w:val="en-NZ" w:eastAsia="en-NZ"/>
              </w:rPr>
              <w:t>SCID</w:t>
            </w:r>
          </w:p>
        </w:tc>
        <w:tc>
          <w:tcPr>
            <w:tcW w:w="748" w:type="dxa"/>
            <w:noWrap/>
            <w:vAlign w:val="center"/>
            <w:hideMark/>
          </w:tcPr>
          <w:p w14:paraId="02DEE75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748" w:type="dxa"/>
            <w:noWrap/>
            <w:vAlign w:val="center"/>
            <w:hideMark/>
          </w:tcPr>
          <w:p w14:paraId="3C5CDFC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7</w:t>
            </w:r>
          </w:p>
        </w:tc>
        <w:tc>
          <w:tcPr>
            <w:tcW w:w="720" w:type="dxa"/>
            <w:gridSpan w:val="2"/>
            <w:noWrap/>
            <w:vAlign w:val="center"/>
          </w:tcPr>
          <w:p w14:paraId="520278F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w:t>
            </w:r>
          </w:p>
        </w:tc>
        <w:tc>
          <w:tcPr>
            <w:tcW w:w="720" w:type="dxa"/>
            <w:noWrap/>
            <w:vAlign w:val="center"/>
          </w:tcPr>
          <w:p w14:paraId="43E8779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35</w:t>
            </w:r>
          </w:p>
        </w:tc>
        <w:tc>
          <w:tcPr>
            <w:tcW w:w="800" w:type="dxa"/>
            <w:noWrap/>
            <w:vAlign w:val="center"/>
          </w:tcPr>
          <w:p w14:paraId="4841F65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00" w:type="dxa"/>
            <w:noWrap/>
            <w:vAlign w:val="center"/>
          </w:tcPr>
          <w:p w14:paraId="259335F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35</w:t>
            </w:r>
          </w:p>
        </w:tc>
        <w:tc>
          <w:tcPr>
            <w:tcW w:w="658" w:type="dxa"/>
            <w:noWrap/>
            <w:vAlign w:val="center"/>
          </w:tcPr>
          <w:p w14:paraId="1B8991C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c>
          <w:tcPr>
            <w:tcW w:w="818" w:type="dxa"/>
            <w:noWrap/>
            <w:vAlign w:val="center"/>
          </w:tcPr>
          <w:p w14:paraId="07AA6BB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BD0D63" w:rsidRPr="00613DE5" w14:paraId="166DE1F3" w14:textId="77777777" w:rsidTr="001941F0">
        <w:trPr>
          <w:trHeight w:val="289"/>
        </w:trPr>
        <w:tc>
          <w:tcPr>
            <w:cnfStyle w:val="001000000000" w:firstRow="0" w:lastRow="0" w:firstColumn="1" w:lastColumn="0" w:oddVBand="0" w:evenVBand="0" w:oddHBand="0" w:evenHBand="0" w:firstRowFirstColumn="0" w:firstRowLastColumn="0" w:lastRowFirstColumn="0" w:lastRowLastColumn="0"/>
            <w:tcW w:w="5035" w:type="dxa"/>
            <w:gridSpan w:val="3"/>
            <w:vAlign w:val="center"/>
            <w:hideMark/>
          </w:tcPr>
          <w:p w14:paraId="3D5464F8" w14:textId="1597734D" w:rsidR="00BD0D63" w:rsidRPr="00613DE5" w:rsidRDefault="00BD0D63" w:rsidP="00BD0D63">
            <w:pPr>
              <w:jc w:val="right"/>
              <w:rPr>
                <w:rFonts w:eastAsia="Times New Roman"/>
                <w:color w:val="000000"/>
                <w:lang w:val="en-NZ" w:eastAsia="en-NZ"/>
              </w:rPr>
            </w:pPr>
            <w:r w:rsidRPr="00613DE5">
              <w:rPr>
                <w:rFonts w:eastAsia="Times New Roman"/>
                <w:color w:val="000000"/>
                <w:lang w:val="en-NZ" w:eastAsia="en-NZ"/>
              </w:rPr>
              <w:t>Total</w:t>
            </w:r>
          </w:p>
        </w:tc>
        <w:tc>
          <w:tcPr>
            <w:tcW w:w="720" w:type="dxa"/>
            <w:gridSpan w:val="2"/>
            <w:noWrap/>
            <w:vAlign w:val="center"/>
          </w:tcPr>
          <w:p w14:paraId="69B24247" w14:textId="77777777" w:rsidR="00BD0D63" w:rsidRPr="00613DE5" w:rsidRDefault="00BD0D63" w:rsidP="00B046CB">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29</w:t>
            </w:r>
          </w:p>
        </w:tc>
        <w:tc>
          <w:tcPr>
            <w:tcW w:w="720" w:type="dxa"/>
            <w:noWrap/>
            <w:vAlign w:val="center"/>
          </w:tcPr>
          <w:p w14:paraId="76A582DE" w14:textId="77777777" w:rsidR="00BD0D63" w:rsidRPr="00613DE5" w:rsidRDefault="00BD0D63" w:rsidP="00B046CB">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254</w:t>
            </w:r>
          </w:p>
        </w:tc>
        <w:tc>
          <w:tcPr>
            <w:tcW w:w="800" w:type="dxa"/>
            <w:noWrap/>
            <w:vAlign w:val="center"/>
          </w:tcPr>
          <w:p w14:paraId="469A8020" w14:textId="02FB85EA" w:rsidR="00BD0D63" w:rsidRPr="00BD0D63" w:rsidRDefault="00BD0D63" w:rsidP="00BD0D63">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29</w:t>
            </w:r>
          </w:p>
        </w:tc>
        <w:tc>
          <w:tcPr>
            <w:tcW w:w="800" w:type="dxa"/>
            <w:noWrap/>
            <w:vAlign w:val="center"/>
          </w:tcPr>
          <w:p w14:paraId="303220AB" w14:textId="71879C5B" w:rsidR="00BD0D63" w:rsidRPr="00613DE5" w:rsidRDefault="00BD0D63" w:rsidP="00BD0D63">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249</w:t>
            </w:r>
          </w:p>
        </w:tc>
        <w:tc>
          <w:tcPr>
            <w:tcW w:w="658" w:type="dxa"/>
            <w:noWrap/>
            <w:vAlign w:val="center"/>
          </w:tcPr>
          <w:p w14:paraId="0E1C202F" w14:textId="3628F250" w:rsidR="00BD0D63" w:rsidRPr="00613DE5" w:rsidRDefault="00BD0D63" w:rsidP="00BD0D63">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0</w:t>
            </w:r>
          </w:p>
        </w:tc>
        <w:tc>
          <w:tcPr>
            <w:tcW w:w="818" w:type="dxa"/>
            <w:noWrap/>
            <w:vAlign w:val="center"/>
          </w:tcPr>
          <w:p w14:paraId="680B594E" w14:textId="5924E5B8" w:rsidR="00BD0D63" w:rsidRPr="00613DE5" w:rsidRDefault="00BD0D63" w:rsidP="00BD0D63">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5</w:t>
            </w:r>
          </w:p>
        </w:tc>
      </w:tr>
      <w:tr w:rsidR="00BD0D63" w:rsidRPr="00613DE5" w14:paraId="203AD85B" w14:textId="77777777" w:rsidTr="001941F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035" w:type="dxa"/>
            <w:gridSpan w:val="3"/>
            <w:vAlign w:val="center"/>
          </w:tcPr>
          <w:p w14:paraId="44491BFF" w14:textId="42FF7B57" w:rsidR="00BD0D63" w:rsidRPr="00BD0D63" w:rsidRDefault="00BD0D63" w:rsidP="00BD0D63">
            <w:pPr>
              <w:jc w:val="right"/>
              <w:rPr>
                <w:rFonts w:eastAsia="Times New Roman"/>
                <w:color w:val="000000"/>
                <w:lang w:val="en-NZ" w:eastAsia="en-NZ"/>
              </w:rPr>
            </w:pPr>
            <w:r w:rsidRPr="00BD0D63">
              <w:rPr>
                <w:rFonts w:eastAsia="Times New Roman"/>
                <w:color w:val="000000"/>
                <w:lang w:val="en-NZ" w:eastAsia="en-NZ"/>
              </w:rPr>
              <w:t>Percentage</w:t>
            </w:r>
          </w:p>
        </w:tc>
        <w:tc>
          <w:tcPr>
            <w:tcW w:w="720" w:type="dxa"/>
            <w:gridSpan w:val="2"/>
            <w:noWrap/>
            <w:vAlign w:val="center"/>
          </w:tcPr>
          <w:p w14:paraId="43C3EDA3" w14:textId="77777777" w:rsidR="00BD0D63" w:rsidRPr="00613DE5" w:rsidRDefault="00BD0D63"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p>
        </w:tc>
        <w:tc>
          <w:tcPr>
            <w:tcW w:w="720" w:type="dxa"/>
            <w:noWrap/>
            <w:vAlign w:val="center"/>
          </w:tcPr>
          <w:p w14:paraId="4E80648D" w14:textId="77777777" w:rsidR="00BD0D63" w:rsidRPr="00613DE5" w:rsidRDefault="00BD0D63"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p>
        </w:tc>
        <w:tc>
          <w:tcPr>
            <w:tcW w:w="800" w:type="dxa"/>
            <w:noWrap/>
            <w:vAlign w:val="center"/>
          </w:tcPr>
          <w:p w14:paraId="2E9E4300" w14:textId="25E61A22" w:rsidR="00BD0D63" w:rsidRPr="00613DE5" w:rsidRDefault="00BD0D63"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1B1D54">
              <w:rPr>
                <w:rFonts w:eastAsia="Times New Roman"/>
                <w:b/>
                <w:bCs/>
                <w:color w:val="000000"/>
                <w:lang w:val="en-NZ" w:eastAsia="en-NZ"/>
              </w:rPr>
              <w:t>100%</w:t>
            </w:r>
          </w:p>
        </w:tc>
        <w:tc>
          <w:tcPr>
            <w:tcW w:w="800" w:type="dxa"/>
            <w:noWrap/>
            <w:vAlign w:val="center"/>
          </w:tcPr>
          <w:p w14:paraId="087D1F4F" w14:textId="718CF615" w:rsidR="00BD0D63" w:rsidRPr="00613DE5" w:rsidRDefault="00BD0D63"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98%</w:t>
            </w:r>
          </w:p>
        </w:tc>
        <w:tc>
          <w:tcPr>
            <w:tcW w:w="658" w:type="dxa"/>
            <w:noWrap/>
            <w:vAlign w:val="center"/>
          </w:tcPr>
          <w:p w14:paraId="4326D80A" w14:textId="34800732" w:rsidR="00BD0D63" w:rsidRPr="00613DE5" w:rsidRDefault="00BD0D63"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0%</w:t>
            </w:r>
          </w:p>
        </w:tc>
        <w:tc>
          <w:tcPr>
            <w:tcW w:w="818" w:type="dxa"/>
            <w:noWrap/>
            <w:vAlign w:val="center"/>
          </w:tcPr>
          <w:p w14:paraId="443AD644" w14:textId="46F0F885" w:rsidR="00BD0D63" w:rsidRPr="00613DE5" w:rsidRDefault="00BD0D63" w:rsidP="00B046CB">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w:t>
            </w:r>
          </w:p>
        </w:tc>
      </w:tr>
    </w:tbl>
    <w:p w14:paraId="0E499C99" w14:textId="77777777" w:rsidR="0061629A" w:rsidRPr="007855B2" w:rsidRDefault="0061629A" w:rsidP="009D2530">
      <w:pPr>
        <w:rPr>
          <w:i/>
          <w:iCs/>
          <w:sz w:val="20"/>
          <w:szCs w:val="20"/>
          <w:lang w:val="en-NZ"/>
        </w:rPr>
      </w:pPr>
      <w:r w:rsidRPr="007855B2">
        <w:rPr>
          <w:i/>
          <w:iCs/>
          <w:sz w:val="20"/>
          <w:szCs w:val="20"/>
          <w:lang w:val="en-NZ"/>
        </w:rPr>
        <w:t>TAT: Turn Around Time; CC: Clinical Critical; NCC: Not Clinical Critical</w:t>
      </w:r>
    </w:p>
    <w:p w14:paraId="47722D8E" w14:textId="77777777" w:rsidR="00FE38BD" w:rsidRDefault="00FE38BD">
      <w:pPr>
        <w:rPr>
          <w:rFonts w:ascii="Poppins" w:hAnsi="Poppins" w:cs="Poppins"/>
          <w:b/>
          <w:bCs/>
          <w:color w:val="15284C"/>
          <w:sz w:val="32"/>
          <w:szCs w:val="32"/>
          <w:lang w:val="en-NZ"/>
        </w:rPr>
      </w:pPr>
      <w:bookmarkStart w:id="55" w:name="_Toc160616227"/>
      <w:r>
        <w:rPr>
          <w:lang w:val="en-NZ"/>
        </w:rPr>
        <w:br w:type="page"/>
      </w:r>
    </w:p>
    <w:p w14:paraId="39094ABC" w14:textId="1DE1AA6F" w:rsidR="0061629A" w:rsidRPr="00613DE5" w:rsidRDefault="0061629A" w:rsidP="001941F0">
      <w:pPr>
        <w:pStyle w:val="Heading2"/>
        <w:rPr>
          <w:lang w:val="en-NZ"/>
        </w:rPr>
      </w:pPr>
      <w:bookmarkStart w:id="56" w:name="_Toc179192068"/>
      <w:r w:rsidRPr="00613DE5">
        <w:rPr>
          <w:lang w:val="en-NZ"/>
        </w:rPr>
        <w:lastRenderedPageBreak/>
        <w:t xml:space="preserve">Figure </w:t>
      </w:r>
      <w:r w:rsidRPr="00613DE5">
        <w:rPr>
          <w:color w:val="2B579A"/>
          <w:shd w:val="clear" w:color="auto" w:fill="E6E6E6"/>
          <w:lang w:val="en-NZ"/>
        </w:rPr>
        <w:fldChar w:fldCharType="begin"/>
      </w:r>
      <w:r w:rsidRPr="00613DE5">
        <w:rPr>
          <w:lang w:val="en-NZ"/>
        </w:rPr>
        <w:instrText xml:space="preserve"> SEQ Figure \* ARABIC </w:instrText>
      </w:r>
      <w:r w:rsidRPr="00613DE5">
        <w:rPr>
          <w:color w:val="2B579A"/>
          <w:shd w:val="clear" w:color="auto" w:fill="E6E6E6"/>
          <w:lang w:val="en-NZ"/>
        </w:rPr>
        <w:fldChar w:fldCharType="separate"/>
      </w:r>
      <w:r w:rsidR="00E60918">
        <w:rPr>
          <w:noProof/>
          <w:lang w:val="en-NZ"/>
        </w:rPr>
        <w:t>4</w:t>
      </w:r>
      <w:r w:rsidRPr="00613DE5">
        <w:rPr>
          <w:color w:val="2B579A"/>
          <w:shd w:val="clear" w:color="auto" w:fill="E6E6E6"/>
          <w:lang w:val="en-NZ"/>
        </w:rPr>
        <w:fldChar w:fldCharType="end"/>
      </w:r>
      <w:r w:rsidRPr="00613DE5">
        <w:rPr>
          <w:lang w:val="en-NZ"/>
        </w:rPr>
        <w:t>: Percentage of screen positives the laboratory notified within the disorder-specific timeframe, January to December 2022</w:t>
      </w:r>
      <w:bookmarkEnd w:id="55"/>
      <w:bookmarkEnd w:id="56"/>
    </w:p>
    <w:p w14:paraId="3484EE22" w14:textId="77777777" w:rsidR="0061629A" w:rsidRPr="00613DE5" w:rsidRDefault="0061629A" w:rsidP="0061629A">
      <w:pPr>
        <w:rPr>
          <w:lang w:val="en-NZ"/>
        </w:rPr>
      </w:pPr>
      <w:r w:rsidRPr="00613DE5">
        <w:rPr>
          <w:noProof/>
          <w:color w:val="2B579A"/>
          <w:shd w:val="clear" w:color="auto" w:fill="E6E6E6"/>
          <w:lang w:val="en-NZ"/>
        </w:rPr>
        <w:drawing>
          <wp:inline distT="0" distB="0" distL="0" distR="0" wp14:anchorId="438BEEDB" wp14:editId="42EA499B">
            <wp:extent cx="6167895" cy="3578225"/>
            <wp:effectExtent l="0" t="0" r="4445" b="3175"/>
            <wp:docPr id="1801784674" name="Chart 1" descr="Figure 4: Percentage of screen positives the laboratory notified within the disorder-specific timeframe, January to December 2022">
              <a:extLst xmlns:a="http://schemas.openxmlformats.org/drawingml/2006/main">
                <a:ext uri="{FF2B5EF4-FFF2-40B4-BE49-F238E27FC236}">
                  <a16:creationId xmlns:a16="http://schemas.microsoft.com/office/drawing/2014/main" id="{297B82AE-346D-5757-367E-EB7B59C5F4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1EBEF9A" w14:textId="77777777" w:rsidR="009D2530" w:rsidRPr="00613DE5" w:rsidRDefault="009D2530">
      <w:pPr>
        <w:rPr>
          <w:rFonts w:ascii="Poppins" w:eastAsiaTheme="majorEastAsia" w:hAnsi="Poppins" w:cs="Poppins"/>
          <w:b/>
          <w:bCs/>
          <w:color w:val="30A1AC"/>
          <w:sz w:val="36"/>
          <w:szCs w:val="36"/>
          <w:lang w:val="en-NZ"/>
        </w:rPr>
      </w:pPr>
      <w:bookmarkStart w:id="57" w:name="_Toc160616228"/>
      <w:r w:rsidRPr="00613DE5">
        <w:rPr>
          <w:lang w:val="en-NZ"/>
        </w:rPr>
        <w:br w:type="page"/>
      </w:r>
    </w:p>
    <w:p w14:paraId="6AB04E0A" w14:textId="1BFA71C9" w:rsidR="0061629A" w:rsidRPr="00613DE5" w:rsidRDefault="0061629A" w:rsidP="0061629A">
      <w:pPr>
        <w:pStyle w:val="Heading1"/>
        <w:rPr>
          <w:lang w:val="en-NZ"/>
        </w:rPr>
      </w:pPr>
      <w:bookmarkStart w:id="58" w:name="_Toc179192069"/>
      <w:r w:rsidRPr="00613DE5">
        <w:rPr>
          <w:lang w:val="en-NZ"/>
        </w:rPr>
        <w:lastRenderedPageBreak/>
        <w:t>Indicator 7: Age of receipt into clinical care</w:t>
      </w:r>
      <w:bookmarkEnd w:id="57"/>
      <w:bookmarkEnd w:id="58"/>
    </w:p>
    <w:p w14:paraId="08AEBE9C" w14:textId="77777777" w:rsidR="0061629A" w:rsidRPr="00613DE5" w:rsidRDefault="0061629A" w:rsidP="009D2530">
      <w:pPr>
        <w:rPr>
          <w:lang w:val="en-NZ"/>
        </w:rPr>
      </w:pPr>
      <w:r w:rsidRPr="00613DE5">
        <w:rPr>
          <w:b/>
          <w:bCs/>
          <w:lang w:val="en-NZ"/>
        </w:rPr>
        <w:t>Description:</w:t>
      </w:r>
      <w:r w:rsidRPr="00613DE5">
        <w:rPr>
          <w:lang w:val="en-NZ"/>
        </w:rPr>
        <w:t xml:space="preserve"> For babies with screened conditions, the age of the baby at transfer into clinical care.</w:t>
      </w:r>
    </w:p>
    <w:p w14:paraId="32D32C82" w14:textId="6BC13E50" w:rsidR="0061629A" w:rsidRPr="00613DE5" w:rsidRDefault="0061629A" w:rsidP="009D2530">
      <w:pPr>
        <w:rPr>
          <w:lang w:val="en-NZ"/>
        </w:rPr>
      </w:pPr>
      <w:r w:rsidRPr="00613DE5">
        <w:rPr>
          <w:b/>
          <w:bCs/>
          <w:lang w:val="en-NZ"/>
        </w:rPr>
        <w:t>Rationale:</w:t>
      </w:r>
      <w:r w:rsidRPr="00613DE5">
        <w:rPr>
          <w:lang w:val="en-NZ"/>
        </w:rPr>
        <w:t xml:space="preserve"> To ensure babies with congenital disorders have their development potential affected as little as possible, all babies with a screened condition must receive a confirmed diagnosis and timely commencement of treatment/active clinical management.</w:t>
      </w:r>
    </w:p>
    <w:tbl>
      <w:tblPr>
        <w:tblStyle w:val="GridTable4-Accent5"/>
        <w:tblpPr w:leftFromText="180" w:rightFromText="180" w:vertAnchor="text" w:horzAnchor="margin" w:tblpY="851"/>
        <w:tblW w:w="4952" w:type="pct"/>
        <w:tblLook w:val="0420" w:firstRow="1" w:lastRow="0" w:firstColumn="0" w:lastColumn="0" w:noHBand="0" w:noVBand="1"/>
      </w:tblPr>
      <w:tblGrid>
        <w:gridCol w:w="3882"/>
        <w:gridCol w:w="2826"/>
        <w:gridCol w:w="2828"/>
      </w:tblGrid>
      <w:tr w:rsidR="00B046CB" w:rsidRPr="00613DE5" w14:paraId="4DE00F20" w14:textId="77777777" w:rsidTr="00FE38BD">
        <w:trPr>
          <w:cnfStyle w:val="100000000000" w:firstRow="1" w:lastRow="0" w:firstColumn="0" w:lastColumn="0" w:oddVBand="0" w:evenVBand="0" w:oddHBand="0" w:evenHBand="0" w:firstRowFirstColumn="0" w:firstRowLastColumn="0" w:lastRowFirstColumn="0" w:lastRowLastColumn="0"/>
          <w:trHeight w:val="183"/>
        </w:trPr>
        <w:tc>
          <w:tcPr>
            <w:tcW w:w="2035" w:type="pct"/>
            <w:vMerge w:val="restart"/>
            <w:tcBorders>
              <w:right w:val="single" w:sz="4" w:space="0" w:color="2870FF" w:themeColor="accent2" w:themeTint="99"/>
            </w:tcBorders>
            <w:shd w:val="clear" w:color="auto" w:fill="15284C" w:themeFill="text1"/>
            <w:hideMark/>
          </w:tcPr>
          <w:p w14:paraId="6A5F35CA" w14:textId="77777777" w:rsidR="0061629A" w:rsidRPr="00613DE5" w:rsidRDefault="0061629A" w:rsidP="00FE38BD">
            <w:pPr>
              <w:rPr>
                <w:i/>
                <w:iCs/>
                <w:lang w:val="en-NZ" w:eastAsia="en-NZ"/>
              </w:rPr>
            </w:pPr>
            <w:r w:rsidRPr="00613DE5">
              <w:rPr>
                <w:lang w:val="en-NZ" w:eastAsia="en-NZ"/>
              </w:rPr>
              <w:t> Disorder</w:t>
            </w:r>
          </w:p>
          <w:p w14:paraId="619F79EC" w14:textId="77777777" w:rsidR="0061629A" w:rsidRPr="00613DE5" w:rsidRDefault="0061629A" w:rsidP="00FE38BD">
            <w:pPr>
              <w:rPr>
                <w:i/>
                <w:iCs/>
                <w:lang w:val="en-NZ" w:eastAsia="en-NZ"/>
              </w:rPr>
            </w:pPr>
          </w:p>
        </w:tc>
        <w:tc>
          <w:tcPr>
            <w:tcW w:w="2965" w:type="pct"/>
            <w:gridSpan w:val="2"/>
            <w:tcBorders>
              <w:left w:val="single" w:sz="4" w:space="0" w:color="2870FF" w:themeColor="accent2" w:themeTint="99"/>
            </w:tcBorders>
            <w:shd w:val="clear" w:color="auto" w:fill="15284C" w:themeFill="text1"/>
            <w:noWrap/>
            <w:hideMark/>
          </w:tcPr>
          <w:p w14:paraId="3E153005" w14:textId="77777777" w:rsidR="0061629A" w:rsidRPr="00613DE5" w:rsidRDefault="0061629A" w:rsidP="00FE38BD">
            <w:pPr>
              <w:rPr>
                <w:i/>
                <w:iCs/>
                <w:lang w:val="en-NZ" w:eastAsia="en-NZ"/>
              </w:rPr>
            </w:pPr>
            <w:r w:rsidRPr="00613DE5">
              <w:rPr>
                <w:lang w:val="en-NZ" w:eastAsia="en-NZ"/>
              </w:rPr>
              <w:t>Age of baby in days</w:t>
            </w:r>
          </w:p>
        </w:tc>
      </w:tr>
      <w:tr w:rsidR="00B046CB" w:rsidRPr="00613DE5" w14:paraId="04FC32CB" w14:textId="77777777" w:rsidTr="00FE38BD">
        <w:trPr>
          <w:cnfStyle w:val="000000100000" w:firstRow="0" w:lastRow="0" w:firstColumn="0" w:lastColumn="0" w:oddVBand="0" w:evenVBand="0" w:oddHBand="1" w:evenHBand="0" w:firstRowFirstColumn="0" w:firstRowLastColumn="0" w:lastRowFirstColumn="0" w:lastRowLastColumn="0"/>
          <w:trHeight w:val="390"/>
        </w:trPr>
        <w:tc>
          <w:tcPr>
            <w:tcW w:w="2035" w:type="pct"/>
            <w:vMerge/>
            <w:tcBorders>
              <w:right w:val="single" w:sz="4" w:space="0" w:color="2870FF" w:themeColor="accent2" w:themeTint="99"/>
            </w:tcBorders>
            <w:shd w:val="clear" w:color="auto" w:fill="15284C" w:themeFill="text1"/>
            <w:hideMark/>
          </w:tcPr>
          <w:p w14:paraId="27B11A44" w14:textId="77777777" w:rsidR="0061629A" w:rsidRPr="00613DE5" w:rsidRDefault="0061629A" w:rsidP="00FE38BD">
            <w:pPr>
              <w:rPr>
                <w:b/>
                <w:bCs/>
                <w:color w:val="F6F4EC" w:themeColor="background1"/>
                <w:lang w:val="en-NZ" w:eastAsia="en-NZ"/>
              </w:rPr>
            </w:pPr>
          </w:p>
        </w:tc>
        <w:tc>
          <w:tcPr>
            <w:tcW w:w="1482" w:type="pct"/>
            <w:tcBorders>
              <w:left w:val="single" w:sz="4" w:space="0" w:color="2870FF" w:themeColor="accent2" w:themeTint="99"/>
            </w:tcBorders>
            <w:shd w:val="clear" w:color="auto" w:fill="15284C" w:themeFill="text1"/>
            <w:noWrap/>
            <w:hideMark/>
          </w:tcPr>
          <w:p w14:paraId="50495BCC" w14:textId="77777777" w:rsidR="0061629A" w:rsidRPr="00613DE5" w:rsidRDefault="0061629A" w:rsidP="00FE38BD">
            <w:pPr>
              <w:rPr>
                <w:b/>
                <w:bCs/>
                <w:color w:val="F6F4EC" w:themeColor="background1"/>
                <w:lang w:val="en-NZ" w:eastAsia="en-NZ"/>
              </w:rPr>
            </w:pPr>
            <w:r w:rsidRPr="00613DE5">
              <w:rPr>
                <w:b/>
                <w:bCs/>
                <w:color w:val="F6F4EC" w:themeColor="background1"/>
                <w:lang w:val="en-NZ" w:eastAsia="en-NZ"/>
              </w:rPr>
              <w:t>Clinical critical</w:t>
            </w:r>
          </w:p>
        </w:tc>
        <w:tc>
          <w:tcPr>
            <w:tcW w:w="1483" w:type="pct"/>
            <w:shd w:val="clear" w:color="auto" w:fill="15284C" w:themeFill="text1"/>
            <w:hideMark/>
          </w:tcPr>
          <w:p w14:paraId="29538AAF" w14:textId="77777777" w:rsidR="0061629A" w:rsidRPr="00613DE5" w:rsidRDefault="0061629A" w:rsidP="00FE38BD">
            <w:pPr>
              <w:rPr>
                <w:b/>
                <w:bCs/>
                <w:color w:val="F6F4EC" w:themeColor="background1"/>
                <w:lang w:val="en-NZ" w:eastAsia="en-NZ"/>
              </w:rPr>
            </w:pPr>
            <w:r w:rsidRPr="00613DE5">
              <w:rPr>
                <w:b/>
                <w:bCs/>
                <w:color w:val="F6F4EC" w:themeColor="background1"/>
                <w:lang w:val="en-NZ" w:eastAsia="en-NZ"/>
              </w:rPr>
              <w:t>Non-clinical critical</w:t>
            </w:r>
          </w:p>
        </w:tc>
      </w:tr>
      <w:tr w:rsidR="0061629A" w:rsidRPr="00613DE5" w14:paraId="15FC1E53" w14:textId="77777777" w:rsidTr="00065F12">
        <w:trPr>
          <w:trHeight w:val="289"/>
        </w:trPr>
        <w:tc>
          <w:tcPr>
            <w:tcW w:w="2035" w:type="pct"/>
            <w:vAlign w:val="center"/>
            <w:hideMark/>
          </w:tcPr>
          <w:p w14:paraId="5A3559B4" w14:textId="77777777" w:rsidR="0061629A" w:rsidRPr="00613DE5" w:rsidRDefault="0061629A" w:rsidP="00065F12">
            <w:pPr>
              <w:rPr>
                <w:color w:val="000000"/>
                <w:lang w:val="en-NZ" w:eastAsia="en-NZ"/>
              </w:rPr>
            </w:pPr>
            <w:r w:rsidRPr="00613DE5">
              <w:rPr>
                <w:color w:val="000000"/>
                <w:lang w:val="en-NZ" w:eastAsia="en-NZ"/>
              </w:rPr>
              <w:t>Amino acid disorders</w:t>
            </w:r>
          </w:p>
        </w:tc>
        <w:tc>
          <w:tcPr>
            <w:tcW w:w="1482" w:type="pct"/>
            <w:noWrap/>
            <w:vAlign w:val="center"/>
            <w:hideMark/>
          </w:tcPr>
          <w:p w14:paraId="4BBF44ED" w14:textId="77777777" w:rsidR="0061629A" w:rsidRPr="00613DE5" w:rsidRDefault="0061629A" w:rsidP="00065F12">
            <w:pPr>
              <w:jc w:val="center"/>
              <w:rPr>
                <w:color w:val="000000"/>
                <w:lang w:val="en-NZ" w:eastAsia="en-NZ"/>
              </w:rPr>
            </w:pPr>
            <w:r w:rsidRPr="00613DE5">
              <w:rPr>
                <w:color w:val="000000"/>
                <w:lang w:val="en-NZ" w:eastAsia="en-NZ"/>
              </w:rPr>
              <w:t>10</w:t>
            </w:r>
          </w:p>
        </w:tc>
        <w:tc>
          <w:tcPr>
            <w:tcW w:w="1483" w:type="pct"/>
            <w:noWrap/>
            <w:vAlign w:val="center"/>
            <w:hideMark/>
          </w:tcPr>
          <w:p w14:paraId="03C41F94"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B046CB" w:rsidRPr="00613DE5" w14:paraId="70E0613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2035" w:type="pct"/>
            <w:vAlign w:val="center"/>
            <w:hideMark/>
          </w:tcPr>
          <w:p w14:paraId="04241A6A" w14:textId="77777777" w:rsidR="0061629A" w:rsidRPr="00613DE5" w:rsidRDefault="0061629A" w:rsidP="00065F12">
            <w:pPr>
              <w:rPr>
                <w:color w:val="000000"/>
                <w:lang w:val="en-NZ" w:eastAsia="en-NZ"/>
              </w:rPr>
            </w:pPr>
            <w:r w:rsidRPr="00613DE5">
              <w:rPr>
                <w:color w:val="000000"/>
                <w:lang w:val="en-NZ" w:eastAsia="en-NZ"/>
              </w:rPr>
              <w:t>Biotinidase deficiency</w:t>
            </w:r>
          </w:p>
        </w:tc>
        <w:tc>
          <w:tcPr>
            <w:tcW w:w="1482" w:type="pct"/>
            <w:noWrap/>
            <w:vAlign w:val="center"/>
            <w:hideMark/>
          </w:tcPr>
          <w:p w14:paraId="78161A30" w14:textId="77777777" w:rsidR="0061629A" w:rsidRPr="00613DE5" w:rsidRDefault="0061629A" w:rsidP="00065F12">
            <w:pPr>
              <w:jc w:val="center"/>
              <w:rPr>
                <w:color w:val="000000"/>
                <w:lang w:val="en-NZ" w:eastAsia="en-NZ"/>
              </w:rPr>
            </w:pPr>
            <w:r w:rsidRPr="00613DE5">
              <w:rPr>
                <w:color w:val="000000"/>
                <w:lang w:val="en-NZ" w:eastAsia="en-NZ"/>
              </w:rPr>
              <w:t>-</w:t>
            </w:r>
          </w:p>
        </w:tc>
        <w:tc>
          <w:tcPr>
            <w:tcW w:w="1483" w:type="pct"/>
            <w:noWrap/>
            <w:vAlign w:val="center"/>
            <w:hideMark/>
          </w:tcPr>
          <w:p w14:paraId="02F7A0CC"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61629A" w:rsidRPr="00613DE5" w14:paraId="4A7012F4" w14:textId="77777777" w:rsidTr="00065F12">
        <w:trPr>
          <w:trHeight w:val="289"/>
        </w:trPr>
        <w:tc>
          <w:tcPr>
            <w:tcW w:w="2035" w:type="pct"/>
            <w:vAlign w:val="center"/>
            <w:hideMark/>
          </w:tcPr>
          <w:p w14:paraId="6AFF44AA" w14:textId="77777777" w:rsidR="0061629A" w:rsidRPr="00613DE5" w:rsidRDefault="0061629A" w:rsidP="00065F12">
            <w:pPr>
              <w:rPr>
                <w:color w:val="000000"/>
                <w:lang w:val="en-NZ" w:eastAsia="en-NZ"/>
              </w:rPr>
            </w:pPr>
            <w:r w:rsidRPr="00613DE5">
              <w:rPr>
                <w:color w:val="000000"/>
                <w:lang w:val="en-NZ" w:eastAsia="en-NZ"/>
              </w:rPr>
              <w:t xml:space="preserve">Congenital adrenal hyperplasia </w:t>
            </w:r>
          </w:p>
        </w:tc>
        <w:tc>
          <w:tcPr>
            <w:tcW w:w="1482" w:type="pct"/>
            <w:noWrap/>
            <w:vAlign w:val="center"/>
            <w:hideMark/>
          </w:tcPr>
          <w:p w14:paraId="5DFA2711" w14:textId="77777777" w:rsidR="0061629A" w:rsidRPr="00613DE5" w:rsidRDefault="0061629A" w:rsidP="00065F12">
            <w:pPr>
              <w:jc w:val="center"/>
              <w:rPr>
                <w:color w:val="000000"/>
                <w:lang w:val="en-NZ" w:eastAsia="en-NZ"/>
              </w:rPr>
            </w:pPr>
            <w:r w:rsidRPr="00613DE5">
              <w:rPr>
                <w:color w:val="000000"/>
                <w:lang w:val="en-NZ" w:eastAsia="en-NZ"/>
              </w:rPr>
              <w:t>10</w:t>
            </w:r>
          </w:p>
        </w:tc>
        <w:tc>
          <w:tcPr>
            <w:tcW w:w="1483" w:type="pct"/>
            <w:noWrap/>
            <w:vAlign w:val="center"/>
            <w:hideMark/>
          </w:tcPr>
          <w:p w14:paraId="60B99403"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B046CB" w:rsidRPr="00613DE5" w14:paraId="14589A0B"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2035" w:type="pct"/>
            <w:vAlign w:val="center"/>
            <w:hideMark/>
          </w:tcPr>
          <w:p w14:paraId="4893E8A4" w14:textId="77777777" w:rsidR="0061629A" w:rsidRPr="00613DE5" w:rsidRDefault="0061629A" w:rsidP="00065F12">
            <w:pPr>
              <w:rPr>
                <w:color w:val="000000"/>
                <w:lang w:val="en-NZ" w:eastAsia="en-NZ"/>
              </w:rPr>
            </w:pPr>
            <w:r w:rsidRPr="00613DE5">
              <w:rPr>
                <w:color w:val="000000"/>
                <w:lang w:val="en-NZ" w:eastAsia="en-NZ"/>
              </w:rPr>
              <w:t xml:space="preserve">Cystic fibrosis </w:t>
            </w:r>
          </w:p>
        </w:tc>
        <w:tc>
          <w:tcPr>
            <w:tcW w:w="1482" w:type="pct"/>
            <w:noWrap/>
            <w:vAlign w:val="center"/>
            <w:hideMark/>
          </w:tcPr>
          <w:p w14:paraId="6D50B8C9" w14:textId="77777777" w:rsidR="0061629A" w:rsidRPr="00613DE5" w:rsidRDefault="0061629A" w:rsidP="00065F12">
            <w:pPr>
              <w:jc w:val="center"/>
              <w:rPr>
                <w:color w:val="000000"/>
                <w:lang w:val="en-NZ" w:eastAsia="en-NZ"/>
              </w:rPr>
            </w:pPr>
            <w:r w:rsidRPr="00613DE5">
              <w:rPr>
                <w:color w:val="000000"/>
                <w:lang w:val="en-NZ" w:eastAsia="en-NZ"/>
              </w:rPr>
              <w:t>-</w:t>
            </w:r>
          </w:p>
        </w:tc>
        <w:tc>
          <w:tcPr>
            <w:tcW w:w="1483" w:type="pct"/>
            <w:noWrap/>
            <w:vAlign w:val="center"/>
            <w:hideMark/>
          </w:tcPr>
          <w:p w14:paraId="4CCDF5B9"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61629A" w:rsidRPr="00613DE5" w14:paraId="19F94E04" w14:textId="77777777" w:rsidTr="00065F12">
        <w:trPr>
          <w:trHeight w:val="289"/>
        </w:trPr>
        <w:tc>
          <w:tcPr>
            <w:tcW w:w="2035" w:type="pct"/>
            <w:vAlign w:val="center"/>
            <w:hideMark/>
          </w:tcPr>
          <w:p w14:paraId="261A57B0" w14:textId="77777777" w:rsidR="0061629A" w:rsidRPr="00613DE5" w:rsidRDefault="0061629A" w:rsidP="00065F12">
            <w:pPr>
              <w:rPr>
                <w:color w:val="000000"/>
                <w:lang w:val="en-NZ" w:eastAsia="en-NZ"/>
              </w:rPr>
            </w:pPr>
            <w:r w:rsidRPr="00613DE5">
              <w:rPr>
                <w:color w:val="000000"/>
                <w:lang w:val="en-NZ" w:eastAsia="en-NZ"/>
              </w:rPr>
              <w:t>Congenital hypothyroidism</w:t>
            </w:r>
          </w:p>
        </w:tc>
        <w:tc>
          <w:tcPr>
            <w:tcW w:w="1482" w:type="pct"/>
            <w:noWrap/>
            <w:vAlign w:val="center"/>
            <w:hideMark/>
          </w:tcPr>
          <w:p w14:paraId="5BA2BD8C" w14:textId="77777777" w:rsidR="0061629A" w:rsidRPr="00613DE5" w:rsidRDefault="0061629A" w:rsidP="00065F12">
            <w:pPr>
              <w:jc w:val="center"/>
              <w:rPr>
                <w:color w:val="000000"/>
                <w:lang w:val="en-NZ" w:eastAsia="en-NZ"/>
              </w:rPr>
            </w:pPr>
            <w:r w:rsidRPr="00613DE5">
              <w:rPr>
                <w:color w:val="000000"/>
                <w:lang w:val="en-NZ" w:eastAsia="en-NZ"/>
              </w:rPr>
              <w:t>10</w:t>
            </w:r>
          </w:p>
        </w:tc>
        <w:tc>
          <w:tcPr>
            <w:tcW w:w="1483" w:type="pct"/>
            <w:noWrap/>
            <w:vAlign w:val="center"/>
            <w:hideMark/>
          </w:tcPr>
          <w:p w14:paraId="0D4E900F"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B046CB" w:rsidRPr="00613DE5" w14:paraId="7FDDCFCB"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2035" w:type="pct"/>
            <w:vAlign w:val="center"/>
            <w:hideMark/>
          </w:tcPr>
          <w:p w14:paraId="0C32BCA2" w14:textId="77777777" w:rsidR="0061629A" w:rsidRPr="00613DE5" w:rsidRDefault="0061629A" w:rsidP="00065F12">
            <w:pPr>
              <w:rPr>
                <w:color w:val="000000"/>
                <w:lang w:val="en-NZ" w:eastAsia="en-NZ"/>
              </w:rPr>
            </w:pPr>
            <w:r w:rsidRPr="00613DE5">
              <w:rPr>
                <w:color w:val="000000"/>
                <w:lang w:val="en-NZ" w:eastAsia="en-NZ"/>
              </w:rPr>
              <w:t>Fatty acid oxidation disorders</w:t>
            </w:r>
          </w:p>
        </w:tc>
        <w:tc>
          <w:tcPr>
            <w:tcW w:w="1482" w:type="pct"/>
            <w:noWrap/>
            <w:vAlign w:val="center"/>
            <w:hideMark/>
          </w:tcPr>
          <w:p w14:paraId="117B49C7" w14:textId="77777777" w:rsidR="0061629A" w:rsidRPr="00613DE5" w:rsidRDefault="0061629A" w:rsidP="00065F12">
            <w:pPr>
              <w:jc w:val="center"/>
              <w:rPr>
                <w:color w:val="000000"/>
                <w:lang w:val="en-NZ" w:eastAsia="en-NZ"/>
              </w:rPr>
            </w:pPr>
            <w:r w:rsidRPr="00613DE5">
              <w:rPr>
                <w:color w:val="000000"/>
                <w:lang w:val="en-NZ" w:eastAsia="en-NZ"/>
              </w:rPr>
              <w:t>10</w:t>
            </w:r>
          </w:p>
        </w:tc>
        <w:tc>
          <w:tcPr>
            <w:tcW w:w="1483" w:type="pct"/>
            <w:noWrap/>
            <w:vAlign w:val="center"/>
            <w:hideMark/>
          </w:tcPr>
          <w:p w14:paraId="41CA103D"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61629A" w:rsidRPr="00613DE5" w14:paraId="7DEF6134" w14:textId="77777777" w:rsidTr="00065F12">
        <w:trPr>
          <w:trHeight w:val="289"/>
        </w:trPr>
        <w:tc>
          <w:tcPr>
            <w:tcW w:w="2035" w:type="pct"/>
            <w:vAlign w:val="center"/>
            <w:hideMark/>
          </w:tcPr>
          <w:p w14:paraId="7B79A491" w14:textId="77777777" w:rsidR="0061629A" w:rsidRPr="00613DE5" w:rsidRDefault="0061629A" w:rsidP="00065F12">
            <w:pPr>
              <w:rPr>
                <w:color w:val="000000"/>
                <w:lang w:val="en-NZ" w:eastAsia="en-NZ"/>
              </w:rPr>
            </w:pPr>
            <w:r w:rsidRPr="00613DE5">
              <w:rPr>
                <w:color w:val="000000"/>
                <w:lang w:val="en-NZ" w:eastAsia="en-NZ"/>
              </w:rPr>
              <w:t>Galactosaemia</w:t>
            </w:r>
          </w:p>
        </w:tc>
        <w:tc>
          <w:tcPr>
            <w:tcW w:w="1482" w:type="pct"/>
            <w:noWrap/>
            <w:vAlign w:val="center"/>
            <w:hideMark/>
          </w:tcPr>
          <w:p w14:paraId="04AB3867" w14:textId="77777777" w:rsidR="0061629A" w:rsidRPr="00613DE5" w:rsidRDefault="0061629A" w:rsidP="00065F12">
            <w:pPr>
              <w:jc w:val="center"/>
              <w:rPr>
                <w:color w:val="000000"/>
                <w:lang w:val="en-NZ" w:eastAsia="en-NZ"/>
              </w:rPr>
            </w:pPr>
            <w:r w:rsidRPr="00613DE5">
              <w:rPr>
                <w:color w:val="000000"/>
                <w:lang w:val="en-NZ" w:eastAsia="en-NZ"/>
              </w:rPr>
              <w:t>10</w:t>
            </w:r>
          </w:p>
        </w:tc>
        <w:tc>
          <w:tcPr>
            <w:tcW w:w="1483" w:type="pct"/>
            <w:noWrap/>
            <w:vAlign w:val="center"/>
            <w:hideMark/>
          </w:tcPr>
          <w:p w14:paraId="379F8649" w14:textId="77777777" w:rsidR="0061629A" w:rsidRPr="00613DE5" w:rsidRDefault="0061629A" w:rsidP="00065F12">
            <w:pPr>
              <w:jc w:val="center"/>
              <w:rPr>
                <w:color w:val="000000"/>
                <w:lang w:val="en-NZ" w:eastAsia="en-NZ"/>
              </w:rPr>
            </w:pPr>
            <w:r w:rsidRPr="00613DE5">
              <w:rPr>
                <w:color w:val="000000"/>
                <w:lang w:val="en-NZ" w:eastAsia="en-NZ"/>
              </w:rPr>
              <w:t>28</w:t>
            </w:r>
          </w:p>
        </w:tc>
      </w:tr>
      <w:tr w:rsidR="00B046CB" w:rsidRPr="00613DE5" w14:paraId="11E50AAF"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tcW w:w="2035" w:type="pct"/>
            <w:vAlign w:val="center"/>
            <w:hideMark/>
          </w:tcPr>
          <w:p w14:paraId="6370FB0E" w14:textId="77777777" w:rsidR="0061629A" w:rsidRPr="00613DE5" w:rsidRDefault="0061629A" w:rsidP="00065F12">
            <w:pPr>
              <w:rPr>
                <w:color w:val="000000"/>
                <w:lang w:val="en-NZ" w:eastAsia="en-NZ"/>
              </w:rPr>
            </w:pPr>
            <w:r w:rsidRPr="00613DE5">
              <w:rPr>
                <w:color w:val="000000"/>
                <w:lang w:val="en-NZ" w:eastAsia="en-NZ"/>
              </w:rPr>
              <w:t>SCID</w:t>
            </w:r>
          </w:p>
        </w:tc>
        <w:tc>
          <w:tcPr>
            <w:tcW w:w="1482" w:type="pct"/>
            <w:noWrap/>
            <w:vAlign w:val="center"/>
            <w:hideMark/>
          </w:tcPr>
          <w:p w14:paraId="005C28F9" w14:textId="77777777" w:rsidR="0061629A" w:rsidRPr="00613DE5" w:rsidRDefault="0061629A" w:rsidP="00065F12">
            <w:pPr>
              <w:jc w:val="center"/>
              <w:rPr>
                <w:color w:val="000000"/>
                <w:lang w:val="en-NZ" w:eastAsia="en-NZ"/>
              </w:rPr>
            </w:pPr>
            <w:r w:rsidRPr="00613DE5">
              <w:rPr>
                <w:color w:val="000000"/>
                <w:lang w:val="en-NZ" w:eastAsia="en-NZ"/>
              </w:rPr>
              <w:t>-</w:t>
            </w:r>
          </w:p>
        </w:tc>
        <w:tc>
          <w:tcPr>
            <w:tcW w:w="1483" w:type="pct"/>
            <w:noWrap/>
            <w:vAlign w:val="center"/>
            <w:hideMark/>
          </w:tcPr>
          <w:p w14:paraId="6A9C869C" w14:textId="77777777" w:rsidR="0061629A" w:rsidRPr="00613DE5" w:rsidRDefault="0061629A" w:rsidP="00065F12">
            <w:pPr>
              <w:jc w:val="center"/>
              <w:rPr>
                <w:color w:val="000000"/>
                <w:lang w:val="en-NZ" w:eastAsia="en-NZ"/>
              </w:rPr>
            </w:pPr>
            <w:r w:rsidRPr="00613DE5">
              <w:rPr>
                <w:color w:val="000000"/>
                <w:lang w:val="en-NZ" w:eastAsia="en-NZ"/>
              </w:rPr>
              <w:t>14</w:t>
            </w:r>
          </w:p>
        </w:tc>
      </w:tr>
    </w:tbl>
    <w:p w14:paraId="1AD78EAE" w14:textId="77777777" w:rsidR="0061629A" w:rsidRPr="00613DE5" w:rsidRDefault="0061629A" w:rsidP="009D2530">
      <w:pPr>
        <w:rPr>
          <w:lang w:val="en-NZ"/>
        </w:rPr>
      </w:pPr>
      <w:r w:rsidRPr="00613DE5">
        <w:rPr>
          <w:b/>
          <w:bCs/>
          <w:lang w:val="en-NZ"/>
        </w:rPr>
        <w:t>Target:</w:t>
      </w:r>
      <w:r w:rsidRPr="00613DE5">
        <w:rPr>
          <w:lang w:val="en-NZ"/>
        </w:rPr>
        <w:t xml:space="preserve"> 100 percent of babies who receive a screen positive result and are diagnosed with a screened condition receive active clinical management by the following timeframes:</w:t>
      </w:r>
    </w:p>
    <w:p w14:paraId="5A89580A" w14:textId="77777777" w:rsidR="0061629A" w:rsidRPr="00613DE5" w:rsidRDefault="0061629A" w:rsidP="009D2530">
      <w:pPr>
        <w:rPr>
          <w:b/>
          <w:lang w:val="en-NZ"/>
        </w:rPr>
      </w:pPr>
    </w:p>
    <w:p w14:paraId="620365A0" w14:textId="5C35AD61" w:rsidR="0061629A" w:rsidRPr="00613DE5" w:rsidRDefault="0061629A" w:rsidP="009D2530">
      <w:pPr>
        <w:rPr>
          <w:lang w:val="en-NZ"/>
        </w:rPr>
      </w:pPr>
      <w:r w:rsidRPr="00613DE5">
        <w:rPr>
          <w:b/>
          <w:bCs/>
          <w:lang w:val="en-NZ"/>
        </w:rPr>
        <w:t>Interpretation:</w:t>
      </w:r>
      <w:r w:rsidRPr="00613DE5">
        <w:rPr>
          <w:lang w:val="en-NZ"/>
        </w:rPr>
        <w:t xml:space="preserve"> The disorder-specific timeframe was met for 20 out of 21 cases identified as clinical critical</w:t>
      </w:r>
      <w:r w:rsidR="6DB86899" w:rsidRPr="5E75E792">
        <w:rPr>
          <w:lang w:val="en-NZ"/>
        </w:rPr>
        <w:t>:</w:t>
      </w:r>
      <w:r w:rsidRPr="00613DE5">
        <w:rPr>
          <w:lang w:val="en-NZ"/>
        </w:rPr>
        <w:t xml:space="preserve"> 30 of 31 non-clinical critical cases were received into clinical care within the specified timeframe. </w:t>
      </w:r>
    </w:p>
    <w:p w14:paraId="375E9DD7" w14:textId="2E18B97E" w:rsidR="0061629A" w:rsidRPr="00613DE5" w:rsidRDefault="0061629A" w:rsidP="009D2530">
      <w:pPr>
        <w:rPr>
          <w:lang w:val="en-NZ"/>
        </w:rPr>
      </w:pPr>
      <w:r w:rsidRPr="00613DE5">
        <w:rPr>
          <w:b/>
          <w:bCs/>
          <w:lang w:val="en-NZ"/>
        </w:rPr>
        <w:t>Comment:</w:t>
      </w:r>
      <w:r w:rsidRPr="00613DE5">
        <w:rPr>
          <w:lang w:val="en-NZ"/>
        </w:rPr>
        <w:t xml:space="preserve"> 95 percent of babies with disease detected following a positive newborn screen were received into clinical care within an acceptable timeframe, compared to </w:t>
      </w:r>
      <w:r w:rsidR="00FE310D">
        <w:rPr>
          <w:lang w:val="en-NZ"/>
        </w:rPr>
        <w:t xml:space="preserve">94 percent in 2021 and </w:t>
      </w:r>
      <w:r w:rsidRPr="00613DE5">
        <w:rPr>
          <w:lang w:val="en-NZ"/>
        </w:rPr>
        <w:t xml:space="preserve">100 percent in 2019 and 2020. </w:t>
      </w:r>
    </w:p>
    <w:p w14:paraId="43DA1E77" w14:textId="5A141329" w:rsidR="0061629A" w:rsidRPr="00613DE5" w:rsidRDefault="0061629A" w:rsidP="009D2530">
      <w:pPr>
        <w:rPr>
          <w:lang w:val="en-NZ"/>
        </w:rPr>
      </w:pPr>
      <w:r w:rsidRPr="00613DE5">
        <w:rPr>
          <w:lang w:val="en-NZ"/>
        </w:rPr>
        <w:t xml:space="preserve">The two cases that were detected and referred into clinical care outside of timeframe primarily occurred due to late sample collection and delayed transit times. Optimal neuro-cognitive outcomes in </w:t>
      </w:r>
      <w:r w:rsidR="00565B39" w:rsidRPr="00613DE5">
        <w:rPr>
          <w:color w:val="000000"/>
          <w:lang w:val="en-NZ" w:eastAsia="en-NZ"/>
        </w:rPr>
        <w:t xml:space="preserve">Congenital </w:t>
      </w:r>
      <w:r w:rsidR="00565B39">
        <w:rPr>
          <w:color w:val="000000"/>
          <w:lang w:val="en-NZ" w:eastAsia="en-NZ"/>
        </w:rPr>
        <w:t>H</w:t>
      </w:r>
      <w:r w:rsidR="00565B39" w:rsidRPr="00613DE5">
        <w:rPr>
          <w:color w:val="000000"/>
          <w:lang w:val="en-NZ" w:eastAsia="en-NZ"/>
        </w:rPr>
        <w:t>ypothyroidism</w:t>
      </w:r>
      <w:r w:rsidRPr="00613DE5">
        <w:rPr>
          <w:lang w:val="en-NZ"/>
        </w:rPr>
        <w:t xml:space="preserve"> are achieved through early detection and treatment. The potential impacts of delayed diagnoses depend on both disease severity and age at detection and are likely to be minimal for these cases.</w:t>
      </w:r>
    </w:p>
    <w:p w14:paraId="21CFA182" w14:textId="77777777" w:rsidR="0061629A" w:rsidRPr="00613DE5" w:rsidRDefault="0061629A" w:rsidP="009D2530">
      <w:pPr>
        <w:rPr>
          <w:sz w:val="24"/>
          <w:lang w:val="en-NZ"/>
        </w:rPr>
      </w:pPr>
    </w:p>
    <w:p w14:paraId="43EBB928" w14:textId="77777777" w:rsidR="009D2530" w:rsidRPr="00613DE5" w:rsidRDefault="009D2530">
      <w:pPr>
        <w:rPr>
          <w:rFonts w:ascii="Poppins" w:hAnsi="Poppins" w:cs="Poppins"/>
          <w:b/>
          <w:bCs/>
          <w:color w:val="15284C"/>
          <w:sz w:val="32"/>
          <w:szCs w:val="32"/>
          <w:lang w:val="en-NZ"/>
        </w:rPr>
      </w:pPr>
      <w:bookmarkStart w:id="59" w:name="_Toc160616229"/>
      <w:r w:rsidRPr="00613DE5">
        <w:rPr>
          <w:lang w:val="en-NZ"/>
        </w:rPr>
        <w:br w:type="page"/>
      </w:r>
    </w:p>
    <w:p w14:paraId="3573CFBE" w14:textId="0722A570" w:rsidR="0061629A" w:rsidRPr="00613DE5" w:rsidRDefault="0061629A" w:rsidP="009D2530">
      <w:pPr>
        <w:pStyle w:val="Heading2"/>
        <w:rPr>
          <w:lang w:val="en-NZ"/>
        </w:rPr>
      </w:pPr>
      <w:bookmarkStart w:id="60" w:name="_Toc179192070"/>
      <w:r w:rsidRPr="00613DE5">
        <w:rPr>
          <w:lang w:val="en-NZ"/>
        </w:rPr>
        <w:lastRenderedPageBreak/>
        <w:t xml:space="preserve">Table </w:t>
      </w:r>
      <w:r w:rsidR="00C32E5A" w:rsidRPr="00421291">
        <w:rPr>
          <w:lang w:val="en-NZ"/>
        </w:rPr>
        <w:t>12</w:t>
      </w:r>
      <w:r w:rsidRPr="00613DE5">
        <w:rPr>
          <w:lang w:val="en-NZ"/>
        </w:rPr>
        <w:t>: Timeframe met for receipt into clinical care after confirmed diagnosis, January to December 2022</w:t>
      </w:r>
      <w:bookmarkEnd w:id="59"/>
      <w:bookmarkEnd w:id="60"/>
    </w:p>
    <w:tbl>
      <w:tblPr>
        <w:tblStyle w:val="GridTable4-Accent5"/>
        <w:tblW w:w="9535" w:type="dxa"/>
        <w:tblLayout w:type="fixed"/>
        <w:tblLook w:val="04A0" w:firstRow="1" w:lastRow="0" w:firstColumn="1" w:lastColumn="0" w:noHBand="0" w:noVBand="1"/>
      </w:tblPr>
      <w:tblGrid>
        <w:gridCol w:w="3256"/>
        <w:gridCol w:w="789"/>
        <w:gridCol w:w="810"/>
        <w:gridCol w:w="720"/>
        <w:gridCol w:w="720"/>
        <w:gridCol w:w="810"/>
        <w:gridCol w:w="810"/>
        <w:gridCol w:w="810"/>
        <w:gridCol w:w="810"/>
      </w:tblGrid>
      <w:tr w:rsidR="00155ED6" w:rsidRPr="00613DE5" w14:paraId="46221731" w14:textId="77777777" w:rsidTr="00CA64D1">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2870FF" w:themeColor="accent2" w:themeTint="99"/>
            </w:tcBorders>
            <w:hideMark/>
          </w:tcPr>
          <w:p w14:paraId="36F58BDC" w14:textId="77777777" w:rsidR="0061629A" w:rsidRPr="00613DE5" w:rsidRDefault="0061629A" w:rsidP="00635FD1">
            <w:pPr>
              <w:rPr>
                <w:rFonts w:eastAsia="Times New Roman"/>
                <w:b w:val="0"/>
                <w:bCs w:val="0"/>
                <w:lang w:val="en-NZ" w:eastAsia="en-NZ"/>
              </w:rPr>
            </w:pPr>
            <w:r w:rsidRPr="00613DE5">
              <w:rPr>
                <w:rFonts w:eastAsia="Times New Roman"/>
                <w:lang w:val="en-NZ" w:eastAsia="en-NZ"/>
              </w:rPr>
              <w:t>Disorder</w:t>
            </w:r>
          </w:p>
        </w:tc>
        <w:tc>
          <w:tcPr>
            <w:tcW w:w="1599" w:type="dxa"/>
            <w:gridSpan w:val="2"/>
            <w:tc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tcBorders>
            <w:hideMark/>
          </w:tcPr>
          <w:p w14:paraId="0503369D" w14:textId="77777777" w:rsidR="0061629A" w:rsidRPr="00613DE5" w:rsidRDefault="0061629A"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NZ" w:eastAsia="en-NZ"/>
              </w:rPr>
            </w:pPr>
            <w:r w:rsidRPr="00613DE5">
              <w:rPr>
                <w:rFonts w:eastAsia="Times New Roman"/>
                <w:lang w:val="en-NZ" w:eastAsia="en-NZ"/>
              </w:rPr>
              <w:t>Timeframe (calendar days)</w:t>
            </w:r>
          </w:p>
        </w:tc>
        <w:tc>
          <w:tcPr>
            <w:tcW w:w="1440" w:type="dxa"/>
            <w:gridSpan w:val="2"/>
            <w:tc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tcBorders>
            <w:hideMark/>
          </w:tcPr>
          <w:p w14:paraId="6752E7A5" w14:textId="77777777" w:rsidR="0061629A" w:rsidRPr="00613DE5" w:rsidRDefault="0061629A"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NZ" w:eastAsia="en-NZ"/>
              </w:rPr>
            </w:pPr>
            <w:r w:rsidRPr="00613DE5">
              <w:rPr>
                <w:rFonts w:eastAsia="Times New Roman"/>
                <w:lang w:val="en-NZ" w:eastAsia="en-NZ"/>
              </w:rPr>
              <w:t>Total number</w:t>
            </w:r>
          </w:p>
        </w:tc>
        <w:tc>
          <w:tcPr>
            <w:tcW w:w="1620" w:type="dxa"/>
            <w:gridSpan w:val="2"/>
            <w:tc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tcBorders>
            <w:hideMark/>
          </w:tcPr>
          <w:p w14:paraId="728D9123" w14:textId="77777777" w:rsidR="0061629A" w:rsidRPr="00613DE5" w:rsidRDefault="0061629A"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NZ" w:eastAsia="en-NZ"/>
              </w:rPr>
            </w:pPr>
            <w:r w:rsidRPr="00613DE5">
              <w:rPr>
                <w:rFonts w:eastAsia="Times New Roman"/>
                <w:lang w:val="en-NZ" w:eastAsia="en-NZ"/>
              </w:rPr>
              <w:t>Timeframe met</w:t>
            </w:r>
          </w:p>
        </w:tc>
        <w:tc>
          <w:tcPr>
            <w:tcW w:w="1620" w:type="dxa"/>
            <w:gridSpan w:val="2"/>
            <w:tc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tcBorders>
            <w:noWrap/>
            <w:hideMark/>
          </w:tcPr>
          <w:p w14:paraId="3C05D0A5" w14:textId="77777777" w:rsidR="0061629A" w:rsidRPr="00613DE5" w:rsidRDefault="0061629A" w:rsidP="00635FD1">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val="en-NZ" w:eastAsia="en-NZ"/>
              </w:rPr>
            </w:pPr>
            <w:r w:rsidRPr="00613DE5">
              <w:rPr>
                <w:rFonts w:eastAsia="Times New Roman"/>
                <w:lang w:val="en-NZ" w:eastAsia="en-NZ"/>
              </w:rPr>
              <w:t>Timeframe not met</w:t>
            </w:r>
          </w:p>
        </w:tc>
      </w:tr>
      <w:tr w:rsidR="00A3156A" w:rsidRPr="00613DE5" w14:paraId="773B20EE" w14:textId="77777777" w:rsidTr="00CA64D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56" w:type="dxa"/>
            <w:shd w:val="clear" w:color="auto" w:fill="15284C" w:themeFill="text1"/>
            <w:noWrap/>
            <w:hideMark/>
          </w:tcPr>
          <w:p w14:paraId="24E0970F" w14:textId="77777777" w:rsidR="0061629A" w:rsidRPr="00613DE5" w:rsidRDefault="0061629A" w:rsidP="00635FD1">
            <w:pPr>
              <w:rPr>
                <w:rFonts w:eastAsia="Times New Roman"/>
                <w:color w:val="000000"/>
                <w:lang w:val="en-NZ" w:eastAsia="en-NZ"/>
              </w:rPr>
            </w:pPr>
            <w:r w:rsidRPr="00613DE5">
              <w:rPr>
                <w:rFonts w:eastAsia="Times New Roman"/>
                <w:color w:val="000000"/>
                <w:lang w:val="en-NZ" w:eastAsia="en-NZ"/>
              </w:rPr>
              <w:t> </w:t>
            </w:r>
          </w:p>
        </w:tc>
        <w:tc>
          <w:tcPr>
            <w:tcW w:w="789" w:type="dxa"/>
            <w:tcBorders>
              <w:top w:val="single" w:sz="4" w:space="0" w:color="2870FF" w:themeColor="accent2" w:themeTint="99"/>
            </w:tcBorders>
            <w:shd w:val="clear" w:color="auto" w:fill="15284C" w:themeFill="text1"/>
            <w:noWrap/>
            <w:hideMark/>
          </w:tcPr>
          <w:p w14:paraId="570FCF46"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810" w:type="dxa"/>
            <w:tcBorders>
              <w:top w:val="single" w:sz="4" w:space="0" w:color="2870FF" w:themeColor="accent2" w:themeTint="99"/>
            </w:tcBorders>
            <w:shd w:val="clear" w:color="auto" w:fill="15284C" w:themeFill="text1"/>
            <w:noWrap/>
            <w:hideMark/>
          </w:tcPr>
          <w:p w14:paraId="148F8C72"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c>
          <w:tcPr>
            <w:tcW w:w="720" w:type="dxa"/>
            <w:tcBorders>
              <w:top w:val="single" w:sz="4" w:space="0" w:color="2870FF" w:themeColor="accent2" w:themeTint="99"/>
            </w:tcBorders>
            <w:shd w:val="clear" w:color="auto" w:fill="15284C" w:themeFill="text1"/>
            <w:noWrap/>
          </w:tcPr>
          <w:p w14:paraId="620BA6FC"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720" w:type="dxa"/>
            <w:tcBorders>
              <w:top w:val="single" w:sz="4" w:space="0" w:color="2870FF" w:themeColor="accent2" w:themeTint="99"/>
            </w:tcBorders>
            <w:shd w:val="clear" w:color="auto" w:fill="15284C" w:themeFill="text1"/>
            <w:noWrap/>
          </w:tcPr>
          <w:p w14:paraId="74120CE0"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c>
          <w:tcPr>
            <w:tcW w:w="810" w:type="dxa"/>
            <w:tcBorders>
              <w:top w:val="single" w:sz="4" w:space="0" w:color="2870FF" w:themeColor="accent2" w:themeTint="99"/>
            </w:tcBorders>
            <w:shd w:val="clear" w:color="auto" w:fill="15284C" w:themeFill="text1"/>
            <w:noWrap/>
          </w:tcPr>
          <w:p w14:paraId="7384ECD3"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810" w:type="dxa"/>
            <w:tcBorders>
              <w:top w:val="single" w:sz="4" w:space="0" w:color="2870FF" w:themeColor="accent2" w:themeTint="99"/>
            </w:tcBorders>
            <w:shd w:val="clear" w:color="auto" w:fill="15284C" w:themeFill="text1"/>
            <w:noWrap/>
          </w:tcPr>
          <w:p w14:paraId="4D7E59CE"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c>
          <w:tcPr>
            <w:tcW w:w="810" w:type="dxa"/>
            <w:tcBorders>
              <w:top w:val="single" w:sz="4" w:space="0" w:color="2870FF" w:themeColor="accent2" w:themeTint="99"/>
            </w:tcBorders>
            <w:shd w:val="clear" w:color="auto" w:fill="15284C" w:themeFill="text1"/>
            <w:noWrap/>
          </w:tcPr>
          <w:p w14:paraId="0348171F"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CC</w:t>
            </w:r>
          </w:p>
        </w:tc>
        <w:tc>
          <w:tcPr>
            <w:tcW w:w="810" w:type="dxa"/>
            <w:tcBorders>
              <w:top w:val="single" w:sz="4" w:space="0" w:color="2870FF" w:themeColor="accent2" w:themeTint="99"/>
            </w:tcBorders>
            <w:shd w:val="clear" w:color="auto" w:fill="15284C" w:themeFill="text1"/>
            <w:noWrap/>
          </w:tcPr>
          <w:p w14:paraId="7FABA739" w14:textId="77777777" w:rsidR="0061629A" w:rsidRPr="00613DE5" w:rsidRDefault="0061629A" w:rsidP="00635FD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F6F4EC" w:themeColor="background1"/>
                <w:lang w:val="en-NZ" w:eastAsia="en-NZ"/>
              </w:rPr>
            </w:pPr>
            <w:r w:rsidRPr="00613DE5">
              <w:rPr>
                <w:rFonts w:eastAsia="Times New Roman"/>
                <w:b/>
                <w:bCs/>
                <w:color w:val="F6F4EC" w:themeColor="background1"/>
                <w:lang w:val="en-NZ" w:eastAsia="en-NZ"/>
              </w:rPr>
              <w:t>NCC</w:t>
            </w:r>
          </w:p>
        </w:tc>
      </w:tr>
      <w:tr w:rsidR="0061629A" w:rsidRPr="00613DE5" w14:paraId="4F7EE30A" w14:textId="77777777" w:rsidTr="00FE38BD">
        <w:trPr>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326B3888"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Amino acid disorders</w:t>
            </w:r>
          </w:p>
        </w:tc>
        <w:tc>
          <w:tcPr>
            <w:tcW w:w="789" w:type="dxa"/>
            <w:noWrap/>
            <w:vAlign w:val="center"/>
            <w:hideMark/>
          </w:tcPr>
          <w:p w14:paraId="56648CCD"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10</w:t>
            </w:r>
          </w:p>
        </w:tc>
        <w:tc>
          <w:tcPr>
            <w:tcW w:w="810" w:type="dxa"/>
            <w:noWrap/>
            <w:vAlign w:val="center"/>
            <w:hideMark/>
          </w:tcPr>
          <w:p w14:paraId="6A7A74AE"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76DB19BD"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0</w:t>
            </w:r>
          </w:p>
        </w:tc>
        <w:tc>
          <w:tcPr>
            <w:tcW w:w="720" w:type="dxa"/>
            <w:noWrap/>
            <w:vAlign w:val="center"/>
          </w:tcPr>
          <w:p w14:paraId="4E776264"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6</w:t>
            </w:r>
          </w:p>
        </w:tc>
        <w:tc>
          <w:tcPr>
            <w:tcW w:w="810" w:type="dxa"/>
            <w:noWrap/>
            <w:vAlign w:val="center"/>
          </w:tcPr>
          <w:p w14:paraId="5506848C"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0</w:t>
            </w:r>
          </w:p>
        </w:tc>
        <w:tc>
          <w:tcPr>
            <w:tcW w:w="810" w:type="dxa"/>
            <w:noWrap/>
            <w:vAlign w:val="center"/>
          </w:tcPr>
          <w:p w14:paraId="7617D01D"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6</w:t>
            </w:r>
          </w:p>
        </w:tc>
        <w:tc>
          <w:tcPr>
            <w:tcW w:w="810" w:type="dxa"/>
            <w:noWrap/>
            <w:vAlign w:val="center"/>
          </w:tcPr>
          <w:p w14:paraId="0A97DFE6"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0" w:type="dxa"/>
            <w:noWrap/>
            <w:vAlign w:val="center"/>
          </w:tcPr>
          <w:p w14:paraId="7F753BAA"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3342DF" w:rsidRPr="00613DE5" w14:paraId="0209E241" w14:textId="77777777" w:rsidTr="00FE38B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51D8E141"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Biotinidase deficiency</w:t>
            </w:r>
          </w:p>
        </w:tc>
        <w:tc>
          <w:tcPr>
            <w:tcW w:w="789" w:type="dxa"/>
            <w:noWrap/>
            <w:vAlign w:val="center"/>
            <w:hideMark/>
          </w:tcPr>
          <w:p w14:paraId="084666AA"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10" w:type="dxa"/>
            <w:noWrap/>
            <w:vAlign w:val="center"/>
            <w:hideMark/>
          </w:tcPr>
          <w:p w14:paraId="0FDD3864"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34C90362"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w:t>
            </w:r>
          </w:p>
        </w:tc>
        <w:tc>
          <w:tcPr>
            <w:tcW w:w="720" w:type="dxa"/>
            <w:noWrap/>
            <w:vAlign w:val="center"/>
          </w:tcPr>
          <w:p w14:paraId="1E93A324"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0</w:t>
            </w:r>
          </w:p>
        </w:tc>
        <w:tc>
          <w:tcPr>
            <w:tcW w:w="810" w:type="dxa"/>
            <w:noWrap/>
            <w:vAlign w:val="center"/>
          </w:tcPr>
          <w:p w14:paraId="20E65C12"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10" w:type="dxa"/>
            <w:noWrap/>
            <w:vAlign w:val="center"/>
          </w:tcPr>
          <w:p w14:paraId="4066D6A9"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0</w:t>
            </w:r>
          </w:p>
        </w:tc>
        <w:tc>
          <w:tcPr>
            <w:tcW w:w="810" w:type="dxa"/>
            <w:noWrap/>
            <w:vAlign w:val="center"/>
          </w:tcPr>
          <w:p w14:paraId="4445ED1B"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c>
          <w:tcPr>
            <w:tcW w:w="810" w:type="dxa"/>
            <w:noWrap/>
            <w:vAlign w:val="center"/>
          </w:tcPr>
          <w:p w14:paraId="49A60B3C"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A3156A" w:rsidRPr="00613DE5" w14:paraId="3F145009" w14:textId="77777777" w:rsidTr="00FE38BD">
        <w:trPr>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503988D7"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 xml:space="preserve">Congenital adrenal hyperplasia </w:t>
            </w:r>
          </w:p>
        </w:tc>
        <w:tc>
          <w:tcPr>
            <w:tcW w:w="789" w:type="dxa"/>
            <w:noWrap/>
            <w:vAlign w:val="center"/>
            <w:hideMark/>
          </w:tcPr>
          <w:p w14:paraId="4A4386E9"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10</w:t>
            </w:r>
          </w:p>
        </w:tc>
        <w:tc>
          <w:tcPr>
            <w:tcW w:w="810" w:type="dxa"/>
            <w:noWrap/>
            <w:vAlign w:val="center"/>
            <w:hideMark/>
          </w:tcPr>
          <w:p w14:paraId="1B9B6B38"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346CFD44"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3</w:t>
            </w:r>
          </w:p>
        </w:tc>
        <w:tc>
          <w:tcPr>
            <w:tcW w:w="720" w:type="dxa"/>
            <w:noWrap/>
            <w:vAlign w:val="center"/>
          </w:tcPr>
          <w:p w14:paraId="543CDCD7"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0</w:t>
            </w:r>
          </w:p>
        </w:tc>
        <w:tc>
          <w:tcPr>
            <w:tcW w:w="810" w:type="dxa"/>
            <w:noWrap/>
            <w:vAlign w:val="center"/>
          </w:tcPr>
          <w:p w14:paraId="3DF0F45B"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3</w:t>
            </w:r>
          </w:p>
        </w:tc>
        <w:tc>
          <w:tcPr>
            <w:tcW w:w="810" w:type="dxa"/>
            <w:noWrap/>
            <w:vAlign w:val="center"/>
          </w:tcPr>
          <w:p w14:paraId="5FDB0F23"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0</w:t>
            </w:r>
          </w:p>
        </w:tc>
        <w:tc>
          <w:tcPr>
            <w:tcW w:w="810" w:type="dxa"/>
            <w:noWrap/>
            <w:vAlign w:val="center"/>
          </w:tcPr>
          <w:p w14:paraId="71E0A7E0"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0" w:type="dxa"/>
            <w:noWrap/>
            <w:vAlign w:val="center"/>
          </w:tcPr>
          <w:p w14:paraId="5295275F"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3342DF" w:rsidRPr="00613DE5" w14:paraId="155C32CE" w14:textId="77777777" w:rsidTr="00FE38B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094F5206"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Cystic fibrosis*</w:t>
            </w:r>
          </w:p>
        </w:tc>
        <w:tc>
          <w:tcPr>
            <w:tcW w:w="789" w:type="dxa"/>
            <w:noWrap/>
            <w:vAlign w:val="center"/>
            <w:hideMark/>
          </w:tcPr>
          <w:p w14:paraId="430A611C"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10" w:type="dxa"/>
            <w:noWrap/>
            <w:vAlign w:val="center"/>
            <w:hideMark/>
          </w:tcPr>
          <w:p w14:paraId="003C3A1B"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218DC380"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w:t>
            </w:r>
          </w:p>
        </w:tc>
        <w:tc>
          <w:tcPr>
            <w:tcW w:w="720" w:type="dxa"/>
            <w:noWrap/>
            <w:vAlign w:val="center"/>
          </w:tcPr>
          <w:p w14:paraId="5691C6FD"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8</w:t>
            </w:r>
          </w:p>
        </w:tc>
        <w:tc>
          <w:tcPr>
            <w:tcW w:w="810" w:type="dxa"/>
            <w:noWrap/>
            <w:vAlign w:val="center"/>
          </w:tcPr>
          <w:p w14:paraId="318BB6B2"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10" w:type="dxa"/>
            <w:noWrap/>
            <w:vAlign w:val="center"/>
          </w:tcPr>
          <w:p w14:paraId="57EC9BE3"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8</w:t>
            </w:r>
          </w:p>
        </w:tc>
        <w:tc>
          <w:tcPr>
            <w:tcW w:w="810" w:type="dxa"/>
            <w:noWrap/>
            <w:vAlign w:val="center"/>
          </w:tcPr>
          <w:p w14:paraId="2B252969"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c>
          <w:tcPr>
            <w:tcW w:w="810" w:type="dxa"/>
            <w:noWrap/>
            <w:vAlign w:val="center"/>
          </w:tcPr>
          <w:p w14:paraId="4BB261BB"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r>
      <w:tr w:rsidR="00A3156A" w:rsidRPr="00613DE5" w14:paraId="2BE4C8B4" w14:textId="77777777" w:rsidTr="00FE38BD">
        <w:trPr>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0D15C395" w14:textId="77777777" w:rsidR="0061629A" w:rsidRPr="00613DE5" w:rsidRDefault="0061629A" w:rsidP="00974B8F">
            <w:pPr>
              <w:rPr>
                <w:rFonts w:eastAsia="Times New Roman"/>
                <w:b w:val="0"/>
                <w:bCs w:val="0"/>
                <w:color w:val="000000"/>
                <w:lang w:val="en-NZ" w:eastAsia="en-NZ"/>
              </w:rPr>
            </w:pPr>
            <w:r w:rsidRPr="00613DE5">
              <w:rPr>
                <w:b w:val="0"/>
                <w:bCs w:val="0"/>
                <w:color w:val="000000"/>
                <w:lang w:val="en-NZ" w:eastAsia="en-NZ"/>
              </w:rPr>
              <w:t>Congenital hypothyroidism**</w:t>
            </w:r>
          </w:p>
        </w:tc>
        <w:tc>
          <w:tcPr>
            <w:tcW w:w="789" w:type="dxa"/>
            <w:noWrap/>
            <w:vAlign w:val="center"/>
            <w:hideMark/>
          </w:tcPr>
          <w:p w14:paraId="16FCEE31"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10</w:t>
            </w:r>
          </w:p>
        </w:tc>
        <w:tc>
          <w:tcPr>
            <w:tcW w:w="810" w:type="dxa"/>
            <w:noWrap/>
            <w:vAlign w:val="center"/>
            <w:hideMark/>
          </w:tcPr>
          <w:p w14:paraId="004A9716"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4892CCD5"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14</w:t>
            </w:r>
          </w:p>
        </w:tc>
        <w:tc>
          <w:tcPr>
            <w:tcW w:w="720" w:type="dxa"/>
            <w:noWrap/>
            <w:vAlign w:val="center"/>
          </w:tcPr>
          <w:p w14:paraId="42C8D6CE"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14</w:t>
            </w:r>
          </w:p>
        </w:tc>
        <w:tc>
          <w:tcPr>
            <w:tcW w:w="810" w:type="dxa"/>
            <w:noWrap/>
            <w:vAlign w:val="center"/>
          </w:tcPr>
          <w:p w14:paraId="2DE57361"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13</w:t>
            </w:r>
          </w:p>
        </w:tc>
        <w:tc>
          <w:tcPr>
            <w:tcW w:w="810" w:type="dxa"/>
            <w:noWrap/>
            <w:vAlign w:val="center"/>
          </w:tcPr>
          <w:p w14:paraId="56882235"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13</w:t>
            </w:r>
          </w:p>
        </w:tc>
        <w:tc>
          <w:tcPr>
            <w:tcW w:w="810" w:type="dxa"/>
            <w:noWrap/>
            <w:vAlign w:val="center"/>
          </w:tcPr>
          <w:p w14:paraId="3F954084" w14:textId="01649A3D"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1</w:t>
            </w:r>
          </w:p>
        </w:tc>
        <w:tc>
          <w:tcPr>
            <w:tcW w:w="810" w:type="dxa"/>
            <w:noWrap/>
            <w:vAlign w:val="center"/>
          </w:tcPr>
          <w:p w14:paraId="5BD8EC0E" w14:textId="0B7DB6E8"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1</w:t>
            </w:r>
          </w:p>
        </w:tc>
      </w:tr>
      <w:tr w:rsidR="003342DF" w:rsidRPr="00613DE5" w14:paraId="066A7979" w14:textId="77777777" w:rsidTr="00FE38B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02F45F49"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Fatty acid oxidation disorders</w:t>
            </w:r>
          </w:p>
        </w:tc>
        <w:tc>
          <w:tcPr>
            <w:tcW w:w="789" w:type="dxa"/>
            <w:noWrap/>
            <w:vAlign w:val="center"/>
            <w:hideMark/>
          </w:tcPr>
          <w:p w14:paraId="73F82857"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10</w:t>
            </w:r>
          </w:p>
        </w:tc>
        <w:tc>
          <w:tcPr>
            <w:tcW w:w="810" w:type="dxa"/>
            <w:noWrap/>
            <w:vAlign w:val="center"/>
            <w:hideMark/>
          </w:tcPr>
          <w:p w14:paraId="123093FC"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6CA9F732"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3</w:t>
            </w:r>
          </w:p>
        </w:tc>
        <w:tc>
          <w:tcPr>
            <w:tcW w:w="720" w:type="dxa"/>
            <w:noWrap/>
            <w:vAlign w:val="center"/>
          </w:tcPr>
          <w:p w14:paraId="4F7D3266"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2</w:t>
            </w:r>
          </w:p>
        </w:tc>
        <w:tc>
          <w:tcPr>
            <w:tcW w:w="810" w:type="dxa"/>
            <w:noWrap/>
            <w:vAlign w:val="center"/>
          </w:tcPr>
          <w:p w14:paraId="11034900"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3</w:t>
            </w:r>
          </w:p>
        </w:tc>
        <w:tc>
          <w:tcPr>
            <w:tcW w:w="810" w:type="dxa"/>
            <w:noWrap/>
            <w:vAlign w:val="center"/>
          </w:tcPr>
          <w:p w14:paraId="46144597"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w:t>
            </w:r>
          </w:p>
        </w:tc>
        <w:tc>
          <w:tcPr>
            <w:tcW w:w="810" w:type="dxa"/>
            <w:noWrap/>
            <w:vAlign w:val="center"/>
          </w:tcPr>
          <w:p w14:paraId="12BE7B5D"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0" w:type="dxa"/>
            <w:noWrap/>
            <w:vAlign w:val="center"/>
          </w:tcPr>
          <w:p w14:paraId="308F5988"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A3156A" w:rsidRPr="00613DE5" w14:paraId="53F43E8C" w14:textId="77777777" w:rsidTr="00FE38BD">
        <w:trPr>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3DC2B9E0"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Galactosaemia</w:t>
            </w:r>
          </w:p>
        </w:tc>
        <w:tc>
          <w:tcPr>
            <w:tcW w:w="789" w:type="dxa"/>
            <w:noWrap/>
            <w:vAlign w:val="center"/>
            <w:hideMark/>
          </w:tcPr>
          <w:p w14:paraId="72619293"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10</w:t>
            </w:r>
          </w:p>
        </w:tc>
        <w:tc>
          <w:tcPr>
            <w:tcW w:w="810" w:type="dxa"/>
            <w:noWrap/>
            <w:vAlign w:val="center"/>
            <w:hideMark/>
          </w:tcPr>
          <w:p w14:paraId="24410731"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28</w:t>
            </w:r>
          </w:p>
        </w:tc>
        <w:tc>
          <w:tcPr>
            <w:tcW w:w="720" w:type="dxa"/>
            <w:noWrap/>
            <w:vAlign w:val="center"/>
          </w:tcPr>
          <w:p w14:paraId="6DBDAAF4"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w:t>
            </w:r>
          </w:p>
        </w:tc>
        <w:tc>
          <w:tcPr>
            <w:tcW w:w="720" w:type="dxa"/>
            <w:noWrap/>
            <w:vAlign w:val="center"/>
          </w:tcPr>
          <w:p w14:paraId="20544FC6"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0</w:t>
            </w:r>
          </w:p>
        </w:tc>
        <w:tc>
          <w:tcPr>
            <w:tcW w:w="810" w:type="dxa"/>
            <w:noWrap/>
            <w:vAlign w:val="center"/>
          </w:tcPr>
          <w:p w14:paraId="5D851F97"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w:t>
            </w:r>
          </w:p>
        </w:tc>
        <w:tc>
          <w:tcPr>
            <w:tcW w:w="810" w:type="dxa"/>
            <w:noWrap/>
            <w:vAlign w:val="center"/>
          </w:tcPr>
          <w:p w14:paraId="5719DAB1"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0</w:t>
            </w:r>
          </w:p>
        </w:tc>
        <w:tc>
          <w:tcPr>
            <w:tcW w:w="810" w:type="dxa"/>
            <w:noWrap/>
            <w:vAlign w:val="center"/>
          </w:tcPr>
          <w:p w14:paraId="15E7954A"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c>
          <w:tcPr>
            <w:tcW w:w="810" w:type="dxa"/>
            <w:noWrap/>
            <w:vAlign w:val="center"/>
          </w:tcPr>
          <w:p w14:paraId="7056FB51" w14:textId="77777777" w:rsidR="0061629A" w:rsidRPr="00613DE5" w:rsidRDefault="0061629A"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3342DF" w:rsidRPr="00613DE5" w14:paraId="28BC0DCE" w14:textId="77777777" w:rsidTr="00FE38B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256" w:type="dxa"/>
            <w:vAlign w:val="center"/>
            <w:hideMark/>
          </w:tcPr>
          <w:p w14:paraId="5C105EE5" w14:textId="77777777" w:rsidR="0061629A" w:rsidRPr="00613DE5" w:rsidRDefault="0061629A" w:rsidP="005776E1">
            <w:pPr>
              <w:rPr>
                <w:rFonts w:eastAsia="Times New Roman"/>
                <w:b w:val="0"/>
                <w:bCs w:val="0"/>
                <w:color w:val="000000"/>
                <w:lang w:val="en-NZ" w:eastAsia="en-NZ"/>
              </w:rPr>
            </w:pPr>
            <w:r w:rsidRPr="00613DE5">
              <w:rPr>
                <w:b w:val="0"/>
                <w:bCs w:val="0"/>
                <w:color w:val="000000"/>
                <w:lang w:val="en-NZ" w:eastAsia="en-NZ"/>
              </w:rPr>
              <w:t>SCID</w:t>
            </w:r>
          </w:p>
        </w:tc>
        <w:tc>
          <w:tcPr>
            <w:tcW w:w="789" w:type="dxa"/>
            <w:vAlign w:val="center"/>
            <w:hideMark/>
          </w:tcPr>
          <w:p w14:paraId="7B154F74"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10" w:type="dxa"/>
            <w:noWrap/>
            <w:vAlign w:val="center"/>
            <w:hideMark/>
          </w:tcPr>
          <w:p w14:paraId="7B96144A"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14</w:t>
            </w:r>
          </w:p>
        </w:tc>
        <w:tc>
          <w:tcPr>
            <w:tcW w:w="720" w:type="dxa"/>
            <w:noWrap/>
            <w:vAlign w:val="center"/>
          </w:tcPr>
          <w:p w14:paraId="47956487"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w:t>
            </w:r>
          </w:p>
        </w:tc>
        <w:tc>
          <w:tcPr>
            <w:tcW w:w="720" w:type="dxa"/>
            <w:noWrap/>
            <w:vAlign w:val="center"/>
          </w:tcPr>
          <w:p w14:paraId="493E5C72"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b/>
                <w:bCs/>
                <w:color w:val="000000"/>
                <w:lang w:val="en-NZ" w:eastAsia="en-NZ"/>
              </w:rPr>
              <w:t>1</w:t>
            </w:r>
          </w:p>
        </w:tc>
        <w:tc>
          <w:tcPr>
            <w:tcW w:w="810" w:type="dxa"/>
            <w:noWrap/>
            <w:vAlign w:val="center"/>
          </w:tcPr>
          <w:p w14:paraId="786D4D3D"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w:t>
            </w:r>
          </w:p>
        </w:tc>
        <w:tc>
          <w:tcPr>
            <w:tcW w:w="810" w:type="dxa"/>
            <w:noWrap/>
            <w:vAlign w:val="center"/>
          </w:tcPr>
          <w:p w14:paraId="14391679"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val="en-NZ" w:eastAsia="en-NZ"/>
              </w:rPr>
            </w:pPr>
            <w:r w:rsidRPr="00613DE5">
              <w:rPr>
                <w:rFonts w:eastAsia="Times New Roman"/>
                <w:color w:val="000000"/>
                <w:lang w:val="en-NZ" w:eastAsia="en-NZ"/>
              </w:rPr>
              <w:t>1</w:t>
            </w:r>
          </w:p>
        </w:tc>
        <w:tc>
          <w:tcPr>
            <w:tcW w:w="810" w:type="dxa"/>
            <w:noWrap/>
            <w:vAlign w:val="center"/>
          </w:tcPr>
          <w:p w14:paraId="6D1FD66D"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w:t>
            </w:r>
          </w:p>
        </w:tc>
        <w:tc>
          <w:tcPr>
            <w:tcW w:w="810" w:type="dxa"/>
            <w:noWrap/>
            <w:vAlign w:val="center"/>
          </w:tcPr>
          <w:p w14:paraId="797215D2" w14:textId="77777777" w:rsidR="0061629A" w:rsidRPr="00613DE5" w:rsidRDefault="0061629A" w:rsidP="005776E1">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color w:val="000000"/>
                <w:lang w:val="en-NZ" w:eastAsia="en-NZ"/>
              </w:rPr>
              <w:t>0</w:t>
            </w:r>
          </w:p>
        </w:tc>
      </w:tr>
      <w:tr w:rsidR="00E95F0C" w:rsidRPr="00613DE5" w14:paraId="27246E3D" w14:textId="77777777" w:rsidTr="00FE38BD">
        <w:trPr>
          <w:trHeight w:val="289"/>
        </w:trPr>
        <w:tc>
          <w:tcPr>
            <w:cnfStyle w:val="001000000000" w:firstRow="0" w:lastRow="0" w:firstColumn="1" w:lastColumn="0" w:oddVBand="0" w:evenVBand="0" w:oddHBand="0" w:evenHBand="0" w:firstRowFirstColumn="0" w:firstRowLastColumn="0" w:lastRowFirstColumn="0" w:lastRowLastColumn="0"/>
            <w:tcW w:w="4855" w:type="dxa"/>
            <w:gridSpan w:val="3"/>
            <w:vAlign w:val="center"/>
            <w:hideMark/>
          </w:tcPr>
          <w:p w14:paraId="6C63B551" w14:textId="33ED2DD2" w:rsidR="00E95F0C" w:rsidRPr="00613DE5" w:rsidRDefault="00E95F0C" w:rsidP="00E95F0C">
            <w:pPr>
              <w:jc w:val="right"/>
              <w:rPr>
                <w:rFonts w:eastAsia="Times New Roman"/>
                <w:color w:val="000000"/>
                <w:lang w:val="en-NZ" w:eastAsia="en-NZ"/>
              </w:rPr>
            </w:pPr>
            <w:r w:rsidRPr="00613DE5">
              <w:rPr>
                <w:rFonts w:eastAsia="Times New Roman"/>
                <w:color w:val="000000"/>
                <w:lang w:val="en-NZ" w:eastAsia="en-NZ"/>
              </w:rPr>
              <w:t>Total</w:t>
            </w:r>
          </w:p>
        </w:tc>
        <w:tc>
          <w:tcPr>
            <w:tcW w:w="720" w:type="dxa"/>
            <w:noWrap/>
            <w:vAlign w:val="center"/>
          </w:tcPr>
          <w:p w14:paraId="482FE347" w14:textId="77777777" w:rsidR="00E95F0C" w:rsidRPr="00613DE5" w:rsidRDefault="00E95F0C"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21</w:t>
            </w:r>
          </w:p>
        </w:tc>
        <w:tc>
          <w:tcPr>
            <w:tcW w:w="720" w:type="dxa"/>
            <w:noWrap/>
            <w:vAlign w:val="center"/>
          </w:tcPr>
          <w:p w14:paraId="702F088F" w14:textId="77777777" w:rsidR="00E95F0C" w:rsidRPr="00613DE5" w:rsidRDefault="00E95F0C" w:rsidP="005776E1">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31</w:t>
            </w:r>
          </w:p>
        </w:tc>
        <w:tc>
          <w:tcPr>
            <w:tcW w:w="810" w:type="dxa"/>
            <w:noWrap/>
            <w:vAlign w:val="center"/>
          </w:tcPr>
          <w:p w14:paraId="595640FC" w14:textId="48A939A6" w:rsidR="00E95F0C" w:rsidRPr="00613DE5" w:rsidRDefault="00E95F0C" w:rsidP="007D3DFD">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20</w:t>
            </w:r>
          </w:p>
        </w:tc>
        <w:tc>
          <w:tcPr>
            <w:tcW w:w="810" w:type="dxa"/>
            <w:noWrap/>
            <w:vAlign w:val="center"/>
          </w:tcPr>
          <w:p w14:paraId="1376FD1D" w14:textId="76E83CA2" w:rsidR="00E95F0C" w:rsidRPr="00613DE5" w:rsidRDefault="00E95F0C" w:rsidP="007D3DFD">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30</w:t>
            </w:r>
          </w:p>
        </w:tc>
        <w:tc>
          <w:tcPr>
            <w:tcW w:w="810" w:type="dxa"/>
            <w:noWrap/>
            <w:vAlign w:val="center"/>
          </w:tcPr>
          <w:p w14:paraId="5AE63526" w14:textId="0C2FCB7B" w:rsidR="00E95F0C" w:rsidRPr="00613DE5" w:rsidRDefault="00E95F0C" w:rsidP="007D3DFD">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1</w:t>
            </w:r>
          </w:p>
        </w:tc>
        <w:tc>
          <w:tcPr>
            <w:tcW w:w="810" w:type="dxa"/>
            <w:noWrap/>
            <w:vAlign w:val="center"/>
          </w:tcPr>
          <w:p w14:paraId="14D41488" w14:textId="72953AB4" w:rsidR="00E95F0C" w:rsidRPr="00613DE5" w:rsidRDefault="00E95F0C" w:rsidP="007D3DFD">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1</w:t>
            </w:r>
          </w:p>
        </w:tc>
      </w:tr>
      <w:tr w:rsidR="007D3DFD" w:rsidRPr="00613DE5" w14:paraId="363EAF52" w14:textId="77777777" w:rsidTr="00FE38B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855" w:type="dxa"/>
            <w:gridSpan w:val="3"/>
            <w:vAlign w:val="center"/>
          </w:tcPr>
          <w:p w14:paraId="27E2F6FE" w14:textId="52F3CF43" w:rsidR="007D3DFD" w:rsidRPr="00613DE5" w:rsidRDefault="00BD0D63" w:rsidP="00BD0D63">
            <w:pPr>
              <w:jc w:val="right"/>
              <w:rPr>
                <w:rFonts w:eastAsia="Times New Roman"/>
                <w:b w:val="0"/>
                <w:bCs w:val="0"/>
                <w:color w:val="000000"/>
                <w:lang w:val="en-NZ" w:eastAsia="en-NZ"/>
              </w:rPr>
            </w:pPr>
            <w:r w:rsidRPr="00BD0D63">
              <w:rPr>
                <w:rFonts w:eastAsia="Times New Roman"/>
                <w:color w:val="000000"/>
                <w:lang w:val="en-NZ" w:eastAsia="en-NZ"/>
              </w:rPr>
              <w:t>Percentage</w:t>
            </w:r>
          </w:p>
        </w:tc>
        <w:tc>
          <w:tcPr>
            <w:tcW w:w="720" w:type="dxa"/>
            <w:noWrap/>
            <w:vAlign w:val="center"/>
          </w:tcPr>
          <w:p w14:paraId="492A2725" w14:textId="77777777" w:rsidR="007D3DFD" w:rsidRPr="00613DE5" w:rsidRDefault="007D3DFD" w:rsidP="007D3DFD">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p>
        </w:tc>
        <w:tc>
          <w:tcPr>
            <w:tcW w:w="720" w:type="dxa"/>
            <w:noWrap/>
            <w:vAlign w:val="center"/>
          </w:tcPr>
          <w:p w14:paraId="712C8B1C" w14:textId="77777777" w:rsidR="007D3DFD" w:rsidRPr="00613DE5" w:rsidRDefault="007D3DFD" w:rsidP="007D3DFD">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p>
        </w:tc>
        <w:tc>
          <w:tcPr>
            <w:tcW w:w="810" w:type="dxa"/>
            <w:noWrap/>
            <w:vAlign w:val="center"/>
          </w:tcPr>
          <w:p w14:paraId="54E194C0" w14:textId="228B42E1" w:rsidR="007D3DFD" w:rsidRPr="00613DE5" w:rsidRDefault="007D3DFD" w:rsidP="007D3DFD">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95%</w:t>
            </w:r>
          </w:p>
        </w:tc>
        <w:tc>
          <w:tcPr>
            <w:tcW w:w="810" w:type="dxa"/>
            <w:noWrap/>
            <w:vAlign w:val="center"/>
          </w:tcPr>
          <w:p w14:paraId="6D147306" w14:textId="0822CA19" w:rsidR="007D3DFD" w:rsidRPr="00613DE5" w:rsidRDefault="007D3DFD" w:rsidP="007D3DFD">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97%</w:t>
            </w:r>
          </w:p>
        </w:tc>
        <w:tc>
          <w:tcPr>
            <w:tcW w:w="810" w:type="dxa"/>
            <w:noWrap/>
            <w:vAlign w:val="center"/>
          </w:tcPr>
          <w:p w14:paraId="448D8EE3" w14:textId="001B2507" w:rsidR="007D3DFD" w:rsidRPr="00613DE5" w:rsidRDefault="007D3DFD" w:rsidP="007D3DFD">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5%</w:t>
            </w:r>
          </w:p>
        </w:tc>
        <w:tc>
          <w:tcPr>
            <w:tcW w:w="810" w:type="dxa"/>
            <w:noWrap/>
            <w:vAlign w:val="center"/>
          </w:tcPr>
          <w:p w14:paraId="05AF6EEA" w14:textId="2ED9223F" w:rsidR="007D3DFD" w:rsidRPr="00613DE5" w:rsidRDefault="007D3DFD" w:rsidP="007D3DFD">
            <w:pPr>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lang w:val="en-NZ" w:eastAsia="en-NZ"/>
              </w:rPr>
            </w:pPr>
            <w:r w:rsidRPr="00613DE5">
              <w:rPr>
                <w:rFonts w:eastAsia="Times New Roman"/>
                <w:b/>
                <w:bCs/>
                <w:color w:val="000000"/>
                <w:lang w:val="en-NZ" w:eastAsia="en-NZ"/>
              </w:rPr>
              <w:t>3%</w:t>
            </w:r>
          </w:p>
        </w:tc>
      </w:tr>
    </w:tbl>
    <w:p w14:paraId="3BA5E2EB" w14:textId="77777777" w:rsidR="0061629A" w:rsidRPr="00F90B64" w:rsidRDefault="0061629A" w:rsidP="009D2530">
      <w:pPr>
        <w:rPr>
          <w:i/>
          <w:iCs/>
          <w:sz w:val="20"/>
          <w:szCs w:val="20"/>
          <w:lang w:val="en-NZ"/>
        </w:rPr>
      </w:pPr>
      <w:r w:rsidRPr="00F90B64">
        <w:rPr>
          <w:i/>
          <w:iCs/>
          <w:sz w:val="20"/>
          <w:szCs w:val="20"/>
          <w:lang w:val="en-NZ"/>
        </w:rPr>
        <w:t>CC: Clinical Critical; NCC: Not Clinical Critical</w:t>
      </w:r>
    </w:p>
    <w:p w14:paraId="058ED1CE" w14:textId="1881FE84" w:rsidR="0061629A" w:rsidRPr="00F90B64" w:rsidRDefault="0061629A" w:rsidP="009D2530">
      <w:pPr>
        <w:rPr>
          <w:i/>
          <w:iCs/>
          <w:sz w:val="20"/>
          <w:szCs w:val="20"/>
          <w:lang w:val="en-NZ"/>
        </w:rPr>
      </w:pPr>
      <w:r w:rsidRPr="00F90B64">
        <w:rPr>
          <w:i/>
          <w:iCs/>
          <w:sz w:val="20"/>
          <w:szCs w:val="20"/>
          <w:lang w:val="en-NZ"/>
        </w:rPr>
        <w:t xml:space="preserve">* The </w:t>
      </w:r>
      <w:r w:rsidR="000E4682">
        <w:rPr>
          <w:i/>
          <w:iCs/>
          <w:sz w:val="20"/>
          <w:szCs w:val="20"/>
          <w:lang w:val="en-NZ"/>
        </w:rPr>
        <w:t>Cystic Fibrosis (</w:t>
      </w:r>
      <w:r w:rsidRPr="00F90B64">
        <w:rPr>
          <w:i/>
          <w:iCs/>
          <w:sz w:val="20"/>
          <w:szCs w:val="20"/>
          <w:lang w:val="en-NZ"/>
        </w:rPr>
        <w:t>CF</w:t>
      </w:r>
      <w:r w:rsidR="00C32E5A">
        <w:rPr>
          <w:i/>
          <w:iCs/>
          <w:sz w:val="20"/>
          <w:szCs w:val="20"/>
          <w:lang w:val="en-NZ"/>
        </w:rPr>
        <w:t>)</w:t>
      </w:r>
      <w:r w:rsidRPr="00F90B64">
        <w:rPr>
          <w:i/>
          <w:iCs/>
          <w:sz w:val="20"/>
          <w:szCs w:val="20"/>
          <w:lang w:val="en-NZ"/>
        </w:rPr>
        <w:t xml:space="preserve"> case count includes 2 cases labelled </w:t>
      </w:r>
      <w:r w:rsidR="0087514E" w:rsidRPr="00F90B64">
        <w:rPr>
          <w:i/>
          <w:iCs/>
          <w:color w:val="111111"/>
          <w:sz w:val="20"/>
          <w:szCs w:val="20"/>
          <w:shd w:val="clear" w:color="auto" w:fill="FFFFFF"/>
        </w:rPr>
        <w:t>Cystic Fibrosis Screen Positive, Inconclusive Diagnosis</w:t>
      </w:r>
      <w:r w:rsidR="0087514E" w:rsidRPr="00F90B64">
        <w:rPr>
          <w:i/>
          <w:iCs/>
          <w:sz w:val="20"/>
          <w:szCs w:val="20"/>
          <w:lang w:val="en-NZ"/>
        </w:rPr>
        <w:t xml:space="preserve"> (</w:t>
      </w:r>
      <w:r w:rsidRPr="00F90B64">
        <w:rPr>
          <w:i/>
          <w:iCs/>
          <w:sz w:val="20"/>
          <w:szCs w:val="20"/>
          <w:lang w:val="en-NZ"/>
        </w:rPr>
        <w:t>CFSPID</w:t>
      </w:r>
      <w:r w:rsidR="0087514E" w:rsidRPr="00F90B64">
        <w:rPr>
          <w:i/>
          <w:iCs/>
          <w:sz w:val="20"/>
          <w:szCs w:val="20"/>
          <w:lang w:val="en-NZ"/>
        </w:rPr>
        <w:t>)</w:t>
      </w:r>
      <w:r w:rsidRPr="00F90B64">
        <w:rPr>
          <w:i/>
          <w:iCs/>
          <w:sz w:val="20"/>
          <w:szCs w:val="20"/>
          <w:lang w:val="en-NZ"/>
        </w:rPr>
        <w:t xml:space="preserve">, </w:t>
      </w:r>
      <w:r w:rsidR="0079255C" w:rsidRPr="00F90B64">
        <w:rPr>
          <w:i/>
          <w:iCs/>
          <w:sz w:val="20"/>
          <w:szCs w:val="20"/>
          <w:lang w:val="en-NZ"/>
        </w:rPr>
        <w:t>ie</w:t>
      </w:r>
      <w:r w:rsidR="00FC7AFE" w:rsidRPr="00F90B64">
        <w:rPr>
          <w:i/>
          <w:iCs/>
          <w:sz w:val="20"/>
          <w:szCs w:val="20"/>
          <w:lang w:val="en-NZ"/>
        </w:rPr>
        <w:t xml:space="preserve"> </w:t>
      </w:r>
      <w:r w:rsidRPr="00F90B64">
        <w:rPr>
          <w:i/>
          <w:iCs/>
          <w:sz w:val="20"/>
          <w:szCs w:val="20"/>
          <w:lang w:val="en-NZ"/>
        </w:rPr>
        <w:t xml:space="preserve">an asymptomatic infant with a positive newborn screen result for CF but an indeterminate diagnosis. Children in this category are followed until 6 years of age </w:t>
      </w:r>
      <w:r w:rsidR="003C3E5E" w:rsidRPr="00F90B64">
        <w:rPr>
          <w:i/>
          <w:iCs/>
          <w:sz w:val="20"/>
          <w:szCs w:val="20"/>
          <w:lang w:val="en-NZ"/>
        </w:rPr>
        <w:t>to</w:t>
      </w:r>
      <w:r w:rsidRPr="00F90B64">
        <w:rPr>
          <w:i/>
          <w:iCs/>
          <w:sz w:val="20"/>
          <w:szCs w:val="20"/>
          <w:lang w:val="en-NZ"/>
        </w:rPr>
        <w:t xml:space="preserve"> determine a final outcome, </w:t>
      </w:r>
      <w:r w:rsidR="0079255C" w:rsidRPr="00F90B64">
        <w:rPr>
          <w:i/>
          <w:iCs/>
          <w:sz w:val="20"/>
          <w:szCs w:val="20"/>
          <w:lang w:val="en-NZ"/>
        </w:rPr>
        <w:t>ie</w:t>
      </w:r>
      <w:r w:rsidRPr="00F90B64">
        <w:rPr>
          <w:i/>
          <w:iCs/>
          <w:sz w:val="20"/>
          <w:szCs w:val="20"/>
          <w:lang w:val="en-NZ"/>
        </w:rPr>
        <w:t xml:space="preserve"> CF or not CF.</w:t>
      </w:r>
    </w:p>
    <w:p w14:paraId="30BCB291" w14:textId="7903D9EF" w:rsidR="0061629A" w:rsidRPr="00F90B64" w:rsidRDefault="0061629A" w:rsidP="009D2530">
      <w:pPr>
        <w:rPr>
          <w:i/>
          <w:iCs/>
          <w:sz w:val="20"/>
          <w:szCs w:val="20"/>
          <w:lang w:val="en-NZ"/>
        </w:rPr>
      </w:pPr>
      <w:r w:rsidRPr="00F90B64">
        <w:rPr>
          <w:i/>
          <w:iCs/>
          <w:sz w:val="20"/>
          <w:szCs w:val="20"/>
          <w:lang w:val="en-NZ"/>
        </w:rPr>
        <w:t xml:space="preserve">**The Congenital Hypothyroidism (CH) count excludes an additional 15 babies with CH detected through routine repeat card collection as per the Low Birth Weight (LBW) protocol. </w:t>
      </w:r>
      <w:r w:rsidR="00165794" w:rsidRPr="00F90B64">
        <w:rPr>
          <w:i/>
          <w:iCs/>
          <w:sz w:val="20"/>
          <w:szCs w:val="20"/>
          <w:lang w:val="en-NZ"/>
        </w:rPr>
        <w:t>Preterm</w:t>
      </w:r>
      <w:r w:rsidRPr="00F90B64">
        <w:rPr>
          <w:i/>
          <w:iCs/>
          <w:sz w:val="20"/>
          <w:szCs w:val="20"/>
          <w:lang w:val="en-NZ"/>
        </w:rPr>
        <w:t xml:space="preserve"> babies with CH </w:t>
      </w:r>
      <w:r w:rsidR="00F232EA" w:rsidRPr="00F90B64">
        <w:rPr>
          <w:i/>
          <w:iCs/>
          <w:sz w:val="20"/>
          <w:szCs w:val="20"/>
          <w:lang w:val="en-NZ"/>
        </w:rPr>
        <w:t>are frequently not detected through screening samples collected at 48 hours, so additional scheduled samples are collected.</w:t>
      </w:r>
      <w:r w:rsidRPr="00F90B64">
        <w:rPr>
          <w:i/>
          <w:iCs/>
          <w:sz w:val="20"/>
          <w:szCs w:val="20"/>
          <w:lang w:val="en-NZ"/>
        </w:rPr>
        <w:t xml:space="preserve"> Of the 15 babies, none were detectable on a routine 48</w:t>
      </w:r>
      <w:r w:rsidR="00B242F3" w:rsidRPr="00F90B64">
        <w:rPr>
          <w:i/>
          <w:iCs/>
          <w:sz w:val="20"/>
          <w:szCs w:val="20"/>
          <w:lang w:val="en-NZ"/>
        </w:rPr>
        <w:t xml:space="preserve"> </w:t>
      </w:r>
      <w:r w:rsidRPr="00F90B64">
        <w:rPr>
          <w:i/>
          <w:iCs/>
          <w:sz w:val="20"/>
          <w:szCs w:val="20"/>
          <w:lang w:val="en-NZ"/>
        </w:rPr>
        <w:t xml:space="preserve">hour sample, 13 were detected from a scheduled </w:t>
      </w:r>
      <w:r w:rsidR="0079255C" w:rsidRPr="00F90B64">
        <w:rPr>
          <w:i/>
          <w:iCs/>
          <w:sz w:val="20"/>
          <w:szCs w:val="20"/>
          <w:lang w:val="en-NZ"/>
        </w:rPr>
        <w:t>two</w:t>
      </w:r>
      <w:r w:rsidRPr="00F90B64">
        <w:rPr>
          <w:i/>
          <w:iCs/>
          <w:sz w:val="20"/>
          <w:szCs w:val="20"/>
          <w:lang w:val="en-NZ"/>
        </w:rPr>
        <w:t xml:space="preserve"> week sample and </w:t>
      </w:r>
      <w:r w:rsidR="0079255C" w:rsidRPr="00F90B64">
        <w:rPr>
          <w:i/>
          <w:iCs/>
          <w:sz w:val="20"/>
          <w:szCs w:val="20"/>
          <w:lang w:val="en-NZ"/>
        </w:rPr>
        <w:t>two</w:t>
      </w:r>
      <w:r w:rsidRPr="00F90B64">
        <w:rPr>
          <w:i/>
          <w:iCs/>
          <w:sz w:val="20"/>
          <w:szCs w:val="20"/>
          <w:lang w:val="en-NZ"/>
        </w:rPr>
        <w:t xml:space="preserve"> from a scheduled </w:t>
      </w:r>
      <w:r w:rsidR="0079255C" w:rsidRPr="00F90B64">
        <w:rPr>
          <w:i/>
          <w:iCs/>
          <w:sz w:val="20"/>
          <w:szCs w:val="20"/>
          <w:lang w:val="en-NZ"/>
        </w:rPr>
        <w:t xml:space="preserve">four </w:t>
      </w:r>
      <w:r w:rsidRPr="00F90B64">
        <w:rPr>
          <w:i/>
          <w:iCs/>
          <w:sz w:val="20"/>
          <w:szCs w:val="20"/>
          <w:lang w:val="en-NZ"/>
        </w:rPr>
        <w:t>week sample.</w:t>
      </w:r>
    </w:p>
    <w:p w14:paraId="521B4256" w14:textId="77777777" w:rsidR="0061629A" w:rsidRPr="00613DE5" w:rsidRDefault="0061629A" w:rsidP="0061629A">
      <w:pPr>
        <w:spacing w:after="0"/>
        <w:rPr>
          <w:rFonts w:cstheme="minorHAnsi"/>
          <w:sz w:val="20"/>
          <w:szCs w:val="20"/>
          <w:lang w:val="en-NZ"/>
        </w:rPr>
      </w:pPr>
    </w:p>
    <w:p w14:paraId="7ACCB907" w14:textId="77777777" w:rsidR="0061629A" w:rsidRPr="00613DE5" w:rsidRDefault="0061629A" w:rsidP="0061629A">
      <w:pPr>
        <w:spacing w:after="0"/>
        <w:rPr>
          <w:rFonts w:cstheme="minorHAnsi"/>
          <w:sz w:val="20"/>
          <w:szCs w:val="20"/>
          <w:lang w:val="en-NZ"/>
        </w:rPr>
      </w:pPr>
    </w:p>
    <w:p w14:paraId="1AE32EF1" w14:textId="77777777" w:rsidR="0061629A" w:rsidRPr="00613DE5" w:rsidRDefault="0061629A" w:rsidP="0061629A">
      <w:pPr>
        <w:rPr>
          <w:sz w:val="20"/>
          <w:szCs w:val="20"/>
          <w:lang w:val="en-NZ"/>
        </w:rPr>
      </w:pPr>
    </w:p>
    <w:p w14:paraId="188C8E86" w14:textId="77777777" w:rsidR="0061629A" w:rsidRPr="00613DE5" w:rsidRDefault="0061629A" w:rsidP="0061629A">
      <w:pPr>
        <w:rPr>
          <w:sz w:val="20"/>
          <w:szCs w:val="20"/>
          <w:lang w:val="en-NZ"/>
        </w:rPr>
      </w:pPr>
    </w:p>
    <w:p w14:paraId="63445C48" w14:textId="77777777" w:rsidR="0061629A" w:rsidRPr="00613DE5" w:rsidRDefault="0061629A" w:rsidP="0061629A">
      <w:pPr>
        <w:rPr>
          <w:lang w:val="en-NZ"/>
        </w:rPr>
      </w:pPr>
    </w:p>
    <w:p w14:paraId="50951970" w14:textId="09C57729" w:rsidR="0061629A" w:rsidRPr="00613DE5" w:rsidRDefault="0061629A" w:rsidP="0061629A">
      <w:pPr>
        <w:pStyle w:val="Heading1"/>
        <w:rPr>
          <w:sz w:val="48"/>
          <w:szCs w:val="48"/>
          <w:lang w:val="en-NZ"/>
        </w:rPr>
      </w:pPr>
      <w:r w:rsidRPr="00613DE5">
        <w:rPr>
          <w:lang w:val="en-NZ"/>
        </w:rPr>
        <w:br w:type="page"/>
      </w:r>
      <w:bookmarkStart w:id="61" w:name="_Toc160616230"/>
      <w:bookmarkStart w:id="62" w:name="_Toc179192071"/>
      <w:r w:rsidRPr="00613DE5">
        <w:rPr>
          <w:lang w:val="en-NZ"/>
        </w:rPr>
        <w:lastRenderedPageBreak/>
        <w:t>Indicator 8: Positive predictive value of the</w:t>
      </w:r>
      <w:r w:rsidR="00287582">
        <w:rPr>
          <w:lang w:val="en-NZ"/>
        </w:rPr>
        <w:t xml:space="preserve"> </w:t>
      </w:r>
      <w:r w:rsidRPr="00613DE5">
        <w:rPr>
          <w:lang w:val="en-NZ"/>
        </w:rPr>
        <w:t>screening test</w:t>
      </w:r>
      <w:bookmarkEnd w:id="61"/>
      <w:bookmarkEnd w:id="62"/>
    </w:p>
    <w:p w14:paraId="02FDAB04" w14:textId="029D64AF" w:rsidR="0061629A" w:rsidRPr="00613DE5" w:rsidRDefault="0061629A" w:rsidP="009D2530">
      <w:pPr>
        <w:rPr>
          <w:lang w:val="en-NZ"/>
        </w:rPr>
      </w:pPr>
      <w:r w:rsidRPr="00613DE5">
        <w:rPr>
          <w:b/>
          <w:bCs/>
          <w:lang w:val="en-NZ"/>
        </w:rPr>
        <w:t>Description:</w:t>
      </w:r>
      <w:r w:rsidRPr="00613DE5">
        <w:rPr>
          <w:lang w:val="en-NZ"/>
        </w:rPr>
        <w:t xml:space="preserve"> The probability of a baby having a positive diagnosis for a screened condition given a positive screening result for that condition.</w:t>
      </w:r>
      <w:r w:rsidR="00F94A68" w:rsidRPr="00F94A68">
        <w:t xml:space="preserve"> </w:t>
      </w:r>
    </w:p>
    <w:p w14:paraId="58967D50" w14:textId="6B559273" w:rsidR="0061629A" w:rsidRPr="00613DE5" w:rsidRDefault="0061629A" w:rsidP="009D2530">
      <w:pPr>
        <w:rPr>
          <w:lang w:val="en-NZ"/>
        </w:rPr>
      </w:pPr>
      <w:r w:rsidRPr="00613DE5">
        <w:rPr>
          <w:b/>
          <w:bCs/>
          <w:lang w:val="en-NZ"/>
        </w:rPr>
        <w:t>Rationale:</w:t>
      </w:r>
      <w:r w:rsidRPr="00613DE5">
        <w:rPr>
          <w:lang w:val="en-NZ"/>
        </w:rPr>
        <w:t xml:space="preserve"> Positive predictive value (PPV) is </w:t>
      </w:r>
      <w:r w:rsidRPr="00BF1E8B">
        <w:rPr>
          <w:lang w:val="en-NZ"/>
        </w:rPr>
        <w:t>a measure of the performance of the screening test. A low</w:t>
      </w:r>
      <w:r w:rsidRPr="00613DE5">
        <w:rPr>
          <w:lang w:val="en-NZ"/>
        </w:rPr>
        <w:t xml:space="preserve"> PPV means many babies without a screened condition will be referred for diagnostic testing, this brings associated costs and anxiety for families. Reporting of PPV helps to monitor the potential harm of the programme due to identification of false positives through screening.</w:t>
      </w:r>
    </w:p>
    <w:p w14:paraId="20523D22" w14:textId="77777777" w:rsidR="0061629A" w:rsidRPr="00613DE5" w:rsidRDefault="0061629A" w:rsidP="009D2530">
      <w:pPr>
        <w:rPr>
          <w:lang w:val="en-NZ"/>
        </w:rPr>
      </w:pPr>
      <w:r w:rsidRPr="00613DE5">
        <w:rPr>
          <w:b/>
          <w:bCs/>
          <w:lang w:val="en-NZ"/>
        </w:rPr>
        <w:t>Target:</w:t>
      </w:r>
      <w:r w:rsidRPr="00613DE5">
        <w:rPr>
          <w:lang w:val="en-NZ"/>
        </w:rPr>
        <w:t xml:space="preserve"> None.</w:t>
      </w:r>
    </w:p>
    <w:p w14:paraId="05D97473" w14:textId="457F95B6" w:rsidR="008D0E35" w:rsidRDefault="0061629A" w:rsidP="009D2530">
      <w:pPr>
        <w:rPr>
          <w:lang w:val="en-NZ"/>
        </w:rPr>
      </w:pPr>
      <w:r w:rsidRPr="00613DE5">
        <w:rPr>
          <w:b/>
          <w:bCs/>
          <w:lang w:val="en-NZ"/>
        </w:rPr>
        <w:t>Interpretation:</w:t>
      </w:r>
      <w:r w:rsidRPr="00613DE5">
        <w:rPr>
          <w:lang w:val="en-NZ"/>
        </w:rPr>
        <w:t xml:space="preserve"> </w:t>
      </w:r>
      <w:r w:rsidR="008D0E35">
        <w:rPr>
          <w:lang w:val="en-NZ"/>
        </w:rPr>
        <w:t xml:space="preserve">The PPV </w:t>
      </w:r>
      <w:r w:rsidR="008D0E35" w:rsidRPr="00F94A68">
        <w:rPr>
          <w:lang w:val="en-NZ"/>
        </w:rPr>
        <w:t xml:space="preserve">is affected by the sensitivity and specificity of a test, as well as the prevalence of a condition, and as a result </w:t>
      </w:r>
      <w:r w:rsidR="007B4386">
        <w:rPr>
          <w:lang w:val="en-NZ"/>
        </w:rPr>
        <w:t>the PPV</w:t>
      </w:r>
      <w:r w:rsidR="008D0E35" w:rsidRPr="00F94A68">
        <w:rPr>
          <w:lang w:val="en-NZ"/>
        </w:rPr>
        <w:t xml:space="preserve"> is likely to vary by condition tested for in newborn blood screening.</w:t>
      </w:r>
    </w:p>
    <w:p w14:paraId="0E000E62" w14:textId="01326857" w:rsidR="0061629A" w:rsidRPr="00613DE5" w:rsidRDefault="0061629A" w:rsidP="009D2530">
      <w:pPr>
        <w:rPr>
          <w:lang w:val="en-NZ"/>
        </w:rPr>
      </w:pPr>
      <w:r w:rsidRPr="00613DE5">
        <w:rPr>
          <w:lang w:val="en-NZ"/>
        </w:rPr>
        <w:t>The PPV for individual disorders is presented as five-year rolling data because the number of cases varies significantly year on year. Overall, there is a 25.7% likelihood that a baby with a positive screen will be confirmed to have a target disorder.</w:t>
      </w:r>
      <w:r w:rsidR="0034560F">
        <w:rPr>
          <w:lang w:val="en-NZ"/>
        </w:rPr>
        <w:t xml:space="preserve"> </w:t>
      </w:r>
      <w:r w:rsidR="00FE3699">
        <w:rPr>
          <w:lang w:val="en-NZ"/>
        </w:rPr>
        <w:t>However,</w:t>
      </w:r>
      <w:r w:rsidR="0034560F">
        <w:rPr>
          <w:lang w:val="en-NZ"/>
        </w:rPr>
        <w:t xml:space="preserve"> there is variation depending on the specific condition and associated test</w:t>
      </w:r>
      <w:r w:rsidR="00397346">
        <w:rPr>
          <w:lang w:val="en-NZ"/>
        </w:rPr>
        <w:t xml:space="preserve"> (as seen in Table 13).</w:t>
      </w:r>
    </w:p>
    <w:p w14:paraId="33346E97" w14:textId="406AC1D7" w:rsidR="0061629A" w:rsidRPr="00613DE5" w:rsidRDefault="0061629A" w:rsidP="009D2530">
      <w:pPr>
        <w:rPr>
          <w:lang w:val="en-NZ" w:eastAsia="en-NZ"/>
        </w:rPr>
      </w:pPr>
      <w:r w:rsidRPr="00613DE5">
        <w:rPr>
          <w:b/>
          <w:bCs/>
          <w:lang w:val="en-NZ"/>
        </w:rPr>
        <w:t>Comment:</w:t>
      </w:r>
      <w:r w:rsidRPr="00613DE5">
        <w:rPr>
          <w:lang w:val="en-NZ"/>
        </w:rPr>
        <w:t xml:space="preserve"> Overall, the PPV of the screening test has increased notably by over 10 percent from the 2017 annual report (14.7 percent) to 2022 annual report (25.7 percent). PPV improvement has occurred due to introduction of second-tier tandem tests and the improved protocols for some other disorders. Comparing the 5</w:t>
      </w:r>
      <w:r w:rsidR="00C32E5A">
        <w:rPr>
          <w:lang w:val="en-NZ"/>
        </w:rPr>
        <w:t>-</w:t>
      </w:r>
      <w:r w:rsidRPr="00613DE5">
        <w:rPr>
          <w:lang w:val="en-NZ"/>
        </w:rPr>
        <w:t>year averages of 2013-2017 to 2018-2022 the sensitivity and specificity are nearly identical with sensitivity decreasing slightly from 98.9 to 98.6 percent and specificity increasing from 99.4 to 99.7 percent</w:t>
      </w:r>
      <w:r w:rsidRPr="00613DE5">
        <w:rPr>
          <w:lang w:val="en-NZ" w:eastAsia="en-NZ"/>
        </w:rPr>
        <w:t xml:space="preserve">. </w:t>
      </w:r>
    </w:p>
    <w:p w14:paraId="7D83580A" w14:textId="77777777" w:rsidR="0061629A" w:rsidRPr="00613DE5" w:rsidRDefault="0061629A" w:rsidP="0061629A">
      <w:pPr>
        <w:pStyle w:val="Caption"/>
        <w:rPr>
          <w:rFonts w:cstheme="minorHAnsi"/>
          <w:sz w:val="24"/>
          <w:szCs w:val="24"/>
        </w:rPr>
        <w:sectPr w:rsidR="0061629A" w:rsidRPr="00613DE5" w:rsidSect="00BF4963">
          <w:headerReference w:type="default" r:id="rId28"/>
          <w:headerReference w:type="first" r:id="rId29"/>
          <w:footerReference w:type="first" r:id="rId30"/>
          <w:pgSz w:w="11906" w:h="16838"/>
          <w:pgMar w:top="1134" w:right="1134" w:bottom="1134" w:left="1134" w:header="709" w:footer="709" w:gutter="0"/>
          <w:cols w:space="708"/>
          <w:titlePg/>
          <w:docGrid w:linePitch="360"/>
        </w:sectPr>
      </w:pPr>
    </w:p>
    <w:p w14:paraId="32D578E3" w14:textId="423F6888" w:rsidR="0061629A" w:rsidRPr="00613DE5" w:rsidRDefault="0061629A" w:rsidP="009D2530">
      <w:pPr>
        <w:pStyle w:val="Heading2"/>
        <w:rPr>
          <w:lang w:val="en-NZ"/>
        </w:rPr>
      </w:pPr>
      <w:bookmarkStart w:id="63" w:name="_Toc160616231"/>
      <w:bookmarkStart w:id="64" w:name="_Toc179192072"/>
      <w:r w:rsidRPr="00613DE5">
        <w:rPr>
          <w:lang w:val="en-NZ"/>
        </w:rPr>
        <w:lastRenderedPageBreak/>
        <w:t>Table</w:t>
      </w:r>
      <w:r w:rsidR="00737E23">
        <w:rPr>
          <w:lang w:val="en-NZ"/>
        </w:rPr>
        <w:t xml:space="preserve"> 13</w:t>
      </w:r>
      <w:r w:rsidRPr="00613DE5">
        <w:rPr>
          <w:lang w:val="en-NZ"/>
        </w:rPr>
        <w:t>: Positive predictive value of the screening test, January 2018 to December 2022</w:t>
      </w:r>
      <w:bookmarkEnd w:id="63"/>
      <w:bookmarkEnd w:id="64"/>
    </w:p>
    <w:tbl>
      <w:tblPr>
        <w:tblStyle w:val="GridTable4-Accent5"/>
        <w:tblW w:w="14575" w:type="dxa"/>
        <w:tblLook w:val="04A0" w:firstRow="1" w:lastRow="0" w:firstColumn="1" w:lastColumn="0" w:noHBand="0" w:noVBand="1"/>
      </w:tblPr>
      <w:tblGrid>
        <w:gridCol w:w="3686"/>
        <w:gridCol w:w="1207"/>
        <w:gridCol w:w="1137"/>
        <w:gridCol w:w="1137"/>
        <w:gridCol w:w="1137"/>
        <w:gridCol w:w="1217"/>
        <w:gridCol w:w="1217"/>
        <w:gridCol w:w="1417"/>
        <w:gridCol w:w="1417"/>
        <w:gridCol w:w="1003"/>
      </w:tblGrid>
      <w:tr w:rsidR="00A3156A" w:rsidRPr="00613DE5" w14:paraId="7C8A7704" w14:textId="77777777" w:rsidTr="00A3156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686" w:type="dxa"/>
            <w:noWrap/>
            <w:hideMark/>
          </w:tcPr>
          <w:p w14:paraId="428B5CAE" w14:textId="77777777" w:rsidR="0061629A" w:rsidRPr="00613DE5" w:rsidRDefault="0061629A" w:rsidP="009D2530">
            <w:pPr>
              <w:rPr>
                <w:b w:val="0"/>
                <w:bCs w:val="0"/>
                <w:lang w:val="en-NZ" w:eastAsia="en-NZ"/>
              </w:rPr>
            </w:pPr>
            <w:r w:rsidRPr="00613DE5">
              <w:rPr>
                <w:lang w:val="en-NZ" w:eastAsia="en-NZ"/>
              </w:rPr>
              <w:t>Condition</w:t>
            </w:r>
          </w:p>
        </w:tc>
        <w:tc>
          <w:tcPr>
            <w:tcW w:w="1207" w:type="dxa"/>
            <w:noWrap/>
            <w:hideMark/>
          </w:tcPr>
          <w:p w14:paraId="776F4C3C"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Babies Screened</w:t>
            </w:r>
          </w:p>
        </w:tc>
        <w:tc>
          <w:tcPr>
            <w:tcW w:w="1137" w:type="dxa"/>
            <w:noWrap/>
            <w:hideMark/>
          </w:tcPr>
          <w:p w14:paraId="03CC8F83"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Positive tests</w:t>
            </w:r>
          </w:p>
        </w:tc>
        <w:tc>
          <w:tcPr>
            <w:tcW w:w="1137" w:type="dxa"/>
            <w:noWrap/>
            <w:hideMark/>
          </w:tcPr>
          <w:p w14:paraId="59AA55DA"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True Positive</w:t>
            </w:r>
          </w:p>
        </w:tc>
        <w:tc>
          <w:tcPr>
            <w:tcW w:w="1137" w:type="dxa"/>
            <w:noWrap/>
            <w:hideMark/>
          </w:tcPr>
          <w:p w14:paraId="76AC6E0C"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False Positive</w:t>
            </w:r>
          </w:p>
        </w:tc>
        <w:tc>
          <w:tcPr>
            <w:tcW w:w="1217" w:type="dxa"/>
            <w:noWrap/>
            <w:hideMark/>
          </w:tcPr>
          <w:p w14:paraId="5006CB1A"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False Negative</w:t>
            </w:r>
          </w:p>
        </w:tc>
        <w:tc>
          <w:tcPr>
            <w:tcW w:w="1217" w:type="dxa"/>
            <w:noWrap/>
            <w:hideMark/>
          </w:tcPr>
          <w:p w14:paraId="2FAA9151"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True Negative</w:t>
            </w:r>
          </w:p>
        </w:tc>
        <w:tc>
          <w:tcPr>
            <w:tcW w:w="1417" w:type="dxa"/>
            <w:noWrap/>
            <w:hideMark/>
          </w:tcPr>
          <w:p w14:paraId="3D95A758"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Sensitivity (%)</w:t>
            </w:r>
          </w:p>
        </w:tc>
        <w:tc>
          <w:tcPr>
            <w:tcW w:w="1417" w:type="dxa"/>
            <w:noWrap/>
            <w:hideMark/>
          </w:tcPr>
          <w:p w14:paraId="3141A96B"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Specificity (%)</w:t>
            </w:r>
          </w:p>
        </w:tc>
        <w:tc>
          <w:tcPr>
            <w:tcW w:w="1003" w:type="dxa"/>
            <w:noWrap/>
            <w:hideMark/>
          </w:tcPr>
          <w:p w14:paraId="3F0D4E87" w14:textId="77777777" w:rsidR="0061629A" w:rsidRPr="00613DE5" w:rsidRDefault="0061629A" w:rsidP="009D2530">
            <w:pPr>
              <w:cnfStyle w:val="100000000000" w:firstRow="1" w:lastRow="0" w:firstColumn="0" w:lastColumn="0" w:oddVBand="0" w:evenVBand="0" w:oddHBand="0" w:evenHBand="0" w:firstRowFirstColumn="0" w:firstRowLastColumn="0" w:lastRowFirstColumn="0" w:lastRowLastColumn="0"/>
              <w:rPr>
                <w:b w:val="0"/>
                <w:bCs w:val="0"/>
                <w:lang w:val="en-NZ" w:eastAsia="en-NZ"/>
              </w:rPr>
            </w:pPr>
            <w:r w:rsidRPr="00613DE5">
              <w:rPr>
                <w:lang w:val="en-NZ" w:eastAsia="en-NZ"/>
              </w:rPr>
              <w:t>PPV (%)</w:t>
            </w:r>
          </w:p>
        </w:tc>
      </w:tr>
      <w:tr w:rsidR="00A3156A" w:rsidRPr="00613DE5" w14:paraId="2E602B40"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6704DCD2" w14:textId="77777777" w:rsidR="0061629A" w:rsidRPr="00613DE5" w:rsidRDefault="0061629A" w:rsidP="00065F12">
            <w:pPr>
              <w:rPr>
                <w:highlight w:val="yellow"/>
                <w:lang w:val="en-NZ" w:eastAsia="en-NZ"/>
              </w:rPr>
            </w:pPr>
            <w:r w:rsidRPr="00613DE5">
              <w:rPr>
                <w:lang w:val="en-NZ" w:eastAsia="en-NZ"/>
              </w:rPr>
              <w:t>Amino acid disorders</w:t>
            </w:r>
          </w:p>
        </w:tc>
        <w:tc>
          <w:tcPr>
            <w:tcW w:w="1207" w:type="dxa"/>
            <w:noWrap/>
            <w:vAlign w:val="center"/>
            <w:hideMark/>
          </w:tcPr>
          <w:p w14:paraId="4098549B"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2EF2A2D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149</w:t>
            </w:r>
          </w:p>
        </w:tc>
        <w:tc>
          <w:tcPr>
            <w:tcW w:w="1137" w:type="dxa"/>
            <w:noWrap/>
            <w:vAlign w:val="center"/>
            <w:hideMark/>
          </w:tcPr>
          <w:p w14:paraId="2D5EC8F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18</w:t>
            </w:r>
          </w:p>
        </w:tc>
        <w:tc>
          <w:tcPr>
            <w:tcW w:w="1137" w:type="dxa"/>
            <w:noWrap/>
            <w:vAlign w:val="center"/>
            <w:hideMark/>
          </w:tcPr>
          <w:p w14:paraId="2851371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131</w:t>
            </w:r>
          </w:p>
        </w:tc>
        <w:tc>
          <w:tcPr>
            <w:tcW w:w="1217" w:type="dxa"/>
            <w:noWrap/>
            <w:vAlign w:val="center"/>
            <w:hideMark/>
          </w:tcPr>
          <w:p w14:paraId="4EBAB156"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0</w:t>
            </w:r>
          </w:p>
        </w:tc>
        <w:tc>
          <w:tcPr>
            <w:tcW w:w="1217" w:type="dxa"/>
            <w:noWrap/>
            <w:vAlign w:val="center"/>
            <w:hideMark/>
          </w:tcPr>
          <w:p w14:paraId="6B321D7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293031</w:t>
            </w:r>
          </w:p>
        </w:tc>
        <w:tc>
          <w:tcPr>
            <w:tcW w:w="1417" w:type="dxa"/>
            <w:noWrap/>
            <w:vAlign w:val="center"/>
            <w:hideMark/>
          </w:tcPr>
          <w:p w14:paraId="7CA217C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100</w:t>
            </w:r>
          </w:p>
        </w:tc>
        <w:tc>
          <w:tcPr>
            <w:tcW w:w="1417" w:type="dxa"/>
            <w:noWrap/>
            <w:vAlign w:val="center"/>
            <w:hideMark/>
          </w:tcPr>
          <w:p w14:paraId="71781A1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99.96</w:t>
            </w:r>
          </w:p>
        </w:tc>
        <w:tc>
          <w:tcPr>
            <w:tcW w:w="1003" w:type="dxa"/>
            <w:noWrap/>
            <w:vAlign w:val="center"/>
            <w:hideMark/>
          </w:tcPr>
          <w:p w14:paraId="278EDA7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12.1</w:t>
            </w:r>
          </w:p>
        </w:tc>
      </w:tr>
      <w:tr w:rsidR="0061629A" w:rsidRPr="00613DE5" w14:paraId="0C9BF2F1"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3A68012E" w14:textId="77777777" w:rsidR="0061629A" w:rsidRPr="00613DE5" w:rsidRDefault="0061629A" w:rsidP="00065F12">
            <w:pPr>
              <w:rPr>
                <w:highlight w:val="yellow"/>
                <w:lang w:val="en-NZ" w:eastAsia="en-NZ"/>
              </w:rPr>
            </w:pPr>
            <w:r w:rsidRPr="00613DE5">
              <w:rPr>
                <w:lang w:val="en-NZ" w:eastAsia="en-NZ"/>
              </w:rPr>
              <w:t>Biotinidase deficiency</w:t>
            </w:r>
          </w:p>
        </w:tc>
        <w:tc>
          <w:tcPr>
            <w:tcW w:w="1207" w:type="dxa"/>
            <w:noWrap/>
            <w:vAlign w:val="center"/>
            <w:hideMark/>
          </w:tcPr>
          <w:p w14:paraId="43020DC3"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40D6D9B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54</w:t>
            </w:r>
          </w:p>
        </w:tc>
        <w:tc>
          <w:tcPr>
            <w:tcW w:w="1137" w:type="dxa"/>
            <w:noWrap/>
            <w:vAlign w:val="center"/>
            <w:hideMark/>
          </w:tcPr>
          <w:p w14:paraId="0D6A2BB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3</w:t>
            </w:r>
          </w:p>
        </w:tc>
        <w:tc>
          <w:tcPr>
            <w:tcW w:w="1137" w:type="dxa"/>
            <w:noWrap/>
            <w:vAlign w:val="center"/>
            <w:hideMark/>
          </w:tcPr>
          <w:p w14:paraId="3D1B480C"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51</w:t>
            </w:r>
          </w:p>
        </w:tc>
        <w:tc>
          <w:tcPr>
            <w:tcW w:w="1217" w:type="dxa"/>
            <w:noWrap/>
            <w:vAlign w:val="center"/>
            <w:hideMark/>
          </w:tcPr>
          <w:p w14:paraId="5AA7BBE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0</w:t>
            </w:r>
          </w:p>
        </w:tc>
        <w:tc>
          <w:tcPr>
            <w:tcW w:w="1217" w:type="dxa"/>
            <w:noWrap/>
            <w:vAlign w:val="center"/>
            <w:hideMark/>
          </w:tcPr>
          <w:p w14:paraId="6FE0EBC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293252</w:t>
            </w:r>
          </w:p>
        </w:tc>
        <w:tc>
          <w:tcPr>
            <w:tcW w:w="1417" w:type="dxa"/>
            <w:noWrap/>
            <w:vAlign w:val="center"/>
            <w:hideMark/>
          </w:tcPr>
          <w:p w14:paraId="22C12C9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100</w:t>
            </w:r>
          </w:p>
        </w:tc>
        <w:tc>
          <w:tcPr>
            <w:tcW w:w="1417" w:type="dxa"/>
            <w:noWrap/>
            <w:vAlign w:val="center"/>
            <w:hideMark/>
          </w:tcPr>
          <w:p w14:paraId="67D8A932"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99.98</w:t>
            </w:r>
          </w:p>
        </w:tc>
        <w:tc>
          <w:tcPr>
            <w:tcW w:w="1003" w:type="dxa"/>
            <w:noWrap/>
            <w:vAlign w:val="center"/>
            <w:hideMark/>
          </w:tcPr>
          <w:p w14:paraId="7DDFC52B"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5.6</w:t>
            </w:r>
          </w:p>
        </w:tc>
      </w:tr>
      <w:tr w:rsidR="00A3156A" w:rsidRPr="00613DE5" w14:paraId="6E7CB697"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55C3C5D1" w14:textId="77777777" w:rsidR="0061629A" w:rsidRPr="00613DE5" w:rsidRDefault="0061629A" w:rsidP="00065F12">
            <w:pPr>
              <w:rPr>
                <w:highlight w:val="yellow"/>
                <w:lang w:val="en-NZ" w:eastAsia="en-NZ"/>
              </w:rPr>
            </w:pPr>
            <w:r w:rsidRPr="00613DE5">
              <w:rPr>
                <w:lang w:val="en-NZ" w:eastAsia="en-NZ"/>
              </w:rPr>
              <w:t>Congenital Adrenal Hyperplasia</w:t>
            </w:r>
          </w:p>
        </w:tc>
        <w:tc>
          <w:tcPr>
            <w:tcW w:w="1207" w:type="dxa"/>
            <w:noWrap/>
            <w:vAlign w:val="center"/>
            <w:hideMark/>
          </w:tcPr>
          <w:p w14:paraId="5288BA97"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626B20A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132</w:t>
            </w:r>
          </w:p>
        </w:tc>
        <w:tc>
          <w:tcPr>
            <w:tcW w:w="1137" w:type="dxa"/>
            <w:noWrap/>
            <w:vAlign w:val="center"/>
            <w:hideMark/>
          </w:tcPr>
          <w:p w14:paraId="42CF77E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13</w:t>
            </w:r>
          </w:p>
        </w:tc>
        <w:tc>
          <w:tcPr>
            <w:tcW w:w="1137" w:type="dxa"/>
            <w:noWrap/>
            <w:vAlign w:val="center"/>
            <w:hideMark/>
          </w:tcPr>
          <w:p w14:paraId="2C38F58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119</w:t>
            </w:r>
          </w:p>
        </w:tc>
        <w:tc>
          <w:tcPr>
            <w:tcW w:w="1217" w:type="dxa"/>
            <w:noWrap/>
            <w:vAlign w:val="center"/>
            <w:hideMark/>
          </w:tcPr>
          <w:p w14:paraId="2030E10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0</w:t>
            </w:r>
          </w:p>
        </w:tc>
        <w:tc>
          <w:tcPr>
            <w:tcW w:w="1217" w:type="dxa"/>
            <w:noWrap/>
            <w:vAlign w:val="center"/>
            <w:hideMark/>
          </w:tcPr>
          <w:p w14:paraId="0E35122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293174</w:t>
            </w:r>
          </w:p>
        </w:tc>
        <w:tc>
          <w:tcPr>
            <w:tcW w:w="1417" w:type="dxa"/>
            <w:noWrap/>
            <w:vAlign w:val="center"/>
            <w:hideMark/>
          </w:tcPr>
          <w:p w14:paraId="2506F2E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100</w:t>
            </w:r>
          </w:p>
        </w:tc>
        <w:tc>
          <w:tcPr>
            <w:tcW w:w="1417" w:type="dxa"/>
            <w:noWrap/>
            <w:vAlign w:val="center"/>
            <w:hideMark/>
          </w:tcPr>
          <w:p w14:paraId="16A18EB8"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99.96</w:t>
            </w:r>
          </w:p>
        </w:tc>
        <w:tc>
          <w:tcPr>
            <w:tcW w:w="1003" w:type="dxa"/>
            <w:noWrap/>
            <w:vAlign w:val="center"/>
            <w:hideMark/>
          </w:tcPr>
          <w:p w14:paraId="4EECD38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9.8</w:t>
            </w:r>
          </w:p>
        </w:tc>
      </w:tr>
      <w:tr w:rsidR="0061629A" w:rsidRPr="00613DE5" w14:paraId="61A9F898"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4175AE0D" w14:textId="77777777" w:rsidR="0061629A" w:rsidRPr="00613DE5" w:rsidRDefault="0061629A" w:rsidP="00065F12">
            <w:pPr>
              <w:rPr>
                <w:highlight w:val="yellow"/>
                <w:lang w:val="en-NZ" w:eastAsia="en-NZ"/>
              </w:rPr>
            </w:pPr>
            <w:r w:rsidRPr="00613DE5">
              <w:rPr>
                <w:lang w:val="en-NZ" w:eastAsia="en-NZ"/>
              </w:rPr>
              <w:t>Cystic Fibrosis</w:t>
            </w:r>
          </w:p>
        </w:tc>
        <w:tc>
          <w:tcPr>
            <w:tcW w:w="1207" w:type="dxa"/>
            <w:noWrap/>
            <w:vAlign w:val="center"/>
            <w:hideMark/>
          </w:tcPr>
          <w:p w14:paraId="5AA2F17A"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3816BD7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248</w:t>
            </w:r>
          </w:p>
        </w:tc>
        <w:tc>
          <w:tcPr>
            <w:tcW w:w="1137" w:type="dxa"/>
            <w:noWrap/>
            <w:vAlign w:val="center"/>
            <w:hideMark/>
          </w:tcPr>
          <w:p w14:paraId="5B6F90DD"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79</w:t>
            </w:r>
          </w:p>
        </w:tc>
        <w:tc>
          <w:tcPr>
            <w:tcW w:w="1137" w:type="dxa"/>
            <w:noWrap/>
            <w:vAlign w:val="center"/>
            <w:hideMark/>
          </w:tcPr>
          <w:p w14:paraId="62155A2E"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169</w:t>
            </w:r>
          </w:p>
        </w:tc>
        <w:tc>
          <w:tcPr>
            <w:tcW w:w="1217" w:type="dxa"/>
            <w:noWrap/>
            <w:vAlign w:val="center"/>
            <w:hideMark/>
          </w:tcPr>
          <w:p w14:paraId="6831862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0</w:t>
            </w:r>
          </w:p>
        </w:tc>
        <w:tc>
          <w:tcPr>
            <w:tcW w:w="1217" w:type="dxa"/>
            <w:noWrap/>
            <w:vAlign w:val="center"/>
            <w:hideMark/>
          </w:tcPr>
          <w:p w14:paraId="4EF37DA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293048</w:t>
            </w:r>
          </w:p>
        </w:tc>
        <w:tc>
          <w:tcPr>
            <w:tcW w:w="1417" w:type="dxa"/>
            <w:noWrap/>
            <w:vAlign w:val="center"/>
            <w:hideMark/>
          </w:tcPr>
          <w:p w14:paraId="6E282517"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100</w:t>
            </w:r>
          </w:p>
        </w:tc>
        <w:tc>
          <w:tcPr>
            <w:tcW w:w="1417" w:type="dxa"/>
            <w:noWrap/>
            <w:vAlign w:val="center"/>
            <w:hideMark/>
          </w:tcPr>
          <w:p w14:paraId="1523D0C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99.94</w:t>
            </w:r>
          </w:p>
        </w:tc>
        <w:tc>
          <w:tcPr>
            <w:tcW w:w="1003" w:type="dxa"/>
            <w:noWrap/>
            <w:vAlign w:val="center"/>
            <w:hideMark/>
          </w:tcPr>
          <w:p w14:paraId="1A0C371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31.9</w:t>
            </w:r>
          </w:p>
        </w:tc>
      </w:tr>
      <w:tr w:rsidR="00A3156A" w:rsidRPr="00613DE5" w14:paraId="3A1E5494"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50B2C27F" w14:textId="77777777" w:rsidR="0061629A" w:rsidRPr="00613DE5" w:rsidRDefault="0061629A" w:rsidP="00065F12">
            <w:pPr>
              <w:rPr>
                <w:highlight w:val="yellow"/>
                <w:lang w:val="en-NZ" w:eastAsia="en-NZ"/>
              </w:rPr>
            </w:pPr>
            <w:r w:rsidRPr="00613DE5">
              <w:rPr>
                <w:lang w:val="en-NZ" w:eastAsia="en-NZ"/>
              </w:rPr>
              <w:t>Congenital Hypothyroidism</w:t>
            </w:r>
          </w:p>
        </w:tc>
        <w:tc>
          <w:tcPr>
            <w:tcW w:w="1207" w:type="dxa"/>
            <w:noWrap/>
            <w:vAlign w:val="center"/>
            <w:hideMark/>
          </w:tcPr>
          <w:p w14:paraId="74DC75D3"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48A10AE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502</w:t>
            </w:r>
          </w:p>
        </w:tc>
        <w:tc>
          <w:tcPr>
            <w:tcW w:w="1137" w:type="dxa"/>
            <w:noWrap/>
            <w:vAlign w:val="center"/>
            <w:hideMark/>
          </w:tcPr>
          <w:p w14:paraId="652B0A8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190</w:t>
            </w:r>
          </w:p>
        </w:tc>
        <w:tc>
          <w:tcPr>
            <w:tcW w:w="1137" w:type="dxa"/>
            <w:noWrap/>
            <w:vAlign w:val="center"/>
            <w:hideMark/>
          </w:tcPr>
          <w:p w14:paraId="3F3F4D4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312</w:t>
            </w:r>
          </w:p>
        </w:tc>
        <w:tc>
          <w:tcPr>
            <w:tcW w:w="1217" w:type="dxa"/>
            <w:noWrap/>
            <w:vAlign w:val="center"/>
            <w:hideMark/>
          </w:tcPr>
          <w:p w14:paraId="7A85A3F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w:t>
            </w:r>
          </w:p>
        </w:tc>
        <w:tc>
          <w:tcPr>
            <w:tcW w:w="1217" w:type="dxa"/>
            <w:noWrap/>
            <w:vAlign w:val="center"/>
            <w:hideMark/>
          </w:tcPr>
          <w:p w14:paraId="73F12E5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292902</w:t>
            </w:r>
          </w:p>
        </w:tc>
        <w:tc>
          <w:tcPr>
            <w:tcW w:w="1417" w:type="dxa"/>
            <w:noWrap/>
            <w:vAlign w:val="center"/>
            <w:hideMark/>
          </w:tcPr>
          <w:p w14:paraId="068CF052"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98.96</w:t>
            </w:r>
          </w:p>
        </w:tc>
        <w:tc>
          <w:tcPr>
            <w:tcW w:w="1417" w:type="dxa"/>
            <w:noWrap/>
            <w:vAlign w:val="center"/>
            <w:hideMark/>
          </w:tcPr>
          <w:p w14:paraId="67EC2C5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99.89</w:t>
            </w:r>
          </w:p>
        </w:tc>
        <w:tc>
          <w:tcPr>
            <w:tcW w:w="1003" w:type="dxa"/>
            <w:noWrap/>
            <w:vAlign w:val="center"/>
            <w:hideMark/>
          </w:tcPr>
          <w:p w14:paraId="6A6EDCED"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37.8</w:t>
            </w:r>
          </w:p>
        </w:tc>
      </w:tr>
      <w:tr w:rsidR="0061629A" w:rsidRPr="00613DE5" w14:paraId="4FF26663"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389F7B7F" w14:textId="77777777" w:rsidR="0061629A" w:rsidRPr="00613DE5" w:rsidRDefault="0061629A" w:rsidP="00065F12">
            <w:pPr>
              <w:rPr>
                <w:highlight w:val="yellow"/>
                <w:lang w:val="en-NZ" w:eastAsia="en-NZ"/>
              </w:rPr>
            </w:pPr>
            <w:r w:rsidRPr="00613DE5">
              <w:rPr>
                <w:lang w:val="en-NZ" w:eastAsia="en-NZ"/>
              </w:rPr>
              <w:t>Fatty acid oxidation disorders</w:t>
            </w:r>
          </w:p>
        </w:tc>
        <w:tc>
          <w:tcPr>
            <w:tcW w:w="1207" w:type="dxa"/>
            <w:noWrap/>
            <w:vAlign w:val="center"/>
            <w:hideMark/>
          </w:tcPr>
          <w:p w14:paraId="595186C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27ACAA15"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62</w:t>
            </w:r>
          </w:p>
        </w:tc>
        <w:tc>
          <w:tcPr>
            <w:tcW w:w="1137" w:type="dxa"/>
            <w:noWrap/>
            <w:vAlign w:val="center"/>
            <w:hideMark/>
          </w:tcPr>
          <w:p w14:paraId="2605B209"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31</w:t>
            </w:r>
          </w:p>
        </w:tc>
        <w:tc>
          <w:tcPr>
            <w:tcW w:w="1137" w:type="dxa"/>
            <w:noWrap/>
            <w:vAlign w:val="center"/>
            <w:hideMark/>
          </w:tcPr>
          <w:p w14:paraId="438BC4E8"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31</w:t>
            </w:r>
          </w:p>
        </w:tc>
        <w:tc>
          <w:tcPr>
            <w:tcW w:w="1217" w:type="dxa"/>
            <w:noWrap/>
            <w:vAlign w:val="center"/>
            <w:hideMark/>
          </w:tcPr>
          <w:p w14:paraId="640DD69D"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0</w:t>
            </w:r>
          </w:p>
        </w:tc>
        <w:tc>
          <w:tcPr>
            <w:tcW w:w="1217" w:type="dxa"/>
            <w:noWrap/>
            <w:vAlign w:val="center"/>
            <w:hideMark/>
          </w:tcPr>
          <w:p w14:paraId="01EF392E"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293244</w:t>
            </w:r>
          </w:p>
        </w:tc>
        <w:tc>
          <w:tcPr>
            <w:tcW w:w="1417" w:type="dxa"/>
            <w:noWrap/>
            <w:vAlign w:val="center"/>
            <w:hideMark/>
          </w:tcPr>
          <w:p w14:paraId="51713BA7"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100</w:t>
            </w:r>
          </w:p>
        </w:tc>
        <w:tc>
          <w:tcPr>
            <w:tcW w:w="1417" w:type="dxa"/>
            <w:noWrap/>
            <w:vAlign w:val="center"/>
            <w:hideMark/>
          </w:tcPr>
          <w:p w14:paraId="000A5A6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99.99</w:t>
            </w:r>
          </w:p>
        </w:tc>
        <w:tc>
          <w:tcPr>
            <w:tcW w:w="1003" w:type="dxa"/>
            <w:noWrap/>
            <w:vAlign w:val="center"/>
            <w:hideMark/>
          </w:tcPr>
          <w:p w14:paraId="2839E427"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50.0</w:t>
            </w:r>
          </w:p>
        </w:tc>
      </w:tr>
      <w:tr w:rsidR="00A3156A" w:rsidRPr="00613DE5" w14:paraId="2E62CA3E"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214ED09D" w14:textId="77777777" w:rsidR="0061629A" w:rsidRPr="00613DE5" w:rsidRDefault="0061629A" w:rsidP="00065F12">
            <w:pPr>
              <w:rPr>
                <w:highlight w:val="yellow"/>
                <w:lang w:val="en-NZ" w:eastAsia="en-NZ"/>
              </w:rPr>
            </w:pPr>
            <w:r w:rsidRPr="00613DE5">
              <w:rPr>
                <w:lang w:val="en-NZ" w:eastAsia="en-NZ"/>
              </w:rPr>
              <w:t>Galactosaemia</w:t>
            </w:r>
          </w:p>
        </w:tc>
        <w:tc>
          <w:tcPr>
            <w:tcW w:w="1207" w:type="dxa"/>
            <w:noWrap/>
            <w:vAlign w:val="center"/>
            <w:hideMark/>
          </w:tcPr>
          <w:p w14:paraId="67A5D90B"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60847C2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34</w:t>
            </w:r>
          </w:p>
        </w:tc>
        <w:tc>
          <w:tcPr>
            <w:tcW w:w="1137" w:type="dxa"/>
            <w:noWrap/>
            <w:vAlign w:val="center"/>
            <w:hideMark/>
          </w:tcPr>
          <w:p w14:paraId="559C838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3</w:t>
            </w:r>
          </w:p>
        </w:tc>
        <w:tc>
          <w:tcPr>
            <w:tcW w:w="1137" w:type="dxa"/>
            <w:noWrap/>
            <w:vAlign w:val="center"/>
            <w:hideMark/>
          </w:tcPr>
          <w:p w14:paraId="706E4F7E"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31</w:t>
            </w:r>
          </w:p>
        </w:tc>
        <w:tc>
          <w:tcPr>
            <w:tcW w:w="1217" w:type="dxa"/>
            <w:noWrap/>
            <w:vAlign w:val="center"/>
            <w:hideMark/>
          </w:tcPr>
          <w:p w14:paraId="52EC8E3B"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3</w:t>
            </w:r>
          </w:p>
        </w:tc>
        <w:tc>
          <w:tcPr>
            <w:tcW w:w="1217" w:type="dxa"/>
            <w:noWrap/>
            <w:vAlign w:val="center"/>
            <w:hideMark/>
          </w:tcPr>
          <w:p w14:paraId="58195835"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293271</w:t>
            </w:r>
          </w:p>
        </w:tc>
        <w:tc>
          <w:tcPr>
            <w:tcW w:w="1417" w:type="dxa"/>
            <w:noWrap/>
            <w:vAlign w:val="center"/>
            <w:hideMark/>
          </w:tcPr>
          <w:p w14:paraId="5F59BCD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50</w:t>
            </w:r>
          </w:p>
        </w:tc>
        <w:tc>
          <w:tcPr>
            <w:tcW w:w="1417" w:type="dxa"/>
            <w:noWrap/>
            <w:vAlign w:val="center"/>
            <w:hideMark/>
          </w:tcPr>
          <w:p w14:paraId="10AFAC21"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99.99</w:t>
            </w:r>
          </w:p>
        </w:tc>
        <w:tc>
          <w:tcPr>
            <w:tcW w:w="1003" w:type="dxa"/>
            <w:noWrap/>
            <w:vAlign w:val="center"/>
            <w:hideMark/>
          </w:tcPr>
          <w:p w14:paraId="3E6B1DCB"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lang w:val="en-NZ" w:eastAsia="en-NZ"/>
              </w:rPr>
            </w:pPr>
            <w:r w:rsidRPr="00613DE5">
              <w:rPr>
                <w:lang w:val="en-NZ" w:eastAsia="en-NZ"/>
              </w:rPr>
              <w:t>8.8</w:t>
            </w:r>
          </w:p>
        </w:tc>
      </w:tr>
      <w:tr w:rsidR="0061629A" w:rsidRPr="00613DE5" w14:paraId="07AFAF44"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1EF569AB" w14:textId="77777777" w:rsidR="0061629A" w:rsidRPr="00613DE5" w:rsidRDefault="0061629A" w:rsidP="00065F12">
            <w:pPr>
              <w:rPr>
                <w:highlight w:val="yellow"/>
                <w:lang w:val="en-NZ" w:eastAsia="en-NZ"/>
              </w:rPr>
            </w:pPr>
            <w:r w:rsidRPr="00613DE5">
              <w:rPr>
                <w:lang w:val="en-NZ" w:eastAsia="en-NZ"/>
              </w:rPr>
              <w:t>SCID</w:t>
            </w:r>
          </w:p>
        </w:tc>
        <w:tc>
          <w:tcPr>
            <w:tcW w:w="1207" w:type="dxa"/>
            <w:noWrap/>
            <w:vAlign w:val="center"/>
            <w:hideMark/>
          </w:tcPr>
          <w:p w14:paraId="47E380FD"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293306</w:t>
            </w:r>
          </w:p>
        </w:tc>
        <w:tc>
          <w:tcPr>
            <w:tcW w:w="1137" w:type="dxa"/>
            <w:noWrap/>
            <w:vAlign w:val="center"/>
            <w:hideMark/>
          </w:tcPr>
          <w:p w14:paraId="7DD848C4"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152</w:t>
            </w:r>
          </w:p>
        </w:tc>
        <w:tc>
          <w:tcPr>
            <w:tcW w:w="1137" w:type="dxa"/>
            <w:noWrap/>
            <w:vAlign w:val="center"/>
            <w:hideMark/>
          </w:tcPr>
          <w:p w14:paraId="6D6C85C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5</w:t>
            </w:r>
          </w:p>
        </w:tc>
        <w:tc>
          <w:tcPr>
            <w:tcW w:w="1137" w:type="dxa"/>
            <w:noWrap/>
            <w:vAlign w:val="center"/>
            <w:hideMark/>
          </w:tcPr>
          <w:p w14:paraId="7754355F"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147</w:t>
            </w:r>
          </w:p>
        </w:tc>
        <w:tc>
          <w:tcPr>
            <w:tcW w:w="1217" w:type="dxa"/>
            <w:noWrap/>
            <w:vAlign w:val="center"/>
            <w:hideMark/>
          </w:tcPr>
          <w:p w14:paraId="74906BE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0</w:t>
            </w:r>
          </w:p>
        </w:tc>
        <w:tc>
          <w:tcPr>
            <w:tcW w:w="1217" w:type="dxa"/>
            <w:noWrap/>
            <w:vAlign w:val="center"/>
            <w:hideMark/>
          </w:tcPr>
          <w:p w14:paraId="63878601"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293154</w:t>
            </w:r>
          </w:p>
        </w:tc>
        <w:tc>
          <w:tcPr>
            <w:tcW w:w="1417" w:type="dxa"/>
            <w:noWrap/>
            <w:vAlign w:val="center"/>
            <w:hideMark/>
          </w:tcPr>
          <w:p w14:paraId="612CCA86"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100</w:t>
            </w:r>
          </w:p>
        </w:tc>
        <w:tc>
          <w:tcPr>
            <w:tcW w:w="1417" w:type="dxa"/>
            <w:noWrap/>
            <w:vAlign w:val="center"/>
            <w:hideMark/>
          </w:tcPr>
          <w:p w14:paraId="0E6261AE"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99.95</w:t>
            </w:r>
          </w:p>
        </w:tc>
        <w:tc>
          <w:tcPr>
            <w:tcW w:w="1003" w:type="dxa"/>
            <w:noWrap/>
            <w:vAlign w:val="center"/>
            <w:hideMark/>
          </w:tcPr>
          <w:p w14:paraId="6F4A125F" w14:textId="77777777" w:rsidR="0061629A" w:rsidRPr="00613DE5" w:rsidRDefault="0061629A" w:rsidP="00065F12">
            <w:pPr>
              <w:jc w:val="center"/>
              <w:cnfStyle w:val="000000000000" w:firstRow="0" w:lastRow="0" w:firstColumn="0" w:lastColumn="0" w:oddVBand="0" w:evenVBand="0" w:oddHBand="0" w:evenHBand="0" w:firstRowFirstColumn="0" w:firstRowLastColumn="0" w:lastRowFirstColumn="0" w:lastRowLastColumn="0"/>
              <w:rPr>
                <w:lang w:val="en-NZ" w:eastAsia="en-NZ"/>
              </w:rPr>
            </w:pPr>
            <w:r w:rsidRPr="00613DE5">
              <w:rPr>
                <w:lang w:val="en-NZ" w:eastAsia="en-NZ"/>
              </w:rPr>
              <w:t>3.3</w:t>
            </w:r>
          </w:p>
        </w:tc>
      </w:tr>
      <w:tr w:rsidR="00A3156A" w:rsidRPr="00613DE5" w14:paraId="006D5629"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86" w:type="dxa"/>
            <w:noWrap/>
            <w:vAlign w:val="center"/>
            <w:hideMark/>
          </w:tcPr>
          <w:p w14:paraId="79E374C7" w14:textId="77777777" w:rsidR="0061629A" w:rsidRPr="00613DE5" w:rsidRDefault="0061629A" w:rsidP="00065F12">
            <w:pPr>
              <w:rPr>
                <w:b w:val="0"/>
                <w:bCs w:val="0"/>
                <w:lang w:val="en-NZ" w:eastAsia="en-NZ"/>
              </w:rPr>
            </w:pPr>
            <w:r w:rsidRPr="00613DE5">
              <w:rPr>
                <w:lang w:val="en-NZ" w:eastAsia="en-NZ"/>
              </w:rPr>
              <w:t>Total</w:t>
            </w:r>
          </w:p>
        </w:tc>
        <w:tc>
          <w:tcPr>
            <w:tcW w:w="1207" w:type="dxa"/>
            <w:noWrap/>
            <w:vAlign w:val="center"/>
            <w:hideMark/>
          </w:tcPr>
          <w:p w14:paraId="2603F586"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293306</w:t>
            </w:r>
          </w:p>
        </w:tc>
        <w:tc>
          <w:tcPr>
            <w:tcW w:w="1137" w:type="dxa"/>
            <w:noWrap/>
            <w:vAlign w:val="center"/>
            <w:hideMark/>
          </w:tcPr>
          <w:p w14:paraId="00EED9A5"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1333</w:t>
            </w:r>
          </w:p>
        </w:tc>
        <w:tc>
          <w:tcPr>
            <w:tcW w:w="1137" w:type="dxa"/>
            <w:noWrap/>
            <w:vAlign w:val="center"/>
            <w:hideMark/>
          </w:tcPr>
          <w:p w14:paraId="662038C0"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342</w:t>
            </w:r>
          </w:p>
        </w:tc>
        <w:tc>
          <w:tcPr>
            <w:tcW w:w="1137" w:type="dxa"/>
            <w:noWrap/>
            <w:vAlign w:val="center"/>
            <w:hideMark/>
          </w:tcPr>
          <w:p w14:paraId="7D2E053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991</w:t>
            </w:r>
          </w:p>
        </w:tc>
        <w:tc>
          <w:tcPr>
            <w:tcW w:w="1217" w:type="dxa"/>
            <w:noWrap/>
            <w:vAlign w:val="center"/>
            <w:hideMark/>
          </w:tcPr>
          <w:p w14:paraId="698B6174"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5</w:t>
            </w:r>
          </w:p>
        </w:tc>
        <w:tc>
          <w:tcPr>
            <w:tcW w:w="1217" w:type="dxa"/>
            <w:noWrap/>
            <w:vAlign w:val="center"/>
            <w:hideMark/>
          </w:tcPr>
          <w:p w14:paraId="232681D3"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291968</w:t>
            </w:r>
          </w:p>
        </w:tc>
        <w:tc>
          <w:tcPr>
            <w:tcW w:w="1417" w:type="dxa"/>
            <w:noWrap/>
            <w:vAlign w:val="center"/>
            <w:hideMark/>
          </w:tcPr>
          <w:p w14:paraId="174F3799"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98.56</w:t>
            </w:r>
          </w:p>
        </w:tc>
        <w:tc>
          <w:tcPr>
            <w:tcW w:w="1417" w:type="dxa"/>
            <w:noWrap/>
            <w:vAlign w:val="center"/>
            <w:hideMark/>
          </w:tcPr>
          <w:p w14:paraId="5514A80C"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99.66</w:t>
            </w:r>
          </w:p>
        </w:tc>
        <w:tc>
          <w:tcPr>
            <w:tcW w:w="1003" w:type="dxa"/>
            <w:noWrap/>
            <w:vAlign w:val="center"/>
            <w:hideMark/>
          </w:tcPr>
          <w:p w14:paraId="147FA86F" w14:textId="77777777" w:rsidR="0061629A" w:rsidRPr="00613DE5" w:rsidRDefault="0061629A" w:rsidP="00065F12">
            <w:pPr>
              <w:jc w:val="center"/>
              <w:cnfStyle w:val="000000100000" w:firstRow="0" w:lastRow="0" w:firstColumn="0" w:lastColumn="0" w:oddVBand="0" w:evenVBand="0" w:oddHBand="1" w:evenHBand="0" w:firstRowFirstColumn="0" w:firstRowLastColumn="0" w:lastRowFirstColumn="0" w:lastRowLastColumn="0"/>
              <w:rPr>
                <w:b/>
                <w:bCs/>
                <w:lang w:val="en-NZ" w:eastAsia="en-NZ"/>
              </w:rPr>
            </w:pPr>
            <w:r w:rsidRPr="00613DE5">
              <w:rPr>
                <w:b/>
                <w:bCs/>
                <w:lang w:val="en-NZ" w:eastAsia="en-NZ"/>
              </w:rPr>
              <w:t>25.7</w:t>
            </w:r>
          </w:p>
        </w:tc>
      </w:tr>
    </w:tbl>
    <w:p w14:paraId="7D8F2055" w14:textId="77777777" w:rsidR="0061629A" w:rsidRPr="00613DE5" w:rsidRDefault="0061629A" w:rsidP="0061629A">
      <w:pPr>
        <w:rPr>
          <w:rFonts w:asciiTheme="majorHAnsi" w:eastAsiaTheme="majorEastAsia" w:hAnsiTheme="majorHAnsi" w:cstheme="majorBidi"/>
          <w:b/>
          <w:color w:val="15284C" w:themeColor="text2"/>
          <w:sz w:val="48"/>
          <w:szCs w:val="48"/>
          <w:lang w:val="en-NZ"/>
        </w:rPr>
      </w:pPr>
      <w:bookmarkStart w:id="65" w:name="_Toc93071264"/>
      <w:bookmarkStart w:id="66" w:name="_Toc93648517"/>
      <w:bookmarkStart w:id="67" w:name="_Toc125452845"/>
    </w:p>
    <w:p w14:paraId="76D85AFB" w14:textId="77777777" w:rsidR="0061629A" w:rsidRPr="00613DE5" w:rsidRDefault="0061629A" w:rsidP="0061629A">
      <w:pPr>
        <w:pStyle w:val="Heading1"/>
        <w:spacing w:line="240" w:lineRule="auto"/>
        <w:rPr>
          <w:sz w:val="48"/>
          <w:szCs w:val="48"/>
          <w:lang w:val="en-NZ"/>
        </w:rPr>
        <w:sectPr w:rsidR="0061629A" w:rsidRPr="00613DE5" w:rsidSect="00BF4963">
          <w:headerReference w:type="first" r:id="rId31"/>
          <w:pgSz w:w="16838" w:h="11906" w:orient="landscape"/>
          <w:pgMar w:top="1134" w:right="1134" w:bottom="1134" w:left="1134" w:header="1304" w:footer="709" w:gutter="0"/>
          <w:cols w:space="708"/>
          <w:titlePg/>
          <w:docGrid w:linePitch="360"/>
        </w:sectPr>
      </w:pPr>
    </w:p>
    <w:p w14:paraId="65274F89" w14:textId="77777777" w:rsidR="0061629A" w:rsidRPr="00613DE5" w:rsidRDefault="0061629A" w:rsidP="00CB277B">
      <w:pPr>
        <w:pStyle w:val="Heading1"/>
        <w:rPr>
          <w:lang w:val="en-NZ"/>
        </w:rPr>
      </w:pPr>
      <w:bookmarkStart w:id="68" w:name="_Toc160616232"/>
      <w:bookmarkStart w:id="69" w:name="_Toc179192073"/>
      <w:r w:rsidRPr="00613DE5">
        <w:rPr>
          <w:lang w:val="en-NZ"/>
        </w:rPr>
        <w:lastRenderedPageBreak/>
        <w:t>Appendix 1: List of screened conditions</w:t>
      </w:r>
      <w:bookmarkEnd w:id="65"/>
      <w:bookmarkEnd w:id="66"/>
      <w:bookmarkEnd w:id="67"/>
      <w:bookmarkEnd w:id="68"/>
      <w:bookmarkEnd w:id="69"/>
    </w:p>
    <w:tbl>
      <w:tblPr>
        <w:tblStyle w:val="GridTable4-Accent5"/>
        <w:tblW w:w="0" w:type="auto"/>
        <w:tblLayout w:type="fixed"/>
        <w:tblLook w:val="04A0" w:firstRow="1" w:lastRow="0" w:firstColumn="1" w:lastColumn="0" w:noHBand="0" w:noVBand="1"/>
      </w:tblPr>
      <w:tblGrid>
        <w:gridCol w:w="9355"/>
      </w:tblGrid>
      <w:tr w:rsidR="0061629A" w:rsidRPr="00613DE5" w14:paraId="4DBAAC41" w14:textId="77777777" w:rsidTr="00065F12">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30231A74" w14:textId="77777777" w:rsidR="0061629A" w:rsidRPr="00613DE5" w:rsidRDefault="0061629A" w:rsidP="00065F12">
            <w:pPr>
              <w:rPr>
                <w:b w:val="0"/>
                <w:lang w:val="en-NZ"/>
              </w:rPr>
            </w:pPr>
            <w:r w:rsidRPr="00613DE5">
              <w:rPr>
                <w:lang w:val="en-NZ"/>
              </w:rPr>
              <w:t>Amino acid disorders</w:t>
            </w:r>
          </w:p>
        </w:tc>
      </w:tr>
      <w:tr w:rsidR="0061629A" w:rsidRPr="00613DE5" w14:paraId="7CCAF276"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0D6F2AD5" w14:textId="77777777" w:rsidR="0061629A" w:rsidRPr="009147A2" w:rsidRDefault="0061629A" w:rsidP="00065F12">
            <w:pPr>
              <w:rPr>
                <w:b w:val="0"/>
                <w:bCs w:val="0"/>
                <w:lang w:val="en-NZ"/>
              </w:rPr>
            </w:pPr>
            <w:r w:rsidRPr="009147A2">
              <w:rPr>
                <w:b w:val="0"/>
                <w:bCs w:val="0"/>
                <w:lang w:val="en-NZ"/>
              </w:rPr>
              <w:t>Phenylketonuria</w:t>
            </w:r>
          </w:p>
        </w:tc>
      </w:tr>
      <w:tr w:rsidR="0061629A" w:rsidRPr="00613DE5" w14:paraId="5E28FC34"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10C484D8" w14:textId="77777777" w:rsidR="0061629A" w:rsidRPr="009147A2" w:rsidRDefault="0061629A" w:rsidP="00065F12">
            <w:pPr>
              <w:rPr>
                <w:b w:val="0"/>
                <w:bCs w:val="0"/>
                <w:lang w:val="en-NZ"/>
              </w:rPr>
            </w:pPr>
            <w:r w:rsidRPr="009147A2">
              <w:rPr>
                <w:b w:val="0"/>
                <w:bCs w:val="0"/>
                <w:lang w:val="en-NZ"/>
              </w:rPr>
              <w:t>Maple syrup urine disease</w:t>
            </w:r>
          </w:p>
        </w:tc>
      </w:tr>
      <w:tr w:rsidR="0061629A" w:rsidRPr="00613DE5" w14:paraId="373A1C19"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65603765" w14:textId="77777777" w:rsidR="0061629A" w:rsidRPr="009147A2" w:rsidRDefault="0061629A" w:rsidP="00065F12">
            <w:pPr>
              <w:rPr>
                <w:b w:val="0"/>
                <w:bCs w:val="0"/>
                <w:lang w:val="en-NZ"/>
              </w:rPr>
            </w:pPr>
            <w:r w:rsidRPr="009147A2">
              <w:rPr>
                <w:b w:val="0"/>
                <w:bCs w:val="0"/>
                <w:lang w:val="en-NZ"/>
              </w:rPr>
              <w:t>Argininosuccinic aciduria (argininosuccinate lyase deficiency)</w:t>
            </w:r>
          </w:p>
        </w:tc>
      </w:tr>
      <w:tr w:rsidR="0061629A" w:rsidRPr="00613DE5" w14:paraId="0AC9294D"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4B54AEF7" w14:textId="77777777" w:rsidR="0061629A" w:rsidRPr="009147A2" w:rsidRDefault="0061629A" w:rsidP="00065F12">
            <w:pPr>
              <w:rPr>
                <w:b w:val="0"/>
                <w:bCs w:val="0"/>
                <w:lang w:val="en-NZ"/>
              </w:rPr>
            </w:pPr>
            <w:r w:rsidRPr="009147A2">
              <w:rPr>
                <w:b w:val="0"/>
                <w:bCs w:val="0"/>
                <w:lang w:val="en-NZ"/>
              </w:rPr>
              <w:t>Citrullinaemia (argininosuccinate synthetase deficiency)</w:t>
            </w:r>
          </w:p>
        </w:tc>
      </w:tr>
      <w:tr w:rsidR="0061629A" w:rsidRPr="00613DE5" w14:paraId="20D9A8C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62423434" w14:textId="77777777" w:rsidR="0061629A" w:rsidRPr="009147A2" w:rsidRDefault="0061629A" w:rsidP="00065F12">
            <w:pPr>
              <w:rPr>
                <w:b w:val="0"/>
                <w:bCs w:val="0"/>
                <w:lang w:val="en-NZ"/>
              </w:rPr>
            </w:pPr>
            <w:r w:rsidRPr="009147A2">
              <w:rPr>
                <w:b w:val="0"/>
                <w:bCs w:val="0"/>
                <w:lang w:val="en-NZ"/>
              </w:rPr>
              <w:t>Glutaric acidaemia type I (glutaryl-CoA dehydrogenase deficiency)</w:t>
            </w:r>
          </w:p>
        </w:tc>
      </w:tr>
      <w:tr w:rsidR="0061629A" w:rsidRPr="00613DE5" w14:paraId="42D0FFE7"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592D8841" w14:textId="77777777" w:rsidR="0061629A" w:rsidRPr="009147A2" w:rsidRDefault="0061629A" w:rsidP="00065F12">
            <w:pPr>
              <w:rPr>
                <w:b w:val="0"/>
                <w:bCs w:val="0"/>
                <w:lang w:val="en-NZ"/>
              </w:rPr>
            </w:pPr>
            <w:r w:rsidRPr="009147A2">
              <w:rPr>
                <w:b w:val="0"/>
                <w:bCs w:val="0"/>
                <w:lang w:val="en-NZ"/>
              </w:rPr>
              <w:t>Homocystinuria (cystathionine beta-synthase deficiency)</w:t>
            </w:r>
          </w:p>
        </w:tc>
      </w:tr>
      <w:tr w:rsidR="0061629A" w:rsidRPr="00613DE5" w14:paraId="09B83E4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66F61609" w14:textId="77777777" w:rsidR="0061629A" w:rsidRPr="009147A2" w:rsidRDefault="0061629A" w:rsidP="00065F12">
            <w:pPr>
              <w:rPr>
                <w:b w:val="0"/>
                <w:bCs w:val="0"/>
                <w:lang w:val="en-NZ"/>
              </w:rPr>
            </w:pPr>
            <w:r w:rsidRPr="009147A2">
              <w:rPr>
                <w:b w:val="0"/>
                <w:bCs w:val="0"/>
                <w:lang w:val="en-NZ"/>
              </w:rPr>
              <w:t>Isovaleric acidaemia (isovaleryl-CoA dehydrogenase deficiency)</w:t>
            </w:r>
          </w:p>
        </w:tc>
      </w:tr>
      <w:tr w:rsidR="0061629A" w:rsidRPr="00613DE5" w14:paraId="7401949D"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7C3ABA14" w14:textId="77777777" w:rsidR="0061629A" w:rsidRPr="009147A2" w:rsidRDefault="0061629A" w:rsidP="00065F12">
            <w:pPr>
              <w:rPr>
                <w:b w:val="0"/>
                <w:bCs w:val="0"/>
                <w:lang w:val="en-NZ"/>
              </w:rPr>
            </w:pPr>
            <w:r w:rsidRPr="009147A2">
              <w:rPr>
                <w:b w:val="0"/>
                <w:bCs w:val="0"/>
                <w:lang w:val="en-NZ"/>
              </w:rPr>
              <w:t>Methylmalonic acidurias (mutase deficiency, CblA, CblB, CblC, CblD defects)</w:t>
            </w:r>
          </w:p>
        </w:tc>
      </w:tr>
      <w:tr w:rsidR="0061629A" w:rsidRPr="00613DE5" w14:paraId="0B8D9B73"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7BAF34E8" w14:textId="77777777" w:rsidR="0061629A" w:rsidRPr="009147A2" w:rsidRDefault="0061629A" w:rsidP="00065F12">
            <w:pPr>
              <w:rPr>
                <w:b w:val="0"/>
                <w:bCs w:val="0"/>
                <w:lang w:val="en-NZ"/>
              </w:rPr>
            </w:pPr>
            <w:r w:rsidRPr="009147A2">
              <w:rPr>
                <w:b w:val="0"/>
                <w:bCs w:val="0"/>
                <w:lang w:val="en-NZ"/>
              </w:rPr>
              <w:t>Propionic acidaemia (propionyl-CoA carboxylase deficiency)</w:t>
            </w:r>
          </w:p>
        </w:tc>
      </w:tr>
      <w:tr w:rsidR="0061629A" w:rsidRPr="00613DE5" w14:paraId="2A1C4921"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shd w:val="clear" w:color="auto" w:fill="15284C" w:themeFill="text1"/>
            <w:vAlign w:val="center"/>
          </w:tcPr>
          <w:p w14:paraId="5291454C" w14:textId="77777777" w:rsidR="0061629A" w:rsidRPr="00613DE5" w:rsidRDefault="0061629A" w:rsidP="00065F12">
            <w:pPr>
              <w:rPr>
                <w:b w:val="0"/>
                <w:color w:val="F6F4EC" w:themeColor="background1"/>
                <w:lang w:val="en-NZ"/>
              </w:rPr>
            </w:pPr>
            <w:r w:rsidRPr="00613DE5">
              <w:rPr>
                <w:color w:val="F6F4EC" w:themeColor="background1"/>
                <w:lang w:val="en-NZ"/>
              </w:rPr>
              <w:t>Fatty acid oxidation disorders</w:t>
            </w:r>
          </w:p>
        </w:tc>
      </w:tr>
      <w:tr w:rsidR="0061629A" w:rsidRPr="00613DE5" w14:paraId="7D3EADE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1A2E4CA2" w14:textId="77777777" w:rsidR="0061629A" w:rsidRPr="009147A2" w:rsidRDefault="0061629A" w:rsidP="00065F12">
            <w:pPr>
              <w:rPr>
                <w:b w:val="0"/>
                <w:bCs w:val="0"/>
                <w:lang w:val="en-NZ"/>
              </w:rPr>
            </w:pPr>
            <w:r w:rsidRPr="009147A2">
              <w:rPr>
                <w:b w:val="0"/>
                <w:bCs w:val="0"/>
                <w:lang w:val="en-NZ"/>
              </w:rPr>
              <w:t>CACT (carnitine acylcarnitine translocase deficiency)</w:t>
            </w:r>
          </w:p>
        </w:tc>
      </w:tr>
      <w:tr w:rsidR="0061629A" w:rsidRPr="00613DE5" w14:paraId="5E44E476"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68A35D73" w14:textId="77777777" w:rsidR="0061629A" w:rsidRPr="009147A2" w:rsidRDefault="0061629A" w:rsidP="00065F12">
            <w:pPr>
              <w:rPr>
                <w:b w:val="0"/>
                <w:bCs w:val="0"/>
                <w:lang w:val="en-NZ"/>
              </w:rPr>
            </w:pPr>
            <w:r w:rsidRPr="009147A2">
              <w:rPr>
                <w:b w:val="0"/>
                <w:bCs w:val="0"/>
                <w:lang w:val="en-NZ"/>
              </w:rPr>
              <w:t>CPT-I (carnitine palmitoyltransferase-I deficiency)</w:t>
            </w:r>
          </w:p>
        </w:tc>
      </w:tr>
      <w:tr w:rsidR="0061629A" w:rsidRPr="00613DE5" w14:paraId="79984066"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13FD5AFC" w14:textId="77777777" w:rsidR="0061629A" w:rsidRPr="009147A2" w:rsidRDefault="0061629A" w:rsidP="00065F12">
            <w:pPr>
              <w:rPr>
                <w:b w:val="0"/>
                <w:bCs w:val="0"/>
                <w:lang w:val="en-NZ"/>
              </w:rPr>
            </w:pPr>
            <w:r w:rsidRPr="009147A2">
              <w:rPr>
                <w:b w:val="0"/>
                <w:bCs w:val="0"/>
                <w:lang w:val="en-NZ"/>
              </w:rPr>
              <w:t>CPT-II (carnitine palmitoyltransferase-II deficiency)</w:t>
            </w:r>
          </w:p>
        </w:tc>
      </w:tr>
      <w:tr w:rsidR="0061629A" w:rsidRPr="00613DE5" w14:paraId="43E13E9F"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60EB7480" w14:textId="77777777" w:rsidR="0061629A" w:rsidRPr="009147A2" w:rsidRDefault="0061629A" w:rsidP="00065F12">
            <w:pPr>
              <w:rPr>
                <w:b w:val="0"/>
                <w:bCs w:val="0"/>
                <w:lang w:val="en-NZ"/>
              </w:rPr>
            </w:pPr>
            <w:r w:rsidRPr="009147A2">
              <w:rPr>
                <w:b w:val="0"/>
                <w:bCs w:val="0"/>
                <w:lang w:val="en-NZ"/>
              </w:rPr>
              <w:t>LCHAD (3-hydroxy long-chain acyl-CoA dehydrogenase deficiency)</w:t>
            </w:r>
          </w:p>
        </w:tc>
      </w:tr>
      <w:tr w:rsidR="0061629A" w:rsidRPr="00613DE5" w14:paraId="42628581"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332C37B9" w14:textId="77777777" w:rsidR="0061629A" w:rsidRPr="009147A2" w:rsidRDefault="0061629A" w:rsidP="00065F12">
            <w:pPr>
              <w:rPr>
                <w:b w:val="0"/>
                <w:bCs w:val="0"/>
                <w:lang w:val="en-NZ"/>
              </w:rPr>
            </w:pPr>
            <w:r w:rsidRPr="009147A2">
              <w:rPr>
                <w:b w:val="0"/>
                <w:bCs w:val="0"/>
                <w:lang w:val="en-NZ"/>
              </w:rPr>
              <w:t>TFP (trifunctional protein deficiency)</w:t>
            </w:r>
          </w:p>
        </w:tc>
      </w:tr>
      <w:tr w:rsidR="0061629A" w:rsidRPr="00613DE5" w14:paraId="53ADC8C2"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58A882C6" w14:textId="77777777" w:rsidR="0061629A" w:rsidRPr="009147A2" w:rsidRDefault="0061629A" w:rsidP="00065F12">
            <w:pPr>
              <w:rPr>
                <w:b w:val="0"/>
                <w:bCs w:val="0"/>
                <w:lang w:val="en-NZ"/>
              </w:rPr>
            </w:pPr>
            <w:r w:rsidRPr="009147A2">
              <w:rPr>
                <w:b w:val="0"/>
                <w:bCs w:val="0"/>
                <w:lang w:val="en-NZ"/>
              </w:rPr>
              <w:t>MADD (multiple acyl-CoA dehydrogenase deficiency)</w:t>
            </w:r>
          </w:p>
        </w:tc>
      </w:tr>
      <w:tr w:rsidR="0061629A" w:rsidRPr="00613DE5" w14:paraId="6DD1326D"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4CFBAAB8" w14:textId="77777777" w:rsidR="0061629A" w:rsidRPr="009147A2" w:rsidRDefault="0061629A" w:rsidP="00065F12">
            <w:pPr>
              <w:rPr>
                <w:b w:val="0"/>
                <w:bCs w:val="0"/>
                <w:lang w:val="en-NZ"/>
              </w:rPr>
            </w:pPr>
            <w:r w:rsidRPr="009147A2">
              <w:rPr>
                <w:b w:val="0"/>
                <w:bCs w:val="0"/>
                <w:lang w:val="en-NZ"/>
              </w:rPr>
              <w:t>MCAD (medium-chain acyl-CoA dehydrogenase deficiency)</w:t>
            </w:r>
          </w:p>
        </w:tc>
      </w:tr>
      <w:tr w:rsidR="0061629A" w:rsidRPr="00613DE5" w14:paraId="47DB15CF"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0D887AC8" w14:textId="77777777" w:rsidR="0061629A" w:rsidRPr="009147A2" w:rsidRDefault="0061629A" w:rsidP="00065F12">
            <w:pPr>
              <w:rPr>
                <w:b w:val="0"/>
                <w:bCs w:val="0"/>
                <w:lang w:val="en-NZ"/>
              </w:rPr>
            </w:pPr>
            <w:r w:rsidRPr="009147A2">
              <w:rPr>
                <w:b w:val="0"/>
                <w:bCs w:val="0"/>
                <w:lang w:val="en-NZ"/>
              </w:rPr>
              <w:t>VLCAD (very-long-chain acyl-CoA dehydrogenase deficiency)</w:t>
            </w:r>
          </w:p>
        </w:tc>
      </w:tr>
      <w:tr w:rsidR="0061629A" w:rsidRPr="00613DE5" w14:paraId="52ADE505"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shd w:val="clear" w:color="auto" w:fill="15284C" w:themeFill="text1"/>
            <w:vAlign w:val="center"/>
          </w:tcPr>
          <w:p w14:paraId="3AE08728" w14:textId="77777777" w:rsidR="0061629A" w:rsidRPr="00613DE5" w:rsidRDefault="0061629A" w:rsidP="00065F12">
            <w:pPr>
              <w:rPr>
                <w:b w:val="0"/>
                <w:lang w:val="en-NZ"/>
              </w:rPr>
            </w:pPr>
            <w:r w:rsidRPr="00613DE5">
              <w:rPr>
                <w:lang w:val="en-NZ"/>
              </w:rPr>
              <w:t>Additional disorders</w:t>
            </w:r>
          </w:p>
        </w:tc>
      </w:tr>
      <w:tr w:rsidR="0061629A" w:rsidRPr="00613DE5" w14:paraId="1A274F10"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7437C256" w14:textId="77777777" w:rsidR="0061629A" w:rsidRPr="009147A2" w:rsidRDefault="0061629A" w:rsidP="00065F12">
            <w:pPr>
              <w:rPr>
                <w:b w:val="0"/>
                <w:bCs w:val="0"/>
                <w:lang w:val="en-NZ"/>
              </w:rPr>
            </w:pPr>
            <w:r w:rsidRPr="009147A2">
              <w:rPr>
                <w:b w:val="0"/>
                <w:bCs w:val="0"/>
                <w:lang w:val="en-NZ"/>
              </w:rPr>
              <w:t xml:space="preserve">Congenital hypothyroidism </w:t>
            </w:r>
          </w:p>
        </w:tc>
      </w:tr>
      <w:tr w:rsidR="0061629A" w:rsidRPr="00613DE5" w14:paraId="2BFB8A3F"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7110C8FD" w14:textId="77777777" w:rsidR="0061629A" w:rsidRPr="009147A2" w:rsidRDefault="0061629A" w:rsidP="00065F12">
            <w:pPr>
              <w:rPr>
                <w:b w:val="0"/>
                <w:bCs w:val="0"/>
                <w:lang w:val="en-NZ"/>
              </w:rPr>
            </w:pPr>
            <w:r w:rsidRPr="009147A2">
              <w:rPr>
                <w:b w:val="0"/>
                <w:bCs w:val="0"/>
                <w:lang w:val="en-NZ"/>
              </w:rPr>
              <w:t xml:space="preserve">Congenital adrenal hyperplasia </w:t>
            </w:r>
          </w:p>
        </w:tc>
      </w:tr>
      <w:tr w:rsidR="0061629A" w:rsidRPr="00613DE5" w14:paraId="7300FFDD"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6BF361EF" w14:textId="77777777" w:rsidR="0061629A" w:rsidRPr="009147A2" w:rsidRDefault="0061629A" w:rsidP="00065F12">
            <w:pPr>
              <w:rPr>
                <w:b w:val="0"/>
                <w:bCs w:val="0"/>
                <w:lang w:val="en-NZ"/>
              </w:rPr>
            </w:pPr>
            <w:r w:rsidRPr="009147A2">
              <w:rPr>
                <w:b w:val="0"/>
                <w:bCs w:val="0"/>
                <w:lang w:val="en-NZ"/>
              </w:rPr>
              <w:t xml:space="preserve">Cystic fibrosis </w:t>
            </w:r>
          </w:p>
        </w:tc>
      </w:tr>
      <w:tr w:rsidR="0061629A" w:rsidRPr="00613DE5" w14:paraId="19464DDB"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0864ACD0" w14:textId="77777777" w:rsidR="0061629A" w:rsidRPr="009147A2" w:rsidRDefault="0061629A" w:rsidP="00065F12">
            <w:pPr>
              <w:rPr>
                <w:b w:val="0"/>
                <w:bCs w:val="0"/>
                <w:lang w:val="en-NZ"/>
              </w:rPr>
            </w:pPr>
            <w:r w:rsidRPr="009147A2">
              <w:rPr>
                <w:b w:val="0"/>
                <w:bCs w:val="0"/>
                <w:lang w:val="en-NZ"/>
              </w:rPr>
              <w:t>Biotinidase deficiency</w:t>
            </w:r>
          </w:p>
        </w:tc>
      </w:tr>
      <w:tr w:rsidR="0061629A" w:rsidRPr="00613DE5" w14:paraId="6D559CF7" w14:textId="77777777" w:rsidTr="00065F12">
        <w:trPr>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39257711" w14:textId="77777777" w:rsidR="0061629A" w:rsidRPr="009147A2" w:rsidRDefault="0061629A" w:rsidP="00065F12">
            <w:pPr>
              <w:rPr>
                <w:b w:val="0"/>
                <w:bCs w:val="0"/>
                <w:lang w:val="en-NZ"/>
              </w:rPr>
            </w:pPr>
            <w:r w:rsidRPr="009147A2">
              <w:rPr>
                <w:b w:val="0"/>
                <w:bCs w:val="0"/>
                <w:lang w:val="en-NZ"/>
              </w:rPr>
              <w:t>Galactosaemia</w:t>
            </w:r>
          </w:p>
        </w:tc>
      </w:tr>
      <w:tr w:rsidR="0061629A" w:rsidRPr="00613DE5" w14:paraId="591196EB" w14:textId="77777777" w:rsidTr="00065F1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355" w:type="dxa"/>
            <w:vAlign w:val="center"/>
          </w:tcPr>
          <w:p w14:paraId="0873AF1D" w14:textId="77777777" w:rsidR="0061629A" w:rsidRPr="009147A2" w:rsidRDefault="0061629A" w:rsidP="00065F12">
            <w:pPr>
              <w:rPr>
                <w:b w:val="0"/>
                <w:bCs w:val="0"/>
                <w:lang w:val="en-NZ"/>
              </w:rPr>
            </w:pPr>
            <w:r w:rsidRPr="009147A2">
              <w:rPr>
                <w:b w:val="0"/>
                <w:bCs w:val="0"/>
                <w:lang w:val="en-NZ"/>
              </w:rPr>
              <w:t>Severe combined immunodeficiency (SCID)</w:t>
            </w:r>
          </w:p>
        </w:tc>
      </w:tr>
    </w:tbl>
    <w:p w14:paraId="12D795BB" w14:textId="77777777" w:rsidR="0061629A" w:rsidRPr="00613DE5" w:rsidRDefault="0061629A" w:rsidP="00A52916">
      <w:pPr>
        <w:rPr>
          <w:lang w:val="en-NZ"/>
        </w:rPr>
      </w:pPr>
    </w:p>
    <w:sectPr w:rsidR="0061629A" w:rsidRPr="00613DE5" w:rsidSect="00BF4963">
      <w:headerReference w:type="default" r:id="rId32"/>
      <w:headerReference w:type="first" r:id="rId33"/>
      <w:footerReference w:type="first" r:id="rId34"/>
      <w:pgSz w:w="11906" w:h="16838"/>
      <w:pgMar w:top="1440" w:right="1440"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2238" w14:textId="77777777" w:rsidR="007520C1" w:rsidRDefault="007520C1" w:rsidP="00EB3422">
      <w:r>
        <w:separator/>
      </w:r>
    </w:p>
  </w:endnote>
  <w:endnote w:type="continuationSeparator" w:id="0">
    <w:p w14:paraId="10F4B769" w14:textId="77777777" w:rsidR="007520C1" w:rsidRDefault="007520C1" w:rsidP="00EB3422">
      <w:r>
        <w:continuationSeparator/>
      </w:r>
    </w:p>
  </w:endnote>
  <w:endnote w:type="continuationNotice" w:id="1">
    <w:p w14:paraId="2FE9F62E" w14:textId="77777777" w:rsidR="007520C1" w:rsidRDefault="00752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TXihe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B7DDC" w14:textId="30B33D06" w:rsidR="000E18C2" w:rsidRPr="00FF7B4C" w:rsidRDefault="000E18C2" w:rsidP="00635FD1">
    <w:pPr>
      <w:pBdr>
        <w:top w:val="single" w:sz="2" w:space="4" w:color="808080"/>
      </w:pBdr>
      <w:tabs>
        <w:tab w:val="right" w:pos="14570"/>
      </w:tabs>
      <w:spacing w:after="0" w:line="240" w:lineRule="auto"/>
      <w:rPr>
        <w:rFonts w:eastAsia="Calibri"/>
        <w:noProof/>
        <w:szCs w:val="24"/>
      </w:rPr>
    </w:pPr>
    <w:r>
      <w:t xml:space="preserve">Newborn Metabolic Screening Programme Annual </w:t>
    </w:r>
    <w:r w:rsidRPr="00630DE1">
      <w:rPr>
        <w:rFonts w:eastAsia="Calibri"/>
        <w:noProof/>
        <w:szCs w:val="24"/>
      </w:rPr>
      <w:t>Report</w:t>
    </w:r>
    <w:r>
      <w:rPr>
        <w:rFonts w:eastAsia="Calibri"/>
        <w:noProof/>
        <w:szCs w:val="24"/>
      </w:rPr>
      <w:t xml:space="preserve"> 2022</w:t>
    </w:r>
    <w:r w:rsidRPr="00222274">
      <w:rPr>
        <w:rFonts w:eastAsia="Calibri"/>
        <w:noProof/>
        <w:szCs w:val="24"/>
      </w:rPr>
      <w:tab/>
    </w:r>
    <w:r w:rsidR="00FF7B4C" w:rsidRPr="00FF7B4C">
      <w:rPr>
        <w:rFonts w:eastAsia="Calibri"/>
        <w:noProof/>
        <w:szCs w:val="24"/>
      </w:rPr>
      <w:fldChar w:fldCharType="begin"/>
    </w:r>
    <w:r w:rsidR="00FF7B4C" w:rsidRPr="00FF7B4C">
      <w:rPr>
        <w:rFonts w:eastAsia="Calibri"/>
        <w:noProof/>
        <w:szCs w:val="24"/>
      </w:rPr>
      <w:instrText xml:space="preserve"> PAGE   \* MERGEFORMAT </w:instrText>
    </w:r>
    <w:r w:rsidR="00FF7B4C" w:rsidRPr="00FF7B4C">
      <w:rPr>
        <w:rFonts w:eastAsia="Calibri"/>
        <w:noProof/>
        <w:szCs w:val="24"/>
      </w:rPr>
      <w:fldChar w:fldCharType="separate"/>
    </w:r>
    <w:r w:rsidR="00FF7B4C" w:rsidRPr="00FF7B4C">
      <w:rPr>
        <w:rFonts w:eastAsia="Calibri"/>
        <w:noProof/>
        <w:szCs w:val="24"/>
      </w:rPr>
      <w:t>1</w:t>
    </w:r>
    <w:r w:rsidR="00FF7B4C" w:rsidRPr="00FF7B4C">
      <w:rPr>
        <w:rFonts w:eastAsia="Calibri"/>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8365" w14:textId="45B14A36" w:rsidR="00F46474" w:rsidRPr="008D27F4" w:rsidRDefault="00F46474" w:rsidP="00F46474">
    <w:pPr>
      <w:pBdr>
        <w:top w:val="single" w:sz="2" w:space="4" w:color="808080"/>
      </w:pBdr>
      <w:tabs>
        <w:tab w:val="right" w:pos="14570"/>
      </w:tabs>
      <w:spacing w:after="0" w:line="240" w:lineRule="auto"/>
      <w:rPr>
        <w:rFonts w:eastAsia="Calibri"/>
        <w:noProof/>
        <w:szCs w:val="24"/>
      </w:rPr>
    </w:pPr>
    <w:r>
      <w:t xml:space="preserve">Newborn Metabolic Screening Programme Annual </w:t>
    </w:r>
    <w:r w:rsidRPr="00630DE1">
      <w:rPr>
        <w:rFonts w:eastAsia="Calibri"/>
        <w:noProof/>
        <w:szCs w:val="24"/>
      </w:rPr>
      <w:t>Report</w:t>
    </w:r>
    <w:r>
      <w:rPr>
        <w:rFonts w:eastAsia="Calibri"/>
        <w:noProof/>
        <w:szCs w:val="24"/>
      </w:rPr>
      <w:t xml:space="preserve"> 2022</w:t>
    </w:r>
    <w:r w:rsidRPr="00222274">
      <w:rPr>
        <w:rFonts w:eastAsia="Calibri"/>
        <w:noProof/>
        <w:szCs w:val="24"/>
      </w:rPr>
      <w:tab/>
    </w:r>
    <w:r w:rsidR="000C7740">
      <w:rPr>
        <w:rFonts w:eastAsia="Calibri"/>
        <w:noProof/>
        <w:szCs w:val="24"/>
      </w:rPr>
      <w:t>2</w:t>
    </w:r>
    <w:r w:rsidR="001A3C99">
      <w:rPr>
        <w:rFonts w:eastAsia="Calibri"/>
        <w:noProof/>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A51F" w14:textId="23736CCA" w:rsidR="00EB3422" w:rsidRPr="00F46474" w:rsidRDefault="00F46474" w:rsidP="00F46474">
    <w:pPr>
      <w:pBdr>
        <w:top w:val="single" w:sz="2" w:space="4" w:color="808080"/>
      </w:pBdr>
      <w:tabs>
        <w:tab w:val="right" w:pos="14570"/>
      </w:tabs>
      <w:spacing w:after="0" w:line="240" w:lineRule="auto"/>
      <w:rPr>
        <w:rFonts w:eastAsia="Calibri"/>
        <w:noProof/>
        <w:szCs w:val="24"/>
      </w:rPr>
    </w:pPr>
    <w:r>
      <w:t xml:space="preserve">Newborn Metabolic Screening Programme Annual </w:t>
    </w:r>
    <w:r w:rsidRPr="00630DE1">
      <w:rPr>
        <w:rFonts w:eastAsia="Calibri"/>
        <w:noProof/>
        <w:szCs w:val="24"/>
      </w:rPr>
      <w:t>Report</w:t>
    </w:r>
    <w:r>
      <w:rPr>
        <w:rFonts w:eastAsia="Calibri"/>
        <w:noProof/>
        <w:szCs w:val="24"/>
      </w:rPr>
      <w:t xml:space="preserve"> 2022</w:t>
    </w:r>
    <w:r w:rsidRPr="00222274">
      <w:rPr>
        <w:rFonts w:eastAsia="Calibri"/>
        <w:noProof/>
        <w:szCs w:val="24"/>
      </w:rPr>
      <w:tab/>
    </w:r>
    <w:r w:rsidRPr="00630DE1">
      <w:rPr>
        <w:rFonts w:eastAsia="Calibri"/>
        <w:color w:val="2B579A"/>
        <w:szCs w:val="24"/>
        <w:shd w:val="clear" w:color="auto" w:fill="E6E6E6"/>
      </w:rPr>
      <w:fldChar w:fldCharType="begin"/>
    </w:r>
    <w:r w:rsidRPr="00630DE1">
      <w:rPr>
        <w:rFonts w:eastAsia="Calibri"/>
        <w:noProof/>
        <w:szCs w:val="24"/>
      </w:rPr>
      <w:instrText xml:space="preserve"> PAGE   \* MERGEFORMAT </w:instrText>
    </w:r>
    <w:r w:rsidRPr="00630DE1">
      <w:rPr>
        <w:rFonts w:eastAsia="Calibri"/>
        <w:color w:val="2B579A"/>
        <w:szCs w:val="24"/>
        <w:shd w:val="clear" w:color="auto" w:fill="E6E6E6"/>
      </w:rPr>
      <w:fldChar w:fldCharType="separate"/>
    </w:r>
    <w:r>
      <w:rPr>
        <w:rFonts w:eastAsia="Calibri"/>
        <w:noProof/>
        <w:szCs w:val="24"/>
      </w:rPr>
      <w:t>12</w:t>
    </w:r>
    <w:r w:rsidRPr="00630DE1">
      <w:rPr>
        <w:rFonts w:eastAsia="Calibri"/>
        <w:color w:val="2B579A"/>
        <w:szCs w:val="24"/>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FE53" w14:textId="6B1289A4" w:rsidR="003E71B9" w:rsidRPr="008D27F4" w:rsidRDefault="003E71B9" w:rsidP="00F46474">
    <w:pPr>
      <w:pBdr>
        <w:top w:val="single" w:sz="2" w:space="4" w:color="808080"/>
      </w:pBdr>
      <w:tabs>
        <w:tab w:val="right" w:pos="14570"/>
      </w:tabs>
      <w:spacing w:after="0" w:line="240" w:lineRule="auto"/>
      <w:rPr>
        <w:rFonts w:eastAsia="Calibri"/>
        <w:noProof/>
        <w:szCs w:val="24"/>
      </w:rPr>
    </w:pPr>
    <w:r>
      <w:t xml:space="preserve">Newborn Metabolic Screening Programme Annual </w:t>
    </w:r>
    <w:r w:rsidRPr="00630DE1">
      <w:rPr>
        <w:rFonts w:eastAsia="Calibri"/>
        <w:noProof/>
        <w:szCs w:val="24"/>
      </w:rPr>
      <w:t>Report</w:t>
    </w:r>
    <w:r>
      <w:rPr>
        <w:rFonts w:eastAsia="Calibri"/>
        <w:noProof/>
        <w:szCs w:val="24"/>
      </w:rPr>
      <w:t xml:space="preserve"> 2022</w:t>
    </w:r>
    <w:r w:rsidRPr="00222274">
      <w:rPr>
        <w:rFonts w:eastAsia="Calibri"/>
        <w:noProof/>
        <w:szCs w:val="24"/>
      </w:rPr>
      <w:tab/>
    </w:r>
    <w:r w:rsidR="00FC0B66" w:rsidRPr="00FC0B66">
      <w:rPr>
        <w:rFonts w:eastAsia="Calibri"/>
        <w:color w:val="2B579A"/>
        <w:szCs w:val="24"/>
        <w:shd w:val="clear" w:color="auto" w:fill="E6E6E6"/>
      </w:rPr>
      <w:fldChar w:fldCharType="begin"/>
    </w:r>
    <w:r w:rsidR="00FC0B66" w:rsidRPr="00FC0B66">
      <w:rPr>
        <w:rFonts w:eastAsia="Calibri"/>
        <w:noProof/>
        <w:szCs w:val="24"/>
      </w:rPr>
      <w:instrText xml:space="preserve"> PAGE   \* MERGEFORMAT </w:instrText>
    </w:r>
    <w:r w:rsidR="00FC0B66" w:rsidRPr="00FC0B66">
      <w:rPr>
        <w:rFonts w:eastAsia="Calibri"/>
        <w:color w:val="2B579A"/>
        <w:szCs w:val="24"/>
        <w:shd w:val="clear" w:color="auto" w:fill="E6E6E6"/>
      </w:rPr>
      <w:fldChar w:fldCharType="separate"/>
    </w:r>
    <w:r w:rsidR="00FC0B66" w:rsidRPr="00FC0B66">
      <w:rPr>
        <w:rFonts w:eastAsia="Calibri"/>
        <w:noProof/>
        <w:szCs w:val="24"/>
      </w:rPr>
      <w:t>1</w:t>
    </w:r>
    <w:r w:rsidR="00FC0B66" w:rsidRPr="00FC0B66">
      <w:rPr>
        <w:rFonts w:eastAsia="Calibri"/>
        <w:color w:val="2B579A"/>
        <w:szCs w:val="24"/>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CC0F" w14:textId="2A01CB90" w:rsidR="004B7826" w:rsidRPr="008D27F4" w:rsidRDefault="004B7826" w:rsidP="00F46474">
    <w:pPr>
      <w:pBdr>
        <w:top w:val="single" w:sz="2" w:space="4" w:color="808080"/>
      </w:pBdr>
      <w:tabs>
        <w:tab w:val="right" w:pos="14570"/>
      </w:tabs>
      <w:spacing w:after="0" w:line="240" w:lineRule="auto"/>
      <w:rPr>
        <w:rFonts w:eastAsia="Calibri"/>
        <w:noProof/>
        <w:szCs w:val="24"/>
      </w:rPr>
    </w:pPr>
    <w:r>
      <w:t xml:space="preserve">Newborn Metabolic Screening Programme Annual </w:t>
    </w:r>
    <w:r w:rsidRPr="00630DE1">
      <w:rPr>
        <w:rFonts w:eastAsia="Calibri"/>
        <w:noProof/>
        <w:szCs w:val="24"/>
      </w:rPr>
      <w:t>Report</w:t>
    </w:r>
    <w:r>
      <w:rPr>
        <w:rFonts w:eastAsia="Calibri"/>
        <w:noProof/>
        <w:szCs w:val="24"/>
      </w:rPr>
      <w:t xml:space="preserve"> 2022</w:t>
    </w:r>
    <w:r w:rsidRPr="00222274">
      <w:rPr>
        <w:rFonts w:eastAsia="Calibri"/>
        <w:noProof/>
        <w:szCs w:val="24"/>
      </w:rPr>
      <w:tab/>
    </w:r>
    <w:r w:rsidR="00A042AF" w:rsidRPr="00A042AF">
      <w:rPr>
        <w:rFonts w:eastAsia="Calibri"/>
        <w:color w:val="2B579A"/>
        <w:szCs w:val="24"/>
        <w:shd w:val="clear" w:color="auto" w:fill="E6E6E6"/>
      </w:rPr>
      <w:fldChar w:fldCharType="begin"/>
    </w:r>
    <w:r w:rsidR="00A042AF" w:rsidRPr="00A042AF">
      <w:rPr>
        <w:rFonts w:eastAsia="Calibri"/>
        <w:noProof/>
        <w:szCs w:val="24"/>
      </w:rPr>
      <w:instrText xml:space="preserve"> PAGE   \* MERGEFORMAT </w:instrText>
    </w:r>
    <w:r w:rsidR="00A042AF" w:rsidRPr="00A042AF">
      <w:rPr>
        <w:rFonts w:eastAsia="Calibri"/>
        <w:color w:val="2B579A"/>
        <w:szCs w:val="24"/>
        <w:shd w:val="clear" w:color="auto" w:fill="E6E6E6"/>
      </w:rPr>
      <w:fldChar w:fldCharType="separate"/>
    </w:r>
    <w:r w:rsidR="00A042AF" w:rsidRPr="00A042AF">
      <w:rPr>
        <w:rFonts w:eastAsia="Calibri"/>
        <w:noProof/>
        <w:szCs w:val="24"/>
      </w:rPr>
      <w:t>1</w:t>
    </w:r>
    <w:r w:rsidR="00A042AF" w:rsidRPr="00A042AF">
      <w:rPr>
        <w:rFonts w:eastAsia="Calibri"/>
        <w:color w:val="2B579A"/>
        <w:szCs w:val="24"/>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E691" w14:textId="77777777" w:rsidR="00A042AF" w:rsidRPr="008D27F4" w:rsidRDefault="00A042AF" w:rsidP="00F46474">
    <w:pPr>
      <w:pBdr>
        <w:top w:val="single" w:sz="2" w:space="4" w:color="808080"/>
      </w:pBdr>
      <w:tabs>
        <w:tab w:val="right" w:pos="14570"/>
      </w:tabs>
      <w:spacing w:after="0" w:line="240" w:lineRule="auto"/>
      <w:rPr>
        <w:rFonts w:eastAsia="Calibri"/>
        <w:noProof/>
        <w:szCs w:val="24"/>
      </w:rPr>
    </w:pPr>
    <w:r>
      <w:t xml:space="preserve">Newborn Metabolic Screening Programme Annual </w:t>
    </w:r>
    <w:r w:rsidRPr="00630DE1">
      <w:rPr>
        <w:rFonts w:eastAsia="Calibri"/>
        <w:noProof/>
        <w:szCs w:val="24"/>
      </w:rPr>
      <w:t>Report</w:t>
    </w:r>
    <w:r>
      <w:rPr>
        <w:rFonts w:eastAsia="Calibri"/>
        <w:noProof/>
        <w:szCs w:val="24"/>
      </w:rPr>
      <w:t xml:space="preserve"> 2022</w:t>
    </w:r>
    <w:r w:rsidRPr="00222274">
      <w:rPr>
        <w:rFonts w:eastAsia="Calibri"/>
        <w:noProof/>
        <w:szCs w:val="24"/>
      </w:rPr>
      <w:tab/>
    </w:r>
    <w:r w:rsidRPr="00A042AF">
      <w:rPr>
        <w:rFonts w:eastAsia="Calibri"/>
        <w:color w:val="2B579A"/>
        <w:szCs w:val="24"/>
        <w:shd w:val="clear" w:color="auto" w:fill="E6E6E6"/>
      </w:rPr>
      <w:fldChar w:fldCharType="begin"/>
    </w:r>
    <w:r w:rsidRPr="00A042AF">
      <w:rPr>
        <w:rFonts w:eastAsia="Calibri"/>
        <w:noProof/>
        <w:szCs w:val="24"/>
      </w:rPr>
      <w:instrText xml:space="preserve"> PAGE   \* MERGEFORMAT </w:instrText>
    </w:r>
    <w:r w:rsidRPr="00A042AF">
      <w:rPr>
        <w:rFonts w:eastAsia="Calibri"/>
        <w:color w:val="2B579A"/>
        <w:szCs w:val="24"/>
        <w:shd w:val="clear" w:color="auto" w:fill="E6E6E6"/>
      </w:rPr>
      <w:fldChar w:fldCharType="separate"/>
    </w:r>
    <w:r w:rsidRPr="00A042AF">
      <w:rPr>
        <w:rFonts w:eastAsia="Calibri"/>
        <w:noProof/>
        <w:szCs w:val="24"/>
      </w:rPr>
      <w:t>1</w:t>
    </w:r>
    <w:r w:rsidRPr="00A042AF">
      <w:rPr>
        <w:rFonts w:eastAsia="Calibri"/>
        <w:color w:val="2B579A"/>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24F3" w14:textId="77777777" w:rsidR="007520C1" w:rsidRDefault="007520C1" w:rsidP="00EB3422">
      <w:r>
        <w:separator/>
      </w:r>
    </w:p>
  </w:footnote>
  <w:footnote w:type="continuationSeparator" w:id="0">
    <w:p w14:paraId="3DF087CB" w14:textId="77777777" w:rsidR="007520C1" w:rsidRDefault="007520C1" w:rsidP="00EB3422">
      <w:r>
        <w:continuationSeparator/>
      </w:r>
    </w:p>
  </w:footnote>
  <w:footnote w:type="continuationNotice" w:id="1">
    <w:p w14:paraId="56984567" w14:textId="77777777" w:rsidR="007520C1" w:rsidRDefault="00752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7168" w14:textId="23D77C03" w:rsidR="006000AD" w:rsidRDefault="006000AD">
    <w:pPr>
      <w:pStyle w:val="Header"/>
    </w:pPr>
    <w:r>
      <w:rPr>
        <w:noProof/>
        <w:color w:val="2B579A"/>
        <w:shd w:val="clear" w:color="auto" w:fill="E6E6E6"/>
      </w:rPr>
      <w:drawing>
        <wp:anchor distT="0" distB="0" distL="114300" distR="114300" simplePos="0" relativeHeight="251658240" behindDoc="1" locked="0" layoutInCell="1" allowOverlap="1" wp14:anchorId="183134F3" wp14:editId="4E12358C">
          <wp:simplePos x="0" y="0"/>
          <wp:positionH relativeFrom="page">
            <wp:posOffset>4240</wp:posOffset>
          </wp:positionH>
          <wp:positionV relativeFrom="paragraph">
            <wp:posOffset>-451422</wp:posOffset>
          </wp:positionV>
          <wp:extent cx="7543800" cy="936915"/>
          <wp:effectExtent l="0" t="0" r="0" b="0"/>
          <wp:wrapNone/>
          <wp:docPr id="372129225" name="Picture 372129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29225" name="Picture 3721292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E911" w14:textId="34AB74F9" w:rsidR="00C76026" w:rsidRDefault="00E53D00" w:rsidP="00E53D00">
    <w:pPr>
      <w:pStyle w:val="Header"/>
      <w:tabs>
        <w:tab w:val="clear" w:pos="4513"/>
        <w:tab w:val="clear" w:pos="9026"/>
        <w:tab w:val="left" w:pos="426"/>
        <w:tab w:val="left" w:pos="4671"/>
        <w:tab w:val="left" w:pos="10756"/>
      </w:tabs>
    </w:pPr>
    <w:r>
      <w:rPr>
        <w:noProof/>
        <w:color w:val="2B579A"/>
        <w:shd w:val="clear" w:color="auto" w:fill="E6E6E6"/>
      </w:rPr>
      <w:drawing>
        <wp:anchor distT="0" distB="0" distL="114300" distR="114300" simplePos="0" relativeHeight="251658246" behindDoc="1" locked="0" layoutInCell="1" allowOverlap="1" wp14:anchorId="0146977D" wp14:editId="448FC31D">
          <wp:simplePos x="0" y="0"/>
          <wp:positionH relativeFrom="page">
            <wp:align>right</wp:align>
          </wp:positionH>
          <wp:positionV relativeFrom="paragraph">
            <wp:posOffset>-453860</wp:posOffset>
          </wp:positionV>
          <wp:extent cx="10686553" cy="936625"/>
          <wp:effectExtent l="0" t="0" r="635" b="0"/>
          <wp:wrapNone/>
          <wp:docPr id="1567680136" name="Picture 1567680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680136" name="Picture 15676801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6553" cy="93662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B686" w14:textId="03E66847" w:rsidR="003E71B9" w:rsidRDefault="00330235">
    <w:pPr>
      <w:pStyle w:val="Header"/>
    </w:pPr>
    <w:r>
      <w:rPr>
        <w:noProof/>
        <w:color w:val="2B579A"/>
        <w:shd w:val="clear" w:color="auto" w:fill="E6E6E6"/>
      </w:rPr>
      <w:drawing>
        <wp:anchor distT="0" distB="0" distL="114300" distR="114300" simplePos="0" relativeHeight="251658244" behindDoc="1" locked="0" layoutInCell="1" allowOverlap="1" wp14:anchorId="393B1EF8" wp14:editId="37851E98">
          <wp:simplePos x="0" y="0"/>
          <wp:positionH relativeFrom="page">
            <wp:posOffset>5080</wp:posOffset>
          </wp:positionH>
          <wp:positionV relativeFrom="paragraph">
            <wp:posOffset>-453721</wp:posOffset>
          </wp:positionV>
          <wp:extent cx="10678602" cy="936625"/>
          <wp:effectExtent l="0" t="0" r="8890" b="0"/>
          <wp:wrapNone/>
          <wp:docPr id="962921236" name="Picture 962921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21236" name="Picture 9629212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8602" cy="936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912C4" w14:textId="2F62F5F8" w:rsidR="00AF15FC" w:rsidRDefault="002768BA" w:rsidP="002768BA">
    <w:pPr>
      <w:pStyle w:val="Header"/>
      <w:tabs>
        <w:tab w:val="clear" w:pos="4513"/>
        <w:tab w:val="clear" w:pos="9026"/>
        <w:tab w:val="left" w:pos="5397"/>
      </w:tabs>
    </w:pPr>
    <w:r>
      <w:rPr>
        <w:noProof/>
        <w:color w:val="2B579A"/>
        <w:shd w:val="clear" w:color="auto" w:fill="E6E6E6"/>
      </w:rPr>
      <w:drawing>
        <wp:anchor distT="0" distB="0" distL="114300" distR="114300" simplePos="0" relativeHeight="251658247" behindDoc="1" locked="0" layoutInCell="1" allowOverlap="1" wp14:anchorId="0282EBB0" wp14:editId="176C79B0">
          <wp:simplePos x="0" y="0"/>
          <wp:positionH relativeFrom="page">
            <wp:align>right</wp:align>
          </wp:positionH>
          <wp:positionV relativeFrom="paragraph">
            <wp:posOffset>-453860</wp:posOffset>
          </wp:positionV>
          <wp:extent cx="7543800" cy="936625"/>
          <wp:effectExtent l="0" t="0" r="0" b="0"/>
          <wp:wrapNone/>
          <wp:docPr id="1578746053" name="Picture 1578746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6053" name="Picture 157874605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9366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0BBB" w14:textId="4A297E2D" w:rsidR="008247BB" w:rsidRDefault="00CC759B">
    <w:pPr>
      <w:pStyle w:val="Header"/>
    </w:pPr>
    <w:r>
      <w:rPr>
        <w:noProof/>
        <w:color w:val="2B579A"/>
        <w:shd w:val="clear" w:color="auto" w:fill="E6E6E6"/>
      </w:rPr>
      <w:drawing>
        <wp:anchor distT="0" distB="0" distL="114300" distR="114300" simplePos="0" relativeHeight="251658241" behindDoc="1" locked="0" layoutInCell="1" allowOverlap="1" wp14:anchorId="34DA66BB" wp14:editId="5A3D033B">
          <wp:simplePos x="0" y="0"/>
          <wp:positionH relativeFrom="page">
            <wp:posOffset>16510</wp:posOffset>
          </wp:positionH>
          <wp:positionV relativeFrom="paragraph">
            <wp:posOffset>-448282</wp:posOffset>
          </wp:positionV>
          <wp:extent cx="7543800" cy="936625"/>
          <wp:effectExtent l="0" t="0" r="0" b="0"/>
          <wp:wrapNone/>
          <wp:docPr id="1352810918" name="Picture 13528109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10918" name="Picture 13528109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936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CBDB" w14:textId="5D33EE84" w:rsidR="004A67DF" w:rsidRPr="007B122E" w:rsidRDefault="0040379A" w:rsidP="007B122E">
    <w:pPr>
      <w:pStyle w:val="Header"/>
    </w:pPr>
    <w:r>
      <w:rPr>
        <w:noProof/>
        <w:color w:val="2B579A"/>
        <w:shd w:val="clear" w:color="auto" w:fill="E6E6E6"/>
      </w:rPr>
      <w:drawing>
        <wp:anchor distT="0" distB="0" distL="114300" distR="114300" simplePos="0" relativeHeight="251658245" behindDoc="1" locked="0" layoutInCell="1" allowOverlap="1" wp14:anchorId="2C521D0A" wp14:editId="71B1C426">
          <wp:simplePos x="0" y="0"/>
          <wp:positionH relativeFrom="page">
            <wp:align>right</wp:align>
          </wp:positionH>
          <wp:positionV relativeFrom="paragraph">
            <wp:posOffset>-827405</wp:posOffset>
          </wp:positionV>
          <wp:extent cx="10678602" cy="936625"/>
          <wp:effectExtent l="0" t="0" r="8890" b="0"/>
          <wp:wrapNone/>
          <wp:docPr id="779576280" name="Picture 779576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76280" name="Picture 7795762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8602" cy="936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EDFA" w14:textId="77777777" w:rsidR="007B122E" w:rsidRDefault="007B122E">
    <w:pPr>
      <w:pStyle w:val="Header"/>
    </w:pPr>
    <w:r>
      <w:rPr>
        <w:noProof/>
        <w:color w:val="2B579A"/>
        <w:shd w:val="clear" w:color="auto" w:fill="E6E6E6"/>
      </w:rPr>
      <w:drawing>
        <wp:anchor distT="0" distB="0" distL="114300" distR="114300" simplePos="0" relativeHeight="251658242" behindDoc="1" locked="0" layoutInCell="1" allowOverlap="1" wp14:anchorId="2B1C708E" wp14:editId="745FB9EC">
          <wp:simplePos x="0" y="0"/>
          <wp:positionH relativeFrom="page">
            <wp:posOffset>4240</wp:posOffset>
          </wp:positionH>
          <wp:positionV relativeFrom="paragraph">
            <wp:posOffset>-439553</wp:posOffset>
          </wp:positionV>
          <wp:extent cx="7543800" cy="936915"/>
          <wp:effectExtent l="0" t="0" r="0" b="0"/>
          <wp:wrapNone/>
          <wp:docPr id="1371927748" name="Picture 1371927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27748" name="Picture 13719277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BAC5" w14:textId="72C0CFAF" w:rsidR="007B122E" w:rsidRPr="007B122E" w:rsidRDefault="007B122E" w:rsidP="007B122E">
    <w:pPr>
      <w:pStyle w:val="Header"/>
    </w:pPr>
    <w:r>
      <w:rPr>
        <w:noProof/>
        <w:color w:val="2B579A"/>
        <w:shd w:val="clear" w:color="auto" w:fill="E6E6E6"/>
      </w:rPr>
      <w:drawing>
        <wp:anchor distT="0" distB="0" distL="114300" distR="114300" simplePos="0" relativeHeight="251658243" behindDoc="1" locked="0" layoutInCell="1" allowOverlap="1" wp14:anchorId="69EC6EA6" wp14:editId="4BBEDE37">
          <wp:simplePos x="0" y="0"/>
          <wp:positionH relativeFrom="page">
            <wp:posOffset>20417</wp:posOffset>
          </wp:positionH>
          <wp:positionV relativeFrom="paragraph">
            <wp:posOffset>-437808</wp:posOffset>
          </wp:positionV>
          <wp:extent cx="7543800" cy="936915"/>
          <wp:effectExtent l="0" t="0" r="0" b="0"/>
          <wp:wrapNone/>
          <wp:docPr id="1523735226" name="Picture 1523735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35226" name="Picture 15237352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53CF9D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FDC11E"/>
    <w:multiLevelType w:val="hybridMultilevel"/>
    <w:tmpl w:val="D3BEB956"/>
    <w:lvl w:ilvl="0" w:tplc="AD4244A4">
      <w:start w:val="1"/>
      <w:numFmt w:val="bullet"/>
      <w:lvlText w:val=""/>
      <w:lvlJc w:val="left"/>
      <w:pPr>
        <w:ind w:left="720" w:hanging="360"/>
      </w:pPr>
      <w:rPr>
        <w:rFonts w:ascii="Symbol" w:hAnsi="Symbol" w:hint="default"/>
      </w:rPr>
    </w:lvl>
    <w:lvl w:ilvl="1" w:tplc="939C6F30">
      <w:start w:val="1"/>
      <w:numFmt w:val="bullet"/>
      <w:lvlText w:val="o"/>
      <w:lvlJc w:val="left"/>
      <w:pPr>
        <w:ind w:left="1440" w:hanging="360"/>
      </w:pPr>
      <w:rPr>
        <w:rFonts w:ascii="Courier New" w:hAnsi="Courier New" w:hint="default"/>
      </w:rPr>
    </w:lvl>
    <w:lvl w:ilvl="2" w:tplc="E6145202">
      <w:start w:val="1"/>
      <w:numFmt w:val="bullet"/>
      <w:lvlText w:val=""/>
      <w:lvlJc w:val="left"/>
      <w:pPr>
        <w:ind w:left="2160" w:hanging="360"/>
      </w:pPr>
      <w:rPr>
        <w:rFonts w:ascii="Wingdings" w:hAnsi="Wingdings" w:hint="default"/>
      </w:rPr>
    </w:lvl>
    <w:lvl w:ilvl="3" w:tplc="7792863C">
      <w:start w:val="1"/>
      <w:numFmt w:val="bullet"/>
      <w:lvlText w:val=""/>
      <w:lvlJc w:val="left"/>
      <w:pPr>
        <w:ind w:left="2880" w:hanging="360"/>
      </w:pPr>
      <w:rPr>
        <w:rFonts w:ascii="Symbol" w:hAnsi="Symbol" w:hint="default"/>
      </w:rPr>
    </w:lvl>
    <w:lvl w:ilvl="4" w:tplc="435EE51A">
      <w:start w:val="1"/>
      <w:numFmt w:val="bullet"/>
      <w:lvlText w:val="o"/>
      <w:lvlJc w:val="left"/>
      <w:pPr>
        <w:ind w:left="3600" w:hanging="360"/>
      </w:pPr>
      <w:rPr>
        <w:rFonts w:ascii="Courier New" w:hAnsi="Courier New" w:hint="default"/>
      </w:rPr>
    </w:lvl>
    <w:lvl w:ilvl="5" w:tplc="A1FE2EDE">
      <w:start w:val="1"/>
      <w:numFmt w:val="bullet"/>
      <w:lvlText w:val=""/>
      <w:lvlJc w:val="left"/>
      <w:pPr>
        <w:ind w:left="4320" w:hanging="360"/>
      </w:pPr>
      <w:rPr>
        <w:rFonts w:ascii="Wingdings" w:hAnsi="Wingdings" w:hint="default"/>
      </w:rPr>
    </w:lvl>
    <w:lvl w:ilvl="6" w:tplc="42B80ED2">
      <w:start w:val="1"/>
      <w:numFmt w:val="bullet"/>
      <w:lvlText w:val=""/>
      <w:lvlJc w:val="left"/>
      <w:pPr>
        <w:ind w:left="5040" w:hanging="360"/>
      </w:pPr>
      <w:rPr>
        <w:rFonts w:ascii="Symbol" w:hAnsi="Symbol" w:hint="default"/>
      </w:rPr>
    </w:lvl>
    <w:lvl w:ilvl="7" w:tplc="EA1CD580">
      <w:start w:val="1"/>
      <w:numFmt w:val="bullet"/>
      <w:lvlText w:val="o"/>
      <w:lvlJc w:val="left"/>
      <w:pPr>
        <w:ind w:left="5760" w:hanging="360"/>
      </w:pPr>
      <w:rPr>
        <w:rFonts w:ascii="Courier New" w:hAnsi="Courier New" w:hint="default"/>
      </w:rPr>
    </w:lvl>
    <w:lvl w:ilvl="8" w:tplc="2338759C">
      <w:start w:val="1"/>
      <w:numFmt w:val="bullet"/>
      <w:lvlText w:val=""/>
      <w:lvlJc w:val="left"/>
      <w:pPr>
        <w:ind w:left="6480" w:hanging="360"/>
      </w:pPr>
      <w:rPr>
        <w:rFonts w:ascii="Wingdings" w:hAnsi="Wingdings" w:hint="default"/>
      </w:rPr>
    </w:lvl>
  </w:abstractNum>
  <w:abstractNum w:abstractNumId="2" w15:restartNumberingAfterBreak="0">
    <w:nsid w:val="05745105"/>
    <w:multiLevelType w:val="hybridMultilevel"/>
    <w:tmpl w:val="C2302CE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4157E2"/>
    <w:multiLevelType w:val="multilevel"/>
    <w:tmpl w:val="5FA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771CA"/>
    <w:multiLevelType w:val="multilevel"/>
    <w:tmpl w:val="3BAC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676EE0"/>
    <w:multiLevelType w:val="multilevel"/>
    <w:tmpl w:val="9E9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B3E1E"/>
    <w:multiLevelType w:val="multilevel"/>
    <w:tmpl w:val="8D4C2D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1E9A3E9D"/>
    <w:multiLevelType w:val="hybridMultilevel"/>
    <w:tmpl w:val="80F60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03484"/>
    <w:multiLevelType w:val="multilevel"/>
    <w:tmpl w:val="D292B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7E6D47"/>
    <w:multiLevelType w:val="hybridMultilevel"/>
    <w:tmpl w:val="3C0AC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59076B"/>
    <w:multiLevelType w:val="multilevel"/>
    <w:tmpl w:val="0F5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2B13EE"/>
    <w:multiLevelType w:val="hybridMultilevel"/>
    <w:tmpl w:val="69AA04B0"/>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4" w15:restartNumberingAfterBreak="0">
    <w:nsid w:val="70151531"/>
    <w:multiLevelType w:val="multilevel"/>
    <w:tmpl w:val="7994A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16" w15:restartNumberingAfterBreak="0">
    <w:nsid w:val="7DE345B1"/>
    <w:multiLevelType w:val="hybridMultilevel"/>
    <w:tmpl w:val="D4CC5390"/>
    <w:lvl w:ilvl="0" w:tplc="14090001">
      <w:start w:val="1"/>
      <w:numFmt w:val="bullet"/>
      <w:lvlText w:val=""/>
      <w:lvlJc w:val="left"/>
      <w:pPr>
        <w:ind w:left="-66" w:hanging="360"/>
      </w:pPr>
      <w:rPr>
        <w:rFonts w:ascii="Symbol" w:hAnsi="Symbol" w:hint="default"/>
      </w:rPr>
    </w:lvl>
    <w:lvl w:ilvl="1" w:tplc="14090003" w:tentative="1">
      <w:start w:val="1"/>
      <w:numFmt w:val="bullet"/>
      <w:lvlText w:val="o"/>
      <w:lvlJc w:val="left"/>
      <w:pPr>
        <w:ind w:left="654" w:hanging="360"/>
      </w:pPr>
      <w:rPr>
        <w:rFonts w:ascii="Courier New" w:hAnsi="Courier New" w:cs="Courier New" w:hint="default"/>
      </w:rPr>
    </w:lvl>
    <w:lvl w:ilvl="2" w:tplc="14090005" w:tentative="1">
      <w:start w:val="1"/>
      <w:numFmt w:val="bullet"/>
      <w:lvlText w:val=""/>
      <w:lvlJc w:val="left"/>
      <w:pPr>
        <w:ind w:left="1374" w:hanging="360"/>
      </w:pPr>
      <w:rPr>
        <w:rFonts w:ascii="Wingdings" w:hAnsi="Wingdings" w:hint="default"/>
      </w:rPr>
    </w:lvl>
    <w:lvl w:ilvl="3" w:tplc="14090001" w:tentative="1">
      <w:start w:val="1"/>
      <w:numFmt w:val="bullet"/>
      <w:lvlText w:val=""/>
      <w:lvlJc w:val="left"/>
      <w:pPr>
        <w:ind w:left="2094" w:hanging="360"/>
      </w:pPr>
      <w:rPr>
        <w:rFonts w:ascii="Symbol" w:hAnsi="Symbol" w:hint="default"/>
      </w:rPr>
    </w:lvl>
    <w:lvl w:ilvl="4" w:tplc="14090003" w:tentative="1">
      <w:start w:val="1"/>
      <w:numFmt w:val="bullet"/>
      <w:lvlText w:val="o"/>
      <w:lvlJc w:val="left"/>
      <w:pPr>
        <w:ind w:left="2814" w:hanging="360"/>
      </w:pPr>
      <w:rPr>
        <w:rFonts w:ascii="Courier New" w:hAnsi="Courier New" w:cs="Courier New" w:hint="default"/>
      </w:rPr>
    </w:lvl>
    <w:lvl w:ilvl="5" w:tplc="14090005" w:tentative="1">
      <w:start w:val="1"/>
      <w:numFmt w:val="bullet"/>
      <w:lvlText w:val=""/>
      <w:lvlJc w:val="left"/>
      <w:pPr>
        <w:ind w:left="3534" w:hanging="360"/>
      </w:pPr>
      <w:rPr>
        <w:rFonts w:ascii="Wingdings" w:hAnsi="Wingdings" w:hint="default"/>
      </w:rPr>
    </w:lvl>
    <w:lvl w:ilvl="6" w:tplc="14090001" w:tentative="1">
      <w:start w:val="1"/>
      <w:numFmt w:val="bullet"/>
      <w:lvlText w:val=""/>
      <w:lvlJc w:val="left"/>
      <w:pPr>
        <w:ind w:left="4254" w:hanging="360"/>
      </w:pPr>
      <w:rPr>
        <w:rFonts w:ascii="Symbol" w:hAnsi="Symbol" w:hint="default"/>
      </w:rPr>
    </w:lvl>
    <w:lvl w:ilvl="7" w:tplc="14090003" w:tentative="1">
      <w:start w:val="1"/>
      <w:numFmt w:val="bullet"/>
      <w:lvlText w:val="o"/>
      <w:lvlJc w:val="left"/>
      <w:pPr>
        <w:ind w:left="4974" w:hanging="360"/>
      </w:pPr>
      <w:rPr>
        <w:rFonts w:ascii="Courier New" w:hAnsi="Courier New" w:cs="Courier New" w:hint="default"/>
      </w:rPr>
    </w:lvl>
    <w:lvl w:ilvl="8" w:tplc="14090005" w:tentative="1">
      <w:start w:val="1"/>
      <w:numFmt w:val="bullet"/>
      <w:lvlText w:val=""/>
      <w:lvlJc w:val="left"/>
      <w:pPr>
        <w:ind w:left="5694" w:hanging="360"/>
      </w:pPr>
      <w:rPr>
        <w:rFonts w:ascii="Wingdings" w:hAnsi="Wingdings" w:hint="default"/>
      </w:rPr>
    </w:lvl>
  </w:abstractNum>
  <w:num w:numId="1" w16cid:durableId="1929192081">
    <w:abstractNumId w:val="1"/>
  </w:num>
  <w:num w:numId="2" w16cid:durableId="1047221583">
    <w:abstractNumId w:val="3"/>
  </w:num>
  <w:num w:numId="3" w16cid:durableId="1964649901">
    <w:abstractNumId w:val="7"/>
  </w:num>
  <w:num w:numId="4" w16cid:durableId="272521987">
    <w:abstractNumId w:val="14"/>
  </w:num>
  <w:num w:numId="5" w16cid:durableId="1045714551">
    <w:abstractNumId w:val="6"/>
  </w:num>
  <w:num w:numId="6" w16cid:durableId="1440369003">
    <w:abstractNumId w:val="10"/>
  </w:num>
  <w:num w:numId="7" w16cid:durableId="1559626174">
    <w:abstractNumId w:val="5"/>
  </w:num>
  <w:num w:numId="8" w16cid:durableId="205799036">
    <w:abstractNumId w:val="4"/>
  </w:num>
  <w:num w:numId="9" w16cid:durableId="1043364234">
    <w:abstractNumId w:val="12"/>
  </w:num>
  <w:num w:numId="10" w16cid:durableId="1720325327">
    <w:abstractNumId w:val="0"/>
  </w:num>
  <w:num w:numId="11" w16cid:durableId="1058669459">
    <w:abstractNumId w:val="9"/>
  </w:num>
  <w:num w:numId="12" w16cid:durableId="1172379908">
    <w:abstractNumId w:val="2"/>
  </w:num>
  <w:num w:numId="13" w16cid:durableId="9572706">
    <w:abstractNumId w:val="8"/>
  </w:num>
  <w:num w:numId="14" w16cid:durableId="1449395577">
    <w:abstractNumId w:val="15"/>
  </w:num>
  <w:num w:numId="15" w16cid:durableId="1387875361">
    <w:abstractNumId w:val="11"/>
  </w:num>
  <w:num w:numId="16" w16cid:durableId="229199447">
    <w:abstractNumId w:val="16"/>
  </w:num>
  <w:num w:numId="17" w16cid:durableId="15232808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List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04D9D"/>
    <w:rsid w:val="00005C19"/>
    <w:rsid w:val="000167D5"/>
    <w:rsid w:val="00016DEA"/>
    <w:rsid w:val="00017E11"/>
    <w:rsid w:val="0002003C"/>
    <w:rsid w:val="00023852"/>
    <w:rsid w:val="00024DB2"/>
    <w:rsid w:val="0002561E"/>
    <w:rsid w:val="0002637E"/>
    <w:rsid w:val="00034001"/>
    <w:rsid w:val="000347EF"/>
    <w:rsid w:val="0004369F"/>
    <w:rsid w:val="000466FD"/>
    <w:rsid w:val="00052CF2"/>
    <w:rsid w:val="00057FCB"/>
    <w:rsid w:val="00065F12"/>
    <w:rsid w:val="000811FB"/>
    <w:rsid w:val="00081272"/>
    <w:rsid w:val="00082D4B"/>
    <w:rsid w:val="00084A93"/>
    <w:rsid w:val="000936DA"/>
    <w:rsid w:val="00094230"/>
    <w:rsid w:val="00094472"/>
    <w:rsid w:val="000977D9"/>
    <w:rsid w:val="00097AC2"/>
    <w:rsid w:val="000A1379"/>
    <w:rsid w:val="000A19B0"/>
    <w:rsid w:val="000A5C21"/>
    <w:rsid w:val="000A741E"/>
    <w:rsid w:val="000C2F4C"/>
    <w:rsid w:val="000C7740"/>
    <w:rsid w:val="000D1326"/>
    <w:rsid w:val="000D3B7D"/>
    <w:rsid w:val="000E00AC"/>
    <w:rsid w:val="000E0197"/>
    <w:rsid w:val="000E0F76"/>
    <w:rsid w:val="000E18C2"/>
    <w:rsid w:val="000E1A04"/>
    <w:rsid w:val="000E4682"/>
    <w:rsid w:val="000E523C"/>
    <w:rsid w:val="000E6FB5"/>
    <w:rsid w:val="000F406B"/>
    <w:rsid w:val="000F543B"/>
    <w:rsid w:val="000F562C"/>
    <w:rsid w:val="00100E2F"/>
    <w:rsid w:val="001047E0"/>
    <w:rsid w:val="00111967"/>
    <w:rsid w:val="0011367C"/>
    <w:rsid w:val="00115EE4"/>
    <w:rsid w:val="0012001B"/>
    <w:rsid w:val="00122477"/>
    <w:rsid w:val="0012660D"/>
    <w:rsid w:val="0013014B"/>
    <w:rsid w:val="00134535"/>
    <w:rsid w:val="00134A37"/>
    <w:rsid w:val="001376AB"/>
    <w:rsid w:val="00151890"/>
    <w:rsid w:val="001521B2"/>
    <w:rsid w:val="00152976"/>
    <w:rsid w:val="00155C6E"/>
    <w:rsid w:val="00155C78"/>
    <w:rsid w:val="00155E10"/>
    <w:rsid w:val="00155ED6"/>
    <w:rsid w:val="00162202"/>
    <w:rsid w:val="00165794"/>
    <w:rsid w:val="0016794F"/>
    <w:rsid w:val="00172873"/>
    <w:rsid w:val="001757B9"/>
    <w:rsid w:val="0018302F"/>
    <w:rsid w:val="00192975"/>
    <w:rsid w:val="00192B95"/>
    <w:rsid w:val="001937B5"/>
    <w:rsid w:val="001941F0"/>
    <w:rsid w:val="0019520D"/>
    <w:rsid w:val="001A2610"/>
    <w:rsid w:val="001A3C99"/>
    <w:rsid w:val="001A696D"/>
    <w:rsid w:val="001B1D54"/>
    <w:rsid w:val="001B5D82"/>
    <w:rsid w:val="001C31AD"/>
    <w:rsid w:val="001C5AB1"/>
    <w:rsid w:val="001C63DA"/>
    <w:rsid w:val="001D0AE9"/>
    <w:rsid w:val="001D2CC7"/>
    <w:rsid w:val="001D347D"/>
    <w:rsid w:val="001D581A"/>
    <w:rsid w:val="00201CF6"/>
    <w:rsid w:val="00212548"/>
    <w:rsid w:val="00223F33"/>
    <w:rsid w:val="00225079"/>
    <w:rsid w:val="00225B8C"/>
    <w:rsid w:val="00231E35"/>
    <w:rsid w:val="0023397D"/>
    <w:rsid w:val="00237717"/>
    <w:rsid w:val="00240CD7"/>
    <w:rsid w:val="0024318E"/>
    <w:rsid w:val="00244181"/>
    <w:rsid w:val="002466FF"/>
    <w:rsid w:val="00251E18"/>
    <w:rsid w:val="00255B55"/>
    <w:rsid w:val="00257D00"/>
    <w:rsid w:val="002632D3"/>
    <w:rsid w:val="00265928"/>
    <w:rsid w:val="002768BA"/>
    <w:rsid w:val="00283562"/>
    <w:rsid w:val="002850E2"/>
    <w:rsid w:val="00287582"/>
    <w:rsid w:val="00287E73"/>
    <w:rsid w:val="00287E8C"/>
    <w:rsid w:val="002911FF"/>
    <w:rsid w:val="00292143"/>
    <w:rsid w:val="0029735E"/>
    <w:rsid w:val="0029750F"/>
    <w:rsid w:val="002A1FF5"/>
    <w:rsid w:val="002A3F26"/>
    <w:rsid w:val="002A6B30"/>
    <w:rsid w:val="002C1937"/>
    <w:rsid w:val="002C2664"/>
    <w:rsid w:val="002C28FF"/>
    <w:rsid w:val="002C4B26"/>
    <w:rsid w:val="002C640B"/>
    <w:rsid w:val="002D2773"/>
    <w:rsid w:val="002E0EEC"/>
    <w:rsid w:val="002E10E6"/>
    <w:rsid w:val="002E5ED6"/>
    <w:rsid w:val="002F15CB"/>
    <w:rsid w:val="002F19C4"/>
    <w:rsid w:val="002F34D6"/>
    <w:rsid w:val="002F485D"/>
    <w:rsid w:val="003104AC"/>
    <w:rsid w:val="003136C2"/>
    <w:rsid w:val="003137F0"/>
    <w:rsid w:val="00315CFC"/>
    <w:rsid w:val="0031633C"/>
    <w:rsid w:val="00325982"/>
    <w:rsid w:val="003261F5"/>
    <w:rsid w:val="00326664"/>
    <w:rsid w:val="00330235"/>
    <w:rsid w:val="003342DF"/>
    <w:rsid w:val="00336412"/>
    <w:rsid w:val="00336449"/>
    <w:rsid w:val="003439F8"/>
    <w:rsid w:val="0034560F"/>
    <w:rsid w:val="00345A62"/>
    <w:rsid w:val="00363F93"/>
    <w:rsid w:val="0036558B"/>
    <w:rsid w:val="00370D28"/>
    <w:rsid w:val="0037613B"/>
    <w:rsid w:val="0038203F"/>
    <w:rsid w:val="003921D9"/>
    <w:rsid w:val="003931E0"/>
    <w:rsid w:val="00397346"/>
    <w:rsid w:val="003A44C8"/>
    <w:rsid w:val="003B0D90"/>
    <w:rsid w:val="003B334E"/>
    <w:rsid w:val="003B5012"/>
    <w:rsid w:val="003C26DE"/>
    <w:rsid w:val="003C3E5E"/>
    <w:rsid w:val="003D1DFE"/>
    <w:rsid w:val="003D2351"/>
    <w:rsid w:val="003D2374"/>
    <w:rsid w:val="003D38CB"/>
    <w:rsid w:val="003D3A46"/>
    <w:rsid w:val="003D4FC1"/>
    <w:rsid w:val="003D5947"/>
    <w:rsid w:val="003E29EA"/>
    <w:rsid w:val="003E71B9"/>
    <w:rsid w:val="003F0FF0"/>
    <w:rsid w:val="003F1898"/>
    <w:rsid w:val="003F1EC4"/>
    <w:rsid w:val="003F3FD9"/>
    <w:rsid w:val="003F43E9"/>
    <w:rsid w:val="00401D87"/>
    <w:rsid w:val="0040379A"/>
    <w:rsid w:val="00412C5B"/>
    <w:rsid w:val="00415752"/>
    <w:rsid w:val="00416556"/>
    <w:rsid w:val="00416833"/>
    <w:rsid w:val="00416C2F"/>
    <w:rsid w:val="00421291"/>
    <w:rsid w:val="004216ED"/>
    <w:rsid w:val="00424BC9"/>
    <w:rsid w:val="00433139"/>
    <w:rsid w:val="004350A6"/>
    <w:rsid w:val="004371FD"/>
    <w:rsid w:val="004414DC"/>
    <w:rsid w:val="004529E2"/>
    <w:rsid w:val="00453C42"/>
    <w:rsid w:val="00453E1B"/>
    <w:rsid w:val="00462CDB"/>
    <w:rsid w:val="00464776"/>
    <w:rsid w:val="0046622C"/>
    <w:rsid w:val="0047151D"/>
    <w:rsid w:val="00473AD0"/>
    <w:rsid w:val="00474883"/>
    <w:rsid w:val="0047638C"/>
    <w:rsid w:val="00476F98"/>
    <w:rsid w:val="00483E89"/>
    <w:rsid w:val="00492BE4"/>
    <w:rsid w:val="0049746A"/>
    <w:rsid w:val="004A67DF"/>
    <w:rsid w:val="004A799C"/>
    <w:rsid w:val="004B1C68"/>
    <w:rsid w:val="004B1CD6"/>
    <w:rsid w:val="004B34BF"/>
    <w:rsid w:val="004B7826"/>
    <w:rsid w:val="004C589C"/>
    <w:rsid w:val="004D1B8E"/>
    <w:rsid w:val="004D2F1F"/>
    <w:rsid w:val="004D6B12"/>
    <w:rsid w:val="004E3289"/>
    <w:rsid w:val="004F2F8D"/>
    <w:rsid w:val="004F46A9"/>
    <w:rsid w:val="00506C60"/>
    <w:rsid w:val="00510C3E"/>
    <w:rsid w:val="0051332B"/>
    <w:rsid w:val="005145AD"/>
    <w:rsid w:val="00516803"/>
    <w:rsid w:val="0053022E"/>
    <w:rsid w:val="0053273E"/>
    <w:rsid w:val="00540848"/>
    <w:rsid w:val="0054093E"/>
    <w:rsid w:val="00544535"/>
    <w:rsid w:val="00547E16"/>
    <w:rsid w:val="00551ECE"/>
    <w:rsid w:val="00553190"/>
    <w:rsid w:val="00556FC9"/>
    <w:rsid w:val="005617B0"/>
    <w:rsid w:val="0056227B"/>
    <w:rsid w:val="00564A70"/>
    <w:rsid w:val="00565B39"/>
    <w:rsid w:val="00566C6D"/>
    <w:rsid w:val="0057193D"/>
    <w:rsid w:val="00572CC1"/>
    <w:rsid w:val="0057765E"/>
    <w:rsid w:val="005776E1"/>
    <w:rsid w:val="0058346F"/>
    <w:rsid w:val="00585AB6"/>
    <w:rsid w:val="00594BA5"/>
    <w:rsid w:val="0059690D"/>
    <w:rsid w:val="00596D45"/>
    <w:rsid w:val="005A6D28"/>
    <w:rsid w:val="005B5664"/>
    <w:rsid w:val="005B6B6A"/>
    <w:rsid w:val="005B7B99"/>
    <w:rsid w:val="005C299E"/>
    <w:rsid w:val="005C49F4"/>
    <w:rsid w:val="005C7A52"/>
    <w:rsid w:val="005D0303"/>
    <w:rsid w:val="005D26CD"/>
    <w:rsid w:val="005E398C"/>
    <w:rsid w:val="005E3CD2"/>
    <w:rsid w:val="005E5411"/>
    <w:rsid w:val="005E5593"/>
    <w:rsid w:val="005E6379"/>
    <w:rsid w:val="005F0247"/>
    <w:rsid w:val="005F1504"/>
    <w:rsid w:val="006000AD"/>
    <w:rsid w:val="00603EC0"/>
    <w:rsid w:val="00611FF7"/>
    <w:rsid w:val="00612767"/>
    <w:rsid w:val="006130A5"/>
    <w:rsid w:val="00613DE5"/>
    <w:rsid w:val="00614108"/>
    <w:rsid w:val="0061629A"/>
    <w:rsid w:val="00616A92"/>
    <w:rsid w:val="00617733"/>
    <w:rsid w:val="00623271"/>
    <w:rsid w:val="00625B47"/>
    <w:rsid w:val="00632B3F"/>
    <w:rsid w:val="00635B26"/>
    <w:rsid w:val="00635FD1"/>
    <w:rsid w:val="006369DF"/>
    <w:rsid w:val="006424A8"/>
    <w:rsid w:val="006426CB"/>
    <w:rsid w:val="0064584E"/>
    <w:rsid w:val="00645FB5"/>
    <w:rsid w:val="00651321"/>
    <w:rsid w:val="00652E89"/>
    <w:rsid w:val="00655AFC"/>
    <w:rsid w:val="006610BB"/>
    <w:rsid w:val="006610EB"/>
    <w:rsid w:val="006617D3"/>
    <w:rsid w:val="00666250"/>
    <w:rsid w:val="00666358"/>
    <w:rsid w:val="00667490"/>
    <w:rsid w:val="006749FE"/>
    <w:rsid w:val="00682E66"/>
    <w:rsid w:val="006867BD"/>
    <w:rsid w:val="00694C3A"/>
    <w:rsid w:val="006A54B1"/>
    <w:rsid w:val="006B491A"/>
    <w:rsid w:val="006B4D26"/>
    <w:rsid w:val="006B546C"/>
    <w:rsid w:val="006B77E2"/>
    <w:rsid w:val="006C214E"/>
    <w:rsid w:val="006C377A"/>
    <w:rsid w:val="006C4C93"/>
    <w:rsid w:val="006C645F"/>
    <w:rsid w:val="006D1366"/>
    <w:rsid w:val="006D7757"/>
    <w:rsid w:val="006E0EB0"/>
    <w:rsid w:val="006F3486"/>
    <w:rsid w:val="006F3D61"/>
    <w:rsid w:val="006F7289"/>
    <w:rsid w:val="0070338E"/>
    <w:rsid w:val="00703BE6"/>
    <w:rsid w:val="00710346"/>
    <w:rsid w:val="00710F19"/>
    <w:rsid w:val="007151EE"/>
    <w:rsid w:val="00721C40"/>
    <w:rsid w:val="00721D4C"/>
    <w:rsid w:val="00722824"/>
    <w:rsid w:val="00724917"/>
    <w:rsid w:val="007317FF"/>
    <w:rsid w:val="00735920"/>
    <w:rsid w:val="00737E23"/>
    <w:rsid w:val="00742E90"/>
    <w:rsid w:val="0074435C"/>
    <w:rsid w:val="00745AEE"/>
    <w:rsid w:val="007520C1"/>
    <w:rsid w:val="00752CEE"/>
    <w:rsid w:val="007546D3"/>
    <w:rsid w:val="00756A5E"/>
    <w:rsid w:val="0076338C"/>
    <w:rsid w:val="00764F01"/>
    <w:rsid w:val="00766155"/>
    <w:rsid w:val="007662B8"/>
    <w:rsid w:val="00776FBA"/>
    <w:rsid w:val="00777172"/>
    <w:rsid w:val="00782A4E"/>
    <w:rsid w:val="00783F5E"/>
    <w:rsid w:val="007855B2"/>
    <w:rsid w:val="0078595F"/>
    <w:rsid w:val="0079255C"/>
    <w:rsid w:val="007931D5"/>
    <w:rsid w:val="00794F29"/>
    <w:rsid w:val="007956AE"/>
    <w:rsid w:val="007A0B9A"/>
    <w:rsid w:val="007A1763"/>
    <w:rsid w:val="007A37C5"/>
    <w:rsid w:val="007B000E"/>
    <w:rsid w:val="007B0175"/>
    <w:rsid w:val="007B122E"/>
    <w:rsid w:val="007B4386"/>
    <w:rsid w:val="007B4619"/>
    <w:rsid w:val="007B60FC"/>
    <w:rsid w:val="007C0447"/>
    <w:rsid w:val="007C4467"/>
    <w:rsid w:val="007D3DFD"/>
    <w:rsid w:val="007D53C6"/>
    <w:rsid w:val="007E153D"/>
    <w:rsid w:val="007E1BB0"/>
    <w:rsid w:val="007F18F0"/>
    <w:rsid w:val="008103CD"/>
    <w:rsid w:val="00814496"/>
    <w:rsid w:val="008224D3"/>
    <w:rsid w:val="00823F86"/>
    <w:rsid w:val="008247BB"/>
    <w:rsid w:val="008250B3"/>
    <w:rsid w:val="00827698"/>
    <w:rsid w:val="0083007E"/>
    <w:rsid w:val="008300CD"/>
    <w:rsid w:val="00836611"/>
    <w:rsid w:val="00840BB9"/>
    <w:rsid w:val="0084370A"/>
    <w:rsid w:val="00843B13"/>
    <w:rsid w:val="00844C91"/>
    <w:rsid w:val="00845A73"/>
    <w:rsid w:val="00846EA0"/>
    <w:rsid w:val="008500E7"/>
    <w:rsid w:val="0085216E"/>
    <w:rsid w:val="00852B9B"/>
    <w:rsid w:val="00853C7B"/>
    <w:rsid w:val="008546B7"/>
    <w:rsid w:val="00854FF2"/>
    <w:rsid w:val="00855BF5"/>
    <w:rsid w:val="00855FEA"/>
    <w:rsid w:val="00865900"/>
    <w:rsid w:val="00866F3B"/>
    <w:rsid w:val="0087128E"/>
    <w:rsid w:val="0087514E"/>
    <w:rsid w:val="00875974"/>
    <w:rsid w:val="00876C37"/>
    <w:rsid w:val="00877EDC"/>
    <w:rsid w:val="00884760"/>
    <w:rsid w:val="00886C09"/>
    <w:rsid w:val="008925FD"/>
    <w:rsid w:val="008947FC"/>
    <w:rsid w:val="008B1883"/>
    <w:rsid w:val="008B19DE"/>
    <w:rsid w:val="008B211E"/>
    <w:rsid w:val="008B3A68"/>
    <w:rsid w:val="008B70CE"/>
    <w:rsid w:val="008C411C"/>
    <w:rsid w:val="008C636A"/>
    <w:rsid w:val="008D0E35"/>
    <w:rsid w:val="008D2522"/>
    <w:rsid w:val="008D5320"/>
    <w:rsid w:val="008E6DA7"/>
    <w:rsid w:val="008F150E"/>
    <w:rsid w:val="008F44C1"/>
    <w:rsid w:val="008F5CCA"/>
    <w:rsid w:val="008F615B"/>
    <w:rsid w:val="008F6C0A"/>
    <w:rsid w:val="009001B9"/>
    <w:rsid w:val="00911D89"/>
    <w:rsid w:val="009147A2"/>
    <w:rsid w:val="00915335"/>
    <w:rsid w:val="00917250"/>
    <w:rsid w:val="00923A66"/>
    <w:rsid w:val="0093171F"/>
    <w:rsid w:val="00936157"/>
    <w:rsid w:val="009372E3"/>
    <w:rsid w:val="00945DFC"/>
    <w:rsid w:val="00946626"/>
    <w:rsid w:val="00950E8C"/>
    <w:rsid w:val="00951FC2"/>
    <w:rsid w:val="0095425E"/>
    <w:rsid w:val="00954696"/>
    <w:rsid w:val="00954B0E"/>
    <w:rsid w:val="009552BA"/>
    <w:rsid w:val="00956681"/>
    <w:rsid w:val="00962754"/>
    <w:rsid w:val="00965608"/>
    <w:rsid w:val="0096703D"/>
    <w:rsid w:val="009724F6"/>
    <w:rsid w:val="00974B8F"/>
    <w:rsid w:val="009814E7"/>
    <w:rsid w:val="00982108"/>
    <w:rsid w:val="00984EEB"/>
    <w:rsid w:val="009906E4"/>
    <w:rsid w:val="00995963"/>
    <w:rsid w:val="009977BB"/>
    <w:rsid w:val="00997A66"/>
    <w:rsid w:val="009A1D47"/>
    <w:rsid w:val="009A424F"/>
    <w:rsid w:val="009A6C73"/>
    <w:rsid w:val="009B130F"/>
    <w:rsid w:val="009B3119"/>
    <w:rsid w:val="009B6713"/>
    <w:rsid w:val="009C7375"/>
    <w:rsid w:val="009D14C9"/>
    <w:rsid w:val="009D2530"/>
    <w:rsid w:val="009D429E"/>
    <w:rsid w:val="009D56EE"/>
    <w:rsid w:val="009E0DB8"/>
    <w:rsid w:val="009E5D88"/>
    <w:rsid w:val="009F7AED"/>
    <w:rsid w:val="00A00215"/>
    <w:rsid w:val="00A042AF"/>
    <w:rsid w:val="00A0473C"/>
    <w:rsid w:val="00A050CD"/>
    <w:rsid w:val="00A06490"/>
    <w:rsid w:val="00A06EA0"/>
    <w:rsid w:val="00A2044D"/>
    <w:rsid w:val="00A22717"/>
    <w:rsid w:val="00A2635F"/>
    <w:rsid w:val="00A268D4"/>
    <w:rsid w:val="00A26BC6"/>
    <w:rsid w:val="00A3156A"/>
    <w:rsid w:val="00A34917"/>
    <w:rsid w:val="00A35880"/>
    <w:rsid w:val="00A402DE"/>
    <w:rsid w:val="00A52916"/>
    <w:rsid w:val="00A558FE"/>
    <w:rsid w:val="00A62B45"/>
    <w:rsid w:val="00A71C47"/>
    <w:rsid w:val="00A83056"/>
    <w:rsid w:val="00A856EC"/>
    <w:rsid w:val="00A8587B"/>
    <w:rsid w:val="00A900AB"/>
    <w:rsid w:val="00A9091B"/>
    <w:rsid w:val="00A92805"/>
    <w:rsid w:val="00AA228A"/>
    <w:rsid w:val="00AA4C2B"/>
    <w:rsid w:val="00AA59DE"/>
    <w:rsid w:val="00AB0C69"/>
    <w:rsid w:val="00AC23B5"/>
    <w:rsid w:val="00AC58E1"/>
    <w:rsid w:val="00AD1EF6"/>
    <w:rsid w:val="00AD36E8"/>
    <w:rsid w:val="00AD5234"/>
    <w:rsid w:val="00AD569A"/>
    <w:rsid w:val="00AD628F"/>
    <w:rsid w:val="00AD6816"/>
    <w:rsid w:val="00AD6D4A"/>
    <w:rsid w:val="00AE08AD"/>
    <w:rsid w:val="00AE1B4C"/>
    <w:rsid w:val="00AE6F08"/>
    <w:rsid w:val="00AE7058"/>
    <w:rsid w:val="00AF1292"/>
    <w:rsid w:val="00AF15FC"/>
    <w:rsid w:val="00AF2D92"/>
    <w:rsid w:val="00B017C3"/>
    <w:rsid w:val="00B0429C"/>
    <w:rsid w:val="00B046CB"/>
    <w:rsid w:val="00B05712"/>
    <w:rsid w:val="00B07421"/>
    <w:rsid w:val="00B20731"/>
    <w:rsid w:val="00B217AF"/>
    <w:rsid w:val="00B242F3"/>
    <w:rsid w:val="00B2741C"/>
    <w:rsid w:val="00B31853"/>
    <w:rsid w:val="00B35FE5"/>
    <w:rsid w:val="00B46B55"/>
    <w:rsid w:val="00B5370F"/>
    <w:rsid w:val="00B53A75"/>
    <w:rsid w:val="00B55B01"/>
    <w:rsid w:val="00B6041A"/>
    <w:rsid w:val="00B6296C"/>
    <w:rsid w:val="00B64E4C"/>
    <w:rsid w:val="00B66432"/>
    <w:rsid w:val="00B67A65"/>
    <w:rsid w:val="00B84001"/>
    <w:rsid w:val="00B84E7E"/>
    <w:rsid w:val="00B87BB2"/>
    <w:rsid w:val="00B90B33"/>
    <w:rsid w:val="00B963A4"/>
    <w:rsid w:val="00B96F55"/>
    <w:rsid w:val="00B97DAC"/>
    <w:rsid w:val="00BA1D24"/>
    <w:rsid w:val="00BA63DF"/>
    <w:rsid w:val="00BA6FA4"/>
    <w:rsid w:val="00BC01CE"/>
    <w:rsid w:val="00BC3EC6"/>
    <w:rsid w:val="00BC6B4A"/>
    <w:rsid w:val="00BD0D63"/>
    <w:rsid w:val="00BD3C13"/>
    <w:rsid w:val="00BD6119"/>
    <w:rsid w:val="00BE1E84"/>
    <w:rsid w:val="00BF1E8B"/>
    <w:rsid w:val="00BF3AE8"/>
    <w:rsid w:val="00BF4963"/>
    <w:rsid w:val="00BF4A89"/>
    <w:rsid w:val="00BF7105"/>
    <w:rsid w:val="00C022F4"/>
    <w:rsid w:val="00C042EF"/>
    <w:rsid w:val="00C049AE"/>
    <w:rsid w:val="00C05BCE"/>
    <w:rsid w:val="00C07EEA"/>
    <w:rsid w:val="00C11104"/>
    <w:rsid w:val="00C160AC"/>
    <w:rsid w:val="00C176D6"/>
    <w:rsid w:val="00C21E0B"/>
    <w:rsid w:val="00C2633E"/>
    <w:rsid w:val="00C32E5A"/>
    <w:rsid w:val="00C34065"/>
    <w:rsid w:val="00C3511F"/>
    <w:rsid w:val="00C436AE"/>
    <w:rsid w:val="00C45370"/>
    <w:rsid w:val="00C513DB"/>
    <w:rsid w:val="00C53ED3"/>
    <w:rsid w:val="00C549B8"/>
    <w:rsid w:val="00C62AD6"/>
    <w:rsid w:val="00C67322"/>
    <w:rsid w:val="00C70CA7"/>
    <w:rsid w:val="00C71C24"/>
    <w:rsid w:val="00C727DA"/>
    <w:rsid w:val="00C72BD2"/>
    <w:rsid w:val="00C76026"/>
    <w:rsid w:val="00C82451"/>
    <w:rsid w:val="00C86E8B"/>
    <w:rsid w:val="00C93BDF"/>
    <w:rsid w:val="00CA1E90"/>
    <w:rsid w:val="00CA2B98"/>
    <w:rsid w:val="00CA3F17"/>
    <w:rsid w:val="00CA40D9"/>
    <w:rsid w:val="00CA64D1"/>
    <w:rsid w:val="00CA667A"/>
    <w:rsid w:val="00CA7B9C"/>
    <w:rsid w:val="00CB277B"/>
    <w:rsid w:val="00CB3808"/>
    <w:rsid w:val="00CC3ED5"/>
    <w:rsid w:val="00CC759B"/>
    <w:rsid w:val="00CD1E54"/>
    <w:rsid w:val="00CD221B"/>
    <w:rsid w:val="00CD2E20"/>
    <w:rsid w:val="00CD326D"/>
    <w:rsid w:val="00CD7D49"/>
    <w:rsid w:val="00CE24D7"/>
    <w:rsid w:val="00CE2830"/>
    <w:rsid w:val="00CF2977"/>
    <w:rsid w:val="00CF29B9"/>
    <w:rsid w:val="00CF4D4A"/>
    <w:rsid w:val="00CF7D9F"/>
    <w:rsid w:val="00D00FE8"/>
    <w:rsid w:val="00D01FF8"/>
    <w:rsid w:val="00D02230"/>
    <w:rsid w:val="00D02837"/>
    <w:rsid w:val="00D066C7"/>
    <w:rsid w:val="00D122E8"/>
    <w:rsid w:val="00D311A2"/>
    <w:rsid w:val="00D31681"/>
    <w:rsid w:val="00D317E9"/>
    <w:rsid w:val="00D357CD"/>
    <w:rsid w:val="00D35D52"/>
    <w:rsid w:val="00D4145C"/>
    <w:rsid w:val="00D5134C"/>
    <w:rsid w:val="00D57BD8"/>
    <w:rsid w:val="00D57EEE"/>
    <w:rsid w:val="00D640D1"/>
    <w:rsid w:val="00D65FD2"/>
    <w:rsid w:val="00D66C8D"/>
    <w:rsid w:val="00D675FC"/>
    <w:rsid w:val="00D6794E"/>
    <w:rsid w:val="00D67DFD"/>
    <w:rsid w:val="00D715E3"/>
    <w:rsid w:val="00D73FDA"/>
    <w:rsid w:val="00D7782A"/>
    <w:rsid w:val="00D83D02"/>
    <w:rsid w:val="00D913F2"/>
    <w:rsid w:val="00D924B1"/>
    <w:rsid w:val="00D95706"/>
    <w:rsid w:val="00DA1A16"/>
    <w:rsid w:val="00DB0042"/>
    <w:rsid w:val="00DB1FF5"/>
    <w:rsid w:val="00DB214C"/>
    <w:rsid w:val="00DB2F03"/>
    <w:rsid w:val="00DC1957"/>
    <w:rsid w:val="00DC2E66"/>
    <w:rsid w:val="00DC4042"/>
    <w:rsid w:val="00DD0869"/>
    <w:rsid w:val="00DD187E"/>
    <w:rsid w:val="00DD1B3F"/>
    <w:rsid w:val="00DD2300"/>
    <w:rsid w:val="00DD4168"/>
    <w:rsid w:val="00DE0249"/>
    <w:rsid w:val="00DE115F"/>
    <w:rsid w:val="00DE1C0C"/>
    <w:rsid w:val="00DE64C8"/>
    <w:rsid w:val="00DE6963"/>
    <w:rsid w:val="00DE6FBD"/>
    <w:rsid w:val="00DF0209"/>
    <w:rsid w:val="00DF7408"/>
    <w:rsid w:val="00DF7FB9"/>
    <w:rsid w:val="00E01F6F"/>
    <w:rsid w:val="00E059EF"/>
    <w:rsid w:val="00E079C7"/>
    <w:rsid w:val="00E12EC2"/>
    <w:rsid w:val="00E135E7"/>
    <w:rsid w:val="00E13DD3"/>
    <w:rsid w:val="00E32CA3"/>
    <w:rsid w:val="00E34CFB"/>
    <w:rsid w:val="00E36558"/>
    <w:rsid w:val="00E41A9F"/>
    <w:rsid w:val="00E433A4"/>
    <w:rsid w:val="00E4392B"/>
    <w:rsid w:val="00E47688"/>
    <w:rsid w:val="00E53D00"/>
    <w:rsid w:val="00E53D5D"/>
    <w:rsid w:val="00E60918"/>
    <w:rsid w:val="00E63538"/>
    <w:rsid w:val="00E64846"/>
    <w:rsid w:val="00E661DB"/>
    <w:rsid w:val="00E665B5"/>
    <w:rsid w:val="00E6705A"/>
    <w:rsid w:val="00E7095F"/>
    <w:rsid w:val="00E739CD"/>
    <w:rsid w:val="00E76082"/>
    <w:rsid w:val="00E81F55"/>
    <w:rsid w:val="00E8231A"/>
    <w:rsid w:val="00E85087"/>
    <w:rsid w:val="00E95F0C"/>
    <w:rsid w:val="00EA0311"/>
    <w:rsid w:val="00EA07E5"/>
    <w:rsid w:val="00EA09CB"/>
    <w:rsid w:val="00EA3FF0"/>
    <w:rsid w:val="00EA4A9E"/>
    <w:rsid w:val="00EA5988"/>
    <w:rsid w:val="00EB3422"/>
    <w:rsid w:val="00EC00A4"/>
    <w:rsid w:val="00ED218D"/>
    <w:rsid w:val="00ED3003"/>
    <w:rsid w:val="00ED31AC"/>
    <w:rsid w:val="00EE1593"/>
    <w:rsid w:val="00EE2970"/>
    <w:rsid w:val="00EE552B"/>
    <w:rsid w:val="00EE59C1"/>
    <w:rsid w:val="00EE61A3"/>
    <w:rsid w:val="00EE6579"/>
    <w:rsid w:val="00EE801D"/>
    <w:rsid w:val="00EF3443"/>
    <w:rsid w:val="00EF7E8E"/>
    <w:rsid w:val="00F00D9C"/>
    <w:rsid w:val="00F066E7"/>
    <w:rsid w:val="00F071FB"/>
    <w:rsid w:val="00F232EA"/>
    <w:rsid w:val="00F251D1"/>
    <w:rsid w:val="00F25DAE"/>
    <w:rsid w:val="00F337B1"/>
    <w:rsid w:val="00F410F0"/>
    <w:rsid w:val="00F41E49"/>
    <w:rsid w:val="00F42549"/>
    <w:rsid w:val="00F46474"/>
    <w:rsid w:val="00F53502"/>
    <w:rsid w:val="00F54FA7"/>
    <w:rsid w:val="00F55CAB"/>
    <w:rsid w:val="00F621C0"/>
    <w:rsid w:val="00F6385D"/>
    <w:rsid w:val="00F67562"/>
    <w:rsid w:val="00F71CE7"/>
    <w:rsid w:val="00F74D83"/>
    <w:rsid w:val="00F7542A"/>
    <w:rsid w:val="00F90B64"/>
    <w:rsid w:val="00F93775"/>
    <w:rsid w:val="00F94A68"/>
    <w:rsid w:val="00F96DCC"/>
    <w:rsid w:val="00FA4E9E"/>
    <w:rsid w:val="00FA75B3"/>
    <w:rsid w:val="00FA7A31"/>
    <w:rsid w:val="00FB2B50"/>
    <w:rsid w:val="00FB4741"/>
    <w:rsid w:val="00FB5EA4"/>
    <w:rsid w:val="00FB6869"/>
    <w:rsid w:val="00FB74A1"/>
    <w:rsid w:val="00FB7A65"/>
    <w:rsid w:val="00FC0B66"/>
    <w:rsid w:val="00FC1A6E"/>
    <w:rsid w:val="00FC6D57"/>
    <w:rsid w:val="00FC7AFE"/>
    <w:rsid w:val="00FD1DAD"/>
    <w:rsid w:val="00FE1022"/>
    <w:rsid w:val="00FE1C9B"/>
    <w:rsid w:val="00FE30DD"/>
    <w:rsid w:val="00FE310D"/>
    <w:rsid w:val="00FE3699"/>
    <w:rsid w:val="00FE38BD"/>
    <w:rsid w:val="00FF7B4C"/>
    <w:rsid w:val="017AFCA2"/>
    <w:rsid w:val="01DBE6F8"/>
    <w:rsid w:val="02102AEB"/>
    <w:rsid w:val="023DBBD9"/>
    <w:rsid w:val="02C0B43C"/>
    <w:rsid w:val="035605B3"/>
    <w:rsid w:val="036407F5"/>
    <w:rsid w:val="038DC6C6"/>
    <w:rsid w:val="04AC1706"/>
    <w:rsid w:val="053D058D"/>
    <w:rsid w:val="05467E3A"/>
    <w:rsid w:val="05477A3E"/>
    <w:rsid w:val="055FEF9B"/>
    <w:rsid w:val="05CF5A2B"/>
    <w:rsid w:val="0652EFBF"/>
    <w:rsid w:val="091FA7E2"/>
    <w:rsid w:val="099C4DAC"/>
    <w:rsid w:val="0AC2E7F1"/>
    <w:rsid w:val="0B5239C5"/>
    <w:rsid w:val="0B75F1AA"/>
    <w:rsid w:val="0BC21253"/>
    <w:rsid w:val="0C69836C"/>
    <w:rsid w:val="0C753145"/>
    <w:rsid w:val="0D300CD0"/>
    <w:rsid w:val="0D67CDED"/>
    <w:rsid w:val="0D8C130C"/>
    <w:rsid w:val="0E569D8E"/>
    <w:rsid w:val="0EA4EBB5"/>
    <w:rsid w:val="0EC271CA"/>
    <w:rsid w:val="0ED270C0"/>
    <w:rsid w:val="1009AD4F"/>
    <w:rsid w:val="112CB8EC"/>
    <w:rsid w:val="121F5951"/>
    <w:rsid w:val="139D58EE"/>
    <w:rsid w:val="1530070F"/>
    <w:rsid w:val="15372DD9"/>
    <w:rsid w:val="15525BDC"/>
    <w:rsid w:val="15ACEC03"/>
    <w:rsid w:val="161C8C3B"/>
    <w:rsid w:val="167EEB03"/>
    <w:rsid w:val="176B3B5E"/>
    <w:rsid w:val="1926984B"/>
    <w:rsid w:val="1A1F256F"/>
    <w:rsid w:val="1A54EC0D"/>
    <w:rsid w:val="1BE88A25"/>
    <w:rsid w:val="1C0925A3"/>
    <w:rsid w:val="1C763863"/>
    <w:rsid w:val="1C9029D9"/>
    <w:rsid w:val="1C91C9CE"/>
    <w:rsid w:val="202ACABF"/>
    <w:rsid w:val="203D7CCC"/>
    <w:rsid w:val="2067E150"/>
    <w:rsid w:val="2120DDA5"/>
    <w:rsid w:val="2156C114"/>
    <w:rsid w:val="218468F4"/>
    <w:rsid w:val="22256A28"/>
    <w:rsid w:val="225F65A0"/>
    <w:rsid w:val="228F90B3"/>
    <w:rsid w:val="2367D3E9"/>
    <w:rsid w:val="23E1AE70"/>
    <w:rsid w:val="24299C96"/>
    <w:rsid w:val="25ACF9C5"/>
    <w:rsid w:val="296B6C0E"/>
    <w:rsid w:val="29AD7BC2"/>
    <w:rsid w:val="2B1110F3"/>
    <w:rsid w:val="2C8846CF"/>
    <w:rsid w:val="2C8EB8C4"/>
    <w:rsid w:val="2D67B1A9"/>
    <w:rsid w:val="2E0BF3ED"/>
    <w:rsid w:val="2EF68B03"/>
    <w:rsid w:val="2F2C1968"/>
    <w:rsid w:val="30D616CE"/>
    <w:rsid w:val="3121DE32"/>
    <w:rsid w:val="312CCCBB"/>
    <w:rsid w:val="326DB7B9"/>
    <w:rsid w:val="3313C0A5"/>
    <w:rsid w:val="33D6F9F8"/>
    <w:rsid w:val="33F166A1"/>
    <w:rsid w:val="35AEA116"/>
    <w:rsid w:val="35C61467"/>
    <w:rsid w:val="35D8449B"/>
    <w:rsid w:val="363B16FB"/>
    <w:rsid w:val="3672B2F3"/>
    <w:rsid w:val="390BC4F6"/>
    <w:rsid w:val="391139E6"/>
    <w:rsid w:val="391D71D2"/>
    <w:rsid w:val="3AF2D608"/>
    <w:rsid w:val="3FEE8C88"/>
    <w:rsid w:val="40789E16"/>
    <w:rsid w:val="4089179A"/>
    <w:rsid w:val="412237CA"/>
    <w:rsid w:val="4150A3DB"/>
    <w:rsid w:val="4154E410"/>
    <w:rsid w:val="4299DF21"/>
    <w:rsid w:val="42B871E6"/>
    <w:rsid w:val="44180FCB"/>
    <w:rsid w:val="46242143"/>
    <w:rsid w:val="46A66C4C"/>
    <w:rsid w:val="478F1350"/>
    <w:rsid w:val="48CFFEE7"/>
    <w:rsid w:val="48E4AAEF"/>
    <w:rsid w:val="49019F82"/>
    <w:rsid w:val="49313111"/>
    <w:rsid w:val="494E28A5"/>
    <w:rsid w:val="49773536"/>
    <w:rsid w:val="49A3FCF9"/>
    <w:rsid w:val="49FFAF17"/>
    <w:rsid w:val="4A9E3384"/>
    <w:rsid w:val="4B3F588B"/>
    <w:rsid w:val="4C0ADFD1"/>
    <w:rsid w:val="4CADDC99"/>
    <w:rsid w:val="4D1C1AFE"/>
    <w:rsid w:val="4D5F7E0D"/>
    <w:rsid w:val="4F5589D3"/>
    <w:rsid w:val="4FB1E1B7"/>
    <w:rsid w:val="500A2820"/>
    <w:rsid w:val="50336F3F"/>
    <w:rsid w:val="5045340D"/>
    <w:rsid w:val="50556EE9"/>
    <w:rsid w:val="51B895B8"/>
    <w:rsid w:val="526842B7"/>
    <w:rsid w:val="529FE25B"/>
    <w:rsid w:val="530088C0"/>
    <w:rsid w:val="532F3644"/>
    <w:rsid w:val="5387F3C1"/>
    <w:rsid w:val="53F239F8"/>
    <w:rsid w:val="549060CE"/>
    <w:rsid w:val="54D14309"/>
    <w:rsid w:val="55EBA62A"/>
    <w:rsid w:val="564DADF1"/>
    <w:rsid w:val="5676BC7F"/>
    <w:rsid w:val="56BCA295"/>
    <w:rsid w:val="56C4D3B2"/>
    <w:rsid w:val="573E1251"/>
    <w:rsid w:val="57B8E488"/>
    <w:rsid w:val="5A6C0027"/>
    <w:rsid w:val="5B552406"/>
    <w:rsid w:val="5B8D1E44"/>
    <w:rsid w:val="5BB63DE3"/>
    <w:rsid w:val="5C29134B"/>
    <w:rsid w:val="5E75E792"/>
    <w:rsid w:val="5EC12DAF"/>
    <w:rsid w:val="62F616B7"/>
    <w:rsid w:val="64800E5B"/>
    <w:rsid w:val="64D69AFA"/>
    <w:rsid w:val="65A2BAEE"/>
    <w:rsid w:val="65A675D8"/>
    <w:rsid w:val="672546FA"/>
    <w:rsid w:val="67AEDC83"/>
    <w:rsid w:val="6850798C"/>
    <w:rsid w:val="68E18CBF"/>
    <w:rsid w:val="691C2882"/>
    <w:rsid w:val="69423117"/>
    <w:rsid w:val="697A78A3"/>
    <w:rsid w:val="6C5DAE1B"/>
    <w:rsid w:val="6D9EFC86"/>
    <w:rsid w:val="6DB86899"/>
    <w:rsid w:val="6E2ED3D8"/>
    <w:rsid w:val="6F14C140"/>
    <w:rsid w:val="6F3CF700"/>
    <w:rsid w:val="6FBAB7DC"/>
    <w:rsid w:val="6FD24B3A"/>
    <w:rsid w:val="6FE18E2D"/>
    <w:rsid w:val="70800E19"/>
    <w:rsid w:val="71836B26"/>
    <w:rsid w:val="718A5D7E"/>
    <w:rsid w:val="7393DDB5"/>
    <w:rsid w:val="757C0539"/>
    <w:rsid w:val="75CCFCBB"/>
    <w:rsid w:val="7A1F0C87"/>
    <w:rsid w:val="7A46960D"/>
    <w:rsid w:val="7A4C608B"/>
    <w:rsid w:val="7C8E7C1E"/>
    <w:rsid w:val="7D104977"/>
    <w:rsid w:val="7F54EC4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EB3422"/>
    <w:pPr>
      <w:keepNext/>
      <w:keepLines/>
      <w:spacing w:before="360" w:after="120" w:line="36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paragraph" w:styleId="Heading4">
    <w:name w:val="heading 4"/>
    <w:basedOn w:val="Normal"/>
    <w:next w:val="Normal"/>
    <w:link w:val="Heading4Char"/>
    <w:uiPriority w:val="9"/>
    <w:unhideWhenUsed/>
    <w:qFormat/>
    <w:rsid w:val="00C93BDF"/>
    <w:pPr>
      <w:keepNext/>
      <w:keepLines/>
      <w:spacing w:before="40" w:after="0"/>
      <w:outlineLvl w:val="3"/>
    </w:pPr>
    <w:rPr>
      <w:rFonts w:asciiTheme="majorHAnsi" w:eastAsiaTheme="majorEastAsia" w:hAnsiTheme="majorHAnsi" w:cstheme="majorBidi"/>
      <w:i/>
      <w:iCs/>
      <w:color w:val="391A5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title"/>
    <w:basedOn w:val="Normal"/>
    <w:link w:val="NoSpacingChar"/>
    <w:uiPriority w:val="1"/>
    <w:qFormat/>
    <w:rsid w:val="00EB3422"/>
    <w:rPr>
      <w:rFonts w:ascii="Poppins" w:hAnsi="Poppins" w:cs="Poppins"/>
      <w:b/>
      <w:bCs/>
      <w:color w:val="F6F4EC" w:themeColor="background1"/>
      <w:sz w:val="120"/>
      <w:szCs w:val="120"/>
    </w:rPr>
  </w:style>
  <w:style w:type="character" w:customStyle="1" w:styleId="NoSpacingChar">
    <w:name w:val="No Spacing Char"/>
    <w:aliases w:val="Report title Char"/>
    <w:basedOn w:val="DefaultParagraphFont"/>
    <w:link w:val="NoSpacing"/>
    <w:uiPriority w:val="1"/>
    <w:rsid w:val="00EB3422"/>
    <w:rPr>
      <w:rFonts w:ascii="Poppins" w:hAnsi="Poppins" w:cs="Poppins"/>
      <w:b/>
      <w:bCs/>
      <w:noProof/>
      <w:color w:val="F6F4EC" w:themeColor="background1"/>
      <w:sz w:val="120"/>
      <w:szCs w:val="120"/>
      <w:lang w:val="en-US"/>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EB3422"/>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7662B8"/>
    <w:pPr>
      <w:tabs>
        <w:tab w:val="right" w:leader="dot" w:pos="9016"/>
      </w:tabs>
      <w:spacing w:after="100"/>
    </w:pPr>
  </w:style>
  <w:style w:type="paragraph" w:styleId="TOC2">
    <w:name w:val="toc 2"/>
    <w:basedOn w:val="Normal"/>
    <w:next w:val="Normal"/>
    <w:autoRedefine/>
    <w:uiPriority w:val="39"/>
    <w:unhideWhenUsed/>
    <w:rsid w:val="00A9091B"/>
    <w:pPr>
      <w:tabs>
        <w:tab w:val="right" w:leader="dot" w:pos="9016"/>
      </w:tabs>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TXihei" w:hAnsi="STXihei"/>
        <w:b/>
        <w:color w:val="F6F4EC" w:themeColor="background1"/>
        <w:sz w:val="24"/>
      </w:rPr>
      <w:tblPr/>
      <w:tcPr>
        <w:shd w:val="clear" w:color="auto" w:fill="15284C"/>
      </w:tcPr>
    </w:tblStylePr>
  </w:style>
  <w:style w:type="table" w:styleId="TableGridLight">
    <w:name w:val="Grid Table Light"/>
    <w:basedOn w:val="TableNormal"/>
    <w:uiPriority w:val="40"/>
    <w:rsid w:val="009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GridTable6Colorful-Accent2">
    <w:name w:val="Grid Table 6 Colorful Accent 2"/>
    <w:basedOn w:val="TableNormal"/>
    <w:uiPriority w:val="51"/>
    <w:rsid w:val="00C176D6"/>
    <w:pPr>
      <w:spacing w:after="0" w:line="240" w:lineRule="auto"/>
    </w:pPr>
    <w:rPr>
      <w:color w:val="002672" w:themeColor="accent2" w:themeShade="BF"/>
    </w:r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insideV w:val="single" w:sz="4" w:space="0" w:color="2870FF" w:themeColor="accent2" w:themeTint="99"/>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3-Accent2">
    <w:name w:val="List Table 3 Accent 2"/>
    <w:basedOn w:val="TableNormal"/>
    <w:uiPriority w:val="48"/>
    <w:rsid w:val="00C176D6"/>
    <w:pPr>
      <w:spacing w:after="0" w:line="240" w:lineRule="auto"/>
    </w:p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styleId="ListTable4-Accent2">
    <w:name w:val="List Table 4 Accent 2"/>
    <w:basedOn w:val="TableNormal"/>
    <w:uiPriority w:val="49"/>
    <w:rsid w:val="00721C40"/>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5">
    <w:name w:val="List Table 4 Accent 5"/>
    <w:basedOn w:val="TableNormal"/>
    <w:uiPriority w:val="49"/>
    <w:rsid w:val="006B546C"/>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ListTable4-Accent3">
    <w:name w:val="List Table 4 Accent 3"/>
    <w:basedOn w:val="TableNormal"/>
    <w:uiPriority w:val="49"/>
    <w:rsid w:val="00965608"/>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GridTable4-Accent5">
    <w:name w:val="Grid Table 4 Accent 5"/>
    <w:basedOn w:val="TableNormal"/>
    <w:uiPriority w:val="49"/>
    <w:rsid w:val="0096560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styleId="ListParagraph">
    <w:name w:val="List Paragraph"/>
    <w:basedOn w:val="Normal"/>
    <w:uiPriority w:val="34"/>
    <w:qFormat/>
    <w:rsid w:val="00F25DAE"/>
    <w:pPr>
      <w:ind w:left="720"/>
      <w:contextualSpacing/>
    </w:pPr>
  </w:style>
  <w:style w:type="paragraph" w:customStyle="1" w:styleId="paragraph">
    <w:name w:val="paragraph"/>
    <w:basedOn w:val="Normal"/>
    <w:rsid w:val="004B1C68"/>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4B1C68"/>
  </w:style>
  <w:style w:type="character" w:customStyle="1" w:styleId="eop">
    <w:name w:val="eop"/>
    <w:basedOn w:val="DefaultParagraphFont"/>
    <w:rsid w:val="004B1C68"/>
  </w:style>
  <w:style w:type="character" w:styleId="CommentReference">
    <w:name w:val="annotation reference"/>
    <w:basedOn w:val="DefaultParagraphFont"/>
    <w:uiPriority w:val="99"/>
    <w:semiHidden/>
    <w:unhideWhenUsed/>
    <w:rsid w:val="00D066C7"/>
    <w:rPr>
      <w:sz w:val="16"/>
      <w:szCs w:val="16"/>
    </w:rPr>
  </w:style>
  <w:style w:type="paragraph" w:styleId="CommentText">
    <w:name w:val="annotation text"/>
    <w:basedOn w:val="Normal"/>
    <w:link w:val="CommentTextChar"/>
    <w:uiPriority w:val="99"/>
    <w:unhideWhenUsed/>
    <w:rsid w:val="00D066C7"/>
    <w:pPr>
      <w:spacing w:after="0" w:line="240" w:lineRule="auto"/>
    </w:pPr>
    <w:rPr>
      <w:rFonts w:ascii="Segoe UI" w:eastAsia="Times New Roman" w:hAnsi="Segoe UI" w:cs="Times New Roman"/>
      <w:sz w:val="20"/>
      <w:szCs w:val="20"/>
      <w:lang w:val="en-NZ" w:eastAsia="en-GB"/>
    </w:rPr>
  </w:style>
  <w:style w:type="character" w:customStyle="1" w:styleId="CommentTextChar">
    <w:name w:val="Comment Text Char"/>
    <w:basedOn w:val="DefaultParagraphFont"/>
    <w:link w:val="CommentText"/>
    <w:uiPriority w:val="99"/>
    <w:rsid w:val="00D066C7"/>
    <w:rPr>
      <w:rFonts w:ascii="Segoe UI" w:eastAsia="Times New Roman" w:hAnsi="Segoe UI" w:cs="Times New Roman"/>
      <w:sz w:val="20"/>
      <w:szCs w:val="20"/>
      <w:lang w:eastAsia="en-GB"/>
    </w:rPr>
  </w:style>
  <w:style w:type="paragraph" w:styleId="ListBullet2">
    <w:name w:val="List Bullet 2"/>
    <w:basedOn w:val="Normal"/>
    <w:uiPriority w:val="8"/>
    <w:rsid w:val="007E1BB0"/>
    <w:pPr>
      <w:numPr>
        <w:numId w:val="10"/>
      </w:numPr>
      <w:tabs>
        <w:tab w:val="clear" w:pos="643"/>
        <w:tab w:val="left" w:pos="851"/>
      </w:tabs>
      <w:spacing w:before="120" w:after="120" w:line="288" w:lineRule="auto"/>
      <w:ind w:left="850" w:hanging="425"/>
    </w:pPr>
    <w:rPr>
      <w:rFonts w:asciiTheme="minorHAnsi" w:hAnsiTheme="minorHAnsi" w:cstheme="minorBidi"/>
      <w:sz w:val="24"/>
      <w:lang w:val="en-NZ"/>
    </w:rPr>
  </w:style>
  <w:style w:type="paragraph" w:customStyle="1" w:styleId="Number">
    <w:name w:val="Number"/>
    <w:basedOn w:val="Normal"/>
    <w:rsid w:val="007E1BB0"/>
    <w:pPr>
      <w:numPr>
        <w:numId w:val="11"/>
      </w:numPr>
      <w:spacing w:before="180" w:after="0" w:line="240" w:lineRule="auto"/>
    </w:pPr>
    <w:rPr>
      <w:rFonts w:ascii="Segoe UI" w:eastAsia="Times New Roman" w:hAnsi="Segoe UI" w:cs="Times New Roman"/>
      <w:sz w:val="21"/>
      <w:szCs w:val="24"/>
      <w:lang w:val="en-NZ" w:eastAsia="en-GB"/>
    </w:rPr>
  </w:style>
  <w:style w:type="paragraph" w:customStyle="1" w:styleId="Letter">
    <w:name w:val="Letter"/>
    <w:basedOn w:val="Normal"/>
    <w:qFormat/>
    <w:rsid w:val="007E1BB0"/>
    <w:pPr>
      <w:numPr>
        <w:ilvl w:val="1"/>
        <w:numId w:val="11"/>
      </w:numPr>
      <w:spacing w:before="120" w:after="0" w:line="240" w:lineRule="auto"/>
    </w:pPr>
    <w:rPr>
      <w:rFonts w:ascii="Segoe UI" w:eastAsia="Times New Roman" w:hAnsi="Segoe UI" w:cs="Times New Roman"/>
      <w:sz w:val="21"/>
      <w:szCs w:val="20"/>
      <w:lang w:val="en-NZ" w:eastAsia="en-GB"/>
    </w:rPr>
  </w:style>
  <w:style w:type="paragraph" w:customStyle="1" w:styleId="Roman">
    <w:name w:val="Roman"/>
    <w:basedOn w:val="Normal"/>
    <w:qFormat/>
    <w:rsid w:val="007E1BB0"/>
    <w:pPr>
      <w:numPr>
        <w:ilvl w:val="2"/>
        <w:numId w:val="11"/>
      </w:numPr>
      <w:spacing w:before="90" w:after="0" w:line="240" w:lineRule="auto"/>
    </w:pPr>
    <w:rPr>
      <w:rFonts w:ascii="Segoe UI" w:eastAsia="Arial Unicode MS" w:hAnsi="Segoe UI" w:cs="Times New Roman"/>
      <w:sz w:val="21"/>
      <w:szCs w:val="20"/>
      <w:lang w:val="en-NZ" w:eastAsia="en-GB"/>
    </w:rPr>
  </w:style>
  <w:style w:type="paragraph" w:styleId="Caption">
    <w:name w:val="caption"/>
    <w:basedOn w:val="Normal"/>
    <w:next w:val="Normal"/>
    <w:uiPriority w:val="35"/>
    <w:unhideWhenUsed/>
    <w:qFormat/>
    <w:rsid w:val="00CC3ED5"/>
    <w:pPr>
      <w:spacing w:after="200" w:line="240" w:lineRule="auto"/>
    </w:pPr>
    <w:rPr>
      <w:rFonts w:asciiTheme="minorHAnsi" w:hAnsiTheme="minorHAnsi" w:cstheme="minorBidi"/>
      <w:i/>
      <w:iCs/>
      <w:color w:val="15284C" w:themeColor="text2"/>
      <w:sz w:val="18"/>
      <w:szCs w:val="18"/>
      <w:lang w:val="en-NZ"/>
    </w:rPr>
  </w:style>
  <w:style w:type="table" w:styleId="PlainTable1">
    <w:name w:val="Plain Table 1"/>
    <w:basedOn w:val="TableNormal"/>
    <w:uiPriority w:val="41"/>
    <w:rsid w:val="00CC3ED5"/>
    <w:pPr>
      <w:spacing w:after="0" w:line="240" w:lineRule="auto"/>
    </w:pPr>
    <w:tblPr>
      <w:tblStyleRowBandSize w:val="1"/>
      <w:tblStyleColBandSize w:val="1"/>
      <w:tblBorders>
        <w:top w:val="single" w:sz="4" w:space="0" w:color="CFC499" w:themeColor="background1" w:themeShade="BF"/>
        <w:left w:val="single" w:sz="4" w:space="0" w:color="CFC499" w:themeColor="background1" w:themeShade="BF"/>
        <w:bottom w:val="single" w:sz="4" w:space="0" w:color="CFC499" w:themeColor="background1" w:themeShade="BF"/>
        <w:right w:val="single" w:sz="4" w:space="0" w:color="CFC499" w:themeColor="background1" w:themeShade="BF"/>
        <w:insideH w:val="single" w:sz="4" w:space="0" w:color="CFC499" w:themeColor="background1" w:themeShade="BF"/>
        <w:insideV w:val="single" w:sz="4" w:space="0" w:color="CFC499" w:themeColor="background1" w:themeShade="BF"/>
      </w:tblBorders>
    </w:tblPr>
    <w:tblStylePr w:type="firstRow">
      <w:rPr>
        <w:b/>
        <w:bCs/>
      </w:rPr>
    </w:tblStylePr>
    <w:tblStylePr w:type="lastRow">
      <w:rPr>
        <w:b/>
        <w:bCs/>
      </w:rPr>
      <w:tblPr/>
      <w:tcPr>
        <w:tcBorders>
          <w:top w:val="double" w:sz="4" w:space="0" w:color="CFC499" w:themeColor="background1" w:themeShade="BF"/>
        </w:tcBorders>
      </w:tc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paragraph" w:customStyle="1" w:styleId="Bullet">
    <w:name w:val="Bullet"/>
    <w:basedOn w:val="Normal"/>
    <w:link w:val="BulletChar"/>
    <w:qFormat/>
    <w:rsid w:val="00C042EF"/>
    <w:pPr>
      <w:numPr>
        <w:numId w:val="14"/>
      </w:numPr>
      <w:tabs>
        <w:tab w:val="clear" w:pos="284"/>
      </w:tabs>
      <w:spacing w:before="90" w:after="0" w:line="240" w:lineRule="auto"/>
    </w:pPr>
    <w:rPr>
      <w:rFonts w:ascii="Segoe UI" w:eastAsia="Times New Roman" w:hAnsi="Segoe UI" w:cs="Times New Roman"/>
      <w:sz w:val="21"/>
      <w:szCs w:val="20"/>
      <w:lang w:val="en-NZ" w:eastAsia="en-GB"/>
    </w:rPr>
  </w:style>
  <w:style w:type="paragraph" w:customStyle="1" w:styleId="Note">
    <w:name w:val="Note"/>
    <w:basedOn w:val="Normal"/>
    <w:next w:val="Normal"/>
    <w:link w:val="NoteChar"/>
    <w:qFormat/>
    <w:rsid w:val="00C042EF"/>
    <w:pPr>
      <w:spacing w:before="80" w:after="0" w:line="240" w:lineRule="auto"/>
    </w:pPr>
    <w:rPr>
      <w:rFonts w:ascii="Segoe UI" w:eastAsia="Times New Roman" w:hAnsi="Segoe UI" w:cs="Times New Roman"/>
      <w:sz w:val="17"/>
      <w:szCs w:val="20"/>
      <w:lang w:val="en-NZ" w:eastAsia="en-GB"/>
    </w:rPr>
  </w:style>
  <w:style w:type="character" w:customStyle="1" w:styleId="NoteChar">
    <w:name w:val="Note Char"/>
    <w:link w:val="Note"/>
    <w:rsid w:val="00C042EF"/>
    <w:rPr>
      <w:rFonts w:ascii="Segoe UI" w:eastAsia="Times New Roman" w:hAnsi="Segoe UI" w:cs="Times New Roman"/>
      <w:sz w:val="17"/>
      <w:szCs w:val="20"/>
      <w:lang w:eastAsia="en-GB"/>
    </w:rPr>
  </w:style>
  <w:style w:type="character" w:customStyle="1" w:styleId="BulletChar">
    <w:name w:val="Bullet Char"/>
    <w:link w:val="Bullet"/>
    <w:locked/>
    <w:rsid w:val="00C042EF"/>
    <w:rPr>
      <w:rFonts w:ascii="Segoe UI" w:eastAsia="Times New Roman" w:hAnsi="Segoe UI" w:cs="Times New Roman"/>
      <w:sz w:val="21"/>
      <w:szCs w:val="20"/>
      <w:lang w:eastAsia="en-GB"/>
    </w:rPr>
  </w:style>
  <w:style w:type="table" w:styleId="PlainTable4">
    <w:name w:val="Plain Table 4"/>
    <w:basedOn w:val="TableNormal"/>
    <w:uiPriority w:val="44"/>
    <w:rsid w:val="00C042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character" w:customStyle="1" w:styleId="Heading4Char">
    <w:name w:val="Heading 4 Char"/>
    <w:basedOn w:val="DefaultParagraphFont"/>
    <w:link w:val="Heading4"/>
    <w:uiPriority w:val="9"/>
    <w:rsid w:val="00C93BDF"/>
    <w:rPr>
      <w:rFonts w:asciiTheme="majorHAnsi" w:eastAsiaTheme="majorEastAsia" w:hAnsiTheme="majorHAnsi" w:cstheme="majorBidi"/>
      <w:i/>
      <w:iCs/>
      <w:color w:val="391A5A" w:themeColor="accent1" w:themeShade="BF"/>
      <w:lang w:val="en-US"/>
    </w:rPr>
  </w:style>
  <w:style w:type="paragraph" w:customStyle="1" w:styleId="TableText">
    <w:name w:val="Table Text"/>
    <w:basedOn w:val="Normal"/>
    <w:qFormat/>
    <w:rsid w:val="0061629A"/>
    <w:pPr>
      <w:spacing w:after="0" w:line="288" w:lineRule="auto"/>
    </w:pPr>
    <w:rPr>
      <w:rFonts w:asciiTheme="minorHAnsi" w:hAnsiTheme="minorHAnsi" w:cstheme="minorBidi"/>
      <w:sz w:val="24"/>
      <w:lang w:val="en-NZ"/>
    </w:rPr>
  </w:style>
  <w:style w:type="table" w:styleId="PlainTable5">
    <w:name w:val="Plain Table 5"/>
    <w:basedOn w:val="TableNormal"/>
    <w:uiPriority w:val="45"/>
    <w:rsid w:val="006162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85D2" w:themeColor="text1" w:themeTint="80"/>
        </w:tcBorders>
        <w:shd w:val="clear" w:color="auto" w:fill="F6F4EC" w:themeFill="background1"/>
      </w:tcPr>
    </w:tblStylePr>
    <w:tblStylePr w:type="lastRow">
      <w:rPr>
        <w:rFonts w:asciiTheme="majorHAnsi" w:eastAsiaTheme="majorEastAsia" w:hAnsiTheme="majorHAnsi" w:cstheme="majorBidi"/>
        <w:i/>
        <w:iCs/>
        <w:sz w:val="26"/>
      </w:rPr>
      <w:tblPr/>
      <w:tcPr>
        <w:tcBorders>
          <w:top w:val="single" w:sz="4" w:space="0" w:color="5C85D2" w:themeColor="text1" w:themeTint="80"/>
        </w:tcBorders>
        <w:shd w:val="clear" w:color="auto" w:fill="F6F4E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85D2" w:themeColor="text1" w:themeTint="80"/>
        </w:tcBorders>
        <w:shd w:val="clear" w:color="auto" w:fill="F6F4EC" w:themeFill="background1"/>
      </w:tcPr>
    </w:tblStylePr>
    <w:tblStylePr w:type="lastCol">
      <w:rPr>
        <w:rFonts w:asciiTheme="majorHAnsi" w:eastAsiaTheme="majorEastAsia" w:hAnsiTheme="majorHAnsi" w:cstheme="majorBidi"/>
        <w:i/>
        <w:iCs/>
        <w:sz w:val="26"/>
      </w:rPr>
      <w:tblPr/>
      <w:tcPr>
        <w:tcBorders>
          <w:left w:val="single" w:sz="4" w:space="0" w:color="5C85D2" w:themeColor="text1" w:themeTint="80"/>
        </w:tcBorders>
        <w:shd w:val="clear" w:color="auto" w:fill="F6F4EC" w:themeFill="background1"/>
      </w:tc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Text0">
    <w:name w:val="TableText"/>
    <w:basedOn w:val="Normal"/>
    <w:qFormat/>
    <w:rsid w:val="0061629A"/>
    <w:pPr>
      <w:spacing w:before="60" w:after="60" w:line="240" w:lineRule="auto"/>
    </w:pPr>
    <w:rPr>
      <w:rFonts w:ascii="Segoe UI" w:eastAsia="Times New Roman" w:hAnsi="Segoe UI" w:cs="Times New Roman"/>
      <w:sz w:val="18"/>
      <w:szCs w:val="20"/>
      <w:lang w:val="en-NZ" w:eastAsia="en-GB"/>
    </w:rPr>
  </w:style>
  <w:style w:type="paragraph" w:styleId="CommentSubject">
    <w:name w:val="annotation subject"/>
    <w:basedOn w:val="CommentText"/>
    <w:next w:val="CommentText"/>
    <w:link w:val="CommentSubjectChar"/>
    <w:uiPriority w:val="99"/>
    <w:semiHidden/>
    <w:unhideWhenUsed/>
    <w:rsid w:val="006426CB"/>
    <w:pPr>
      <w:spacing w:after="160"/>
    </w:pPr>
    <w:rPr>
      <w:rFonts w:ascii="Arial" w:eastAsiaTheme="minorHAnsi" w:hAnsi="Arial" w:cs="Arial"/>
      <w:b/>
      <w:bCs/>
      <w:lang w:val="en-US" w:eastAsia="en-US"/>
    </w:rPr>
  </w:style>
  <w:style w:type="character" w:customStyle="1" w:styleId="CommentSubjectChar">
    <w:name w:val="Comment Subject Char"/>
    <w:basedOn w:val="CommentTextChar"/>
    <w:link w:val="CommentSubject"/>
    <w:uiPriority w:val="99"/>
    <w:semiHidden/>
    <w:rsid w:val="006426CB"/>
    <w:rPr>
      <w:rFonts w:ascii="Arial" w:eastAsia="Times New Roman" w:hAnsi="Arial" w:cs="Arial"/>
      <w:b/>
      <w:bCs/>
      <w:sz w:val="20"/>
      <w:szCs w:val="20"/>
      <w:lang w:val="en-US" w:eastAsia="en-GB"/>
    </w:rPr>
  </w:style>
  <w:style w:type="character" w:styleId="UnresolvedMention">
    <w:name w:val="Unresolved Mention"/>
    <w:basedOn w:val="DefaultParagraphFont"/>
    <w:uiPriority w:val="99"/>
    <w:semiHidden/>
    <w:unhideWhenUsed/>
    <w:rsid w:val="0031633C"/>
    <w:rPr>
      <w:color w:val="605E5C"/>
      <w:shd w:val="clear" w:color="auto" w:fill="E1DFDD"/>
    </w:rPr>
  </w:style>
  <w:style w:type="character" w:customStyle="1" w:styleId="cf01">
    <w:name w:val="cf01"/>
    <w:basedOn w:val="DefaultParagraphFont"/>
    <w:rsid w:val="00FE310D"/>
    <w:rPr>
      <w:rFonts w:ascii="Segoe UI" w:hAnsi="Segoe UI" w:cs="Segoe UI" w:hint="default"/>
      <w:sz w:val="18"/>
      <w:szCs w:val="18"/>
    </w:rPr>
  </w:style>
  <w:style w:type="paragraph" w:styleId="Revision">
    <w:name w:val="Revision"/>
    <w:hidden/>
    <w:uiPriority w:val="99"/>
    <w:semiHidden/>
    <w:rsid w:val="00B07421"/>
    <w:pPr>
      <w:spacing w:after="0" w:line="240" w:lineRule="auto"/>
    </w:pPr>
    <w:rPr>
      <w:rFonts w:ascii="Arial" w:hAnsi="Arial" w:cs="Arial"/>
      <w:lang w:val="en-US"/>
    </w:rPr>
  </w:style>
  <w:style w:type="character" w:styleId="Mention">
    <w:name w:val="Mention"/>
    <w:basedOn w:val="DefaultParagraphFont"/>
    <w:uiPriority w:val="99"/>
    <w:unhideWhenUsed/>
    <w:rsid w:val="00FE102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7280">
      <w:bodyDiv w:val="1"/>
      <w:marLeft w:val="0"/>
      <w:marRight w:val="0"/>
      <w:marTop w:val="0"/>
      <w:marBottom w:val="0"/>
      <w:divBdr>
        <w:top w:val="none" w:sz="0" w:space="0" w:color="auto"/>
        <w:left w:val="none" w:sz="0" w:space="0" w:color="auto"/>
        <w:bottom w:val="none" w:sz="0" w:space="0" w:color="auto"/>
        <w:right w:val="none" w:sz="0" w:space="0" w:color="auto"/>
      </w:divBdr>
    </w:div>
    <w:div w:id="312104886">
      <w:bodyDiv w:val="1"/>
      <w:marLeft w:val="0"/>
      <w:marRight w:val="0"/>
      <w:marTop w:val="0"/>
      <w:marBottom w:val="0"/>
      <w:divBdr>
        <w:top w:val="none" w:sz="0" w:space="0" w:color="auto"/>
        <w:left w:val="none" w:sz="0" w:space="0" w:color="auto"/>
        <w:bottom w:val="none" w:sz="0" w:space="0" w:color="auto"/>
        <w:right w:val="none" w:sz="0" w:space="0" w:color="auto"/>
      </w:divBdr>
    </w:div>
    <w:div w:id="681587313">
      <w:bodyDiv w:val="1"/>
      <w:marLeft w:val="0"/>
      <w:marRight w:val="0"/>
      <w:marTop w:val="0"/>
      <w:marBottom w:val="0"/>
      <w:divBdr>
        <w:top w:val="none" w:sz="0" w:space="0" w:color="auto"/>
        <w:left w:val="none" w:sz="0" w:space="0" w:color="auto"/>
        <w:bottom w:val="none" w:sz="0" w:space="0" w:color="auto"/>
        <w:right w:val="none" w:sz="0" w:space="0" w:color="auto"/>
      </w:divBdr>
    </w:div>
    <w:div w:id="870529799">
      <w:bodyDiv w:val="1"/>
      <w:marLeft w:val="0"/>
      <w:marRight w:val="0"/>
      <w:marTop w:val="0"/>
      <w:marBottom w:val="0"/>
      <w:divBdr>
        <w:top w:val="none" w:sz="0" w:space="0" w:color="auto"/>
        <w:left w:val="none" w:sz="0" w:space="0" w:color="auto"/>
        <w:bottom w:val="none" w:sz="0" w:space="0" w:color="auto"/>
        <w:right w:val="none" w:sz="0" w:space="0" w:color="auto"/>
      </w:divBdr>
    </w:div>
    <w:div w:id="998188764">
      <w:bodyDiv w:val="1"/>
      <w:marLeft w:val="0"/>
      <w:marRight w:val="0"/>
      <w:marTop w:val="0"/>
      <w:marBottom w:val="0"/>
      <w:divBdr>
        <w:top w:val="none" w:sz="0" w:space="0" w:color="auto"/>
        <w:left w:val="none" w:sz="0" w:space="0" w:color="auto"/>
        <w:bottom w:val="none" w:sz="0" w:space="0" w:color="auto"/>
        <w:right w:val="none" w:sz="0" w:space="0" w:color="auto"/>
      </w:divBdr>
    </w:div>
    <w:div w:id="1740787567">
      <w:bodyDiv w:val="1"/>
      <w:marLeft w:val="0"/>
      <w:marRight w:val="0"/>
      <w:marTop w:val="0"/>
      <w:marBottom w:val="0"/>
      <w:divBdr>
        <w:top w:val="none" w:sz="0" w:space="0" w:color="auto"/>
        <w:left w:val="none" w:sz="0" w:space="0" w:color="auto"/>
        <w:bottom w:val="none" w:sz="0" w:space="0" w:color="auto"/>
        <w:right w:val="none" w:sz="0" w:space="0" w:color="auto"/>
      </w:divBdr>
    </w:div>
    <w:div w:id="1943759707">
      <w:bodyDiv w:val="1"/>
      <w:marLeft w:val="0"/>
      <w:marRight w:val="0"/>
      <w:marTop w:val="0"/>
      <w:marBottom w:val="0"/>
      <w:divBdr>
        <w:top w:val="none" w:sz="0" w:space="0" w:color="auto"/>
        <w:left w:val="none" w:sz="0" w:space="0" w:color="auto"/>
        <w:bottom w:val="none" w:sz="0" w:space="0" w:color="auto"/>
        <w:right w:val="none" w:sz="0" w:space="0" w:color="auto"/>
      </w:divBdr>
    </w:div>
    <w:div w:id="19890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health-services-and-programmes/newborn-metabolic-screening-programme/quality-standards" TargetMode="External"/><Relationship Id="rId18" Type="http://schemas.openxmlformats.org/officeDocument/2006/relationships/footer" Target="footer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tewhatuora.govt.nz" TargetMode="External"/><Relationship Id="rId17" Type="http://schemas.openxmlformats.org/officeDocument/2006/relationships/footer" Target="footer1.xml"/><Relationship Id="rId25" Type="http://schemas.openxmlformats.org/officeDocument/2006/relationships/chart" Target="charts/chart2.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tewhatuora.shinyapps.io/nsu-nmsp-transittime/"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tewhatuora.govt.nz/health-services-and-programmes/newborn-metabolic-screening-programme/quality-standards/" TargetMode="External"/><Relationship Id="rId23" Type="http://schemas.openxmlformats.org/officeDocument/2006/relationships/chart" Target="charts/chart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www.tewhatuora.govt.nz" TargetMode="Externa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su.govt.nz/system/files/page/newborn-metabolic-screening-programme-monitoring-indicators-feb18.pdf%22%20HYPERLINK%20%22https://www.tewhatuora.govt.nz/assets/Health-services-and-programmes/Newborn-Hearing/newborn-metabolic-screening-programme-monitoring-indicators-feb18.pdf" TargetMode="Externa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wxchfpd1\NSUSecure\Analysis\70%20Metabolic\Programme%20analysis\Annual%20Report\2022\03%20-%20Tables%20and%20Figures\Tables%20and%20Figures%20-%20Metabolic%2022%20202311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xchfpd1\NSUSecure\Analysis\70%20Metabolic\Programme%20analysis\Annual%20Report\2022\03%20-%20Tables%20and%20Figures\Tables%20and%20Figures%20-%20Metabolic%2022%20202311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xchfpd1\NSUSecure\Analysis\70%20Metabolic\Programme%20analysis\Annual%20Report\2022\03%20-%20Tables%20and%20Figures\Tables%20and%20Figures%20-%20Metabolic%2022%20202311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lumsden\OneDrive%20-%20Health%20New%20Zealand\Desktop\NMSP%20Metabolic%20Screening\2.%20Annual%20Report\2022\2022%20workshe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Distric Samples</c:v>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'2 - Timing'!$J$31:$J$50</c:f>
              <c:strCache>
                <c:ptCount val="20"/>
                <c:pt idx="0">
                  <c:v>Northland</c:v>
                </c:pt>
                <c:pt idx="1">
                  <c:v>Waitemata</c:v>
                </c:pt>
                <c:pt idx="2">
                  <c:v>Auckland</c:v>
                </c:pt>
                <c:pt idx="3">
                  <c:v>Counties Manukau</c:v>
                </c:pt>
                <c:pt idx="4">
                  <c:v>Waikato</c:v>
                </c:pt>
                <c:pt idx="5">
                  <c:v>Lakes</c:v>
                </c:pt>
                <c:pt idx="6">
                  <c:v>Bay of Plenty</c:v>
                </c:pt>
                <c:pt idx="7">
                  <c:v>Tairawhiti</c:v>
                </c:pt>
                <c:pt idx="8">
                  <c:v>Hawkes Bay</c:v>
                </c:pt>
                <c:pt idx="9">
                  <c:v>Taranaki</c:v>
                </c:pt>
                <c:pt idx="10">
                  <c:v>MidCentral</c:v>
                </c:pt>
                <c:pt idx="11">
                  <c:v>Whanganui</c:v>
                </c:pt>
                <c:pt idx="12">
                  <c:v>Capital and Coast</c:v>
                </c:pt>
                <c:pt idx="13">
                  <c:v>Hutt Valley</c:v>
                </c:pt>
                <c:pt idx="14">
                  <c:v>Wairarapa</c:v>
                </c:pt>
                <c:pt idx="15">
                  <c:v>Nelson Marlborough</c:v>
                </c:pt>
                <c:pt idx="16">
                  <c:v>West Coast</c:v>
                </c:pt>
                <c:pt idx="17">
                  <c:v>Canterbury</c:v>
                </c:pt>
                <c:pt idx="18">
                  <c:v>South Canterbury</c:v>
                </c:pt>
                <c:pt idx="19">
                  <c:v>Southern</c:v>
                </c:pt>
              </c:strCache>
            </c:strRef>
          </c:cat>
          <c:val>
            <c:numRef>
              <c:f>'2 - Timing'!$P$31:$P$50</c:f>
              <c:numCache>
                <c:formatCode>0.0</c:formatCode>
                <c:ptCount val="20"/>
                <c:pt idx="0">
                  <c:v>63.496143958868892</c:v>
                </c:pt>
                <c:pt idx="1">
                  <c:v>44.789538210053124</c:v>
                </c:pt>
                <c:pt idx="2">
                  <c:v>31.466559226430295</c:v>
                </c:pt>
                <c:pt idx="3">
                  <c:v>57.390096008084889</c:v>
                </c:pt>
                <c:pt idx="4">
                  <c:v>65.333333333333329</c:v>
                </c:pt>
                <c:pt idx="5">
                  <c:v>61.151555261416277</c:v>
                </c:pt>
                <c:pt idx="6">
                  <c:v>53.185328185328181</c:v>
                </c:pt>
                <c:pt idx="7">
                  <c:v>65.472779369627503</c:v>
                </c:pt>
                <c:pt idx="8">
                  <c:v>70.370370370370367</c:v>
                </c:pt>
                <c:pt idx="9">
                  <c:v>63.130943672275052</c:v>
                </c:pt>
                <c:pt idx="10">
                  <c:v>77.046852815901559</c:v>
                </c:pt>
                <c:pt idx="11">
                  <c:v>77.75</c:v>
                </c:pt>
                <c:pt idx="12">
                  <c:v>75.224602626123016</c:v>
                </c:pt>
                <c:pt idx="13">
                  <c:v>66.372657111356119</c:v>
                </c:pt>
                <c:pt idx="14">
                  <c:v>70.699432892249519</c:v>
                </c:pt>
                <c:pt idx="15">
                  <c:v>79.208633093525179</c:v>
                </c:pt>
                <c:pt idx="16">
                  <c:v>82.130584192439855</c:v>
                </c:pt>
                <c:pt idx="17">
                  <c:v>78.778085564789166</c:v>
                </c:pt>
                <c:pt idx="18">
                  <c:v>46.088435374149661</c:v>
                </c:pt>
                <c:pt idx="19">
                  <c:v>65.919952210274786</c:v>
                </c:pt>
              </c:numCache>
            </c:numRef>
          </c:val>
          <c:extLst>
            <c:ext xmlns:c16="http://schemas.microsoft.com/office/drawing/2014/chart" uri="{C3380CC4-5D6E-409C-BE32-E72D297353CC}">
              <c16:uniqueId val="{00000000-1B29-4143-B8C7-716662C79593}"/>
            </c:ext>
          </c:extLst>
        </c:ser>
        <c:dLbls>
          <c:showLegendKey val="0"/>
          <c:showVal val="0"/>
          <c:showCatName val="0"/>
          <c:showSerName val="0"/>
          <c:showPercent val="0"/>
          <c:showBubbleSize val="0"/>
        </c:dLbls>
        <c:gapWidth val="219"/>
        <c:overlap val="-27"/>
        <c:axId val="1105252064"/>
        <c:axId val="1105253864"/>
      </c:barChart>
      <c:lineChart>
        <c:grouping val="standard"/>
        <c:varyColors val="0"/>
        <c:ser>
          <c:idx val="1"/>
          <c:order val="1"/>
          <c:tx>
            <c:v>Target</c:v>
          </c:tx>
          <c:spPr>
            <a:ln w="28575" cap="rnd">
              <a:solidFill>
                <a:schemeClr val="accent2"/>
              </a:solidFill>
              <a:round/>
            </a:ln>
            <a:effectLst/>
          </c:spPr>
          <c:marker>
            <c:symbol val="none"/>
          </c:marker>
          <c:cat>
            <c:strRef>
              <c:f>'2 - Timing'!$J$31:$J$50</c:f>
              <c:strCache>
                <c:ptCount val="20"/>
                <c:pt idx="0">
                  <c:v>Northland</c:v>
                </c:pt>
                <c:pt idx="1">
                  <c:v>Waitemata</c:v>
                </c:pt>
                <c:pt idx="2">
                  <c:v>Auckland</c:v>
                </c:pt>
                <c:pt idx="3">
                  <c:v>Counties Manukau</c:v>
                </c:pt>
                <c:pt idx="4">
                  <c:v>Waikato</c:v>
                </c:pt>
                <c:pt idx="5">
                  <c:v>Lakes</c:v>
                </c:pt>
                <c:pt idx="6">
                  <c:v>Bay of Plenty</c:v>
                </c:pt>
                <c:pt idx="7">
                  <c:v>Tairawhiti</c:v>
                </c:pt>
                <c:pt idx="8">
                  <c:v>Hawkes Bay</c:v>
                </c:pt>
                <c:pt idx="9">
                  <c:v>Taranaki</c:v>
                </c:pt>
                <c:pt idx="10">
                  <c:v>MidCentral</c:v>
                </c:pt>
                <c:pt idx="11">
                  <c:v>Whanganui</c:v>
                </c:pt>
                <c:pt idx="12">
                  <c:v>Capital and Coast</c:v>
                </c:pt>
                <c:pt idx="13">
                  <c:v>Hutt Valley</c:v>
                </c:pt>
                <c:pt idx="14">
                  <c:v>Wairarapa</c:v>
                </c:pt>
                <c:pt idx="15">
                  <c:v>Nelson Marlborough</c:v>
                </c:pt>
                <c:pt idx="16">
                  <c:v>West Coast</c:v>
                </c:pt>
                <c:pt idx="17">
                  <c:v>Canterbury</c:v>
                </c:pt>
                <c:pt idx="18">
                  <c:v>South Canterbury</c:v>
                </c:pt>
                <c:pt idx="19">
                  <c:v>Southern</c:v>
                </c:pt>
              </c:strCache>
            </c:strRef>
          </c:cat>
          <c:val>
            <c:numRef>
              <c:f>'2 - Timing'!$U$31:$U$50</c:f>
              <c:numCache>
                <c:formatCode>General</c:formatCode>
                <c:ptCount val="20"/>
                <c:pt idx="0">
                  <c:v>95</c:v>
                </c:pt>
                <c:pt idx="1">
                  <c:v>95</c:v>
                </c:pt>
                <c:pt idx="2">
                  <c:v>95</c:v>
                </c:pt>
                <c:pt idx="3">
                  <c:v>95</c:v>
                </c:pt>
                <c:pt idx="4">
                  <c:v>95</c:v>
                </c:pt>
                <c:pt idx="5">
                  <c:v>95</c:v>
                </c:pt>
                <c:pt idx="6">
                  <c:v>95</c:v>
                </c:pt>
                <c:pt idx="7">
                  <c:v>95</c:v>
                </c:pt>
                <c:pt idx="8">
                  <c:v>95</c:v>
                </c:pt>
                <c:pt idx="9">
                  <c:v>95</c:v>
                </c:pt>
                <c:pt idx="10">
                  <c:v>95</c:v>
                </c:pt>
                <c:pt idx="11">
                  <c:v>95</c:v>
                </c:pt>
                <c:pt idx="12">
                  <c:v>95</c:v>
                </c:pt>
                <c:pt idx="13">
                  <c:v>95</c:v>
                </c:pt>
                <c:pt idx="14">
                  <c:v>95</c:v>
                </c:pt>
                <c:pt idx="15">
                  <c:v>95</c:v>
                </c:pt>
                <c:pt idx="16">
                  <c:v>95</c:v>
                </c:pt>
                <c:pt idx="17">
                  <c:v>95</c:v>
                </c:pt>
                <c:pt idx="18">
                  <c:v>95</c:v>
                </c:pt>
                <c:pt idx="19">
                  <c:v>95</c:v>
                </c:pt>
              </c:numCache>
            </c:numRef>
          </c:val>
          <c:smooth val="0"/>
          <c:extLst>
            <c:ext xmlns:c16="http://schemas.microsoft.com/office/drawing/2014/chart" uri="{C3380CC4-5D6E-409C-BE32-E72D297353CC}">
              <c16:uniqueId val="{00000001-1B29-4143-B8C7-716662C79593}"/>
            </c:ext>
          </c:extLst>
        </c:ser>
        <c:dLbls>
          <c:showLegendKey val="0"/>
          <c:showVal val="0"/>
          <c:showCatName val="0"/>
          <c:showSerName val="0"/>
          <c:showPercent val="0"/>
          <c:showBubbleSize val="0"/>
        </c:dLbls>
        <c:marker val="1"/>
        <c:smooth val="0"/>
        <c:axId val="1105252064"/>
        <c:axId val="1105253864"/>
      </c:lineChart>
      <c:catAx>
        <c:axId val="11052520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NZ"/>
                  <a:t>District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253864"/>
        <c:crosses val="autoZero"/>
        <c:auto val="1"/>
        <c:lblAlgn val="ctr"/>
        <c:lblOffset val="100"/>
        <c:noMultiLvlLbl val="0"/>
      </c:catAx>
      <c:valAx>
        <c:axId val="1105253864"/>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NZ"/>
                  <a:t>Samples taken between 48 and 72 hours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525206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Distric performance</c:v>
          </c:tx>
          <c:spPr>
            <a:solidFill>
              <a:schemeClr val="accent1"/>
            </a:solidFill>
            <a:ln>
              <a:noFill/>
            </a:ln>
            <a:effectLst/>
          </c:spPr>
          <c:invertIfNegative val="0"/>
          <c:cat>
            <c:strRef>
              <c:f>'4- Delivery'!$B$30:$B$49</c:f>
              <c:strCache>
                <c:ptCount val="20"/>
                <c:pt idx="0">
                  <c:v>Northland</c:v>
                </c:pt>
                <c:pt idx="1">
                  <c:v>Waitemata</c:v>
                </c:pt>
                <c:pt idx="2">
                  <c:v>Auckland</c:v>
                </c:pt>
                <c:pt idx="3">
                  <c:v>Counties Manukau</c:v>
                </c:pt>
                <c:pt idx="4">
                  <c:v>Waikato</c:v>
                </c:pt>
                <c:pt idx="5">
                  <c:v>Lakes</c:v>
                </c:pt>
                <c:pt idx="6">
                  <c:v>Bay of Plenty</c:v>
                </c:pt>
                <c:pt idx="7">
                  <c:v>Tairawhiti</c:v>
                </c:pt>
                <c:pt idx="8">
                  <c:v>Hawkes Bay</c:v>
                </c:pt>
                <c:pt idx="9">
                  <c:v>Taranaki</c:v>
                </c:pt>
                <c:pt idx="10">
                  <c:v>MidCentral</c:v>
                </c:pt>
                <c:pt idx="11">
                  <c:v>Whanganui</c:v>
                </c:pt>
                <c:pt idx="12">
                  <c:v>Capital and Coast</c:v>
                </c:pt>
                <c:pt idx="13">
                  <c:v>Hutt Valley</c:v>
                </c:pt>
                <c:pt idx="14">
                  <c:v>Wairarapa</c:v>
                </c:pt>
                <c:pt idx="15">
                  <c:v>Nelson Marlborough</c:v>
                </c:pt>
                <c:pt idx="16">
                  <c:v>West Coast</c:v>
                </c:pt>
                <c:pt idx="17">
                  <c:v>Canterbury</c:v>
                </c:pt>
                <c:pt idx="18">
                  <c:v>South Canterbury</c:v>
                </c:pt>
                <c:pt idx="19">
                  <c:v>Southern</c:v>
                </c:pt>
              </c:strCache>
            </c:strRef>
          </c:cat>
          <c:val>
            <c:numRef>
              <c:f>'4- Delivery'!$D$30:$D$49</c:f>
              <c:numCache>
                <c:formatCode>0.0</c:formatCode>
                <c:ptCount val="20"/>
                <c:pt idx="0">
                  <c:v>80.377035132819202</c:v>
                </c:pt>
                <c:pt idx="1">
                  <c:v>85.369840621168777</c:v>
                </c:pt>
                <c:pt idx="2">
                  <c:v>90.713134568896052</c:v>
                </c:pt>
                <c:pt idx="3">
                  <c:v>83.817584638706421</c:v>
                </c:pt>
                <c:pt idx="4">
                  <c:v>79.643192488262912</c:v>
                </c:pt>
                <c:pt idx="5">
                  <c:v>74.520185307743219</c:v>
                </c:pt>
                <c:pt idx="6">
                  <c:v>80.051480051480056</c:v>
                </c:pt>
                <c:pt idx="7">
                  <c:v>89.398280802292263</c:v>
                </c:pt>
                <c:pt idx="8">
                  <c:v>82.123456790123456</c:v>
                </c:pt>
                <c:pt idx="9">
                  <c:v>75.42062911485003</c:v>
                </c:pt>
                <c:pt idx="10">
                  <c:v>80.690960719356369</c:v>
                </c:pt>
                <c:pt idx="11">
                  <c:v>74.625</c:v>
                </c:pt>
                <c:pt idx="12">
                  <c:v>79.647546648237736</c:v>
                </c:pt>
                <c:pt idx="13">
                  <c:v>71.16868798235943</c:v>
                </c:pt>
                <c:pt idx="14">
                  <c:v>79.017013232514174</c:v>
                </c:pt>
                <c:pt idx="15">
                  <c:v>72.374100719424462</c:v>
                </c:pt>
                <c:pt idx="16">
                  <c:v>65.292096219931267</c:v>
                </c:pt>
                <c:pt idx="17">
                  <c:v>70.390889504462919</c:v>
                </c:pt>
                <c:pt idx="18">
                  <c:v>76.020408163265301</c:v>
                </c:pt>
                <c:pt idx="19">
                  <c:v>70.519713261648747</c:v>
                </c:pt>
              </c:numCache>
            </c:numRef>
          </c:val>
          <c:extLst>
            <c:ext xmlns:c16="http://schemas.microsoft.com/office/drawing/2014/chart" uri="{C3380CC4-5D6E-409C-BE32-E72D297353CC}">
              <c16:uniqueId val="{00000000-CE91-4F41-9BC4-BF6D8818CB46}"/>
            </c:ext>
          </c:extLst>
        </c:ser>
        <c:dLbls>
          <c:showLegendKey val="0"/>
          <c:showVal val="0"/>
          <c:showCatName val="0"/>
          <c:showSerName val="0"/>
          <c:showPercent val="0"/>
          <c:showBubbleSize val="0"/>
        </c:dLbls>
        <c:gapWidth val="219"/>
        <c:overlap val="-27"/>
        <c:axId val="1245728440"/>
        <c:axId val="1245725920"/>
      </c:barChart>
      <c:lineChart>
        <c:grouping val="standard"/>
        <c:varyColors val="0"/>
        <c:ser>
          <c:idx val="1"/>
          <c:order val="1"/>
          <c:tx>
            <c:v>Target</c:v>
          </c:tx>
          <c:spPr>
            <a:ln w="28575" cap="rnd">
              <a:solidFill>
                <a:schemeClr val="accent2"/>
              </a:solidFill>
              <a:round/>
            </a:ln>
            <a:effectLst/>
          </c:spPr>
          <c:marker>
            <c:symbol val="none"/>
          </c:marker>
          <c:cat>
            <c:strRef>
              <c:f>'4- Delivery'!$B$30:$B$49</c:f>
              <c:strCache>
                <c:ptCount val="20"/>
                <c:pt idx="0">
                  <c:v>Northland</c:v>
                </c:pt>
                <c:pt idx="1">
                  <c:v>Waitemata</c:v>
                </c:pt>
                <c:pt idx="2">
                  <c:v>Auckland</c:v>
                </c:pt>
                <c:pt idx="3">
                  <c:v>Counties Manukau</c:v>
                </c:pt>
                <c:pt idx="4">
                  <c:v>Waikato</c:v>
                </c:pt>
                <c:pt idx="5">
                  <c:v>Lakes</c:v>
                </c:pt>
                <c:pt idx="6">
                  <c:v>Bay of Plenty</c:v>
                </c:pt>
                <c:pt idx="7">
                  <c:v>Tairawhiti</c:v>
                </c:pt>
                <c:pt idx="8">
                  <c:v>Hawkes Bay</c:v>
                </c:pt>
                <c:pt idx="9">
                  <c:v>Taranaki</c:v>
                </c:pt>
                <c:pt idx="10">
                  <c:v>MidCentral</c:v>
                </c:pt>
                <c:pt idx="11">
                  <c:v>Whanganui</c:v>
                </c:pt>
                <c:pt idx="12">
                  <c:v>Capital and Coast</c:v>
                </c:pt>
                <c:pt idx="13">
                  <c:v>Hutt Valley</c:v>
                </c:pt>
                <c:pt idx="14">
                  <c:v>Wairarapa</c:v>
                </c:pt>
                <c:pt idx="15">
                  <c:v>Nelson Marlborough</c:v>
                </c:pt>
                <c:pt idx="16">
                  <c:v>West Coast</c:v>
                </c:pt>
                <c:pt idx="17">
                  <c:v>Canterbury</c:v>
                </c:pt>
                <c:pt idx="18">
                  <c:v>South Canterbury</c:v>
                </c:pt>
                <c:pt idx="19">
                  <c:v>Southern</c:v>
                </c:pt>
              </c:strCache>
            </c:strRef>
          </c:cat>
          <c:val>
            <c:numRef>
              <c:f>'4- Delivery'!$H$30:$H$49</c:f>
              <c:numCache>
                <c:formatCode>General</c:formatCode>
                <c:ptCount val="20"/>
                <c:pt idx="0">
                  <c:v>95</c:v>
                </c:pt>
                <c:pt idx="1">
                  <c:v>95</c:v>
                </c:pt>
                <c:pt idx="2">
                  <c:v>95</c:v>
                </c:pt>
                <c:pt idx="3">
                  <c:v>95</c:v>
                </c:pt>
                <c:pt idx="4">
                  <c:v>95</c:v>
                </c:pt>
                <c:pt idx="5">
                  <c:v>95</c:v>
                </c:pt>
                <c:pt idx="6">
                  <c:v>95</c:v>
                </c:pt>
                <c:pt idx="7">
                  <c:v>95</c:v>
                </c:pt>
                <c:pt idx="8">
                  <c:v>95</c:v>
                </c:pt>
                <c:pt idx="9">
                  <c:v>95</c:v>
                </c:pt>
                <c:pt idx="10">
                  <c:v>95</c:v>
                </c:pt>
                <c:pt idx="11">
                  <c:v>95</c:v>
                </c:pt>
                <c:pt idx="12">
                  <c:v>95</c:v>
                </c:pt>
                <c:pt idx="13">
                  <c:v>95</c:v>
                </c:pt>
                <c:pt idx="14">
                  <c:v>95</c:v>
                </c:pt>
                <c:pt idx="15">
                  <c:v>95</c:v>
                </c:pt>
                <c:pt idx="16">
                  <c:v>95</c:v>
                </c:pt>
                <c:pt idx="17">
                  <c:v>95</c:v>
                </c:pt>
                <c:pt idx="18">
                  <c:v>95</c:v>
                </c:pt>
                <c:pt idx="19">
                  <c:v>95</c:v>
                </c:pt>
              </c:numCache>
            </c:numRef>
          </c:val>
          <c:smooth val="0"/>
          <c:extLst>
            <c:ext xmlns:c16="http://schemas.microsoft.com/office/drawing/2014/chart" uri="{C3380CC4-5D6E-409C-BE32-E72D297353CC}">
              <c16:uniqueId val="{00000001-CE91-4F41-9BC4-BF6D8818CB46}"/>
            </c:ext>
          </c:extLst>
        </c:ser>
        <c:dLbls>
          <c:showLegendKey val="0"/>
          <c:showVal val="0"/>
          <c:showCatName val="0"/>
          <c:showSerName val="0"/>
          <c:showPercent val="0"/>
          <c:showBubbleSize val="0"/>
        </c:dLbls>
        <c:marker val="1"/>
        <c:smooth val="0"/>
        <c:axId val="1245728440"/>
        <c:axId val="1245725920"/>
      </c:lineChart>
      <c:catAx>
        <c:axId val="1245728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District</a:t>
                </a:r>
              </a:p>
            </c:rich>
          </c:tx>
          <c:layout>
            <c:manualLayout>
              <c:xMode val="edge"/>
              <c:yMode val="edge"/>
              <c:x val="0.46496124220864304"/>
              <c:y val="0.8053352715525944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725920"/>
        <c:crosses val="autoZero"/>
        <c:auto val="1"/>
        <c:lblAlgn val="ctr"/>
        <c:lblOffset val="100"/>
        <c:noMultiLvlLbl val="0"/>
      </c:catAx>
      <c:valAx>
        <c:axId val="124572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Samples received</a:t>
                </a:r>
                <a:r>
                  <a:rPr lang="en-NZ" baseline="0"/>
                  <a:t> within 4 days (%)</a:t>
                </a:r>
                <a:endParaRPr lang="en-N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728440"/>
        <c:crosses val="autoZero"/>
        <c:crossBetween val="between"/>
      </c:valAx>
      <c:spPr>
        <a:noFill/>
        <a:ln>
          <a:noFill/>
        </a:ln>
        <a:effectLst/>
      </c:spPr>
    </c:plotArea>
    <c:legend>
      <c:legendPos val="b"/>
      <c:legendEntry>
        <c:idx val="0"/>
        <c:delete val="1"/>
      </c:legendEntry>
      <c:layout>
        <c:manualLayout>
          <c:xMode val="edge"/>
          <c:yMode val="edge"/>
          <c:x val="0.85872244196536085"/>
          <c:y val="0.90584809206541494"/>
          <c:w val="0.12444194086936644"/>
          <c:h val="6.54339592166363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District samples</c:v>
          </c:tx>
          <c:spPr>
            <a:solidFill>
              <a:schemeClr val="accent1"/>
            </a:solidFill>
            <a:ln>
              <a:noFill/>
            </a:ln>
            <a:effectLst/>
          </c:spPr>
          <c:invertIfNegative val="0"/>
          <c:cat>
            <c:strRef>
              <c:f>'5 - Quality'!$G$7:$G$25</c:f>
              <c:strCache>
                <c:ptCount val="19"/>
                <c:pt idx="0">
                  <c:v>Northland</c:v>
                </c:pt>
                <c:pt idx="1">
                  <c:v>Waitematā</c:v>
                </c:pt>
                <c:pt idx="2">
                  <c:v>Auckland</c:v>
                </c:pt>
                <c:pt idx="3">
                  <c:v>Counties Manukau</c:v>
                </c:pt>
                <c:pt idx="4">
                  <c:v>Waikato</c:v>
                </c:pt>
                <c:pt idx="5">
                  <c:v>Lakes</c:v>
                </c:pt>
                <c:pt idx="6">
                  <c:v>Bay of Plenty</c:v>
                </c:pt>
                <c:pt idx="7">
                  <c:v>Tairāwhiti</c:v>
                </c:pt>
                <c:pt idx="8">
                  <c:v>Hawkes Bay</c:v>
                </c:pt>
                <c:pt idx="9">
                  <c:v>Taranaki</c:v>
                </c:pt>
                <c:pt idx="10">
                  <c:v>MidCentral</c:v>
                </c:pt>
                <c:pt idx="11">
                  <c:v>Whanganui</c:v>
                </c:pt>
                <c:pt idx="12">
                  <c:v>Capital and Coast</c:v>
                </c:pt>
                <c:pt idx="13">
                  <c:v>Hutt Valley</c:v>
                </c:pt>
                <c:pt idx="14">
                  <c:v>Wairarapa</c:v>
                </c:pt>
                <c:pt idx="15">
                  <c:v>Nelson Marlborough</c:v>
                </c:pt>
                <c:pt idx="16">
                  <c:v>Canterbury</c:v>
                </c:pt>
                <c:pt idx="17">
                  <c:v>South Canterbury</c:v>
                </c:pt>
                <c:pt idx="18">
                  <c:v>Southern</c:v>
                </c:pt>
              </c:strCache>
            </c:strRef>
          </c:cat>
          <c:val>
            <c:numRef>
              <c:f>'5 - Quality'!$I$7:$I$25</c:f>
              <c:numCache>
                <c:formatCode>0.0</c:formatCode>
                <c:ptCount val="19"/>
                <c:pt idx="0">
                  <c:v>66.666666666666657</c:v>
                </c:pt>
                <c:pt idx="1">
                  <c:v>82.8125</c:v>
                </c:pt>
                <c:pt idx="2">
                  <c:v>84.615384615384613</c:v>
                </c:pt>
                <c:pt idx="3">
                  <c:v>81.632653061224488</c:v>
                </c:pt>
                <c:pt idx="4">
                  <c:v>63.829787234042556</c:v>
                </c:pt>
                <c:pt idx="5">
                  <c:v>68.421052631578945</c:v>
                </c:pt>
                <c:pt idx="6">
                  <c:v>93.548387096774192</c:v>
                </c:pt>
                <c:pt idx="7">
                  <c:v>77.777777777777786</c:v>
                </c:pt>
                <c:pt idx="8">
                  <c:v>88.235294117647058</c:v>
                </c:pt>
                <c:pt idx="9">
                  <c:v>95.833333333333343</c:v>
                </c:pt>
                <c:pt idx="10">
                  <c:v>83.870967741935488</c:v>
                </c:pt>
                <c:pt idx="11">
                  <c:v>64.285714285714292</c:v>
                </c:pt>
                <c:pt idx="12">
                  <c:v>91.17647058823529</c:v>
                </c:pt>
                <c:pt idx="13">
                  <c:v>100</c:v>
                </c:pt>
                <c:pt idx="14">
                  <c:v>80</c:v>
                </c:pt>
                <c:pt idx="15">
                  <c:v>82.35294117647058</c:v>
                </c:pt>
                <c:pt idx="16">
                  <c:v>85.714285714285708</c:v>
                </c:pt>
                <c:pt idx="17">
                  <c:v>85.714285714285708</c:v>
                </c:pt>
                <c:pt idx="18">
                  <c:v>95.348837209302332</c:v>
                </c:pt>
              </c:numCache>
            </c:numRef>
          </c:val>
          <c:extLst>
            <c:ext xmlns:c16="http://schemas.microsoft.com/office/drawing/2014/chart" uri="{C3380CC4-5D6E-409C-BE32-E72D297353CC}">
              <c16:uniqueId val="{00000000-9AEA-4993-91E0-CB61611559AB}"/>
            </c:ext>
          </c:extLst>
        </c:ser>
        <c:dLbls>
          <c:showLegendKey val="0"/>
          <c:showVal val="0"/>
          <c:showCatName val="0"/>
          <c:showSerName val="0"/>
          <c:showPercent val="0"/>
          <c:showBubbleSize val="0"/>
        </c:dLbls>
        <c:gapWidth val="219"/>
        <c:overlap val="-27"/>
        <c:axId val="1114532688"/>
        <c:axId val="1114531608"/>
      </c:barChart>
      <c:lineChart>
        <c:grouping val="standard"/>
        <c:varyColors val="0"/>
        <c:ser>
          <c:idx val="1"/>
          <c:order val="1"/>
          <c:tx>
            <c:v>Target</c:v>
          </c:tx>
          <c:spPr>
            <a:ln w="28575" cap="rnd">
              <a:solidFill>
                <a:schemeClr val="accent2"/>
              </a:solidFill>
              <a:round/>
            </a:ln>
            <a:effectLst/>
          </c:spPr>
          <c:marker>
            <c:symbol val="none"/>
          </c:marker>
          <c:cat>
            <c:strRef>
              <c:f>'5 - Quality'!$G$7:$G$25</c:f>
              <c:strCache>
                <c:ptCount val="19"/>
                <c:pt idx="0">
                  <c:v>Northland</c:v>
                </c:pt>
                <c:pt idx="1">
                  <c:v>Waitematā</c:v>
                </c:pt>
                <c:pt idx="2">
                  <c:v>Auckland</c:v>
                </c:pt>
                <c:pt idx="3">
                  <c:v>Counties Manukau</c:v>
                </c:pt>
                <c:pt idx="4">
                  <c:v>Waikato</c:v>
                </c:pt>
                <c:pt idx="5">
                  <c:v>Lakes</c:v>
                </c:pt>
                <c:pt idx="6">
                  <c:v>Bay of Plenty</c:v>
                </c:pt>
                <c:pt idx="7">
                  <c:v>Tairāwhiti</c:v>
                </c:pt>
                <c:pt idx="8">
                  <c:v>Hawkes Bay</c:v>
                </c:pt>
                <c:pt idx="9">
                  <c:v>Taranaki</c:v>
                </c:pt>
                <c:pt idx="10">
                  <c:v>MidCentral</c:v>
                </c:pt>
                <c:pt idx="11">
                  <c:v>Whanganui</c:v>
                </c:pt>
                <c:pt idx="12">
                  <c:v>Capital and Coast</c:v>
                </c:pt>
                <c:pt idx="13">
                  <c:v>Hutt Valley</c:v>
                </c:pt>
                <c:pt idx="14">
                  <c:v>Wairarapa</c:v>
                </c:pt>
                <c:pt idx="15">
                  <c:v>Nelson Marlborough</c:v>
                </c:pt>
                <c:pt idx="16">
                  <c:v>Canterbury</c:v>
                </c:pt>
                <c:pt idx="17">
                  <c:v>South Canterbury</c:v>
                </c:pt>
                <c:pt idx="18">
                  <c:v>Southern</c:v>
                </c:pt>
              </c:strCache>
            </c:strRef>
          </c:cat>
          <c:val>
            <c:numRef>
              <c:f>'5 - Quality'!$M$7:$M$25</c:f>
              <c:numCache>
                <c:formatCode>General</c:formatCode>
                <c:ptCount val="19"/>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numCache>
            </c:numRef>
          </c:val>
          <c:smooth val="0"/>
          <c:extLst>
            <c:ext xmlns:c16="http://schemas.microsoft.com/office/drawing/2014/chart" uri="{C3380CC4-5D6E-409C-BE32-E72D297353CC}">
              <c16:uniqueId val="{00000001-9AEA-4993-91E0-CB61611559AB}"/>
            </c:ext>
          </c:extLst>
        </c:ser>
        <c:dLbls>
          <c:showLegendKey val="0"/>
          <c:showVal val="0"/>
          <c:showCatName val="0"/>
          <c:showSerName val="0"/>
          <c:showPercent val="0"/>
          <c:showBubbleSize val="0"/>
        </c:dLbls>
        <c:marker val="1"/>
        <c:smooth val="0"/>
        <c:axId val="1114532688"/>
        <c:axId val="1114531608"/>
      </c:lineChart>
      <c:catAx>
        <c:axId val="11145326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District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31608"/>
        <c:crosses val="autoZero"/>
        <c:auto val="1"/>
        <c:lblAlgn val="ctr"/>
        <c:lblOffset val="100"/>
        <c:noMultiLvlLbl val="0"/>
      </c:catAx>
      <c:valAx>
        <c:axId val="11145316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Second</a:t>
                </a:r>
                <a:r>
                  <a:rPr lang="en-NZ" baseline="0"/>
                  <a:t> samples received within 10 days  (%)</a:t>
                </a:r>
                <a:endParaRPr lang="en-N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532688"/>
        <c:crosses val="autoZero"/>
        <c:crossBetween val="between"/>
      </c:valAx>
      <c:spPr>
        <a:noFill/>
        <a:ln>
          <a:noFill/>
        </a:ln>
        <a:effectLst/>
      </c:spPr>
    </c:plotArea>
    <c:legend>
      <c:legendPos val="b"/>
      <c:legendEntry>
        <c:idx val="0"/>
        <c:delete val="1"/>
      </c:legendEntry>
      <c:layout>
        <c:manualLayout>
          <c:xMode val="edge"/>
          <c:yMode val="edge"/>
          <c:x val="0.85765912594259053"/>
          <c:y val="0.89971197078626042"/>
          <c:w val="0.12700979044286131"/>
          <c:h val="6.16406862185705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Sheet8!$E$51</c:f>
              <c:strCache>
                <c:ptCount val="1"/>
                <c:pt idx="0">
                  <c:v>Clinical Critical</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Sheet8!$D$52:$D$59</c:f>
              <c:strCache>
                <c:ptCount val="8"/>
                <c:pt idx="0">
                  <c:v>SCID</c:v>
                </c:pt>
                <c:pt idx="1">
                  <c:v>Galactosaemia</c:v>
                </c:pt>
                <c:pt idx="2">
                  <c:v>Fatty acid oxidation disorders</c:v>
                </c:pt>
                <c:pt idx="3">
                  <c:v>Congenital hypothyroidism</c:v>
                </c:pt>
                <c:pt idx="4">
                  <c:v>Cystic fibrosis</c:v>
                </c:pt>
                <c:pt idx="5">
                  <c:v>Congenital adrenal hyperplasia</c:v>
                </c:pt>
                <c:pt idx="6">
                  <c:v>Biotinidase deficiency</c:v>
                </c:pt>
                <c:pt idx="7">
                  <c:v>Amino acid disorders</c:v>
                </c:pt>
              </c:strCache>
            </c:strRef>
          </c:cat>
          <c:val>
            <c:numRef>
              <c:f>Sheet8!$E$52:$E$59</c:f>
              <c:numCache>
                <c:formatCode>0</c:formatCode>
                <c:ptCount val="8"/>
                <c:pt idx="0">
                  <c:v>0</c:v>
                </c:pt>
                <c:pt idx="1">
                  <c:v>100</c:v>
                </c:pt>
                <c:pt idx="2">
                  <c:v>100</c:v>
                </c:pt>
                <c:pt idx="3">
                  <c:v>100</c:v>
                </c:pt>
                <c:pt idx="4">
                  <c:v>0</c:v>
                </c:pt>
                <c:pt idx="5">
                  <c:v>100</c:v>
                </c:pt>
                <c:pt idx="6">
                  <c:v>0</c:v>
                </c:pt>
                <c:pt idx="7">
                  <c:v>100</c:v>
                </c:pt>
              </c:numCache>
            </c:numRef>
          </c:val>
          <c:extLst>
            <c:ext xmlns:c16="http://schemas.microsoft.com/office/drawing/2014/chart" uri="{C3380CC4-5D6E-409C-BE32-E72D297353CC}">
              <c16:uniqueId val="{00000000-1506-43D8-8048-1C2304EFC9A9}"/>
            </c:ext>
          </c:extLst>
        </c:ser>
        <c:ser>
          <c:idx val="1"/>
          <c:order val="1"/>
          <c:tx>
            <c:strRef>
              <c:f>Sheet8!$F$51</c:f>
              <c:strCache>
                <c:ptCount val="1"/>
                <c:pt idx="0">
                  <c:v>Not Clinical Critical</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Sheet8!$D$52:$D$59</c:f>
              <c:strCache>
                <c:ptCount val="8"/>
                <c:pt idx="0">
                  <c:v>SCID</c:v>
                </c:pt>
                <c:pt idx="1">
                  <c:v>Galactosaemia</c:v>
                </c:pt>
                <c:pt idx="2">
                  <c:v>Fatty acid oxidation disorders</c:v>
                </c:pt>
                <c:pt idx="3">
                  <c:v>Congenital hypothyroidism</c:v>
                </c:pt>
                <c:pt idx="4">
                  <c:v>Cystic fibrosis</c:v>
                </c:pt>
                <c:pt idx="5">
                  <c:v>Congenital adrenal hyperplasia</c:v>
                </c:pt>
                <c:pt idx="6">
                  <c:v>Biotinidase deficiency</c:v>
                </c:pt>
                <c:pt idx="7">
                  <c:v>Amino acid disorders</c:v>
                </c:pt>
              </c:strCache>
            </c:strRef>
          </c:cat>
          <c:val>
            <c:numRef>
              <c:f>Sheet8!$F$52:$F$59</c:f>
              <c:numCache>
                <c:formatCode>General</c:formatCode>
                <c:ptCount val="8"/>
                <c:pt idx="0" formatCode="0">
                  <c:v>100</c:v>
                </c:pt>
                <c:pt idx="2" formatCode="0">
                  <c:v>100</c:v>
                </c:pt>
                <c:pt idx="3" formatCode="0">
                  <c:v>100</c:v>
                </c:pt>
                <c:pt idx="4" formatCode="0">
                  <c:v>95</c:v>
                </c:pt>
                <c:pt idx="5" formatCode="0">
                  <c:v>93</c:v>
                </c:pt>
                <c:pt idx="6" formatCode="0">
                  <c:v>100</c:v>
                </c:pt>
                <c:pt idx="7" formatCode="0">
                  <c:v>94</c:v>
                </c:pt>
              </c:numCache>
            </c:numRef>
          </c:val>
          <c:extLst>
            <c:ext xmlns:c16="http://schemas.microsoft.com/office/drawing/2014/chart" uri="{C3380CC4-5D6E-409C-BE32-E72D297353CC}">
              <c16:uniqueId val="{00000001-1506-43D8-8048-1C2304EFC9A9}"/>
            </c:ext>
          </c:extLst>
        </c:ser>
        <c:dLbls>
          <c:showLegendKey val="0"/>
          <c:showVal val="0"/>
          <c:showCatName val="0"/>
          <c:showSerName val="0"/>
          <c:showPercent val="0"/>
          <c:showBubbleSize val="0"/>
        </c:dLbls>
        <c:gapWidth val="227"/>
        <c:overlap val="-48"/>
        <c:axId val="653008687"/>
        <c:axId val="769652815"/>
      </c:barChart>
      <c:catAx>
        <c:axId val="653008687"/>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NZ"/>
                  <a:t>Disorder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652815"/>
        <c:crosses val="autoZero"/>
        <c:auto val="1"/>
        <c:lblAlgn val="ctr"/>
        <c:lblOffset val="100"/>
        <c:noMultiLvlLbl val="0"/>
      </c:catAx>
      <c:valAx>
        <c:axId val="769652815"/>
        <c:scaling>
          <c:orientation val="minMax"/>
          <c:max val="100"/>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NZ"/>
                  <a:t>Screen positives notified within disorder-specific timeframe (%)</a:t>
                </a:r>
              </a:p>
            </c:rich>
          </c:tx>
          <c:layout>
            <c:manualLayout>
              <c:xMode val="edge"/>
              <c:yMode val="edge"/>
              <c:x val="0.27283223972003501"/>
              <c:y val="0.9155290493467395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3008687"/>
        <c:crosses val="autoZero"/>
        <c:crossBetween val="between"/>
        <c:majorUnit val="10"/>
      </c:valAx>
      <c:spPr>
        <a:noFill/>
        <a:ln>
          <a:noFill/>
        </a:ln>
        <a:effectLst/>
      </c:spPr>
    </c:plotArea>
    <c:legend>
      <c:legendPos val="t"/>
      <c:layout>
        <c:manualLayout>
          <c:xMode val="edge"/>
          <c:yMode val="edge"/>
          <c:x val="0.52524781539824739"/>
          <c:y val="2.4939739675397816E-2"/>
          <c:w val="0.4726301399825022"/>
          <c:h val="6.4624664685334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1"/>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2024-10-09T02:04:00Z</dcterms:created>
  <dcterms:modified xsi:type="dcterms:W3CDTF">2024-10-09T02:04:00Z</dcterms:modified>
</cp:coreProperties>
</file>