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832" w:rsidRPr="00556787" w:rsidRDefault="006C2D63" w:rsidP="006C2D63">
      <w:pPr>
        <w:pStyle w:val="BlockLine"/>
        <w:pBdr>
          <w:top w:val="none" w:sz="0" w:space="0" w:color="auto"/>
          <w:between w:val="none" w:sz="0" w:space="0" w:color="auto"/>
        </w:pBdr>
        <w:rPr>
          <w:rFonts w:ascii="Arial" w:hAnsi="Arial" w:cs="Arial"/>
          <w:b/>
          <w:sz w:val="28"/>
          <w:szCs w:val="28"/>
        </w:rPr>
      </w:pPr>
      <w:r w:rsidRPr="00556787">
        <w:rPr>
          <w:rFonts w:ascii="Arial" w:hAnsi="Arial" w:cs="Arial"/>
          <w:b/>
          <w:sz w:val="28"/>
          <w:szCs w:val="28"/>
        </w:rPr>
        <w:t xml:space="preserve">NSU </w:t>
      </w:r>
      <w:r w:rsidR="00360C17" w:rsidRPr="00556787">
        <w:rPr>
          <w:rFonts w:ascii="Arial" w:hAnsi="Arial" w:cs="Arial"/>
          <w:b/>
          <w:sz w:val="28"/>
          <w:szCs w:val="28"/>
        </w:rPr>
        <w:t>Open Communication</w:t>
      </w:r>
      <w:r w:rsidRPr="00556787">
        <w:rPr>
          <w:rFonts w:ascii="Arial" w:hAnsi="Arial" w:cs="Arial"/>
          <w:b/>
          <w:sz w:val="28"/>
          <w:szCs w:val="28"/>
        </w:rPr>
        <w:t xml:space="preserve"> Policy (NSU 0</w:t>
      </w:r>
      <w:r w:rsidR="00360C17" w:rsidRPr="00556787">
        <w:rPr>
          <w:rFonts w:ascii="Arial" w:hAnsi="Arial" w:cs="Arial"/>
          <w:b/>
          <w:sz w:val="28"/>
          <w:szCs w:val="28"/>
        </w:rPr>
        <w:t>3</w:t>
      </w:r>
      <w:r w:rsidRPr="00556787">
        <w:rPr>
          <w:rFonts w:ascii="Arial" w:hAnsi="Arial" w:cs="Arial"/>
          <w:b/>
          <w:sz w:val="28"/>
          <w:szCs w:val="2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90832" w:rsidRPr="00A258A0" w:rsidTr="005266A9">
        <w:tc>
          <w:tcPr>
            <w:tcW w:w="1728" w:type="dxa"/>
            <w:shd w:val="clear" w:color="auto" w:fill="auto"/>
          </w:tcPr>
          <w:p w:rsidR="00890832" w:rsidRPr="00A258A0" w:rsidRDefault="00890832" w:rsidP="00F15BC2">
            <w:pPr>
              <w:pStyle w:val="Heading5"/>
              <w:tabs>
                <w:tab w:val="left" w:pos="1368"/>
              </w:tabs>
              <w:ind w:left="0"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:rsidR="00890832" w:rsidRPr="00A258A0" w:rsidRDefault="00890832" w:rsidP="005266A9">
            <w:pPr>
              <w:pStyle w:val="Block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832" w:rsidRPr="00A258A0" w:rsidRDefault="00890832" w:rsidP="00890832">
      <w:pPr>
        <w:pStyle w:val="BlockLine"/>
        <w:rPr>
          <w:rFonts w:ascii="Arial" w:hAnsi="Arial" w:cs="Arial"/>
        </w:rPr>
      </w:pPr>
    </w:p>
    <w:tbl>
      <w:tblPr>
        <w:tblW w:w="9480" w:type="dxa"/>
        <w:tblLayout w:type="fixed"/>
        <w:tblLook w:val="0000" w:firstRow="0" w:lastRow="0" w:firstColumn="0" w:lastColumn="0" w:noHBand="0" w:noVBand="0"/>
      </w:tblPr>
      <w:tblGrid>
        <w:gridCol w:w="1555"/>
        <w:gridCol w:w="7925"/>
      </w:tblGrid>
      <w:tr w:rsidR="00890832" w:rsidRPr="00841CC6" w:rsidTr="006321F3">
        <w:tc>
          <w:tcPr>
            <w:tcW w:w="1555" w:type="dxa"/>
            <w:shd w:val="clear" w:color="auto" w:fill="auto"/>
          </w:tcPr>
          <w:p w:rsidR="00890832" w:rsidRPr="005B77E4" w:rsidRDefault="00890832" w:rsidP="005266A9">
            <w:pPr>
              <w:pStyle w:val="Heading5"/>
              <w:rPr>
                <w:rFonts w:ascii="Arial" w:hAnsi="Arial" w:cs="Arial"/>
                <w:sz w:val="20"/>
              </w:rPr>
            </w:pPr>
            <w:r w:rsidRPr="005B77E4">
              <w:rPr>
                <w:rFonts w:ascii="Arial" w:hAnsi="Arial" w:cs="Arial"/>
                <w:sz w:val="20"/>
              </w:rPr>
              <w:t>Introduction</w:t>
            </w: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0D2987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17158A" w:rsidRPr="00841CC6" w:rsidRDefault="0017158A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17158A" w:rsidRPr="00841CC6" w:rsidRDefault="0017158A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17158A" w:rsidRPr="00841CC6" w:rsidRDefault="0017158A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0D2987" w:rsidRPr="00841CC6" w:rsidRDefault="000D2987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0D2987" w:rsidRPr="00841CC6" w:rsidRDefault="000D2987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0D2987" w:rsidRPr="00841CC6" w:rsidRDefault="000D2987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0D2987" w:rsidRPr="00841CC6" w:rsidRDefault="000D2987" w:rsidP="005266A9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8B1A1A" w:rsidRPr="00841CC6" w:rsidRDefault="008B1A1A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814A18" w:rsidRPr="00841CC6" w:rsidRDefault="00814A18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CC51CB" w:rsidRPr="00841CC6" w:rsidRDefault="00CC51CB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CC51CB" w:rsidRPr="00841CC6" w:rsidRDefault="00CC51CB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CC51CB" w:rsidRPr="00841CC6" w:rsidRDefault="00CC51CB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38599D" w:rsidRDefault="0038599D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38599D" w:rsidRDefault="0038599D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38599D" w:rsidRDefault="0038599D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0D2987" w:rsidRPr="005B77E4" w:rsidRDefault="00814A18" w:rsidP="00FB47AA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  <w:r w:rsidRPr="005B77E4">
              <w:rPr>
                <w:rFonts w:ascii="Arial" w:hAnsi="Arial" w:cs="Arial"/>
                <w:sz w:val="20"/>
              </w:rPr>
              <w:t>P</w:t>
            </w:r>
            <w:r w:rsidR="00FB47AA" w:rsidRPr="005B77E4">
              <w:rPr>
                <w:rFonts w:ascii="Arial" w:hAnsi="Arial" w:cs="Arial"/>
                <w:sz w:val="20"/>
              </w:rPr>
              <w:t>urpose</w:t>
            </w:r>
          </w:p>
          <w:p w:rsidR="00FB47AA" w:rsidRPr="00841CC6" w:rsidRDefault="00FB47AA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FB47AA" w:rsidRPr="00841CC6" w:rsidRDefault="00FB47AA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FB47AA" w:rsidRPr="00841CC6" w:rsidRDefault="00FB47AA" w:rsidP="00FB47AA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DD5955" w:rsidRDefault="00DD5955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814A18" w:rsidRPr="005B77E4" w:rsidRDefault="007A4A92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  <w:r w:rsidRPr="005B77E4">
              <w:rPr>
                <w:rFonts w:ascii="Arial" w:hAnsi="Arial" w:cs="Arial"/>
                <w:sz w:val="20"/>
              </w:rPr>
              <w:t>Policy Owners</w:t>
            </w:r>
          </w:p>
          <w:p w:rsidR="00814A18" w:rsidRPr="00841CC6" w:rsidRDefault="00814A18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814A18" w:rsidRPr="00841CC6" w:rsidRDefault="00814A18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2E0EDD" w:rsidRDefault="002E0EDD" w:rsidP="00FD2494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7A4A92" w:rsidRPr="005B77E4" w:rsidRDefault="007A4A92" w:rsidP="00FD2494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  <w:r w:rsidRPr="005B77E4">
              <w:rPr>
                <w:rFonts w:ascii="Arial" w:hAnsi="Arial" w:cs="Arial"/>
                <w:sz w:val="20"/>
              </w:rPr>
              <w:lastRenderedPageBreak/>
              <w:t>Scope</w:t>
            </w:r>
          </w:p>
          <w:p w:rsidR="007A4A92" w:rsidRPr="00841CC6" w:rsidRDefault="007A4A92" w:rsidP="007A4A92">
            <w:pPr>
              <w:pStyle w:val="Heading5"/>
              <w:rPr>
                <w:rFonts w:ascii="Arial" w:hAnsi="Arial" w:cs="Arial"/>
                <w:szCs w:val="22"/>
              </w:rPr>
            </w:pPr>
          </w:p>
          <w:p w:rsidR="00814A18" w:rsidRPr="00841CC6" w:rsidRDefault="00814A18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3D5D07" w:rsidRDefault="003D5D07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ED1910" w:rsidRDefault="00ED1910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0B2EE1" w:rsidRDefault="000B2EE1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</w:p>
          <w:p w:rsidR="00AB31AD" w:rsidRPr="005B77E4" w:rsidRDefault="00AB31AD" w:rsidP="006321F3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  <w:r w:rsidRPr="005B77E4">
              <w:rPr>
                <w:rFonts w:ascii="Arial" w:hAnsi="Arial" w:cs="Arial"/>
                <w:sz w:val="20"/>
              </w:rPr>
              <w:t>Principles</w:t>
            </w:r>
          </w:p>
          <w:p w:rsidR="00AB31AD" w:rsidRPr="00841CC6" w:rsidRDefault="00AB31AD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AB31AD" w:rsidRPr="00841CC6" w:rsidRDefault="00AB31AD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AB31AD" w:rsidRPr="00841CC6" w:rsidRDefault="00AB31AD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AB31AD" w:rsidRPr="00841CC6" w:rsidRDefault="00AB31AD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EF16FE" w:rsidRDefault="00EF16FE" w:rsidP="00EF16FE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270F9C" w:rsidRPr="005B77E4" w:rsidRDefault="00270F9C" w:rsidP="00EF16FE">
            <w:pPr>
              <w:pStyle w:val="Heading5"/>
              <w:ind w:left="0" w:firstLine="0"/>
              <w:rPr>
                <w:rFonts w:ascii="Arial" w:hAnsi="Arial" w:cs="Arial"/>
                <w:sz w:val="20"/>
              </w:rPr>
            </w:pPr>
            <w:r w:rsidRPr="005B77E4">
              <w:rPr>
                <w:rFonts w:ascii="Arial" w:hAnsi="Arial" w:cs="Arial"/>
                <w:sz w:val="20"/>
              </w:rPr>
              <w:t>Policy Statement</w:t>
            </w:r>
          </w:p>
          <w:p w:rsidR="00270F9C" w:rsidRPr="00841CC6" w:rsidRDefault="00270F9C" w:rsidP="00270F9C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270F9C" w:rsidRPr="00841CC6" w:rsidRDefault="00270F9C" w:rsidP="00270F9C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7A4A92" w:rsidRPr="00841CC6" w:rsidRDefault="007A4A92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  <w:p w:rsidR="00D05B89" w:rsidRPr="00841CC6" w:rsidRDefault="00D05B89" w:rsidP="006321F3">
            <w:pPr>
              <w:pStyle w:val="Heading5"/>
              <w:ind w:left="0"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7925" w:type="dxa"/>
            <w:shd w:val="clear" w:color="auto" w:fill="auto"/>
          </w:tcPr>
          <w:p w:rsidR="002E4020" w:rsidRPr="00210BFD" w:rsidRDefault="000B35D3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</w:t>
            </w:r>
            <w:r w:rsidR="002E402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eople take part in screening in order to be reassured they are healthy, rather than with the expectation they are not. However, screening </w:t>
            </w:r>
            <w:r w:rsidR="00B00B6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</w:t>
            </w:r>
            <w:r w:rsidR="002E402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not a </w:t>
            </w:r>
            <w:r w:rsidR="00C2765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comprehensive </w:t>
            </w:r>
            <w:r w:rsidR="002E402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diagnosis. </w:t>
            </w:r>
          </w:p>
          <w:p w:rsidR="002E4020" w:rsidRPr="00210BFD" w:rsidRDefault="002E4020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E4020" w:rsidRPr="00210BFD" w:rsidRDefault="002E4020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It does not tell you whether you do have the condition. Instead, screening sorts people into two groups: people who have an increased chance of having the condition (positive screening result) and people who do not have an increased chance of having the condition (negative screening result).</w:t>
            </w:r>
          </w:p>
          <w:p w:rsidR="002E4020" w:rsidRPr="00210BFD" w:rsidRDefault="002E4020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E4020" w:rsidRPr="00210BFD" w:rsidRDefault="002E4020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People with a positive screening result will be offered a diagnostic test, which will give more information about whether they have the condition. People with a negative screening result will not be offered the diagnostic test. Depending on the type of screening, they may be invited to come back for 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further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screening for example for a repeat cervical screen. </w:t>
            </w:r>
            <w:r w:rsidR="006C02A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All screening has the potential to cause harm. Screening tests carry a risk of false results.</w:t>
            </w:r>
          </w:p>
          <w:p w:rsidR="002E4020" w:rsidRPr="00210BFD" w:rsidRDefault="002E4020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1B9" w:rsidRPr="00210BFD" w:rsidRDefault="00ED1910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This</w:t>
            </w:r>
            <w:r w:rsidR="008101B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policy 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is based on the</w:t>
            </w:r>
            <w:r w:rsidR="00900F4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National Screening Unit </w:t>
            </w:r>
            <w:r w:rsidR="0009498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(NSU) </w:t>
            </w:r>
            <w:r w:rsidR="00900F4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commitment to open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transparent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00F4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A607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timely </w:t>
            </w:r>
            <w:r w:rsidR="00900F4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communication with all consumers, their family and whanau.</w:t>
            </w:r>
            <w:r w:rsidR="0038599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Effective communication for </w:t>
            </w:r>
            <w:r w:rsidR="00C7744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="0038599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consumer commences </w:t>
            </w:r>
            <w:r w:rsidR="006D51B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at</w:t>
            </w:r>
            <w:r w:rsidR="0038599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beginning of an episode of </w:t>
            </w:r>
            <w:r w:rsidR="004C559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engagement in a screening programme</w:t>
            </w:r>
            <w:r w:rsidR="000E2BB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continues throughout the consumer</w:t>
            </w:r>
            <w:r w:rsidR="0038599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51B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health care </w:t>
            </w:r>
            <w:r w:rsidR="004C559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journey</w:t>
            </w:r>
            <w:r w:rsidR="00596E5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C02A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0F4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Open communication </w:t>
            </w:r>
            <w:r w:rsidR="007464A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consumers of NSU screening programmes 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include:</w:t>
            </w:r>
            <w:r w:rsidR="007464A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informed consent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7464A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right to effective communication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7464A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right to be fully informed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7464A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right to complain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7464A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464A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right to services of an appropriate standard</w:t>
            </w:r>
            <w:r w:rsidR="000E2BB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6C02AE" w:rsidRPr="00210BFD" w:rsidRDefault="006C02AE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4A18" w:rsidRPr="00210BFD" w:rsidRDefault="006A6070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NSU values consumer trust in the performance and quality of screening service provision. </w:t>
            </w:r>
            <w:r w:rsidR="00BA6F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 w:rsidR="00360C1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policy guides w</w:t>
            </w:r>
            <w:r w:rsidR="00333B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hen 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‘</w:t>
            </w:r>
            <w:r w:rsidR="00333B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disclosure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="00333B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required</w:t>
            </w:r>
            <w:r w:rsidR="00D241B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how it will be conducted</w:t>
            </w:r>
            <w:r w:rsidR="00333B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33B5C" w:rsidRPr="00210BFD" w:rsidRDefault="00333B5C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4A18" w:rsidRPr="00210BFD" w:rsidRDefault="00814A18" w:rsidP="006C02AE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This policy outlines the </w:t>
            </w:r>
            <w:r w:rsidR="00D241B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disclosure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process </w:t>
            </w:r>
            <w:r w:rsidR="00D241B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accordance with the </w:t>
            </w:r>
            <w:r w:rsidR="00B740DC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Code of Health and Disabi</w:t>
            </w:r>
            <w:r w:rsidR="002F5FAA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lity Services Consumers’ Rights,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the 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principles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set out in the Privacy Act 1993 and the </w:t>
            </w:r>
            <w:r w:rsidR="000C15E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rules set out in the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Information Privacy Code 1994.</w:t>
            </w:r>
          </w:p>
          <w:p w:rsidR="006321F3" w:rsidRPr="00210BFD" w:rsidRDefault="006321F3" w:rsidP="009A2FB1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A407C" w:rsidRPr="00210BFD" w:rsidRDefault="000F62DE" w:rsidP="009A2FB1">
            <w:pPr>
              <w:spacing w:before="12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Open Disclosure </w:t>
            </w:r>
          </w:p>
          <w:p w:rsidR="008B1A1A" w:rsidRPr="00210BFD" w:rsidRDefault="008B1A1A" w:rsidP="009A2FB1">
            <w:pPr>
              <w:spacing w:before="12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There </w:t>
            </w:r>
            <w:r w:rsidR="00F15BC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one open 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disclosure</w:t>
            </w:r>
            <w:r w:rsidR="00B740D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r w:rsidR="00D132F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outlined in the policy</w:t>
            </w:r>
            <w:r w:rsidR="008767A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D53850" w:rsidRPr="00210BFD" w:rsidRDefault="00D53850" w:rsidP="00D53850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15BC2" w:rsidRPr="00210BFD" w:rsidRDefault="00F15BC2" w:rsidP="00F15BC2">
            <w:pPr>
              <w:pStyle w:val="ListParagraph"/>
              <w:numPr>
                <w:ilvl w:val="0"/>
                <w:numId w:val="18"/>
              </w:numPr>
              <w:spacing w:before="120"/>
              <w:ind w:left="605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Open disclosure may be indicated at a time when an adverse event or </w:t>
            </w:r>
            <w:r w:rsidR="008767A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complaint </w:t>
            </w:r>
            <w:r w:rsidR="003175F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identities harm has occurred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within the NSU which involves administrative and support functions to </w:t>
            </w:r>
            <w:r w:rsidR="008767A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national screening programmes in its central agency role.</w:t>
            </w:r>
          </w:p>
          <w:p w:rsidR="00F15BC2" w:rsidRPr="00210BFD" w:rsidRDefault="00F15BC2" w:rsidP="00F15BC2">
            <w:pPr>
              <w:pStyle w:val="ListParagraph"/>
              <w:numPr>
                <w:ilvl w:val="0"/>
                <w:numId w:val="0"/>
              </w:numPr>
              <w:spacing w:before="120"/>
              <w:ind w:left="6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15BC2" w:rsidRPr="00210BFD" w:rsidRDefault="00F15BC2" w:rsidP="00F15BC2">
            <w:pPr>
              <w:pStyle w:val="ListParagraph"/>
              <w:numPr>
                <w:ilvl w:val="0"/>
                <w:numId w:val="0"/>
              </w:numPr>
              <w:spacing w:before="120"/>
              <w:ind w:left="65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NSU will lead the open disclosure process with a consumer (and with their representative) of the NSU screening service in accordance with the NSU </w:t>
            </w:r>
            <w:r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open communication policy. NSU will request support from a related provider if indicated.  </w:t>
            </w:r>
          </w:p>
          <w:p w:rsidR="00F15BC2" w:rsidRPr="00210BFD" w:rsidRDefault="00F15BC2" w:rsidP="00F15BC2">
            <w:pPr>
              <w:pStyle w:val="ListParagraph"/>
              <w:numPr>
                <w:ilvl w:val="0"/>
                <w:numId w:val="0"/>
              </w:numPr>
              <w:spacing w:before="120"/>
              <w:ind w:left="65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D766F" w:rsidRPr="00210BFD" w:rsidRDefault="00DD5955" w:rsidP="006C02AE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NSU will support a screening provider’s communication process when</w:t>
            </w:r>
            <w:r w:rsidR="006C02A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open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disclosure may be </w:t>
            </w:r>
            <w:r w:rsidR="008767A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required 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a time when </w:t>
            </w:r>
            <w:r w:rsidR="000532D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provider notifies NSU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an adverse event and or a complaint. Open disclosure </w:t>
            </w:r>
            <w:r w:rsidR="000532D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will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 conducted </w:t>
            </w:r>
            <w:r w:rsidR="000E2BB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by the 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NSU service provider.</w:t>
            </w:r>
            <w:r w:rsidR="00D53850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97AC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8D76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provider </w:t>
            </w:r>
            <w:r w:rsidR="00597AC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will lead the 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disclosure</w:t>
            </w:r>
            <w:r w:rsidR="00597AC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process 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a consumer 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D5385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their representative) 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of the NSU screening service</w:t>
            </w:r>
            <w:r w:rsidR="00597AC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accordance with the 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screening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provider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’s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open communication or </w:t>
            </w:r>
            <w:r w:rsidR="000E2BB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open </w:t>
            </w:r>
            <w:r w:rsidR="000F62D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disclosure policy</w:t>
            </w:r>
            <w:r w:rsidR="00597AC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3A254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NSU 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will</w:t>
            </w:r>
            <w:r w:rsidR="003A254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provide support to a </w:t>
            </w:r>
            <w:r w:rsidR="00637B8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provider if</w:t>
            </w:r>
            <w:r w:rsidR="003A254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indicated</w:t>
            </w:r>
            <w:r w:rsidR="0014444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15212" w:rsidRPr="00210BFD" w:rsidRDefault="00015212" w:rsidP="00D3382E">
            <w:pPr>
              <w:pStyle w:val="ListParagraph"/>
              <w:numPr>
                <w:ilvl w:val="0"/>
                <w:numId w:val="0"/>
              </w:numPr>
              <w:spacing w:before="120"/>
              <w:ind w:left="6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4A92" w:rsidRPr="00210BFD" w:rsidRDefault="007A4A92" w:rsidP="00FB79F4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____________________________________________________________________</w:t>
            </w:r>
          </w:p>
          <w:p w:rsidR="00C62B87" w:rsidRPr="00210BFD" w:rsidRDefault="00C62B87" w:rsidP="00FB79F4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E2BB2" w:rsidRPr="00210BFD" w:rsidRDefault="009A5A9A" w:rsidP="00FB79F4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There is an ethical </w:t>
            </w:r>
            <w:r w:rsidR="0014444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legislated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responsibility for </w:t>
            </w:r>
            <w:r w:rsidR="009B6EB4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providers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maintain honest and open communication with </w:t>
            </w:r>
            <w:r w:rsidR="009B6EB4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consumers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their family and </w:t>
            </w:r>
            <w:proofErr w:type="spellStart"/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carers</w:t>
            </w:r>
            <w:proofErr w:type="spellEnd"/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, especial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ly if </w:t>
            </w:r>
            <w:r w:rsidR="00D85C5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health 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care does</w:t>
            </w:r>
            <w:r w:rsidR="008767A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not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 to plan</w:t>
            </w:r>
            <w:r w:rsidR="0014444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7D583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when </w:t>
            </w:r>
            <w:r w:rsidR="0014444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harm has occurred. The provider must ensure an ‘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disclosure</w:t>
            </w:r>
            <w:r w:rsidR="00D85C5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D583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 that is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open, honest and timely </w:t>
            </w:r>
            <w:r w:rsidR="007D583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this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is import</w:t>
            </w:r>
            <w:r w:rsidR="0031275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ant to improving </w:t>
            </w:r>
            <w:r w:rsidR="007D583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consumer</w:t>
            </w:r>
            <w:r w:rsidR="0031275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safety</w:t>
            </w:r>
            <w:r w:rsidR="007D583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consumer recovery from harm</w:t>
            </w:r>
            <w:r w:rsidR="0031275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312757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  <w:r w:rsidR="00F00818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efer to Appendix </w:t>
            </w:r>
            <w:r w:rsidR="00144443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One</w:t>
            </w:r>
            <w:r w:rsidR="00C7744F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:rsidR="000E2BB2" w:rsidRPr="00210BFD" w:rsidRDefault="000E2BB2" w:rsidP="00FB79F4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E2BB2" w:rsidRPr="00210BFD" w:rsidRDefault="009A5A9A" w:rsidP="000E2BB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Open disclosure 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occurs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many areas of the health system</w:t>
            </w:r>
            <w:r w:rsidR="009B6EB4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9B6EB4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policy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forms </w:t>
            </w:r>
            <w:r w:rsidR="00C62B8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basis for consistent and effective communication following 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screening related </w:t>
            </w:r>
            <w:r w:rsidR="008767A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adverse event or </w:t>
            </w:r>
            <w:r w:rsidR="008767AB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="00E87D6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complaint</w:t>
            </w:r>
            <w:r w:rsidR="00AC060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where harm or possible harm has been identified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In creating an environment that </w:t>
            </w:r>
            <w:r w:rsidR="00AC060A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acknowledges </w:t>
            </w:r>
            <w:r w:rsidR="007D5832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harm, </w:t>
            </w:r>
            <w:r w:rsidR="00AC060A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we need </w:t>
            </w:r>
            <w:r w:rsidR="007D5832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to ensure </w:t>
            </w:r>
            <w:r w:rsidR="00E87D6F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system </w:t>
            </w:r>
            <w:r w:rsidR="000E2BB2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wide</w:t>
            </w:r>
            <w:r w:rsidR="008F4C8C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 learning </w:t>
            </w: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at the same time</w:t>
            </w:r>
            <w:r w:rsidR="009B6EB4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. </w:t>
            </w:r>
          </w:p>
          <w:p w:rsidR="00B247BE" w:rsidRPr="00210BFD" w:rsidRDefault="00B247BE" w:rsidP="000E2BB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</w:p>
          <w:p w:rsidR="009B6EB4" w:rsidRPr="00210BFD" w:rsidRDefault="009A5A9A" w:rsidP="000E2BB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Health service organisations need to foster a culture where people feel supported and are encouraged to identify and report adverse events so that opportunities for system improvements can be identified and acted on.</w:t>
            </w:r>
            <w:r w:rsidR="00312757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NZ"/>
              </w:rPr>
              <w:t xml:space="preserve"> </w:t>
            </w:r>
            <w:r w:rsidR="008C726E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NZ"/>
              </w:rPr>
              <w:t>Refer to Appendix Two.</w:t>
            </w:r>
          </w:p>
          <w:p w:rsidR="009A5A9A" w:rsidRPr="00210BFD" w:rsidRDefault="009A5A9A" w:rsidP="009B6EB4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Th</w:t>
            </w:r>
            <w:r w:rsidR="009B6EB4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is </w:t>
            </w:r>
            <w:r w:rsidR="00D101F7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includes</w:t>
            </w:r>
            <w:r w:rsidR="009B6EB4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 the following</w:t>
            </w:r>
            <w:r w:rsidR="00B90413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:</w:t>
            </w: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 </w:t>
            </w:r>
          </w:p>
          <w:p w:rsidR="009B6EB4" w:rsidRPr="00210BFD" w:rsidRDefault="009A5A9A" w:rsidP="009B6EB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7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Providing an environment where </w:t>
            </w:r>
            <w:r w:rsidR="009B6EB4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consumers, their family and carers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receive the information they ne</w:t>
            </w:r>
            <w:r w:rsidR="00D101F7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ed to understand what happened,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can contribute infor</w:t>
            </w:r>
            <w:r w:rsidR="009B6EB4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mation about the adverse event or a complaint a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nd, where possible and appropriate, parti</w:t>
            </w:r>
            <w:r w:rsidR="00D85C55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cipate in the review</w:t>
            </w:r>
            <w:r w:rsidR="00B90413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;</w:t>
            </w:r>
            <w:r w:rsidR="00F00818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</w:t>
            </w:r>
          </w:p>
          <w:p w:rsidR="009B6EB4" w:rsidRPr="00210BFD" w:rsidRDefault="009A5A9A" w:rsidP="009B6EB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7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Creating a culture where patients, their family and carers, clinicians an</w:t>
            </w:r>
            <w:r w:rsidR="00D85C55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d managers all feel supported</w:t>
            </w:r>
            <w:r w:rsidR="00B90413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;</w:t>
            </w:r>
          </w:p>
          <w:p w:rsidR="009B6EB4" w:rsidRPr="00210BFD" w:rsidRDefault="009A5A9A" w:rsidP="009B6EB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7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Integrating</w:t>
            </w:r>
            <w:r w:rsidR="00152C2D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the practice of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open disclosure with investigative process</w:t>
            </w:r>
            <w:r w:rsidR="00152C2D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to iden</w:t>
            </w:r>
            <w:r w:rsidR="00D101F7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tify why adverse events occur</w:t>
            </w:r>
            <w:r w:rsidR="00B90413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;</w:t>
            </w:r>
            <w:r w:rsidR="009B6EB4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</w:t>
            </w:r>
          </w:p>
          <w:p w:rsidR="003B1362" w:rsidRPr="00210BFD" w:rsidRDefault="009A5A9A" w:rsidP="003B136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7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Implementing the necessary changes in </w:t>
            </w:r>
            <w:r w:rsidR="00B90413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clinical care based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systems </w:t>
            </w:r>
            <w:r w:rsidR="00B90413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from </w:t>
            </w:r>
            <w:r w:rsidR="00D101F7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the lessons learned</w:t>
            </w:r>
            <w:r w:rsidR="00B90413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;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</w:t>
            </w:r>
          </w:p>
          <w:p w:rsidR="00FB47AA" w:rsidRPr="00210BFD" w:rsidRDefault="003B1362" w:rsidP="003B136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7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The mutually agreed o</w:t>
            </w:r>
            <w:r w:rsidR="00FB47AA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utcome</w:t>
            </w:r>
            <w:r w:rsidR="00A30982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(</w:t>
            </w:r>
            <w:r w:rsidR="00FB47AA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s</w:t>
            </w:r>
            <w:r w:rsidR="00A30982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)</w:t>
            </w:r>
            <w:r w:rsidR="00FB47AA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are</w:t>
            </w:r>
            <w:r w:rsidR="00FB47AA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used to inform </w:t>
            </w:r>
            <w:r w:rsidR="008D766F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quality </w:t>
            </w:r>
            <w:r w:rsidR="00FB47AA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improvement opportunities and risk mitigation plans</w:t>
            </w:r>
            <w:r w:rsidR="00A30982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>.</w:t>
            </w:r>
            <w:r w:rsidR="00FB47AA" w:rsidRPr="00210BFD">
              <w:rPr>
                <w:rFonts w:ascii="Arial" w:hAnsi="Arial" w:cs="Arial"/>
                <w:color w:val="000000" w:themeColor="text1"/>
                <w:sz w:val="20"/>
                <w:szCs w:val="20"/>
                <w:lang w:val="en-NZ"/>
              </w:rPr>
              <w:t xml:space="preserve"> </w:t>
            </w:r>
          </w:p>
          <w:p w:rsidR="00AB31AD" w:rsidRPr="00210BFD" w:rsidRDefault="00D05B89" w:rsidP="009B6EB4">
            <w:pPr>
              <w:spacing w:before="120"/>
              <w:ind w:left="0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</w:t>
            </w:r>
            <w:r w:rsidR="00AB31AD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_________________________________________________________________</w:t>
            </w:r>
          </w:p>
          <w:p w:rsidR="007A4A92" w:rsidRPr="00210BFD" w:rsidRDefault="007A4A92" w:rsidP="00841CC6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National Screening Unit Group Manager</w:t>
            </w:r>
            <w:r w:rsidR="00812D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7A4A92" w:rsidRPr="00210BFD" w:rsidRDefault="007A4A92" w:rsidP="00841CC6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Clinical Director Screening</w:t>
            </w:r>
          </w:p>
          <w:p w:rsidR="00AB31AD" w:rsidRPr="00210BFD" w:rsidRDefault="007A4A92" w:rsidP="00841CC6">
            <w:pPr>
              <w:spacing w:before="120"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</w:t>
            </w:r>
          </w:p>
          <w:p w:rsidR="007A4A92" w:rsidRPr="00210BFD" w:rsidRDefault="007A4A92" w:rsidP="00841CC6">
            <w:pPr>
              <w:pStyle w:val="BlockText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1CC6" w:rsidRPr="00210BFD" w:rsidRDefault="007A4A92" w:rsidP="00841CC6">
            <w:pPr>
              <w:pStyle w:val="BlockText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This policy applies to all NSU staff and </w:t>
            </w:r>
            <w:r w:rsidR="00841CC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contractors</w:t>
            </w:r>
          </w:p>
          <w:p w:rsidR="007A4A92" w:rsidRPr="00210BFD" w:rsidRDefault="007A4A92" w:rsidP="00841CC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policy applies to all NSU service providers.</w:t>
            </w:r>
          </w:p>
          <w:p w:rsidR="007A4A92" w:rsidRPr="00210BFD" w:rsidRDefault="007A4A92" w:rsidP="008B1A1A">
            <w:pPr>
              <w:spacing w:before="120" w:after="120"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</w:t>
            </w:r>
          </w:p>
          <w:p w:rsidR="008B1A1A" w:rsidRPr="00210BFD" w:rsidRDefault="008B1A1A" w:rsidP="008B1A1A">
            <w:pPr>
              <w:spacing w:before="120" w:after="120"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NSU and screening programme providers will ensure a </w:t>
            </w:r>
            <w:r w:rsidR="002E402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principle-based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approach to </w:t>
            </w:r>
            <w:r w:rsidR="000B7D3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EF16F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disclosure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process: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Open communication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consumers, their families and whanau </w:t>
            </w:r>
            <w:r w:rsidR="0024015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that is</w:t>
            </w:r>
            <w:r w:rsidR="00A27A4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appropriate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Transparency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achieved so that open disclosure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D6661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 discussion on the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7F7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or complaint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B136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conducted in a transparent and open manner with consumer </w:t>
            </w:r>
            <w:r w:rsidR="00D6661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3B136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</w:t>
            </w:r>
            <w:r w:rsidR="00A27A4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participating </w:t>
            </w:r>
            <w:r w:rsidR="00D6661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staff 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Timely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acknowledgement when </w:t>
            </w:r>
            <w:r w:rsidR="00C335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actual or potential harm is identified 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must </w:t>
            </w:r>
            <w:r w:rsidR="00C335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occur with the c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onsumer and their support </w:t>
            </w:r>
            <w:r w:rsidR="002A7F7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soon</w:t>
            </w:r>
            <w:r w:rsidR="002A7F7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as possible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Fairness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staff, consumers and support people involved in </w:t>
            </w:r>
            <w:r w:rsidR="002F564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complaints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entitled to fair treatment</w:t>
            </w:r>
            <w:r w:rsidR="00D6661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E6263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a ‘just culture’</w:t>
            </w:r>
            <w:r w:rsidR="004D697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263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approach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Systems approach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7F7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taken </w:t>
            </w:r>
            <w:r w:rsidR="008331D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and not a blame, shame and name approach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Quality improvements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actions are implemented to improve NSU and provider systems, processes and to reduce risk of recurrence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Monitoring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agreed </w:t>
            </w:r>
            <w:r w:rsidR="00A27A4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corrective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actions arising from </w:t>
            </w:r>
            <w:r w:rsidR="008331D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harm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be conducted </w:t>
            </w:r>
            <w:r w:rsidR="008331D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by the NSU and screening provider to measure progress </w:t>
            </w:r>
            <w:r w:rsidR="00A3098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2A7F7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minimise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risk of recurrence</w:t>
            </w:r>
          </w:p>
          <w:p w:rsidR="008B1A1A" w:rsidRPr="00210BFD" w:rsidRDefault="008B1A1A" w:rsidP="008B1A1A">
            <w:pPr>
              <w:numPr>
                <w:ilvl w:val="0"/>
                <w:numId w:val="12"/>
              </w:numPr>
              <w:spacing w:before="120" w:line="276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Lessons learned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shared with the sector to reduce the possibility of recurrence or ensure prevention</w:t>
            </w:r>
          </w:p>
          <w:p w:rsidR="00AB31AD" w:rsidRPr="00210BFD" w:rsidRDefault="008B1A1A" w:rsidP="00AB31AD">
            <w:pPr>
              <w:numPr>
                <w:ilvl w:val="0"/>
                <w:numId w:val="12"/>
              </w:numPr>
              <w:spacing w:before="120"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Support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331D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will be offered to all parties involved in an open disclosure process</w:t>
            </w:r>
            <w:r w:rsidR="002F5640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FB47AA" w:rsidRPr="00210BFD" w:rsidRDefault="00D05B89" w:rsidP="00C96CF6">
            <w:pPr>
              <w:spacing w:before="120"/>
              <w:ind w:left="0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________________________________________</w:t>
            </w:r>
            <w:r w:rsidR="00833C72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</w:t>
            </w:r>
            <w:r w:rsidR="00AB31AD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</w:t>
            </w:r>
          </w:p>
          <w:p w:rsidR="0006390C" w:rsidRPr="00210BFD" w:rsidRDefault="0006390C" w:rsidP="0006390C">
            <w:pPr>
              <w:spacing w:before="120" w:line="276" w:lineRule="auto"/>
              <w:ind w:left="0" w:right="-79" w:firstLine="0"/>
              <w:jc w:val="left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All screening has the potential to cause harm. Screening tests carry a risk of false results.</w:t>
            </w:r>
          </w:p>
          <w:p w:rsidR="0006390C" w:rsidRPr="00210BFD" w:rsidRDefault="0006390C" w:rsidP="0006390C">
            <w:pPr>
              <w:spacing w:before="120" w:line="276" w:lineRule="auto"/>
              <w:ind w:left="0" w:right="-79" w:firstLine="0"/>
              <w:jc w:val="left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A false-negative result is when a person who does have the condition is put into the group of people who have a lower chance of having the condition. False-negatives can provide false reassurance.</w:t>
            </w:r>
          </w:p>
          <w:p w:rsidR="0006390C" w:rsidRPr="00210BFD" w:rsidRDefault="0006390C" w:rsidP="0006390C">
            <w:pPr>
              <w:spacing w:before="120" w:line="276" w:lineRule="auto"/>
              <w:ind w:left="0" w:right="-79" w:firstLine="0"/>
              <w:jc w:val="left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A false positive is when a person who does not have the condition is put into the group of people who have an increased chance of having the condition. False-positives can result in increased anxiety and referral for diagnostic tests.</w:t>
            </w:r>
          </w:p>
          <w:p w:rsidR="0006390C" w:rsidRPr="00210BFD" w:rsidRDefault="0006390C" w:rsidP="0006390C">
            <w:pPr>
              <w:spacing w:before="120" w:line="276" w:lineRule="auto"/>
              <w:ind w:left="0" w:right="-79" w:firstLine="0"/>
              <w:jc w:val="left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The national screening programmes are delivered by many screening service providers. The NSU and national screening programme providers have a joint responsibility to ensure that all people who are part of the screening pathway receive high quality care where the risk of harm is minimised.  </w:t>
            </w:r>
          </w:p>
          <w:p w:rsidR="00270F9C" w:rsidRPr="00210BFD" w:rsidRDefault="003D5D07" w:rsidP="0006390C">
            <w:pPr>
              <w:spacing w:before="120" w:line="276" w:lineRule="auto"/>
              <w:ind w:left="0" w:right="-79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lastRenderedPageBreak/>
              <w:t xml:space="preserve">NSU expects all staff 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screening providers </w:t>
            </w: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to </w:t>
            </w:r>
            <w:r w:rsidR="000114E6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participate</w:t>
            </w: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 in open communication with consumers, and their family/ whanau/ support person</w:t>
            </w:r>
            <w:r w:rsidR="000114E6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(s), as part of their normal </w:t>
            </w: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work place </w:t>
            </w:r>
            <w:r w:rsidR="000114E6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>practice</w:t>
            </w:r>
            <w:r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, and in accordance </w:t>
            </w:r>
            <w:r w:rsidR="00D85705" w:rsidRPr="00210B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NZ"/>
              </w:rPr>
              <w:t xml:space="preserve">with the </w:t>
            </w:r>
            <w:r w:rsidR="001660C7" w:rsidRPr="00210BFD">
              <w:rPr>
                <w:rFonts w:ascii="Arial" w:eastAsiaTheme="minorHAnsi" w:hAnsi="Arial" w:cs="Arial"/>
                <w:i/>
                <w:color w:val="000000" w:themeColor="text1"/>
                <w:sz w:val="20"/>
                <w:szCs w:val="20"/>
                <w:lang w:val="en-NZ"/>
              </w:rPr>
              <w:t>H</w:t>
            </w:r>
            <w:proofErr w:type="spellStart"/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ealth</w:t>
            </w:r>
            <w:proofErr w:type="spellEnd"/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Disability Commission</w:t>
            </w:r>
            <w:r w:rsidR="002E18BE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er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E18BE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Code of Health and Disability Services Consumers</w:t>
            </w:r>
            <w:r w:rsidR="002E18BE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’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Rights</w:t>
            </w:r>
            <w:r w:rsidR="007F069A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) Regulations 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1996</w:t>
            </w:r>
            <w:r w:rsidR="00C3462D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C3462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including section 3 on provider compliance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give effects to the rights and comply with the duties set out in the Code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D5D07" w:rsidRPr="00210BFD" w:rsidRDefault="003D5D07" w:rsidP="000114E6">
            <w:pPr>
              <w:spacing w:before="120" w:line="276" w:lineRule="auto"/>
              <w:ind w:left="0" w:right="-79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NSU staff and 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creening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providers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to ensure ‘open disclosure’ is provided whenever a 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consumer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participating in a screening 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programme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has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E45E52" w:rsidRPr="00210BFD" w:rsidRDefault="00E45E52" w:rsidP="000114E6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right="-7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Suffered any harm while participating in a screening programme</w:t>
            </w:r>
          </w:p>
          <w:p w:rsidR="00E45E52" w:rsidRPr="00210BFD" w:rsidRDefault="006C54AE" w:rsidP="000114E6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right="-7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Been e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xposed to possible harm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resulting from a system 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error (mistake) that affected the consumer’s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outcome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17F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E45E5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may not be immediately apparent</w:t>
            </w:r>
          </w:p>
          <w:p w:rsidR="00556787" w:rsidRPr="00210BFD" w:rsidRDefault="00E45E52" w:rsidP="00556787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right="-7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Had their privacy breached, including information being mistakenly shared </w:t>
            </w:r>
            <w:r w:rsidR="00EF16F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the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wrong person, 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including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health service providers or health professional</w:t>
            </w:r>
          </w:p>
          <w:p w:rsidR="00556787" w:rsidRPr="00210BFD" w:rsidRDefault="00556787" w:rsidP="00556787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right="-7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System and </w:t>
            </w:r>
            <w:r w:rsidR="00EF16F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process-based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acts</w:t>
            </w:r>
            <w:r w:rsidR="002D4E8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2D4E8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omission 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leading to harm</w:t>
            </w:r>
            <w:r w:rsidR="00B4746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an individual</w:t>
            </w:r>
          </w:p>
          <w:p w:rsidR="00556787" w:rsidRPr="00210BFD" w:rsidRDefault="00556787" w:rsidP="00556787">
            <w:pPr>
              <w:pStyle w:val="ListParagraph"/>
              <w:numPr>
                <w:ilvl w:val="0"/>
                <w:numId w:val="0"/>
              </w:numPr>
              <w:spacing w:before="120" w:line="276" w:lineRule="auto"/>
              <w:ind w:right="-7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70F9C" w:rsidRPr="00210BFD" w:rsidRDefault="00B247BE" w:rsidP="007F069A">
            <w:pPr>
              <w:pStyle w:val="BlockText"/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Consumers </w:t>
            </w:r>
            <w:r w:rsidR="00270F9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the right to </w:t>
            </w:r>
            <w:r w:rsidR="00B4746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whanau support and </w:t>
            </w:r>
            <w:r w:rsidR="00270F9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health advocate at any stage during 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their care and </w:t>
            </w:r>
            <w:r w:rsidR="00000A1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70F9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open disclosure </w:t>
            </w:r>
            <w:r w:rsidR="00270F9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r w:rsidR="00000A1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270F9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746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as well as</w:t>
            </w:r>
            <w:r w:rsidR="00270F9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270F9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right to access Health &amp; Disability Commissioner or Health &amp; Disability Advocacy Service</w:t>
            </w:r>
            <w:r w:rsidR="00721873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86240D" w:rsidRPr="00A258A0" w:rsidTr="00270F9C">
        <w:trPr>
          <w:trHeight w:val="80"/>
        </w:trPr>
        <w:tc>
          <w:tcPr>
            <w:tcW w:w="1555" w:type="dxa"/>
            <w:shd w:val="clear" w:color="auto" w:fill="auto"/>
          </w:tcPr>
          <w:p w:rsidR="0086240D" w:rsidRPr="00A258A0" w:rsidRDefault="0086240D" w:rsidP="0086240D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7925" w:type="dxa"/>
            <w:shd w:val="clear" w:color="auto" w:fill="auto"/>
          </w:tcPr>
          <w:p w:rsidR="00650982" w:rsidRPr="00650982" w:rsidRDefault="00270F9C" w:rsidP="00270F9C">
            <w:pPr>
              <w:pStyle w:val="BlockTex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</w:t>
            </w:r>
          </w:p>
        </w:tc>
      </w:tr>
    </w:tbl>
    <w:p w:rsidR="009A2FB1" w:rsidRPr="004B1C8C" w:rsidRDefault="009A2FB1" w:rsidP="009A2FB1">
      <w:pPr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59"/>
        <w:gridCol w:w="7741"/>
        <w:gridCol w:w="421"/>
      </w:tblGrid>
      <w:tr w:rsidR="009A2FB1" w:rsidRPr="00C85668" w:rsidTr="009E0F5E">
        <w:trPr>
          <w:gridBefore w:val="1"/>
          <w:gridAfter w:val="1"/>
          <w:wBefore w:w="34" w:type="dxa"/>
          <w:wAfter w:w="421" w:type="dxa"/>
        </w:trPr>
        <w:tc>
          <w:tcPr>
            <w:tcW w:w="1668" w:type="dxa"/>
            <w:shd w:val="clear" w:color="auto" w:fill="auto"/>
          </w:tcPr>
          <w:p w:rsidR="009A2FB1" w:rsidRPr="00754A1C" w:rsidRDefault="00754A1C" w:rsidP="00754A1C">
            <w:pPr>
              <w:ind w:left="28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54A1C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 xml:space="preserve">       </w:t>
            </w:r>
            <w:r w:rsidR="009A2FB1" w:rsidRPr="00754A1C"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98555B">
            <w:pPr>
              <w:pStyle w:val="Heading5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W w:w="9468" w:type="dxa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7740"/>
            </w:tblGrid>
            <w:tr w:rsidR="009A2FB1" w:rsidRPr="00754A1C" w:rsidTr="00A622C9">
              <w:trPr>
                <w:trHeight w:val="245"/>
              </w:trPr>
              <w:tc>
                <w:tcPr>
                  <w:tcW w:w="1728" w:type="dxa"/>
                  <w:shd w:val="clear" w:color="auto" w:fill="auto"/>
                </w:tcPr>
                <w:p w:rsidR="009A2FB1" w:rsidRPr="00754A1C" w:rsidRDefault="009A2FB1" w:rsidP="002E1F2E">
                  <w:pPr>
                    <w:pStyle w:val="Heading5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color w:val="FF0000"/>
                      <w:szCs w:val="22"/>
                    </w:rPr>
                  </w:pPr>
                </w:p>
              </w:tc>
              <w:tc>
                <w:tcPr>
                  <w:tcW w:w="7740" w:type="dxa"/>
                  <w:shd w:val="clear" w:color="auto" w:fill="auto"/>
                </w:tcPr>
                <w:p w:rsidR="009A2FB1" w:rsidRPr="00754A1C" w:rsidRDefault="009A2FB1" w:rsidP="002E1F2E">
                  <w:pPr>
                    <w:pStyle w:val="Block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3F542D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F542D">
              <w:rPr>
                <w:rFonts w:ascii="Arial" w:hAnsi="Arial" w:cs="Arial"/>
                <w:color w:val="000000" w:themeColor="text1"/>
                <w:sz w:val="20"/>
              </w:rPr>
              <w:t>Definitions</w:t>
            </w: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754A1C" w:rsidRDefault="009A2FB1" w:rsidP="001B6E49">
            <w:pPr>
              <w:pStyle w:val="Heading5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A2FB1" w:rsidRPr="009E0F5E" w:rsidRDefault="009A2FB1" w:rsidP="00D91A3E">
            <w:pPr>
              <w:pStyle w:val="Heading5"/>
              <w:ind w:left="0" w:firstLine="0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9E0F5E">
              <w:rPr>
                <w:rFonts w:ascii="Arial" w:hAnsi="Arial" w:cs="Arial"/>
                <w:color w:val="000000" w:themeColor="text1"/>
                <w:sz w:val="20"/>
              </w:rPr>
              <w:t xml:space="preserve">Process </w:t>
            </w:r>
          </w:p>
        </w:tc>
        <w:tc>
          <w:tcPr>
            <w:tcW w:w="7800" w:type="dxa"/>
            <w:gridSpan w:val="2"/>
            <w:shd w:val="clear" w:color="auto" w:fill="auto"/>
          </w:tcPr>
          <w:p w:rsidR="009A2FB1" w:rsidRPr="00210BFD" w:rsidRDefault="009A2FB1" w:rsidP="005B77E4">
            <w:pPr>
              <w:spacing w:line="276" w:lineRule="auto"/>
              <w:ind w:left="36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The following points will assist in the interpretation and use of the NSU 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open communication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policy.</w:t>
            </w:r>
          </w:p>
          <w:p w:rsidR="009A2FB1" w:rsidRPr="00210BFD" w:rsidRDefault="009A2FB1" w:rsidP="007B6D77">
            <w:pPr>
              <w:pStyle w:val="ListParagraph"/>
              <w:numPr>
                <w:ilvl w:val="0"/>
                <w:numId w:val="11"/>
              </w:numPr>
              <w:spacing w:before="120" w:line="276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This policy is to inform the response actions and responsibilities of NSU </w:t>
            </w:r>
            <w:r w:rsidR="00EF16F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staff and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NSU 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screening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providers 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to support ongoing open communication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when indicate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d,</w:t>
            </w:r>
            <w:r w:rsidR="00754A1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 open disclosure process 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an affected</w:t>
            </w:r>
            <w:r w:rsidR="00E26E0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screening programme consumers</w:t>
            </w:r>
          </w:p>
          <w:p w:rsidR="007B6D77" w:rsidRPr="00210BFD" w:rsidRDefault="007B6D77" w:rsidP="007B6D77">
            <w:pPr>
              <w:pStyle w:val="ListParagraph"/>
              <w:numPr>
                <w:ilvl w:val="0"/>
                <w:numId w:val="0"/>
              </w:numPr>
              <w:spacing w:before="120" w:line="276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A2FB1" w:rsidRPr="00210BFD" w:rsidRDefault="009A2FB1" w:rsidP="00754A1C">
            <w:pPr>
              <w:pStyle w:val="ListParagraph"/>
              <w:numPr>
                <w:ilvl w:val="0"/>
                <w:numId w:val="11"/>
              </w:numPr>
              <w:spacing w:before="120" w:line="276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policy does not outline the detail of the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screening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service provider response as the provider’s response actions will be guided and conducted according to the provider</w:t>
            </w:r>
            <w:r w:rsidR="0075505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’s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communication (disclosure) policy and procedures</w:t>
            </w:r>
          </w:p>
          <w:p w:rsidR="00754A1C" w:rsidRPr="00210BFD" w:rsidRDefault="00754A1C" w:rsidP="00754A1C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14E6" w:rsidRPr="00210BFD" w:rsidRDefault="000114E6" w:rsidP="000114E6">
            <w:pPr>
              <w:pStyle w:val="ListParagraph"/>
              <w:numPr>
                <w:ilvl w:val="0"/>
                <w:numId w:val="11"/>
              </w:numPr>
              <w:spacing w:before="120" w:line="276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disclosure of harm or possible harm is not about attributing blame</w:t>
            </w:r>
          </w:p>
          <w:p w:rsidR="000114E6" w:rsidRPr="00210BFD" w:rsidRDefault="000114E6" w:rsidP="000114E6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26E0D" w:rsidRPr="00210BFD" w:rsidRDefault="00754A1C" w:rsidP="000114E6">
            <w:pPr>
              <w:pStyle w:val="ListParagraph"/>
              <w:numPr>
                <w:ilvl w:val="0"/>
                <w:numId w:val="11"/>
              </w:numPr>
              <w:spacing w:before="120" w:line="276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Research 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est practice</w:t>
            </w:r>
            <w:r w:rsidR="00114F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has 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indicate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that </w:t>
            </w:r>
            <w:r w:rsidR="00114F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affected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D10B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consume</w:t>
            </w:r>
            <w:r w:rsidR="00114F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0114E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4F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following factors in the open disclosure process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754A1C" w:rsidRPr="00210BFD" w:rsidRDefault="007B6D77" w:rsidP="00307F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Acknowledgment, regret and empathy</w:t>
            </w:r>
          </w:p>
          <w:p w:rsidR="007B6D77" w:rsidRPr="00210BFD" w:rsidRDefault="007B6D77" w:rsidP="00307F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Information; early, repeated and progressive</w:t>
            </w:r>
          </w:p>
          <w:p w:rsidR="007B6D77" w:rsidRPr="00210BFD" w:rsidRDefault="007B6D77" w:rsidP="00307F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 care plan and discussion as to the extent of recovery</w:t>
            </w:r>
            <w:r w:rsidR="00307F6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the harm event</w:t>
            </w:r>
          </w:p>
          <w:p w:rsidR="007B6D77" w:rsidRPr="00210BFD" w:rsidRDefault="007B6D77" w:rsidP="00307F6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Prevention of recurrence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has been lea</w:t>
            </w:r>
            <w:r w:rsidR="00210BF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10BF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how it will prevent the occurrence of a similar situation</w:t>
            </w:r>
          </w:p>
          <w:p w:rsidR="00163356" w:rsidRPr="00210BFD" w:rsidRDefault="00163356" w:rsidP="00163356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A2FB1" w:rsidRPr="00210BFD" w:rsidRDefault="00307F6E" w:rsidP="00307F6E">
            <w:pPr>
              <w:pStyle w:val="ListParagraph"/>
              <w:numPr>
                <w:ilvl w:val="0"/>
                <w:numId w:val="29"/>
              </w:numPr>
              <w:spacing w:before="120" w:line="276" w:lineRule="auto"/>
              <w:ind w:left="7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The </w:t>
            </w:r>
            <w:r w:rsidR="001633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Disability Commi</w:t>
            </w:r>
            <w:r w:rsidR="001633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ssioner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069A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(HDC) </w:t>
            </w:r>
            <w:r w:rsidR="001633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document </w:t>
            </w:r>
            <w:r w:rsidR="00163356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Guidance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on </w:t>
            </w:r>
            <w:r w:rsidR="00163356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pen </w:t>
            </w:r>
            <w:r w:rsidR="00163356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isclosure </w:t>
            </w:r>
            <w:r w:rsidR="00163356"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</w:t>
            </w:r>
            <w:r w:rsidRPr="00210BF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olicies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a useful guide for all screening providers in preparing their open communication </w:t>
            </w:r>
            <w:r w:rsidR="001633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(disclosure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policy and is </w:t>
            </w:r>
            <w:r w:rsidR="001633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available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the HDC website</w:t>
            </w:r>
          </w:p>
          <w:p w:rsidR="00163356" w:rsidRPr="00210BFD" w:rsidRDefault="00163356" w:rsidP="00163356">
            <w:pPr>
              <w:pStyle w:val="ListParagraph"/>
              <w:numPr>
                <w:ilvl w:val="0"/>
                <w:numId w:val="0"/>
              </w:numPr>
              <w:spacing w:before="120" w:line="276" w:lineRule="auto"/>
              <w:ind w:left="7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63356" w:rsidRPr="00210BFD" w:rsidRDefault="00163356" w:rsidP="00163356">
            <w:pPr>
              <w:pStyle w:val="ListParagraph"/>
              <w:numPr>
                <w:ilvl w:val="0"/>
                <w:numId w:val="31"/>
              </w:numPr>
              <w:spacing w:before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It may be appropriate for an early initial disclosure to occur, followed by a more detailed discussion with a consumer once the investigation into the adverse event or complaint is complete</w:t>
            </w:r>
          </w:p>
          <w:p w:rsidR="00163356" w:rsidRPr="00210BFD" w:rsidRDefault="00163356" w:rsidP="00163356">
            <w:pPr>
              <w:pStyle w:val="ListParagraph"/>
              <w:numPr>
                <w:ilvl w:val="0"/>
                <w:numId w:val="0"/>
              </w:numPr>
              <w:spacing w:before="120" w:line="276" w:lineRule="auto"/>
              <w:ind w:left="7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103A7" w:rsidRPr="00210BFD" w:rsidRDefault="00163356" w:rsidP="00307F6E">
            <w:pPr>
              <w:pStyle w:val="ListParagraph"/>
              <w:numPr>
                <w:ilvl w:val="0"/>
                <w:numId w:val="29"/>
              </w:numPr>
              <w:spacing w:before="120" w:line="276" w:lineRule="auto"/>
              <w:ind w:left="7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Support and preparation of the staff who will conduct open disclosure is key to a 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open disclosure process. This can be supported by a</w:t>
            </w:r>
            <w:r w:rsidR="00114F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n early debrief so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team </w:t>
            </w:r>
            <w:r w:rsidR="00114F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can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reflect on the situation which at times </w:t>
            </w:r>
            <w:r w:rsidR="00114F56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emotionally charged</w:t>
            </w:r>
          </w:p>
          <w:p w:rsidR="009103A7" w:rsidRPr="00210BFD" w:rsidRDefault="009103A7" w:rsidP="009103A7">
            <w:pPr>
              <w:pStyle w:val="ListParagraph"/>
              <w:numPr>
                <w:ilvl w:val="0"/>
                <w:numId w:val="0"/>
              </w:numPr>
              <w:spacing w:before="120" w:line="276" w:lineRule="auto"/>
              <w:ind w:left="7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103A7" w:rsidRPr="00210BFD" w:rsidRDefault="000B539E" w:rsidP="00307F6E">
            <w:pPr>
              <w:pStyle w:val="ListParagraph"/>
              <w:numPr>
                <w:ilvl w:val="0"/>
                <w:numId w:val="29"/>
              </w:numPr>
              <w:spacing w:before="120" w:line="276" w:lineRule="auto"/>
              <w:ind w:left="7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It is nece</w:t>
            </w:r>
            <w:r w:rsidR="00D85705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ssary to p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lan for </w:t>
            </w:r>
            <w:r w:rsidR="00C3462D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enough 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dedicated time for all team members to prepare an open disclosure event and </w:t>
            </w:r>
            <w:r w:rsidR="00AA2F3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assign 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adequate time to meet with the consumer</w:t>
            </w:r>
            <w:r w:rsidR="00AA2F3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103A7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whanau and support person</w:t>
            </w:r>
            <w:r w:rsidR="00AA2F39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A2FB1" w:rsidRPr="00210BFD" w:rsidRDefault="009A2FB1" w:rsidP="001B6E49">
            <w:pPr>
              <w:pStyle w:val="TableText"/>
              <w:ind w:left="0" w:right="38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</w:rPr>
              <w:t>___________________________________________________________</w:t>
            </w:r>
          </w:p>
          <w:p w:rsidR="009A2FB1" w:rsidRPr="00210BFD" w:rsidRDefault="009A2FB1" w:rsidP="001B6E49">
            <w:pPr>
              <w:pStyle w:val="TableText"/>
              <w:ind w:left="0" w:right="38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A2FB1" w:rsidRPr="00210BFD" w:rsidRDefault="009A2FB1" w:rsidP="00E57749">
            <w:pPr>
              <w:pStyle w:val="TableText"/>
              <w:ind w:firstLine="101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</w:rPr>
              <w:t>The following definitions apply to this policy, unless otherwise stated.</w:t>
            </w:r>
          </w:p>
          <w:p w:rsidR="009A2FB1" w:rsidRPr="00210BFD" w:rsidRDefault="009A2FB1" w:rsidP="001B6E49">
            <w:pPr>
              <w:pStyle w:val="TableText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tbl>
            <w:tblPr>
              <w:tblStyle w:val="TableGrid"/>
              <w:tblW w:w="753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103"/>
            </w:tblGrid>
            <w:tr w:rsidR="00210BFD" w:rsidRPr="00210BFD" w:rsidTr="00A622C9">
              <w:tc>
                <w:tcPr>
                  <w:tcW w:w="2435" w:type="dxa"/>
                  <w:shd w:val="clear" w:color="auto" w:fill="D9D9D9" w:themeFill="background1" w:themeFillShade="D9"/>
                </w:tcPr>
                <w:p w:rsidR="009A2FB1" w:rsidRPr="00210BFD" w:rsidRDefault="009A2FB1" w:rsidP="002E1F2E">
                  <w:pPr>
                    <w:pStyle w:val="TableHeader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>Word or phrase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</w:tcPr>
                <w:p w:rsidR="009A2FB1" w:rsidRPr="00210BFD" w:rsidRDefault="009A2FB1" w:rsidP="002E1F2E">
                  <w:pPr>
                    <w:pStyle w:val="TableHeader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>Definition</w:t>
                  </w:r>
                </w:p>
              </w:tc>
            </w:tr>
            <w:tr w:rsidR="00210BFD" w:rsidRPr="00210BFD" w:rsidTr="00A622C9"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Active Complaint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</w:pP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A complaint that has been received by NSU or NSU provider or Health and Disability Commissioner (HDC); the investigation/ response is </w:t>
                  </w:r>
                  <w:r w:rsidR="00114F56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underway,</w:t>
                  </w: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 and a final resolution has not been reached.</w:t>
                  </w:r>
                </w:p>
              </w:tc>
            </w:tr>
            <w:tr w:rsidR="00210BFD" w:rsidRPr="00210BFD" w:rsidTr="00A622C9"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Closed Complaint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</w:pP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A complaint that is either resolved to the satisfaction of the Complainant (as evidenced by no notification to the contrary) within 10 working days of receiving the complainant receiving the response</w:t>
                  </w:r>
                </w:p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</w:pP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O</w:t>
                  </w:r>
                  <w:r w:rsidR="00114F56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r</w:t>
                  </w:r>
                </w:p>
                <w:p w:rsidR="00411C1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</w:pP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A complaint where the Complainant has been referred to the Health and Disability Commissioner (HDC) and resolved to the satisfaction of the complainant with contributio</w:t>
                  </w:r>
                  <w:r w:rsidR="00333B5C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n from NSU and or the provider.</w:t>
                  </w:r>
                </w:p>
              </w:tc>
            </w:tr>
            <w:tr w:rsidR="00210BFD" w:rsidRPr="00210BFD" w:rsidTr="00A622C9"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Complaint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</w:pP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A complaint is any expression of dissatisfaction or unhappiness about a particular action, service or decision that is received from an external source, and that requires a response from NSU and or HSU provider. Complaints are managed in accordance with the Code of Health and Disability Services </w:t>
                  </w:r>
                  <w:r w:rsidR="00D32ED2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(Code of Health and Disability </w:t>
                  </w:r>
                  <w:r w:rsidR="002E18BE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Consumer</w:t>
                  </w: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s</w:t>
                  </w:r>
                  <w:r w:rsidR="002E18BE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’</w:t>
                  </w: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 Rights</w:t>
                  </w:r>
                  <w:r w:rsidR="007F069A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) Regulations</w:t>
                  </w: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 1996.</w:t>
                  </w:r>
                </w:p>
              </w:tc>
            </w:tr>
            <w:tr w:rsidR="00210BFD" w:rsidRPr="00210BFD" w:rsidTr="00A622C9"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Consumer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Cs w:val="20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It is the person who uses/receives health and disability services, or their representative.</w:t>
                  </w:r>
                  <w:r w:rsidR="00114F56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 For the purposes of this policy a consumer </w:t>
                  </w:r>
                  <w:r w:rsidR="002E18BE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includes </w:t>
                  </w:r>
                  <w:r w:rsidR="00114F56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a screening participant, client, </w:t>
                  </w:r>
                  <w:r w:rsidR="002E18BE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or </w:t>
                  </w:r>
                  <w:r w:rsidR="00114F56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patient.</w:t>
                  </w:r>
                </w:p>
              </w:tc>
            </w:tr>
            <w:tr w:rsidR="00210BFD" w:rsidRPr="00210BFD" w:rsidTr="00B5645F">
              <w:trPr>
                <w:trHeight w:val="552"/>
              </w:trPr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Just Culture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411C11" w:rsidRPr="00210BFD" w:rsidRDefault="008C726E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lang w:val="en-NZ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  <w:lang w:val="en-NZ"/>
                    </w:rPr>
                    <w:t>A culture that recognise</w:t>
                  </w:r>
                  <w:r w:rsidR="00411C11" w:rsidRPr="00210BFD">
                    <w:rPr>
                      <w:rFonts w:ascii="Arial" w:hAnsi="Arial" w:cs="Arial"/>
                      <w:color w:val="000000" w:themeColor="text1"/>
                      <w:lang w:val="en-NZ"/>
                    </w:rPr>
                    <w:t xml:space="preserve">s that individual practitioners should not be held accountable for system failings over which they have no control. A just culture also </w:t>
                  </w:r>
                  <w:r w:rsidR="00411C11" w:rsidRPr="00210BFD">
                    <w:rPr>
                      <w:rFonts w:ascii="Arial" w:hAnsi="Arial" w:cs="Arial"/>
                      <w:color w:val="000000" w:themeColor="text1"/>
                      <w:lang w:val="en-NZ"/>
                    </w:rPr>
                    <w:lastRenderedPageBreak/>
                    <w:t xml:space="preserve">recognizes that many individual or active errors represent predictable interactions between human operators and the systems in which they work. </w:t>
                  </w:r>
                </w:p>
                <w:p w:rsidR="00411C11" w:rsidRPr="00210BFD" w:rsidRDefault="00411C1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lang w:val="en-NZ"/>
                    </w:rPr>
                  </w:pPr>
                </w:p>
                <w:p w:rsidR="009A2FB1" w:rsidRPr="00210BFD" w:rsidRDefault="00411C1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lang w:val="en-NZ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  <w:lang w:val="en-NZ"/>
                    </w:rPr>
                    <w:t>A just culture does not tolerate blameworthy behaviour such as conscious disregard of clear risks to patients or gross misconduct (e.g. falsifying a record, performing professional duties while intoxicated).</w:t>
                  </w:r>
                </w:p>
                <w:p w:rsidR="00411C11" w:rsidRPr="00210BFD" w:rsidRDefault="00411C1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lang w:val="en-NZ"/>
                    </w:rPr>
                  </w:pPr>
                </w:p>
              </w:tc>
            </w:tr>
            <w:tr w:rsidR="00210BFD" w:rsidRPr="00210BFD" w:rsidTr="00A622C9">
              <w:trPr>
                <w:trHeight w:val="53"/>
              </w:trPr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lastRenderedPageBreak/>
                    <w:t xml:space="preserve">Open </w:t>
                  </w:r>
                  <w:r w:rsidR="004F57D7"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disclosure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 xml:space="preserve">A timely and transparent approach to communicating </w:t>
                  </w:r>
                  <w:r w:rsidR="00114F56" w:rsidRPr="00210BFD">
                    <w:rPr>
                      <w:rFonts w:ascii="Arial" w:hAnsi="Arial" w:cs="Arial"/>
                      <w:color w:val="000000" w:themeColor="text1"/>
                    </w:rPr>
                    <w:t>with and</w:t>
                  </w:r>
                  <w:r w:rsidRPr="00210BFD">
                    <w:rPr>
                      <w:rFonts w:ascii="Arial" w:hAnsi="Arial" w:cs="Arial"/>
                      <w:color w:val="000000" w:themeColor="text1"/>
                    </w:rPr>
                    <w:t xml:space="preserve"> sup</w:t>
                  </w:r>
                  <w:r w:rsidR="003F542D" w:rsidRPr="00210BFD">
                    <w:rPr>
                      <w:rFonts w:ascii="Arial" w:hAnsi="Arial" w:cs="Arial"/>
                      <w:color w:val="000000" w:themeColor="text1"/>
                    </w:rPr>
                    <w:t xml:space="preserve">porting health consumers when an adverse event or a </w:t>
                  </w:r>
                  <w:r w:rsidRPr="00210BFD">
                    <w:rPr>
                      <w:rFonts w:ascii="Arial" w:hAnsi="Arial" w:cs="Arial"/>
                      <w:color w:val="000000" w:themeColor="text1"/>
                    </w:rPr>
                    <w:t xml:space="preserve">complaint is received. This included a factual explanation of what happened, an apology, and actions that deal with the actual and potential consequences of the event. </w:t>
                  </w:r>
                </w:p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>An important aspect of open disclosure is explaining to the consumer how the incident has been reviewed, and what systems will be put in place to make sure similar in</w:t>
                  </w:r>
                  <w:r w:rsidR="008C726E" w:rsidRPr="00210BFD">
                    <w:rPr>
                      <w:rFonts w:ascii="Arial" w:hAnsi="Arial" w:cs="Arial"/>
                      <w:color w:val="000000" w:themeColor="text1"/>
                    </w:rPr>
                    <w:t>cidences will not happen again.</w:t>
                  </w:r>
                </w:p>
              </w:tc>
            </w:tr>
            <w:tr w:rsidR="00210BFD" w:rsidRPr="00210BFD" w:rsidTr="00A622C9">
              <w:trPr>
                <w:trHeight w:val="53"/>
              </w:trPr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Representative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 xml:space="preserve">A person to which the consumer has given their permission to make a complaint or represent them on their behalf: </w:t>
                  </w:r>
                </w:p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>Where the consumer is under 16</w:t>
                  </w:r>
                  <w:r w:rsidR="002E18BE" w:rsidRPr="00210BFD">
                    <w:rPr>
                      <w:rFonts w:ascii="Arial" w:hAnsi="Arial" w:cs="Arial"/>
                      <w:color w:val="000000" w:themeColor="text1"/>
                    </w:rPr>
                    <w:t xml:space="preserve"> years</w:t>
                  </w:r>
                  <w:r w:rsidRPr="00210BFD">
                    <w:rPr>
                      <w:rFonts w:ascii="Arial" w:hAnsi="Arial" w:cs="Arial"/>
                      <w:color w:val="000000" w:themeColor="text1"/>
                    </w:rPr>
                    <w:t xml:space="preserve">, the parent or a guardian, or any person authorised in writing by the parent or guardian to act on behalf of the patient. </w:t>
                  </w:r>
                </w:p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 xml:space="preserve">Where the consumer is deceased, the executor or administrator of the estate </w:t>
                  </w:r>
                </w:p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>Where the consumer is alive, over 16 and is unable to give consent, a person acting on the patient’s behalf. (This could be someone authorised in writing by the patient or family to act on behalf of the consumer).</w:t>
                  </w:r>
                </w:p>
              </w:tc>
            </w:tr>
            <w:tr w:rsidR="00210BFD" w:rsidRPr="00210BFD" w:rsidTr="00F15BC2">
              <w:trPr>
                <w:trHeight w:val="1840"/>
              </w:trPr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Review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</w:pP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A review is another name for a formal investigation process that is carried out by NSU or the s</w:t>
                  </w:r>
                  <w:r w:rsidR="003F542D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creening</w:t>
                  </w: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 provider to analyse an adverse event </w:t>
                  </w:r>
                  <w:r w:rsidR="003F542D"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>or a</w:t>
                  </w:r>
                  <w:r w:rsidRPr="00210BFD">
                    <w:rPr>
                      <w:rFonts w:ascii="Arial" w:eastAsiaTheme="minorHAnsi" w:hAnsi="Arial" w:cs="Arial"/>
                      <w:color w:val="000000" w:themeColor="text1"/>
                      <w:szCs w:val="20"/>
                      <w:lang w:val="en-NZ"/>
                    </w:rPr>
                    <w:t xml:space="preserve"> complaint. There are a variety of review methodologies such a root cause analysis (RCA) applied to conduct a review. The findings may lead to may lead to corrective actions and changes to organisation wide systems and processes.</w:t>
                  </w:r>
                </w:p>
              </w:tc>
            </w:tr>
            <w:tr w:rsidR="00210BFD" w:rsidRPr="00210BFD" w:rsidTr="00F15BC2">
              <w:trPr>
                <w:trHeight w:val="934"/>
              </w:trPr>
              <w:tc>
                <w:tcPr>
                  <w:tcW w:w="2435" w:type="dxa"/>
                  <w:shd w:val="clear" w:color="auto" w:fill="auto"/>
                </w:tcPr>
                <w:p w:rsidR="000E2BB2" w:rsidRPr="00210BFD" w:rsidRDefault="000E2BB2" w:rsidP="002E1F2E">
                  <w:pPr>
                    <w:pStyle w:val="EmbeddedText"/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Service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A6F5C" w:rsidRPr="00210BFD" w:rsidRDefault="000E2BB2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Cs w:val="20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The provision of assessment, treatment, care, support</w:t>
                  </w:r>
                  <w:r w:rsidR="00EE22CF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, 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teaching, research</w:t>
                  </w:r>
                  <w:r w:rsidR="00EE22CF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, promotion of i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ndepen</w:t>
                  </w:r>
                  <w:r w:rsidR="00EE22CF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d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ence, and other inputs </w:t>
                  </w:r>
                  <w:r w:rsidR="00EE22CF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provided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 to the consumer by the or</w:t>
                  </w:r>
                  <w:r w:rsidR="00EE22CF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ganisation</w:t>
                  </w:r>
                  <w:r w:rsidR="00114F56"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>.</w:t>
                  </w:r>
                </w:p>
              </w:tc>
            </w:tr>
            <w:tr w:rsidR="00210BFD" w:rsidRPr="00210BFD" w:rsidTr="00F15BC2">
              <w:trPr>
                <w:trHeight w:val="1404"/>
              </w:trPr>
              <w:tc>
                <w:tcPr>
                  <w:tcW w:w="2435" w:type="dxa"/>
                  <w:shd w:val="clear" w:color="auto" w:fill="auto"/>
                </w:tcPr>
                <w:p w:rsidR="00BA6F5C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SMART (mnemonic)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ascii="Arial" w:hAnsi="Arial" w:cs="Arial"/>
                      <w:color w:val="000000" w:themeColor="text1"/>
                      <w:szCs w:val="20"/>
                    </w:rPr>
                  </w:pPr>
                  <w:r w:rsidRPr="00210BFD">
                    <w:rPr>
                      <w:rFonts w:ascii="Arial" w:hAnsi="Arial" w:cs="Arial"/>
                      <w:b/>
                      <w:color w:val="000000" w:themeColor="text1"/>
                      <w:szCs w:val="20"/>
                    </w:rPr>
                    <w:t>S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 ~ specific</w:t>
                  </w:r>
                </w:p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ascii="Arial" w:hAnsi="Arial" w:cs="Arial"/>
                      <w:color w:val="000000" w:themeColor="text1"/>
                      <w:szCs w:val="20"/>
                    </w:rPr>
                  </w:pPr>
                  <w:r w:rsidRPr="00210BFD">
                    <w:rPr>
                      <w:rFonts w:ascii="Arial" w:hAnsi="Arial" w:cs="Arial"/>
                      <w:b/>
                      <w:color w:val="000000" w:themeColor="text1"/>
                      <w:szCs w:val="20"/>
                    </w:rPr>
                    <w:t>M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 ~ measurable</w:t>
                  </w:r>
                </w:p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ascii="Arial" w:hAnsi="Arial" w:cs="Arial"/>
                      <w:color w:val="000000" w:themeColor="text1"/>
                      <w:szCs w:val="20"/>
                    </w:rPr>
                  </w:pPr>
                  <w:r w:rsidRPr="00210BFD">
                    <w:rPr>
                      <w:rFonts w:ascii="Arial" w:hAnsi="Arial" w:cs="Arial"/>
                      <w:b/>
                      <w:color w:val="000000" w:themeColor="text1"/>
                      <w:szCs w:val="20"/>
                    </w:rPr>
                    <w:t>A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 ~ achievable/ assignable</w:t>
                  </w:r>
                </w:p>
                <w:p w:rsidR="009A2FB1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ascii="Arial" w:hAnsi="Arial" w:cs="Arial"/>
                      <w:color w:val="000000" w:themeColor="text1"/>
                      <w:szCs w:val="20"/>
                    </w:rPr>
                  </w:pPr>
                  <w:r w:rsidRPr="00210BFD">
                    <w:rPr>
                      <w:rFonts w:ascii="Arial" w:hAnsi="Arial" w:cs="Arial"/>
                      <w:b/>
                      <w:color w:val="000000" w:themeColor="text1"/>
                      <w:szCs w:val="20"/>
                    </w:rPr>
                    <w:t>R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 ~ relevant/ realistic</w:t>
                  </w:r>
                </w:p>
                <w:p w:rsidR="00BA6F5C" w:rsidRPr="00210BFD" w:rsidRDefault="009A2FB1" w:rsidP="002E1F2E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ascii="Arial" w:hAnsi="Arial" w:cs="Arial"/>
                      <w:b/>
                      <w:color w:val="000000" w:themeColor="text1"/>
                      <w:szCs w:val="20"/>
                    </w:rPr>
                  </w:pPr>
                  <w:r w:rsidRPr="00210BFD">
                    <w:rPr>
                      <w:rFonts w:ascii="Arial" w:hAnsi="Arial" w:cs="Arial"/>
                      <w:b/>
                      <w:color w:val="000000" w:themeColor="text1"/>
                      <w:szCs w:val="20"/>
                    </w:rPr>
                    <w:t>T</w:t>
                  </w:r>
                  <w:r w:rsidRPr="00210BFD">
                    <w:rPr>
                      <w:rFonts w:ascii="Arial" w:hAnsi="Arial" w:cs="Arial"/>
                      <w:color w:val="000000" w:themeColor="text1"/>
                      <w:szCs w:val="20"/>
                    </w:rPr>
                    <w:t xml:space="preserve"> ~ time bound</w:t>
                  </w:r>
                </w:p>
              </w:tc>
            </w:tr>
            <w:tr w:rsidR="00210BFD" w:rsidRPr="00210BFD" w:rsidTr="00A622C9">
              <w:trPr>
                <w:trHeight w:val="53"/>
              </w:trPr>
              <w:tc>
                <w:tcPr>
                  <w:tcW w:w="2435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EmbeddedText"/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lastRenderedPageBreak/>
                    <w:t>Unresolvable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A2FB1" w:rsidRPr="00210BFD" w:rsidRDefault="009A2FB1" w:rsidP="002E1F2E">
                  <w:pPr>
                    <w:pStyle w:val="FootnoteText"/>
                    <w:framePr w:hSpace="180" w:wrap="around" w:vAnchor="text" w:hAnchor="text" w:xAlign="right" w:y="1"/>
                    <w:ind w:left="0" w:firstLine="0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210BFD">
                    <w:rPr>
                      <w:rFonts w:ascii="Arial" w:hAnsi="Arial" w:cs="Arial"/>
                      <w:color w:val="000000" w:themeColor="text1"/>
                    </w:rPr>
                    <w:t xml:space="preserve">Where efforts to resolve the complaint </w:t>
                  </w:r>
                  <w:r w:rsidR="00BA6F5C" w:rsidRPr="00210BFD">
                    <w:rPr>
                      <w:rFonts w:ascii="Arial" w:hAnsi="Arial" w:cs="Arial"/>
                      <w:color w:val="000000" w:themeColor="text1"/>
                    </w:rPr>
                    <w:t xml:space="preserve">to </w:t>
                  </w:r>
                  <w:r w:rsidRPr="00210BFD">
                    <w:rPr>
                      <w:rFonts w:ascii="Arial" w:hAnsi="Arial" w:cs="Arial"/>
                      <w:color w:val="000000" w:themeColor="text1"/>
                    </w:rPr>
                    <w:t>the complainant</w:t>
                  </w:r>
                  <w:r w:rsidR="00BA6F5C" w:rsidRPr="00210BFD">
                    <w:rPr>
                      <w:rFonts w:ascii="Arial" w:hAnsi="Arial" w:cs="Arial"/>
                      <w:color w:val="000000" w:themeColor="text1"/>
                    </w:rPr>
                    <w:t>’</w:t>
                  </w:r>
                  <w:r w:rsidRPr="00210BFD">
                    <w:rPr>
                      <w:rFonts w:ascii="Arial" w:hAnsi="Arial" w:cs="Arial"/>
                      <w:color w:val="000000" w:themeColor="text1"/>
                    </w:rPr>
                    <w:t>s satisfaction have been exhausted. The complainant may be advised of the option of contacting the office of the Health and Disability Commission for independent review.</w:t>
                  </w:r>
                </w:p>
              </w:tc>
            </w:tr>
          </w:tbl>
          <w:p w:rsidR="009A2FB1" w:rsidRPr="00210BFD" w:rsidRDefault="009A2FB1" w:rsidP="001B6E49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</w:t>
            </w:r>
          </w:p>
          <w:p w:rsidR="009A2FB1" w:rsidRPr="00210BFD" w:rsidRDefault="009A2FB1" w:rsidP="001B6E49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A2FB1" w:rsidRPr="00210BFD" w:rsidRDefault="009A2FB1" w:rsidP="001B6E49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</w:t>
            </w:r>
            <w:r w:rsidR="009E0F5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screening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providers contracted by NSU are required to have their own </w:t>
            </w:r>
            <w:r w:rsidR="00333B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communication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247B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open disclosure </w:t>
            </w:r>
            <w:r w:rsidR="009E0F5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policy and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process. </w:t>
            </w:r>
          </w:p>
          <w:p w:rsidR="009A2FB1" w:rsidRPr="00210BFD" w:rsidRDefault="009A2FB1" w:rsidP="001B6E49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A2FB1" w:rsidRPr="00210BFD" w:rsidRDefault="009A2FB1" w:rsidP="00C7744F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There </w:t>
            </w:r>
            <w:r w:rsidR="00C7744F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is one</w:t>
            </w:r>
            <w:r w:rsidR="008C726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process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aligned to the</w:t>
            </w:r>
            <w:r w:rsidR="009E0F5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NSU policy;</w:t>
            </w:r>
          </w:p>
          <w:p w:rsidR="009A2FB1" w:rsidRPr="00210BFD" w:rsidRDefault="009A2FB1" w:rsidP="001B6E49">
            <w:pPr>
              <w:pStyle w:val="ListParagraph"/>
              <w:numPr>
                <w:ilvl w:val="0"/>
                <w:numId w:val="0"/>
              </w:numPr>
              <w:spacing w:before="120"/>
              <w:ind w:left="78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9A2FB1" w:rsidRPr="00210BFD" w:rsidRDefault="00BA6F5C" w:rsidP="001B6E49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NSU Open</w:t>
            </w:r>
            <w:r w:rsidR="002B3B0D"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Disclosure </w:t>
            </w:r>
            <w:r w:rsidR="00F15BC2"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Process</w:t>
            </w:r>
            <w:r w:rsidR="00F15BC2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="009A2FB1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A2FB1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refer to</w:t>
            </w:r>
            <w:r w:rsidR="009A2FB1" w:rsidRPr="00210BF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A2FB1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Appendix </w:t>
            </w:r>
            <w:r w:rsidR="00C7744F" w:rsidRPr="00210B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One</w:t>
            </w:r>
          </w:p>
          <w:p w:rsidR="009A2FB1" w:rsidRPr="00210BFD" w:rsidRDefault="009A2FB1" w:rsidP="001B6E49">
            <w:pPr>
              <w:spacing w:before="12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____________________________________________________________________</w:t>
            </w:r>
          </w:p>
          <w:p w:rsidR="009A2FB1" w:rsidRPr="00210BFD" w:rsidRDefault="009A2FB1" w:rsidP="001B6E49">
            <w:pPr>
              <w:spacing w:before="120"/>
              <w:ind w:left="36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2FB1" w:rsidRPr="007E1533" w:rsidTr="009E0F5E">
        <w:trPr>
          <w:trHeight w:val="1453"/>
        </w:trPr>
        <w:tc>
          <w:tcPr>
            <w:tcW w:w="1761" w:type="dxa"/>
            <w:gridSpan w:val="3"/>
            <w:shd w:val="clear" w:color="auto" w:fill="auto"/>
          </w:tcPr>
          <w:p w:rsidR="002B5800" w:rsidRPr="00210BFD" w:rsidRDefault="002B5800" w:rsidP="001B6E49">
            <w:pPr>
              <w:pStyle w:val="Heading5"/>
              <w:spacing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A2FB1" w:rsidRPr="00210BFD" w:rsidRDefault="009A2FB1" w:rsidP="001B6E49">
            <w:pPr>
              <w:pStyle w:val="Heading5"/>
              <w:spacing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</w:rPr>
              <w:t>Related NSU Policies &amp; Statements</w:t>
            </w:r>
          </w:p>
          <w:p w:rsidR="009A2FB1" w:rsidRPr="00210BFD" w:rsidRDefault="009A2FB1" w:rsidP="001B6E49">
            <w:pPr>
              <w:pStyle w:val="Heading5"/>
              <w:spacing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A2FB1" w:rsidRPr="00210BFD" w:rsidRDefault="009A2FB1" w:rsidP="001B6E49">
            <w:pPr>
              <w:pStyle w:val="Heading5"/>
              <w:spacing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B5800" w:rsidRPr="00210BFD" w:rsidRDefault="002B5800" w:rsidP="001B6E49">
            <w:pPr>
              <w:pStyle w:val="Heading5"/>
              <w:spacing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A2FB1" w:rsidRPr="00210BFD" w:rsidRDefault="009A2FB1" w:rsidP="001B6E49">
            <w:pPr>
              <w:pStyle w:val="Heading5"/>
              <w:spacing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</w:rPr>
              <w:t>References</w:t>
            </w:r>
          </w:p>
        </w:tc>
        <w:tc>
          <w:tcPr>
            <w:tcW w:w="8162" w:type="dxa"/>
            <w:gridSpan w:val="2"/>
            <w:shd w:val="clear" w:color="auto" w:fill="auto"/>
          </w:tcPr>
          <w:p w:rsidR="009A2FB1" w:rsidRPr="00210BFD" w:rsidRDefault="009A2FB1" w:rsidP="00C51A70">
            <w:pPr>
              <w:spacing w:before="120" w:line="276" w:lineRule="auto"/>
              <w:ind w:left="0" w:hanging="1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NSU Adverse Event Management Policy (NSU 01)</w:t>
            </w:r>
          </w:p>
          <w:p w:rsidR="009A2FB1" w:rsidRPr="00210BFD" w:rsidRDefault="009A2FB1" w:rsidP="00C7744F">
            <w:pPr>
              <w:spacing w:before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NSU </w:t>
            </w:r>
            <w:r w:rsidR="00333B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Complaint Management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Policy (NSU 0</w:t>
            </w:r>
            <w:r w:rsidR="00333B5C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9A2FB1" w:rsidRPr="00210BFD" w:rsidRDefault="009A2FB1" w:rsidP="00C51A70">
            <w:pPr>
              <w:spacing w:before="120" w:line="276" w:lineRule="auto"/>
              <w:ind w:left="258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NSU Quality Framework 2015</w:t>
            </w:r>
          </w:p>
          <w:p w:rsidR="009A2FB1" w:rsidRPr="00210BFD" w:rsidRDefault="009A2FB1" w:rsidP="001B6E49">
            <w:pPr>
              <w:spacing w:before="12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________________________________________________________________ 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9E0F5E" w:rsidRPr="00210BFD" w:rsidRDefault="009E0F5E" w:rsidP="00C51A70">
            <w:pPr>
              <w:spacing w:before="120"/>
              <w:ind w:left="-26" w:right="-221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Ministry of Health, New Zealand Health and Disability Services Standards, NZS 8134:2008</w:t>
            </w:r>
          </w:p>
          <w:p w:rsidR="009A2FB1" w:rsidRPr="00210BFD" w:rsidRDefault="009A2FB1" w:rsidP="00333B5C">
            <w:pPr>
              <w:spacing w:before="12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&amp; Disability Commissioner, Guid</w:t>
            </w:r>
            <w:r w:rsidR="009E0F5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ance on Open Disclosure Policies</w:t>
            </w:r>
          </w:p>
          <w:p w:rsidR="009E0F5E" w:rsidRPr="00210BFD" w:rsidRDefault="009E0F5E" w:rsidP="009E0F5E">
            <w:pPr>
              <w:spacing w:before="12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Health &amp; Disability Commissioner, Complaint Guidelines </w:t>
            </w:r>
          </w:p>
          <w:p w:rsidR="009A2FB1" w:rsidRPr="00210BFD" w:rsidRDefault="009A2FB1" w:rsidP="00333B5C">
            <w:pPr>
              <w:spacing w:before="120"/>
              <w:ind w:left="0" w:right="-79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and Disability Commission</w:t>
            </w:r>
            <w:r w:rsidR="002E18B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er (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Code of Health and</w:t>
            </w:r>
            <w:r w:rsidR="009E0F5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Disability Services Consumers’ 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Rights</w:t>
            </w:r>
            <w:r w:rsidR="002E18BE"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) Regulations</w:t>
            </w: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1996 </w:t>
            </w:r>
          </w:p>
          <w:p w:rsidR="009A2FB1" w:rsidRPr="00210BFD" w:rsidRDefault="009A2FB1" w:rsidP="00333B5C">
            <w:pPr>
              <w:spacing w:before="12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Quality Safety Commission National Adverse Event Policy 2017</w:t>
            </w:r>
          </w:p>
          <w:p w:rsidR="009A2FB1" w:rsidRPr="00210BFD" w:rsidRDefault="009A2FB1" w:rsidP="00333B5C">
            <w:pPr>
              <w:spacing w:before="120"/>
              <w:ind w:right="-64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Privacy Act 1993 </w:t>
            </w:r>
          </w:p>
          <w:p w:rsidR="009A2FB1" w:rsidRPr="00210BFD" w:rsidRDefault="009A2FB1" w:rsidP="00333B5C">
            <w:pPr>
              <w:spacing w:before="12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Information Privacy Code 1994</w:t>
            </w:r>
          </w:p>
          <w:p w:rsidR="009A2FB1" w:rsidRPr="00210BFD" w:rsidRDefault="009A2FB1" w:rsidP="00333B5C">
            <w:pPr>
              <w:spacing w:before="12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 Records Act 2005</w:t>
            </w:r>
          </w:p>
          <w:p w:rsidR="001B6E49" w:rsidRPr="00210BFD" w:rsidRDefault="009A2FB1" w:rsidP="00333B5C">
            <w:pPr>
              <w:spacing w:before="12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0BFD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 of the Treaty of Waitangi</w:t>
            </w:r>
          </w:p>
        </w:tc>
      </w:tr>
    </w:tbl>
    <w:p w:rsidR="00312757" w:rsidRDefault="00312757" w:rsidP="001B6E49">
      <w:pPr>
        <w:tabs>
          <w:tab w:val="left" w:pos="1380"/>
        </w:tabs>
        <w:ind w:left="0" w:firstLine="0"/>
        <w:rPr>
          <w:rFonts w:ascii="Arial Black" w:hAnsi="Arial Black" w:cs="Arial"/>
          <w:b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312757" w:rsidRPr="00312757" w:rsidRDefault="00312757" w:rsidP="00312757">
      <w:pPr>
        <w:rPr>
          <w:rFonts w:ascii="Arial Black" w:hAnsi="Arial Black" w:cs="Arial"/>
          <w:sz w:val="20"/>
          <w:szCs w:val="20"/>
        </w:rPr>
      </w:pPr>
    </w:p>
    <w:p w:rsidR="007F6747" w:rsidRDefault="007F6747" w:rsidP="00190316">
      <w:pPr>
        <w:ind w:left="0" w:firstLine="0"/>
        <w:rPr>
          <w:rFonts w:ascii="Arial Black" w:hAnsi="Arial Black" w:cs="Arial"/>
          <w:sz w:val="20"/>
          <w:szCs w:val="20"/>
        </w:rPr>
      </w:pPr>
    </w:p>
    <w:p w:rsidR="002E0EDD" w:rsidRDefault="002E0EDD" w:rsidP="00190316">
      <w:pPr>
        <w:ind w:left="0" w:firstLine="0"/>
        <w:rPr>
          <w:rFonts w:ascii="Arial Black" w:hAnsi="Arial Black" w:cs="Arial"/>
          <w:sz w:val="20"/>
          <w:szCs w:val="20"/>
        </w:rPr>
      </w:pPr>
    </w:p>
    <w:p w:rsidR="00312757" w:rsidRDefault="00312757" w:rsidP="00190316">
      <w:pPr>
        <w:ind w:left="0" w:firstLine="0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lastRenderedPageBreak/>
        <w:t>Appendix One</w:t>
      </w:r>
      <w:r w:rsidR="00AA2F39">
        <w:rPr>
          <w:rFonts w:ascii="Arial Black" w:hAnsi="Arial Black" w:cs="Arial"/>
          <w:sz w:val="20"/>
          <w:szCs w:val="20"/>
        </w:rPr>
        <w:t xml:space="preserve"> </w:t>
      </w:r>
    </w:p>
    <w:p w:rsidR="00190316" w:rsidRDefault="00190316" w:rsidP="00190316">
      <w:pPr>
        <w:ind w:left="0" w:firstLine="0"/>
        <w:rPr>
          <w:rFonts w:ascii="Arial Black" w:hAnsi="Arial Black" w:cs="Arial"/>
          <w:sz w:val="20"/>
          <w:szCs w:val="20"/>
        </w:rPr>
      </w:pPr>
    </w:p>
    <w:p w:rsidR="00AD20CB" w:rsidRPr="00312757" w:rsidRDefault="002E1F2E" w:rsidP="00C7744F">
      <w:pPr>
        <w:ind w:left="0" w:firstLine="0"/>
        <w:rPr>
          <w:rFonts w:ascii="Arial Black" w:hAnsi="Arial Black" w:cs="Arial"/>
          <w:sz w:val="20"/>
          <w:szCs w:val="20"/>
        </w:rPr>
        <w:sectPr w:rsidR="00AD20CB" w:rsidRPr="00312757" w:rsidSect="00145768">
          <w:headerReference w:type="default" r:id="rId8"/>
          <w:footerReference w:type="default" r:id="rId9"/>
          <w:pgSz w:w="12240" w:h="15840" w:code="1"/>
          <w:pgMar w:top="568" w:right="1440" w:bottom="1135" w:left="1440" w:header="618" w:footer="709" w:gutter="0"/>
          <w:cols w:space="720"/>
          <w:docGrid w:linePitch="360"/>
        </w:sectPr>
      </w:pPr>
      <w:r w:rsidRPr="002E1F2E">
        <w:drawing>
          <wp:inline distT="0" distB="0" distL="0" distR="0">
            <wp:extent cx="5943600" cy="72728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77" cy="72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512" w:rsidRDefault="009D3DDD" w:rsidP="001B6E49">
      <w:pPr>
        <w:tabs>
          <w:tab w:val="left" w:pos="1380"/>
        </w:tabs>
        <w:ind w:left="0" w:firstLine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 xml:space="preserve">Appendix </w:t>
      </w:r>
      <w:r w:rsidR="00190316">
        <w:rPr>
          <w:rFonts w:ascii="Arial Black" w:hAnsi="Arial Black" w:cs="Arial"/>
          <w:b/>
          <w:sz w:val="20"/>
          <w:szCs w:val="20"/>
        </w:rPr>
        <w:t>Two</w:t>
      </w:r>
      <w:r w:rsidR="006F7512">
        <w:rPr>
          <w:rFonts w:ascii="Arial Black" w:hAnsi="Arial Black" w:cs="Arial"/>
          <w:b/>
          <w:sz w:val="20"/>
          <w:szCs w:val="20"/>
        </w:rPr>
        <w:t xml:space="preserve"> </w:t>
      </w:r>
    </w:p>
    <w:p w:rsidR="009D3DDD" w:rsidRDefault="006F7512" w:rsidP="001B6E49">
      <w:pPr>
        <w:tabs>
          <w:tab w:val="left" w:pos="1380"/>
        </w:tabs>
        <w:ind w:left="0" w:firstLine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Health Quality Safety Commission Guide to Partnering with consumer &amp; whanau after an adverse event</w:t>
      </w:r>
    </w:p>
    <w:p w:rsidR="00AD20CB" w:rsidRDefault="007D48E6" w:rsidP="00C7744F">
      <w:pPr>
        <w:tabs>
          <w:tab w:val="left" w:pos="1380"/>
        </w:tabs>
        <w:ind w:left="0" w:firstLine="0"/>
        <w:jc w:val="left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br w:type="textWrapping" w:clear="all"/>
      </w:r>
      <w:r w:rsidR="00AC060A" w:rsidRPr="00AC060A">
        <w:rPr>
          <w:noProof/>
          <w:lang w:val="en-NZ" w:eastAsia="en-NZ"/>
        </w:rPr>
        <w:drawing>
          <wp:inline distT="0" distB="0" distL="0" distR="0" wp14:anchorId="149C7B6A" wp14:editId="128A3008">
            <wp:extent cx="8614410" cy="503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1441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0CB" w:rsidSect="00AD20CB">
      <w:pgSz w:w="15840" w:h="12240" w:orient="landscape" w:code="1"/>
      <w:pgMar w:top="1135" w:right="568" w:bottom="1440" w:left="1135" w:header="61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01E" w:rsidRDefault="0040601E">
      <w:r>
        <w:separator/>
      </w:r>
    </w:p>
  </w:endnote>
  <w:endnote w:type="continuationSeparator" w:id="0">
    <w:p w:rsidR="0040601E" w:rsidRDefault="0040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69A" w:rsidRPr="002D7DF4" w:rsidRDefault="007F069A" w:rsidP="003B54F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00000" w:themeColor="text1"/>
        <w:sz w:val="16"/>
        <w:szCs w:val="16"/>
      </w:rPr>
    </w:pPr>
    <w:r w:rsidRPr="002D7DF4">
      <w:rPr>
        <w:rFonts w:ascii="Arial" w:hAnsi="Arial" w:cs="Arial"/>
        <w:color w:val="000000" w:themeColor="text1"/>
        <w:spacing w:val="60"/>
        <w:sz w:val="16"/>
        <w:szCs w:val="16"/>
      </w:rPr>
      <w:t>Page</w:t>
    </w:r>
    <w:r w:rsidRPr="002D7DF4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2D7DF4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2D7DF4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2D7DF4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2E18BE">
      <w:rPr>
        <w:rFonts w:ascii="Arial" w:hAnsi="Arial" w:cs="Arial"/>
        <w:noProof/>
        <w:color w:val="000000" w:themeColor="text1"/>
        <w:sz w:val="16"/>
        <w:szCs w:val="16"/>
      </w:rPr>
      <w:t>9</w:t>
    </w:r>
    <w:r w:rsidRPr="002D7DF4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2D7DF4">
      <w:rPr>
        <w:rFonts w:ascii="Arial" w:hAnsi="Arial" w:cs="Arial"/>
        <w:color w:val="000000" w:themeColor="text1"/>
        <w:sz w:val="16"/>
        <w:szCs w:val="16"/>
      </w:rPr>
      <w:t xml:space="preserve"> | </w:t>
    </w:r>
    <w:r w:rsidRPr="002D7DF4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2D7DF4">
      <w:rPr>
        <w:rFonts w:ascii="Arial" w:hAnsi="Arial" w:cs="Arial"/>
        <w:color w:val="000000" w:themeColor="text1"/>
        <w:sz w:val="16"/>
        <w:szCs w:val="16"/>
      </w:rPr>
      <w:instrText xml:space="preserve"> NUMPAGES  \* Arabic  \* MERGEFORMAT </w:instrText>
    </w:r>
    <w:r w:rsidRPr="002D7DF4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2E18BE">
      <w:rPr>
        <w:rFonts w:ascii="Arial" w:hAnsi="Arial" w:cs="Arial"/>
        <w:noProof/>
        <w:color w:val="000000" w:themeColor="text1"/>
        <w:sz w:val="16"/>
        <w:szCs w:val="16"/>
      </w:rPr>
      <w:t>9</w:t>
    </w:r>
    <w:r w:rsidRPr="002D7DF4">
      <w:rPr>
        <w:rFonts w:ascii="Arial" w:hAnsi="Arial" w:cs="Arial"/>
        <w:color w:val="000000" w:themeColor="text1"/>
        <w:sz w:val="16"/>
        <w:szCs w:val="16"/>
      </w:rPr>
      <w:fldChar w:fldCharType="end"/>
    </w:r>
  </w:p>
  <w:p w:rsidR="007F069A" w:rsidRPr="002D7DF4" w:rsidRDefault="007F069A" w:rsidP="003B54FE">
    <w:pPr>
      <w:tabs>
        <w:tab w:val="center" w:pos="4550"/>
        <w:tab w:val="left" w:pos="5818"/>
      </w:tabs>
      <w:ind w:left="-284" w:right="260"/>
      <w:rPr>
        <w:rFonts w:ascii="Arial" w:hAnsi="Arial" w:cs="Arial"/>
        <w:sz w:val="16"/>
        <w:szCs w:val="16"/>
      </w:rPr>
    </w:pPr>
    <w:r w:rsidRPr="002D7DF4">
      <w:rPr>
        <w:rFonts w:ascii="Arial" w:hAnsi="Arial" w:cs="Arial"/>
        <w:sz w:val="16"/>
        <w:szCs w:val="16"/>
      </w:rPr>
      <w:t xml:space="preserve">Author: NSU Quality Manager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Pr="002D7DF4">
      <w:rPr>
        <w:rFonts w:ascii="Arial" w:hAnsi="Arial" w:cs="Arial"/>
        <w:sz w:val="16"/>
        <w:szCs w:val="16"/>
      </w:rPr>
      <w:t>File Number: NSU 0</w:t>
    </w:r>
    <w:r>
      <w:rPr>
        <w:rFonts w:ascii="Arial" w:hAnsi="Arial" w:cs="Arial"/>
        <w:sz w:val="16"/>
        <w:szCs w:val="16"/>
      </w:rPr>
      <w:t>3</w:t>
    </w:r>
  </w:p>
  <w:p w:rsidR="007F069A" w:rsidRPr="002D7DF4" w:rsidRDefault="007F069A" w:rsidP="003B54FE">
    <w:pPr>
      <w:tabs>
        <w:tab w:val="center" w:pos="4550"/>
        <w:tab w:val="left" w:pos="5818"/>
      </w:tabs>
      <w:ind w:left="-284" w:right="260"/>
      <w:rPr>
        <w:rFonts w:ascii="Arial" w:hAnsi="Arial" w:cs="Arial"/>
        <w:sz w:val="16"/>
        <w:szCs w:val="16"/>
      </w:rPr>
    </w:pPr>
    <w:r w:rsidRPr="002D7DF4">
      <w:rPr>
        <w:rFonts w:ascii="Arial" w:hAnsi="Arial" w:cs="Arial"/>
        <w:sz w:val="16"/>
        <w:szCs w:val="16"/>
      </w:rPr>
      <w:t>Authori</w:t>
    </w:r>
    <w:r w:rsidR="00797BE6">
      <w:rPr>
        <w:rFonts w:ascii="Arial" w:hAnsi="Arial" w:cs="Arial"/>
        <w:sz w:val="16"/>
        <w:szCs w:val="16"/>
      </w:rPr>
      <w:t>s</w:t>
    </w:r>
    <w:r w:rsidRPr="002D7DF4">
      <w:rPr>
        <w:rFonts w:ascii="Arial" w:hAnsi="Arial" w:cs="Arial"/>
        <w:sz w:val="16"/>
        <w:szCs w:val="16"/>
      </w:rPr>
      <w:t xml:space="preserve">ed: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="00797BE6">
      <w:rPr>
        <w:rFonts w:ascii="Arial" w:hAnsi="Arial" w:cs="Arial"/>
        <w:sz w:val="16"/>
        <w:szCs w:val="16"/>
      </w:rPr>
      <w:t xml:space="preserve">     </w:t>
    </w:r>
    <w:r w:rsidRPr="002D7DF4">
      <w:rPr>
        <w:rFonts w:ascii="Arial" w:hAnsi="Arial" w:cs="Arial"/>
        <w:sz w:val="16"/>
        <w:szCs w:val="16"/>
      </w:rPr>
      <w:t xml:space="preserve">Review Due: </w:t>
    </w:r>
    <w:r w:rsidR="00797BE6">
      <w:rPr>
        <w:rFonts w:ascii="Arial" w:hAnsi="Arial" w:cs="Arial"/>
        <w:sz w:val="16"/>
        <w:szCs w:val="16"/>
      </w:rPr>
      <w:t>2021</w:t>
    </w:r>
  </w:p>
  <w:p w:rsidR="002E0EDD" w:rsidRPr="008223E2" w:rsidRDefault="002E0EDD" w:rsidP="002E0EDD">
    <w:pPr>
      <w:tabs>
        <w:tab w:val="center" w:pos="4550"/>
        <w:tab w:val="left" w:pos="5818"/>
      </w:tabs>
      <w:ind w:left="-284" w:right="260"/>
      <w:rPr>
        <w:rFonts w:ascii="Arial" w:hAnsi="Arial" w:cs="Arial"/>
        <w:color w:val="0F243E" w:themeColor="text2" w:themeShade="80"/>
        <w:sz w:val="14"/>
        <w:szCs w:val="14"/>
      </w:rPr>
    </w:pPr>
    <w:r w:rsidRPr="008223E2">
      <w:rPr>
        <w:rFonts w:ascii="Arial" w:hAnsi="Arial" w:cs="Arial"/>
        <w:sz w:val="14"/>
        <w:szCs w:val="14"/>
      </w:rPr>
      <w:t>This is a controlled document. The electronic version of the document is the most up to date version. A printed version is valid on the day of printing only</w:t>
    </w:r>
    <w:r>
      <w:rPr>
        <w:rFonts w:ascii="Arial" w:hAnsi="Arial" w:cs="Arial"/>
        <w:sz w:val="14"/>
        <w:szCs w:val="14"/>
      </w:rPr>
      <w:t>.</w:t>
    </w:r>
  </w:p>
  <w:p w:rsidR="007F069A" w:rsidRPr="002D7DF4" w:rsidRDefault="007F069A" w:rsidP="002E0EDD">
    <w:pPr>
      <w:tabs>
        <w:tab w:val="center" w:pos="4550"/>
        <w:tab w:val="left" w:pos="5818"/>
      </w:tabs>
      <w:ind w:left="-284" w:right="260"/>
      <w:rPr>
        <w:rFonts w:ascii="Arial" w:hAnsi="Arial" w:cs="Arial"/>
        <w:color w:val="0F243E" w:themeColor="text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01E" w:rsidRDefault="0040601E">
      <w:r>
        <w:separator/>
      </w:r>
    </w:p>
  </w:footnote>
  <w:footnote w:type="continuationSeparator" w:id="0">
    <w:p w:rsidR="0040601E" w:rsidRDefault="0040601E">
      <w:r>
        <w:continuationSeparator/>
      </w:r>
    </w:p>
  </w:footnote>
  <w:footnote w:id="1">
    <w:p w:rsidR="007F069A" w:rsidRPr="002A02FA" w:rsidRDefault="007F069A" w:rsidP="00D3382E">
      <w:pPr>
        <w:pStyle w:val="FootnoteText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69A" w:rsidRPr="002E74C6" w:rsidRDefault="007F069A" w:rsidP="002E74C6">
    <w:pPr>
      <w:pStyle w:val="Heading4"/>
      <w:rPr>
        <w:color w:val="808080" w:themeColor="background1" w:themeShade="80"/>
        <w:sz w:val="20"/>
      </w:rPr>
    </w:pPr>
    <w:r w:rsidRPr="002E74C6">
      <w:rPr>
        <w:color w:val="808080" w:themeColor="background1" w:themeShade="80"/>
        <w:sz w:val="20"/>
      </w:rPr>
      <w:t>National Screening Unit Policy Framework</w:t>
    </w:r>
  </w:p>
  <w:p w:rsidR="007F069A" w:rsidRPr="00312757" w:rsidRDefault="007F069A" w:rsidP="002E74C6">
    <w:pPr>
      <w:pStyle w:val="Heading4"/>
      <w:rPr>
        <w:color w:val="FF0000"/>
        <w:sz w:val="20"/>
      </w:rPr>
    </w:pPr>
    <w:r w:rsidRPr="002E74C6">
      <w:rPr>
        <w:color w:val="808080" w:themeColor="background1" w:themeShade="80"/>
        <w:sz w:val="20"/>
      </w:rPr>
      <w:t xml:space="preserve">NSU </w:t>
    </w:r>
    <w:r>
      <w:rPr>
        <w:color w:val="808080" w:themeColor="background1" w:themeShade="80"/>
        <w:sz w:val="20"/>
      </w:rPr>
      <w:t xml:space="preserve">Open Communication (03) Final </w:t>
    </w:r>
  </w:p>
  <w:p w:rsidR="007F069A" w:rsidRPr="002E74C6" w:rsidRDefault="007F069A">
    <w:pPr>
      <w:pStyle w:val="Header"/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C79"/>
    <w:multiLevelType w:val="hybridMultilevel"/>
    <w:tmpl w:val="02A61A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78C0"/>
    <w:multiLevelType w:val="hybridMultilevel"/>
    <w:tmpl w:val="B9C4292A"/>
    <w:lvl w:ilvl="0" w:tplc="903840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7B3D"/>
    <w:multiLevelType w:val="multilevel"/>
    <w:tmpl w:val="616E0E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220" w:hanging="432"/>
      </w:pPr>
    </w:lvl>
    <w:lvl w:ilvl="2">
      <w:start w:val="1"/>
      <w:numFmt w:val="decimal"/>
      <w:lvlText w:val="%1.%2.%3."/>
      <w:lvlJc w:val="left"/>
      <w:pPr>
        <w:ind w:left="2652" w:hanging="504"/>
      </w:pPr>
    </w:lvl>
    <w:lvl w:ilvl="3">
      <w:start w:val="1"/>
      <w:numFmt w:val="decimal"/>
      <w:lvlText w:val="%1.%2.%3.%4."/>
      <w:lvlJc w:val="left"/>
      <w:pPr>
        <w:ind w:left="3156" w:hanging="648"/>
      </w:pPr>
    </w:lvl>
    <w:lvl w:ilvl="4">
      <w:start w:val="1"/>
      <w:numFmt w:val="decimal"/>
      <w:lvlText w:val="%1.%2.%3.%4.%5."/>
      <w:lvlJc w:val="left"/>
      <w:pPr>
        <w:ind w:left="3660" w:hanging="792"/>
      </w:pPr>
    </w:lvl>
    <w:lvl w:ilvl="5">
      <w:start w:val="1"/>
      <w:numFmt w:val="decimal"/>
      <w:lvlText w:val="%1.%2.%3.%4.%5.%6."/>
      <w:lvlJc w:val="left"/>
      <w:pPr>
        <w:ind w:left="4164" w:hanging="936"/>
      </w:pPr>
    </w:lvl>
    <w:lvl w:ilvl="6">
      <w:start w:val="1"/>
      <w:numFmt w:val="decimal"/>
      <w:lvlText w:val="%1.%2.%3.%4.%5.%6.%7."/>
      <w:lvlJc w:val="left"/>
      <w:pPr>
        <w:ind w:left="4668" w:hanging="1080"/>
      </w:pPr>
    </w:lvl>
    <w:lvl w:ilvl="7">
      <w:start w:val="1"/>
      <w:numFmt w:val="decimal"/>
      <w:lvlText w:val="%1.%2.%3.%4.%5.%6.%7.%8."/>
      <w:lvlJc w:val="left"/>
      <w:pPr>
        <w:ind w:left="5172" w:hanging="1224"/>
      </w:pPr>
    </w:lvl>
    <w:lvl w:ilvl="8">
      <w:start w:val="1"/>
      <w:numFmt w:val="decimal"/>
      <w:lvlText w:val="%1.%2.%3.%4.%5.%6.%7.%8.%9."/>
      <w:lvlJc w:val="left"/>
      <w:pPr>
        <w:ind w:left="5748" w:hanging="1440"/>
      </w:pPr>
    </w:lvl>
  </w:abstractNum>
  <w:abstractNum w:abstractNumId="3" w15:restartNumberingAfterBreak="0">
    <w:nsid w:val="0C496CFC"/>
    <w:multiLevelType w:val="hybridMultilevel"/>
    <w:tmpl w:val="88964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E559"/>
    <w:multiLevelType w:val="hybridMultilevel"/>
    <w:tmpl w:val="45475F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4C2AFF"/>
    <w:multiLevelType w:val="hybridMultilevel"/>
    <w:tmpl w:val="0E6230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55BD"/>
    <w:multiLevelType w:val="hybridMultilevel"/>
    <w:tmpl w:val="950C83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6DDD"/>
    <w:multiLevelType w:val="hybridMultilevel"/>
    <w:tmpl w:val="DE5AB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10A0"/>
    <w:multiLevelType w:val="hybridMultilevel"/>
    <w:tmpl w:val="FD6E2896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1ABB218E"/>
    <w:multiLevelType w:val="hybridMultilevel"/>
    <w:tmpl w:val="3BDA86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5769"/>
    <w:multiLevelType w:val="hybridMultilevel"/>
    <w:tmpl w:val="61C42B7C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A782E"/>
    <w:multiLevelType w:val="hybridMultilevel"/>
    <w:tmpl w:val="AEE287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D1C76"/>
    <w:multiLevelType w:val="hybridMultilevel"/>
    <w:tmpl w:val="F8B28E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D5C6C"/>
    <w:multiLevelType w:val="multilevel"/>
    <w:tmpl w:val="317CAEF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C502E21"/>
    <w:multiLevelType w:val="hybridMultilevel"/>
    <w:tmpl w:val="DC5A285E"/>
    <w:lvl w:ilvl="0" w:tplc="903840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510EF"/>
    <w:multiLevelType w:val="hybridMultilevel"/>
    <w:tmpl w:val="C5C4A1FA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175E7"/>
    <w:multiLevelType w:val="hybridMultilevel"/>
    <w:tmpl w:val="A79208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44749"/>
    <w:multiLevelType w:val="hybridMultilevel"/>
    <w:tmpl w:val="F02A3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A4572"/>
    <w:multiLevelType w:val="hybridMultilevel"/>
    <w:tmpl w:val="C79A05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34C6B"/>
    <w:multiLevelType w:val="hybridMultilevel"/>
    <w:tmpl w:val="CE80BA0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C70C24"/>
    <w:multiLevelType w:val="hybridMultilevel"/>
    <w:tmpl w:val="07E63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B0770"/>
    <w:multiLevelType w:val="hybridMultilevel"/>
    <w:tmpl w:val="FA181DF0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8095D"/>
    <w:multiLevelType w:val="hybridMultilevel"/>
    <w:tmpl w:val="AE28E0CE"/>
    <w:lvl w:ilvl="0" w:tplc="1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8335B5F"/>
    <w:multiLevelType w:val="hybridMultilevel"/>
    <w:tmpl w:val="AE0EFE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276B4"/>
    <w:multiLevelType w:val="hybridMultilevel"/>
    <w:tmpl w:val="48180E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946D7"/>
    <w:multiLevelType w:val="hybridMultilevel"/>
    <w:tmpl w:val="1A385626"/>
    <w:lvl w:ilvl="0" w:tplc="A8F419DA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31" w:hanging="360"/>
      </w:pPr>
    </w:lvl>
    <w:lvl w:ilvl="2" w:tplc="1409001B" w:tentative="1">
      <w:start w:val="1"/>
      <w:numFmt w:val="lowerRoman"/>
      <w:lvlText w:val="%3."/>
      <w:lvlJc w:val="right"/>
      <w:pPr>
        <w:ind w:left="2451" w:hanging="180"/>
      </w:pPr>
    </w:lvl>
    <w:lvl w:ilvl="3" w:tplc="1409000F" w:tentative="1">
      <w:start w:val="1"/>
      <w:numFmt w:val="decimal"/>
      <w:lvlText w:val="%4."/>
      <w:lvlJc w:val="left"/>
      <w:pPr>
        <w:ind w:left="3171" w:hanging="360"/>
      </w:pPr>
    </w:lvl>
    <w:lvl w:ilvl="4" w:tplc="14090019" w:tentative="1">
      <w:start w:val="1"/>
      <w:numFmt w:val="lowerLetter"/>
      <w:lvlText w:val="%5."/>
      <w:lvlJc w:val="left"/>
      <w:pPr>
        <w:ind w:left="3891" w:hanging="360"/>
      </w:pPr>
    </w:lvl>
    <w:lvl w:ilvl="5" w:tplc="1409001B" w:tentative="1">
      <w:start w:val="1"/>
      <w:numFmt w:val="lowerRoman"/>
      <w:lvlText w:val="%6."/>
      <w:lvlJc w:val="right"/>
      <w:pPr>
        <w:ind w:left="4611" w:hanging="180"/>
      </w:pPr>
    </w:lvl>
    <w:lvl w:ilvl="6" w:tplc="1409000F" w:tentative="1">
      <w:start w:val="1"/>
      <w:numFmt w:val="decimal"/>
      <w:lvlText w:val="%7."/>
      <w:lvlJc w:val="left"/>
      <w:pPr>
        <w:ind w:left="5331" w:hanging="360"/>
      </w:pPr>
    </w:lvl>
    <w:lvl w:ilvl="7" w:tplc="14090019" w:tentative="1">
      <w:start w:val="1"/>
      <w:numFmt w:val="lowerLetter"/>
      <w:lvlText w:val="%8."/>
      <w:lvlJc w:val="left"/>
      <w:pPr>
        <w:ind w:left="6051" w:hanging="360"/>
      </w:pPr>
    </w:lvl>
    <w:lvl w:ilvl="8" w:tplc="1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7" w15:restartNumberingAfterBreak="0">
    <w:nsid w:val="6C942B3D"/>
    <w:multiLevelType w:val="hybridMultilevel"/>
    <w:tmpl w:val="0EE0FB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14FB3"/>
    <w:multiLevelType w:val="hybridMultilevel"/>
    <w:tmpl w:val="A17C84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C638D"/>
    <w:multiLevelType w:val="hybridMultilevel"/>
    <w:tmpl w:val="EBF817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3E1D75"/>
    <w:multiLevelType w:val="hybridMultilevel"/>
    <w:tmpl w:val="873EFC1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22"/>
  </w:num>
  <w:num w:numId="5">
    <w:abstractNumId w:val="13"/>
  </w:num>
  <w:num w:numId="6">
    <w:abstractNumId w:val="9"/>
  </w:num>
  <w:num w:numId="7">
    <w:abstractNumId w:val="11"/>
  </w:num>
  <w:num w:numId="8">
    <w:abstractNumId w:val="21"/>
  </w:num>
  <w:num w:numId="9">
    <w:abstractNumId w:val="10"/>
  </w:num>
  <w:num w:numId="10">
    <w:abstractNumId w:val="0"/>
  </w:num>
  <w:num w:numId="11">
    <w:abstractNumId w:val="27"/>
  </w:num>
  <w:num w:numId="12">
    <w:abstractNumId w:val="2"/>
  </w:num>
  <w:num w:numId="13">
    <w:abstractNumId w:val="20"/>
  </w:num>
  <w:num w:numId="14">
    <w:abstractNumId w:val="6"/>
  </w:num>
  <w:num w:numId="15">
    <w:abstractNumId w:val="26"/>
  </w:num>
  <w:num w:numId="16">
    <w:abstractNumId w:val="3"/>
  </w:num>
  <w:num w:numId="17">
    <w:abstractNumId w:val="23"/>
  </w:num>
  <w:num w:numId="18">
    <w:abstractNumId w:val="12"/>
  </w:num>
  <w:num w:numId="19">
    <w:abstractNumId w:val="1"/>
  </w:num>
  <w:num w:numId="20">
    <w:abstractNumId w:val="16"/>
  </w:num>
  <w:num w:numId="21">
    <w:abstractNumId w:val="29"/>
  </w:num>
  <w:num w:numId="22">
    <w:abstractNumId w:val="14"/>
  </w:num>
  <w:num w:numId="23">
    <w:abstractNumId w:val="30"/>
  </w:num>
  <w:num w:numId="24">
    <w:abstractNumId w:val="18"/>
  </w:num>
  <w:num w:numId="25">
    <w:abstractNumId w:val="7"/>
  </w:num>
  <w:num w:numId="26">
    <w:abstractNumId w:val="4"/>
  </w:num>
  <w:num w:numId="27">
    <w:abstractNumId w:val="28"/>
  </w:num>
  <w:num w:numId="28">
    <w:abstractNumId w:val="17"/>
  </w:num>
  <w:num w:numId="29">
    <w:abstractNumId w:val="19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32"/>
    <w:rsid w:val="0000000C"/>
    <w:rsid w:val="00000A11"/>
    <w:rsid w:val="00004A89"/>
    <w:rsid w:val="000114E6"/>
    <w:rsid w:val="00015212"/>
    <w:rsid w:val="000204A7"/>
    <w:rsid w:val="00046523"/>
    <w:rsid w:val="000532D7"/>
    <w:rsid w:val="0006016A"/>
    <w:rsid w:val="00062D0A"/>
    <w:rsid w:val="0006390C"/>
    <w:rsid w:val="00065D2A"/>
    <w:rsid w:val="0006716D"/>
    <w:rsid w:val="0008603E"/>
    <w:rsid w:val="00094989"/>
    <w:rsid w:val="000A00DD"/>
    <w:rsid w:val="000B0C35"/>
    <w:rsid w:val="000B2EE1"/>
    <w:rsid w:val="000B35D3"/>
    <w:rsid w:val="000B41B5"/>
    <w:rsid w:val="000B539E"/>
    <w:rsid w:val="000B5A24"/>
    <w:rsid w:val="000B7D3D"/>
    <w:rsid w:val="000C15E7"/>
    <w:rsid w:val="000D2987"/>
    <w:rsid w:val="000E2BB2"/>
    <w:rsid w:val="000E31FA"/>
    <w:rsid w:val="000E479D"/>
    <w:rsid w:val="000E58D8"/>
    <w:rsid w:val="000F5295"/>
    <w:rsid w:val="000F62DE"/>
    <w:rsid w:val="001039D3"/>
    <w:rsid w:val="00114F56"/>
    <w:rsid w:val="001200F9"/>
    <w:rsid w:val="001258DB"/>
    <w:rsid w:val="00131F7E"/>
    <w:rsid w:val="00144443"/>
    <w:rsid w:val="00145768"/>
    <w:rsid w:val="00152C2D"/>
    <w:rsid w:val="00163013"/>
    <w:rsid w:val="00163356"/>
    <w:rsid w:val="001654A1"/>
    <w:rsid w:val="001660C7"/>
    <w:rsid w:val="001672B4"/>
    <w:rsid w:val="0017158A"/>
    <w:rsid w:val="001768BF"/>
    <w:rsid w:val="00190316"/>
    <w:rsid w:val="00197224"/>
    <w:rsid w:val="001A0E0D"/>
    <w:rsid w:val="001B6E49"/>
    <w:rsid w:val="001C4F62"/>
    <w:rsid w:val="001D10BA"/>
    <w:rsid w:val="001F1EE2"/>
    <w:rsid w:val="001F231C"/>
    <w:rsid w:val="00200552"/>
    <w:rsid w:val="00210BFD"/>
    <w:rsid w:val="002114DA"/>
    <w:rsid w:val="002266A0"/>
    <w:rsid w:val="002268BA"/>
    <w:rsid w:val="00231F41"/>
    <w:rsid w:val="0024015E"/>
    <w:rsid w:val="00257576"/>
    <w:rsid w:val="00270F9C"/>
    <w:rsid w:val="002742C3"/>
    <w:rsid w:val="002A17FC"/>
    <w:rsid w:val="002A7F7A"/>
    <w:rsid w:val="002B1DD9"/>
    <w:rsid w:val="002B22F3"/>
    <w:rsid w:val="002B3B0D"/>
    <w:rsid w:val="002B5800"/>
    <w:rsid w:val="002C1094"/>
    <w:rsid w:val="002D4E82"/>
    <w:rsid w:val="002D7DF4"/>
    <w:rsid w:val="002E0EDD"/>
    <w:rsid w:val="002E18BE"/>
    <w:rsid w:val="002E1F2E"/>
    <w:rsid w:val="002E4020"/>
    <w:rsid w:val="002E510C"/>
    <w:rsid w:val="002E74C6"/>
    <w:rsid w:val="002F37F3"/>
    <w:rsid w:val="002F5640"/>
    <w:rsid w:val="002F5FAA"/>
    <w:rsid w:val="00307F6E"/>
    <w:rsid w:val="00312757"/>
    <w:rsid w:val="003175F0"/>
    <w:rsid w:val="003265F6"/>
    <w:rsid w:val="00333B5C"/>
    <w:rsid w:val="0035187B"/>
    <w:rsid w:val="00360C17"/>
    <w:rsid w:val="00372647"/>
    <w:rsid w:val="0038323A"/>
    <w:rsid w:val="00384510"/>
    <w:rsid w:val="0038599D"/>
    <w:rsid w:val="003A15C2"/>
    <w:rsid w:val="003A2541"/>
    <w:rsid w:val="003A3CEC"/>
    <w:rsid w:val="003B1362"/>
    <w:rsid w:val="003B34DE"/>
    <w:rsid w:val="003B54FE"/>
    <w:rsid w:val="003C2C59"/>
    <w:rsid w:val="003D5D07"/>
    <w:rsid w:val="003E20AF"/>
    <w:rsid w:val="003E4C6F"/>
    <w:rsid w:val="003F1F34"/>
    <w:rsid w:val="003F542D"/>
    <w:rsid w:val="0040601E"/>
    <w:rsid w:val="00411C11"/>
    <w:rsid w:val="00434AE7"/>
    <w:rsid w:val="00460FDC"/>
    <w:rsid w:val="00465210"/>
    <w:rsid w:val="004674F6"/>
    <w:rsid w:val="00477C55"/>
    <w:rsid w:val="00480864"/>
    <w:rsid w:val="00482DCD"/>
    <w:rsid w:val="00484FD3"/>
    <w:rsid w:val="00486754"/>
    <w:rsid w:val="00490C47"/>
    <w:rsid w:val="004B1C8C"/>
    <w:rsid w:val="004C0A05"/>
    <w:rsid w:val="004C559D"/>
    <w:rsid w:val="004C73AE"/>
    <w:rsid w:val="004D6970"/>
    <w:rsid w:val="004E4C77"/>
    <w:rsid w:val="004F57D7"/>
    <w:rsid w:val="005266A9"/>
    <w:rsid w:val="0054073B"/>
    <w:rsid w:val="00551E55"/>
    <w:rsid w:val="00556787"/>
    <w:rsid w:val="00561531"/>
    <w:rsid w:val="00583419"/>
    <w:rsid w:val="00587DDA"/>
    <w:rsid w:val="0059686A"/>
    <w:rsid w:val="00596E53"/>
    <w:rsid w:val="005975EC"/>
    <w:rsid w:val="00597ACD"/>
    <w:rsid w:val="005B2835"/>
    <w:rsid w:val="005B77E4"/>
    <w:rsid w:val="005C427A"/>
    <w:rsid w:val="005E196C"/>
    <w:rsid w:val="005E1FC7"/>
    <w:rsid w:val="005F09AF"/>
    <w:rsid w:val="00614218"/>
    <w:rsid w:val="0062471B"/>
    <w:rsid w:val="006321F3"/>
    <w:rsid w:val="00635588"/>
    <w:rsid w:val="00637B8C"/>
    <w:rsid w:val="006450F6"/>
    <w:rsid w:val="00646A35"/>
    <w:rsid w:val="00650982"/>
    <w:rsid w:val="006563D7"/>
    <w:rsid w:val="00660235"/>
    <w:rsid w:val="00675392"/>
    <w:rsid w:val="006842AC"/>
    <w:rsid w:val="006859F0"/>
    <w:rsid w:val="00687619"/>
    <w:rsid w:val="006A6070"/>
    <w:rsid w:val="006A6ADC"/>
    <w:rsid w:val="006B23A4"/>
    <w:rsid w:val="006C02AE"/>
    <w:rsid w:val="006C2D63"/>
    <w:rsid w:val="006C5150"/>
    <w:rsid w:val="006C54AE"/>
    <w:rsid w:val="006D51B3"/>
    <w:rsid w:val="006E5ACF"/>
    <w:rsid w:val="006F34C3"/>
    <w:rsid w:val="006F7512"/>
    <w:rsid w:val="00704608"/>
    <w:rsid w:val="00710C05"/>
    <w:rsid w:val="00714376"/>
    <w:rsid w:val="00721873"/>
    <w:rsid w:val="0072199A"/>
    <w:rsid w:val="0072425C"/>
    <w:rsid w:val="00736A90"/>
    <w:rsid w:val="007464AD"/>
    <w:rsid w:val="00754A1C"/>
    <w:rsid w:val="00755057"/>
    <w:rsid w:val="007613CF"/>
    <w:rsid w:val="0076381A"/>
    <w:rsid w:val="00775026"/>
    <w:rsid w:val="00777B7B"/>
    <w:rsid w:val="00797BE6"/>
    <w:rsid w:val="007A0400"/>
    <w:rsid w:val="007A4A92"/>
    <w:rsid w:val="007B38BB"/>
    <w:rsid w:val="007B5946"/>
    <w:rsid w:val="007B6D77"/>
    <w:rsid w:val="007C6397"/>
    <w:rsid w:val="007D48E6"/>
    <w:rsid w:val="007D5832"/>
    <w:rsid w:val="007E1533"/>
    <w:rsid w:val="007E35BB"/>
    <w:rsid w:val="007E7084"/>
    <w:rsid w:val="007F069A"/>
    <w:rsid w:val="007F6747"/>
    <w:rsid w:val="0080070D"/>
    <w:rsid w:val="008101B2"/>
    <w:rsid w:val="00812D52"/>
    <w:rsid w:val="00814A18"/>
    <w:rsid w:val="008331D0"/>
    <w:rsid w:val="00833BFC"/>
    <w:rsid w:val="00833C72"/>
    <w:rsid w:val="00841CA5"/>
    <w:rsid w:val="00841CC6"/>
    <w:rsid w:val="00844039"/>
    <w:rsid w:val="00845642"/>
    <w:rsid w:val="0086240D"/>
    <w:rsid w:val="008767AB"/>
    <w:rsid w:val="00884A03"/>
    <w:rsid w:val="00890832"/>
    <w:rsid w:val="00896361"/>
    <w:rsid w:val="00897116"/>
    <w:rsid w:val="008A1F0C"/>
    <w:rsid w:val="008A34D7"/>
    <w:rsid w:val="008A407C"/>
    <w:rsid w:val="008B1A1A"/>
    <w:rsid w:val="008B42B8"/>
    <w:rsid w:val="008C2621"/>
    <w:rsid w:val="008C726E"/>
    <w:rsid w:val="008D4339"/>
    <w:rsid w:val="008D766F"/>
    <w:rsid w:val="008F2122"/>
    <w:rsid w:val="008F4C8C"/>
    <w:rsid w:val="00900F4E"/>
    <w:rsid w:val="00904809"/>
    <w:rsid w:val="009103A7"/>
    <w:rsid w:val="009138C8"/>
    <w:rsid w:val="00931F5F"/>
    <w:rsid w:val="00935AB3"/>
    <w:rsid w:val="00937281"/>
    <w:rsid w:val="00937802"/>
    <w:rsid w:val="00937F8C"/>
    <w:rsid w:val="009723F6"/>
    <w:rsid w:val="00982FB6"/>
    <w:rsid w:val="0098555B"/>
    <w:rsid w:val="009866FE"/>
    <w:rsid w:val="00997AFD"/>
    <w:rsid w:val="009A2FB1"/>
    <w:rsid w:val="009A3179"/>
    <w:rsid w:val="009A45DD"/>
    <w:rsid w:val="009A5A9A"/>
    <w:rsid w:val="009B6EB4"/>
    <w:rsid w:val="009D3DDD"/>
    <w:rsid w:val="009E0F5E"/>
    <w:rsid w:val="00A0722E"/>
    <w:rsid w:val="00A27A49"/>
    <w:rsid w:val="00A30982"/>
    <w:rsid w:val="00A367F8"/>
    <w:rsid w:val="00A45A81"/>
    <w:rsid w:val="00A52F30"/>
    <w:rsid w:val="00A56FCF"/>
    <w:rsid w:val="00A622C9"/>
    <w:rsid w:val="00A76717"/>
    <w:rsid w:val="00A8477A"/>
    <w:rsid w:val="00A93D2D"/>
    <w:rsid w:val="00AA2F39"/>
    <w:rsid w:val="00AA7E28"/>
    <w:rsid w:val="00AB05D9"/>
    <w:rsid w:val="00AB31AD"/>
    <w:rsid w:val="00AC060A"/>
    <w:rsid w:val="00AD20CB"/>
    <w:rsid w:val="00AE2FFF"/>
    <w:rsid w:val="00AF3065"/>
    <w:rsid w:val="00B00B6B"/>
    <w:rsid w:val="00B132AF"/>
    <w:rsid w:val="00B16C7F"/>
    <w:rsid w:val="00B247BE"/>
    <w:rsid w:val="00B4746C"/>
    <w:rsid w:val="00B5645F"/>
    <w:rsid w:val="00B67936"/>
    <w:rsid w:val="00B740DC"/>
    <w:rsid w:val="00B90413"/>
    <w:rsid w:val="00B90E0E"/>
    <w:rsid w:val="00B94DB6"/>
    <w:rsid w:val="00B979F1"/>
    <w:rsid w:val="00BA4D80"/>
    <w:rsid w:val="00BA6F5C"/>
    <w:rsid w:val="00BB2C62"/>
    <w:rsid w:val="00BC3200"/>
    <w:rsid w:val="00BC7D6C"/>
    <w:rsid w:val="00BE0566"/>
    <w:rsid w:val="00BE2A78"/>
    <w:rsid w:val="00BF4726"/>
    <w:rsid w:val="00C0014D"/>
    <w:rsid w:val="00C16844"/>
    <w:rsid w:val="00C2765B"/>
    <w:rsid w:val="00C33556"/>
    <w:rsid w:val="00C34122"/>
    <w:rsid w:val="00C3462D"/>
    <w:rsid w:val="00C51A70"/>
    <w:rsid w:val="00C5568F"/>
    <w:rsid w:val="00C62B87"/>
    <w:rsid w:val="00C7744F"/>
    <w:rsid w:val="00C81944"/>
    <w:rsid w:val="00C85668"/>
    <w:rsid w:val="00C95028"/>
    <w:rsid w:val="00C96CF6"/>
    <w:rsid w:val="00CC51CB"/>
    <w:rsid w:val="00CF3EA1"/>
    <w:rsid w:val="00D00A59"/>
    <w:rsid w:val="00D03E5B"/>
    <w:rsid w:val="00D04561"/>
    <w:rsid w:val="00D05B89"/>
    <w:rsid w:val="00D101F7"/>
    <w:rsid w:val="00D11379"/>
    <w:rsid w:val="00D1245A"/>
    <w:rsid w:val="00D132F9"/>
    <w:rsid w:val="00D15966"/>
    <w:rsid w:val="00D232F2"/>
    <w:rsid w:val="00D23E52"/>
    <w:rsid w:val="00D241B9"/>
    <w:rsid w:val="00D242FF"/>
    <w:rsid w:val="00D32ED2"/>
    <w:rsid w:val="00D3382E"/>
    <w:rsid w:val="00D33934"/>
    <w:rsid w:val="00D42545"/>
    <w:rsid w:val="00D44350"/>
    <w:rsid w:val="00D505C0"/>
    <w:rsid w:val="00D53850"/>
    <w:rsid w:val="00D66611"/>
    <w:rsid w:val="00D66DF3"/>
    <w:rsid w:val="00D76480"/>
    <w:rsid w:val="00D76536"/>
    <w:rsid w:val="00D80894"/>
    <w:rsid w:val="00D85705"/>
    <w:rsid w:val="00D85C55"/>
    <w:rsid w:val="00D86CF4"/>
    <w:rsid w:val="00D91A3E"/>
    <w:rsid w:val="00D931EA"/>
    <w:rsid w:val="00DB5B17"/>
    <w:rsid w:val="00DD458B"/>
    <w:rsid w:val="00DD5955"/>
    <w:rsid w:val="00DD6617"/>
    <w:rsid w:val="00DD69A8"/>
    <w:rsid w:val="00DE559F"/>
    <w:rsid w:val="00DE7583"/>
    <w:rsid w:val="00DF1F82"/>
    <w:rsid w:val="00E26E0D"/>
    <w:rsid w:val="00E45E52"/>
    <w:rsid w:val="00E57749"/>
    <w:rsid w:val="00E62636"/>
    <w:rsid w:val="00E62B14"/>
    <w:rsid w:val="00E73FD2"/>
    <w:rsid w:val="00E87D6F"/>
    <w:rsid w:val="00EA23B3"/>
    <w:rsid w:val="00ED1910"/>
    <w:rsid w:val="00EE1837"/>
    <w:rsid w:val="00EE22CF"/>
    <w:rsid w:val="00EE6206"/>
    <w:rsid w:val="00EF16FE"/>
    <w:rsid w:val="00F00818"/>
    <w:rsid w:val="00F024C7"/>
    <w:rsid w:val="00F07213"/>
    <w:rsid w:val="00F15BC2"/>
    <w:rsid w:val="00F21AB1"/>
    <w:rsid w:val="00F24945"/>
    <w:rsid w:val="00F3586A"/>
    <w:rsid w:val="00F40CA1"/>
    <w:rsid w:val="00F53A3C"/>
    <w:rsid w:val="00F53E42"/>
    <w:rsid w:val="00F71075"/>
    <w:rsid w:val="00F77E64"/>
    <w:rsid w:val="00F9350C"/>
    <w:rsid w:val="00FA4C15"/>
    <w:rsid w:val="00FB2CCB"/>
    <w:rsid w:val="00FB47AA"/>
    <w:rsid w:val="00FB5681"/>
    <w:rsid w:val="00FB79F4"/>
    <w:rsid w:val="00FC2810"/>
    <w:rsid w:val="00FD2494"/>
    <w:rsid w:val="00FF44E6"/>
    <w:rsid w:val="00FF5035"/>
    <w:rsid w:val="00FF6C09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E731D-CED8-4F47-887D-D556EC65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A92"/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90832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90832"/>
    <w:pPr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basedOn w:val="DefaultParagraphFont"/>
    <w:link w:val="Heading4"/>
    <w:rsid w:val="00890832"/>
    <w:rPr>
      <w:rFonts w:eastAsia="Times New Roman" w:cs="Arial"/>
      <w:b/>
      <w:color w:val="000000"/>
      <w:sz w:val="32"/>
      <w:szCs w:val="20"/>
      <w:lang w:val="en-US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890832"/>
    <w:rPr>
      <w:rFonts w:ascii="Times New Roman" w:eastAsia="Times New Roman" w:hAnsi="Times New Roman" w:cs="Times New Roman"/>
      <w:b/>
      <w:color w:val="000000"/>
      <w:sz w:val="22"/>
      <w:szCs w:val="20"/>
      <w:lang w:val="en-US"/>
    </w:rPr>
  </w:style>
  <w:style w:type="paragraph" w:customStyle="1" w:styleId="BlockLine">
    <w:name w:val="Block Line"/>
    <w:basedOn w:val="Normal"/>
    <w:next w:val="Normal"/>
    <w:rsid w:val="00890832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qFormat/>
    <w:rsid w:val="00890832"/>
  </w:style>
  <w:style w:type="paragraph" w:customStyle="1" w:styleId="BulletText1">
    <w:name w:val="Bullet Text 1"/>
    <w:basedOn w:val="Normal"/>
    <w:qFormat/>
    <w:rsid w:val="00890832"/>
    <w:pPr>
      <w:numPr>
        <w:numId w:val="1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90832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EmbeddedText">
    <w:name w:val="Embedded Text"/>
    <w:basedOn w:val="Normal"/>
    <w:rsid w:val="00890832"/>
    <w:rPr>
      <w:szCs w:val="20"/>
    </w:rPr>
  </w:style>
  <w:style w:type="paragraph" w:customStyle="1" w:styleId="MapTitleContinued">
    <w:name w:val="Map Title. Continued"/>
    <w:basedOn w:val="Normal"/>
    <w:next w:val="Normal"/>
    <w:rsid w:val="00890832"/>
    <w:pPr>
      <w:spacing w:after="240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90832"/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Text">
    <w:name w:val="Table Header Text"/>
    <w:basedOn w:val="Normal"/>
    <w:rsid w:val="00890832"/>
    <w:pPr>
      <w:jc w:val="center"/>
    </w:pPr>
    <w:rPr>
      <w:b/>
      <w:szCs w:val="20"/>
    </w:rPr>
  </w:style>
  <w:style w:type="paragraph" w:customStyle="1" w:styleId="TableText">
    <w:name w:val="Table Text"/>
    <w:basedOn w:val="Normal"/>
    <w:qFormat/>
    <w:rsid w:val="00890832"/>
    <w:rPr>
      <w:szCs w:val="20"/>
    </w:rPr>
  </w:style>
  <w:style w:type="paragraph" w:styleId="Footer">
    <w:name w:val="footer"/>
    <w:basedOn w:val="Normal"/>
    <w:link w:val="FooterChar"/>
    <w:uiPriority w:val="99"/>
    <w:rsid w:val="00890832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90832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266A9"/>
    <w:pPr>
      <w:numPr>
        <w:numId w:val="5"/>
      </w:numPr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3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2F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2F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F2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customStyle="1" w:styleId="Default">
    <w:name w:val="Default"/>
    <w:rsid w:val="00650982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3B5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FE"/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62B14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2B14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E62B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23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23F6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72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E36C-B9F7-4189-942B-973F0E4A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235C52E8</Template>
  <TotalTime>7</TotalTime>
  <Pages>9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Nolan</dc:creator>
  <cp:keywords/>
  <dc:description/>
  <cp:lastModifiedBy>Christine Nolan</cp:lastModifiedBy>
  <cp:revision>8</cp:revision>
  <cp:lastPrinted>2019-09-05T02:19:00Z</cp:lastPrinted>
  <dcterms:created xsi:type="dcterms:W3CDTF">2019-08-21T01:48:00Z</dcterms:created>
  <dcterms:modified xsi:type="dcterms:W3CDTF">2019-11-05T01:18:00Z</dcterms:modified>
</cp:coreProperties>
</file>