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80F32" w14:textId="77777777" w:rsidR="00C86248" w:rsidRDefault="000712FB" w:rsidP="00926083">
      <w:pPr>
        <w:pStyle w:val="Title"/>
      </w:pPr>
      <w:r>
        <w:t>NSU Auditing Handbook</w:t>
      </w:r>
    </w:p>
    <w:p w14:paraId="7B780F33" w14:textId="77777777" w:rsidR="00D27922" w:rsidRPr="000712FB" w:rsidRDefault="000712FB" w:rsidP="00D27922">
      <w:pPr>
        <w:pStyle w:val="Subhead"/>
        <w:rPr>
          <w:sz w:val="48"/>
          <w:szCs w:val="48"/>
        </w:rPr>
      </w:pPr>
      <w:r w:rsidRPr="000712FB">
        <w:rPr>
          <w:sz w:val="48"/>
          <w:szCs w:val="48"/>
        </w:rPr>
        <w:t>Part One: General and audit programme requirements</w:t>
      </w:r>
    </w:p>
    <w:p w14:paraId="7B780F34" w14:textId="77777777" w:rsidR="00D27922" w:rsidRDefault="000712FB" w:rsidP="000712FB">
      <w:pPr>
        <w:pStyle w:val="Subhead"/>
      </w:pPr>
      <w:r>
        <w:t>For National Screening Unit programmes</w:t>
      </w:r>
    </w:p>
    <w:p w14:paraId="7B780F35" w14:textId="77777777" w:rsidR="000712FB" w:rsidRPr="000712FB" w:rsidRDefault="000712FB" w:rsidP="000712FB">
      <w:pPr>
        <w:pStyle w:val="Year"/>
      </w:pPr>
      <w:r>
        <w:t>February 2021</w:t>
      </w:r>
    </w:p>
    <w:p w14:paraId="7B780F36" w14:textId="77777777" w:rsidR="00C05132" w:rsidRDefault="00C05132" w:rsidP="00A06BE4"/>
    <w:p w14:paraId="7B780F37"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7B780F38"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980E99">
        <w:rPr>
          <w:rFonts w:cs="Segoe UI"/>
        </w:rPr>
        <w:t>2021</w:t>
      </w:r>
      <w:r w:rsidR="00442C1C" w:rsidRPr="00C05132">
        <w:rPr>
          <w:rFonts w:cs="Segoe UI"/>
        </w:rPr>
        <w:t xml:space="preserve">. </w:t>
      </w:r>
      <w:r w:rsidR="00980E99">
        <w:rPr>
          <w:rFonts w:cs="Segoe UI"/>
          <w:i/>
        </w:rPr>
        <w:t>NSU Auditing Handbook Part One: General and audit programme requirements</w:t>
      </w:r>
      <w:r w:rsidR="00442C1C" w:rsidRPr="00C05132">
        <w:rPr>
          <w:rFonts w:cs="Segoe UI"/>
        </w:rPr>
        <w:t>. Wellington: Ministry of Health.</w:t>
      </w:r>
    </w:p>
    <w:p w14:paraId="7B780F39" w14:textId="72C35F4A" w:rsidR="00C86248" w:rsidRDefault="00C86248">
      <w:pPr>
        <w:pStyle w:val="Imprint"/>
      </w:pPr>
      <w:r>
        <w:t xml:space="preserve">Published in </w:t>
      </w:r>
      <w:r w:rsidR="00E21E3D">
        <w:t>December</w:t>
      </w:r>
      <w:r w:rsidR="00980E99">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7B780F3A" w14:textId="2995E934" w:rsidR="00082CD6" w:rsidRPr="009C0F2D" w:rsidRDefault="00D863D0" w:rsidP="00082CD6">
      <w:pPr>
        <w:pStyle w:val="Imprint"/>
      </w:pPr>
      <w:r>
        <w:t>ISBN</w:t>
      </w:r>
      <w:r w:rsidR="00442C1C">
        <w:t xml:space="preserve"> </w:t>
      </w:r>
      <w:r w:rsidR="00212CFF" w:rsidRPr="00212CFF">
        <w:t>978-1-99-110004-7</w:t>
      </w:r>
      <w:r w:rsidR="002B7BEC">
        <w:t xml:space="preserve"> </w:t>
      </w:r>
      <w:r>
        <w:t>(</w:t>
      </w:r>
      <w:r w:rsidR="00442C1C">
        <w:t>online</w:t>
      </w:r>
      <w:r>
        <w:t>)</w:t>
      </w:r>
      <w:r w:rsidR="00082CD6">
        <w:br/>
      </w:r>
      <w:r w:rsidR="00082CD6" w:rsidRPr="009C0F2D">
        <w:t xml:space="preserve">HP </w:t>
      </w:r>
      <w:r w:rsidR="005E1C5F">
        <w:t>8007</w:t>
      </w:r>
    </w:p>
    <w:p w14:paraId="7B780F3B" w14:textId="77777777" w:rsidR="00C86248" w:rsidRDefault="008C64C4" w:rsidP="00D27922">
      <w:pPr>
        <w:spacing w:before="360"/>
      </w:pPr>
      <w:r>
        <w:rPr>
          <w:noProof/>
          <w:lang w:eastAsia="en-NZ"/>
        </w:rPr>
        <w:drawing>
          <wp:inline distT="0" distB="0" distL="0" distR="0" wp14:anchorId="7B7813B9" wp14:editId="546D2D56">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7B780F3C"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B780F3F" w14:textId="77777777" w:rsidTr="00A63DFF">
        <w:trPr>
          <w:cantSplit/>
        </w:trPr>
        <w:tc>
          <w:tcPr>
            <w:tcW w:w="1526" w:type="dxa"/>
          </w:tcPr>
          <w:p w14:paraId="7B780F3D"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7B7813BB" wp14:editId="7B7813B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B780F3E"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7B780F40" w14:textId="77777777" w:rsidR="007E74F1" w:rsidRPr="001F45A7" w:rsidRDefault="007E74F1" w:rsidP="006E2886">
      <w:pPr>
        <w:pStyle w:val="Imprint"/>
      </w:pPr>
    </w:p>
    <w:p w14:paraId="7B780F41"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7B780F42" w14:textId="77777777" w:rsidR="00C86248" w:rsidRDefault="00C86248" w:rsidP="00025A6F">
      <w:pPr>
        <w:pStyle w:val="IntroHead"/>
      </w:pPr>
      <w:bookmarkStart w:id="0" w:name="_Toc405792991"/>
      <w:bookmarkStart w:id="1" w:name="_Toc405793224"/>
      <w:r>
        <w:lastRenderedPageBreak/>
        <w:t>Contents</w:t>
      </w:r>
      <w:bookmarkEnd w:id="0"/>
      <w:bookmarkEnd w:id="1"/>
    </w:p>
    <w:p w14:paraId="422377E2" w14:textId="0AD90E2F" w:rsidR="00833687" w:rsidRDefault="00833687">
      <w:pPr>
        <w:pStyle w:val="TOC2"/>
        <w:rPr>
          <w:rFonts w:asciiTheme="minorHAnsi" w:eastAsiaTheme="minorEastAsia" w:hAnsiTheme="minorHAnsi" w:cstheme="minorBidi"/>
          <w:noProof/>
          <w:sz w:val="22"/>
          <w:szCs w:val="22"/>
          <w:lang w:eastAsia="en-NZ"/>
        </w:rPr>
      </w:pPr>
      <w:r>
        <w:rPr>
          <w:b/>
        </w:rPr>
        <w:fldChar w:fldCharType="begin"/>
      </w:r>
      <w:r>
        <w:rPr>
          <w:b/>
        </w:rPr>
        <w:instrText xml:space="preserve"> TOC \h \z \t "Heading 1,2,Heading 2,3,Section heading,1,Heading 1 - no number,2,Heading 2 - no number,3,Heading 1 - appendices,2" </w:instrText>
      </w:r>
      <w:r>
        <w:rPr>
          <w:b/>
        </w:rPr>
        <w:fldChar w:fldCharType="separate"/>
      </w:r>
      <w:hyperlink w:anchor="_Toc90391820" w:history="1">
        <w:r w:rsidRPr="0006378C">
          <w:rPr>
            <w:rStyle w:val="Hyperlink"/>
            <w:noProof/>
          </w:rPr>
          <w:t>1</w:t>
        </w:r>
        <w:r>
          <w:rPr>
            <w:rFonts w:asciiTheme="minorHAnsi" w:eastAsiaTheme="minorEastAsia" w:hAnsiTheme="minorHAnsi" w:cstheme="minorBidi"/>
            <w:noProof/>
            <w:sz w:val="22"/>
            <w:szCs w:val="22"/>
            <w:lang w:eastAsia="en-NZ"/>
          </w:rPr>
          <w:tab/>
        </w:r>
        <w:r w:rsidRPr="0006378C">
          <w:rPr>
            <w:rStyle w:val="Hyperlink"/>
            <w:noProof/>
          </w:rPr>
          <w:t>Introduction</w:t>
        </w:r>
        <w:r>
          <w:rPr>
            <w:noProof/>
            <w:webHidden/>
          </w:rPr>
          <w:tab/>
        </w:r>
        <w:r>
          <w:rPr>
            <w:noProof/>
            <w:webHidden/>
          </w:rPr>
          <w:fldChar w:fldCharType="begin"/>
        </w:r>
        <w:r>
          <w:rPr>
            <w:noProof/>
            <w:webHidden/>
          </w:rPr>
          <w:instrText xml:space="preserve"> PAGEREF _Toc90391820 \h </w:instrText>
        </w:r>
        <w:r>
          <w:rPr>
            <w:noProof/>
            <w:webHidden/>
          </w:rPr>
        </w:r>
        <w:r>
          <w:rPr>
            <w:noProof/>
            <w:webHidden/>
          </w:rPr>
          <w:fldChar w:fldCharType="separate"/>
        </w:r>
        <w:r w:rsidR="002861DC">
          <w:rPr>
            <w:noProof/>
            <w:webHidden/>
          </w:rPr>
          <w:t>1</w:t>
        </w:r>
        <w:r>
          <w:rPr>
            <w:noProof/>
            <w:webHidden/>
          </w:rPr>
          <w:fldChar w:fldCharType="end"/>
        </w:r>
      </w:hyperlink>
    </w:p>
    <w:p w14:paraId="65BAE467" w14:textId="51AA8222"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21" w:history="1">
        <w:r w:rsidRPr="0006378C">
          <w:rPr>
            <w:rStyle w:val="Hyperlink"/>
            <w:rFonts w:eastAsia="Arial"/>
            <w:noProof/>
          </w:rPr>
          <w:t>1.1</w:t>
        </w:r>
        <w:r>
          <w:rPr>
            <w:rFonts w:asciiTheme="minorHAnsi" w:eastAsiaTheme="minorEastAsia" w:hAnsiTheme="minorHAnsi" w:cstheme="minorBidi"/>
            <w:noProof/>
            <w:sz w:val="22"/>
            <w:szCs w:val="22"/>
            <w:lang w:eastAsia="en-NZ"/>
          </w:rPr>
          <w:tab/>
        </w:r>
        <w:r w:rsidRPr="0006378C">
          <w:rPr>
            <w:rStyle w:val="Hyperlink"/>
            <w:rFonts w:eastAsia="Arial"/>
            <w:noProof/>
          </w:rPr>
          <w:t>NSU quality principles</w:t>
        </w:r>
        <w:r>
          <w:rPr>
            <w:noProof/>
            <w:webHidden/>
          </w:rPr>
          <w:tab/>
        </w:r>
        <w:r>
          <w:rPr>
            <w:noProof/>
            <w:webHidden/>
          </w:rPr>
          <w:fldChar w:fldCharType="begin"/>
        </w:r>
        <w:r>
          <w:rPr>
            <w:noProof/>
            <w:webHidden/>
          </w:rPr>
          <w:instrText xml:space="preserve"> PAGEREF _Toc90391821 \h </w:instrText>
        </w:r>
        <w:r>
          <w:rPr>
            <w:noProof/>
            <w:webHidden/>
          </w:rPr>
        </w:r>
        <w:r>
          <w:rPr>
            <w:noProof/>
            <w:webHidden/>
          </w:rPr>
          <w:fldChar w:fldCharType="separate"/>
        </w:r>
        <w:r w:rsidR="002861DC">
          <w:rPr>
            <w:noProof/>
            <w:webHidden/>
          </w:rPr>
          <w:t>1</w:t>
        </w:r>
        <w:r>
          <w:rPr>
            <w:noProof/>
            <w:webHidden/>
          </w:rPr>
          <w:fldChar w:fldCharType="end"/>
        </w:r>
      </w:hyperlink>
    </w:p>
    <w:p w14:paraId="4DD93250" w14:textId="1CA0BFF8"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22" w:history="1">
        <w:r w:rsidRPr="0006378C">
          <w:rPr>
            <w:rStyle w:val="Hyperlink"/>
            <w:rFonts w:eastAsia="Arial"/>
            <w:noProof/>
          </w:rPr>
          <w:t>1.2</w:t>
        </w:r>
        <w:r>
          <w:rPr>
            <w:rFonts w:asciiTheme="minorHAnsi" w:eastAsiaTheme="minorEastAsia" w:hAnsiTheme="minorHAnsi" w:cstheme="minorBidi"/>
            <w:noProof/>
            <w:sz w:val="22"/>
            <w:szCs w:val="22"/>
            <w:lang w:eastAsia="en-NZ"/>
          </w:rPr>
          <w:tab/>
        </w:r>
        <w:r w:rsidRPr="0006378C">
          <w:rPr>
            <w:rStyle w:val="Hyperlink"/>
            <w:rFonts w:eastAsia="Arial"/>
            <w:noProof/>
          </w:rPr>
          <w:t>Updating the handbook online</w:t>
        </w:r>
        <w:r>
          <w:rPr>
            <w:noProof/>
            <w:webHidden/>
          </w:rPr>
          <w:tab/>
        </w:r>
        <w:r>
          <w:rPr>
            <w:noProof/>
            <w:webHidden/>
          </w:rPr>
          <w:fldChar w:fldCharType="begin"/>
        </w:r>
        <w:r>
          <w:rPr>
            <w:noProof/>
            <w:webHidden/>
          </w:rPr>
          <w:instrText xml:space="preserve"> PAGEREF _Toc90391822 \h </w:instrText>
        </w:r>
        <w:r>
          <w:rPr>
            <w:noProof/>
            <w:webHidden/>
          </w:rPr>
        </w:r>
        <w:r>
          <w:rPr>
            <w:noProof/>
            <w:webHidden/>
          </w:rPr>
          <w:fldChar w:fldCharType="separate"/>
        </w:r>
        <w:r w:rsidR="002861DC">
          <w:rPr>
            <w:noProof/>
            <w:webHidden/>
          </w:rPr>
          <w:t>2</w:t>
        </w:r>
        <w:r>
          <w:rPr>
            <w:noProof/>
            <w:webHidden/>
          </w:rPr>
          <w:fldChar w:fldCharType="end"/>
        </w:r>
      </w:hyperlink>
    </w:p>
    <w:p w14:paraId="206BFA4F" w14:textId="10153B5D"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23" w:history="1">
        <w:r w:rsidRPr="0006378C">
          <w:rPr>
            <w:rStyle w:val="Hyperlink"/>
            <w:rFonts w:eastAsia="Arial"/>
            <w:noProof/>
          </w:rPr>
          <w:t>1.3</w:t>
        </w:r>
        <w:r>
          <w:rPr>
            <w:rFonts w:asciiTheme="minorHAnsi" w:eastAsiaTheme="minorEastAsia" w:hAnsiTheme="minorHAnsi" w:cstheme="minorBidi"/>
            <w:noProof/>
            <w:sz w:val="22"/>
            <w:szCs w:val="22"/>
            <w:lang w:eastAsia="en-NZ"/>
          </w:rPr>
          <w:tab/>
        </w:r>
        <w:r w:rsidRPr="0006378C">
          <w:rPr>
            <w:rStyle w:val="Hyperlink"/>
            <w:rFonts w:eastAsia="Arial"/>
            <w:noProof/>
          </w:rPr>
          <w:t>Additional reading</w:t>
        </w:r>
        <w:r>
          <w:rPr>
            <w:noProof/>
            <w:webHidden/>
          </w:rPr>
          <w:tab/>
        </w:r>
        <w:r>
          <w:rPr>
            <w:noProof/>
            <w:webHidden/>
          </w:rPr>
          <w:fldChar w:fldCharType="begin"/>
        </w:r>
        <w:r>
          <w:rPr>
            <w:noProof/>
            <w:webHidden/>
          </w:rPr>
          <w:instrText xml:space="preserve"> PAGEREF _Toc90391823 \h </w:instrText>
        </w:r>
        <w:r>
          <w:rPr>
            <w:noProof/>
            <w:webHidden/>
          </w:rPr>
        </w:r>
        <w:r>
          <w:rPr>
            <w:noProof/>
            <w:webHidden/>
          </w:rPr>
          <w:fldChar w:fldCharType="separate"/>
        </w:r>
        <w:r w:rsidR="002861DC">
          <w:rPr>
            <w:noProof/>
            <w:webHidden/>
          </w:rPr>
          <w:t>3</w:t>
        </w:r>
        <w:r>
          <w:rPr>
            <w:noProof/>
            <w:webHidden/>
          </w:rPr>
          <w:fldChar w:fldCharType="end"/>
        </w:r>
      </w:hyperlink>
    </w:p>
    <w:p w14:paraId="696E7AF8" w14:textId="3A41A53D" w:rsidR="00833687" w:rsidRDefault="00833687">
      <w:pPr>
        <w:pStyle w:val="TOC2"/>
        <w:rPr>
          <w:rFonts w:asciiTheme="minorHAnsi" w:eastAsiaTheme="minorEastAsia" w:hAnsiTheme="minorHAnsi" w:cstheme="minorBidi"/>
          <w:noProof/>
          <w:sz w:val="22"/>
          <w:szCs w:val="22"/>
          <w:lang w:eastAsia="en-NZ"/>
        </w:rPr>
      </w:pPr>
      <w:hyperlink w:anchor="_Toc90391824" w:history="1">
        <w:r w:rsidRPr="0006378C">
          <w:rPr>
            <w:rStyle w:val="Hyperlink"/>
            <w:rFonts w:eastAsia="Arial"/>
            <w:noProof/>
          </w:rPr>
          <w:t>2</w:t>
        </w:r>
        <w:r>
          <w:rPr>
            <w:rFonts w:asciiTheme="minorHAnsi" w:eastAsiaTheme="minorEastAsia" w:hAnsiTheme="minorHAnsi" w:cstheme="minorBidi"/>
            <w:noProof/>
            <w:sz w:val="22"/>
            <w:szCs w:val="22"/>
            <w:lang w:eastAsia="en-NZ"/>
          </w:rPr>
          <w:tab/>
        </w:r>
        <w:r w:rsidRPr="0006378C">
          <w:rPr>
            <w:rStyle w:val="Hyperlink"/>
            <w:rFonts w:eastAsia="Arial"/>
            <w:noProof/>
          </w:rPr>
          <w:t>Definitions</w:t>
        </w:r>
        <w:r>
          <w:rPr>
            <w:noProof/>
            <w:webHidden/>
          </w:rPr>
          <w:tab/>
        </w:r>
        <w:r>
          <w:rPr>
            <w:noProof/>
            <w:webHidden/>
          </w:rPr>
          <w:fldChar w:fldCharType="begin"/>
        </w:r>
        <w:r>
          <w:rPr>
            <w:noProof/>
            <w:webHidden/>
          </w:rPr>
          <w:instrText xml:space="preserve"> PAGEREF _Toc90391824 \h </w:instrText>
        </w:r>
        <w:r>
          <w:rPr>
            <w:noProof/>
            <w:webHidden/>
          </w:rPr>
        </w:r>
        <w:r>
          <w:rPr>
            <w:noProof/>
            <w:webHidden/>
          </w:rPr>
          <w:fldChar w:fldCharType="separate"/>
        </w:r>
        <w:r w:rsidR="002861DC">
          <w:rPr>
            <w:noProof/>
            <w:webHidden/>
          </w:rPr>
          <w:t>4</w:t>
        </w:r>
        <w:r>
          <w:rPr>
            <w:noProof/>
            <w:webHidden/>
          </w:rPr>
          <w:fldChar w:fldCharType="end"/>
        </w:r>
      </w:hyperlink>
    </w:p>
    <w:p w14:paraId="4E7066DE" w14:textId="0153D021" w:rsidR="00833687" w:rsidRDefault="00833687">
      <w:pPr>
        <w:pStyle w:val="TOC1"/>
        <w:rPr>
          <w:rFonts w:asciiTheme="minorHAnsi" w:eastAsiaTheme="minorEastAsia" w:hAnsiTheme="minorHAnsi" w:cstheme="minorBidi"/>
          <w:i w:val="0"/>
          <w:noProof/>
          <w:sz w:val="22"/>
          <w:szCs w:val="22"/>
          <w:lang w:eastAsia="en-NZ"/>
        </w:rPr>
      </w:pPr>
      <w:hyperlink w:anchor="_Toc90391825" w:history="1">
        <w:r w:rsidRPr="0006378C">
          <w:rPr>
            <w:rStyle w:val="Hyperlink"/>
            <w:noProof/>
          </w:rPr>
          <w:t>General requirements</w:t>
        </w:r>
        <w:r>
          <w:rPr>
            <w:noProof/>
            <w:webHidden/>
          </w:rPr>
          <w:tab/>
        </w:r>
        <w:r>
          <w:rPr>
            <w:noProof/>
            <w:webHidden/>
          </w:rPr>
          <w:fldChar w:fldCharType="begin"/>
        </w:r>
        <w:r>
          <w:rPr>
            <w:noProof/>
            <w:webHidden/>
          </w:rPr>
          <w:instrText xml:space="preserve"> PAGEREF _Toc90391825 \h </w:instrText>
        </w:r>
        <w:r>
          <w:rPr>
            <w:noProof/>
            <w:webHidden/>
          </w:rPr>
        </w:r>
        <w:r>
          <w:rPr>
            <w:noProof/>
            <w:webHidden/>
          </w:rPr>
          <w:fldChar w:fldCharType="separate"/>
        </w:r>
        <w:r w:rsidR="002861DC">
          <w:rPr>
            <w:noProof/>
            <w:webHidden/>
          </w:rPr>
          <w:t>9</w:t>
        </w:r>
        <w:r>
          <w:rPr>
            <w:noProof/>
            <w:webHidden/>
          </w:rPr>
          <w:fldChar w:fldCharType="end"/>
        </w:r>
      </w:hyperlink>
    </w:p>
    <w:p w14:paraId="49272645" w14:textId="2ADCA279" w:rsidR="00833687" w:rsidRDefault="00833687">
      <w:pPr>
        <w:pStyle w:val="TOC2"/>
        <w:rPr>
          <w:rFonts w:asciiTheme="minorHAnsi" w:eastAsiaTheme="minorEastAsia" w:hAnsiTheme="minorHAnsi" w:cstheme="minorBidi"/>
          <w:noProof/>
          <w:sz w:val="22"/>
          <w:szCs w:val="22"/>
          <w:lang w:eastAsia="en-NZ"/>
        </w:rPr>
      </w:pPr>
      <w:hyperlink w:anchor="_Toc90391826" w:history="1">
        <w:r w:rsidRPr="0006378C">
          <w:rPr>
            <w:rStyle w:val="Hyperlink"/>
            <w:rFonts w:eastAsia="Arial"/>
            <w:noProof/>
          </w:rPr>
          <w:t>3</w:t>
        </w:r>
        <w:r>
          <w:rPr>
            <w:rFonts w:asciiTheme="minorHAnsi" w:eastAsiaTheme="minorEastAsia" w:hAnsiTheme="minorHAnsi" w:cstheme="minorBidi"/>
            <w:noProof/>
            <w:sz w:val="22"/>
            <w:szCs w:val="22"/>
            <w:lang w:eastAsia="en-NZ"/>
          </w:rPr>
          <w:tab/>
        </w:r>
        <w:r w:rsidRPr="0006378C">
          <w:rPr>
            <w:rStyle w:val="Hyperlink"/>
            <w:rFonts w:eastAsia="Arial"/>
            <w:noProof/>
          </w:rPr>
          <w:t>Auditing principles</w:t>
        </w:r>
        <w:r>
          <w:rPr>
            <w:noProof/>
            <w:webHidden/>
          </w:rPr>
          <w:tab/>
        </w:r>
        <w:r>
          <w:rPr>
            <w:noProof/>
            <w:webHidden/>
          </w:rPr>
          <w:fldChar w:fldCharType="begin"/>
        </w:r>
        <w:r>
          <w:rPr>
            <w:noProof/>
            <w:webHidden/>
          </w:rPr>
          <w:instrText xml:space="preserve"> PAGEREF _Toc90391826 \h </w:instrText>
        </w:r>
        <w:r>
          <w:rPr>
            <w:noProof/>
            <w:webHidden/>
          </w:rPr>
        </w:r>
        <w:r>
          <w:rPr>
            <w:noProof/>
            <w:webHidden/>
          </w:rPr>
          <w:fldChar w:fldCharType="separate"/>
        </w:r>
        <w:r w:rsidR="002861DC">
          <w:rPr>
            <w:noProof/>
            <w:webHidden/>
          </w:rPr>
          <w:t>11</w:t>
        </w:r>
        <w:r>
          <w:rPr>
            <w:noProof/>
            <w:webHidden/>
          </w:rPr>
          <w:fldChar w:fldCharType="end"/>
        </w:r>
      </w:hyperlink>
    </w:p>
    <w:p w14:paraId="7DF3F3D0" w14:textId="763AA396"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27" w:history="1">
        <w:r w:rsidRPr="0006378C">
          <w:rPr>
            <w:rStyle w:val="Hyperlink"/>
            <w:rFonts w:eastAsia="Arial"/>
            <w:noProof/>
          </w:rPr>
          <w:t>3.1</w:t>
        </w:r>
        <w:r>
          <w:rPr>
            <w:rFonts w:asciiTheme="minorHAnsi" w:eastAsiaTheme="minorEastAsia" w:hAnsiTheme="minorHAnsi" w:cstheme="minorBidi"/>
            <w:noProof/>
            <w:sz w:val="22"/>
            <w:szCs w:val="22"/>
            <w:lang w:eastAsia="en-NZ"/>
          </w:rPr>
          <w:tab/>
        </w:r>
        <w:r w:rsidRPr="0006378C">
          <w:rPr>
            <w:rStyle w:val="Hyperlink"/>
            <w:rFonts w:eastAsia="Arial"/>
            <w:noProof/>
          </w:rPr>
          <w:t>NSU programme audit approach</w:t>
        </w:r>
        <w:r>
          <w:rPr>
            <w:noProof/>
            <w:webHidden/>
          </w:rPr>
          <w:tab/>
        </w:r>
        <w:r>
          <w:rPr>
            <w:noProof/>
            <w:webHidden/>
          </w:rPr>
          <w:fldChar w:fldCharType="begin"/>
        </w:r>
        <w:r>
          <w:rPr>
            <w:noProof/>
            <w:webHidden/>
          </w:rPr>
          <w:instrText xml:space="preserve"> PAGEREF _Toc90391827 \h </w:instrText>
        </w:r>
        <w:r>
          <w:rPr>
            <w:noProof/>
            <w:webHidden/>
          </w:rPr>
        </w:r>
        <w:r>
          <w:rPr>
            <w:noProof/>
            <w:webHidden/>
          </w:rPr>
          <w:fldChar w:fldCharType="separate"/>
        </w:r>
        <w:r w:rsidR="002861DC">
          <w:rPr>
            <w:noProof/>
            <w:webHidden/>
          </w:rPr>
          <w:t>11</w:t>
        </w:r>
        <w:r>
          <w:rPr>
            <w:noProof/>
            <w:webHidden/>
          </w:rPr>
          <w:fldChar w:fldCharType="end"/>
        </w:r>
      </w:hyperlink>
    </w:p>
    <w:p w14:paraId="12DD6F19" w14:textId="75515960"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28" w:history="1">
        <w:r w:rsidRPr="0006378C">
          <w:rPr>
            <w:rStyle w:val="Hyperlink"/>
            <w:rFonts w:eastAsia="Arial"/>
            <w:noProof/>
          </w:rPr>
          <w:t>3.2</w:t>
        </w:r>
        <w:r>
          <w:rPr>
            <w:rFonts w:asciiTheme="minorHAnsi" w:eastAsiaTheme="minorEastAsia" w:hAnsiTheme="minorHAnsi" w:cstheme="minorBidi"/>
            <w:noProof/>
            <w:sz w:val="22"/>
            <w:szCs w:val="22"/>
            <w:lang w:eastAsia="en-NZ"/>
          </w:rPr>
          <w:tab/>
        </w:r>
        <w:r w:rsidRPr="0006378C">
          <w:rPr>
            <w:rStyle w:val="Hyperlink"/>
            <w:rFonts w:eastAsia="Arial"/>
            <w:noProof/>
          </w:rPr>
          <w:t>Audit principles</w:t>
        </w:r>
        <w:r>
          <w:rPr>
            <w:noProof/>
            <w:webHidden/>
          </w:rPr>
          <w:tab/>
        </w:r>
        <w:r>
          <w:rPr>
            <w:noProof/>
            <w:webHidden/>
          </w:rPr>
          <w:fldChar w:fldCharType="begin"/>
        </w:r>
        <w:r>
          <w:rPr>
            <w:noProof/>
            <w:webHidden/>
          </w:rPr>
          <w:instrText xml:space="preserve"> PAGEREF _Toc90391828 \h </w:instrText>
        </w:r>
        <w:r>
          <w:rPr>
            <w:noProof/>
            <w:webHidden/>
          </w:rPr>
        </w:r>
        <w:r>
          <w:rPr>
            <w:noProof/>
            <w:webHidden/>
          </w:rPr>
          <w:fldChar w:fldCharType="separate"/>
        </w:r>
        <w:r w:rsidR="002861DC">
          <w:rPr>
            <w:noProof/>
            <w:webHidden/>
          </w:rPr>
          <w:t>11</w:t>
        </w:r>
        <w:r>
          <w:rPr>
            <w:noProof/>
            <w:webHidden/>
          </w:rPr>
          <w:fldChar w:fldCharType="end"/>
        </w:r>
      </w:hyperlink>
    </w:p>
    <w:p w14:paraId="53FBC15C" w14:textId="15F85839" w:rsidR="00833687" w:rsidRDefault="00833687">
      <w:pPr>
        <w:pStyle w:val="TOC2"/>
        <w:rPr>
          <w:rFonts w:asciiTheme="minorHAnsi" w:eastAsiaTheme="minorEastAsia" w:hAnsiTheme="minorHAnsi" w:cstheme="minorBidi"/>
          <w:noProof/>
          <w:sz w:val="22"/>
          <w:szCs w:val="22"/>
          <w:lang w:eastAsia="en-NZ"/>
        </w:rPr>
      </w:pPr>
      <w:hyperlink w:anchor="_Toc90391829" w:history="1">
        <w:r w:rsidRPr="0006378C">
          <w:rPr>
            <w:rStyle w:val="Hyperlink"/>
            <w:rFonts w:eastAsia="Arial"/>
            <w:noProof/>
          </w:rPr>
          <w:t>4</w:t>
        </w:r>
        <w:r>
          <w:rPr>
            <w:rFonts w:asciiTheme="minorHAnsi" w:eastAsiaTheme="minorEastAsia" w:hAnsiTheme="minorHAnsi" w:cstheme="minorBidi"/>
            <w:noProof/>
            <w:sz w:val="22"/>
            <w:szCs w:val="22"/>
            <w:lang w:eastAsia="en-NZ"/>
          </w:rPr>
          <w:tab/>
        </w:r>
        <w:r w:rsidRPr="0006378C">
          <w:rPr>
            <w:rStyle w:val="Hyperlink"/>
            <w:rFonts w:eastAsia="Arial"/>
            <w:noProof/>
          </w:rPr>
          <w:t>The DAA Group responsibilities</w:t>
        </w:r>
        <w:r>
          <w:rPr>
            <w:noProof/>
            <w:webHidden/>
          </w:rPr>
          <w:tab/>
        </w:r>
        <w:r>
          <w:rPr>
            <w:noProof/>
            <w:webHidden/>
          </w:rPr>
          <w:fldChar w:fldCharType="begin"/>
        </w:r>
        <w:r>
          <w:rPr>
            <w:noProof/>
            <w:webHidden/>
          </w:rPr>
          <w:instrText xml:space="preserve"> PAGEREF _Toc90391829 \h </w:instrText>
        </w:r>
        <w:r>
          <w:rPr>
            <w:noProof/>
            <w:webHidden/>
          </w:rPr>
        </w:r>
        <w:r>
          <w:rPr>
            <w:noProof/>
            <w:webHidden/>
          </w:rPr>
          <w:fldChar w:fldCharType="separate"/>
        </w:r>
        <w:r w:rsidR="002861DC">
          <w:rPr>
            <w:noProof/>
            <w:webHidden/>
          </w:rPr>
          <w:t>12</w:t>
        </w:r>
        <w:r>
          <w:rPr>
            <w:noProof/>
            <w:webHidden/>
          </w:rPr>
          <w:fldChar w:fldCharType="end"/>
        </w:r>
      </w:hyperlink>
    </w:p>
    <w:p w14:paraId="7C35D7DC" w14:textId="597EA00C"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30" w:history="1">
        <w:r w:rsidRPr="0006378C">
          <w:rPr>
            <w:rStyle w:val="Hyperlink"/>
            <w:noProof/>
          </w:rPr>
          <w:t>4.1</w:t>
        </w:r>
        <w:r>
          <w:rPr>
            <w:rFonts w:asciiTheme="minorHAnsi" w:eastAsiaTheme="minorEastAsia" w:hAnsiTheme="minorHAnsi" w:cstheme="minorBidi"/>
            <w:noProof/>
            <w:sz w:val="22"/>
            <w:szCs w:val="22"/>
            <w:lang w:eastAsia="en-NZ"/>
          </w:rPr>
          <w:tab/>
        </w:r>
        <w:r w:rsidRPr="0006378C">
          <w:rPr>
            <w:rStyle w:val="Hyperlink"/>
            <w:noProof/>
          </w:rPr>
          <w:t>Contract requirements</w:t>
        </w:r>
        <w:r>
          <w:rPr>
            <w:noProof/>
            <w:webHidden/>
          </w:rPr>
          <w:tab/>
        </w:r>
        <w:r>
          <w:rPr>
            <w:noProof/>
            <w:webHidden/>
          </w:rPr>
          <w:fldChar w:fldCharType="begin"/>
        </w:r>
        <w:r>
          <w:rPr>
            <w:noProof/>
            <w:webHidden/>
          </w:rPr>
          <w:instrText xml:space="preserve"> PAGEREF _Toc90391830 \h </w:instrText>
        </w:r>
        <w:r>
          <w:rPr>
            <w:noProof/>
            <w:webHidden/>
          </w:rPr>
        </w:r>
        <w:r>
          <w:rPr>
            <w:noProof/>
            <w:webHidden/>
          </w:rPr>
          <w:fldChar w:fldCharType="separate"/>
        </w:r>
        <w:r w:rsidR="002861DC">
          <w:rPr>
            <w:noProof/>
            <w:webHidden/>
          </w:rPr>
          <w:t>12</w:t>
        </w:r>
        <w:r>
          <w:rPr>
            <w:noProof/>
            <w:webHidden/>
          </w:rPr>
          <w:fldChar w:fldCharType="end"/>
        </w:r>
      </w:hyperlink>
    </w:p>
    <w:p w14:paraId="38A71346" w14:textId="3EDB0A13"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31" w:history="1">
        <w:r w:rsidRPr="0006378C">
          <w:rPr>
            <w:rStyle w:val="Hyperlink"/>
            <w:noProof/>
          </w:rPr>
          <w:t>4.2</w:t>
        </w:r>
        <w:r>
          <w:rPr>
            <w:rFonts w:asciiTheme="minorHAnsi" w:eastAsiaTheme="minorEastAsia" w:hAnsiTheme="minorHAnsi" w:cstheme="minorBidi"/>
            <w:noProof/>
            <w:sz w:val="22"/>
            <w:szCs w:val="22"/>
            <w:lang w:eastAsia="en-NZ"/>
          </w:rPr>
          <w:tab/>
        </w:r>
        <w:r w:rsidRPr="0006378C">
          <w:rPr>
            <w:rStyle w:val="Hyperlink"/>
            <w:noProof/>
          </w:rPr>
          <w:t>Audit teams</w:t>
        </w:r>
        <w:r>
          <w:rPr>
            <w:noProof/>
            <w:webHidden/>
          </w:rPr>
          <w:tab/>
        </w:r>
        <w:r>
          <w:rPr>
            <w:noProof/>
            <w:webHidden/>
          </w:rPr>
          <w:fldChar w:fldCharType="begin"/>
        </w:r>
        <w:r>
          <w:rPr>
            <w:noProof/>
            <w:webHidden/>
          </w:rPr>
          <w:instrText xml:space="preserve"> PAGEREF _Toc90391831 \h </w:instrText>
        </w:r>
        <w:r>
          <w:rPr>
            <w:noProof/>
            <w:webHidden/>
          </w:rPr>
        </w:r>
        <w:r>
          <w:rPr>
            <w:noProof/>
            <w:webHidden/>
          </w:rPr>
          <w:fldChar w:fldCharType="separate"/>
        </w:r>
        <w:r w:rsidR="002861DC">
          <w:rPr>
            <w:noProof/>
            <w:webHidden/>
          </w:rPr>
          <w:t>13</w:t>
        </w:r>
        <w:r>
          <w:rPr>
            <w:noProof/>
            <w:webHidden/>
          </w:rPr>
          <w:fldChar w:fldCharType="end"/>
        </w:r>
      </w:hyperlink>
    </w:p>
    <w:p w14:paraId="7C9B441C" w14:textId="4C4F3B8E"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32" w:history="1">
        <w:r w:rsidRPr="0006378C">
          <w:rPr>
            <w:rStyle w:val="Hyperlink"/>
            <w:noProof/>
          </w:rPr>
          <w:t>4.3</w:t>
        </w:r>
        <w:r>
          <w:rPr>
            <w:rFonts w:asciiTheme="minorHAnsi" w:eastAsiaTheme="minorEastAsia" w:hAnsiTheme="minorHAnsi" w:cstheme="minorBidi"/>
            <w:noProof/>
            <w:sz w:val="22"/>
            <w:szCs w:val="22"/>
            <w:lang w:eastAsia="en-NZ"/>
          </w:rPr>
          <w:tab/>
        </w:r>
        <w:r w:rsidRPr="0006378C">
          <w:rPr>
            <w:rStyle w:val="Hyperlink"/>
            <w:noProof/>
          </w:rPr>
          <w:t>Audit process</w:t>
        </w:r>
        <w:r>
          <w:rPr>
            <w:noProof/>
            <w:webHidden/>
          </w:rPr>
          <w:tab/>
        </w:r>
        <w:r>
          <w:rPr>
            <w:noProof/>
            <w:webHidden/>
          </w:rPr>
          <w:fldChar w:fldCharType="begin"/>
        </w:r>
        <w:r>
          <w:rPr>
            <w:noProof/>
            <w:webHidden/>
          </w:rPr>
          <w:instrText xml:space="preserve"> PAGEREF _Toc90391832 \h </w:instrText>
        </w:r>
        <w:r>
          <w:rPr>
            <w:noProof/>
            <w:webHidden/>
          </w:rPr>
        </w:r>
        <w:r>
          <w:rPr>
            <w:noProof/>
            <w:webHidden/>
          </w:rPr>
          <w:fldChar w:fldCharType="separate"/>
        </w:r>
        <w:r w:rsidR="002861DC">
          <w:rPr>
            <w:noProof/>
            <w:webHidden/>
          </w:rPr>
          <w:t>13</w:t>
        </w:r>
        <w:r>
          <w:rPr>
            <w:noProof/>
            <w:webHidden/>
          </w:rPr>
          <w:fldChar w:fldCharType="end"/>
        </w:r>
      </w:hyperlink>
    </w:p>
    <w:p w14:paraId="6B90E4A6" w14:textId="75B7710F"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33" w:history="1">
        <w:r w:rsidRPr="0006378C">
          <w:rPr>
            <w:rStyle w:val="Hyperlink"/>
            <w:noProof/>
          </w:rPr>
          <w:t>4.4</w:t>
        </w:r>
        <w:r>
          <w:rPr>
            <w:rFonts w:asciiTheme="minorHAnsi" w:eastAsiaTheme="minorEastAsia" w:hAnsiTheme="minorHAnsi" w:cstheme="minorBidi"/>
            <w:noProof/>
            <w:sz w:val="22"/>
            <w:szCs w:val="22"/>
            <w:lang w:eastAsia="en-NZ"/>
          </w:rPr>
          <w:tab/>
        </w:r>
        <w:r w:rsidRPr="0006378C">
          <w:rPr>
            <w:rStyle w:val="Hyperlink"/>
            <w:noProof/>
          </w:rPr>
          <w:t>Management of conflict of interest</w:t>
        </w:r>
        <w:r>
          <w:rPr>
            <w:noProof/>
            <w:webHidden/>
          </w:rPr>
          <w:tab/>
        </w:r>
        <w:r>
          <w:rPr>
            <w:noProof/>
            <w:webHidden/>
          </w:rPr>
          <w:fldChar w:fldCharType="begin"/>
        </w:r>
        <w:r>
          <w:rPr>
            <w:noProof/>
            <w:webHidden/>
          </w:rPr>
          <w:instrText xml:space="preserve"> PAGEREF _Toc90391833 \h </w:instrText>
        </w:r>
        <w:r>
          <w:rPr>
            <w:noProof/>
            <w:webHidden/>
          </w:rPr>
        </w:r>
        <w:r>
          <w:rPr>
            <w:noProof/>
            <w:webHidden/>
          </w:rPr>
          <w:fldChar w:fldCharType="separate"/>
        </w:r>
        <w:r w:rsidR="002861DC">
          <w:rPr>
            <w:noProof/>
            <w:webHidden/>
          </w:rPr>
          <w:t>14</w:t>
        </w:r>
        <w:r>
          <w:rPr>
            <w:noProof/>
            <w:webHidden/>
          </w:rPr>
          <w:fldChar w:fldCharType="end"/>
        </w:r>
      </w:hyperlink>
    </w:p>
    <w:p w14:paraId="30A0A586" w14:textId="5C873F89" w:rsidR="00833687" w:rsidRDefault="00833687">
      <w:pPr>
        <w:pStyle w:val="TOC2"/>
        <w:rPr>
          <w:rFonts w:asciiTheme="minorHAnsi" w:eastAsiaTheme="minorEastAsia" w:hAnsiTheme="minorHAnsi" w:cstheme="minorBidi"/>
          <w:noProof/>
          <w:sz w:val="22"/>
          <w:szCs w:val="22"/>
          <w:lang w:eastAsia="en-NZ"/>
        </w:rPr>
      </w:pPr>
      <w:hyperlink w:anchor="_Toc90391834" w:history="1">
        <w:r w:rsidRPr="0006378C">
          <w:rPr>
            <w:rStyle w:val="Hyperlink"/>
            <w:noProof/>
          </w:rPr>
          <w:t>5</w:t>
        </w:r>
        <w:r>
          <w:rPr>
            <w:rFonts w:asciiTheme="minorHAnsi" w:eastAsiaTheme="minorEastAsia" w:hAnsiTheme="minorHAnsi" w:cstheme="minorBidi"/>
            <w:noProof/>
            <w:sz w:val="22"/>
            <w:szCs w:val="22"/>
            <w:lang w:eastAsia="en-NZ"/>
          </w:rPr>
          <w:tab/>
        </w:r>
        <w:r w:rsidRPr="0006378C">
          <w:rPr>
            <w:rStyle w:val="Hyperlink"/>
            <w:noProof/>
          </w:rPr>
          <w:t>NSU responsibilities</w:t>
        </w:r>
        <w:r>
          <w:rPr>
            <w:noProof/>
            <w:webHidden/>
          </w:rPr>
          <w:tab/>
        </w:r>
        <w:r>
          <w:rPr>
            <w:noProof/>
            <w:webHidden/>
          </w:rPr>
          <w:fldChar w:fldCharType="begin"/>
        </w:r>
        <w:r>
          <w:rPr>
            <w:noProof/>
            <w:webHidden/>
          </w:rPr>
          <w:instrText xml:space="preserve"> PAGEREF _Toc90391834 \h </w:instrText>
        </w:r>
        <w:r>
          <w:rPr>
            <w:noProof/>
            <w:webHidden/>
          </w:rPr>
        </w:r>
        <w:r>
          <w:rPr>
            <w:noProof/>
            <w:webHidden/>
          </w:rPr>
          <w:fldChar w:fldCharType="separate"/>
        </w:r>
        <w:r w:rsidR="002861DC">
          <w:rPr>
            <w:noProof/>
            <w:webHidden/>
          </w:rPr>
          <w:t>15</w:t>
        </w:r>
        <w:r>
          <w:rPr>
            <w:noProof/>
            <w:webHidden/>
          </w:rPr>
          <w:fldChar w:fldCharType="end"/>
        </w:r>
      </w:hyperlink>
    </w:p>
    <w:p w14:paraId="1DFACAD7" w14:textId="6DB6AB50" w:rsidR="00833687" w:rsidRDefault="00833687">
      <w:pPr>
        <w:pStyle w:val="TOC2"/>
        <w:rPr>
          <w:rFonts w:asciiTheme="minorHAnsi" w:eastAsiaTheme="minorEastAsia" w:hAnsiTheme="minorHAnsi" w:cstheme="minorBidi"/>
          <w:noProof/>
          <w:sz w:val="22"/>
          <w:szCs w:val="22"/>
          <w:lang w:eastAsia="en-NZ"/>
        </w:rPr>
      </w:pPr>
      <w:hyperlink w:anchor="_Toc90391835" w:history="1">
        <w:r w:rsidRPr="0006378C">
          <w:rPr>
            <w:rStyle w:val="Hyperlink"/>
            <w:rFonts w:eastAsia="Arial"/>
            <w:noProof/>
          </w:rPr>
          <w:t>6</w:t>
        </w:r>
        <w:r>
          <w:rPr>
            <w:rFonts w:asciiTheme="minorHAnsi" w:eastAsiaTheme="minorEastAsia" w:hAnsiTheme="minorHAnsi" w:cstheme="minorBidi"/>
            <w:noProof/>
            <w:sz w:val="22"/>
            <w:szCs w:val="22"/>
            <w:lang w:eastAsia="en-NZ"/>
          </w:rPr>
          <w:tab/>
        </w:r>
        <w:r w:rsidRPr="0006378C">
          <w:rPr>
            <w:rStyle w:val="Hyperlink"/>
            <w:rFonts w:eastAsia="Arial"/>
            <w:noProof/>
          </w:rPr>
          <w:t>Relationships and communication</w:t>
        </w:r>
        <w:r>
          <w:rPr>
            <w:noProof/>
            <w:webHidden/>
          </w:rPr>
          <w:tab/>
        </w:r>
        <w:r>
          <w:rPr>
            <w:noProof/>
            <w:webHidden/>
          </w:rPr>
          <w:fldChar w:fldCharType="begin"/>
        </w:r>
        <w:r>
          <w:rPr>
            <w:noProof/>
            <w:webHidden/>
          </w:rPr>
          <w:instrText xml:space="preserve"> PAGEREF _Toc90391835 \h </w:instrText>
        </w:r>
        <w:r>
          <w:rPr>
            <w:noProof/>
            <w:webHidden/>
          </w:rPr>
        </w:r>
        <w:r>
          <w:rPr>
            <w:noProof/>
            <w:webHidden/>
          </w:rPr>
          <w:fldChar w:fldCharType="separate"/>
        </w:r>
        <w:r w:rsidR="002861DC">
          <w:rPr>
            <w:noProof/>
            <w:webHidden/>
          </w:rPr>
          <w:t>16</w:t>
        </w:r>
        <w:r>
          <w:rPr>
            <w:noProof/>
            <w:webHidden/>
          </w:rPr>
          <w:fldChar w:fldCharType="end"/>
        </w:r>
      </w:hyperlink>
    </w:p>
    <w:p w14:paraId="394466AF" w14:textId="3BBAED2D" w:rsidR="00833687" w:rsidRDefault="00833687">
      <w:pPr>
        <w:pStyle w:val="TOC1"/>
        <w:rPr>
          <w:rFonts w:asciiTheme="minorHAnsi" w:eastAsiaTheme="minorEastAsia" w:hAnsiTheme="minorHAnsi" w:cstheme="minorBidi"/>
          <w:i w:val="0"/>
          <w:noProof/>
          <w:sz w:val="22"/>
          <w:szCs w:val="22"/>
          <w:lang w:eastAsia="en-NZ"/>
        </w:rPr>
      </w:pPr>
      <w:hyperlink w:anchor="_Toc90391836" w:history="1">
        <w:r w:rsidRPr="0006378C">
          <w:rPr>
            <w:rStyle w:val="Hyperlink"/>
            <w:noProof/>
          </w:rPr>
          <w:t>Audit programme requirements</w:t>
        </w:r>
        <w:r>
          <w:rPr>
            <w:noProof/>
            <w:webHidden/>
          </w:rPr>
          <w:tab/>
        </w:r>
        <w:r>
          <w:rPr>
            <w:noProof/>
            <w:webHidden/>
          </w:rPr>
          <w:fldChar w:fldCharType="begin"/>
        </w:r>
        <w:r>
          <w:rPr>
            <w:noProof/>
            <w:webHidden/>
          </w:rPr>
          <w:instrText xml:space="preserve"> PAGEREF _Toc90391836 \h </w:instrText>
        </w:r>
        <w:r>
          <w:rPr>
            <w:noProof/>
            <w:webHidden/>
          </w:rPr>
        </w:r>
        <w:r>
          <w:rPr>
            <w:noProof/>
            <w:webHidden/>
          </w:rPr>
          <w:fldChar w:fldCharType="separate"/>
        </w:r>
        <w:r w:rsidR="002861DC">
          <w:rPr>
            <w:noProof/>
            <w:webHidden/>
          </w:rPr>
          <w:t>17</w:t>
        </w:r>
        <w:r>
          <w:rPr>
            <w:noProof/>
            <w:webHidden/>
          </w:rPr>
          <w:fldChar w:fldCharType="end"/>
        </w:r>
      </w:hyperlink>
    </w:p>
    <w:p w14:paraId="1024137B" w14:textId="12687CA8" w:rsidR="00833687" w:rsidRDefault="00833687">
      <w:pPr>
        <w:pStyle w:val="TOC2"/>
        <w:rPr>
          <w:rFonts w:asciiTheme="minorHAnsi" w:eastAsiaTheme="minorEastAsia" w:hAnsiTheme="minorHAnsi" w:cstheme="minorBidi"/>
          <w:noProof/>
          <w:sz w:val="22"/>
          <w:szCs w:val="22"/>
          <w:lang w:eastAsia="en-NZ"/>
        </w:rPr>
      </w:pPr>
      <w:hyperlink w:anchor="_Toc90391837" w:history="1">
        <w:r w:rsidRPr="0006378C">
          <w:rPr>
            <w:rStyle w:val="Hyperlink"/>
            <w:rFonts w:eastAsia="Arial"/>
            <w:noProof/>
          </w:rPr>
          <w:t>7</w:t>
        </w:r>
        <w:r>
          <w:rPr>
            <w:rFonts w:asciiTheme="minorHAnsi" w:eastAsiaTheme="minorEastAsia" w:hAnsiTheme="minorHAnsi" w:cstheme="minorBidi"/>
            <w:noProof/>
            <w:sz w:val="22"/>
            <w:szCs w:val="22"/>
            <w:lang w:eastAsia="en-NZ"/>
          </w:rPr>
          <w:tab/>
        </w:r>
        <w:r w:rsidRPr="0006378C">
          <w:rPr>
            <w:rStyle w:val="Hyperlink"/>
            <w:rFonts w:eastAsia="Arial"/>
            <w:noProof/>
          </w:rPr>
          <w:t>NSU audit programme framework</w:t>
        </w:r>
        <w:r>
          <w:rPr>
            <w:noProof/>
            <w:webHidden/>
          </w:rPr>
          <w:tab/>
        </w:r>
        <w:r>
          <w:rPr>
            <w:noProof/>
            <w:webHidden/>
          </w:rPr>
          <w:fldChar w:fldCharType="begin"/>
        </w:r>
        <w:r>
          <w:rPr>
            <w:noProof/>
            <w:webHidden/>
          </w:rPr>
          <w:instrText xml:space="preserve"> PAGEREF _Toc90391837 \h </w:instrText>
        </w:r>
        <w:r>
          <w:rPr>
            <w:noProof/>
            <w:webHidden/>
          </w:rPr>
        </w:r>
        <w:r>
          <w:rPr>
            <w:noProof/>
            <w:webHidden/>
          </w:rPr>
          <w:fldChar w:fldCharType="separate"/>
        </w:r>
        <w:r w:rsidR="002861DC">
          <w:rPr>
            <w:noProof/>
            <w:webHidden/>
          </w:rPr>
          <w:t>19</w:t>
        </w:r>
        <w:r>
          <w:rPr>
            <w:noProof/>
            <w:webHidden/>
          </w:rPr>
          <w:fldChar w:fldCharType="end"/>
        </w:r>
      </w:hyperlink>
    </w:p>
    <w:p w14:paraId="530C093C" w14:textId="3510CDDF"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38" w:history="1">
        <w:r w:rsidRPr="0006378C">
          <w:rPr>
            <w:rStyle w:val="Hyperlink"/>
            <w:rFonts w:eastAsia="Arial"/>
            <w:noProof/>
          </w:rPr>
          <w:t>7.1</w:t>
        </w:r>
        <w:r>
          <w:rPr>
            <w:rFonts w:asciiTheme="minorHAnsi" w:eastAsiaTheme="minorEastAsia" w:hAnsiTheme="minorHAnsi" w:cstheme="minorBidi"/>
            <w:noProof/>
            <w:sz w:val="22"/>
            <w:szCs w:val="22"/>
            <w:lang w:eastAsia="en-NZ"/>
          </w:rPr>
          <w:tab/>
        </w:r>
        <w:r w:rsidRPr="0006378C">
          <w:rPr>
            <w:rStyle w:val="Hyperlink"/>
            <w:rFonts w:eastAsia="Arial"/>
            <w:noProof/>
          </w:rPr>
          <w:t>Two-stage audit process for verification and readiness audits</w:t>
        </w:r>
        <w:r>
          <w:rPr>
            <w:noProof/>
            <w:webHidden/>
          </w:rPr>
          <w:tab/>
        </w:r>
        <w:r>
          <w:rPr>
            <w:noProof/>
            <w:webHidden/>
          </w:rPr>
          <w:fldChar w:fldCharType="begin"/>
        </w:r>
        <w:r>
          <w:rPr>
            <w:noProof/>
            <w:webHidden/>
          </w:rPr>
          <w:instrText xml:space="preserve"> PAGEREF _Toc90391838 \h </w:instrText>
        </w:r>
        <w:r>
          <w:rPr>
            <w:noProof/>
            <w:webHidden/>
          </w:rPr>
        </w:r>
        <w:r>
          <w:rPr>
            <w:noProof/>
            <w:webHidden/>
          </w:rPr>
          <w:fldChar w:fldCharType="separate"/>
        </w:r>
        <w:r w:rsidR="002861DC">
          <w:rPr>
            <w:noProof/>
            <w:webHidden/>
          </w:rPr>
          <w:t>19</w:t>
        </w:r>
        <w:r>
          <w:rPr>
            <w:noProof/>
            <w:webHidden/>
          </w:rPr>
          <w:fldChar w:fldCharType="end"/>
        </w:r>
      </w:hyperlink>
    </w:p>
    <w:p w14:paraId="0FCB1B71" w14:textId="5AF4E484"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39" w:history="1">
        <w:r w:rsidRPr="0006378C">
          <w:rPr>
            <w:rStyle w:val="Hyperlink"/>
            <w:rFonts w:eastAsia="Arial"/>
            <w:noProof/>
          </w:rPr>
          <w:t>7.2</w:t>
        </w:r>
        <w:r>
          <w:rPr>
            <w:rFonts w:asciiTheme="minorHAnsi" w:eastAsiaTheme="minorEastAsia" w:hAnsiTheme="minorHAnsi" w:cstheme="minorBidi"/>
            <w:noProof/>
            <w:sz w:val="22"/>
            <w:szCs w:val="22"/>
            <w:lang w:eastAsia="en-NZ"/>
          </w:rPr>
          <w:tab/>
        </w:r>
        <w:r w:rsidRPr="0006378C">
          <w:rPr>
            <w:rStyle w:val="Hyperlink"/>
            <w:rFonts w:eastAsia="Arial"/>
            <w:noProof/>
          </w:rPr>
          <w:t>Length of audit</w:t>
        </w:r>
        <w:r>
          <w:rPr>
            <w:noProof/>
            <w:webHidden/>
          </w:rPr>
          <w:tab/>
        </w:r>
        <w:r>
          <w:rPr>
            <w:noProof/>
            <w:webHidden/>
          </w:rPr>
          <w:fldChar w:fldCharType="begin"/>
        </w:r>
        <w:r>
          <w:rPr>
            <w:noProof/>
            <w:webHidden/>
          </w:rPr>
          <w:instrText xml:space="preserve"> PAGEREF _Toc90391839 \h </w:instrText>
        </w:r>
        <w:r>
          <w:rPr>
            <w:noProof/>
            <w:webHidden/>
          </w:rPr>
        </w:r>
        <w:r>
          <w:rPr>
            <w:noProof/>
            <w:webHidden/>
          </w:rPr>
          <w:fldChar w:fldCharType="separate"/>
        </w:r>
        <w:r w:rsidR="002861DC">
          <w:rPr>
            <w:noProof/>
            <w:webHidden/>
          </w:rPr>
          <w:t>22</w:t>
        </w:r>
        <w:r>
          <w:rPr>
            <w:noProof/>
            <w:webHidden/>
          </w:rPr>
          <w:fldChar w:fldCharType="end"/>
        </w:r>
      </w:hyperlink>
    </w:p>
    <w:p w14:paraId="7DE86CF4" w14:textId="231900CE"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0" w:history="1">
        <w:r w:rsidRPr="0006378C">
          <w:rPr>
            <w:rStyle w:val="Hyperlink"/>
            <w:rFonts w:eastAsia="Arial"/>
            <w:noProof/>
          </w:rPr>
          <w:t>7.3</w:t>
        </w:r>
        <w:r>
          <w:rPr>
            <w:rFonts w:asciiTheme="minorHAnsi" w:eastAsiaTheme="minorEastAsia" w:hAnsiTheme="minorHAnsi" w:cstheme="minorBidi"/>
            <w:noProof/>
            <w:sz w:val="22"/>
            <w:szCs w:val="22"/>
            <w:lang w:eastAsia="en-NZ"/>
          </w:rPr>
          <w:tab/>
        </w:r>
        <w:r w:rsidRPr="0006378C">
          <w:rPr>
            <w:rStyle w:val="Hyperlink"/>
            <w:rFonts w:eastAsia="Arial"/>
            <w:noProof/>
          </w:rPr>
          <w:t>The NSU audit approach</w:t>
        </w:r>
        <w:r>
          <w:rPr>
            <w:noProof/>
            <w:webHidden/>
          </w:rPr>
          <w:tab/>
        </w:r>
        <w:r>
          <w:rPr>
            <w:noProof/>
            <w:webHidden/>
          </w:rPr>
          <w:fldChar w:fldCharType="begin"/>
        </w:r>
        <w:r>
          <w:rPr>
            <w:noProof/>
            <w:webHidden/>
          </w:rPr>
          <w:instrText xml:space="preserve"> PAGEREF _Toc90391840 \h </w:instrText>
        </w:r>
        <w:r>
          <w:rPr>
            <w:noProof/>
            <w:webHidden/>
          </w:rPr>
        </w:r>
        <w:r>
          <w:rPr>
            <w:noProof/>
            <w:webHidden/>
          </w:rPr>
          <w:fldChar w:fldCharType="separate"/>
        </w:r>
        <w:r w:rsidR="002861DC">
          <w:rPr>
            <w:noProof/>
            <w:webHidden/>
          </w:rPr>
          <w:t>22</w:t>
        </w:r>
        <w:r>
          <w:rPr>
            <w:noProof/>
            <w:webHidden/>
          </w:rPr>
          <w:fldChar w:fldCharType="end"/>
        </w:r>
      </w:hyperlink>
    </w:p>
    <w:p w14:paraId="58A8C19A" w14:textId="7778BEDE"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1" w:history="1">
        <w:r w:rsidRPr="0006378C">
          <w:rPr>
            <w:rStyle w:val="Hyperlink"/>
            <w:rFonts w:eastAsia="Arial"/>
            <w:noProof/>
          </w:rPr>
          <w:t>7.4</w:t>
        </w:r>
        <w:r>
          <w:rPr>
            <w:rFonts w:asciiTheme="minorHAnsi" w:eastAsiaTheme="minorEastAsia" w:hAnsiTheme="minorHAnsi" w:cstheme="minorBidi"/>
            <w:noProof/>
            <w:sz w:val="22"/>
            <w:szCs w:val="22"/>
            <w:lang w:eastAsia="en-NZ"/>
          </w:rPr>
          <w:tab/>
        </w:r>
        <w:r w:rsidRPr="0006378C">
          <w:rPr>
            <w:rStyle w:val="Hyperlink"/>
            <w:rFonts w:eastAsia="Arial"/>
            <w:noProof/>
          </w:rPr>
          <w:t>Audit outcome</w:t>
        </w:r>
        <w:r>
          <w:rPr>
            <w:noProof/>
            <w:webHidden/>
          </w:rPr>
          <w:tab/>
        </w:r>
        <w:r>
          <w:rPr>
            <w:noProof/>
            <w:webHidden/>
          </w:rPr>
          <w:fldChar w:fldCharType="begin"/>
        </w:r>
        <w:r>
          <w:rPr>
            <w:noProof/>
            <w:webHidden/>
          </w:rPr>
          <w:instrText xml:space="preserve"> PAGEREF _Toc90391841 \h </w:instrText>
        </w:r>
        <w:r>
          <w:rPr>
            <w:noProof/>
            <w:webHidden/>
          </w:rPr>
        </w:r>
        <w:r>
          <w:rPr>
            <w:noProof/>
            <w:webHidden/>
          </w:rPr>
          <w:fldChar w:fldCharType="separate"/>
        </w:r>
        <w:r w:rsidR="002861DC">
          <w:rPr>
            <w:noProof/>
            <w:webHidden/>
          </w:rPr>
          <w:t>28</w:t>
        </w:r>
        <w:r>
          <w:rPr>
            <w:noProof/>
            <w:webHidden/>
          </w:rPr>
          <w:fldChar w:fldCharType="end"/>
        </w:r>
      </w:hyperlink>
    </w:p>
    <w:p w14:paraId="5D181F9D" w14:textId="0A4D3FCB" w:rsidR="00833687" w:rsidRDefault="00833687">
      <w:pPr>
        <w:pStyle w:val="TOC2"/>
        <w:rPr>
          <w:rFonts w:asciiTheme="minorHAnsi" w:eastAsiaTheme="minorEastAsia" w:hAnsiTheme="minorHAnsi" w:cstheme="minorBidi"/>
          <w:noProof/>
          <w:sz w:val="22"/>
          <w:szCs w:val="22"/>
          <w:lang w:eastAsia="en-NZ"/>
        </w:rPr>
      </w:pPr>
      <w:hyperlink w:anchor="_Toc90391842" w:history="1">
        <w:r w:rsidRPr="0006378C">
          <w:rPr>
            <w:rStyle w:val="Hyperlink"/>
            <w:rFonts w:eastAsia="Arial"/>
            <w:noProof/>
          </w:rPr>
          <w:t>8</w:t>
        </w:r>
        <w:r>
          <w:rPr>
            <w:rFonts w:asciiTheme="minorHAnsi" w:eastAsiaTheme="minorEastAsia" w:hAnsiTheme="minorHAnsi" w:cstheme="minorBidi"/>
            <w:noProof/>
            <w:sz w:val="22"/>
            <w:szCs w:val="22"/>
            <w:lang w:eastAsia="en-NZ"/>
          </w:rPr>
          <w:tab/>
        </w:r>
        <w:r w:rsidRPr="0006378C">
          <w:rPr>
            <w:rStyle w:val="Hyperlink"/>
            <w:rFonts w:eastAsia="Arial"/>
            <w:noProof/>
          </w:rPr>
          <w:t>Audit teams</w:t>
        </w:r>
        <w:r>
          <w:rPr>
            <w:noProof/>
            <w:webHidden/>
          </w:rPr>
          <w:tab/>
        </w:r>
        <w:r>
          <w:rPr>
            <w:noProof/>
            <w:webHidden/>
          </w:rPr>
          <w:fldChar w:fldCharType="begin"/>
        </w:r>
        <w:r>
          <w:rPr>
            <w:noProof/>
            <w:webHidden/>
          </w:rPr>
          <w:instrText xml:space="preserve"> PAGEREF _Toc90391842 \h </w:instrText>
        </w:r>
        <w:r>
          <w:rPr>
            <w:noProof/>
            <w:webHidden/>
          </w:rPr>
        </w:r>
        <w:r>
          <w:rPr>
            <w:noProof/>
            <w:webHidden/>
          </w:rPr>
          <w:fldChar w:fldCharType="separate"/>
        </w:r>
        <w:r w:rsidR="002861DC">
          <w:rPr>
            <w:noProof/>
            <w:webHidden/>
          </w:rPr>
          <w:t>34</w:t>
        </w:r>
        <w:r>
          <w:rPr>
            <w:noProof/>
            <w:webHidden/>
          </w:rPr>
          <w:fldChar w:fldCharType="end"/>
        </w:r>
      </w:hyperlink>
    </w:p>
    <w:p w14:paraId="0181AEBE" w14:textId="0223B81F"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3" w:history="1">
        <w:r w:rsidRPr="0006378C">
          <w:rPr>
            <w:rStyle w:val="Hyperlink"/>
            <w:rFonts w:eastAsia="Arial"/>
            <w:noProof/>
          </w:rPr>
          <w:t>8.1</w:t>
        </w:r>
        <w:r>
          <w:rPr>
            <w:rFonts w:asciiTheme="minorHAnsi" w:eastAsiaTheme="minorEastAsia" w:hAnsiTheme="minorHAnsi" w:cstheme="minorBidi"/>
            <w:noProof/>
            <w:sz w:val="22"/>
            <w:szCs w:val="22"/>
            <w:lang w:eastAsia="en-NZ"/>
          </w:rPr>
          <w:tab/>
        </w:r>
        <w:r w:rsidRPr="0006378C">
          <w:rPr>
            <w:rStyle w:val="Hyperlink"/>
            <w:rFonts w:eastAsia="Arial"/>
            <w:noProof/>
          </w:rPr>
          <w:t>DAA Group NSU client manager</w:t>
        </w:r>
        <w:r>
          <w:rPr>
            <w:noProof/>
            <w:webHidden/>
          </w:rPr>
          <w:tab/>
        </w:r>
        <w:r>
          <w:rPr>
            <w:noProof/>
            <w:webHidden/>
          </w:rPr>
          <w:fldChar w:fldCharType="begin"/>
        </w:r>
        <w:r>
          <w:rPr>
            <w:noProof/>
            <w:webHidden/>
          </w:rPr>
          <w:instrText xml:space="preserve"> PAGEREF _Toc90391843 \h </w:instrText>
        </w:r>
        <w:r>
          <w:rPr>
            <w:noProof/>
            <w:webHidden/>
          </w:rPr>
        </w:r>
        <w:r>
          <w:rPr>
            <w:noProof/>
            <w:webHidden/>
          </w:rPr>
          <w:fldChar w:fldCharType="separate"/>
        </w:r>
        <w:r w:rsidR="002861DC">
          <w:rPr>
            <w:noProof/>
            <w:webHidden/>
          </w:rPr>
          <w:t>34</w:t>
        </w:r>
        <w:r>
          <w:rPr>
            <w:noProof/>
            <w:webHidden/>
          </w:rPr>
          <w:fldChar w:fldCharType="end"/>
        </w:r>
      </w:hyperlink>
    </w:p>
    <w:p w14:paraId="6719674B" w14:textId="578F1E29"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4" w:history="1">
        <w:r w:rsidRPr="0006378C">
          <w:rPr>
            <w:rStyle w:val="Hyperlink"/>
            <w:rFonts w:eastAsia="Arial"/>
            <w:noProof/>
          </w:rPr>
          <w:t>8.2</w:t>
        </w:r>
        <w:r>
          <w:rPr>
            <w:rFonts w:asciiTheme="minorHAnsi" w:eastAsiaTheme="minorEastAsia" w:hAnsiTheme="minorHAnsi" w:cstheme="minorBidi"/>
            <w:noProof/>
            <w:sz w:val="22"/>
            <w:szCs w:val="22"/>
            <w:lang w:eastAsia="en-NZ"/>
          </w:rPr>
          <w:tab/>
        </w:r>
        <w:r w:rsidRPr="0006378C">
          <w:rPr>
            <w:rStyle w:val="Hyperlink"/>
            <w:rFonts w:eastAsia="Arial"/>
            <w:noProof/>
          </w:rPr>
          <w:t>Audit team requirements</w:t>
        </w:r>
        <w:r>
          <w:rPr>
            <w:noProof/>
            <w:webHidden/>
          </w:rPr>
          <w:tab/>
        </w:r>
        <w:r>
          <w:rPr>
            <w:noProof/>
            <w:webHidden/>
          </w:rPr>
          <w:fldChar w:fldCharType="begin"/>
        </w:r>
        <w:r>
          <w:rPr>
            <w:noProof/>
            <w:webHidden/>
          </w:rPr>
          <w:instrText xml:space="preserve"> PAGEREF _Toc90391844 \h </w:instrText>
        </w:r>
        <w:r>
          <w:rPr>
            <w:noProof/>
            <w:webHidden/>
          </w:rPr>
        </w:r>
        <w:r>
          <w:rPr>
            <w:noProof/>
            <w:webHidden/>
          </w:rPr>
          <w:fldChar w:fldCharType="separate"/>
        </w:r>
        <w:r w:rsidR="002861DC">
          <w:rPr>
            <w:noProof/>
            <w:webHidden/>
          </w:rPr>
          <w:t>34</w:t>
        </w:r>
        <w:r>
          <w:rPr>
            <w:noProof/>
            <w:webHidden/>
          </w:rPr>
          <w:fldChar w:fldCharType="end"/>
        </w:r>
      </w:hyperlink>
    </w:p>
    <w:p w14:paraId="549C91E5" w14:textId="119A802E"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5" w:history="1">
        <w:r w:rsidRPr="0006378C">
          <w:rPr>
            <w:rStyle w:val="Hyperlink"/>
            <w:rFonts w:eastAsia="Arial"/>
            <w:noProof/>
          </w:rPr>
          <w:t>8.3</w:t>
        </w:r>
        <w:r>
          <w:rPr>
            <w:rFonts w:asciiTheme="minorHAnsi" w:eastAsiaTheme="minorEastAsia" w:hAnsiTheme="minorHAnsi" w:cstheme="minorBidi"/>
            <w:noProof/>
            <w:sz w:val="22"/>
            <w:szCs w:val="22"/>
            <w:lang w:eastAsia="en-NZ"/>
          </w:rPr>
          <w:tab/>
        </w:r>
        <w:r w:rsidRPr="0006378C">
          <w:rPr>
            <w:rStyle w:val="Hyperlink"/>
            <w:rFonts w:eastAsia="Arial"/>
            <w:noProof/>
          </w:rPr>
          <w:t>Lead auditor</w:t>
        </w:r>
        <w:r>
          <w:rPr>
            <w:noProof/>
            <w:webHidden/>
          </w:rPr>
          <w:tab/>
        </w:r>
        <w:r>
          <w:rPr>
            <w:noProof/>
            <w:webHidden/>
          </w:rPr>
          <w:fldChar w:fldCharType="begin"/>
        </w:r>
        <w:r>
          <w:rPr>
            <w:noProof/>
            <w:webHidden/>
          </w:rPr>
          <w:instrText xml:space="preserve"> PAGEREF _Toc90391845 \h </w:instrText>
        </w:r>
        <w:r>
          <w:rPr>
            <w:noProof/>
            <w:webHidden/>
          </w:rPr>
        </w:r>
        <w:r>
          <w:rPr>
            <w:noProof/>
            <w:webHidden/>
          </w:rPr>
          <w:fldChar w:fldCharType="separate"/>
        </w:r>
        <w:r w:rsidR="002861DC">
          <w:rPr>
            <w:noProof/>
            <w:webHidden/>
          </w:rPr>
          <w:t>35</w:t>
        </w:r>
        <w:r>
          <w:rPr>
            <w:noProof/>
            <w:webHidden/>
          </w:rPr>
          <w:fldChar w:fldCharType="end"/>
        </w:r>
      </w:hyperlink>
    </w:p>
    <w:p w14:paraId="1595E7D8" w14:textId="40313156"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6" w:history="1">
        <w:r w:rsidRPr="0006378C">
          <w:rPr>
            <w:rStyle w:val="Hyperlink"/>
            <w:rFonts w:eastAsia="Arial"/>
            <w:noProof/>
          </w:rPr>
          <w:t>8.4</w:t>
        </w:r>
        <w:r>
          <w:rPr>
            <w:rFonts w:asciiTheme="minorHAnsi" w:eastAsiaTheme="minorEastAsia" w:hAnsiTheme="minorHAnsi" w:cstheme="minorBidi"/>
            <w:noProof/>
            <w:sz w:val="22"/>
            <w:szCs w:val="22"/>
            <w:lang w:eastAsia="en-NZ"/>
          </w:rPr>
          <w:tab/>
        </w:r>
        <w:r w:rsidRPr="0006378C">
          <w:rPr>
            <w:rStyle w:val="Hyperlink"/>
            <w:rFonts w:eastAsia="Arial"/>
            <w:noProof/>
          </w:rPr>
          <w:t>Technical expert assessor</w:t>
        </w:r>
        <w:r>
          <w:rPr>
            <w:noProof/>
            <w:webHidden/>
          </w:rPr>
          <w:tab/>
        </w:r>
        <w:r>
          <w:rPr>
            <w:noProof/>
            <w:webHidden/>
          </w:rPr>
          <w:fldChar w:fldCharType="begin"/>
        </w:r>
        <w:r>
          <w:rPr>
            <w:noProof/>
            <w:webHidden/>
          </w:rPr>
          <w:instrText xml:space="preserve"> PAGEREF _Toc90391846 \h </w:instrText>
        </w:r>
        <w:r>
          <w:rPr>
            <w:noProof/>
            <w:webHidden/>
          </w:rPr>
        </w:r>
        <w:r>
          <w:rPr>
            <w:noProof/>
            <w:webHidden/>
          </w:rPr>
          <w:fldChar w:fldCharType="separate"/>
        </w:r>
        <w:r w:rsidR="002861DC">
          <w:rPr>
            <w:noProof/>
            <w:webHidden/>
          </w:rPr>
          <w:t>36</w:t>
        </w:r>
        <w:r>
          <w:rPr>
            <w:noProof/>
            <w:webHidden/>
          </w:rPr>
          <w:fldChar w:fldCharType="end"/>
        </w:r>
      </w:hyperlink>
    </w:p>
    <w:p w14:paraId="32EC014B" w14:textId="0DF345E8"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7" w:history="1">
        <w:r w:rsidRPr="0006378C">
          <w:rPr>
            <w:rStyle w:val="Hyperlink"/>
            <w:rFonts w:eastAsia="Arial"/>
            <w:noProof/>
          </w:rPr>
          <w:t>8.5</w:t>
        </w:r>
        <w:r>
          <w:rPr>
            <w:rFonts w:asciiTheme="minorHAnsi" w:eastAsiaTheme="minorEastAsia" w:hAnsiTheme="minorHAnsi" w:cstheme="minorBidi"/>
            <w:noProof/>
            <w:sz w:val="22"/>
            <w:szCs w:val="22"/>
            <w:lang w:eastAsia="en-NZ"/>
          </w:rPr>
          <w:tab/>
        </w:r>
        <w:r w:rsidRPr="0006378C">
          <w:rPr>
            <w:rStyle w:val="Hyperlink"/>
            <w:rFonts w:eastAsia="Arial"/>
            <w:noProof/>
          </w:rPr>
          <w:t>Consumer auditors</w:t>
        </w:r>
        <w:r>
          <w:rPr>
            <w:noProof/>
            <w:webHidden/>
          </w:rPr>
          <w:tab/>
        </w:r>
        <w:r>
          <w:rPr>
            <w:noProof/>
            <w:webHidden/>
          </w:rPr>
          <w:fldChar w:fldCharType="begin"/>
        </w:r>
        <w:r>
          <w:rPr>
            <w:noProof/>
            <w:webHidden/>
          </w:rPr>
          <w:instrText xml:space="preserve"> PAGEREF _Toc90391847 \h </w:instrText>
        </w:r>
        <w:r>
          <w:rPr>
            <w:noProof/>
            <w:webHidden/>
          </w:rPr>
        </w:r>
        <w:r>
          <w:rPr>
            <w:noProof/>
            <w:webHidden/>
          </w:rPr>
          <w:fldChar w:fldCharType="separate"/>
        </w:r>
        <w:r w:rsidR="002861DC">
          <w:rPr>
            <w:noProof/>
            <w:webHidden/>
          </w:rPr>
          <w:t>37</w:t>
        </w:r>
        <w:r>
          <w:rPr>
            <w:noProof/>
            <w:webHidden/>
          </w:rPr>
          <w:fldChar w:fldCharType="end"/>
        </w:r>
      </w:hyperlink>
    </w:p>
    <w:p w14:paraId="22FA5A16" w14:textId="0F4C546E" w:rsidR="00833687" w:rsidRDefault="00833687">
      <w:pPr>
        <w:pStyle w:val="TOC2"/>
        <w:rPr>
          <w:rFonts w:asciiTheme="minorHAnsi" w:eastAsiaTheme="minorEastAsia" w:hAnsiTheme="minorHAnsi" w:cstheme="minorBidi"/>
          <w:noProof/>
          <w:sz w:val="22"/>
          <w:szCs w:val="22"/>
          <w:lang w:eastAsia="en-NZ"/>
        </w:rPr>
      </w:pPr>
      <w:hyperlink w:anchor="_Toc90391848" w:history="1">
        <w:r w:rsidRPr="0006378C">
          <w:rPr>
            <w:rStyle w:val="Hyperlink"/>
            <w:rFonts w:eastAsia="Arial"/>
            <w:noProof/>
          </w:rPr>
          <w:t>9</w:t>
        </w:r>
        <w:r>
          <w:rPr>
            <w:rFonts w:asciiTheme="minorHAnsi" w:eastAsiaTheme="minorEastAsia" w:hAnsiTheme="minorHAnsi" w:cstheme="minorBidi"/>
            <w:noProof/>
            <w:sz w:val="22"/>
            <w:szCs w:val="22"/>
            <w:lang w:eastAsia="en-NZ"/>
          </w:rPr>
          <w:tab/>
        </w:r>
        <w:r w:rsidRPr="0006378C">
          <w:rPr>
            <w:rStyle w:val="Hyperlink"/>
            <w:rFonts w:eastAsia="Arial"/>
            <w:noProof/>
          </w:rPr>
          <w:t>Types of audits</w:t>
        </w:r>
        <w:r>
          <w:rPr>
            <w:noProof/>
            <w:webHidden/>
          </w:rPr>
          <w:tab/>
        </w:r>
        <w:r>
          <w:rPr>
            <w:noProof/>
            <w:webHidden/>
          </w:rPr>
          <w:fldChar w:fldCharType="begin"/>
        </w:r>
        <w:r>
          <w:rPr>
            <w:noProof/>
            <w:webHidden/>
          </w:rPr>
          <w:instrText xml:space="preserve"> PAGEREF _Toc90391848 \h </w:instrText>
        </w:r>
        <w:r>
          <w:rPr>
            <w:noProof/>
            <w:webHidden/>
          </w:rPr>
        </w:r>
        <w:r>
          <w:rPr>
            <w:noProof/>
            <w:webHidden/>
          </w:rPr>
          <w:fldChar w:fldCharType="separate"/>
        </w:r>
        <w:r w:rsidR="002861DC">
          <w:rPr>
            <w:noProof/>
            <w:webHidden/>
          </w:rPr>
          <w:t>38</w:t>
        </w:r>
        <w:r>
          <w:rPr>
            <w:noProof/>
            <w:webHidden/>
          </w:rPr>
          <w:fldChar w:fldCharType="end"/>
        </w:r>
      </w:hyperlink>
    </w:p>
    <w:p w14:paraId="795ECE89" w14:textId="51DA6A69"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49" w:history="1">
        <w:r w:rsidRPr="0006378C">
          <w:rPr>
            <w:rStyle w:val="Hyperlink"/>
            <w:rFonts w:eastAsia="Arial"/>
            <w:noProof/>
          </w:rPr>
          <w:t>9.1</w:t>
        </w:r>
        <w:r>
          <w:rPr>
            <w:rFonts w:asciiTheme="minorHAnsi" w:eastAsiaTheme="minorEastAsia" w:hAnsiTheme="minorHAnsi" w:cstheme="minorBidi"/>
            <w:noProof/>
            <w:sz w:val="22"/>
            <w:szCs w:val="22"/>
            <w:lang w:eastAsia="en-NZ"/>
          </w:rPr>
          <w:tab/>
        </w:r>
        <w:r w:rsidRPr="0006378C">
          <w:rPr>
            <w:rStyle w:val="Hyperlink"/>
            <w:rFonts w:eastAsia="Arial"/>
            <w:noProof/>
          </w:rPr>
          <w:t>NSU verification audit</w:t>
        </w:r>
        <w:r>
          <w:rPr>
            <w:noProof/>
            <w:webHidden/>
          </w:rPr>
          <w:tab/>
        </w:r>
        <w:r>
          <w:rPr>
            <w:noProof/>
            <w:webHidden/>
          </w:rPr>
          <w:fldChar w:fldCharType="begin"/>
        </w:r>
        <w:r>
          <w:rPr>
            <w:noProof/>
            <w:webHidden/>
          </w:rPr>
          <w:instrText xml:space="preserve"> PAGEREF _Toc90391849 \h </w:instrText>
        </w:r>
        <w:r>
          <w:rPr>
            <w:noProof/>
            <w:webHidden/>
          </w:rPr>
        </w:r>
        <w:r>
          <w:rPr>
            <w:noProof/>
            <w:webHidden/>
          </w:rPr>
          <w:fldChar w:fldCharType="separate"/>
        </w:r>
        <w:r w:rsidR="002861DC">
          <w:rPr>
            <w:noProof/>
            <w:webHidden/>
          </w:rPr>
          <w:t>38</w:t>
        </w:r>
        <w:r>
          <w:rPr>
            <w:noProof/>
            <w:webHidden/>
          </w:rPr>
          <w:fldChar w:fldCharType="end"/>
        </w:r>
      </w:hyperlink>
    </w:p>
    <w:p w14:paraId="45266816" w14:textId="505D4E98"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50" w:history="1">
        <w:r w:rsidRPr="0006378C">
          <w:rPr>
            <w:rStyle w:val="Hyperlink"/>
            <w:rFonts w:eastAsia="Arial"/>
            <w:noProof/>
          </w:rPr>
          <w:t>9.2</w:t>
        </w:r>
        <w:r>
          <w:rPr>
            <w:rFonts w:asciiTheme="minorHAnsi" w:eastAsiaTheme="minorEastAsia" w:hAnsiTheme="minorHAnsi" w:cstheme="minorBidi"/>
            <w:noProof/>
            <w:sz w:val="22"/>
            <w:szCs w:val="22"/>
            <w:lang w:eastAsia="en-NZ"/>
          </w:rPr>
          <w:tab/>
        </w:r>
        <w:r w:rsidRPr="0006378C">
          <w:rPr>
            <w:rStyle w:val="Hyperlink"/>
            <w:rFonts w:eastAsia="Arial"/>
            <w:noProof/>
          </w:rPr>
          <w:t>Surveillance audit</w:t>
        </w:r>
        <w:r>
          <w:rPr>
            <w:noProof/>
            <w:webHidden/>
          </w:rPr>
          <w:tab/>
        </w:r>
        <w:r>
          <w:rPr>
            <w:noProof/>
            <w:webHidden/>
          </w:rPr>
          <w:fldChar w:fldCharType="begin"/>
        </w:r>
        <w:r>
          <w:rPr>
            <w:noProof/>
            <w:webHidden/>
          </w:rPr>
          <w:instrText xml:space="preserve"> PAGEREF _Toc90391850 \h </w:instrText>
        </w:r>
        <w:r>
          <w:rPr>
            <w:noProof/>
            <w:webHidden/>
          </w:rPr>
        </w:r>
        <w:r>
          <w:rPr>
            <w:noProof/>
            <w:webHidden/>
          </w:rPr>
          <w:fldChar w:fldCharType="separate"/>
        </w:r>
        <w:r w:rsidR="002861DC">
          <w:rPr>
            <w:noProof/>
            <w:webHidden/>
          </w:rPr>
          <w:t>39</w:t>
        </w:r>
        <w:r>
          <w:rPr>
            <w:noProof/>
            <w:webHidden/>
          </w:rPr>
          <w:fldChar w:fldCharType="end"/>
        </w:r>
      </w:hyperlink>
    </w:p>
    <w:p w14:paraId="6D73F9D1" w14:textId="6F15083D"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51" w:history="1">
        <w:r w:rsidRPr="0006378C">
          <w:rPr>
            <w:rStyle w:val="Hyperlink"/>
            <w:rFonts w:eastAsia="Arial"/>
            <w:noProof/>
          </w:rPr>
          <w:t>9.3</w:t>
        </w:r>
        <w:r>
          <w:rPr>
            <w:rFonts w:asciiTheme="minorHAnsi" w:eastAsiaTheme="minorEastAsia" w:hAnsiTheme="minorHAnsi" w:cstheme="minorBidi"/>
            <w:noProof/>
            <w:sz w:val="22"/>
            <w:szCs w:val="22"/>
            <w:lang w:eastAsia="en-NZ"/>
          </w:rPr>
          <w:tab/>
        </w:r>
        <w:r w:rsidRPr="0006378C">
          <w:rPr>
            <w:rStyle w:val="Hyperlink"/>
            <w:rFonts w:eastAsia="Arial"/>
            <w:noProof/>
          </w:rPr>
          <w:t>Readiness audit</w:t>
        </w:r>
        <w:r>
          <w:rPr>
            <w:noProof/>
            <w:webHidden/>
          </w:rPr>
          <w:tab/>
        </w:r>
        <w:r>
          <w:rPr>
            <w:noProof/>
            <w:webHidden/>
          </w:rPr>
          <w:fldChar w:fldCharType="begin"/>
        </w:r>
        <w:r>
          <w:rPr>
            <w:noProof/>
            <w:webHidden/>
          </w:rPr>
          <w:instrText xml:space="preserve"> PAGEREF _Toc90391851 \h </w:instrText>
        </w:r>
        <w:r>
          <w:rPr>
            <w:noProof/>
            <w:webHidden/>
          </w:rPr>
        </w:r>
        <w:r>
          <w:rPr>
            <w:noProof/>
            <w:webHidden/>
          </w:rPr>
          <w:fldChar w:fldCharType="separate"/>
        </w:r>
        <w:r w:rsidR="002861DC">
          <w:rPr>
            <w:noProof/>
            <w:webHidden/>
          </w:rPr>
          <w:t>40</w:t>
        </w:r>
        <w:r>
          <w:rPr>
            <w:noProof/>
            <w:webHidden/>
          </w:rPr>
          <w:fldChar w:fldCharType="end"/>
        </w:r>
      </w:hyperlink>
    </w:p>
    <w:p w14:paraId="1543C15D" w14:textId="70902D0C"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52" w:history="1">
        <w:r w:rsidRPr="0006378C">
          <w:rPr>
            <w:rStyle w:val="Hyperlink"/>
            <w:rFonts w:eastAsia="Arial"/>
            <w:noProof/>
          </w:rPr>
          <w:t>9.4</w:t>
        </w:r>
        <w:r>
          <w:rPr>
            <w:rFonts w:asciiTheme="minorHAnsi" w:eastAsiaTheme="minorEastAsia" w:hAnsiTheme="minorHAnsi" w:cstheme="minorBidi"/>
            <w:noProof/>
            <w:sz w:val="22"/>
            <w:szCs w:val="22"/>
            <w:lang w:eastAsia="en-NZ"/>
          </w:rPr>
          <w:tab/>
        </w:r>
        <w:r w:rsidRPr="0006378C">
          <w:rPr>
            <w:rStyle w:val="Hyperlink"/>
            <w:rFonts w:eastAsia="Arial"/>
            <w:noProof/>
          </w:rPr>
          <w:t>Extension audit</w:t>
        </w:r>
        <w:r>
          <w:rPr>
            <w:noProof/>
            <w:webHidden/>
          </w:rPr>
          <w:tab/>
        </w:r>
        <w:r>
          <w:rPr>
            <w:noProof/>
            <w:webHidden/>
          </w:rPr>
          <w:fldChar w:fldCharType="begin"/>
        </w:r>
        <w:r>
          <w:rPr>
            <w:noProof/>
            <w:webHidden/>
          </w:rPr>
          <w:instrText xml:space="preserve"> PAGEREF _Toc90391852 \h </w:instrText>
        </w:r>
        <w:r>
          <w:rPr>
            <w:noProof/>
            <w:webHidden/>
          </w:rPr>
        </w:r>
        <w:r>
          <w:rPr>
            <w:noProof/>
            <w:webHidden/>
          </w:rPr>
          <w:fldChar w:fldCharType="separate"/>
        </w:r>
        <w:r w:rsidR="002861DC">
          <w:rPr>
            <w:noProof/>
            <w:webHidden/>
          </w:rPr>
          <w:t>41</w:t>
        </w:r>
        <w:r>
          <w:rPr>
            <w:noProof/>
            <w:webHidden/>
          </w:rPr>
          <w:fldChar w:fldCharType="end"/>
        </w:r>
      </w:hyperlink>
    </w:p>
    <w:p w14:paraId="635DB8C4" w14:textId="078FF321" w:rsidR="00833687" w:rsidRDefault="00833687">
      <w:pPr>
        <w:pStyle w:val="TOC3"/>
        <w:tabs>
          <w:tab w:val="left" w:pos="1134"/>
        </w:tabs>
        <w:rPr>
          <w:rFonts w:asciiTheme="minorHAnsi" w:eastAsiaTheme="minorEastAsia" w:hAnsiTheme="minorHAnsi" w:cstheme="minorBidi"/>
          <w:noProof/>
          <w:sz w:val="22"/>
          <w:szCs w:val="22"/>
          <w:lang w:eastAsia="en-NZ"/>
        </w:rPr>
      </w:pPr>
      <w:hyperlink w:anchor="_Toc90391853" w:history="1">
        <w:r w:rsidRPr="0006378C">
          <w:rPr>
            <w:rStyle w:val="Hyperlink"/>
            <w:rFonts w:eastAsia="Arial"/>
            <w:noProof/>
          </w:rPr>
          <w:t>9.5</w:t>
        </w:r>
        <w:r>
          <w:rPr>
            <w:rFonts w:asciiTheme="minorHAnsi" w:eastAsiaTheme="minorEastAsia" w:hAnsiTheme="minorHAnsi" w:cstheme="minorBidi"/>
            <w:noProof/>
            <w:sz w:val="22"/>
            <w:szCs w:val="22"/>
            <w:lang w:eastAsia="en-NZ"/>
          </w:rPr>
          <w:tab/>
        </w:r>
        <w:r w:rsidRPr="0006378C">
          <w:rPr>
            <w:rStyle w:val="Hyperlink"/>
            <w:rFonts w:eastAsia="Arial"/>
            <w:noProof/>
          </w:rPr>
          <w:t>Remote/virtual audit</w:t>
        </w:r>
        <w:r>
          <w:rPr>
            <w:noProof/>
            <w:webHidden/>
          </w:rPr>
          <w:tab/>
        </w:r>
        <w:r>
          <w:rPr>
            <w:noProof/>
            <w:webHidden/>
          </w:rPr>
          <w:fldChar w:fldCharType="begin"/>
        </w:r>
        <w:r>
          <w:rPr>
            <w:noProof/>
            <w:webHidden/>
          </w:rPr>
          <w:instrText xml:space="preserve"> PAGEREF _Toc90391853 \h </w:instrText>
        </w:r>
        <w:r>
          <w:rPr>
            <w:noProof/>
            <w:webHidden/>
          </w:rPr>
        </w:r>
        <w:r>
          <w:rPr>
            <w:noProof/>
            <w:webHidden/>
          </w:rPr>
          <w:fldChar w:fldCharType="separate"/>
        </w:r>
        <w:r w:rsidR="002861DC">
          <w:rPr>
            <w:noProof/>
            <w:webHidden/>
          </w:rPr>
          <w:t>43</w:t>
        </w:r>
        <w:r>
          <w:rPr>
            <w:noProof/>
            <w:webHidden/>
          </w:rPr>
          <w:fldChar w:fldCharType="end"/>
        </w:r>
      </w:hyperlink>
    </w:p>
    <w:p w14:paraId="1D8628F2" w14:textId="1292017C" w:rsidR="00833687" w:rsidRDefault="00833687">
      <w:pPr>
        <w:pStyle w:val="TOC2"/>
        <w:rPr>
          <w:rFonts w:asciiTheme="minorHAnsi" w:eastAsiaTheme="minorEastAsia" w:hAnsiTheme="minorHAnsi" w:cstheme="minorBidi"/>
          <w:noProof/>
          <w:sz w:val="22"/>
          <w:szCs w:val="22"/>
          <w:lang w:eastAsia="en-NZ"/>
        </w:rPr>
      </w:pPr>
      <w:hyperlink w:anchor="_Toc90391854" w:history="1">
        <w:r w:rsidRPr="0006378C">
          <w:rPr>
            <w:rStyle w:val="Hyperlink"/>
            <w:rFonts w:eastAsia="Arial"/>
            <w:noProof/>
          </w:rPr>
          <w:t>10</w:t>
        </w:r>
        <w:r>
          <w:rPr>
            <w:rFonts w:asciiTheme="minorHAnsi" w:eastAsiaTheme="minorEastAsia" w:hAnsiTheme="minorHAnsi" w:cstheme="minorBidi"/>
            <w:noProof/>
            <w:sz w:val="22"/>
            <w:szCs w:val="22"/>
            <w:lang w:eastAsia="en-NZ"/>
          </w:rPr>
          <w:tab/>
        </w:r>
        <w:r w:rsidRPr="0006378C">
          <w:rPr>
            <w:rStyle w:val="Hyperlink"/>
            <w:rFonts w:eastAsia="Arial"/>
            <w:noProof/>
          </w:rPr>
          <w:t>General requirements for the audit process</w:t>
        </w:r>
        <w:r>
          <w:rPr>
            <w:noProof/>
            <w:webHidden/>
          </w:rPr>
          <w:tab/>
        </w:r>
        <w:r>
          <w:rPr>
            <w:noProof/>
            <w:webHidden/>
          </w:rPr>
          <w:fldChar w:fldCharType="begin"/>
        </w:r>
        <w:r>
          <w:rPr>
            <w:noProof/>
            <w:webHidden/>
          </w:rPr>
          <w:instrText xml:space="preserve"> PAGEREF _Toc90391854 \h </w:instrText>
        </w:r>
        <w:r>
          <w:rPr>
            <w:noProof/>
            <w:webHidden/>
          </w:rPr>
        </w:r>
        <w:r>
          <w:rPr>
            <w:noProof/>
            <w:webHidden/>
          </w:rPr>
          <w:fldChar w:fldCharType="separate"/>
        </w:r>
        <w:r w:rsidR="002861DC">
          <w:rPr>
            <w:noProof/>
            <w:webHidden/>
          </w:rPr>
          <w:t>44</w:t>
        </w:r>
        <w:r>
          <w:rPr>
            <w:noProof/>
            <w:webHidden/>
          </w:rPr>
          <w:fldChar w:fldCharType="end"/>
        </w:r>
      </w:hyperlink>
    </w:p>
    <w:p w14:paraId="3EDD9B6A" w14:textId="37714428"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55" w:history="1">
        <w:r w:rsidRPr="0006378C">
          <w:rPr>
            <w:rStyle w:val="Hyperlink"/>
            <w:rFonts w:eastAsia="Arial"/>
            <w:noProof/>
          </w:rPr>
          <w:t>10.1</w:t>
        </w:r>
        <w:r>
          <w:rPr>
            <w:rFonts w:asciiTheme="minorHAnsi" w:eastAsiaTheme="minorEastAsia" w:hAnsiTheme="minorHAnsi" w:cstheme="minorBidi"/>
            <w:noProof/>
            <w:sz w:val="22"/>
            <w:szCs w:val="22"/>
            <w:lang w:eastAsia="en-NZ"/>
          </w:rPr>
          <w:tab/>
        </w:r>
        <w:r w:rsidRPr="0006378C">
          <w:rPr>
            <w:rStyle w:val="Hyperlink"/>
            <w:rFonts w:eastAsia="Arial"/>
            <w:noProof/>
          </w:rPr>
          <w:t>Cultural considerations</w:t>
        </w:r>
        <w:r>
          <w:rPr>
            <w:noProof/>
            <w:webHidden/>
          </w:rPr>
          <w:tab/>
        </w:r>
        <w:r>
          <w:rPr>
            <w:noProof/>
            <w:webHidden/>
          </w:rPr>
          <w:fldChar w:fldCharType="begin"/>
        </w:r>
        <w:r>
          <w:rPr>
            <w:noProof/>
            <w:webHidden/>
          </w:rPr>
          <w:instrText xml:space="preserve"> PAGEREF _Toc90391855 \h </w:instrText>
        </w:r>
        <w:r>
          <w:rPr>
            <w:noProof/>
            <w:webHidden/>
          </w:rPr>
        </w:r>
        <w:r>
          <w:rPr>
            <w:noProof/>
            <w:webHidden/>
          </w:rPr>
          <w:fldChar w:fldCharType="separate"/>
        </w:r>
        <w:r w:rsidR="002861DC">
          <w:rPr>
            <w:noProof/>
            <w:webHidden/>
          </w:rPr>
          <w:t>44</w:t>
        </w:r>
        <w:r>
          <w:rPr>
            <w:noProof/>
            <w:webHidden/>
          </w:rPr>
          <w:fldChar w:fldCharType="end"/>
        </w:r>
      </w:hyperlink>
    </w:p>
    <w:p w14:paraId="56A000A2" w14:textId="1DFB2325"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56" w:history="1">
        <w:r w:rsidRPr="0006378C">
          <w:rPr>
            <w:rStyle w:val="Hyperlink"/>
            <w:rFonts w:eastAsia="Arial"/>
            <w:noProof/>
          </w:rPr>
          <w:t>10.2</w:t>
        </w:r>
        <w:r>
          <w:rPr>
            <w:rFonts w:asciiTheme="minorHAnsi" w:eastAsiaTheme="minorEastAsia" w:hAnsiTheme="minorHAnsi" w:cstheme="minorBidi"/>
            <w:noProof/>
            <w:sz w:val="22"/>
            <w:szCs w:val="22"/>
            <w:lang w:eastAsia="en-NZ"/>
          </w:rPr>
          <w:tab/>
        </w:r>
        <w:r w:rsidRPr="0006378C">
          <w:rPr>
            <w:rStyle w:val="Hyperlink"/>
            <w:rFonts w:eastAsia="Arial"/>
            <w:noProof/>
          </w:rPr>
          <w:t>Combining audits</w:t>
        </w:r>
        <w:r>
          <w:rPr>
            <w:noProof/>
            <w:webHidden/>
          </w:rPr>
          <w:tab/>
        </w:r>
        <w:r>
          <w:rPr>
            <w:noProof/>
            <w:webHidden/>
          </w:rPr>
          <w:fldChar w:fldCharType="begin"/>
        </w:r>
        <w:r>
          <w:rPr>
            <w:noProof/>
            <w:webHidden/>
          </w:rPr>
          <w:instrText xml:space="preserve"> PAGEREF _Toc90391856 \h </w:instrText>
        </w:r>
        <w:r>
          <w:rPr>
            <w:noProof/>
            <w:webHidden/>
          </w:rPr>
        </w:r>
        <w:r>
          <w:rPr>
            <w:noProof/>
            <w:webHidden/>
          </w:rPr>
          <w:fldChar w:fldCharType="separate"/>
        </w:r>
        <w:r w:rsidR="002861DC">
          <w:rPr>
            <w:noProof/>
            <w:webHidden/>
          </w:rPr>
          <w:t>44</w:t>
        </w:r>
        <w:r>
          <w:rPr>
            <w:noProof/>
            <w:webHidden/>
          </w:rPr>
          <w:fldChar w:fldCharType="end"/>
        </w:r>
      </w:hyperlink>
    </w:p>
    <w:p w14:paraId="5345197F" w14:textId="3A2EBA53"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57" w:history="1">
        <w:r w:rsidRPr="0006378C">
          <w:rPr>
            <w:rStyle w:val="Hyperlink"/>
            <w:rFonts w:eastAsia="Arial"/>
            <w:noProof/>
          </w:rPr>
          <w:t>10.3</w:t>
        </w:r>
        <w:r>
          <w:rPr>
            <w:rFonts w:asciiTheme="minorHAnsi" w:eastAsiaTheme="minorEastAsia" w:hAnsiTheme="minorHAnsi" w:cstheme="minorBidi"/>
            <w:noProof/>
            <w:sz w:val="22"/>
            <w:szCs w:val="22"/>
            <w:lang w:eastAsia="en-NZ"/>
          </w:rPr>
          <w:tab/>
        </w:r>
        <w:r w:rsidRPr="0006378C">
          <w:rPr>
            <w:rStyle w:val="Hyperlink"/>
            <w:rFonts w:eastAsia="Arial"/>
            <w:noProof/>
          </w:rPr>
          <w:t>Auditing against specific conditions</w:t>
        </w:r>
        <w:r>
          <w:rPr>
            <w:noProof/>
            <w:webHidden/>
          </w:rPr>
          <w:tab/>
        </w:r>
        <w:r>
          <w:rPr>
            <w:noProof/>
            <w:webHidden/>
          </w:rPr>
          <w:fldChar w:fldCharType="begin"/>
        </w:r>
        <w:r>
          <w:rPr>
            <w:noProof/>
            <w:webHidden/>
          </w:rPr>
          <w:instrText xml:space="preserve"> PAGEREF _Toc90391857 \h </w:instrText>
        </w:r>
        <w:r>
          <w:rPr>
            <w:noProof/>
            <w:webHidden/>
          </w:rPr>
        </w:r>
        <w:r>
          <w:rPr>
            <w:noProof/>
            <w:webHidden/>
          </w:rPr>
          <w:fldChar w:fldCharType="separate"/>
        </w:r>
        <w:r w:rsidR="002861DC">
          <w:rPr>
            <w:noProof/>
            <w:webHidden/>
          </w:rPr>
          <w:t>45</w:t>
        </w:r>
        <w:r>
          <w:rPr>
            <w:noProof/>
            <w:webHidden/>
          </w:rPr>
          <w:fldChar w:fldCharType="end"/>
        </w:r>
      </w:hyperlink>
    </w:p>
    <w:p w14:paraId="1CF00464" w14:textId="247D3C03"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58" w:history="1">
        <w:r w:rsidRPr="0006378C">
          <w:rPr>
            <w:rStyle w:val="Hyperlink"/>
            <w:noProof/>
          </w:rPr>
          <w:t>10.4</w:t>
        </w:r>
        <w:r>
          <w:rPr>
            <w:rFonts w:asciiTheme="minorHAnsi" w:eastAsiaTheme="minorEastAsia" w:hAnsiTheme="minorHAnsi" w:cstheme="minorBidi"/>
            <w:noProof/>
            <w:sz w:val="22"/>
            <w:szCs w:val="22"/>
            <w:lang w:eastAsia="en-NZ"/>
          </w:rPr>
          <w:tab/>
        </w:r>
        <w:r w:rsidRPr="0006378C">
          <w:rPr>
            <w:rStyle w:val="Hyperlink"/>
            <w:noProof/>
          </w:rPr>
          <w:t>Include relevant information</w:t>
        </w:r>
        <w:r>
          <w:rPr>
            <w:noProof/>
            <w:webHidden/>
          </w:rPr>
          <w:tab/>
        </w:r>
        <w:r>
          <w:rPr>
            <w:noProof/>
            <w:webHidden/>
          </w:rPr>
          <w:fldChar w:fldCharType="begin"/>
        </w:r>
        <w:r>
          <w:rPr>
            <w:noProof/>
            <w:webHidden/>
          </w:rPr>
          <w:instrText xml:space="preserve"> PAGEREF _Toc90391858 \h </w:instrText>
        </w:r>
        <w:r>
          <w:rPr>
            <w:noProof/>
            <w:webHidden/>
          </w:rPr>
        </w:r>
        <w:r>
          <w:rPr>
            <w:noProof/>
            <w:webHidden/>
          </w:rPr>
          <w:fldChar w:fldCharType="separate"/>
        </w:r>
        <w:r w:rsidR="002861DC">
          <w:rPr>
            <w:noProof/>
            <w:webHidden/>
          </w:rPr>
          <w:t>45</w:t>
        </w:r>
        <w:r>
          <w:rPr>
            <w:noProof/>
            <w:webHidden/>
          </w:rPr>
          <w:fldChar w:fldCharType="end"/>
        </w:r>
      </w:hyperlink>
    </w:p>
    <w:p w14:paraId="3EE52F58" w14:textId="468BA40A" w:rsidR="00833687" w:rsidRDefault="00833687">
      <w:pPr>
        <w:pStyle w:val="TOC2"/>
        <w:rPr>
          <w:rFonts w:asciiTheme="minorHAnsi" w:eastAsiaTheme="minorEastAsia" w:hAnsiTheme="minorHAnsi" w:cstheme="minorBidi"/>
          <w:noProof/>
          <w:sz w:val="22"/>
          <w:szCs w:val="22"/>
          <w:lang w:eastAsia="en-NZ"/>
        </w:rPr>
      </w:pPr>
      <w:hyperlink w:anchor="_Toc90391859" w:history="1">
        <w:r w:rsidRPr="0006378C">
          <w:rPr>
            <w:rStyle w:val="Hyperlink"/>
            <w:rFonts w:eastAsia="Arial"/>
            <w:noProof/>
          </w:rPr>
          <w:t>11</w:t>
        </w:r>
        <w:r>
          <w:rPr>
            <w:rFonts w:asciiTheme="minorHAnsi" w:eastAsiaTheme="minorEastAsia" w:hAnsiTheme="minorHAnsi" w:cstheme="minorBidi"/>
            <w:noProof/>
            <w:sz w:val="22"/>
            <w:szCs w:val="22"/>
            <w:lang w:eastAsia="en-NZ"/>
          </w:rPr>
          <w:tab/>
        </w:r>
        <w:r w:rsidRPr="0006378C">
          <w:rPr>
            <w:rStyle w:val="Hyperlink"/>
            <w:rFonts w:eastAsia="Arial"/>
            <w:noProof/>
          </w:rPr>
          <w:t>Audit reporting</w:t>
        </w:r>
        <w:r>
          <w:rPr>
            <w:noProof/>
            <w:webHidden/>
          </w:rPr>
          <w:tab/>
        </w:r>
        <w:r>
          <w:rPr>
            <w:noProof/>
            <w:webHidden/>
          </w:rPr>
          <w:fldChar w:fldCharType="begin"/>
        </w:r>
        <w:r>
          <w:rPr>
            <w:noProof/>
            <w:webHidden/>
          </w:rPr>
          <w:instrText xml:space="preserve"> PAGEREF _Toc90391859 \h </w:instrText>
        </w:r>
        <w:r>
          <w:rPr>
            <w:noProof/>
            <w:webHidden/>
          </w:rPr>
        </w:r>
        <w:r>
          <w:rPr>
            <w:noProof/>
            <w:webHidden/>
          </w:rPr>
          <w:fldChar w:fldCharType="separate"/>
        </w:r>
        <w:r w:rsidR="002861DC">
          <w:rPr>
            <w:noProof/>
            <w:webHidden/>
          </w:rPr>
          <w:t>46</w:t>
        </w:r>
        <w:r>
          <w:rPr>
            <w:noProof/>
            <w:webHidden/>
          </w:rPr>
          <w:fldChar w:fldCharType="end"/>
        </w:r>
      </w:hyperlink>
    </w:p>
    <w:p w14:paraId="79561397" w14:textId="696DFF2D"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60" w:history="1">
        <w:r w:rsidRPr="0006378C">
          <w:rPr>
            <w:rStyle w:val="Hyperlink"/>
            <w:rFonts w:eastAsia="Arial"/>
            <w:noProof/>
          </w:rPr>
          <w:t>11.1</w:t>
        </w:r>
        <w:r>
          <w:rPr>
            <w:rFonts w:asciiTheme="minorHAnsi" w:eastAsiaTheme="minorEastAsia" w:hAnsiTheme="minorHAnsi" w:cstheme="minorBidi"/>
            <w:noProof/>
            <w:sz w:val="22"/>
            <w:szCs w:val="22"/>
            <w:lang w:eastAsia="en-NZ"/>
          </w:rPr>
          <w:tab/>
        </w:r>
        <w:r w:rsidRPr="0006378C">
          <w:rPr>
            <w:rStyle w:val="Hyperlink"/>
            <w:rFonts w:eastAsia="Arial"/>
            <w:noProof/>
          </w:rPr>
          <w:t>DAA Group audit report writing guideline</w:t>
        </w:r>
        <w:r>
          <w:rPr>
            <w:noProof/>
            <w:webHidden/>
          </w:rPr>
          <w:tab/>
        </w:r>
        <w:r>
          <w:rPr>
            <w:noProof/>
            <w:webHidden/>
          </w:rPr>
          <w:fldChar w:fldCharType="begin"/>
        </w:r>
        <w:r>
          <w:rPr>
            <w:noProof/>
            <w:webHidden/>
          </w:rPr>
          <w:instrText xml:space="preserve"> PAGEREF _Toc90391860 \h </w:instrText>
        </w:r>
        <w:r>
          <w:rPr>
            <w:noProof/>
            <w:webHidden/>
          </w:rPr>
        </w:r>
        <w:r>
          <w:rPr>
            <w:noProof/>
            <w:webHidden/>
          </w:rPr>
          <w:fldChar w:fldCharType="separate"/>
        </w:r>
        <w:r w:rsidR="002861DC">
          <w:rPr>
            <w:noProof/>
            <w:webHidden/>
          </w:rPr>
          <w:t>47</w:t>
        </w:r>
        <w:r>
          <w:rPr>
            <w:noProof/>
            <w:webHidden/>
          </w:rPr>
          <w:fldChar w:fldCharType="end"/>
        </w:r>
      </w:hyperlink>
    </w:p>
    <w:p w14:paraId="763A72C6" w14:textId="1C19BBCC"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61" w:history="1">
        <w:r w:rsidRPr="0006378C">
          <w:rPr>
            <w:rStyle w:val="Hyperlink"/>
            <w:rFonts w:eastAsia="Arial"/>
            <w:noProof/>
          </w:rPr>
          <w:t>11.2</w:t>
        </w:r>
        <w:r>
          <w:rPr>
            <w:rFonts w:asciiTheme="minorHAnsi" w:eastAsiaTheme="minorEastAsia" w:hAnsiTheme="minorHAnsi" w:cstheme="minorBidi"/>
            <w:noProof/>
            <w:sz w:val="22"/>
            <w:szCs w:val="22"/>
            <w:lang w:eastAsia="en-NZ"/>
          </w:rPr>
          <w:tab/>
        </w:r>
        <w:r w:rsidRPr="0006378C">
          <w:rPr>
            <w:rStyle w:val="Hyperlink"/>
            <w:rFonts w:eastAsia="Arial"/>
            <w:noProof/>
          </w:rPr>
          <w:t>Documented evidence</w:t>
        </w:r>
        <w:r>
          <w:rPr>
            <w:noProof/>
            <w:webHidden/>
          </w:rPr>
          <w:tab/>
        </w:r>
        <w:r>
          <w:rPr>
            <w:noProof/>
            <w:webHidden/>
          </w:rPr>
          <w:fldChar w:fldCharType="begin"/>
        </w:r>
        <w:r>
          <w:rPr>
            <w:noProof/>
            <w:webHidden/>
          </w:rPr>
          <w:instrText xml:space="preserve"> PAGEREF _Toc90391861 \h </w:instrText>
        </w:r>
        <w:r>
          <w:rPr>
            <w:noProof/>
            <w:webHidden/>
          </w:rPr>
        </w:r>
        <w:r>
          <w:rPr>
            <w:noProof/>
            <w:webHidden/>
          </w:rPr>
          <w:fldChar w:fldCharType="separate"/>
        </w:r>
        <w:r w:rsidR="002861DC">
          <w:rPr>
            <w:noProof/>
            <w:webHidden/>
          </w:rPr>
          <w:t>47</w:t>
        </w:r>
        <w:r>
          <w:rPr>
            <w:noProof/>
            <w:webHidden/>
          </w:rPr>
          <w:fldChar w:fldCharType="end"/>
        </w:r>
      </w:hyperlink>
    </w:p>
    <w:p w14:paraId="3B521DED" w14:textId="799E78B2"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62" w:history="1">
        <w:r w:rsidRPr="0006378C">
          <w:rPr>
            <w:rStyle w:val="Hyperlink"/>
            <w:rFonts w:eastAsia="Arial"/>
            <w:noProof/>
          </w:rPr>
          <w:t>11.3</w:t>
        </w:r>
        <w:r>
          <w:rPr>
            <w:rFonts w:asciiTheme="minorHAnsi" w:eastAsiaTheme="minorEastAsia" w:hAnsiTheme="minorHAnsi" w:cstheme="minorBidi"/>
            <w:noProof/>
            <w:sz w:val="22"/>
            <w:szCs w:val="22"/>
            <w:lang w:eastAsia="en-NZ"/>
          </w:rPr>
          <w:tab/>
        </w:r>
        <w:r w:rsidRPr="0006378C">
          <w:rPr>
            <w:rStyle w:val="Hyperlink"/>
            <w:rFonts w:eastAsia="Arial"/>
            <w:noProof/>
          </w:rPr>
          <w:t>Submission of the NSU audit report</w:t>
        </w:r>
        <w:r>
          <w:rPr>
            <w:noProof/>
            <w:webHidden/>
          </w:rPr>
          <w:tab/>
        </w:r>
        <w:r>
          <w:rPr>
            <w:noProof/>
            <w:webHidden/>
          </w:rPr>
          <w:fldChar w:fldCharType="begin"/>
        </w:r>
        <w:r>
          <w:rPr>
            <w:noProof/>
            <w:webHidden/>
          </w:rPr>
          <w:instrText xml:space="preserve"> PAGEREF _Toc90391862 \h </w:instrText>
        </w:r>
        <w:r>
          <w:rPr>
            <w:noProof/>
            <w:webHidden/>
          </w:rPr>
        </w:r>
        <w:r>
          <w:rPr>
            <w:noProof/>
            <w:webHidden/>
          </w:rPr>
          <w:fldChar w:fldCharType="separate"/>
        </w:r>
        <w:r w:rsidR="002861DC">
          <w:rPr>
            <w:noProof/>
            <w:webHidden/>
          </w:rPr>
          <w:t>47</w:t>
        </w:r>
        <w:r>
          <w:rPr>
            <w:noProof/>
            <w:webHidden/>
          </w:rPr>
          <w:fldChar w:fldCharType="end"/>
        </w:r>
      </w:hyperlink>
    </w:p>
    <w:p w14:paraId="5852DAA6" w14:textId="6096C538" w:rsidR="00833687" w:rsidRDefault="00833687">
      <w:pPr>
        <w:pStyle w:val="TOC3"/>
        <w:tabs>
          <w:tab w:val="left" w:pos="1320"/>
        </w:tabs>
        <w:rPr>
          <w:rFonts w:asciiTheme="minorHAnsi" w:eastAsiaTheme="minorEastAsia" w:hAnsiTheme="minorHAnsi" w:cstheme="minorBidi"/>
          <w:noProof/>
          <w:sz w:val="22"/>
          <w:szCs w:val="22"/>
          <w:lang w:eastAsia="en-NZ"/>
        </w:rPr>
      </w:pPr>
      <w:hyperlink w:anchor="_Toc90391863" w:history="1">
        <w:r w:rsidRPr="0006378C">
          <w:rPr>
            <w:rStyle w:val="Hyperlink"/>
            <w:rFonts w:eastAsia="Arial"/>
            <w:noProof/>
          </w:rPr>
          <w:t>11.4</w:t>
        </w:r>
        <w:r>
          <w:rPr>
            <w:rFonts w:asciiTheme="minorHAnsi" w:eastAsiaTheme="minorEastAsia" w:hAnsiTheme="minorHAnsi" w:cstheme="minorBidi"/>
            <w:noProof/>
            <w:sz w:val="22"/>
            <w:szCs w:val="22"/>
            <w:lang w:eastAsia="en-NZ"/>
          </w:rPr>
          <w:tab/>
        </w:r>
        <w:r w:rsidRPr="0006378C">
          <w:rPr>
            <w:rStyle w:val="Hyperlink"/>
            <w:rFonts w:eastAsia="Arial"/>
            <w:noProof/>
          </w:rPr>
          <w:t>NSU report review and action process</w:t>
        </w:r>
        <w:r>
          <w:rPr>
            <w:noProof/>
            <w:webHidden/>
          </w:rPr>
          <w:tab/>
        </w:r>
        <w:r>
          <w:rPr>
            <w:noProof/>
            <w:webHidden/>
          </w:rPr>
          <w:fldChar w:fldCharType="begin"/>
        </w:r>
        <w:r>
          <w:rPr>
            <w:noProof/>
            <w:webHidden/>
          </w:rPr>
          <w:instrText xml:space="preserve"> PAGEREF _Toc90391863 \h </w:instrText>
        </w:r>
        <w:r>
          <w:rPr>
            <w:noProof/>
            <w:webHidden/>
          </w:rPr>
        </w:r>
        <w:r>
          <w:rPr>
            <w:noProof/>
            <w:webHidden/>
          </w:rPr>
          <w:fldChar w:fldCharType="separate"/>
        </w:r>
        <w:r w:rsidR="002861DC">
          <w:rPr>
            <w:noProof/>
            <w:webHidden/>
          </w:rPr>
          <w:t>48</w:t>
        </w:r>
        <w:r>
          <w:rPr>
            <w:noProof/>
            <w:webHidden/>
          </w:rPr>
          <w:fldChar w:fldCharType="end"/>
        </w:r>
      </w:hyperlink>
    </w:p>
    <w:p w14:paraId="7D9AEC11" w14:textId="3ED5F5F0" w:rsidR="00833687" w:rsidRDefault="00833687">
      <w:pPr>
        <w:pStyle w:val="TOC2"/>
        <w:rPr>
          <w:rFonts w:asciiTheme="minorHAnsi" w:eastAsiaTheme="minorEastAsia" w:hAnsiTheme="minorHAnsi" w:cstheme="minorBidi"/>
          <w:noProof/>
          <w:sz w:val="22"/>
          <w:szCs w:val="22"/>
          <w:lang w:eastAsia="en-NZ"/>
        </w:rPr>
      </w:pPr>
      <w:hyperlink w:anchor="_Toc90391864" w:history="1">
        <w:r w:rsidRPr="0006378C">
          <w:rPr>
            <w:rStyle w:val="Hyperlink"/>
            <w:rFonts w:eastAsia="Arial"/>
            <w:noProof/>
          </w:rPr>
          <w:t>12</w:t>
        </w:r>
        <w:r>
          <w:rPr>
            <w:rFonts w:asciiTheme="minorHAnsi" w:eastAsiaTheme="minorEastAsia" w:hAnsiTheme="minorHAnsi" w:cstheme="minorBidi"/>
            <w:noProof/>
            <w:sz w:val="22"/>
            <w:szCs w:val="22"/>
            <w:lang w:eastAsia="en-NZ"/>
          </w:rPr>
          <w:tab/>
        </w:r>
        <w:r w:rsidRPr="0006378C">
          <w:rPr>
            <w:rStyle w:val="Hyperlink"/>
            <w:rFonts w:eastAsia="Arial"/>
            <w:noProof/>
          </w:rPr>
          <w:t>Progress reporting</w:t>
        </w:r>
        <w:r>
          <w:rPr>
            <w:noProof/>
            <w:webHidden/>
          </w:rPr>
          <w:tab/>
        </w:r>
        <w:r>
          <w:rPr>
            <w:noProof/>
            <w:webHidden/>
          </w:rPr>
          <w:fldChar w:fldCharType="begin"/>
        </w:r>
        <w:r>
          <w:rPr>
            <w:noProof/>
            <w:webHidden/>
          </w:rPr>
          <w:instrText xml:space="preserve"> PAGEREF _Toc90391864 \h </w:instrText>
        </w:r>
        <w:r>
          <w:rPr>
            <w:noProof/>
            <w:webHidden/>
          </w:rPr>
        </w:r>
        <w:r>
          <w:rPr>
            <w:noProof/>
            <w:webHidden/>
          </w:rPr>
          <w:fldChar w:fldCharType="separate"/>
        </w:r>
        <w:r w:rsidR="002861DC">
          <w:rPr>
            <w:noProof/>
            <w:webHidden/>
          </w:rPr>
          <w:t>49</w:t>
        </w:r>
        <w:r>
          <w:rPr>
            <w:noProof/>
            <w:webHidden/>
          </w:rPr>
          <w:fldChar w:fldCharType="end"/>
        </w:r>
      </w:hyperlink>
    </w:p>
    <w:p w14:paraId="3B5F393E" w14:textId="51830A27" w:rsidR="00833687" w:rsidRDefault="00833687">
      <w:pPr>
        <w:pStyle w:val="TOC2"/>
        <w:rPr>
          <w:rFonts w:asciiTheme="minorHAnsi" w:eastAsiaTheme="minorEastAsia" w:hAnsiTheme="minorHAnsi" w:cstheme="minorBidi"/>
          <w:noProof/>
          <w:sz w:val="22"/>
          <w:szCs w:val="22"/>
          <w:lang w:eastAsia="en-NZ"/>
        </w:rPr>
      </w:pPr>
      <w:hyperlink w:anchor="_Toc90391865" w:history="1">
        <w:r w:rsidRPr="0006378C">
          <w:rPr>
            <w:rStyle w:val="Hyperlink"/>
            <w:rFonts w:eastAsia="Arial"/>
            <w:noProof/>
          </w:rPr>
          <w:t>References</w:t>
        </w:r>
        <w:r>
          <w:rPr>
            <w:noProof/>
            <w:webHidden/>
          </w:rPr>
          <w:tab/>
        </w:r>
        <w:r>
          <w:rPr>
            <w:noProof/>
            <w:webHidden/>
          </w:rPr>
          <w:fldChar w:fldCharType="begin"/>
        </w:r>
        <w:r>
          <w:rPr>
            <w:noProof/>
            <w:webHidden/>
          </w:rPr>
          <w:instrText xml:space="preserve"> PAGEREF _Toc90391865 \h </w:instrText>
        </w:r>
        <w:r>
          <w:rPr>
            <w:noProof/>
            <w:webHidden/>
          </w:rPr>
        </w:r>
        <w:r>
          <w:rPr>
            <w:noProof/>
            <w:webHidden/>
          </w:rPr>
          <w:fldChar w:fldCharType="separate"/>
        </w:r>
        <w:r w:rsidR="002861DC">
          <w:rPr>
            <w:noProof/>
            <w:webHidden/>
          </w:rPr>
          <w:t>50</w:t>
        </w:r>
        <w:r>
          <w:rPr>
            <w:noProof/>
            <w:webHidden/>
          </w:rPr>
          <w:fldChar w:fldCharType="end"/>
        </w:r>
      </w:hyperlink>
    </w:p>
    <w:p w14:paraId="4F23DD1C" w14:textId="6EFB1AB1" w:rsidR="00833687" w:rsidRDefault="00833687">
      <w:pPr>
        <w:pStyle w:val="TOC1"/>
        <w:rPr>
          <w:rFonts w:asciiTheme="minorHAnsi" w:eastAsiaTheme="minorEastAsia" w:hAnsiTheme="minorHAnsi" w:cstheme="minorBidi"/>
          <w:i w:val="0"/>
          <w:noProof/>
          <w:sz w:val="22"/>
          <w:szCs w:val="22"/>
          <w:lang w:eastAsia="en-NZ"/>
        </w:rPr>
      </w:pPr>
      <w:hyperlink w:anchor="_Toc90391866" w:history="1">
        <w:r w:rsidRPr="0006378C">
          <w:rPr>
            <w:rStyle w:val="Hyperlink"/>
            <w:noProof/>
          </w:rPr>
          <w:t>Appendices</w:t>
        </w:r>
        <w:r>
          <w:rPr>
            <w:noProof/>
            <w:webHidden/>
          </w:rPr>
          <w:tab/>
        </w:r>
        <w:r>
          <w:rPr>
            <w:noProof/>
            <w:webHidden/>
          </w:rPr>
          <w:fldChar w:fldCharType="begin"/>
        </w:r>
        <w:r>
          <w:rPr>
            <w:noProof/>
            <w:webHidden/>
          </w:rPr>
          <w:instrText xml:space="preserve"> PAGEREF _Toc90391866 \h </w:instrText>
        </w:r>
        <w:r>
          <w:rPr>
            <w:noProof/>
            <w:webHidden/>
          </w:rPr>
        </w:r>
        <w:r>
          <w:rPr>
            <w:noProof/>
            <w:webHidden/>
          </w:rPr>
          <w:fldChar w:fldCharType="separate"/>
        </w:r>
        <w:r w:rsidR="002861DC">
          <w:rPr>
            <w:noProof/>
            <w:webHidden/>
          </w:rPr>
          <w:t>51</w:t>
        </w:r>
        <w:r>
          <w:rPr>
            <w:noProof/>
            <w:webHidden/>
          </w:rPr>
          <w:fldChar w:fldCharType="end"/>
        </w:r>
      </w:hyperlink>
    </w:p>
    <w:p w14:paraId="2DE64FFE" w14:textId="41C79DE4" w:rsidR="00833687" w:rsidRDefault="00833687">
      <w:pPr>
        <w:pStyle w:val="TOC2"/>
        <w:rPr>
          <w:rFonts w:asciiTheme="minorHAnsi" w:eastAsiaTheme="minorEastAsia" w:hAnsiTheme="minorHAnsi" w:cstheme="minorBidi"/>
          <w:noProof/>
          <w:sz w:val="22"/>
          <w:szCs w:val="22"/>
          <w:lang w:eastAsia="en-NZ"/>
        </w:rPr>
      </w:pPr>
      <w:hyperlink w:anchor="_Toc90391867" w:history="1">
        <w:r w:rsidRPr="0006378C">
          <w:rPr>
            <w:rStyle w:val="Hyperlink"/>
            <w:noProof/>
          </w:rPr>
          <w:t>Appendix One : NSU monitoring and evaluation framework</w:t>
        </w:r>
        <w:r>
          <w:rPr>
            <w:noProof/>
            <w:webHidden/>
          </w:rPr>
          <w:tab/>
        </w:r>
        <w:r>
          <w:rPr>
            <w:noProof/>
            <w:webHidden/>
          </w:rPr>
          <w:fldChar w:fldCharType="begin"/>
        </w:r>
        <w:r>
          <w:rPr>
            <w:noProof/>
            <w:webHidden/>
          </w:rPr>
          <w:instrText xml:space="preserve"> PAGEREF _Toc90391867 \h </w:instrText>
        </w:r>
        <w:r>
          <w:rPr>
            <w:noProof/>
            <w:webHidden/>
          </w:rPr>
        </w:r>
        <w:r>
          <w:rPr>
            <w:noProof/>
            <w:webHidden/>
          </w:rPr>
          <w:fldChar w:fldCharType="separate"/>
        </w:r>
        <w:r w:rsidR="002861DC">
          <w:rPr>
            <w:noProof/>
            <w:webHidden/>
          </w:rPr>
          <w:t>53</w:t>
        </w:r>
        <w:r>
          <w:rPr>
            <w:noProof/>
            <w:webHidden/>
          </w:rPr>
          <w:fldChar w:fldCharType="end"/>
        </w:r>
      </w:hyperlink>
    </w:p>
    <w:p w14:paraId="77978E6C" w14:textId="1A4E6F23" w:rsidR="00833687" w:rsidRDefault="00833687">
      <w:pPr>
        <w:pStyle w:val="TOC2"/>
        <w:rPr>
          <w:rFonts w:asciiTheme="minorHAnsi" w:eastAsiaTheme="minorEastAsia" w:hAnsiTheme="minorHAnsi" w:cstheme="minorBidi"/>
          <w:noProof/>
          <w:sz w:val="22"/>
          <w:szCs w:val="22"/>
          <w:lang w:eastAsia="en-NZ"/>
        </w:rPr>
      </w:pPr>
      <w:hyperlink w:anchor="_Toc90391868" w:history="1">
        <w:r w:rsidRPr="0006378C">
          <w:rPr>
            <w:rStyle w:val="Hyperlink"/>
            <w:noProof/>
          </w:rPr>
          <w:t>Appendix Two : NSU generic audit process</w:t>
        </w:r>
        <w:r>
          <w:rPr>
            <w:noProof/>
            <w:webHidden/>
          </w:rPr>
          <w:tab/>
        </w:r>
        <w:r>
          <w:rPr>
            <w:noProof/>
            <w:webHidden/>
          </w:rPr>
          <w:fldChar w:fldCharType="begin"/>
        </w:r>
        <w:r>
          <w:rPr>
            <w:noProof/>
            <w:webHidden/>
          </w:rPr>
          <w:instrText xml:space="preserve"> PAGEREF _Toc90391868 \h </w:instrText>
        </w:r>
        <w:r>
          <w:rPr>
            <w:noProof/>
            <w:webHidden/>
          </w:rPr>
        </w:r>
        <w:r>
          <w:rPr>
            <w:noProof/>
            <w:webHidden/>
          </w:rPr>
          <w:fldChar w:fldCharType="separate"/>
        </w:r>
        <w:r w:rsidR="002861DC">
          <w:rPr>
            <w:noProof/>
            <w:webHidden/>
          </w:rPr>
          <w:t>54</w:t>
        </w:r>
        <w:r>
          <w:rPr>
            <w:noProof/>
            <w:webHidden/>
          </w:rPr>
          <w:fldChar w:fldCharType="end"/>
        </w:r>
      </w:hyperlink>
    </w:p>
    <w:p w14:paraId="0C3FCC8F" w14:textId="7C0D0EF6" w:rsidR="00833687" w:rsidRDefault="00833687">
      <w:pPr>
        <w:pStyle w:val="TOC2"/>
        <w:rPr>
          <w:rFonts w:asciiTheme="minorHAnsi" w:eastAsiaTheme="minorEastAsia" w:hAnsiTheme="minorHAnsi" w:cstheme="minorBidi"/>
          <w:noProof/>
          <w:sz w:val="22"/>
          <w:szCs w:val="22"/>
          <w:lang w:eastAsia="en-NZ"/>
        </w:rPr>
      </w:pPr>
      <w:hyperlink w:anchor="_Toc90391869" w:history="1">
        <w:r w:rsidRPr="0006378C">
          <w:rPr>
            <w:rStyle w:val="Hyperlink"/>
            <w:noProof/>
          </w:rPr>
          <w:t>Appendix Three : Readiness audit – the interview with the prospective provider</w:t>
        </w:r>
        <w:r>
          <w:rPr>
            <w:noProof/>
            <w:webHidden/>
          </w:rPr>
          <w:tab/>
        </w:r>
        <w:r>
          <w:rPr>
            <w:noProof/>
            <w:webHidden/>
          </w:rPr>
          <w:fldChar w:fldCharType="begin"/>
        </w:r>
        <w:r>
          <w:rPr>
            <w:noProof/>
            <w:webHidden/>
          </w:rPr>
          <w:instrText xml:space="preserve"> PAGEREF _Toc90391869 \h </w:instrText>
        </w:r>
        <w:r>
          <w:rPr>
            <w:noProof/>
            <w:webHidden/>
          </w:rPr>
        </w:r>
        <w:r>
          <w:rPr>
            <w:noProof/>
            <w:webHidden/>
          </w:rPr>
          <w:fldChar w:fldCharType="separate"/>
        </w:r>
        <w:r w:rsidR="002861DC">
          <w:rPr>
            <w:noProof/>
            <w:webHidden/>
          </w:rPr>
          <w:t>55</w:t>
        </w:r>
        <w:r>
          <w:rPr>
            <w:noProof/>
            <w:webHidden/>
          </w:rPr>
          <w:fldChar w:fldCharType="end"/>
        </w:r>
      </w:hyperlink>
    </w:p>
    <w:p w14:paraId="06973F3A" w14:textId="5B59BFC0" w:rsidR="00833687" w:rsidRDefault="00833687">
      <w:pPr>
        <w:pStyle w:val="TOC2"/>
        <w:rPr>
          <w:rFonts w:asciiTheme="minorHAnsi" w:eastAsiaTheme="minorEastAsia" w:hAnsiTheme="minorHAnsi" w:cstheme="minorBidi"/>
          <w:noProof/>
          <w:sz w:val="22"/>
          <w:szCs w:val="22"/>
          <w:lang w:eastAsia="en-NZ"/>
        </w:rPr>
      </w:pPr>
      <w:hyperlink w:anchor="_Toc90391870" w:history="1">
        <w:r w:rsidRPr="0006378C">
          <w:rPr>
            <w:rStyle w:val="Hyperlink"/>
            <w:noProof/>
          </w:rPr>
          <w:t>Appendix Four : NSU corrective action request process</w:t>
        </w:r>
        <w:r>
          <w:rPr>
            <w:noProof/>
            <w:webHidden/>
          </w:rPr>
          <w:tab/>
        </w:r>
        <w:r>
          <w:rPr>
            <w:noProof/>
            <w:webHidden/>
          </w:rPr>
          <w:fldChar w:fldCharType="begin"/>
        </w:r>
        <w:r>
          <w:rPr>
            <w:noProof/>
            <w:webHidden/>
          </w:rPr>
          <w:instrText xml:space="preserve"> PAGEREF _Toc90391870 \h </w:instrText>
        </w:r>
        <w:r>
          <w:rPr>
            <w:noProof/>
            <w:webHidden/>
          </w:rPr>
        </w:r>
        <w:r>
          <w:rPr>
            <w:noProof/>
            <w:webHidden/>
          </w:rPr>
          <w:fldChar w:fldCharType="separate"/>
        </w:r>
        <w:r w:rsidR="002861DC">
          <w:rPr>
            <w:noProof/>
            <w:webHidden/>
          </w:rPr>
          <w:t>57</w:t>
        </w:r>
        <w:r>
          <w:rPr>
            <w:noProof/>
            <w:webHidden/>
          </w:rPr>
          <w:fldChar w:fldCharType="end"/>
        </w:r>
      </w:hyperlink>
    </w:p>
    <w:p w14:paraId="7B780F76" w14:textId="73614D2A" w:rsidR="00C86248" w:rsidRDefault="00833687">
      <w:r>
        <w:rPr>
          <w:rFonts w:ascii="Segoe UI Semibold" w:hAnsi="Segoe UI Semibold"/>
          <w:b/>
          <w:sz w:val="24"/>
        </w:rPr>
        <w:fldChar w:fldCharType="end"/>
      </w:r>
    </w:p>
    <w:p w14:paraId="7B780F77" w14:textId="77777777" w:rsidR="00FB0A5B" w:rsidRDefault="00FB0A5B" w:rsidP="003A5FEA"/>
    <w:p w14:paraId="7B780F78"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7B780F79" w14:textId="77777777" w:rsidR="008C2973" w:rsidRDefault="002B7BEC" w:rsidP="00E83C3D">
      <w:pPr>
        <w:pStyle w:val="Heading1"/>
      </w:pPr>
      <w:bookmarkStart w:id="2" w:name="_Toc90391820"/>
      <w:r>
        <w:lastRenderedPageBreak/>
        <w:t>Introduction</w:t>
      </w:r>
      <w:bookmarkEnd w:id="2"/>
    </w:p>
    <w:p w14:paraId="7B780F7A" w14:textId="77777777" w:rsidR="00B17E6C" w:rsidRDefault="00B17E6C" w:rsidP="00E33EDB">
      <w:r>
        <w:t>The National Screening Unit (NSU) is committed to person-centred, safe screening assessments. We recognise audit as an essential monitoring function that supports effective programme stewardship with all screening providers.</w:t>
      </w:r>
      <w:r w:rsidRPr="0048131B">
        <w:t xml:space="preserve"> </w:t>
      </w:r>
      <w:r>
        <w:t xml:space="preserve">Principle 5 of the NSU Quality Framework seeks to ensure </w:t>
      </w:r>
      <w:r w:rsidR="00E33EDB">
        <w:t>‘</w:t>
      </w:r>
      <w:r w:rsidRPr="004A661E">
        <w:t>Screening programmes are monitored and evaluated on a regular basis</w:t>
      </w:r>
      <w:r w:rsidR="00E33EDB">
        <w:t>’</w:t>
      </w:r>
      <w:r>
        <w:t>.</w:t>
      </w:r>
    </w:p>
    <w:p w14:paraId="7B780F7B" w14:textId="77777777" w:rsidR="00B17E6C" w:rsidRPr="00482048" w:rsidRDefault="00B17E6C" w:rsidP="00E33EDB"/>
    <w:p w14:paraId="7B780F7C" w14:textId="5FDEE437" w:rsidR="00B17E6C" w:rsidRDefault="00B17E6C" w:rsidP="00E33EDB">
      <w:r>
        <w:t xml:space="preserve">In 2019 NSU established a monitoring and evaluation framework. For a diagram of the framework, including the function of provider audit, see </w:t>
      </w:r>
      <w:r w:rsidR="00E21ACB">
        <w:fldChar w:fldCharType="begin"/>
      </w:r>
      <w:r w:rsidR="00E21ACB">
        <w:instrText xml:space="preserve"> REF _Ref71180549 \r \h </w:instrText>
      </w:r>
      <w:r w:rsidR="00E21ACB">
        <w:fldChar w:fldCharType="separate"/>
      </w:r>
      <w:r w:rsidR="002861DC">
        <w:t>Appendix One</w:t>
      </w:r>
      <w:r w:rsidR="00E21ACB">
        <w:fldChar w:fldCharType="end"/>
      </w:r>
      <w:r>
        <w:t>.</w:t>
      </w:r>
    </w:p>
    <w:p w14:paraId="7B780F7D" w14:textId="77777777" w:rsidR="00B17E6C" w:rsidRDefault="00B17E6C" w:rsidP="00E33EDB"/>
    <w:p w14:paraId="7B780F7E" w14:textId="77777777" w:rsidR="00B17E6C" w:rsidRDefault="00B17E6C" w:rsidP="00E33EDB">
      <w:r>
        <w:t xml:space="preserve">The </w:t>
      </w:r>
      <w:r w:rsidRPr="008911EC">
        <w:rPr>
          <w:i/>
        </w:rPr>
        <w:t>NSU Auditing Handbook</w:t>
      </w:r>
      <w:r>
        <w:rPr>
          <w:i/>
        </w:rPr>
        <w:t>:</w:t>
      </w:r>
      <w:r>
        <w:t xml:space="preserve"> </w:t>
      </w:r>
      <w:r w:rsidRPr="008911EC">
        <w:rPr>
          <w:i/>
        </w:rPr>
        <w:t>Part One</w:t>
      </w:r>
      <w:r>
        <w:t xml:space="preserve"> and </w:t>
      </w:r>
      <w:r w:rsidRPr="008911EC">
        <w:rPr>
          <w:i/>
        </w:rPr>
        <w:t>Part Two</w:t>
      </w:r>
      <w:r>
        <w:t xml:space="preserve"> are prepared as components of the new quality assurance audit programme that the Designated Audit Agency (DAA) Group will deliver from early 2021.</w:t>
      </w:r>
    </w:p>
    <w:p w14:paraId="7B780F7F" w14:textId="77777777" w:rsidR="00B17E6C" w:rsidRDefault="00B17E6C" w:rsidP="00E33EDB"/>
    <w:p w14:paraId="7B780F80" w14:textId="77777777" w:rsidR="00B17E6C" w:rsidRDefault="00B17E6C" w:rsidP="00E33EDB">
      <w:r w:rsidRPr="002A4139">
        <w:t>The purpose of this handbook is</w:t>
      </w:r>
      <w:r>
        <w:t xml:space="preserve"> to</w:t>
      </w:r>
      <w:r w:rsidRPr="002A4139">
        <w:t>:</w:t>
      </w:r>
    </w:p>
    <w:p w14:paraId="7B780F81" w14:textId="77777777" w:rsidR="00B17E6C" w:rsidRPr="002A4139" w:rsidRDefault="00E83C3D" w:rsidP="00E83C3D">
      <w:pPr>
        <w:spacing w:before="90"/>
        <w:ind w:left="567" w:hanging="567"/>
      </w:pPr>
      <w:r>
        <w:t>1.</w:t>
      </w:r>
      <w:r>
        <w:tab/>
      </w:r>
      <w:r w:rsidR="00B17E6C">
        <w:t>describe the</w:t>
      </w:r>
      <w:r w:rsidR="00B17E6C" w:rsidRPr="002A4139">
        <w:t xml:space="preserve"> requirements </w:t>
      </w:r>
      <w:r w:rsidR="00B17E6C">
        <w:t xml:space="preserve">of the </w:t>
      </w:r>
      <w:r w:rsidR="00B17E6C" w:rsidRPr="002A4139">
        <w:t xml:space="preserve">auditing </w:t>
      </w:r>
      <w:r w:rsidR="00B17E6C">
        <w:t>process for all parties involved</w:t>
      </w:r>
    </w:p>
    <w:p w14:paraId="7B780F82" w14:textId="77777777" w:rsidR="00B17E6C" w:rsidRPr="002A4139" w:rsidRDefault="00E83C3D" w:rsidP="00E83C3D">
      <w:pPr>
        <w:spacing w:before="90"/>
        <w:ind w:left="567" w:hanging="567"/>
      </w:pPr>
      <w:r>
        <w:t>2.</w:t>
      </w:r>
      <w:r>
        <w:tab/>
      </w:r>
      <w:r w:rsidR="00B17E6C" w:rsidRPr="002A4139">
        <w:t xml:space="preserve">ensure NSU </w:t>
      </w:r>
      <w:r w:rsidR="00B17E6C">
        <w:t xml:space="preserve">supports programme </w:t>
      </w:r>
      <w:r w:rsidR="00B17E6C" w:rsidRPr="002A4139">
        <w:t xml:space="preserve">governance and improvement processes within </w:t>
      </w:r>
      <w:r w:rsidR="00B17E6C">
        <w:t xml:space="preserve">each </w:t>
      </w:r>
      <w:r w:rsidR="00B17E6C" w:rsidRPr="002A4139">
        <w:t>programme</w:t>
      </w:r>
      <w:r w:rsidR="00B17E6C">
        <w:t>.</w:t>
      </w:r>
    </w:p>
    <w:p w14:paraId="7B780F83" w14:textId="63D8A817" w:rsidR="00B17E6C" w:rsidRDefault="009C4664" w:rsidP="00E33EDB">
      <w:r>
        <w:t xml:space="preserve"> </w:t>
      </w:r>
    </w:p>
    <w:p w14:paraId="7B780F84" w14:textId="77777777" w:rsidR="00B17E6C" w:rsidRPr="002A4139" w:rsidRDefault="00B17E6C" w:rsidP="00E33EDB">
      <w:r>
        <w:t>We will update t</w:t>
      </w:r>
      <w:r w:rsidRPr="002A4139">
        <w:t>h</w:t>
      </w:r>
      <w:r>
        <w:t>e two part</w:t>
      </w:r>
      <w:r w:rsidRPr="002A4139">
        <w:t>s</w:t>
      </w:r>
      <w:r>
        <w:t xml:space="preserve"> of the</w:t>
      </w:r>
      <w:r w:rsidRPr="002A4139">
        <w:t xml:space="preserve"> handbook periodically and in collaboration with the DAA Group.</w:t>
      </w:r>
    </w:p>
    <w:p w14:paraId="7B780F85" w14:textId="77777777" w:rsidR="00B17E6C" w:rsidRDefault="00B17E6C" w:rsidP="00E33EDB"/>
    <w:p w14:paraId="7B780F86" w14:textId="77777777" w:rsidR="00B17E6C" w:rsidRPr="002A4139" w:rsidRDefault="00B17E6C" w:rsidP="00E33EDB">
      <w:r w:rsidRPr="00361FAA">
        <w:t>Part One</w:t>
      </w:r>
      <w:r>
        <w:t xml:space="preserve"> (this part)</w:t>
      </w:r>
      <w:r w:rsidRPr="00361FAA">
        <w:t xml:space="preserve"> describes the</w:t>
      </w:r>
      <w:r w:rsidRPr="00F519DE">
        <w:t xml:space="preserve"> responsibilities of the DAA Group and NSU</w:t>
      </w:r>
      <w:r>
        <w:t xml:space="preserve"> and also</w:t>
      </w:r>
      <w:r w:rsidRPr="00361FAA">
        <w:t xml:space="preserve"> general requirements of the NSU audit programme. Part Two </w:t>
      </w:r>
      <w:r>
        <w:t>provides</w:t>
      </w:r>
      <w:r w:rsidRPr="00361FAA">
        <w:t xml:space="preserve"> programme</w:t>
      </w:r>
      <w:r>
        <w:t>-</w:t>
      </w:r>
      <w:r w:rsidRPr="00361FAA">
        <w:t xml:space="preserve">specific information </w:t>
      </w:r>
      <w:r>
        <w:t>that</w:t>
      </w:r>
      <w:r w:rsidRPr="00361FAA">
        <w:t xml:space="preserve"> may change as each audit programme is evaluated</w:t>
      </w:r>
      <w:r>
        <w:t>.</w:t>
      </w:r>
    </w:p>
    <w:p w14:paraId="7B780F87" w14:textId="77777777" w:rsidR="00B17E6C" w:rsidRPr="002A4139" w:rsidRDefault="00B17E6C" w:rsidP="00E33EDB"/>
    <w:p w14:paraId="7B780F88" w14:textId="77777777" w:rsidR="00B17E6C" w:rsidRDefault="00B17E6C" w:rsidP="00E33EDB">
      <w:r w:rsidRPr="002A4139">
        <w:t>If there is doubt as to</w:t>
      </w:r>
      <w:r>
        <w:t xml:space="preserve"> how</w:t>
      </w:r>
      <w:r w:rsidRPr="002A4139">
        <w:t xml:space="preserve"> any interpretation or requirement specified within this handbook, the DAA Group </w:t>
      </w:r>
      <w:r>
        <w:t>will</w:t>
      </w:r>
      <w:r w:rsidRPr="002A4139">
        <w:t xml:space="preserve"> request written guidance</w:t>
      </w:r>
      <w:r>
        <w:t xml:space="preserve"> on the matter</w:t>
      </w:r>
      <w:r w:rsidRPr="002A4139">
        <w:t xml:space="preserve"> from NSU.</w:t>
      </w:r>
    </w:p>
    <w:p w14:paraId="7B780F89" w14:textId="77777777" w:rsidR="00E33EDB" w:rsidRPr="002A4139" w:rsidRDefault="00E33EDB" w:rsidP="00E33EDB"/>
    <w:p w14:paraId="7B780F8A" w14:textId="77777777" w:rsidR="00B17E6C" w:rsidRDefault="00B17E6C" w:rsidP="00E83C3D">
      <w:pPr>
        <w:pStyle w:val="Heading2"/>
        <w:rPr>
          <w:rFonts w:eastAsia="Arial"/>
        </w:rPr>
      </w:pPr>
      <w:bookmarkStart w:id="3" w:name="_Toc68012550"/>
      <w:bookmarkStart w:id="4" w:name="_Toc371769422"/>
      <w:bookmarkStart w:id="5" w:name="_Toc414889604"/>
      <w:bookmarkStart w:id="6" w:name="_Toc485385880"/>
      <w:bookmarkStart w:id="7" w:name="_Toc90391821"/>
      <w:r>
        <w:rPr>
          <w:rFonts w:eastAsia="Arial"/>
        </w:rPr>
        <w:t>NSU quality principles</w:t>
      </w:r>
      <w:bookmarkEnd w:id="3"/>
      <w:bookmarkEnd w:id="7"/>
    </w:p>
    <w:p w14:paraId="7B780F8B" w14:textId="77777777" w:rsidR="00B17E6C" w:rsidRPr="004E6EB6" w:rsidRDefault="00B17E6C" w:rsidP="00E33EDB">
      <w:pPr>
        <w:rPr>
          <w:rFonts w:eastAsia="Arial"/>
        </w:rPr>
      </w:pPr>
      <w:r>
        <w:rPr>
          <w:rFonts w:eastAsia="Arial"/>
        </w:rPr>
        <w:t>S</w:t>
      </w:r>
      <w:r w:rsidRPr="004E6EB6">
        <w:rPr>
          <w:rFonts w:eastAsia="Arial"/>
        </w:rPr>
        <w:t>ix core principles underpin the NSU Quality Framework. These principles provide a foundation for achieving the NSU</w:t>
      </w:r>
      <w:r w:rsidR="00E33EDB">
        <w:rPr>
          <w:rFonts w:eastAsia="Arial"/>
        </w:rPr>
        <w:t>’</w:t>
      </w:r>
      <w:r w:rsidRPr="004E6EB6">
        <w:rPr>
          <w:rFonts w:eastAsia="Arial"/>
        </w:rPr>
        <w:t xml:space="preserve">s strategic vision </w:t>
      </w:r>
      <w:r>
        <w:rPr>
          <w:rFonts w:eastAsia="Arial"/>
        </w:rPr>
        <w:t>of</w:t>
      </w:r>
      <w:r w:rsidRPr="004E6EB6">
        <w:rPr>
          <w:rFonts w:eastAsia="Arial"/>
        </w:rPr>
        <w:t xml:space="preserve"> high-quality, equitable and accessible screening programmes.</w:t>
      </w:r>
    </w:p>
    <w:p w14:paraId="7B780F8C" w14:textId="77777777" w:rsidR="00B17E6C" w:rsidRPr="00521E5F" w:rsidRDefault="00B17E6C" w:rsidP="006950E2">
      <w:pPr>
        <w:pStyle w:val="Number"/>
        <w:rPr>
          <w:rFonts w:eastAsia="Arial"/>
        </w:rPr>
      </w:pPr>
      <w:r w:rsidRPr="00521E5F">
        <w:rPr>
          <w:rFonts w:eastAsia="Arial"/>
        </w:rPr>
        <w:t>The overall benefits of screening must outweigh the harm.</w:t>
      </w:r>
    </w:p>
    <w:p w14:paraId="7B780F8D" w14:textId="77777777" w:rsidR="00B17E6C" w:rsidRPr="004E6EB6" w:rsidRDefault="00B17E6C" w:rsidP="007F4D57">
      <w:pPr>
        <w:pStyle w:val="Bullet"/>
        <w:ind w:left="851"/>
        <w:rPr>
          <w:rFonts w:eastAsia="Arial"/>
        </w:rPr>
      </w:pPr>
      <w:r w:rsidRPr="004E6EB6">
        <w:rPr>
          <w:rFonts w:eastAsia="Arial"/>
        </w:rPr>
        <w:t>There should be regular review of the evidence on which the programmes are based.</w:t>
      </w:r>
    </w:p>
    <w:p w14:paraId="7B780F8E" w14:textId="77777777" w:rsidR="00B17E6C" w:rsidRDefault="00B17E6C" w:rsidP="007F4D57">
      <w:pPr>
        <w:pStyle w:val="Bullet"/>
        <w:ind w:left="851"/>
        <w:rPr>
          <w:rFonts w:eastAsia="Arial"/>
        </w:rPr>
      </w:pPr>
      <w:r w:rsidRPr="004E6EB6">
        <w:rPr>
          <w:rFonts w:eastAsia="Arial"/>
        </w:rPr>
        <w:t>There is transparency around significant decisions, major changes to screening programmes and serious adverse events.</w:t>
      </w:r>
    </w:p>
    <w:p w14:paraId="7B780F8F" w14:textId="77777777" w:rsidR="00B17E6C" w:rsidRPr="00361FAA" w:rsidRDefault="00B17E6C" w:rsidP="00E83C3D">
      <w:pPr>
        <w:pStyle w:val="Number"/>
        <w:keepNext/>
        <w:rPr>
          <w:rFonts w:eastAsia="Arial"/>
        </w:rPr>
      </w:pPr>
      <w:r w:rsidRPr="00361FAA">
        <w:rPr>
          <w:rFonts w:eastAsia="Arial"/>
        </w:rPr>
        <w:lastRenderedPageBreak/>
        <w:t>National screening programmes are people centred.</w:t>
      </w:r>
    </w:p>
    <w:p w14:paraId="7B780F90" w14:textId="77777777" w:rsidR="00B17E6C" w:rsidRPr="004E6EB6" w:rsidRDefault="00B17E6C" w:rsidP="00E21ACB">
      <w:pPr>
        <w:pStyle w:val="Bullet"/>
        <w:keepNext/>
        <w:ind w:left="851"/>
        <w:rPr>
          <w:rFonts w:eastAsia="Arial"/>
        </w:rPr>
      </w:pPr>
      <w:r w:rsidRPr="004E6EB6">
        <w:rPr>
          <w:rFonts w:eastAsia="Arial"/>
        </w:rPr>
        <w:t xml:space="preserve">Screening should be acceptable to individuals, </w:t>
      </w:r>
      <w:proofErr w:type="spellStart"/>
      <w:r w:rsidRPr="004E6EB6">
        <w:rPr>
          <w:rFonts w:eastAsia="Arial"/>
        </w:rPr>
        <w:t>whānau</w:t>
      </w:r>
      <w:proofErr w:type="spellEnd"/>
      <w:r w:rsidRPr="004E6EB6">
        <w:rPr>
          <w:rFonts w:eastAsia="Arial"/>
        </w:rPr>
        <w:t xml:space="preserve"> and the populations being screened.</w:t>
      </w:r>
    </w:p>
    <w:p w14:paraId="7B780F91" w14:textId="77777777" w:rsidR="00B17E6C" w:rsidRPr="004E6EB6" w:rsidRDefault="00B17E6C" w:rsidP="007F4D57">
      <w:pPr>
        <w:pStyle w:val="Bullet"/>
        <w:ind w:left="851"/>
        <w:rPr>
          <w:rFonts w:eastAsia="Arial"/>
        </w:rPr>
      </w:pPr>
      <w:r w:rsidRPr="004E6EB6">
        <w:rPr>
          <w:rFonts w:eastAsia="Arial"/>
        </w:rPr>
        <w:t xml:space="preserve">Advisory groups </w:t>
      </w:r>
      <w:r>
        <w:rPr>
          <w:rFonts w:eastAsia="Arial"/>
        </w:rPr>
        <w:t xml:space="preserve">include </w:t>
      </w:r>
      <w:r w:rsidRPr="004E6EB6">
        <w:rPr>
          <w:rFonts w:eastAsia="Arial"/>
        </w:rPr>
        <w:t>appropriate consumer representatives with experience of the condition(s) screened for and the health system.</w:t>
      </w:r>
    </w:p>
    <w:p w14:paraId="7B780F92" w14:textId="77777777" w:rsidR="00B17E6C" w:rsidRPr="004E6EB6" w:rsidRDefault="00B17E6C" w:rsidP="007F4D57">
      <w:pPr>
        <w:pStyle w:val="Bullet"/>
        <w:ind w:left="851"/>
        <w:rPr>
          <w:rFonts w:eastAsia="Arial"/>
        </w:rPr>
      </w:pPr>
      <w:r w:rsidRPr="004E6EB6">
        <w:rPr>
          <w:rFonts w:eastAsia="Arial"/>
        </w:rPr>
        <w:t>Screening programmes are delivered in an ethically and culturally competent manner for New Zealand.</w:t>
      </w:r>
    </w:p>
    <w:p w14:paraId="7B780F93" w14:textId="77777777" w:rsidR="00B17E6C" w:rsidRPr="009B2788" w:rsidRDefault="00B17E6C" w:rsidP="00951678">
      <w:pPr>
        <w:pStyle w:val="Number"/>
        <w:rPr>
          <w:rFonts w:eastAsia="Arial"/>
        </w:rPr>
      </w:pPr>
      <w:r w:rsidRPr="004E6EB6">
        <w:rPr>
          <w:rFonts w:eastAsia="Arial"/>
        </w:rPr>
        <w:t>National screening programmes will achieve equitable access to screening and equitable outcomes for all population groups.</w:t>
      </w:r>
    </w:p>
    <w:p w14:paraId="7B780F94" w14:textId="77777777" w:rsidR="00B17E6C" w:rsidRPr="00010D74" w:rsidRDefault="00B17E6C" w:rsidP="007F4D57">
      <w:pPr>
        <w:pStyle w:val="Bullet"/>
        <w:ind w:left="851"/>
        <w:rPr>
          <w:rFonts w:eastAsia="Arial"/>
        </w:rPr>
      </w:pPr>
      <w:r w:rsidRPr="004E6EB6">
        <w:rPr>
          <w:rFonts w:eastAsia="Arial"/>
        </w:rPr>
        <w:t xml:space="preserve">Screening programmes should incorporate the principles of </w:t>
      </w:r>
      <w:r>
        <w:rPr>
          <w:rFonts w:eastAsia="Arial"/>
        </w:rPr>
        <w:t>t</w:t>
      </w:r>
      <w:r w:rsidRPr="004E6EB6">
        <w:rPr>
          <w:rFonts w:eastAsia="Arial"/>
        </w:rPr>
        <w:t>he Treaty of Waitangi.</w:t>
      </w:r>
    </w:p>
    <w:p w14:paraId="7B780F95" w14:textId="77777777" w:rsidR="00B17E6C" w:rsidRDefault="00B17E6C" w:rsidP="007F4D57">
      <w:pPr>
        <w:pStyle w:val="Bullet"/>
        <w:ind w:left="851"/>
        <w:rPr>
          <w:rFonts w:eastAsia="Arial"/>
        </w:rPr>
      </w:pPr>
      <w:r w:rsidRPr="004E6EB6">
        <w:rPr>
          <w:rFonts w:eastAsia="Arial"/>
        </w:rPr>
        <w:t>Solutions to access are focused on improving processes and adapting systems to meet the needs of individuals and under-screened populations.</w:t>
      </w:r>
    </w:p>
    <w:p w14:paraId="7B780F96" w14:textId="77777777" w:rsidR="00B17E6C" w:rsidRPr="00B92F65" w:rsidRDefault="00B17E6C" w:rsidP="00E83C3D">
      <w:pPr>
        <w:pStyle w:val="Number"/>
        <w:rPr>
          <w:rFonts w:eastAsia="Arial"/>
        </w:rPr>
      </w:pPr>
      <w:r w:rsidRPr="00B92F65">
        <w:rPr>
          <w:rFonts w:eastAsia="Arial"/>
        </w:rPr>
        <w:t>Informed consent is a priority throughout the screening pathway.</w:t>
      </w:r>
    </w:p>
    <w:p w14:paraId="7B780F97" w14:textId="77777777" w:rsidR="00B17E6C" w:rsidRPr="004E6EB6" w:rsidRDefault="00B17E6C" w:rsidP="007F4D57">
      <w:pPr>
        <w:pStyle w:val="Bullet"/>
        <w:ind w:left="851"/>
        <w:rPr>
          <w:rFonts w:eastAsia="Arial"/>
        </w:rPr>
      </w:pPr>
      <w:r w:rsidRPr="004E6EB6">
        <w:rPr>
          <w:rFonts w:eastAsia="Arial"/>
        </w:rPr>
        <w:t>Screening programmes should provide full information to people. This includes detail</w:t>
      </w:r>
      <w:r>
        <w:rPr>
          <w:rFonts w:eastAsia="Arial"/>
        </w:rPr>
        <w:t>s</w:t>
      </w:r>
      <w:r w:rsidRPr="004E6EB6">
        <w:rPr>
          <w:rFonts w:eastAsia="Arial"/>
        </w:rPr>
        <w:t xml:space="preserve"> on </w:t>
      </w:r>
      <w:r>
        <w:rPr>
          <w:rFonts w:eastAsia="Arial"/>
        </w:rPr>
        <w:t xml:space="preserve">the </w:t>
      </w:r>
      <w:r w:rsidRPr="004E6EB6">
        <w:rPr>
          <w:rFonts w:eastAsia="Arial"/>
        </w:rPr>
        <w:t>benefits and harms of screening.</w:t>
      </w:r>
    </w:p>
    <w:p w14:paraId="7B780F98" w14:textId="77777777" w:rsidR="00B17E6C" w:rsidRDefault="00B17E6C" w:rsidP="007F4D57">
      <w:pPr>
        <w:pStyle w:val="Bullet"/>
        <w:ind w:left="851"/>
        <w:rPr>
          <w:rFonts w:eastAsia="Arial"/>
        </w:rPr>
      </w:pPr>
      <w:r w:rsidRPr="004E6EB6">
        <w:rPr>
          <w:rFonts w:eastAsia="Arial"/>
        </w:rPr>
        <w:t xml:space="preserve">Screening programmes must </w:t>
      </w:r>
      <w:r>
        <w:rPr>
          <w:rFonts w:eastAsia="Arial"/>
        </w:rPr>
        <w:t>address</w:t>
      </w:r>
      <w:r w:rsidRPr="004E6EB6">
        <w:rPr>
          <w:rFonts w:eastAsia="Arial"/>
        </w:rPr>
        <w:t xml:space="preserve"> cultural and health literacy differences when providing information to support informed consent.</w:t>
      </w:r>
    </w:p>
    <w:p w14:paraId="7B780F99" w14:textId="77777777" w:rsidR="00B17E6C" w:rsidRPr="00B92F65" w:rsidRDefault="00B17E6C" w:rsidP="00E83C3D">
      <w:pPr>
        <w:pStyle w:val="Number"/>
        <w:rPr>
          <w:rFonts w:eastAsia="Arial"/>
        </w:rPr>
      </w:pPr>
      <w:bookmarkStart w:id="8" w:name="_Hlk49775283"/>
      <w:r w:rsidRPr="00B92F65">
        <w:rPr>
          <w:rFonts w:eastAsia="Arial"/>
        </w:rPr>
        <w:t>Screening programmes are monitored and evaluated on a regular basis</w:t>
      </w:r>
      <w:bookmarkEnd w:id="8"/>
      <w:r w:rsidRPr="00B92F65">
        <w:rPr>
          <w:rFonts w:eastAsia="Arial"/>
        </w:rPr>
        <w:t>.</w:t>
      </w:r>
    </w:p>
    <w:p w14:paraId="7B780F9A" w14:textId="77777777" w:rsidR="00B17E6C" w:rsidRDefault="00B17E6C" w:rsidP="007F4D57">
      <w:pPr>
        <w:pStyle w:val="Bullet"/>
        <w:ind w:left="851"/>
        <w:rPr>
          <w:rFonts w:eastAsia="Arial"/>
        </w:rPr>
      </w:pPr>
      <w:r w:rsidRPr="004E6EB6">
        <w:rPr>
          <w:rFonts w:eastAsia="Arial"/>
        </w:rPr>
        <w:t>Information systems should be set up to enable timely monitoring, audit and evaluation of screening programmes and providers.</w:t>
      </w:r>
    </w:p>
    <w:p w14:paraId="7B780F9B" w14:textId="77777777" w:rsidR="00B17E6C" w:rsidRPr="00B92F65" w:rsidRDefault="00B17E6C" w:rsidP="00E83C3D">
      <w:pPr>
        <w:pStyle w:val="Number"/>
        <w:rPr>
          <w:rFonts w:eastAsia="Arial"/>
        </w:rPr>
      </w:pPr>
      <w:r w:rsidRPr="00B92F65">
        <w:rPr>
          <w:rFonts w:eastAsia="Arial"/>
        </w:rPr>
        <w:t>National screening programmes are committed to continuous quality improvement in programme management and clinical service delivery.</w:t>
      </w:r>
    </w:p>
    <w:p w14:paraId="7B780F9C" w14:textId="77777777" w:rsidR="00B17E6C" w:rsidRDefault="00B17E6C" w:rsidP="007F4D57">
      <w:pPr>
        <w:pStyle w:val="Bullet"/>
        <w:ind w:left="851"/>
        <w:rPr>
          <w:rFonts w:eastAsia="Arial"/>
        </w:rPr>
      </w:pPr>
      <w:r w:rsidRPr="004E6EB6">
        <w:rPr>
          <w:rFonts w:eastAsia="Arial"/>
        </w:rPr>
        <w:t>Policy makers, providers and all those involved in screening programmes are accountable and responsible for maintaining capacity and capability in delivering screening programmes and services of the highest possible quality.</w:t>
      </w:r>
    </w:p>
    <w:p w14:paraId="7B780F9D" w14:textId="77777777" w:rsidR="00E83C3D" w:rsidRPr="004E6EB6" w:rsidRDefault="00E83C3D" w:rsidP="00E83C3D">
      <w:pPr>
        <w:rPr>
          <w:rFonts w:eastAsia="Arial"/>
        </w:rPr>
      </w:pPr>
    </w:p>
    <w:p w14:paraId="7B780F9E" w14:textId="77777777" w:rsidR="00E33EDB" w:rsidRDefault="00B17E6C" w:rsidP="00E83C3D">
      <w:pPr>
        <w:pStyle w:val="Heading2"/>
        <w:rPr>
          <w:rFonts w:eastAsia="Arial"/>
        </w:rPr>
      </w:pPr>
      <w:bookmarkStart w:id="9" w:name="_Toc68012551"/>
      <w:bookmarkStart w:id="10" w:name="_Toc90391822"/>
      <w:r>
        <w:rPr>
          <w:rFonts w:eastAsia="Arial"/>
        </w:rPr>
        <w:t>Updating</w:t>
      </w:r>
      <w:r w:rsidRPr="00B931D4">
        <w:rPr>
          <w:rFonts w:eastAsia="Arial"/>
        </w:rPr>
        <w:t xml:space="preserve"> the </w:t>
      </w:r>
      <w:r>
        <w:rPr>
          <w:rFonts w:eastAsia="Arial"/>
        </w:rPr>
        <w:t>h</w:t>
      </w:r>
      <w:r w:rsidRPr="00B931D4">
        <w:rPr>
          <w:rFonts w:eastAsia="Arial"/>
        </w:rPr>
        <w:t xml:space="preserve">andbook </w:t>
      </w:r>
      <w:r>
        <w:rPr>
          <w:rFonts w:eastAsia="Arial"/>
        </w:rPr>
        <w:t>o</w:t>
      </w:r>
      <w:r w:rsidRPr="00B931D4">
        <w:rPr>
          <w:rFonts w:eastAsia="Arial"/>
        </w:rPr>
        <w:t>nline</w:t>
      </w:r>
      <w:bookmarkEnd w:id="9"/>
      <w:bookmarkEnd w:id="10"/>
    </w:p>
    <w:p w14:paraId="7B780F9F" w14:textId="77777777" w:rsidR="00E33EDB" w:rsidRPr="00E83C3D" w:rsidRDefault="00B17E6C" w:rsidP="00E83C3D">
      <w:bookmarkStart w:id="11" w:name="_Hlk58337213"/>
      <w:r w:rsidRPr="00A26FAA">
        <w:rPr>
          <w:rFonts w:eastAsia="Arial"/>
        </w:rPr>
        <w:t>This handbook will be updated periodically online</w:t>
      </w:r>
      <w:r w:rsidRPr="00361FAA">
        <w:rPr>
          <w:rFonts w:eastAsia="Arial"/>
        </w:rPr>
        <w:t xml:space="preserve"> to</w:t>
      </w:r>
      <w:r w:rsidRPr="00A26FAA">
        <w:rPr>
          <w:rFonts w:eastAsia="Arial"/>
        </w:rPr>
        <w:t xml:space="preserve"> keep it accurate. </w:t>
      </w:r>
      <w:bookmarkEnd w:id="11"/>
      <w:r>
        <w:rPr>
          <w:rFonts w:eastAsia="Arial"/>
        </w:rPr>
        <w:t>For</w:t>
      </w:r>
      <w:r w:rsidRPr="00A26FAA">
        <w:rPr>
          <w:rFonts w:eastAsia="Arial"/>
        </w:rPr>
        <w:t xml:space="preserve"> the latest version, please access or download the online handbook at</w:t>
      </w:r>
      <w:r>
        <w:rPr>
          <w:rFonts w:eastAsia="Arial"/>
        </w:rPr>
        <w:t xml:space="preserve"> </w:t>
      </w:r>
      <w:hyperlink r:id="rId19" w:history="1">
        <w:r w:rsidRPr="007C14C2">
          <w:rPr>
            <w:rStyle w:val="Hyperlink"/>
          </w:rPr>
          <w:t>https://www.nsu.govt.nz</w:t>
        </w:r>
      </w:hyperlink>
      <w:r w:rsidR="00E83C3D" w:rsidRPr="00E83C3D">
        <w:t>.</w:t>
      </w:r>
    </w:p>
    <w:p w14:paraId="7B780FA0" w14:textId="77777777" w:rsidR="00B17E6C" w:rsidRDefault="00B17E6C" w:rsidP="00E83C3D">
      <w:pPr>
        <w:rPr>
          <w:rFonts w:eastAsia="Arial"/>
        </w:rPr>
      </w:pPr>
    </w:p>
    <w:p w14:paraId="7B780FA1" w14:textId="77777777" w:rsidR="00B17E6C" w:rsidRDefault="00B17E6C" w:rsidP="00E83C3D">
      <w:pPr>
        <w:rPr>
          <w:rFonts w:eastAsia="Arial"/>
        </w:rPr>
      </w:pPr>
      <w:r>
        <w:rPr>
          <w:rFonts w:eastAsia="Arial"/>
        </w:rPr>
        <w:t xml:space="preserve">The </w:t>
      </w:r>
      <w:r w:rsidRPr="008911EC">
        <w:rPr>
          <w:rFonts w:eastAsia="Arial"/>
          <w:i/>
        </w:rPr>
        <w:t>Ministry of Health Auditor Handbook</w:t>
      </w:r>
      <w:r w:rsidRPr="00F0227D">
        <w:rPr>
          <w:rFonts w:eastAsia="Arial"/>
        </w:rPr>
        <w:t xml:space="preserve"> </w:t>
      </w:r>
      <w:r>
        <w:rPr>
          <w:rFonts w:eastAsia="Arial"/>
        </w:rPr>
        <w:t>(Ministry of Health 2019) is a sector reference for this handbook. Where</w:t>
      </w:r>
      <w:r w:rsidRPr="00F0227D">
        <w:rPr>
          <w:rFonts w:eastAsia="Arial"/>
        </w:rPr>
        <w:t xml:space="preserve"> changes</w:t>
      </w:r>
      <w:r>
        <w:rPr>
          <w:rFonts w:eastAsia="Arial"/>
        </w:rPr>
        <w:t xml:space="preserve"> relevant to this handbook are</w:t>
      </w:r>
      <w:r w:rsidRPr="00F0227D">
        <w:rPr>
          <w:rFonts w:eastAsia="Arial"/>
        </w:rPr>
        <w:t xml:space="preserve"> made to the </w:t>
      </w:r>
      <w:r w:rsidRPr="008911EC">
        <w:rPr>
          <w:rFonts w:eastAsia="Arial"/>
          <w:i/>
        </w:rPr>
        <w:t>Ministry of Health Auditor Handbook</w:t>
      </w:r>
      <w:r>
        <w:rPr>
          <w:rFonts w:eastAsia="Arial"/>
        </w:rPr>
        <w:t>, we</w:t>
      </w:r>
      <w:r w:rsidRPr="00F0227D">
        <w:rPr>
          <w:rFonts w:eastAsia="Arial"/>
        </w:rPr>
        <w:t xml:space="preserve"> will incorporate</w:t>
      </w:r>
      <w:r>
        <w:rPr>
          <w:rFonts w:eastAsia="Arial"/>
        </w:rPr>
        <w:t xml:space="preserve"> them</w:t>
      </w:r>
      <w:r w:rsidRPr="00F0227D">
        <w:rPr>
          <w:rFonts w:eastAsia="Arial"/>
        </w:rPr>
        <w:t xml:space="preserve"> into the </w:t>
      </w:r>
      <w:r w:rsidRPr="008911EC">
        <w:rPr>
          <w:rFonts w:eastAsia="Arial"/>
          <w:i/>
        </w:rPr>
        <w:t xml:space="preserve">NSU Auditing Handbook </w:t>
      </w:r>
      <w:r w:rsidRPr="00F0227D">
        <w:rPr>
          <w:rFonts w:eastAsia="Arial"/>
        </w:rPr>
        <w:t>as required.</w:t>
      </w:r>
    </w:p>
    <w:p w14:paraId="7B780FA2" w14:textId="77777777" w:rsidR="00E83C3D" w:rsidRPr="00A26FAA" w:rsidRDefault="00E83C3D" w:rsidP="00E83C3D">
      <w:pPr>
        <w:rPr>
          <w:rFonts w:eastAsia="Arial"/>
        </w:rPr>
      </w:pPr>
    </w:p>
    <w:p w14:paraId="7B780FA3" w14:textId="77777777" w:rsidR="00B17E6C" w:rsidRPr="003F6642" w:rsidRDefault="00B17E6C" w:rsidP="00E83C3D">
      <w:pPr>
        <w:pStyle w:val="Heading2"/>
        <w:rPr>
          <w:rFonts w:eastAsia="Arial"/>
        </w:rPr>
      </w:pPr>
      <w:bookmarkStart w:id="12" w:name="_Toc68012552"/>
      <w:bookmarkStart w:id="13" w:name="_Toc90391823"/>
      <w:r w:rsidRPr="003F6642">
        <w:rPr>
          <w:rFonts w:eastAsia="Arial"/>
        </w:rPr>
        <w:lastRenderedPageBreak/>
        <w:t xml:space="preserve">Additional </w:t>
      </w:r>
      <w:r>
        <w:rPr>
          <w:rFonts w:eastAsia="Arial"/>
        </w:rPr>
        <w:t>r</w:t>
      </w:r>
      <w:r w:rsidRPr="003F6642">
        <w:rPr>
          <w:rFonts w:eastAsia="Arial"/>
        </w:rPr>
        <w:t>eading</w:t>
      </w:r>
      <w:bookmarkEnd w:id="4"/>
      <w:bookmarkEnd w:id="5"/>
      <w:bookmarkEnd w:id="6"/>
      <w:bookmarkEnd w:id="12"/>
      <w:bookmarkEnd w:id="13"/>
    </w:p>
    <w:p w14:paraId="7B780FA4" w14:textId="77777777" w:rsidR="00B17E6C" w:rsidRPr="00010D74" w:rsidRDefault="00B17E6C" w:rsidP="00E83C3D">
      <w:r w:rsidRPr="00010D74">
        <w:t xml:space="preserve">The DAA Group </w:t>
      </w:r>
      <w:r>
        <w:t>and screening service providers are expected to</w:t>
      </w:r>
      <w:r w:rsidRPr="00010D74">
        <w:t xml:space="preserve"> be familiar with legislative and regulatory requirements, accreditation information</w:t>
      </w:r>
      <w:r>
        <w:t xml:space="preserve"> and</w:t>
      </w:r>
      <w:r w:rsidRPr="00010D74">
        <w:t xml:space="preserve"> good practice </w:t>
      </w:r>
      <w:r>
        <w:t>guidance</w:t>
      </w:r>
      <w:r w:rsidRPr="00010D74">
        <w:t xml:space="preserve"> </w:t>
      </w:r>
      <w:r>
        <w:t>along</w:t>
      </w:r>
      <w:r w:rsidRPr="00010D74">
        <w:t xml:space="preserve"> with the relevant screening programme documents. These include:</w:t>
      </w:r>
    </w:p>
    <w:p w14:paraId="7B780FA5" w14:textId="77777777" w:rsidR="00B17E6C" w:rsidRPr="00272B5B" w:rsidRDefault="00B17E6C" w:rsidP="007F4D57">
      <w:pPr>
        <w:pStyle w:val="Bullet"/>
      </w:pPr>
      <w:r w:rsidRPr="00010D74">
        <w:t>NSU Quality Framework 2015</w:t>
      </w:r>
    </w:p>
    <w:p w14:paraId="7B780FA6" w14:textId="77777777" w:rsidR="00B17E6C" w:rsidRPr="00272B5B" w:rsidRDefault="00B17E6C" w:rsidP="007F4D57">
      <w:pPr>
        <w:pStyle w:val="Bullet"/>
      </w:pPr>
      <w:proofErr w:type="spellStart"/>
      <w:r w:rsidRPr="00010D74">
        <w:t>BreastScreen</w:t>
      </w:r>
      <w:proofErr w:type="spellEnd"/>
      <w:r w:rsidRPr="00010D74">
        <w:t xml:space="preserve"> Aotearoa National Policy and Quality Standards</w:t>
      </w:r>
    </w:p>
    <w:p w14:paraId="7B780FA7" w14:textId="77777777" w:rsidR="00B17E6C" w:rsidRPr="00272B5B" w:rsidRDefault="00B17E6C" w:rsidP="007F4D57">
      <w:pPr>
        <w:pStyle w:val="Bullet"/>
      </w:pPr>
      <w:r w:rsidRPr="00010D74">
        <w:t>National Bowel Screening Programme Interim Quality Standards</w:t>
      </w:r>
    </w:p>
    <w:p w14:paraId="7B780FA8" w14:textId="77777777" w:rsidR="00B17E6C" w:rsidRPr="00272B5B" w:rsidRDefault="00B17E6C" w:rsidP="007F4D57">
      <w:pPr>
        <w:pStyle w:val="Bullet"/>
      </w:pPr>
      <w:r w:rsidRPr="00010D74">
        <w:t>National Cervical Screening Programme Policies and Standards</w:t>
      </w:r>
    </w:p>
    <w:p w14:paraId="7B780FA9" w14:textId="77777777" w:rsidR="00B17E6C" w:rsidRPr="00272B5B" w:rsidRDefault="00B17E6C" w:rsidP="007F4D57">
      <w:pPr>
        <w:pStyle w:val="Bullet"/>
      </w:pPr>
      <w:r w:rsidRPr="00010D74">
        <w:t xml:space="preserve">Universal </w:t>
      </w:r>
      <w:proofErr w:type="spellStart"/>
      <w:r w:rsidRPr="00010D74">
        <w:t>Newborn</w:t>
      </w:r>
      <w:proofErr w:type="spellEnd"/>
      <w:r w:rsidRPr="00010D74">
        <w:t xml:space="preserve"> Hearing Screening and Early Intervention Programme</w:t>
      </w:r>
    </w:p>
    <w:p w14:paraId="7B780FAA" w14:textId="77777777" w:rsidR="00B17E6C" w:rsidRPr="00272B5B" w:rsidRDefault="00B17E6C" w:rsidP="007F4D57">
      <w:pPr>
        <w:pStyle w:val="Bullet"/>
      </w:pPr>
      <w:r w:rsidRPr="002637A6">
        <w:t>National Policy and Quality Standards</w:t>
      </w:r>
    </w:p>
    <w:p w14:paraId="7B780FAB" w14:textId="77777777" w:rsidR="00B17E6C" w:rsidRPr="00272B5B" w:rsidRDefault="00B17E6C" w:rsidP="007F4D57">
      <w:pPr>
        <w:pStyle w:val="Bullet"/>
      </w:pPr>
      <w:proofErr w:type="spellStart"/>
      <w:r w:rsidRPr="00010D74">
        <w:t>Newborn</w:t>
      </w:r>
      <w:proofErr w:type="spellEnd"/>
      <w:r w:rsidRPr="00010D74">
        <w:t xml:space="preserve"> Metabolic Screening Programme Policy Framework</w:t>
      </w:r>
      <w:r>
        <w:t>.</w:t>
      </w:r>
    </w:p>
    <w:p w14:paraId="7B780FAC" w14:textId="77777777" w:rsidR="00B17E6C" w:rsidRPr="00010D74" w:rsidRDefault="00B17E6C" w:rsidP="00E83C3D"/>
    <w:p w14:paraId="7B780FAD" w14:textId="77777777" w:rsidR="00B17E6C" w:rsidRPr="00010D74" w:rsidRDefault="00B17E6C" w:rsidP="00E83C3D">
      <w:r w:rsidRPr="00010D74">
        <w:t>The NSU programme lead will inform screening providers and the DAA Group of any updates or changes made to the</w:t>
      </w:r>
      <w:r>
        <w:t>se</w:t>
      </w:r>
      <w:r w:rsidRPr="00010D74">
        <w:t xml:space="preserve"> programme </w:t>
      </w:r>
      <w:r>
        <w:t>documents.</w:t>
      </w:r>
    </w:p>
    <w:p w14:paraId="7B780FAE" w14:textId="77777777" w:rsidR="00B17E6C" w:rsidRPr="00272B5B" w:rsidRDefault="00B17E6C" w:rsidP="00E83C3D"/>
    <w:p w14:paraId="7B780FAF" w14:textId="77777777" w:rsidR="00B17E6C" w:rsidRPr="001D293D" w:rsidRDefault="00B17E6C" w:rsidP="004274A5">
      <w:pPr>
        <w:pStyle w:val="Heading1"/>
        <w:rPr>
          <w:rFonts w:eastAsia="Arial"/>
        </w:rPr>
      </w:pPr>
      <w:bookmarkStart w:id="14" w:name="_Toc68012553"/>
      <w:bookmarkStart w:id="15" w:name="_Toc371769424"/>
      <w:bookmarkStart w:id="16" w:name="_Toc414889606"/>
      <w:bookmarkStart w:id="17" w:name="_Toc485385882"/>
      <w:bookmarkStart w:id="18" w:name="_Ref6736506"/>
      <w:bookmarkStart w:id="19" w:name="_Ref6736778"/>
      <w:bookmarkStart w:id="20" w:name="_Ref6736797"/>
      <w:bookmarkStart w:id="21" w:name="_Ref6736817"/>
      <w:bookmarkStart w:id="22" w:name="_Toc90391824"/>
      <w:r w:rsidRPr="001D293D">
        <w:rPr>
          <w:rFonts w:eastAsia="Arial"/>
        </w:rPr>
        <w:lastRenderedPageBreak/>
        <w:t>Definitions</w:t>
      </w:r>
      <w:bookmarkEnd w:id="14"/>
      <w:bookmarkEnd w:id="15"/>
      <w:bookmarkEnd w:id="16"/>
      <w:bookmarkEnd w:id="17"/>
      <w:bookmarkEnd w:id="18"/>
      <w:bookmarkEnd w:id="19"/>
      <w:bookmarkEnd w:id="20"/>
      <w:bookmarkEnd w:id="21"/>
      <w:bookmarkEnd w:id="22"/>
    </w:p>
    <w:tbl>
      <w:tblPr>
        <w:tblW w:w="813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325"/>
        <w:gridCol w:w="5812"/>
      </w:tblGrid>
      <w:tr w:rsidR="00B17E6C" w:rsidRPr="00241863" w14:paraId="7B780FB2" w14:textId="77777777" w:rsidTr="00072FB2">
        <w:trPr>
          <w:cantSplit/>
          <w:tblHeader/>
        </w:trPr>
        <w:tc>
          <w:tcPr>
            <w:tcW w:w="2325" w:type="dxa"/>
            <w:tcBorders>
              <w:top w:val="nil"/>
              <w:bottom w:val="nil"/>
            </w:tcBorders>
            <w:shd w:val="clear" w:color="auto" w:fill="D9D9D9" w:themeFill="background1" w:themeFillShade="D9"/>
          </w:tcPr>
          <w:p w14:paraId="7B780FB0" w14:textId="77777777" w:rsidR="00B17E6C" w:rsidRPr="00241863" w:rsidRDefault="00B17E6C" w:rsidP="007F4D57">
            <w:pPr>
              <w:pStyle w:val="TableText"/>
              <w:ind w:right="113"/>
              <w:rPr>
                <w:rFonts w:eastAsia="Arial"/>
                <w:b/>
                <w:szCs w:val="18"/>
              </w:rPr>
            </w:pPr>
            <w:r w:rsidRPr="00241863">
              <w:rPr>
                <w:rFonts w:eastAsia="Arial"/>
                <w:b/>
                <w:szCs w:val="18"/>
              </w:rPr>
              <w:t>Term</w:t>
            </w:r>
          </w:p>
        </w:tc>
        <w:tc>
          <w:tcPr>
            <w:tcW w:w="5812" w:type="dxa"/>
            <w:tcBorders>
              <w:top w:val="nil"/>
              <w:bottom w:val="nil"/>
            </w:tcBorders>
            <w:shd w:val="clear" w:color="auto" w:fill="D9D9D9" w:themeFill="background1" w:themeFillShade="D9"/>
          </w:tcPr>
          <w:p w14:paraId="7B780FB1" w14:textId="77777777" w:rsidR="00B17E6C" w:rsidRPr="00241863" w:rsidRDefault="00B17E6C" w:rsidP="007F4D57">
            <w:pPr>
              <w:pStyle w:val="TableText"/>
              <w:rPr>
                <w:rFonts w:eastAsia="Arial"/>
                <w:b/>
                <w:szCs w:val="18"/>
              </w:rPr>
            </w:pPr>
            <w:r w:rsidRPr="00241863">
              <w:rPr>
                <w:rFonts w:eastAsia="Arial"/>
                <w:b/>
                <w:szCs w:val="18"/>
              </w:rPr>
              <w:t>Definition</w:t>
            </w:r>
          </w:p>
        </w:tc>
      </w:tr>
      <w:tr w:rsidR="00B17E6C" w:rsidRPr="00241863" w14:paraId="7B780FB5" w14:textId="77777777" w:rsidTr="00072FB2">
        <w:trPr>
          <w:cantSplit/>
        </w:trPr>
        <w:tc>
          <w:tcPr>
            <w:tcW w:w="2325" w:type="dxa"/>
            <w:tcBorders>
              <w:top w:val="nil"/>
            </w:tcBorders>
            <w:shd w:val="clear" w:color="auto" w:fill="auto"/>
          </w:tcPr>
          <w:p w14:paraId="7B780FB3" w14:textId="77777777" w:rsidR="00B17E6C" w:rsidRPr="00241863" w:rsidRDefault="00B17E6C" w:rsidP="007F4D57">
            <w:pPr>
              <w:pStyle w:val="TableText"/>
              <w:ind w:right="113"/>
              <w:rPr>
                <w:rFonts w:eastAsia="Arial"/>
                <w:szCs w:val="18"/>
              </w:rPr>
            </w:pPr>
            <w:r w:rsidRPr="00241863">
              <w:rPr>
                <w:rFonts w:eastAsia="Arial"/>
                <w:szCs w:val="18"/>
              </w:rPr>
              <w:t>Audit</w:t>
            </w:r>
          </w:p>
        </w:tc>
        <w:tc>
          <w:tcPr>
            <w:tcW w:w="5812" w:type="dxa"/>
            <w:tcBorders>
              <w:top w:val="nil"/>
            </w:tcBorders>
            <w:shd w:val="clear" w:color="auto" w:fill="auto"/>
          </w:tcPr>
          <w:p w14:paraId="7B780FB4" w14:textId="77777777" w:rsidR="00B17E6C" w:rsidRPr="00213BF1" w:rsidRDefault="00B17E6C" w:rsidP="007F4D57">
            <w:pPr>
              <w:pStyle w:val="TableText"/>
              <w:rPr>
                <w:rFonts w:eastAsia="Arial"/>
                <w:spacing w:val="-4"/>
                <w:szCs w:val="18"/>
              </w:rPr>
            </w:pPr>
            <w:r w:rsidRPr="00213BF1">
              <w:rPr>
                <w:rFonts w:eastAsia="Arial"/>
                <w:spacing w:val="-4"/>
                <w:szCs w:val="18"/>
              </w:rPr>
              <w:t xml:space="preserve">A systematic, independent, </w:t>
            </w:r>
            <w:proofErr w:type="gramStart"/>
            <w:r w:rsidRPr="00213BF1">
              <w:rPr>
                <w:rFonts w:eastAsia="Arial"/>
                <w:spacing w:val="-4"/>
                <w:szCs w:val="18"/>
              </w:rPr>
              <w:t>objective</w:t>
            </w:r>
            <w:proofErr w:type="gramEnd"/>
            <w:r w:rsidRPr="00213BF1">
              <w:rPr>
                <w:rFonts w:eastAsia="Arial"/>
                <w:spacing w:val="-4"/>
                <w:szCs w:val="18"/>
              </w:rPr>
              <w:t xml:space="preserve"> and documented evaluation or review of the provision of screening services and the extent to which the screening provider complies with standards and processes, based on audit</w:t>
            </w:r>
            <w:r>
              <w:rPr>
                <w:rFonts w:eastAsia="Arial"/>
                <w:spacing w:val="-4"/>
                <w:szCs w:val="18"/>
              </w:rPr>
              <w:t xml:space="preserve"> criteria</w:t>
            </w:r>
            <w:r w:rsidRPr="00213BF1">
              <w:rPr>
                <w:rFonts w:eastAsia="Arial"/>
                <w:spacing w:val="-4"/>
                <w:szCs w:val="18"/>
              </w:rPr>
              <w:t>.</w:t>
            </w:r>
          </w:p>
        </w:tc>
      </w:tr>
      <w:tr w:rsidR="00B17E6C" w:rsidRPr="00241863" w14:paraId="7B780FB8" w14:textId="77777777" w:rsidTr="007F4D57">
        <w:trPr>
          <w:cantSplit/>
        </w:trPr>
        <w:tc>
          <w:tcPr>
            <w:tcW w:w="2325" w:type="dxa"/>
            <w:shd w:val="clear" w:color="auto" w:fill="auto"/>
          </w:tcPr>
          <w:p w14:paraId="7B780FB6" w14:textId="77777777" w:rsidR="00B17E6C" w:rsidRPr="00241863" w:rsidRDefault="00B17E6C" w:rsidP="007F4D57">
            <w:pPr>
              <w:pStyle w:val="TableText"/>
              <w:ind w:right="113"/>
              <w:rPr>
                <w:rFonts w:eastAsia="Arial"/>
                <w:szCs w:val="18"/>
              </w:rPr>
            </w:pPr>
            <w:r w:rsidRPr="00241863">
              <w:rPr>
                <w:rFonts w:eastAsia="Arial"/>
                <w:szCs w:val="18"/>
              </w:rPr>
              <w:t>Audit cycle</w:t>
            </w:r>
          </w:p>
        </w:tc>
        <w:tc>
          <w:tcPr>
            <w:tcW w:w="5812" w:type="dxa"/>
            <w:shd w:val="clear" w:color="auto" w:fill="auto"/>
          </w:tcPr>
          <w:p w14:paraId="7B780FB7" w14:textId="77777777" w:rsidR="00B17E6C" w:rsidRPr="00241863" w:rsidRDefault="00B17E6C" w:rsidP="007F4D57">
            <w:pPr>
              <w:pStyle w:val="TableText"/>
              <w:rPr>
                <w:rFonts w:eastAsia="Arial"/>
                <w:szCs w:val="18"/>
              </w:rPr>
            </w:pPr>
            <w:r w:rsidRPr="00241863">
              <w:rPr>
                <w:rFonts w:eastAsia="Arial"/>
                <w:szCs w:val="18"/>
              </w:rPr>
              <w:t>A</w:t>
            </w:r>
            <w:r>
              <w:rPr>
                <w:rFonts w:eastAsia="Arial"/>
                <w:szCs w:val="18"/>
              </w:rPr>
              <w:t xml:space="preserve"> regular three-year rotation of audit events, starting with a</w:t>
            </w:r>
            <w:r w:rsidRPr="00241863">
              <w:rPr>
                <w:rFonts w:eastAsia="Arial"/>
                <w:szCs w:val="18"/>
              </w:rPr>
              <w:t xml:space="preserve"> verification event</w:t>
            </w:r>
            <w:r>
              <w:rPr>
                <w:rFonts w:eastAsia="Arial"/>
                <w:szCs w:val="18"/>
              </w:rPr>
              <w:t>,</w:t>
            </w:r>
            <w:r w:rsidRPr="00241863">
              <w:rPr>
                <w:rFonts w:eastAsia="Arial"/>
                <w:szCs w:val="18"/>
              </w:rPr>
              <w:t xml:space="preserve"> followed</w:t>
            </w:r>
            <w:r>
              <w:rPr>
                <w:rFonts w:eastAsia="Arial"/>
                <w:szCs w:val="18"/>
              </w:rPr>
              <w:t xml:space="preserve"> by</w:t>
            </w:r>
            <w:r w:rsidRPr="00241863">
              <w:rPr>
                <w:rFonts w:eastAsia="Arial"/>
                <w:szCs w:val="18"/>
              </w:rPr>
              <w:t xml:space="preserve"> a surveillance event two months either side of the half-way point of 18 months </w:t>
            </w:r>
            <w:r>
              <w:rPr>
                <w:rFonts w:eastAsia="Arial"/>
                <w:szCs w:val="18"/>
              </w:rPr>
              <w:t>and then</w:t>
            </w:r>
            <w:r w:rsidRPr="00241863">
              <w:rPr>
                <w:rFonts w:eastAsia="Arial"/>
                <w:szCs w:val="18"/>
              </w:rPr>
              <w:t xml:space="preserve"> a verification event three years from the initial verification event and so on.</w:t>
            </w:r>
          </w:p>
        </w:tc>
      </w:tr>
      <w:tr w:rsidR="00B17E6C" w:rsidRPr="00241863" w14:paraId="7B780FBB" w14:textId="77777777" w:rsidTr="007F4D57">
        <w:trPr>
          <w:cantSplit/>
        </w:trPr>
        <w:tc>
          <w:tcPr>
            <w:tcW w:w="2325" w:type="dxa"/>
            <w:shd w:val="clear" w:color="auto" w:fill="auto"/>
          </w:tcPr>
          <w:p w14:paraId="7B780FB9" w14:textId="77777777" w:rsidR="00B17E6C" w:rsidRPr="00241863" w:rsidRDefault="00B17E6C" w:rsidP="007F4D57">
            <w:pPr>
              <w:pStyle w:val="TableText"/>
              <w:ind w:right="113"/>
              <w:rPr>
                <w:rFonts w:eastAsia="Arial"/>
                <w:szCs w:val="18"/>
              </w:rPr>
            </w:pPr>
            <w:r w:rsidRPr="00241863">
              <w:rPr>
                <w:rFonts w:eastAsia="Arial"/>
                <w:szCs w:val="18"/>
              </w:rPr>
              <w:t>Audit reporting template</w:t>
            </w:r>
          </w:p>
        </w:tc>
        <w:tc>
          <w:tcPr>
            <w:tcW w:w="5812" w:type="dxa"/>
            <w:shd w:val="clear" w:color="auto" w:fill="auto"/>
          </w:tcPr>
          <w:p w14:paraId="7B780FBA" w14:textId="77777777" w:rsidR="00B17E6C" w:rsidRPr="00241863" w:rsidRDefault="00B17E6C" w:rsidP="007F4D57">
            <w:pPr>
              <w:pStyle w:val="TableText"/>
              <w:rPr>
                <w:rFonts w:eastAsia="Arial"/>
                <w:szCs w:val="18"/>
              </w:rPr>
            </w:pPr>
            <w:r w:rsidRPr="00241863">
              <w:rPr>
                <w:rFonts w:eastAsia="Arial"/>
                <w:szCs w:val="18"/>
              </w:rPr>
              <w:t>A programme</w:t>
            </w:r>
            <w:r>
              <w:rPr>
                <w:rFonts w:eastAsia="Arial"/>
                <w:szCs w:val="18"/>
              </w:rPr>
              <w:t xml:space="preserve"> specific</w:t>
            </w:r>
            <w:r w:rsidRPr="00241863">
              <w:rPr>
                <w:rFonts w:eastAsia="Arial"/>
                <w:szCs w:val="18"/>
              </w:rPr>
              <w:t xml:space="preserve"> NSU document </w:t>
            </w:r>
            <w:r>
              <w:rPr>
                <w:rFonts w:eastAsia="Arial"/>
                <w:szCs w:val="18"/>
              </w:rPr>
              <w:t>that</w:t>
            </w:r>
            <w:r w:rsidRPr="00241863">
              <w:rPr>
                <w:rFonts w:eastAsia="Arial"/>
                <w:szCs w:val="18"/>
              </w:rPr>
              <w:t xml:space="preserve"> the DAA Group complete</w:t>
            </w:r>
            <w:r>
              <w:rPr>
                <w:rFonts w:eastAsia="Arial"/>
                <w:szCs w:val="18"/>
              </w:rPr>
              <w:t>s</w:t>
            </w:r>
            <w:r w:rsidRPr="00241863">
              <w:rPr>
                <w:rFonts w:eastAsia="Arial"/>
                <w:szCs w:val="18"/>
              </w:rPr>
              <w:t xml:space="preserve"> as a record of the audit</w:t>
            </w:r>
            <w:r>
              <w:rPr>
                <w:rFonts w:eastAsia="Arial"/>
                <w:szCs w:val="18"/>
              </w:rPr>
              <w:t xml:space="preserve"> and submits electronically to NSU</w:t>
            </w:r>
            <w:r w:rsidRPr="00241863">
              <w:rPr>
                <w:rFonts w:eastAsia="Arial"/>
                <w:szCs w:val="18"/>
              </w:rPr>
              <w:t>.</w:t>
            </w:r>
          </w:p>
        </w:tc>
      </w:tr>
      <w:tr w:rsidR="00B17E6C" w:rsidRPr="00241863" w14:paraId="7B780FBE" w14:textId="77777777" w:rsidTr="007F4D57">
        <w:trPr>
          <w:cantSplit/>
        </w:trPr>
        <w:tc>
          <w:tcPr>
            <w:tcW w:w="2325" w:type="dxa"/>
            <w:shd w:val="clear" w:color="auto" w:fill="auto"/>
          </w:tcPr>
          <w:p w14:paraId="7B780FBC" w14:textId="77777777" w:rsidR="00B17E6C" w:rsidRPr="00241863" w:rsidRDefault="00B17E6C" w:rsidP="007F4D57">
            <w:pPr>
              <w:pStyle w:val="TableText"/>
              <w:ind w:right="113"/>
              <w:rPr>
                <w:rFonts w:eastAsia="Arial"/>
                <w:szCs w:val="18"/>
              </w:rPr>
            </w:pPr>
            <w:r w:rsidRPr="00241863">
              <w:rPr>
                <w:rFonts w:eastAsia="Arial"/>
                <w:szCs w:val="18"/>
              </w:rPr>
              <w:t xml:space="preserve">Clinical </w:t>
            </w:r>
            <w:r>
              <w:rPr>
                <w:rFonts w:eastAsia="Arial"/>
                <w:szCs w:val="18"/>
              </w:rPr>
              <w:t>g</w:t>
            </w:r>
            <w:r w:rsidRPr="00241863">
              <w:rPr>
                <w:rFonts w:eastAsia="Arial"/>
                <w:szCs w:val="18"/>
              </w:rPr>
              <w:t>overnance</w:t>
            </w:r>
          </w:p>
        </w:tc>
        <w:tc>
          <w:tcPr>
            <w:tcW w:w="5812" w:type="dxa"/>
            <w:shd w:val="clear" w:color="auto" w:fill="auto"/>
          </w:tcPr>
          <w:p w14:paraId="7B780FBD" w14:textId="77777777" w:rsidR="00B17E6C" w:rsidRPr="00241863" w:rsidRDefault="00B17E6C" w:rsidP="004274A5">
            <w:pPr>
              <w:pStyle w:val="TableText"/>
              <w:rPr>
                <w:rFonts w:eastAsia="Arial"/>
                <w:szCs w:val="18"/>
              </w:rPr>
            </w:pPr>
            <w:r w:rsidRPr="00241863">
              <w:rPr>
                <w:rFonts w:eastAsia="Arial"/>
                <w:szCs w:val="18"/>
              </w:rPr>
              <w:t xml:space="preserve">A system </w:t>
            </w:r>
            <w:r>
              <w:rPr>
                <w:rFonts w:eastAsia="Arial"/>
                <w:szCs w:val="18"/>
              </w:rPr>
              <w:t>that provides</w:t>
            </w:r>
            <w:r w:rsidRPr="00241863">
              <w:rPr>
                <w:rFonts w:eastAsia="Arial"/>
                <w:szCs w:val="18"/>
              </w:rPr>
              <w:t xml:space="preserve"> accountability for continuously improving the quality of services and safeguarding high standards of care by creating an environment in which excellence in clinical care will flourish</w:t>
            </w:r>
            <w:r>
              <w:rPr>
                <w:rFonts w:eastAsia="Arial"/>
                <w:szCs w:val="18"/>
              </w:rPr>
              <w:t>.</w:t>
            </w:r>
          </w:p>
        </w:tc>
      </w:tr>
      <w:tr w:rsidR="00B17E6C" w:rsidRPr="00241863" w14:paraId="7B780FC1" w14:textId="77777777" w:rsidTr="007F4D57">
        <w:trPr>
          <w:cantSplit/>
        </w:trPr>
        <w:tc>
          <w:tcPr>
            <w:tcW w:w="2325" w:type="dxa"/>
            <w:shd w:val="clear" w:color="auto" w:fill="auto"/>
          </w:tcPr>
          <w:p w14:paraId="7B780FBF" w14:textId="77777777" w:rsidR="00B17E6C" w:rsidRPr="00241863" w:rsidRDefault="00B17E6C" w:rsidP="007F4D57">
            <w:pPr>
              <w:pStyle w:val="TableText"/>
              <w:ind w:right="113"/>
              <w:rPr>
                <w:rFonts w:eastAsia="Arial"/>
                <w:szCs w:val="18"/>
              </w:rPr>
            </w:pPr>
            <w:r w:rsidRPr="00241863">
              <w:rPr>
                <w:rFonts w:eastAsia="Arial"/>
                <w:szCs w:val="18"/>
              </w:rPr>
              <w:t>Consumer</w:t>
            </w:r>
            <w:r>
              <w:rPr>
                <w:rFonts w:eastAsia="Arial"/>
                <w:szCs w:val="18"/>
              </w:rPr>
              <w:t>, p</w:t>
            </w:r>
            <w:r w:rsidRPr="00241863">
              <w:rPr>
                <w:rFonts w:eastAsia="Arial"/>
                <w:szCs w:val="18"/>
              </w:rPr>
              <w:t>articipant</w:t>
            </w:r>
            <w:r>
              <w:rPr>
                <w:rFonts w:eastAsia="Arial"/>
                <w:szCs w:val="18"/>
              </w:rPr>
              <w:t xml:space="preserve">, </w:t>
            </w:r>
            <w:proofErr w:type="spellStart"/>
            <w:r w:rsidRPr="00241863">
              <w:rPr>
                <w:rFonts w:eastAsia="Arial"/>
                <w:szCs w:val="18"/>
              </w:rPr>
              <w:t>kiritaki</w:t>
            </w:r>
            <w:proofErr w:type="spellEnd"/>
            <w:r w:rsidRPr="00241863">
              <w:rPr>
                <w:rFonts w:eastAsia="Arial"/>
                <w:szCs w:val="18"/>
              </w:rPr>
              <w:t xml:space="preserve"> </w:t>
            </w:r>
            <w:proofErr w:type="spellStart"/>
            <w:r w:rsidRPr="00241863">
              <w:rPr>
                <w:rFonts w:eastAsia="Arial"/>
                <w:szCs w:val="18"/>
              </w:rPr>
              <w:t>hauora</w:t>
            </w:r>
            <w:proofErr w:type="spellEnd"/>
          </w:p>
        </w:tc>
        <w:tc>
          <w:tcPr>
            <w:tcW w:w="5812" w:type="dxa"/>
            <w:shd w:val="clear" w:color="auto" w:fill="auto"/>
          </w:tcPr>
          <w:p w14:paraId="7B780FC0" w14:textId="77777777" w:rsidR="00B17E6C" w:rsidRPr="00241863" w:rsidRDefault="00B17E6C" w:rsidP="007F4D57">
            <w:pPr>
              <w:pStyle w:val="TableText"/>
              <w:rPr>
                <w:rFonts w:eastAsia="Arial"/>
                <w:szCs w:val="18"/>
              </w:rPr>
            </w:pPr>
            <w:r w:rsidRPr="00241863">
              <w:rPr>
                <w:rFonts w:eastAsia="Arial"/>
                <w:szCs w:val="18"/>
              </w:rPr>
              <w:t>A person who uses</w:t>
            </w:r>
            <w:r>
              <w:rPr>
                <w:rFonts w:eastAsia="Arial"/>
                <w:szCs w:val="18"/>
              </w:rPr>
              <w:t xml:space="preserve">, </w:t>
            </w:r>
            <w:r w:rsidRPr="00241863">
              <w:rPr>
                <w:rFonts w:eastAsia="Arial"/>
                <w:szCs w:val="18"/>
              </w:rPr>
              <w:t>participates</w:t>
            </w:r>
            <w:r>
              <w:rPr>
                <w:rFonts w:eastAsia="Arial"/>
                <w:szCs w:val="18"/>
              </w:rPr>
              <w:t xml:space="preserve"> </w:t>
            </w:r>
            <w:proofErr w:type="gramStart"/>
            <w:r>
              <w:rPr>
                <w:rFonts w:eastAsia="Arial"/>
                <w:szCs w:val="18"/>
              </w:rPr>
              <w:t>in</w:t>
            </w:r>
            <w:proofErr w:type="gramEnd"/>
            <w:r w:rsidRPr="00241863">
              <w:rPr>
                <w:rFonts w:eastAsia="Arial"/>
                <w:szCs w:val="18"/>
              </w:rPr>
              <w:t xml:space="preserve"> or receives a screening assessment and service.</w:t>
            </w:r>
          </w:p>
        </w:tc>
      </w:tr>
      <w:tr w:rsidR="00B17E6C" w:rsidRPr="00241863" w14:paraId="7B780FC4" w14:textId="77777777" w:rsidTr="007F4D57">
        <w:trPr>
          <w:cantSplit/>
        </w:trPr>
        <w:tc>
          <w:tcPr>
            <w:tcW w:w="2325" w:type="dxa"/>
            <w:shd w:val="clear" w:color="auto" w:fill="auto"/>
          </w:tcPr>
          <w:p w14:paraId="7B780FC2" w14:textId="77777777" w:rsidR="00B17E6C" w:rsidRPr="00241863" w:rsidRDefault="00B17E6C" w:rsidP="007F4D57">
            <w:pPr>
              <w:pStyle w:val="TableText"/>
              <w:ind w:right="113"/>
              <w:rPr>
                <w:rFonts w:eastAsia="Arial"/>
                <w:szCs w:val="18"/>
              </w:rPr>
            </w:pPr>
            <w:r w:rsidRPr="00241863">
              <w:rPr>
                <w:rFonts w:eastAsia="Arial"/>
                <w:szCs w:val="18"/>
              </w:rPr>
              <w:t>Consumer auditor</w:t>
            </w:r>
          </w:p>
        </w:tc>
        <w:tc>
          <w:tcPr>
            <w:tcW w:w="5812" w:type="dxa"/>
            <w:shd w:val="clear" w:color="auto" w:fill="auto"/>
          </w:tcPr>
          <w:p w14:paraId="7B780FC3" w14:textId="77777777" w:rsidR="00B17E6C" w:rsidRPr="00241863" w:rsidRDefault="00B17E6C" w:rsidP="007F4D57">
            <w:pPr>
              <w:pStyle w:val="TableText"/>
              <w:rPr>
                <w:rFonts w:eastAsia="Arial"/>
                <w:szCs w:val="18"/>
              </w:rPr>
            </w:pPr>
            <w:r w:rsidRPr="00241863">
              <w:rPr>
                <w:rFonts w:eastAsia="Arial"/>
                <w:szCs w:val="18"/>
              </w:rPr>
              <w:t xml:space="preserve">A member of the audit team who either is a user of the type of service being audited or is a family member or primary carer of such a person. </w:t>
            </w:r>
            <w:r>
              <w:rPr>
                <w:rFonts w:eastAsia="Arial"/>
                <w:szCs w:val="18"/>
              </w:rPr>
              <w:t>In an audit of</w:t>
            </w:r>
            <w:r w:rsidRPr="00241863">
              <w:rPr>
                <w:rFonts w:eastAsia="Arial"/>
                <w:szCs w:val="18"/>
              </w:rPr>
              <w:t xml:space="preserve"> a provider for multiple services, someone who reflects the primary nature of the service is acceptable as a consumer auditor.</w:t>
            </w:r>
          </w:p>
        </w:tc>
      </w:tr>
      <w:tr w:rsidR="00B17E6C" w:rsidRPr="00241863" w14:paraId="7B780FC7" w14:textId="77777777" w:rsidTr="007F4D57">
        <w:trPr>
          <w:cantSplit/>
        </w:trPr>
        <w:tc>
          <w:tcPr>
            <w:tcW w:w="2325" w:type="dxa"/>
            <w:shd w:val="clear" w:color="auto" w:fill="auto"/>
          </w:tcPr>
          <w:p w14:paraId="7B780FC5" w14:textId="77777777" w:rsidR="00B17E6C" w:rsidRPr="00241863" w:rsidRDefault="00B17E6C" w:rsidP="007F4D57">
            <w:pPr>
              <w:pStyle w:val="TableText"/>
              <w:ind w:right="57"/>
              <w:rPr>
                <w:rFonts w:eastAsia="Arial"/>
                <w:szCs w:val="18"/>
              </w:rPr>
            </w:pPr>
            <w:r w:rsidRPr="00241863">
              <w:rPr>
                <w:rFonts w:eastAsia="Arial"/>
                <w:szCs w:val="18"/>
              </w:rPr>
              <w:t>CAR</w:t>
            </w:r>
          </w:p>
        </w:tc>
        <w:tc>
          <w:tcPr>
            <w:tcW w:w="5812" w:type="dxa"/>
            <w:shd w:val="clear" w:color="auto" w:fill="auto"/>
          </w:tcPr>
          <w:p w14:paraId="7B780FC6" w14:textId="77777777" w:rsidR="00B17E6C" w:rsidRPr="00241863" w:rsidRDefault="00B17E6C" w:rsidP="007F4D57">
            <w:pPr>
              <w:pStyle w:val="TableText"/>
              <w:rPr>
                <w:rFonts w:eastAsia="Arial"/>
                <w:szCs w:val="18"/>
              </w:rPr>
            </w:pPr>
            <w:r w:rsidRPr="00241863">
              <w:rPr>
                <w:rFonts w:eastAsia="Arial"/>
                <w:szCs w:val="18"/>
              </w:rPr>
              <w:t>Corrective action request</w:t>
            </w:r>
            <w:r>
              <w:rPr>
                <w:rFonts w:eastAsia="Arial"/>
                <w:szCs w:val="18"/>
              </w:rPr>
              <w:t>.</w:t>
            </w:r>
          </w:p>
        </w:tc>
      </w:tr>
      <w:tr w:rsidR="00B17E6C" w:rsidRPr="00241863" w14:paraId="7B780FCA" w14:textId="77777777" w:rsidTr="007F4D57">
        <w:trPr>
          <w:cantSplit/>
        </w:trPr>
        <w:tc>
          <w:tcPr>
            <w:tcW w:w="2325" w:type="dxa"/>
            <w:shd w:val="clear" w:color="auto" w:fill="auto"/>
          </w:tcPr>
          <w:p w14:paraId="7B780FC8" w14:textId="77777777" w:rsidR="00B17E6C" w:rsidRPr="00241863" w:rsidRDefault="00B17E6C" w:rsidP="007F4D57">
            <w:pPr>
              <w:pStyle w:val="TableText"/>
              <w:ind w:right="57"/>
              <w:rPr>
                <w:rFonts w:eastAsia="Arial"/>
                <w:szCs w:val="18"/>
              </w:rPr>
            </w:pPr>
            <w:r w:rsidRPr="00241863">
              <w:rPr>
                <w:rFonts w:eastAsia="Arial"/>
                <w:szCs w:val="18"/>
              </w:rPr>
              <w:t>CAR closure</w:t>
            </w:r>
          </w:p>
        </w:tc>
        <w:tc>
          <w:tcPr>
            <w:tcW w:w="5812" w:type="dxa"/>
            <w:shd w:val="clear" w:color="auto" w:fill="auto"/>
          </w:tcPr>
          <w:p w14:paraId="7B780FC9" w14:textId="77777777" w:rsidR="00B17E6C" w:rsidRPr="00241863" w:rsidRDefault="00B17E6C" w:rsidP="007F4D57">
            <w:pPr>
              <w:pStyle w:val="TableText"/>
              <w:rPr>
                <w:rFonts w:eastAsia="Arial"/>
                <w:szCs w:val="18"/>
              </w:rPr>
            </w:pPr>
            <w:r w:rsidRPr="00241863">
              <w:rPr>
                <w:rFonts w:eastAsia="Arial"/>
                <w:szCs w:val="18"/>
              </w:rPr>
              <w:t xml:space="preserve">Final closure of a CAR </w:t>
            </w:r>
            <w:r>
              <w:rPr>
                <w:rFonts w:eastAsia="Arial"/>
                <w:szCs w:val="18"/>
              </w:rPr>
              <w:t xml:space="preserve">after a </w:t>
            </w:r>
            <w:r w:rsidRPr="00241863">
              <w:rPr>
                <w:rFonts w:eastAsia="Arial"/>
                <w:szCs w:val="18"/>
              </w:rPr>
              <w:t>subsequent surveillance audit review</w:t>
            </w:r>
            <w:r>
              <w:rPr>
                <w:rFonts w:eastAsia="Arial"/>
                <w:szCs w:val="18"/>
              </w:rPr>
              <w:t>s</w:t>
            </w:r>
            <w:r w:rsidRPr="00241863">
              <w:rPr>
                <w:rFonts w:eastAsia="Arial"/>
                <w:szCs w:val="18"/>
              </w:rPr>
              <w:t xml:space="preserve"> evidence </w:t>
            </w:r>
            <w:r>
              <w:rPr>
                <w:rFonts w:eastAsia="Arial"/>
                <w:szCs w:val="18"/>
              </w:rPr>
              <w:t>that a provider has resolved</w:t>
            </w:r>
            <w:r w:rsidR="004274A5">
              <w:rPr>
                <w:rFonts w:eastAsia="Arial"/>
                <w:szCs w:val="18"/>
              </w:rPr>
              <w:t xml:space="preserve"> the issue.</w:t>
            </w:r>
          </w:p>
        </w:tc>
      </w:tr>
      <w:tr w:rsidR="00B17E6C" w:rsidRPr="00241863" w14:paraId="7B780FCD" w14:textId="77777777" w:rsidTr="007F4D57">
        <w:trPr>
          <w:cantSplit/>
        </w:trPr>
        <w:tc>
          <w:tcPr>
            <w:tcW w:w="2325" w:type="dxa"/>
            <w:shd w:val="clear" w:color="auto" w:fill="auto"/>
          </w:tcPr>
          <w:p w14:paraId="7B780FCB" w14:textId="77777777" w:rsidR="00B17E6C" w:rsidRPr="00241863" w:rsidRDefault="00B17E6C" w:rsidP="007F4D57">
            <w:pPr>
              <w:pStyle w:val="TableText"/>
              <w:ind w:right="57"/>
              <w:rPr>
                <w:rFonts w:eastAsia="Arial"/>
                <w:szCs w:val="18"/>
              </w:rPr>
            </w:pPr>
            <w:r w:rsidRPr="00241863">
              <w:rPr>
                <w:rFonts w:eastAsia="Arial"/>
                <w:szCs w:val="18"/>
              </w:rPr>
              <w:t>CAR follow</w:t>
            </w:r>
            <w:r>
              <w:rPr>
                <w:rFonts w:eastAsia="Arial"/>
                <w:szCs w:val="18"/>
              </w:rPr>
              <w:t>-</w:t>
            </w:r>
            <w:r w:rsidRPr="00241863">
              <w:rPr>
                <w:rFonts w:eastAsia="Arial"/>
                <w:szCs w:val="18"/>
              </w:rPr>
              <w:t>up</w:t>
            </w:r>
          </w:p>
        </w:tc>
        <w:tc>
          <w:tcPr>
            <w:tcW w:w="5812" w:type="dxa"/>
            <w:shd w:val="clear" w:color="auto" w:fill="auto"/>
          </w:tcPr>
          <w:p w14:paraId="7B780FCC" w14:textId="77777777" w:rsidR="00B17E6C" w:rsidRPr="00241863" w:rsidRDefault="00B17E6C" w:rsidP="007F4D57">
            <w:pPr>
              <w:pStyle w:val="TableText"/>
              <w:rPr>
                <w:rFonts w:eastAsia="Arial"/>
                <w:szCs w:val="18"/>
              </w:rPr>
            </w:pPr>
            <w:r>
              <w:rPr>
                <w:rFonts w:eastAsia="Arial"/>
                <w:szCs w:val="18"/>
              </w:rPr>
              <w:t>A provider</w:t>
            </w:r>
            <w:r w:rsidR="00E33EDB">
              <w:rPr>
                <w:rFonts w:eastAsia="Arial"/>
                <w:szCs w:val="18"/>
              </w:rPr>
              <w:t>’</w:t>
            </w:r>
            <w:r>
              <w:rPr>
                <w:rFonts w:eastAsia="Arial"/>
                <w:szCs w:val="18"/>
              </w:rPr>
              <w:t>s p</w:t>
            </w:r>
            <w:r w:rsidRPr="00241863">
              <w:rPr>
                <w:rFonts w:eastAsia="Arial"/>
                <w:szCs w:val="18"/>
              </w:rPr>
              <w:t>resentation of evidence to NSU programme manager</w:t>
            </w:r>
            <w:r>
              <w:rPr>
                <w:rFonts w:eastAsia="Arial"/>
                <w:szCs w:val="18"/>
              </w:rPr>
              <w:t xml:space="preserve"> or </w:t>
            </w:r>
            <w:r w:rsidRPr="00241863">
              <w:rPr>
                <w:rFonts w:eastAsia="Arial"/>
                <w:szCs w:val="18"/>
              </w:rPr>
              <w:t>advisor to support</w:t>
            </w:r>
            <w:r>
              <w:rPr>
                <w:rFonts w:eastAsia="Arial"/>
                <w:szCs w:val="18"/>
              </w:rPr>
              <w:t xml:space="preserve"> its</w:t>
            </w:r>
            <w:r w:rsidRPr="00241863">
              <w:rPr>
                <w:rFonts w:eastAsia="Arial"/>
                <w:szCs w:val="18"/>
              </w:rPr>
              <w:t xml:space="preserve"> resolution of </w:t>
            </w:r>
            <w:r>
              <w:rPr>
                <w:rFonts w:eastAsia="Arial"/>
                <w:szCs w:val="18"/>
              </w:rPr>
              <w:t xml:space="preserve">an </w:t>
            </w:r>
            <w:r w:rsidRPr="00241863">
              <w:rPr>
                <w:rFonts w:eastAsia="Arial"/>
                <w:szCs w:val="18"/>
              </w:rPr>
              <w:t>issue raised in a CAR.</w:t>
            </w:r>
          </w:p>
        </w:tc>
      </w:tr>
      <w:tr w:rsidR="00B17E6C" w:rsidRPr="00241863" w14:paraId="7B780FD0" w14:textId="77777777" w:rsidTr="007F4D57">
        <w:trPr>
          <w:cantSplit/>
        </w:trPr>
        <w:tc>
          <w:tcPr>
            <w:tcW w:w="2325" w:type="dxa"/>
            <w:shd w:val="clear" w:color="auto" w:fill="auto"/>
          </w:tcPr>
          <w:p w14:paraId="7B780FCE" w14:textId="77777777" w:rsidR="00B17E6C" w:rsidRPr="00241863" w:rsidRDefault="00B17E6C" w:rsidP="007F4D57">
            <w:pPr>
              <w:pStyle w:val="TableText"/>
              <w:ind w:right="113"/>
              <w:rPr>
                <w:rFonts w:eastAsia="Arial"/>
                <w:szCs w:val="18"/>
              </w:rPr>
            </w:pPr>
            <w:r w:rsidRPr="00241863">
              <w:rPr>
                <w:rFonts w:eastAsia="Arial"/>
                <w:szCs w:val="18"/>
              </w:rPr>
              <w:t>Critical risk</w:t>
            </w:r>
          </w:p>
        </w:tc>
        <w:tc>
          <w:tcPr>
            <w:tcW w:w="5812" w:type="dxa"/>
            <w:shd w:val="clear" w:color="auto" w:fill="auto"/>
          </w:tcPr>
          <w:p w14:paraId="7B780FCF" w14:textId="77777777" w:rsidR="00B17E6C" w:rsidRPr="00241863" w:rsidRDefault="00B17E6C" w:rsidP="007F4D57">
            <w:pPr>
              <w:pStyle w:val="TableText"/>
              <w:rPr>
                <w:rFonts w:eastAsia="Arial"/>
                <w:szCs w:val="18"/>
              </w:rPr>
            </w:pPr>
            <w:r w:rsidRPr="00241863">
              <w:rPr>
                <w:rFonts w:eastAsia="Arial"/>
                <w:szCs w:val="18"/>
              </w:rPr>
              <w:t xml:space="preserve">A risk requiring immediate planning </w:t>
            </w:r>
            <w:r>
              <w:rPr>
                <w:rFonts w:eastAsia="Arial"/>
                <w:szCs w:val="18"/>
              </w:rPr>
              <w:t xml:space="preserve">for a </w:t>
            </w:r>
            <w:r w:rsidRPr="00241863">
              <w:rPr>
                <w:rFonts w:eastAsia="Arial"/>
                <w:szCs w:val="18"/>
              </w:rPr>
              <w:t>corrective action and notification to NSU while the audit team is on</w:t>
            </w:r>
            <w:r>
              <w:rPr>
                <w:rFonts w:eastAsia="Arial"/>
                <w:szCs w:val="18"/>
              </w:rPr>
              <w:t xml:space="preserve"> </w:t>
            </w:r>
            <w:r w:rsidRPr="00241863">
              <w:rPr>
                <w:rFonts w:eastAsia="Arial"/>
                <w:szCs w:val="18"/>
              </w:rPr>
              <w:t xml:space="preserve">site. An agreed action plan is to be documented and implemented to ensure participant safety within 24 hours and </w:t>
            </w:r>
            <w:r>
              <w:rPr>
                <w:rFonts w:eastAsia="Arial"/>
                <w:szCs w:val="18"/>
              </w:rPr>
              <w:t xml:space="preserve">NSU must be </w:t>
            </w:r>
            <w:r w:rsidRPr="00241863">
              <w:rPr>
                <w:rFonts w:eastAsia="Arial"/>
                <w:szCs w:val="18"/>
              </w:rPr>
              <w:t>notifi</w:t>
            </w:r>
            <w:r>
              <w:rPr>
                <w:rFonts w:eastAsia="Arial"/>
                <w:szCs w:val="18"/>
              </w:rPr>
              <w:t>ed</w:t>
            </w:r>
            <w:r w:rsidRPr="00241863">
              <w:rPr>
                <w:rFonts w:eastAsia="Arial"/>
                <w:szCs w:val="18"/>
              </w:rPr>
              <w:t xml:space="preserve"> in writing.</w:t>
            </w:r>
          </w:p>
        </w:tc>
      </w:tr>
      <w:tr w:rsidR="00B17E6C" w:rsidRPr="00241863" w14:paraId="7B780FD3" w14:textId="77777777" w:rsidTr="007F4D57">
        <w:trPr>
          <w:cantSplit/>
        </w:trPr>
        <w:tc>
          <w:tcPr>
            <w:tcW w:w="2325" w:type="dxa"/>
            <w:shd w:val="clear" w:color="auto" w:fill="auto"/>
          </w:tcPr>
          <w:p w14:paraId="7B780FD1" w14:textId="77777777" w:rsidR="00B17E6C" w:rsidRPr="00241863" w:rsidRDefault="00B17E6C" w:rsidP="007F4D57">
            <w:pPr>
              <w:pStyle w:val="TableText"/>
              <w:ind w:right="113"/>
              <w:rPr>
                <w:rFonts w:eastAsia="Arial"/>
                <w:szCs w:val="18"/>
              </w:rPr>
            </w:pPr>
            <w:r w:rsidRPr="00241863">
              <w:rPr>
                <w:rFonts w:eastAsia="Arial"/>
                <w:szCs w:val="18"/>
              </w:rPr>
              <w:t>Designated auditing agency (DAA)</w:t>
            </w:r>
          </w:p>
        </w:tc>
        <w:tc>
          <w:tcPr>
            <w:tcW w:w="5812" w:type="dxa"/>
            <w:shd w:val="clear" w:color="auto" w:fill="auto"/>
          </w:tcPr>
          <w:p w14:paraId="7B780FD2" w14:textId="77777777" w:rsidR="00B17E6C" w:rsidRPr="00241863" w:rsidRDefault="00B17E6C" w:rsidP="007F4D57">
            <w:pPr>
              <w:pStyle w:val="TableText"/>
              <w:rPr>
                <w:rFonts w:eastAsia="Arial"/>
                <w:szCs w:val="18"/>
              </w:rPr>
            </w:pPr>
            <w:r w:rsidRPr="00241863">
              <w:rPr>
                <w:rFonts w:eastAsia="Arial"/>
                <w:szCs w:val="18"/>
              </w:rPr>
              <w:t>An auditing agency designated under section 32(1) of the Health and Disability Services (Safety) Act 2001.</w:t>
            </w:r>
          </w:p>
        </w:tc>
      </w:tr>
      <w:tr w:rsidR="00B17E6C" w:rsidRPr="00241863" w14:paraId="7B780FD6" w14:textId="77777777" w:rsidTr="007F4D57">
        <w:trPr>
          <w:cantSplit/>
        </w:trPr>
        <w:tc>
          <w:tcPr>
            <w:tcW w:w="2325" w:type="dxa"/>
            <w:shd w:val="clear" w:color="auto" w:fill="auto"/>
          </w:tcPr>
          <w:p w14:paraId="7B780FD4" w14:textId="77777777" w:rsidR="00B17E6C" w:rsidRPr="00241863" w:rsidRDefault="00B17E6C" w:rsidP="007F4D57">
            <w:pPr>
              <w:pStyle w:val="TableText"/>
              <w:ind w:right="113"/>
              <w:rPr>
                <w:rFonts w:eastAsia="Arial"/>
                <w:szCs w:val="18"/>
              </w:rPr>
            </w:pPr>
            <w:r w:rsidRPr="00241863">
              <w:rPr>
                <w:rFonts w:eastAsia="Arial"/>
                <w:szCs w:val="18"/>
              </w:rPr>
              <w:t>Executive summary</w:t>
            </w:r>
          </w:p>
        </w:tc>
        <w:tc>
          <w:tcPr>
            <w:tcW w:w="5812" w:type="dxa"/>
            <w:shd w:val="clear" w:color="auto" w:fill="auto"/>
          </w:tcPr>
          <w:p w14:paraId="7B780FD5" w14:textId="77777777" w:rsidR="00B17E6C" w:rsidRPr="00241863" w:rsidRDefault="00B17E6C" w:rsidP="007F4D57">
            <w:pPr>
              <w:pStyle w:val="TableText"/>
              <w:rPr>
                <w:rFonts w:eastAsia="Arial"/>
                <w:szCs w:val="18"/>
              </w:rPr>
            </w:pPr>
            <w:r w:rsidRPr="00241863">
              <w:rPr>
                <w:rFonts w:eastAsia="Arial"/>
                <w:szCs w:val="18"/>
              </w:rPr>
              <w:t xml:space="preserve">A preview of the main points from the audit report. It is written in plain </w:t>
            </w:r>
            <w:r>
              <w:rPr>
                <w:rFonts w:eastAsia="Arial"/>
                <w:szCs w:val="18"/>
              </w:rPr>
              <w:t>language</w:t>
            </w:r>
            <w:r w:rsidRPr="00241863">
              <w:rPr>
                <w:rFonts w:eastAsia="Arial"/>
                <w:szCs w:val="18"/>
              </w:rPr>
              <w:t xml:space="preserve"> and contains enough information for reader</w:t>
            </w:r>
            <w:r>
              <w:rPr>
                <w:rFonts w:eastAsia="Arial"/>
                <w:szCs w:val="18"/>
              </w:rPr>
              <w:t>s</w:t>
            </w:r>
            <w:r w:rsidRPr="00241863">
              <w:rPr>
                <w:rFonts w:eastAsia="Arial"/>
                <w:szCs w:val="18"/>
              </w:rPr>
              <w:t xml:space="preserve"> to familiarise themselves with the content of the full report. It should not contain information about anything that has occurred after the audit.</w:t>
            </w:r>
          </w:p>
        </w:tc>
      </w:tr>
      <w:tr w:rsidR="00B17E6C" w:rsidRPr="00241863" w14:paraId="7B780FD9" w14:textId="77777777" w:rsidTr="007F4D57">
        <w:trPr>
          <w:cantSplit/>
        </w:trPr>
        <w:tc>
          <w:tcPr>
            <w:tcW w:w="2325" w:type="dxa"/>
            <w:shd w:val="clear" w:color="auto" w:fill="auto"/>
          </w:tcPr>
          <w:p w14:paraId="7B780FD7" w14:textId="77777777" w:rsidR="00B17E6C" w:rsidRPr="00241863" w:rsidRDefault="00B17E6C" w:rsidP="007F4D57">
            <w:pPr>
              <w:pStyle w:val="TableText"/>
              <w:ind w:right="113"/>
              <w:rPr>
                <w:rFonts w:eastAsia="Arial"/>
                <w:szCs w:val="18"/>
              </w:rPr>
            </w:pPr>
            <w:r w:rsidRPr="00241863">
              <w:rPr>
                <w:rFonts w:eastAsia="Arial"/>
                <w:szCs w:val="18"/>
              </w:rPr>
              <w:t>Evidence-based approach</w:t>
            </w:r>
          </w:p>
        </w:tc>
        <w:tc>
          <w:tcPr>
            <w:tcW w:w="5812" w:type="dxa"/>
            <w:shd w:val="clear" w:color="auto" w:fill="auto"/>
          </w:tcPr>
          <w:p w14:paraId="7B780FD8" w14:textId="77777777" w:rsidR="00B17E6C" w:rsidRPr="00241863" w:rsidRDefault="00B17E6C" w:rsidP="007F4D57">
            <w:pPr>
              <w:pStyle w:val="TableText"/>
              <w:rPr>
                <w:rFonts w:eastAsia="Arial"/>
                <w:szCs w:val="18"/>
              </w:rPr>
            </w:pPr>
            <w:r w:rsidRPr="00241863">
              <w:rPr>
                <w:rFonts w:eastAsia="Arial"/>
                <w:szCs w:val="18"/>
              </w:rPr>
              <w:t xml:space="preserve">The rational method for reaching reliable and reproducible audit conclusions in a systematic audit process. This may include sampling a subset of a population to provide a representative </w:t>
            </w:r>
            <w:r>
              <w:rPr>
                <w:rFonts w:eastAsia="Arial"/>
                <w:szCs w:val="18"/>
              </w:rPr>
              <w:t>picture</w:t>
            </w:r>
            <w:r w:rsidRPr="00241863">
              <w:rPr>
                <w:rFonts w:eastAsia="Arial"/>
                <w:szCs w:val="18"/>
              </w:rPr>
              <w:t xml:space="preserve"> from which it is possible to confidently generalise conclusions.</w:t>
            </w:r>
          </w:p>
        </w:tc>
      </w:tr>
      <w:tr w:rsidR="00B17E6C" w:rsidRPr="00241863" w14:paraId="7B780FDC" w14:textId="77777777" w:rsidTr="007F4D57">
        <w:trPr>
          <w:cantSplit/>
        </w:trPr>
        <w:tc>
          <w:tcPr>
            <w:tcW w:w="2325" w:type="dxa"/>
            <w:shd w:val="clear" w:color="auto" w:fill="auto"/>
          </w:tcPr>
          <w:p w14:paraId="7B780FDA" w14:textId="77777777" w:rsidR="00B17E6C" w:rsidRPr="00241863" w:rsidRDefault="00B17E6C" w:rsidP="007F4D57">
            <w:pPr>
              <w:pStyle w:val="TableText"/>
              <w:ind w:right="113"/>
              <w:rPr>
                <w:rFonts w:eastAsia="Arial"/>
                <w:szCs w:val="18"/>
              </w:rPr>
            </w:pPr>
            <w:r w:rsidRPr="00241863">
              <w:rPr>
                <w:rFonts w:eastAsia="Arial"/>
                <w:szCs w:val="18"/>
              </w:rPr>
              <w:t>HDC</w:t>
            </w:r>
          </w:p>
        </w:tc>
        <w:tc>
          <w:tcPr>
            <w:tcW w:w="5812" w:type="dxa"/>
            <w:shd w:val="clear" w:color="auto" w:fill="auto"/>
          </w:tcPr>
          <w:p w14:paraId="7B780FDB" w14:textId="77777777" w:rsidR="00B17E6C" w:rsidRPr="00241863" w:rsidRDefault="00B17E6C" w:rsidP="007F4D57">
            <w:pPr>
              <w:pStyle w:val="TableText"/>
              <w:rPr>
                <w:rFonts w:eastAsia="Arial"/>
                <w:szCs w:val="18"/>
              </w:rPr>
            </w:pPr>
            <w:r w:rsidRPr="00241863">
              <w:rPr>
                <w:rFonts w:eastAsia="Arial"/>
                <w:szCs w:val="18"/>
              </w:rPr>
              <w:t>Health and Disability Commissioner.</w:t>
            </w:r>
          </w:p>
        </w:tc>
      </w:tr>
      <w:tr w:rsidR="00B17E6C" w:rsidRPr="00241863" w14:paraId="7B780FDF" w14:textId="77777777" w:rsidTr="007F4D57">
        <w:trPr>
          <w:cantSplit/>
        </w:trPr>
        <w:tc>
          <w:tcPr>
            <w:tcW w:w="2325" w:type="dxa"/>
            <w:shd w:val="clear" w:color="auto" w:fill="auto"/>
          </w:tcPr>
          <w:p w14:paraId="7B780FDD" w14:textId="77777777" w:rsidR="00B17E6C" w:rsidRPr="00241863" w:rsidRDefault="00B17E6C" w:rsidP="007F4D57">
            <w:pPr>
              <w:pStyle w:val="TableText"/>
              <w:ind w:right="113"/>
              <w:rPr>
                <w:rFonts w:eastAsia="Arial"/>
                <w:szCs w:val="18"/>
              </w:rPr>
            </w:pPr>
            <w:r w:rsidRPr="00241863">
              <w:rPr>
                <w:rFonts w:eastAsia="Arial"/>
                <w:szCs w:val="18"/>
              </w:rPr>
              <w:t>High risk</w:t>
            </w:r>
          </w:p>
        </w:tc>
        <w:tc>
          <w:tcPr>
            <w:tcW w:w="5812" w:type="dxa"/>
            <w:shd w:val="clear" w:color="auto" w:fill="auto"/>
          </w:tcPr>
          <w:p w14:paraId="7B780FDE" w14:textId="77777777" w:rsidR="00B17E6C" w:rsidRPr="00241863" w:rsidRDefault="00B17E6C" w:rsidP="007F4D57">
            <w:pPr>
              <w:pStyle w:val="TableText"/>
              <w:rPr>
                <w:rFonts w:eastAsia="Arial"/>
                <w:szCs w:val="18"/>
              </w:rPr>
            </w:pPr>
            <w:r w:rsidRPr="00241863">
              <w:rPr>
                <w:rFonts w:eastAsia="Arial"/>
                <w:szCs w:val="18"/>
              </w:rPr>
              <w:t>A risk requiring corrective action within one month</w:t>
            </w:r>
            <w:r>
              <w:rPr>
                <w:rFonts w:eastAsia="Arial"/>
                <w:szCs w:val="18"/>
              </w:rPr>
              <w:t>,</w:t>
            </w:r>
            <w:r w:rsidRPr="00241863">
              <w:rPr>
                <w:rFonts w:eastAsia="Arial"/>
                <w:szCs w:val="18"/>
              </w:rPr>
              <w:t xml:space="preserve"> including documentation of an action plan with sign-off by the lead auditor within 48 hours and notification in writing to the NSU, in the interests of participant safety.</w:t>
            </w:r>
          </w:p>
        </w:tc>
      </w:tr>
      <w:tr w:rsidR="00B17E6C" w:rsidRPr="00241863" w14:paraId="7B780FE2" w14:textId="77777777" w:rsidTr="007F4D57">
        <w:trPr>
          <w:cantSplit/>
        </w:trPr>
        <w:tc>
          <w:tcPr>
            <w:tcW w:w="2325" w:type="dxa"/>
            <w:shd w:val="clear" w:color="auto" w:fill="auto"/>
          </w:tcPr>
          <w:p w14:paraId="7B780FE0" w14:textId="77777777" w:rsidR="00B17E6C" w:rsidRPr="00241863" w:rsidRDefault="00B17E6C" w:rsidP="007F4D57">
            <w:pPr>
              <w:pStyle w:val="TableText"/>
              <w:ind w:right="113"/>
              <w:rPr>
                <w:rFonts w:eastAsia="Arial"/>
                <w:szCs w:val="18"/>
              </w:rPr>
            </w:pPr>
            <w:r w:rsidRPr="00241863">
              <w:rPr>
                <w:rFonts w:eastAsia="Arial"/>
                <w:szCs w:val="18"/>
              </w:rPr>
              <w:lastRenderedPageBreak/>
              <w:t>Incidental sampling</w:t>
            </w:r>
          </w:p>
        </w:tc>
        <w:tc>
          <w:tcPr>
            <w:tcW w:w="5812" w:type="dxa"/>
            <w:shd w:val="clear" w:color="auto" w:fill="auto"/>
          </w:tcPr>
          <w:p w14:paraId="7B780FE1" w14:textId="77777777" w:rsidR="00B17E6C" w:rsidRPr="00241863" w:rsidRDefault="00B17E6C" w:rsidP="007F4D57">
            <w:pPr>
              <w:pStyle w:val="TableText"/>
              <w:rPr>
                <w:rFonts w:eastAsia="Arial"/>
                <w:szCs w:val="18"/>
              </w:rPr>
            </w:pPr>
            <w:r>
              <w:rPr>
                <w:szCs w:val="18"/>
              </w:rPr>
              <w:t>S</w:t>
            </w:r>
            <w:r w:rsidRPr="00241863">
              <w:rPr>
                <w:szCs w:val="18"/>
              </w:rPr>
              <w:t xml:space="preserve">ampling required to </w:t>
            </w:r>
            <w:r>
              <w:rPr>
                <w:szCs w:val="18"/>
              </w:rPr>
              <w:t>gather</w:t>
            </w:r>
            <w:r w:rsidRPr="00241863">
              <w:rPr>
                <w:szCs w:val="18"/>
              </w:rPr>
              <w:t xml:space="preserve"> enough information to form audit evidence and ensure the audit is reliable. I</w:t>
            </w:r>
            <w:r>
              <w:rPr>
                <w:szCs w:val="18"/>
              </w:rPr>
              <w:t>nformation from i</w:t>
            </w:r>
            <w:r w:rsidRPr="00241863">
              <w:rPr>
                <w:szCs w:val="18"/>
              </w:rPr>
              <w:t>ncidental sampling can supplement other information collected through various audit methodologies throughout the audit process.</w:t>
            </w:r>
          </w:p>
        </w:tc>
      </w:tr>
      <w:tr w:rsidR="00B17E6C" w:rsidRPr="00241863" w14:paraId="7B780FE5" w14:textId="77777777" w:rsidTr="007F4D57">
        <w:trPr>
          <w:cantSplit/>
        </w:trPr>
        <w:tc>
          <w:tcPr>
            <w:tcW w:w="2325" w:type="dxa"/>
            <w:shd w:val="clear" w:color="auto" w:fill="auto"/>
          </w:tcPr>
          <w:p w14:paraId="7B780FE3" w14:textId="77777777" w:rsidR="00B17E6C" w:rsidRPr="00241863" w:rsidRDefault="00B17E6C" w:rsidP="007F4D57">
            <w:pPr>
              <w:pStyle w:val="TableText"/>
              <w:ind w:right="113"/>
              <w:rPr>
                <w:rFonts w:eastAsia="Arial"/>
                <w:szCs w:val="18"/>
              </w:rPr>
            </w:pPr>
            <w:r w:rsidRPr="00241863">
              <w:rPr>
                <w:rFonts w:eastAsia="Arial"/>
                <w:szCs w:val="18"/>
              </w:rPr>
              <w:t>Individual t</w:t>
            </w:r>
            <w:r w:rsidR="004274A5">
              <w:rPr>
                <w:rFonts w:eastAsia="Arial"/>
                <w:szCs w:val="18"/>
              </w:rPr>
              <w:t>racer</w:t>
            </w:r>
          </w:p>
        </w:tc>
        <w:tc>
          <w:tcPr>
            <w:tcW w:w="5812" w:type="dxa"/>
            <w:shd w:val="clear" w:color="auto" w:fill="auto"/>
          </w:tcPr>
          <w:p w14:paraId="7B780FE4" w14:textId="77777777" w:rsidR="00B17E6C" w:rsidRPr="00241863" w:rsidRDefault="00B17E6C" w:rsidP="007F4D57">
            <w:pPr>
              <w:pStyle w:val="TableText"/>
              <w:rPr>
                <w:rFonts w:eastAsia="Arial"/>
                <w:szCs w:val="18"/>
              </w:rPr>
            </w:pPr>
            <w:r>
              <w:rPr>
                <w:rFonts w:eastAsia="Arial"/>
                <w:szCs w:val="18"/>
              </w:rPr>
              <w:t>A</w:t>
            </w:r>
            <w:r w:rsidRPr="00241863">
              <w:rPr>
                <w:rFonts w:eastAsia="Arial"/>
                <w:szCs w:val="18"/>
              </w:rPr>
              <w:t xml:space="preserve"> tracer designed to </w:t>
            </w:r>
            <w:r w:rsidR="00E33EDB">
              <w:rPr>
                <w:rFonts w:eastAsia="Arial"/>
                <w:szCs w:val="18"/>
              </w:rPr>
              <w:t>‘</w:t>
            </w:r>
            <w:r w:rsidRPr="00241863">
              <w:rPr>
                <w:rFonts w:eastAsia="Arial"/>
                <w:szCs w:val="18"/>
              </w:rPr>
              <w:t>trace</w:t>
            </w:r>
            <w:r w:rsidR="00E33EDB">
              <w:rPr>
                <w:rFonts w:eastAsia="Arial"/>
                <w:szCs w:val="18"/>
              </w:rPr>
              <w:t>’</w:t>
            </w:r>
            <w:r w:rsidRPr="00241863">
              <w:rPr>
                <w:rFonts w:eastAsia="Arial"/>
                <w:szCs w:val="18"/>
              </w:rPr>
              <w:t xml:space="preserve"> the experience</w:t>
            </w:r>
            <w:r>
              <w:rPr>
                <w:rFonts w:eastAsia="Arial"/>
                <w:szCs w:val="18"/>
              </w:rPr>
              <w:t xml:space="preserve"> of</w:t>
            </w:r>
            <w:r w:rsidRPr="00241863">
              <w:rPr>
                <w:rFonts w:eastAsia="Arial"/>
                <w:szCs w:val="18"/>
              </w:rPr>
              <w:t xml:space="preserve"> a person when participating in a screening assessment. It is a way to analyse the organisation</w:t>
            </w:r>
            <w:r w:rsidR="00E33EDB">
              <w:rPr>
                <w:rFonts w:eastAsia="Arial"/>
                <w:szCs w:val="18"/>
              </w:rPr>
              <w:t>’</w:t>
            </w:r>
            <w:r w:rsidRPr="00241863">
              <w:rPr>
                <w:rFonts w:eastAsia="Arial"/>
                <w:szCs w:val="18"/>
              </w:rPr>
              <w:t xml:space="preserve">s system of providing assessment or service </w:t>
            </w:r>
            <w:r>
              <w:rPr>
                <w:rFonts w:eastAsia="Arial"/>
                <w:szCs w:val="18"/>
              </w:rPr>
              <w:t>where</w:t>
            </w:r>
            <w:r w:rsidRPr="00241863">
              <w:rPr>
                <w:rFonts w:eastAsia="Arial"/>
                <w:szCs w:val="18"/>
              </w:rPr>
              <w:t xml:space="preserve"> a service user</w:t>
            </w:r>
            <w:r w:rsidR="00E33EDB">
              <w:rPr>
                <w:rFonts w:eastAsia="Arial"/>
                <w:szCs w:val="18"/>
              </w:rPr>
              <w:t>’</w:t>
            </w:r>
            <w:r>
              <w:rPr>
                <w:rFonts w:eastAsia="Arial"/>
                <w:szCs w:val="18"/>
              </w:rPr>
              <w:t>s</w:t>
            </w:r>
            <w:r w:rsidRPr="00241863">
              <w:rPr>
                <w:rFonts w:eastAsia="Arial"/>
                <w:szCs w:val="18"/>
              </w:rPr>
              <w:t xml:space="preserve"> experience </w:t>
            </w:r>
            <w:r>
              <w:rPr>
                <w:rFonts w:eastAsia="Arial"/>
                <w:szCs w:val="18"/>
              </w:rPr>
              <w:t>provides information about its level of</w:t>
            </w:r>
            <w:r w:rsidRPr="00241863">
              <w:rPr>
                <w:rFonts w:eastAsia="Arial"/>
                <w:szCs w:val="18"/>
              </w:rPr>
              <w:t xml:space="preserve"> conformance to the required standards. A person selected for a tracer will likely </w:t>
            </w:r>
            <w:r w:rsidRPr="00975383">
              <w:rPr>
                <w:rFonts w:eastAsia="Arial"/>
                <w:szCs w:val="18"/>
              </w:rPr>
              <w:t xml:space="preserve">a typical screening participant or someone of an age who is most likely </w:t>
            </w:r>
            <w:r w:rsidRPr="00241863">
              <w:rPr>
                <w:rFonts w:eastAsia="Arial"/>
                <w:szCs w:val="18"/>
              </w:rPr>
              <w:t>to enable the best in-depth evaluation of the organisation</w:t>
            </w:r>
            <w:r w:rsidR="00E33EDB">
              <w:rPr>
                <w:rFonts w:eastAsia="Arial"/>
                <w:szCs w:val="18"/>
              </w:rPr>
              <w:t>’</w:t>
            </w:r>
            <w:r w:rsidRPr="00241863">
              <w:rPr>
                <w:rFonts w:eastAsia="Arial"/>
                <w:szCs w:val="18"/>
              </w:rPr>
              <w:t xml:space="preserve">s processes and practices such as the parent of a </w:t>
            </w:r>
            <w:proofErr w:type="spellStart"/>
            <w:r w:rsidRPr="00241863">
              <w:rPr>
                <w:rFonts w:eastAsia="Arial"/>
                <w:szCs w:val="18"/>
              </w:rPr>
              <w:t>newborn</w:t>
            </w:r>
            <w:proofErr w:type="spellEnd"/>
            <w:r w:rsidRPr="00241863">
              <w:rPr>
                <w:rFonts w:eastAsia="Arial"/>
                <w:szCs w:val="18"/>
              </w:rPr>
              <w:t>.</w:t>
            </w:r>
          </w:p>
        </w:tc>
      </w:tr>
      <w:tr w:rsidR="00B17E6C" w:rsidRPr="00241863" w14:paraId="7B780FE8" w14:textId="77777777" w:rsidTr="007F4D57">
        <w:trPr>
          <w:cantSplit/>
        </w:trPr>
        <w:tc>
          <w:tcPr>
            <w:tcW w:w="2325" w:type="dxa"/>
            <w:shd w:val="clear" w:color="auto" w:fill="auto"/>
          </w:tcPr>
          <w:p w14:paraId="7B780FE6" w14:textId="77777777" w:rsidR="00B17E6C" w:rsidRPr="00241863" w:rsidRDefault="00B17E6C" w:rsidP="007F4D57">
            <w:pPr>
              <w:pStyle w:val="TableText"/>
              <w:ind w:right="113"/>
              <w:rPr>
                <w:rFonts w:eastAsia="Arial"/>
                <w:szCs w:val="18"/>
              </w:rPr>
            </w:pPr>
            <w:r w:rsidRPr="00241863">
              <w:rPr>
                <w:rFonts w:eastAsia="Arial"/>
                <w:szCs w:val="18"/>
              </w:rPr>
              <w:t>Issue</w:t>
            </w:r>
          </w:p>
        </w:tc>
        <w:tc>
          <w:tcPr>
            <w:tcW w:w="5812" w:type="dxa"/>
            <w:shd w:val="clear" w:color="auto" w:fill="auto"/>
          </w:tcPr>
          <w:p w14:paraId="7B780FE7" w14:textId="77777777" w:rsidR="00B17E6C" w:rsidRPr="00241863" w:rsidRDefault="00B17E6C" w:rsidP="007F4D57">
            <w:pPr>
              <w:pStyle w:val="TableText"/>
              <w:rPr>
                <w:rFonts w:eastAsia="Arial"/>
                <w:szCs w:val="18"/>
              </w:rPr>
            </w:pPr>
            <w:r w:rsidRPr="00241863">
              <w:rPr>
                <w:rFonts w:eastAsia="Arial"/>
                <w:szCs w:val="18"/>
              </w:rPr>
              <w:t>A</w:t>
            </w:r>
            <w:r>
              <w:rPr>
                <w:rFonts w:eastAsia="Arial"/>
                <w:szCs w:val="18"/>
              </w:rPr>
              <w:t>n identifiable</w:t>
            </w:r>
            <w:r w:rsidRPr="00241863">
              <w:rPr>
                <w:rFonts w:eastAsia="Arial"/>
                <w:szCs w:val="18"/>
              </w:rPr>
              <w:t xml:space="preserve"> </w:t>
            </w:r>
            <w:r>
              <w:rPr>
                <w:rFonts w:eastAsia="Arial"/>
                <w:szCs w:val="18"/>
              </w:rPr>
              <w:t xml:space="preserve">variation </w:t>
            </w:r>
            <w:r w:rsidRPr="00241863">
              <w:rPr>
                <w:rFonts w:eastAsia="Arial"/>
                <w:szCs w:val="18"/>
              </w:rPr>
              <w:t xml:space="preserve">from </w:t>
            </w:r>
            <w:r>
              <w:rPr>
                <w:rFonts w:eastAsia="Arial"/>
                <w:szCs w:val="18"/>
              </w:rPr>
              <w:t>accepted conformance to a</w:t>
            </w:r>
            <w:r w:rsidRPr="00241863">
              <w:rPr>
                <w:rFonts w:eastAsia="Arial"/>
                <w:szCs w:val="18"/>
              </w:rPr>
              <w:t xml:space="preserve"> standard.</w:t>
            </w:r>
          </w:p>
        </w:tc>
      </w:tr>
      <w:tr w:rsidR="00B17E6C" w:rsidRPr="00241863" w14:paraId="7B780FEB" w14:textId="77777777" w:rsidTr="007F4D57">
        <w:trPr>
          <w:cantSplit/>
        </w:trPr>
        <w:tc>
          <w:tcPr>
            <w:tcW w:w="2325" w:type="dxa"/>
            <w:shd w:val="clear" w:color="auto" w:fill="auto"/>
          </w:tcPr>
          <w:p w14:paraId="7B780FE9" w14:textId="77777777" w:rsidR="00B17E6C" w:rsidRPr="00241863" w:rsidRDefault="00B17E6C" w:rsidP="007F4D57">
            <w:pPr>
              <w:pStyle w:val="TableText"/>
              <w:ind w:right="113"/>
              <w:rPr>
                <w:rFonts w:eastAsia="Arial"/>
                <w:szCs w:val="18"/>
              </w:rPr>
            </w:pPr>
            <w:r w:rsidRPr="00241863">
              <w:rPr>
                <w:rFonts w:eastAsia="Arial"/>
                <w:szCs w:val="18"/>
              </w:rPr>
              <w:t>Lead auditor</w:t>
            </w:r>
          </w:p>
        </w:tc>
        <w:tc>
          <w:tcPr>
            <w:tcW w:w="5812" w:type="dxa"/>
            <w:shd w:val="clear" w:color="auto" w:fill="auto"/>
          </w:tcPr>
          <w:p w14:paraId="7B780FEA" w14:textId="77777777" w:rsidR="00B17E6C" w:rsidRPr="00241863" w:rsidRDefault="00B17E6C" w:rsidP="007F4D57">
            <w:pPr>
              <w:pStyle w:val="TableText"/>
              <w:rPr>
                <w:rFonts w:eastAsia="Arial"/>
                <w:szCs w:val="18"/>
              </w:rPr>
            </w:pPr>
            <w:r w:rsidRPr="00241863">
              <w:rPr>
                <w:rFonts w:eastAsia="Arial"/>
                <w:szCs w:val="18"/>
              </w:rPr>
              <w:t xml:space="preserve">The person holding a qualification in auditing assigned to managing the audit team and audit process and responsible for authorising the final audit report before it is submitted to the NSU. The lead auditor holds a qualification in auditing that enables them to undertake the team leader role. Note that </w:t>
            </w:r>
            <w:r w:rsidR="00E33EDB">
              <w:rPr>
                <w:rFonts w:eastAsia="Arial"/>
                <w:szCs w:val="18"/>
              </w:rPr>
              <w:t>‘</w:t>
            </w:r>
            <w:r w:rsidRPr="00241863">
              <w:rPr>
                <w:rFonts w:eastAsia="Arial"/>
                <w:szCs w:val="18"/>
              </w:rPr>
              <w:t>team leader</w:t>
            </w:r>
            <w:r w:rsidR="00E33EDB">
              <w:rPr>
                <w:rFonts w:eastAsia="Arial"/>
                <w:szCs w:val="18"/>
              </w:rPr>
              <w:t>’</w:t>
            </w:r>
            <w:r w:rsidRPr="00241863">
              <w:rPr>
                <w:rFonts w:eastAsia="Arial"/>
                <w:szCs w:val="18"/>
              </w:rPr>
              <w:t xml:space="preserve"> is the equivalent term for </w:t>
            </w:r>
            <w:r w:rsidR="00E33EDB">
              <w:rPr>
                <w:rFonts w:eastAsia="Arial"/>
                <w:szCs w:val="18"/>
              </w:rPr>
              <w:t>‘</w:t>
            </w:r>
            <w:r w:rsidRPr="00241863">
              <w:rPr>
                <w:rFonts w:eastAsia="Arial"/>
                <w:szCs w:val="18"/>
              </w:rPr>
              <w:t>lead auditor</w:t>
            </w:r>
            <w:r w:rsidR="00E33EDB">
              <w:rPr>
                <w:rFonts w:eastAsia="Arial"/>
                <w:szCs w:val="18"/>
              </w:rPr>
              <w:t>’</w:t>
            </w:r>
            <w:r w:rsidRPr="00241863">
              <w:rPr>
                <w:rFonts w:eastAsia="Arial"/>
                <w:szCs w:val="18"/>
              </w:rPr>
              <w:t xml:space="preserve"> in AS/NZS ISO 19011.</w:t>
            </w:r>
          </w:p>
        </w:tc>
      </w:tr>
      <w:tr w:rsidR="00B17E6C" w:rsidRPr="00241863" w14:paraId="7B780FEE" w14:textId="77777777" w:rsidTr="007F4D57">
        <w:trPr>
          <w:cantSplit/>
        </w:trPr>
        <w:tc>
          <w:tcPr>
            <w:tcW w:w="2325" w:type="dxa"/>
            <w:shd w:val="clear" w:color="auto" w:fill="auto"/>
          </w:tcPr>
          <w:p w14:paraId="7B780FEC" w14:textId="77777777" w:rsidR="00B17E6C" w:rsidRPr="00241863" w:rsidRDefault="00B17E6C" w:rsidP="007F4D57">
            <w:pPr>
              <w:pStyle w:val="TableText"/>
              <w:ind w:right="113"/>
              <w:rPr>
                <w:rFonts w:eastAsia="Arial"/>
                <w:szCs w:val="18"/>
              </w:rPr>
            </w:pPr>
            <w:r w:rsidRPr="00241863">
              <w:rPr>
                <w:rFonts w:eastAsia="Arial"/>
                <w:szCs w:val="18"/>
              </w:rPr>
              <w:t>Ministry</w:t>
            </w:r>
          </w:p>
        </w:tc>
        <w:tc>
          <w:tcPr>
            <w:tcW w:w="5812" w:type="dxa"/>
            <w:shd w:val="clear" w:color="auto" w:fill="auto"/>
          </w:tcPr>
          <w:p w14:paraId="7B780FED" w14:textId="77777777" w:rsidR="00B17E6C" w:rsidRPr="00241863" w:rsidRDefault="00B17E6C" w:rsidP="007F4D57">
            <w:pPr>
              <w:pStyle w:val="TableText"/>
              <w:rPr>
                <w:rFonts w:eastAsia="Arial"/>
                <w:szCs w:val="18"/>
              </w:rPr>
            </w:pPr>
            <w:r w:rsidRPr="00241863">
              <w:rPr>
                <w:rFonts w:eastAsia="Arial"/>
                <w:szCs w:val="18"/>
              </w:rPr>
              <w:t>Ministry of Health.</w:t>
            </w:r>
          </w:p>
        </w:tc>
      </w:tr>
      <w:tr w:rsidR="00B17E6C" w:rsidRPr="00241863" w14:paraId="7B780FF1" w14:textId="77777777" w:rsidTr="007F4D57">
        <w:trPr>
          <w:cantSplit/>
        </w:trPr>
        <w:tc>
          <w:tcPr>
            <w:tcW w:w="2325" w:type="dxa"/>
            <w:shd w:val="clear" w:color="auto" w:fill="auto"/>
          </w:tcPr>
          <w:p w14:paraId="7B780FEF" w14:textId="77777777" w:rsidR="00B17E6C" w:rsidRPr="00241863" w:rsidRDefault="00B17E6C" w:rsidP="007F4D57">
            <w:pPr>
              <w:pStyle w:val="TableText"/>
              <w:ind w:right="113"/>
              <w:rPr>
                <w:rFonts w:eastAsia="Arial"/>
                <w:szCs w:val="18"/>
              </w:rPr>
            </w:pPr>
            <w:r w:rsidRPr="00241863">
              <w:rPr>
                <w:rFonts w:eastAsia="Arial"/>
                <w:szCs w:val="18"/>
              </w:rPr>
              <w:t>Multi-site</w:t>
            </w:r>
          </w:p>
        </w:tc>
        <w:tc>
          <w:tcPr>
            <w:tcW w:w="5812" w:type="dxa"/>
            <w:shd w:val="clear" w:color="auto" w:fill="auto"/>
          </w:tcPr>
          <w:p w14:paraId="7B780FF0" w14:textId="77777777" w:rsidR="00B17E6C" w:rsidRPr="00241863" w:rsidRDefault="00B17E6C" w:rsidP="007F4D57">
            <w:pPr>
              <w:pStyle w:val="TableText"/>
              <w:rPr>
                <w:rFonts w:eastAsia="Arial"/>
                <w:szCs w:val="18"/>
              </w:rPr>
            </w:pPr>
            <w:r>
              <w:rPr>
                <w:rFonts w:eastAsia="Arial"/>
                <w:szCs w:val="18"/>
              </w:rPr>
              <w:t>Where t</w:t>
            </w:r>
            <w:r w:rsidRPr="00241863">
              <w:rPr>
                <w:rFonts w:eastAsia="Arial"/>
                <w:szCs w:val="18"/>
              </w:rPr>
              <w:t xml:space="preserve">he structure of the screening provider includes a central location where screening service is planned, </w:t>
            </w:r>
            <w:proofErr w:type="gramStart"/>
            <w:r w:rsidRPr="00241863">
              <w:rPr>
                <w:rFonts w:eastAsia="Arial"/>
                <w:szCs w:val="18"/>
              </w:rPr>
              <w:t>controlled</w:t>
            </w:r>
            <w:proofErr w:type="gramEnd"/>
            <w:r w:rsidRPr="00241863">
              <w:rPr>
                <w:rFonts w:eastAsia="Arial"/>
                <w:szCs w:val="18"/>
              </w:rPr>
              <w:t xml:space="preserve"> or managed </w:t>
            </w:r>
            <w:r>
              <w:rPr>
                <w:rFonts w:eastAsia="Arial"/>
                <w:szCs w:val="18"/>
              </w:rPr>
              <w:t xml:space="preserve">along </w:t>
            </w:r>
            <w:r w:rsidRPr="00241863">
              <w:rPr>
                <w:rFonts w:eastAsia="Arial"/>
                <w:szCs w:val="18"/>
              </w:rPr>
              <w:t>with a network of local offices, branches and services (sites)</w:t>
            </w:r>
            <w:r>
              <w:rPr>
                <w:rFonts w:eastAsia="Arial"/>
                <w:szCs w:val="18"/>
              </w:rPr>
              <w:t xml:space="preserve"> that carry out</w:t>
            </w:r>
            <w:r w:rsidRPr="00241863">
              <w:rPr>
                <w:rFonts w:eastAsia="Arial"/>
                <w:szCs w:val="18"/>
              </w:rPr>
              <w:t xml:space="preserve"> screening assessments. This may include mobile services.</w:t>
            </w:r>
          </w:p>
        </w:tc>
      </w:tr>
      <w:tr w:rsidR="00B17E6C" w:rsidRPr="00241863" w14:paraId="7B780FF5" w14:textId="77777777" w:rsidTr="007F4D57">
        <w:trPr>
          <w:cantSplit/>
        </w:trPr>
        <w:tc>
          <w:tcPr>
            <w:tcW w:w="2325" w:type="dxa"/>
            <w:shd w:val="clear" w:color="auto" w:fill="auto"/>
          </w:tcPr>
          <w:p w14:paraId="7B780FF2" w14:textId="77777777" w:rsidR="00B17E6C" w:rsidRPr="00241863" w:rsidRDefault="00B17E6C" w:rsidP="007F4D57">
            <w:pPr>
              <w:pStyle w:val="TableText"/>
              <w:ind w:right="113"/>
              <w:rPr>
                <w:rFonts w:eastAsia="Arial"/>
                <w:szCs w:val="18"/>
              </w:rPr>
            </w:pPr>
            <w:r w:rsidRPr="00241863">
              <w:rPr>
                <w:rFonts w:eastAsia="Arial"/>
                <w:szCs w:val="18"/>
              </w:rPr>
              <w:t>Multi-site audit</w:t>
            </w:r>
          </w:p>
        </w:tc>
        <w:tc>
          <w:tcPr>
            <w:tcW w:w="5812" w:type="dxa"/>
            <w:shd w:val="clear" w:color="auto" w:fill="auto"/>
          </w:tcPr>
          <w:p w14:paraId="7B780FF3" w14:textId="77777777" w:rsidR="00B17E6C" w:rsidRPr="00241863" w:rsidRDefault="00B17E6C" w:rsidP="007F4D57">
            <w:pPr>
              <w:pStyle w:val="TableText"/>
              <w:rPr>
                <w:rFonts w:eastAsia="Arial"/>
                <w:szCs w:val="18"/>
              </w:rPr>
            </w:pPr>
            <w:r w:rsidRPr="00241863">
              <w:rPr>
                <w:rFonts w:eastAsia="Arial"/>
                <w:szCs w:val="18"/>
              </w:rPr>
              <w:t>A process carried out under a written, pre-negotiated agreement between a multi-site provider of NSU screening services and NSU, which establishes that an agreed percentage or number of the provider</w:t>
            </w:r>
            <w:r w:rsidR="00E33EDB">
              <w:rPr>
                <w:rFonts w:eastAsia="Arial"/>
                <w:szCs w:val="18"/>
              </w:rPr>
              <w:t>’</w:t>
            </w:r>
            <w:r w:rsidRPr="00241863">
              <w:rPr>
                <w:rFonts w:eastAsia="Arial"/>
                <w:szCs w:val="18"/>
              </w:rPr>
              <w:t>s premises</w:t>
            </w:r>
            <w:r>
              <w:rPr>
                <w:rFonts w:eastAsia="Arial"/>
                <w:szCs w:val="18"/>
              </w:rPr>
              <w:t xml:space="preserve"> or </w:t>
            </w:r>
            <w:r w:rsidRPr="00241863">
              <w:rPr>
                <w:rFonts w:eastAsia="Arial"/>
                <w:szCs w:val="18"/>
              </w:rPr>
              <w:t>sites will be audited.</w:t>
            </w:r>
          </w:p>
          <w:p w14:paraId="7B780FF4" w14:textId="77777777" w:rsidR="00B17E6C" w:rsidRPr="00241863" w:rsidRDefault="00B17E6C" w:rsidP="007F4D57">
            <w:pPr>
              <w:pStyle w:val="TableText"/>
              <w:rPr>
                <w:rFonts w:eastAsia="Arial"/>
                <w:szCs w:val="18"/>
              </w:rPr>
            </w:pPr>
            <w:r w:rsidRPr="00241863">
              <w:rPr>
                <w:rFonts w:eastAsia="Arial"/>
                <w:szCs w:val="18"/>
              </w:rPr>
              <w:t xml:space="preserve">The methodology for determining the number of facilities to be audited is based on IAF MD 1:2007 where there is no requirement to submit a multi-site audit plan to the NSU </w:t>
            </w:r>
            <w:r>
              <w:rPr>
                <w:rFonts w:eastAsia="Arial"/>
                <w:szCs w:val="18"/>
              </w:rPr>
              <w:t>before</w:t>
            </w:r>
            <w:r w:rsidRPr="00241863">
              <w:rPr>
                <w:rFonts w:eastAsia="Arial"/>
                <w:szCs w:val="18"/>
              </w:rPr>
              <w:t xml:space="preserve"> the audit.</w:t>
            </w:r>
          </w:p>
        </w:tc>
      </w:tr>
      <w:tr w:rsidR="00B17E6C" w:rsidRPr="00241863" w14:paraId="7B780FF8" w14:textId="77777777" w:rsidTr="007F4D57">
        <w:trPr>
          <w:cantSplit/>
        </w:trPr>
        <w:tc>
          <w:tcPr>
            <w:tcW w:w="2325" w:type="dxa"/>
            <w:shd w:val="clear" w:color="auto" w:fill="auto"/>
          </w:tcPr>
          <w:p w14:paraId="7B780FF6" w14:textId="77777777" w:rsidR="00B17E6C" w:rsidRPr="00241863" w:rsidRDefault="00B17E6C" w:rsidP="007F4D57">
            <w:pPr>
              <w:pStyle w:val="TableText"/>
              <w:ind w:right="113"/>
              <w:rPr>
                <w:rFonts w:eastAsia="Arial"/>
                <w:szCs w:val="18"/>
              </w:rPr>
            </w:pPr>
            <w:r w:rsidRPr="00241863">
              <w:rPr>
                <w:rFonts w:eastAsia="Arial"/>
                <w:szCs w:val="18"/>
              </w:rPr>
              <w:t xml:space="preserve">National Screening Unit </w:t>
            </w:r>
            <w:r>
              <w:rPr>
                <w:rFonts w:eastAsia="Arial"/>
                <w:szCs w:val="18"/>
              </w:rPr>
              <w:t>(NSU)</w:t>
            </w:r>
          </w:p>
        </w:tc>
        <w:tc>
          <w:tcPr>
            <w:tcW w:w="5812" w:type="dxa"/>
            <w:shd w:val="clear" w:color="auto" w:fill="auto"/>
          </w:tcPr>
          <w:p w14:paraId="7B780FF7" w14:textId="77777777" w:rsidR="00B17E6C" w:rsidRPr="00241863" w:rsidRDefault="00B17E6C" w:rsidP="007F4D57">
            <w:pPr>
              <w:pStyle w:val="TableText"/>
              <w:rPr>
                <w:rFonts w:eastAsia="Arial"/>
                <w:szCs w:val="18"/>
              </w:rPr>
            </w:pPr>
            <w:r>
              <w:rPr>
                <w:rFonts w:eastAsia="Arial"/>
                <w:szCs w:val="18"/>
              </w:rPr>
              <w:t>The unit in</w:t>
            </w:r>
            <w:r w:rsidRPr="00241863">
              <w:rPr>
                <w:rFonts w:eastAsia="Arial"/>
                <w:szCs w:val="18"/>
              </w:rPr>
              <w:t xml:space="preserve"> the Ministry of Health</w:t>
            </w:r>
            <w:r w:rsidR="00E33EDB">
              <w:rPr>
                <w:rFonts w:eastAsia="Arial"/>
                <w:szCs w:val="18"/>
              </w:rPr>
              <w:t>’</w:t>
            </w:r>
            <w:r>
              <w:rPr>
                <w:rFonts w:eastAsia="Arial"/>
                <w:szCs w:val="18"/>
              </w:rPr>
              <w:t>s</w:t>
            </w:r>
            <w:r w:rsidRPr="00241863">
              <w:rPr>
                <w:rFonts w:eastAsia="Arial"/>
                <w:szCs w:val="18"/>
              </w:rPr>
              <w:t xml:space="preserve"> Population Health and Prevention directorate </w:t>
            </w:r>
            <w:r>
              <w:rPr>
                <w:rFonts w:eastAsia="Arial"/>
                <w:szCs w:val="18"/>
              </w:rPr>
              <w:t xml:space="preserve">that </w:t>
            </w:r>
            <w:r w:rsidRPr="00241863">
              <w:rPr>
                <w:rFonts w:eastAsia="Arial"/>
                <w:szCs w:val="18"/>
              </w:rPr>
              <w:t xml:space="preserve">is responsible for the safety, </w:t>
            </w:r>
            <w:proofErr w:type="gramStart"/>
            <w:r w:rsidRPr="00241863">
              <w:rPr>
                <w:rFonts w:eastAsia="Arial"/>
                <w:szCs w:val="18"/>
              </w:rPr>
              <w:t>effectiveness</w:t>
            </w:r>
            <w:proofErr w:type="gramEnd"/>
            <w:r w:rsidRPr="00241863">
              <w:rPr>
                <w:rFonts w:eastAsia="Arial"/>
                <w:szCs w:val="18"/>
              </w:rPr>
              <w:t xml:space="preserve"> and quality of organised screening programmes.</w:t>
            </w:r>
          </w:p>
        </w:tc>
      </w:tr>
      <w:tr w:rsidR="00B17E6C" w:rsidRPr="00241863" w14:paraId="7B780FFB" w14:textId="77777777" w:rsidTr="007F4D57">
        <w:trPr>
          <w:cantSplit/>
        </w:trPr>
        <w:tc>
          <w:tcPr>
            <w:tcW w:w="2325" w:type="dxa"/>
            <w:shd w:val="clear" w:color="auto" w:fill="auto"/>
          </w:tcPr>
          <w:p w14:paraId="7B780FF9" w14:textId="77777777" w:rsidR="00B17E6C" w:rsidRPr="00241863" w:rsidRDefault="00B17E6C" w:rsidP="007F4D57">
            <w:pPr>
              <w:pStyle w:val="TableText"/>
              <w:ind w:right="113"/>
              <w:rPr>
                <w:rFonts w:eastAsia="Arial"/>
                <w:szCs w:val="18"/>
              </w:rPr>
            </w:pPr>
            <w:r w:rsidRPr="00241863">
              <w:rPr>
                <w:rFonts w:eastAsia="Arial"/>
                <w:szCs w:val="18"/>
              </w:rPr>
              <w:t>NSU programme audit lead</w:t>
            </w:r>
          </w:p>
        </w:tc>
        <w:tc>
          <w:tcPr>
            <w:tcW w:w="5812" w:type="dxa"/>
            <w:shd w:val="clear" w:color="auto" w:fill="auto"/>
          </w:tcPr>
          <w:p w14:paraId="7B780FFA" w14:textId="77777777" w:rsidR="00B17E6C" w:rsidRPr="00241863" w:rsidRDefault="00B17E6C" w:rsidP="007F4D57">
            <w:pPr>
              <w:pStyle w:val="TableText"/>
              <w:rPr>
                <w:rFonts w:eastAsia="Arial"/>
                <w:szCs w:val="18"/>
              </w:rPr>
            </w:pPr>
            <w:r w:rsidRPr="00241863">
              <w:rPr>
                <w:rFonts w:eastAsia="Arial"/>
                <w:szCs w:val="18"/>
              </w:rPr>
              <w:t>The programme role</w:t>
            </w:r>
            <w:r>
              <w:rPr>
                <w:rFonts w:eastAsia="Arial"/>
                <w:szCs w:val="18"/>
              </w:rPr>
              <w:t xml:space="preserve"> or role</w:t>
            </w:r>
            <w:r w:rsidRPr="00241863">
              <w:rPr>
                <w:rFonts w:eastAsia="Arial"/>
                <w:szCs w:val="18"/>
              </w:rPr>
              <w:t>s assigned within NSU as audit lead and liaison including coordination of the programme audit between the DAA Group and the programme screening provider. The function may be assigned to any role within the NSU programme team so is not</w:t>
            </w:r>
            <w:r>
              <w:rPr>
                <w:rFonts w:eastAsia="Arial"/>
                <w:szCs w:val="18"/>
              </w:rPr>
              <w:t xml:space="preserve"> specific to a</w:t>
            </w:r>
            <w:r w:rsidRPr="00241863">
              <w:rPr>
                <w:rFonts w:eastAsia="Arial"/>
                <w:szCs w:val="18"/>
              </w:rPr>
              <w:t xml:space="preserve"> job title.</w:t>
            </w:r>
          </w:p>
        </w:tc>
      </w:tr>
      <w:tr w:rsidR="00B17E6C" w:rsidRPr="00241863" w14:paraId="7B780FFE" w14:textId="77777777" w:rsidTr="007F4D57">
        <w:trPr>
          <w:cantSplit/>
        </w:trPr>
        <w:tc>
          <w:tcPr>
            <w:tcW w:w="2325" w:type="dxa"/>
            <w:shd w:val="clear" w:color="auto" w:fill="auto"/>
          </w:tcPr>
          <w:p w14:paraId="7B780FFC" w14:textId="77777777" w:rsidR="00B17E6C" w:rsidRPr="00241863" w:rsidRDefault="00B17E6C" w:rsidP="007F4D57">
            <w:pPr>
              <w:pStyle w:val="TableText"/>
              <w:ind w:right="113"/>
              <w:rPr>
                <w:rFonts w:eastAsia="Arial"/>
                <w:szCs w:val="18"/>
              </w:rPr>
            </w:pPr>
            <w:r w:rsidRPr="00241863">
              <w:rPr>
                <w:rFonts w:eastAsia="Arial"/>
                <w:szCs w:val="18"/>
              </w:rPr>
              <w:t>Observed audits undertaken by NSU</w:t>
            </w:r>
            <w:r>
              <w:rPr>
                <w:rFonts w:eastAsia="Arial"/>
                <w:szCs w:val="18"/>
              </w:rPr>
              <w:t xml:space="preserve"> staff</w:t>
            </w:r>
          </w:p>
        </w:tc>
        <w:tc>
          <w:tcPr>
            <w:tcW w:w="5812" w:type="dxa"/>
            <w:shd w:val="clear" w:color="auto" w:fill="auto"/>
          </w:tcPr>
          <w:p w14:paraId="7B780FFD" w14:textId="77777777" w:rsidR="00B17E6C" w:rsidRPr="00241863" w:rsidRDefault="00B17E6C" w:rsidP="007F4D57">
            <w:pPr>
              <w:pStyle w:val="TableText"/>
              <w:rPr>
                <w:rFonts w:eastAsia="Arial"/>
                <w:szCs w:val="18"/>
              </w:rPr>
            </w:pPr>
            <w:r w:rsidRPr="00241863">
              <w:rPr>
                <w:rFonts w:eastAsia="Arial"/>
                <w:szCs w:val="18"/>
              </w:rPr>
              <w:t>Process in which an official from the NSU observes the DAA Group</w:t>
            </w:r>
            <w:r>
              <w:rPr>
                <w:rFonts w:eastAsia="Arial"/>
                <w:szCs w:val="18"/>
              </w:rPr>
              <w:t xml:space="preserve"> conducting</w:t>
            </w:r>
            <w:r w:rsidRPr="00241863">
              <w:rPr>
                <w:rFonts w:eastAsia="Arial"/>
                <w:szCs w:val="18"/>
              </w:rPr>
              <w:t xml:space="preserve"> an audit</w:t>
            </w:r>
            <w:r>
              <w:rPr>
                <w:rFonts w:eastAsia="Arial"/>
                <w:szCs w:val="18"/>
              </w:rPr>
              <w:t>,</w:t>
            </w:r>
            <w:r w:rsidRPr="00241863">
              <w:rPr>
                <w:rFonts w:eastAsia="Arial"/>
                <w:szCs w:val="18"/>
              </w:rPr>
              <w:t xml:space="preserve"> for the purpose of </w:t>
            </w:r>
            <w:r>
              <w:rPr>
                <w:rFonts w:eastAsia="Arial"/>
                <w:szCs w:val="18"/>
              </w:rPr>
              <w:t xml:space="preserve">becoming </w:t>
            </w:r>
            <w:r w:rsidRPr="00241863">
              <w:rPr>
                <w:rFonts w:eastAsia="Arial"/>
                <w:szCs w:val="18"/>
              </w:rPr>
              <w:t>familiar</w:t>
            </w:r>
            <w:r>
              <w:rPr>
                <w:rFonts w:eastAsia="Arial"/>
                <w:szCs w:val="18"/>
              </w:rPr>
              <w:t xml:space="preserve"> with</w:t>
            </w:r>
            <w:r w:rsidRPr="00241863">
              <w:rPr>
                <w:rFonts w:eastAsia="Arial"/>
                <w:szCs w:val="18"/>
              </w:rPr>
              <w:t xml:space="preserve"> the programme audit process.</w:t>
            </w:r>
            <w:r>
              <w:rPr>
                <w:rFonts w:eastAsia="Arial"/>
                <w:szCs w:val="18"/>
              </w:rPr>
              <w:t xml:space="preserve"> The presence of an observer must be agreed with DAA Group prior to the site visit.</w:t>
            </w:r>
          </w:p>
        </w:tc>
      </w:tr>
      <w:tr w:rsidR="00B17E6C" w:rsidRPr="00241863" w14:paraId="7B781001" w14:textId="77777777" w:rsidTr="007F4D57">
        <w:trPr>
          <w:cantSplit/>
        </w:trPr>
        <w:tc>
          <w:tcPr>
            <w:tcW w:w="2325" w:type="dxa"/>
            <w:shd w:val="clear" w:color="auto" w:fill="auto"/>
          </w:tcPr>
          <w:p w14:paraId="7B780FFF" w14:textId="77777777" w:rsidR="00B17E6C" w:rsidRPr="00241863" w:rsidRDefault="00B17E6C" w:rsidP="007F4D57">
            <w:pPr>
              <w:pStyle w:val="TableText"/>
              <w:ind w:right="113"/>
              <w:rPr>
                <w:rFonts w:eastAsia="Arial"/>
                <w:szCs w:val="18"/>
              </w:rPr>
            </w:pPr>
            <w:r w:rsidRPr="00241863">
              <w:rPr>
                <w:rFonts w:eastAsia="Arial"/>
                <w:szCs w:val="18"/>
              </w:rPr>
              <w:t>Peer reviewer</w:t>
            </w:r>
          </w:p>
        </w:tc>
        <w:tc>
          <w:tcPr>
            <w:tcW w:w="5812" w:type="dxa"/>
            <w:shd w:val="clear" w:color="auto" w:fill="auto"/>
          </w:tcPr>
          <w:p w14:paraId="7B781000" w14:textId="77777777" w:rsidR="00B17E6C" w:rsidRPr="00241863" w:rsidRDefault="00B17E6C" w:rsidP="007F4D57">
            <w:pPr>
              <w:pStyle w:val="TableText"/>
              <w:rPr>
                <w:rFonts w:eastAsia="Arial"/>
                <w:szCs w:val="18"/>
              </w:rPr>
            </w:pPr>
            <w:r w:rsidRPr="00241863">
              <w:rPr>
                <w:rFonts w:eastAsia="Arial"/>
                <w:szCs w:val="18"/>
              </w:rPr>
              <w:t>A lead auditor qualified in quality management, acting as an independent expert who is not a member of the audit team and whose function is to critically review the audit report to ensure that audit activities conducted were technically adequate</w:t>
            </w:r>
            <w:r>
              <w:rPr>
                <w:rFonts w:eastAsia="Arial"/>
                <w:szCs w:val="18"/>
              </w:rPr>
              <w:t xml:space="preserve"> and</w:t>
            </w:r>
            <w:r w:rsidRPr="00241863">
              <w:rPr>
                <w:rFonts w:eastAsia="Arial"/>
                <w:szCs w:val="18"/>
              </w:rPr>
              <w:t xml:space="preserve"> properly documented and satisfy established quality requirements.</w:t>
            </w:r>
          </w:p>
        </w:tc>
      </w:tr>
      <w:tr w:rsidR="00B17E6C" w:rsidRPr="00241863" w14:paraId="7B781004" w14:textId="77777777" w:rsidTr="007F4D57">
        <w:trPr>
          <w:cantSplit/>
        </w:trPr>
        <w:tc>
          <w:tcPr>
            <w:tcW w:w="2325" w:type="dxa"/>
            <w:shd w:val="clear" w:color="auto" w:fill="auto"/>
          </w:tcPr>
          <w:p w14:paraId="7B781002" w14:textId="77777777" w:rsidR="00B17E6C" w:rsidRPr="00241863" w:rsidRDefault="00B17E6C" w:rsidP="004274A5">
            <w:pPr>
              <w:pStyle w:val="TableText"/>
              <w:keepNext/>
              <w:ind w:right="113"/>
              <w:rPr>
                <w:rFonts w:eastAsia="Arial"/>
                <w:szCs w:val="18"/>
              </w:rPr>
            </w:pPr>
            <w:r w:rsidRPr="00241863">
              <w:rPr>
                <w:rFonts w:eastAsia="Arial"/>
                <w:szCs w:val="18"/>
              </w:rPr>
              <w:lastRenderedPageBreak/>
              <w:t>Problem</w:t>
            </w:r>
          </w:p>
        </w:tc>
        <w:tc>
          <w:tcPr>
            <w:tcW w:w="5812" w:type="dxa"/>
            <w:shd w:val="clear" w:color="auto" w:fill="auto"/>
          </w:tcPr>
          <w:p w14:paraId="7B781003" w14:textId="77777777" w:rsidR="00B17E6C" w:rsidRPr="00241863" w:rsidRDefault="00B17E6C" w:rsidP="004274A5">
            <w:pPr>
              <w:pStyle w:val="TableText"/>
              <w:keepNext/>
              <w:rPr>
                <w:rFonts w:eastAsia="Arial"/>
                <w:szCs w:val="18"/>
              </w:rPr>
            </w:pPr>
            <w:r w:rsidRPr="00241863">
              <w:rPr>
                <w:rFonts w:eastAsia="Arial"/>
                <w:szCs w:val="18"/>
              </w:rPr>
              <w:t xml:space="preserve">An unacceptable </w:t>
            </w:r>
            <w:r>
              <w:rPr>
                <w:rFonts w:eastAsia="Arial"/>
                <w:szCs w:val="18"/>
              </w:rPr>
              <w:t xml:space="preserve">deviation </w:t>
            </w:r>
            <w:r w:rsidRPr="008C11FF">
              <w:rPr>
                <w:rFonts w:eastAsia="Arial"/>
                <w:szCs w:val="18"/>
              </w:rPr>
              <w:t>from accepted conformance to a standard</w:t>
            </w:r>
            <w:r w:rsidRPr="00241863">
              <w:rPr>
                <w:rFonts w:eastAsia="Arial"/>
                <w:szCs w:val="18"/>
              </w:rPr>
              <w:t>.</w:t>
            </w:r>
          </w:p>
        </w:tc>
      </w:tr>
      <w:tr w:rsidR="00B17E6C" w:rsidRPr="00241863" w14:paraId="7B781007" w14:textId="77777777" w:rsidTr="007F4D57">
        <w:trPr>
          <w:cantSplit/>
        </w:trPr>
        <w:tc>
          <w:tcPr>
            <w:tcW w:w="2325" w:type="dxa"/>
            <w:shd w:val="clear" w:color="auto" w:fill="auto"/>
          </w:tcPr>
          <w:p w14:paraId="7B781005" w14:textId="77777777" w:rsidR="00B17E6C" w:rsidRPr="00241863" w:rsidRDefault="00B17E6C" w:rsidP="004274A5">
            <w:pPr>
              <w:pStyle w:val="TableText"/>
              <w:keepNext/>
              <w:ind w:right="113"/>
              <w:rPr>
                <w:rFonts w:eastAsia="Arial"/>
                <w:szCs w:val="18"/>
              </w:rPr>
            </w:pPr>
            <w:r w:rsidRPr="00241863">
              <w:rPr>
                <w:rFonts w:eastAsia="Arial"/>
                <w:szCs w:val="18"/>
              </w:rPr>
              <w:t>Programme</w:t>
            </w:r>
          </w:p>
        </w:tc>
        <w:tc>
          <w:tcPr>
            <w:tcW w:w="5812" w:type="dxa"/>
            <w:shd w:val="clear" w:color="auto" w:fill="auto"/>
          </w:tcPr>
          <w:p w14:paraId="7B781006" w14:textId="77777777" w:rsidR="00B17E6C" w:rsidRPr="00241863" w:rsidRDefault="00B17E6C" w:rsidP="004274A5">
            <w:pPr>
              <w:pStyle w:val="TableText"/>
              <w:keepNext/>
              <w:rPr>
                <w:rFonts w:eastAsia="Arial"/>
                <w:szCs w:val="18"/>
              </w:rPr>
            </w:pPr>
            <w:r>
              <w:rPr>
                <w:rFonts w:eastAsia="Arial"/>
                <w:szCs w:val="18"/>
              </w:rPr>
              <w:t>One</w:t>
            </w:r>
            <w:r w:rsidRPr="00241863">
              <w:rPr>
                <w:rFonts w:eastAsia="Arial"/>
                <w:szCs w:val="18"/>
              </w:rPr>
              <w:t xml:space="preserve"> of the screening services offered to the New Zealand public.</w:t>
            </w:r>
          </w:p>
        </w:tc>
      </w:tr>
      <w:tr w:rsidR="00B17E6C" w:rsidRPr="00241863" w14:paraId="7B78100A" w14:textId="77777777" w:rsidTr="007F4D57">
        <w:trPr>
          <w:cantSplit/>
        </w:trPr>
        <w:tc>
          <w:tcPr>
            <w:tcW w:w="2325" w:type="dxa"/>
            <w:shd w:val="clear" w:color="auto" w:fill="auto"/>
          </w:tcPr>
          <w:p w14:paraId="7B781008" w14:textId="77777777" w:rsidR="00B17E6C" w:rsidRPr="00241863" w:rsidRDefault="00B17E6C" w:rsidP="007F4D57">
            <w:pPr>
              <w:pStyle w:val="TableText"/>
              <w:ind w:right="113"/>
              <w:rPr>
                <w:rFonts w:eastAsia="Arial" w:cs="Segoe UI"/>
                <w:szCs w:val="18"/>
              </w:rPr>
            </w:pPr>
            <w:r w:rsidRPr="00241863">
              <w:rPr>
                <w:rFonts w:cs="Segoe UI"/>
                <w:szCs w:val="18"/>
              </w:rPr>
              <w:t>Quality indicators</w:t>
            </w:r>
          </w:p>
        </w:tc>
        <w:tc>
          <w:tcPr>
            <w:tcW w:w="5812" w:type="dxa"/>
            <w:shd w:val="clear" w:color="auto" w:fill="auto"/>
          </w:tcPr>
          <w:p w14:paraId="7B781009" w14:textId="77777777" w:rsidR="00B17E6C" w:rsidRPr="00241863" w:rsidRDefault="00B17E6C" w:rsidP="007F4D57">
            <w:pPr>
              <w:pStyle w:val="TableText"/>
              <w:rPr>
                <w:rFonts w:eastAsia="Arial" w:cs="Segoe UI"/>
                <w:szCs w:val="18"/>
              </w:rPr>
            </w:pPr>
            <w:r>
              <w:rPr>
                <w:rFonts w:cs="Segoe UI"/>
                <w:szCs w:val="18"/>
              </w:rPr>
              <w:t>M</w:t>
            </w:r>
            <w:r w:rsidRPr="00241863">
              <w:rPr>
                <w:rFonts w:cs="Segoe UI"/>
                <w:szCs w:val="18"/>
              </w:rPr>
              <w:t>easurable elements of service provision. Quality indicators relate to the desired outcome or pe</w:t>
            </w:r>
            <w:r w:rsidR="004274A5">
              <w:rPr>
                <w:rFonts w:cs="Segoe UI"/>
                <w:szCs w:val="18"/>
              </w:rPr>
              <w:t>rformance of staff or services.</w:t>
            </w:r>
          </w:p>
        </w:tc>
      </w:tr>
      <w:tr w:rsidR="00B17E6C" w:rsidRPr="00241863" w14:paraId="7B78100D" w14:textId="77777777" w:rsidTr="007F4D57">
        <w:trPr>
          <w:cantSplit/>
        </w:trPr>
        <w:tc>
          <w:tcPr>
            <w:tcW w:w="2325" w:type="dxa"/>
            <w:shd w:val="clear" w:color="auto" w:fill="auto"/>
          </w:tcPr>
          <w:p w14:paraId="7B78100B" w14:textId="77777777" w:rsidR="00B17E6C" w:rsidRPr="00241863" w:rsidRDefault="00B17E6C" w:rsidP="007F4D57">
            <w:pPr>
              <w:pStyle w:val="TableText"/>
              <w:ind w:right="113"/>
              <w:rPr>
                <w:rFonts w:eastAsia="Arial"/>
                <w:szCs w:val="18"/>
              </w:rPr>
            </w:pPr>
            <w:r w:rsidRPr="00241863">
              <w:rPr>
                <w:rFonts w:eastAsia="Arial"/>
                <w:szCs w:val="18"/>
              </w:rPr>
              <w:t>Readiness audit</w:t>
            </w:r>
          </w:p>
        </w:tc>
        <w:tc>
          <w:tcPr>
            <w:tcW w:w="5812" w:type="dxa"/>
            <w:shd w:val="clear" w:color="auto" w:fill="auto"/>
          </w:tcPr>
          <w:p w14:paraId="7B78100C" w14:textId="77777777" w:rsidR="00B17E6C" w:rsidRPr="00241863" w:rsidRDefault="00B17E6C" w:rsidP="007F4D57">
            <w:pPr>
              <w:pStyle w:val="TableText"/>
              <w:rPr>
                <w:rFonts w:eastAsia="Arial"/>
                <w:szCs w:val="18"/>
              </w:rPr>
            </w:pPr>
            <w:r w:rsidRPr="00241863">
              <w:rPr>
                <w:rFonts w:eastAsia="Arial"/>
                <w:szCs w:val="18"/>
              </w:rPr>
              <w:t xml:space="preserve">An audit undertaken </w:t>
            </w:r>
            <w:r>
              <w:rPr>
                <w:rFonts w:eastAsia="Arial"/>
                <w:szCs w:val="18"/>
              </w:rPr>
              <w:t>before NSU verifies</w:t>
            </w:r>
            <w:r w:rsidRPr="00241863">
              <w:rPr>
                <w:rFonts w:eastAsia="Arial"/>
                <w:szCs w:val="18"/>
              </w:rPr>
              <w:t xml:space="preserve"> a new screening service provider to provide the service.</w:t>
            </w:r>
          </w:p>
        </w:tc>
      </w:tr>
      <w:tr w:rsidR="00B17E6C" w:rsidRPr="00241863" w14:paraId="7B781010" w14:textId="77777777" w:rsidTr="007F4D57">
        <w:trPr>
          <w:cantSplit/>
        </w:trPr>
        <w:tc>
          <w:tcPr>
            <w:tcW w:w="2325" w:type="dxa"/>
            <w:shd w:val="clear" w:color="auto" w:fill="auto"/>
          </w:tcPr>
          <w:p w14:paraId="7B78100E" w14:textId="77777777" w:rsidR="00B17E6C" w:rsidRPr="00241863" w:rsidRDefault="00B17E6C" w:rsidP="007F4D57">
            <w:pPr>
              <w:pStyle w:val="TableText"/>
              <w:ind w:right="113"/>
              <w:rPr>
                <w:rFonts w:eastAsia="Arial"/>
                <w:szCs w:val="18"/>
              </w:rPr>
            </w:pPr>
            <w:r>
              <w:rPr>
                <w:rFonts w:eastAsia="Arial"/>
                <w:szCs w:val="18"/>
              </w:rPr>
              <w:t>Recommendation</w:t>
            </w:r>
          </w:p>
        </w:tc>
        <w:tc>
          <w:tcPr>
            <w:tcW w:w="5812" w:type="dxa"/>
            <w:shd w:val="clear" w:color="auto" w:fill="auto"/>
          </w:tcPr>
          <w:p w14:paraId="7B78100F" w14:textId="77777777" w:rsidR="00B17E6C" w:rsidRPr="00241863" w:rsidRDefault="00B17E6C" w:rsidP="007F4D57">
            <w:pPr>
              <w:pStyle w:val="TableText"/>
              <w:rPr>
                <w:rFonts w:eastAsia="Arial"/>
                <w:szCs w:val="18"/>
              </w:rPr>
            </w:pPr>
            <w:r w:rsidRPr="005E3583">
              <w:rPr>
                <w:rFonts w:eastAsia="Arial"/>
                <w:szCs w:val="18"/>
              </w:rPr>
              <w:t>The standard is being achieved. A recommendation is where the audit process has identified an opportunity to improve.</w:t>
            </w:r>
          </w:p>
        </w:tc>
      </w:tr>
      <w:tr w:rsidR="00B17E6C" w:rsidRPr="00241863" w14:paraId="7B781013" w14:textId="77777777" w:rsidTr="007F4D57">
        <w:trPr>
          <w:cantSplit/>
        </w:trPr>
        <w:tc>
          <w:tcPr>
            <w:tcW w:w="2325" w:type="dxa"/>
            <w:shd w:val="clear" w:color="auto" w:fill="auto"/>
          </w:tcPr>
          <w:p w14:paraId="7B781011" w14:textId="77777777" w:rsidR="00B17E6C" w:rsidRPr="00241863" w:rsidRDefault="00B17E6C" w:rsidP="007F4D57">
            <w:pPr>
              <w:pStyle w:val="TableText"/>
              <w:ind w:right="113"/>
              <w:rPr>
                <w:rFonts w:eastAsia="Arial"/>
                <w:szCs w:val="18"/>
              </w:rPr>
            </w:pPr>
            <w:r w:rsidRPr="00241863">
              <w:rPr>
                <w:rFonts w:eastAsia="Arial"/>
                <w:szCs w:val="18"/>
              </w:rPr>
              <w:t>Sampling</w:t>
            </w:r>
          </w:p>
        </w:tc>
        <w:tc>
          <w:tcPr>
            <w:tcW w:w="5812" w:type="dxa"/>
            <w:shd w:val="clear" w:color="auto" w:fill="auto"/>
          </w:tcPr>
          <w:p w14:paraId="7B781012" w14:textId="77777777" w:rsidR="00B17E6C" w:rsidRPr="00241863" w:rsidRDefault="00B17E6C" w:rsidP="007F4D57">
            <w:pPr>
              <w:pStyle w:val="TableText"/>
              <w:rPr>
                <w:rFonts w:eastAsia="Arial"/>
                <w:szCs w:val="18"/>
              </w:rPr>
            </w:pPr>
            <w:r w:rsidRPr="00241863">
              <w:rPr>
                <w:rFonts w:eastAsia="Arial"/>
                <w:szCs w:val="18"/>
              </w:rPr>
              <w:t>An agreed number of interviews and file reviews based on the type of screening programme and number of staff and</w:t>
            </w:r>
            <w:r>
              <w:rPr>
                <w:rFonts w:eastAsia="Arial"/>
                <w:szCs w:val="18"/>
              </w:rPr>
              <w:t xml:space="preserve"> consumers</w:t>
            </w:r>
            <w:r w:rsidRPr="00241863">
              <w:rPr>
                <w:rFonts w:eastAsia="Arial"/>
                <w:szCs w:val="18"/>
              </w:rPr>
              <w:t xml:space="preserve"> using the screening pathway.</w:t>
            </w:r>
          </w:p>
        </w:tc>
      </w:tr>
      <w:tr w:rsidR="00B17E6C" w:rsidRPr="00241863" w14:paraId="7B781016" w14:textId="77777777" w:rsidTr="007F4D57">
        <w:trPr>
          <w:cantSplit/>
        </w:trPr>
        <w:tc>
          <w:tcPr>
            <w:tcW w:w="2325" w:type="dxa"/>
            <w:shd w:val="clear" w:color="auto" w:fill="auto"/>
          </w:tcPr>
          <w:p w14:paraId="7B781014" w14:textId="77777777" w:rsidR="00B17E6C" w:rsidRPr="00241863" w:rsidRDefault="00B17E6C" w:rsidP="004274A5">
            <w:pPr>
              <w:pStyle w:val="TableText"/>
              <w:ind w:right="113"/>
              <w:rPr>
                <w:rFonts w:eastAsia="Arial"/>
                <w:szCs w:val="18"/>
              </w:rPr>
            </w:pPr>
            <w:r w:rsidRPr="00241863">
              <w:rPr>
                <w:rFonts w:eastAsia="Arial"/>
                <w:szCs w:val="18"/>
              </w:rPr>
              <w:t>Scope</w:t>
            </w:r>
          </w:p>
        </w:tc>
        <w:tc>
          <w:tcPr>
            <w:tcW w:w="5812" w:type="dxa"/>
            <w:shd w:val="clear" w:color="auto" w:fill="auto"/>
          </w:tcPr>
          <w:p w14:paraId="7B781015" w14:textId="77777777" w:rsidR="00B17E6C" w:rsidRPr="00241863" w:rsidRDefault="00B17E6C" w:rsidP="007F4D57">
            <w:pPr>
              <w:pStyle w:val="TableText"/>
              <w:rPr>
                <w:rFonts w:eastAsia="Arial"/>
                <w:szCs w:val="18"/>
              </w:rPr>
            </w:pPr>
            <w:r>
              <w:rPr>
                <w:rFonts w:eastAsia="Arial"/>
                <w:szCs w:val="18"/>
              </w:rPr>
              <w:t>A document that describes</w:t>
            </w:r>
            <w:r w:rsidRPr="00241863">
              <w:rPr>
                <w:rFonts w:eastAsia="Arial"/>
                <w:szCs w:val="18"/>
              </w:rPr>
              <w:t xml:space="preserve"> the</w:t>
            </w:r>
            <w:r>
              <w:rPr>
                <w:rFonts w:eastAsia="Arial"/>
                <w:szCs w:val="18"/>
              </w:rPr>
              <w:t xml:space="preserve"> selected</w:t>
            </w:r>
            <w:r w:rsidRPr="00241863">
              <w:rPr>
                <w:rFonts w:eastAsia="Arial"/>
                <w:szCs w:val="18"/>
              </w:rPr>
              <w:t xml:space="preserve"> screening provider</w:t>
            </w:r>
            <w:r w:rsidR="00E33EDB">
              <w:rPr>
                <w:rFonts w:eastAsia="Arial"/>
                <w:szCs w:val="18"/>
              </w:rPr>
              <w:t>’</w:t>
            </w:r>
            <w:r w:rsidRPr="00241863">
              <w:rPr>
                <w:rFonts w:eastAsia="Arial"/>
                <w:szCs w:val="18"/>
              </w:rPr>
              <w:t xml:space="preserve">s services, sites and size of each service </w:t>
            </w:r>
            <w:r>
              <w:rPr>
                <w:rFonts w:eastAsia="Arial"/>
                <w:szCs w:val="18"/>
              </w:rPr>
              <w:t>or</w:t>
            </w:r>
            <w:r w:rsidRPr="00241863">
              <w:rPr>
                <w:rFonts w:eastAsia="Arial"/>
                <w:szCs w:val="18"/>
              </w:rPr>
              <w:t xml:space="preserve"> programme provided for NSU</w:t>
            </w:r>
            <w:r>
              <w:rPr>
                <w:rFonts w:eastAsia="Arial"/>
                <w:szCs w:val="18"/>
              </w:rPr>
              <w:t xml:space="preserve"> that will be the subject of the audit</w:t>
            </w:r>
            <w:r w:rsidRPr="00241863">
              <w:rPr>
                <w:rFonts w:eastAsia="Arial"/>
                <w:szCs w:val="18"/>
              </w:rPr>
              <w:t>.</w:t>
            </w:r>
          </w:p>
        </w:tc>
      </w:tr>
      <w:tr w:rsidR="00B17E6C" w:rsidRPr="00241863" w14:paraId="7B781019" w14:textId="77777777" w:rsidTr="007F4D57">
        <w:trPr>
          <w:cantSplit/>
        </w:trPr>
        <w:tc>
          <w:tcPr>
            <w:tcW w:w="2325" w:type="dxa"/>
            <w:shd w:val="clear" w:color="auto" w:fill="auto"/>
          </w:tcPr>
          <w:p w14:paraId="7B781017" w14:textId="77777777" w:rsidR="00B17E6C" w:rsidRPr="00241863" w:rsidRDefault="00B17E6C" w:rsidP="007F4D57">
            <w:pPr>
              <w:pStyle w:val="TableText"/>
              <w:ind w:right="113"/>
              <w:rPr>
                <w:rFonts w:eastAsia="Arial"/>
                <w:szCs w:val="18"/>
              </w:rPr>
            </w:pPr>
            <w:r w:rsidRPr="00241863">
              <w:rPr>
                <w:rFonts w:eastAsia="Arial"/>
                <w:szCs w:val="18"/>
              </w:rPr>
              <w:t xml:space="preserve">Screening </w:t>
            </w:r>
            <w:r w:rsidR="004274A5">
              <w:rPr>
                <w:rFonts w:eastAsia="Arial"/>
                <w:szCs w:val="18"/>
              </w:rPr>
              <w:t>journey</w:t>
            </w:r>
          </w:p>
        </w:tc>
        <w:tc>
          <w:tcPr>
            <w:tcW w:w="5812" w:type="dxa"/>
            <w:shd w:val="clear" w:color="auto" w:fill="auto"/>
          </w:tcPr>
          <w:p w14:paraId="7B781018" w14:textId="77777777" w:rsidR="00B17E6C" w:rsidRPr="00241863" w:rsidRDefault="00B17E6C" w:rsidP="007F4D57">
            <w:pPr>
              <w:pStyle w:val="TableText"/>
              <w:rPr>
                <w:rFonts w:eastAsia="Arial"/>
                <w:szCs w:val="18"/>
              </w:rPr>
            </w:pPr>
            <w:r w:rsidRPr="00241863">
              <w:rPr>
                <w:rFonts w:eastAsia="Arial"/>
                <w:szCs w:val="18"/>
              </w:rPr>
              <w:t xml:space="preserve">The journey an individual from the eligible population </w:t>
            </w:r>
            <w:r>
              <w:rPr>
                <w:rFonts w:eastAsia="Arial"/>
                <w:szCs w:val="18"/>
              </w:rPr>
              <w:t>experiences</w:t>
            </w:r>
            <w:r w:rsidRPr="00241863">
              <w:rPr>
                <w:rFonts w:eastAsia="Arial"/>
                <w:szCs w:val="18"/>
              </w:rPr>
              <w:t xml:space="preserve"> from </w:t>
            </w:r>
            <w:r>
              <w:rPr>
                <w:rFonts w:eastAsia="Arial"/>
                <w:szCs w:val="18"/>
              </w:rPr>
              <w:t xml:space="preserve">receiving </w:t>
            </w:r>
            <w:r w:rsidRPr="00241863">
              <w:rPr>
                <w:rFonts w:eastAsia="Arial"/>
                <w:szCs w:val="18"/>
              </w:rPr>
              <w:t>the</w:t>
            </w:r>
            <w:r>
              <w:rPr>
                <w:rFonts w:eastAsia="Arial"/>
                <w:szCs w:val="18"/>
              </w:rPr>
              <w:t xml:space="preserve"> screening</w:t>
            </w:r>
            <w:r w:rsidRPr="00241863">
              <w:rPr>
                <w:rFonts w:eastAsia="Arial"/>
                <w:szCs w:val="18"/>
              </w:rPr>
              <w:t xml:space="preserve"> invitation to</w:t>
            </w:r>
            <w:r>
              <w:rPr>
                <w:rFonts w:eastAsia="Arial"/>
                <w:szCs w:val="18"/>
              </w:rPr>
              <w:t xml:space="preserve"> reaching</w:t>
            </w:r>
            <w:r w:rsidRPr="00241863">
              <w:rPr>
                <w:rFonts w:eastAsia="Arial"/>
                <w:szCs w:val="18"/>
              </w:rPr>
              <w:t xml:space="preserve"> the end of the screening process.</w:t>
            </w:r>
          </w:p>
        </w:tc>
      </w:tr>
      <w:tr w:rsidR="00B17E6C" w:rsidRPr="00241863" w14:paraId="7B78101C" w14:textId="77777777" w:rsidTr="007F4D57">
        <w:trPr>
          <w:cantSplit/>
        </w:trPr>
        <w:tc>
          <w:tcPr>
            <w:tcW w:w="2325" w:type="dxa"/>
            <w:shd w:val="clear" w:color="auto" w:fill="auto"/>
          </w:tcPr>
          <w:p w14:paraId="7B78101A" w14:textId="77777777" w:rsidR="00B17E6C" w:rsidRPr="00241863" w:rsidRDefault="00B17E6C" w:rsidP="007F4D57">
            <w:pPr>
              <w:pStyle w:val="TableText"/>
              <w:ind w:right="113"/>
              <w:rPr>
                <w:rFonts w:eastAsia="Arial"/>
                <w:szCs w:val="18"/>
              </w:rPr>
            </w:pPr>
            <w:r w:rsidRPr="00241863">
              <w:rPr>
                <w:rFonts w:eastAsia="Arial"/>
                <w:szCs w:val="18"/>
              </w:rPr>
              <w:t>Screening pathway</w:t>
            </w:r>
          </w:p>
        </w:tc>
        <w:tc>
          <w:tcPr>
            <w:tcW w:w="5812" w:type="dxa"/>
            <w:shd w:val="clear" w:color="auto" w:fill="auto"/>
          </w:tcPr>
          <w:p w14:paraId="7B78101B" w14:textId="77777777" w:rsidR="00B17E6C" w:rsidRPr="00241863" w:rsidRDefault="00B17E6C" w:rsidP="007F4D57">
            <w:pPr>
              <w:pStyle w:val="TableText"/>
              <w:rPr>
                <w:rFonts w:eastAsia="Arial"/>
                <w:szCs w:val="18"/>
              </w:rPr>
            </w:pPr>
            <w:r w:rsidRPr="00241863">
              <w:rPr>
                <w:rFonts w:eastAsia="Arial"/>
                <w:szCs w:val="18"/>
              </w:rPr>
              <w:t>The clinical process steps to complete the screening assessment and action the outcome.</w:t>
            </w:r>
          </w:p>
        </w:tc>
      </w:tr>
      <w:tr w:rsidR="00B17E6C" w:rsidRPr="00241863" w14:paraId="7B78101F" w14:textId="77777777" w:rsidTr="007F4D57">
        <w:trPr>
          <w:cantSplit/>
        </w:trPr>
        <w:tc>
          <w:tcPr>
            <w:tcW w:w="2325" w:type="dxa"/>
            <w:shd w:val="clear" w:color="auto" w:fill="auto"/>
          </w:tcPr>
          <w:p w14:paraId="7B78101D" w14:textId="77777777" w:rsidR="00B17E6C" w:rsidRPr="00241863" w:rsidRDefault="00B17E6C" w:rsidP="007F4D57">
            <w:pPr>
              <w:pStyle w:val="TableText"/>
              <w:ind w:right="113"/>
              <w:rPr>
                <w:rFonts w:eastAsia="Arial"/>
                <w:szCs w:val="18"/>
              </w:rPr>
            </w:pPr>
            <w:r w:rsidRPr="00241863">
              <w:rPr>
                <w:rFonts w:eastAsia="Arial"/>
                <w:szCs w:val="18"/>
              </w:rPr>
              <w:t>Screening provider</w:t>
            </w:r>
          </w:p>
        </w:tc>
        <w:tc>
          <w:tcPr>
            <w:tcW w:w="5812" w:type="dxa"/>
            <w:shd w:val="clear" w:color="auto" w:fill="auto"/>
          </w:tcPr>
          <w:p w14:paraId="7B78101E" w14:textId="77777777" w:rsidR="00B17E6C" w:rsidRPr="00241863" w:rsidRDefault="00B17E6C" w:rsidP="007F4D57">
            <w:pPr>
              <w:pStyle w:val="TableText"/>
              <w:rPr>
                <w:rFonts w:eastAsia="Arial"/>
                <w:szCs w:val="18"/>
              </w:rPr>
            </w:pPr>
            <w:r w:rsidRPr="00241863">
              <w:rPr>
                <w:rFonts w:eastAsia="Arial"/>
                <w:szCs w:val="18"/>
              </w:rPr>
              <w:t xml:space="preserve">An organisation that operates a screening programme or provides services </w:t>
            </w:r>
            <w:r>
              <w:rPr>
                <w:rFonts w:eastAsia="Arial"/>
                <w:szCs w:val="18"/>
              </w:rPr>
              <w:t>that</w:t>
            </w:r>
            <w:r w:rsidRPr="00241863">
              <w:rPr>
                <w:rFonts w:eastAsia="Arial"/>
                <w:szCs w:val="18"/>
              </w:rPr>
              <w:t xml:space="preserve"> are i</w:t>
            </w:r>
            <w:r w:rsidR="004274A5">
              <w:rPr>
                <w:rFonts w:eastAsia="Arial"/>
                <w:szCs w:val="18"/>
              </w:rPr>
              <w:t>nvolved in a screening pathway.</w:t>
            </w:r>
          </w:p>
        </w:tc>
      </w:tr>
      <w:tr w:rsidR="00B17E6C" w:rsidRPr="00241863" w14:paraId="7B781022" w14:textId="77777777" w:rsidTr="007F4D57">
        <w:trPr>
          <w:cantSplit/>
        </w:trPr>
        <w:tc>
          <w:tcPr>
            <w:tcW w:w="2325" w:type="dxa"/>
            <w:shd w:val="clear" w:color="auto" w:fill="auto"/>
          </w:tcPr>
          <w:p w14:paraId="7B781020" w14:textId="77777777" w:rsidR="00B17E6C" w:rsidRPr="00241863" w:rsidRDefault="00B17E6C" w:rsidP="007F4D57">
            <w:pPr>
              <w:pStyle w:val="TableText"/>
              <w:ind w:right="113"/>
              <w:rPr>
                <w:rFonts w:eastAsia="Arial"/>
                <w:szCs w:val="18"/>
              </w:rPr>
            </w:pPr>
            <w:r w:rsidRPr="00241863">
              <w:rPr>
                <w:rFonts w:eastAsia="Arial"/>
                <w:szCs w:val="18"/>
              </w:rPr>
              <w:t>Site visit</w:t>
            </w:r>
          </w:p>
        </w:tc>
        <w:tc>
          <w:tcPr>
            <w:tcW w:w="5812" w:type="dxa"/>
            <w:shd w:val="clear" w:color="auto" w:fill="auto"/>
          </w:tcPr>
          <w:p w14:paraId="7B781021" w14:textId="77777777" w:rsidR="00B17E6C" w:rsidRPr="00241863" w:rsidRDefault="00B17E6C" w:rsidP="007F4D57">
            <w:pPr>
              <w:pStyle w:val="TableText"/>
              <w:rPr>
                <w:rFonts w:eastAsia="Arial"/>
                <w:szCs w:val="18"/>
              </w:rPr>
            </w:pPr>
            <w:r w:rsidRPr="00241863">
              <w:rPr>
                <w:rFonts w:eastAsia="Arial"/>
                <w:szCs w:val="18"/>
              </w:rPr>
              <w:t xml:space="preserve">A visit by an auditor to a screening provider site to audit applicable standards or parts of standards. This includes verifying </w:t>
            </w:r>
            <w:r>
              <w:rPr>
                <w:rFonts w:eastAsia="Arial"/>
                <w:szCs w:val="18"/>
              </w:rPr>
              <w:t>that</w:t>
            </w:r>
            <w:r w:rsidRPr="00241863">
              <w:rPr>
                <w:rFonts w:eastAsia="Arial"/>
                <w:szCs w:val="18"/>
              </w:rPr>
              <w:t xml:space="preserve"> each site </w:t>
            </w:r>
            <w:r>
              <w:rPr>
                <w:rFonts w:eastAsia="Arial"/>
                <w:szCs w:val="18"/>
              </w:rPr>
              <w:t>has</w:t>
            </w:r>
            <w:r w:rsidRPr="00241863">
              <w:rPr>
                <w:rFonts w:eastAsia="Arial"/>
                <w:szCs w:val="18"/>
              </w:rPr>
              <w:t xml:space="preserve"> implement</w:t>
            </w:r>
            <w:r>
              <w:rPr>
                <w:rFonts w:eastAsia="Arial"/>
                <w:szCs w:val="18"/>
              </w:rPr>
              <w:t>ed</w:t>
            </w:r>
            <w:r w:rsidRPr="00241863">
              <w:rPr>
                <w:rFonts w:eastAsia="Arial"/>
                <w:szCs w:val="18"/>
              </w:rPr>
              <w:t xml:space="preserve"> generic po</w:t>
            </w:r>
            <w:r w:rsidR="004274A5">
              <w:rPr>
                <w:rFonts w:eastAsia="Arial"/>
                <w:szCs w:val="18"/>
              </w:rPr>
              <w:t xml:space="preserve">licies, </w:t>
            </w:r>
            <w:proofErr w:type="gramStart"/>
            <w:r w:rsidR="004274A5">
              <w:rPr>
                <w:rFonts w:eastAsia="Arial"/>
                <w:szCs w:val="18"/>
              </w:rPr>
              <w:t>procedures</w:t>
            </w:r>
            <w:proofErr w:type="gramEnd"/>
            <w:r w:rsidR="004274A5">
              <w:rPr>
                <w:rFonts w:eastAsia="Arial"/>
                <w:szCs w:val="18"/>
              </w:rPr>
              <w:t xml:space="preserve"> and systems.</w:t>
            </w:r>
          </w:p>
        </w:tc>
      </w:tr>
      <w:tr w:rsidR="00B17E6C" w:rsidRPr="00241863" w14:paraId="7B781025" w14:textId="77777777" w:rsidTr="007F4D57">
        <w:trPr>
          <w:cantSplit/>
        </w:trPr>
        <w:tc>
          <w:tcPr>
            <w:tcW w:w="2325" w:type="dxa"/>
            <w:shd w:val="clear" w:color="auto" w:fill="auto"/>
          </w:tcPr>
          <w:p w14:paraId="7B781023" w14:textId="77777777" w:rsidR="00B17E6C" w:rsidRPr="00241863" w:rsidRDefault="00B17E6C" w:rsidP="007F4D57">
            <w:pPr>
              <w:pStyle w:val="TableText"/>
              <w:ind w:right="113"/>
              <w:rPr>
                <w:rFonts w:eastAsia="Arial"/>
                <w:szCs w:val="18"/>
                <w:highlight w:val="magenta"/>
              </w:rPr>
            </w:pPr>
            <w:r w:rsidRPr="00241863">
              <w:rPr>
                <w:rFonts w:eastAsia="Arial"/>
                <w:szCs w:val="18"/>
              </w:rPr>
              <w:t>Standard</w:t>
            </w:r>
          </w:p>
        </w:tc>
        <w:tc>
          <w:tcPr>
            <w:tcW w:w="5812" w:type="dxa"/>
            <w:shd w:val="clear" w:color="auto" w:fill="auto"/>
          </w:tcPr>
          <w:p w14:paraId="7B781024" w14:textId="77777777" w:rsidR="00B17E6C" w:rsidRPr="00241863" w:rsidRDefault="00B17E6C" w:rsidP="007F4D57">
            <w:pPr>
              <w:pStyle w:val="TableText"/>
              <w:rPr>
                <w:rFonts w:eastAsia="Arial"/>
                <w:szCs w:val="18"/>
                <w:highlight w:val="magenta"/>
              </w:rPr>
            </w:pPr>
            <w:r>
              <w:rPr>
                <w:rFonts w:eastAsia="Arial"/>
                <w:szCs w:val="18"/>
              </w:rPr>
              <w:t>T</w:t>
            </w:r>
            <w:r w:rsidRPr="00241863">
              <w:rPr>
                <w:rFonts w:eastAsia="Arial"/>
                <w:szCs w:val="18"/>
              </w:rPr>
              <w:t>he minimum requirement for conformance</w:t>
            </w:r>
            <w:r>
              <w:rPr>
                <w:rFonts w:eastAsia="Arial"/>
                <w:szCs w:val="18"/>
              </w:rPr>
              <w:t>, which</w:t>
            </w:r>
            <w:r w:rsidRPr="00241863">
              <w:rPr>
                <w:rFonts w:eastAsia="Arial"/>
                <w:szCs w:val="18"/>
              </w:rPr>
              <w:t xml:space="preserve"> is achieved when all indicators or criteria associated with it are met.</w:t>
            </w:r>
          </w:p>
        </w:tc>
      </w:tr>
      <w:tr w:rsidR="00B17E6C" w:rsidRPr="00241863" w14:paraId="7B781028" w14:textId="77777777" w:rsidTr="007F4D57">
        <w:trPr>
          <w:cantSplit/>
        </w:trPr>
        <w:tc>
          <w:tcPr>
            <w:tcW w:w="2325" w:type="dxa"/>
            <w:shd w:val="clear" w:color="auto" w:fill="auto"/>
          </w:tcPr>
          <w:p w14:paraId="7B781026" w14:textId="77777777" w:rsidR="00B17E6C" w:rsidRPr="00241863" w:rsidRDefault="00B17E6C" w:rsidP="007F4D57">
            <w:pPr>
              <w:pStyle w:val="TableText"/>
              <w:ind w:right="113"/>
              <w:rPr>
                <w:rFonts w:eastAsia="Arial"/>
                <w:szCs w:val="18"/>
              </w:rPr>
            </w:pPr>
            <w:r w:rsidRPr="00241863">
              <w:rPr>
                <w:rFonts w:eastAsia="Arial"/>
                <w:szCs w:val="18"/>
              </w:rPr>
              <w:t>Surveillance audit</w:t>
            </w:r>
          </w:p>
        </w:tc>
        <w:tc>
          <w:tcPr>
            <w:tcW w:w="5812" w:type="dxa"/>
            <w:shd w:val="clear" w:color="auto" w:fill="auto"/>
          </w:tcPr>
          <w:p w14:paraId="7B781027" w14:textId="77777777" w:rsidR="00B17E6C" w:rsidRPr="00241863" w:rsidRDefault="00B17E6C" w:rsidP="007F4D57">
            <w:pPr>
              <w:pStyle w:val="TableText"/>
              <w:rPr>
                <w:rFonts w:eastAsia="Arial"/>
                <w:szCs w:val="18"/>
              </w:rPr>
            </w:pPr>
            <w:r w:rsidRPr="00241863">
              <w:rPr>
                <w:rFonts w:eastAsia="Arial"/>
                <w:szCs w:val="18"/>
              </w:rPr>
              <w:t xml:space="preserve">An audit that occurs half-way through an audit cycle with the focus on </w:t>
            </w:r>
            <w:r>
              <w:rPr>
                <w:rFonts w:eastAsia="Arial"/>
                <w:szCs w:val="18"/>
              </w:rPr>
              <w:t xml:space="preserve">an </w:t>
            </w:r>
            <w:r w:rsidRPr="00241863">
              <w:rPr>
                <w:rFonts w:eastAsia="Arial"/>
                <w:szCs w:val="18"/>
              </w:rPr>
              <w:t>agreed sub-set of standards to ensure quality management systems are maintained and that corrective action requests have been actioned and are effective.</w:t>
            </w:r>
          </w:p>
        </w:tc>
      </w:tr>
      <w:tr w:rsidR="00B17E6C" w:rsidRPr="00241863" w14:paraId="7B78102B" w14:textId="77777777" w:rsidTr="007F4D57">
        <w:trPr>
          <w:cantSplit/>
        </w:trPr>
        <w:tc>
          <w:tcPr>
            <w:tcW w:w="2325" w:type="dxa"/>
            <w:shd w:val="clear" w:color="auto" w:fill="auto"/>
          </w:tcPr>
          <w:p w14:paraId="7B781029" w14:textId="77777777" w:rsidR="00B17E6C" w:rsidRPr="00241863" w:rsidRDefault="00B17E6C" w:rsidP="007F4D57">
            <w:pPr>
              <w:pStyle w:val="TableText"/>
              <w:ind w:right="113"/>
              <w:rPr>
                <w:rFonts w:eastAsia="Arial"/>
                <w:szCs w:val="18"/>
              </w:rPr>
            </w:pPr>
            <w:r w:rsidRPr="00241863">
              <w:rPr>
                <w:rFonts w:eastAsia="Arial"/>
                <w:szCs w:val="18"/>
              </w:rPr>
              <w:t>Systems</w:t>
            </w:r>
            <w:r w:rsidRPr="00241863">
              <w:rPr>
                <w:rFonts w:eastAsia="Arial"/>
                <w:color w:val="FF0000"/>
                <w:szCs w:val="18"/>
              </w:rPr>
              <w:t xml:space="preserve"> </w:t>
            </w:r>
            <w:r w:rsidRPr="00241863">
              <w:rPr>
                <w:rFonts w:eastAsia="Arial"/>
                <w:szCs w:val="18"/>
              </w:rPr>
              <w:t>tracer</w:t>
            </w:r>
          </w:p>
        </w:tc>
        <w:tc>
          <w:tcPr>
            <w:tcW w:w="5812" w:type="dxa"/>
            <w:shd w:val="clear" w:color="auto" w:fill="auto"/>
          </w:tcPr>
          <w:p w14:paraId="7B78102A" w14:textId="77777777" w:rsidR="00B17E6C" w:rsidRPr="00241863" w:rsidRDefault="00B17E6C" w:rsidP="007F4D57">
            <w:pPr>
              <w:pStyle w:val="TableText"/>
              <w:rPr>
                <w:rFonts w:eastAsia="Arial"/>
                <w:szCs w:val="18"/>
              </w:rPr>
            </w:pPr>
            <w:r>
              <w:rPr>
                <w:rFonts w:eastAsia="Arial"/>
                <w:szCs w:val="18"/>
              </w:rPr>
              <w:t>A tracer that l</w:t>
            </w:r>
            <w:r w:rsidRPr="00241863">
              <w:rPr>
                <w:rFonts w:eastAsia="Arial"/>
                <w:szCs w:val="18"/>
              </w:rPr>
              <w:t>ooks at one system sampling across multiple parts of the organisation. Systems-based tracer methodology can be applied to programmes such as complaints or risk management systems.</w:t>
            </w:r>
          </w:p>
        </w:tc>
      </w:tr>
      <w:tr w:rsidR="00B17E6C" w:rsidRPr="00241863" w14:paraId="7B78102E" w14:textId="77777777" w:rsidTr="007F4D57">
        <w:trPr>
          <w:cantSplit/>
        </w:trPr>
        <w:tc>
          <w:tcPr>
            <w:tcW w:w="2325" w:type="dxa"/>
            <w:shd w:val="clear" w:color="auto" w:fill="auto"/>
          </w:tcPr>
          <w:p w14:paraId="7B78102C" w14:textId="77777777" w:rsidR="00B17E6C" w:rsidRPr="00241863" w:rsidRDefault="00B17E6C" w:rsidP="007F4D57">
            <w:pPr>
              <w:pStyle w:val="TableText"/>
              <w:ind w:right="113"/>
              <w:rPr>
                <w:rFonts w:eastAsia="Arial"/>
                <w:szCs w:val="18"/>
              </w:rPr>
            </w:pPr>
            <w:r w:rsidRPr="00241863">
              <w:rPr>
                <w:rFonts w:eastAsia="Arial"/>
                <w:szCs w:val="18"/>
              </w:rPr>
              <w:t>Technical expert assessor (TEA)</w:t>
            </w:r>
          </w:p>
        </w:tc>
        <w:tc>
          <w:tcPr>
            <w:tcW w:w="5812" w:type="dxa"/>
            <w:shd w:val="clear" w:color="auto" w:fill="auto"/>
          </w:tcPr>
          <w:p w14:paraId="7B78102D" w14:textId="77777777" w:rsidR="00B17E6C" w:rsidRPr="00241863" w:rsidRDefault="00B17E6C" w:rsidP="007F4D57">
            <w:pPr>
              <w:pStyle w:val="TableText"/>
              <w:rPr>
                <w:rFonts w:eastAsia="Arial"/>
                <w:szCs w:val="18"/>
              </w:rPr>
            </w:pPr>
            <w:r w:rsidRPr="00241863">
              <w:rPr>
                <w:rFonts w:eastAsia="Arial"/>
                <w:szCs w:val="18"/>
              </w:rPr>
              <w:t>An experienced health professional with a current annual practising certificate or equivalent and who has demonstrated knowledge, skills and experience related to the screening programme being audited.</w:t>
            </w:r>
          </w:p>
        </w:tc>
      </w:tr>
      <w:tr w:rsidR="00B17E6C" w:rsidRPr="00241863" w14:paraId="7B781031" w14:textId="77777777" w:rsidTr="007F4D57">
        <w:trPr>
          <w:cantSplit/>
        </w:trPr>
        <w:tc>
          <w:tcPr>
            <w:tcW w:w="2325" w:type="dxa"/>
            <w:shd w:val="clear" w:color="auto" w:fill="auto"/>
          </w:tcPr>
          <w:p w14:paraId="7B78102F" w14:textId="77777777" w:rsidR="00B17E6C" w:rsidRPr="00241863" w:rsidRDefault="00B17E6C" w:rsidP="007F4D57">
            <w:pPr>
              <w:pStyle w:val="TableText"/>
              <w:ind w:right="113"/>
              <w:rPr>
                <w:rFonts w:eastAsia="Arial"/>
                <w:szCs w:val="18"/>
              </w:rPr>
            </w:pPr>
            <w:r w:rsidRPr="00241863">
              <w:rPr>
                <w:rFonts w:eastAsia="Arial"/>
                <w:szCs w:val="18"/>
              </w:rPr>
              <w:t>Tracer methodology</w:t>
            </w:r>
          </w:p>
        </w:tc>
        <w:tc>
          <w:tcPr>
            <w:tcW w:w="5812" w:type="dxa"/>
            <w:shd w:val="clear" w:color="auto" w:fill="auto"/>
          </w:tcPr>
          <w:p w14:paraId="7B781030" w14:textId="77777777" w:rsidR="00B17E6C" w:rsidRPr="00241863" w:rsidRDefault="00B17E6C" w:rsidP="007F4D57">
            <w:pPr>
              <w:pStyle w:val="TableText"/>
              <w:rPr>
                <w:rFonts w:eastAsia="Arial"/>
                <w:szCs w:val="18"/>
              </w:rPr>
            </w:pPr>
            <w:r>
              <w:rPr>
                <w:rFonts w:eastAsia="Arial"/>
                <w:szCs w:val="18"/>
              </w:rPr>
              <w:t>The methodology involved in using a</w:t>
            </w:r>
            <w:r w:rsidRPr="00241863">
              <w:rPr>
                <w:rFonts w:eastAsia="Arial"/>
                <w:szCs w:val="18"/>
              </w:rPr>
              <w:t xml:space="preserve"> tracer </w:t>
            </w:r>
            <w:r>
              <w:rPr>
                <w:rFonts w:eastAsia="Arial"/>
                <w:szCs w:val="18"/>
              </w:rPr>
              <w:t xml:space="preserve">to </w:t>
            </w:r>
            <w:r w:rsidRPr="00241863">
              <w:rPr>
                <w:rFonts w:eastAsia="Arial"/>
                <w:szCs w:val="18"/>
              </w:rPr>
              <w:t>follow the actual screening experience of a participant who is receiving services at the time of the audit. Selection of a tracer should include a participant who has a complex journey through the screening process.</w:t>
            </w:r>
          </w:p>
        </w:tc>
      </w:tr>
      <w:tr w:rsidR="00B17E6C" w:rsidRPr="00241863" w14:paraId="7B781034" w14:textId="77777777" w:rsidTr="007F4D57">
        <w:trPr>
          <w:cantSplit/>
        </w:trPr>
        <w:tc>
          <w:tcPr>
            <w:tcW w:w="2325" w:type="dxa"/>
            <w:shd w:val="clear" w:color="auto" w:fill="auto"/>
          </w:tcPr>
          <w:p w14:paraId="7B781032" w14:textId="77777777" w:rsidR="00B17E6C" w:rsidRPr="00241863" w:rsidRDefault="00B17E6C" w:rsidP="007F4D57">
            <w:pPr>
              <w:pStyle w:val="TableText"/>
              <w:ind w:right="113"/>
              <w:rPr>
                <w:rFonts w:eastAsia="Arial"/>
                <w:szCs w:val="18"/>
              </w:rPr>
            </w:pPr>
            <w:r w:rsidRPr="00241863">
              <w:rPr>
                <w:rFonts w:eastAsia="Arial"/>
                <w:szCs w:val="18"/>
              </w:rPr>
              <w:t>Transition plan</w:t>
            </w:r>
          </w:p>
        </w:tc>
        <w:tc>
          <w:tcPr>
            <w:tcW w:w="5812" w:type="dxa"/>
            <w:shd w:val="clear" w:color="auto" w:fill="auto"/>
          </w:tcPr>
          <w:p w14:paraId="7B781033" w14:textId="77777777" w:rsidR="00B17E6C" w:rsidRPr="00241863" w:rsidRDefault="00B17E6C" w:rsidP="007F4D57">
            <w:pPr>
              <w:pStyle w:val="TableText"/>
              <w:rPr>
                <w:rFonts w:eastAsia="Arial"/>
                <w:szCs w:val="18"/>
              </w:rPr>
            </w:pPr>
            <w:r w:rsidRPr="00241863">
              <w:rPr>
                <w:rFonts w:eastAsia="Arial"/>
                <w:szCs w:val="18"/>
              </w:rPr>
              <w:t xml:space="preserve">A plan that is developed when a provider is managing a change. </w:t>
            </w:r>
            <w:r>
              <w:rPr>
                <w:rFonts w:eastAsia="Arial"/>
                <w:szCs w:val="18"/>
              </w:rPr>
              <w:t>It</w:t>
            </w:r>
            <w:r w:rsidRPr="00241863">
              <w:rPr>
                <w:rFonts w:eastAsia="Arial"/>
                <w:szCs w:val="18"/>
              </w:rPr>
              <w:t xml:space="preserve"> includes how information about the change is being communicated, how risks are mitigated and how any intended changes to the service</w:t>
            </w:r>
            <w:r w:rsidR="00E33EDB">
              <w:rPr>
                <w:rFonts w:eastAsia="Arial"/>
                <w:szCs w:val="18"/>
              </w:rPr>
              <w:t xml:space="preserve"> </w:t>
            </w:r>
            <w:r w:rsidRPr="00241863">
              <w:rPr>
                <w:rFonts w:eastAsia="Arial"/>
                <w:szCs w:val="18"/>
              </w:rPr>
              <w:t>(</w:t>
            </w:r>
            <w:proofErr w:type="spellStart"/>
            <w:r w:rsidRPr="00241863">
              <w:rPr>
                <w:rFonts w:eastAsia="Arial"/>
                <w:szCs w:val="18"/>
              </w:rPr>
              <w:t>eg</w:t>
            </w:r>
            <w:proofErr w:type="spellEnd"/>
            <w:r>
              <w:rPr>
                <w:rFonts w:eastAsia="Arial"/>
                <w:szCs w:val="18"/>
              </w:rPr>
              <w:t>,</w:t>
            </w:r>
            <w:r w:rsidRPr="00241863">
              <w:rPr>
                <w:rFonts w:eastAsia="Arial"/>
                <w:szCs w:val="18"/>
              </w:rPr>
              <w:t xml:space="preserve"> changes to </w:t>
            </w:r>
            <w:r>
              <w:rPr>
                <w:rFonts w:eastAsia="Arial"/>
                <w:szCs w:val="18"/>
              </w:rPr>
              <w:t xml:space="preserve">staff, </w:t>
            </w:r>
            <w:r w:rsidRPr="00241863">
              <w:rPr>
                <w:rFonts w:eastAsia="Arial"/>
                <w:szCs w:val="18"/>
              </w:rPr>
              <w:t>policies and procedures)</w:t>
            </w:r>
            <w:r>
              <w:rPr>
                <w:rFonts w:eastAsia="Arial"/>
                <w:szCs w:val="18"/>
              </w:rPr>
              <w:t xml:space="preserve"> will</w:t>
            </w:r>
            <w:r w:rsidRPr="00241863">
              <w:rPr>
                <w:rFonts w:eastAsia="Arial"/>
                <w:szCs w:val="18"/>
              </w:rPr>
              <w:t xml:space="preserve"> be implemented.</w:t>
            </w:r>
          </w:p>
        </w:tc>
      </w:tr>
      <w:tr w:rsidR="00B17E6C" w:rsidRPr="00241863" w14:paraId="7B781037" w14:textId="77777777" w:rsidTr="007F4D57">
        <w:trPr>
          <w:cantSplit/>
        </w:trPr>
        <w:tc>
          <w:tcPr>
            <w:tcW w:w="2325" w:type="dxa"/>
            <w:shd w:val="clear" w:color="auto" w:fill="auto"/>
          </w:tcPr>
          <w:p w14:paraId="7B781035" w14:textId="77777777" w:rsidR="00B17E6C" w:rsidRPr="00241863" w:rsidRDefault="00B17E6C" w:rsidP="007F4D57">
            <w:pPr>
              <w:pStyle w:val="TableText"/>
              <w:ind w:right="113"/>
              <w:rPr>
                <w:rFonts w:eastAsia="Arial"/>
                <w:szCs w:val="18"/>
              </w:rPr>
            </w:pPr>
            <w:r w:rsidRPr="00241863">
              <w:rPr>
                <w:rFonts w:eastAsia="Arial"/>
                <w:szCs w:val="18"/>
              </w:rPr>
              <w:t>Triangulation of evidence</w:t>
            </w:r>
          </w:p>
        </w:tc>
        <w:tc>
          <w:tcPr>
            <w:tcW w:w="5812" w:type="dxa"/>
            <w:shd w:val="clear" w:color="auto" w:fill="auto"/>
          </w:tcPr>
          <w:p w14:paraId="7B781036" w14:textId="77777777" w:rsidR="00B17E6C" w:rsidRPr="00241863" w:rsidRDefault="00B17E6C" w:rsidP="007F4D57">
            <w:pPr>
              <w:pStyle w:val="TableText"/>
              <w:rPr>
                <w:rFonts w:eastAsia="Arial"/>
                <w:szCs w:val="18"/>
              </w:rPr>
            </w:pPr>
            <w:r w:rsidRPr="00241863">
              <w:rPr>
                <w:rFonts w:eastAsia="Arial"/>
                <w:szCs w:val="18"/>
              </w:rPr>
              <w:t xml:space="preserve">A process of drawing information from three sources (interviews, </w:t>
            </w:r>
            <w:proofErr w:type="gramStart"/>
            <w:r w:rsidRPr="00241863">
              <w:rPr>
                <w:rFonts w:eastAsia="Arial"/>
                <w:szCs w:val="18"/>
              </w:rPr>
              <w:t>observations</w:t>
            </w:r>
            <w:proofErr w:type="gramEnd"/>
            <w:r w:rsidRPr="00241863">
              <w:rPr>
                <w:rFonts w:eastAsia="Arial"/>
                <w:szCs w:val="18"/>
              </w:rPr>
              <w:t xml:space="preserve"> and documentation) in order to gather reliable evidence.</w:t>
            </w:r>
          </w:p>
        </w:tc>
      </w:tr>
      <w:tr w:rsidR="00B17E6C" w:rsidRPr="00241863" w14:paraId="7B78103A" w14:textId="77777777" w:rsidTr="007F4D57">
        <w:trPr>
          <w:cantSplit/>
        </w:trPr>
        <w:tc>
          <w:tcPr>
            <w:tcW w:w="2325" w:type="dxa"/>
            <w:tcBorders>
              <w:bottom w:val="single" w:sz="4" w:space="0" w:color="A6A6A6" w:themeColor="background1" w:themeShade="A6"/>
            </w:tcBorders>
            <w:shd w:val="clear" w:color="auto" w:fill="auto"/>
          </w:tcPr>
          <w:p w14:paraId="7B781038" w14:textId="77777777" w:rsidR="00B17E6C" w:rsidRPr="00241863" w:rsidRDefault="00B17E6C" w:rsidP="007F4D57">
            <w:pPr>
              <w:pStyle w:val="TableText"/>
              <w:ind w:right="113"/>
              <w:rPr>
                <w:szCs w:val="18"/>
              </w:rPr>
            </w:pPr>
            <w:r w:rsidRPr="00D84351">
              <w:lastRenderedPageBreak/>
              <w:t>Verification audit</w:t>
            </w:r>
          </w:p>
        </w:tc>
        <w:tc>
          <w:tcPr>
            <w:tcW w:w="5812" w:type="dxa"/>
            <w:tcBorders>
              <w:bottom w:val="single" w:sz="4" w:space="0" w:color="A6A6A6" w:themeColor="background1" w:themeShade="A6"/>
            </w:tcBorders>
            <w:shd w:val="clear" w:color="auto" w:fill="auto"/>
          </w:tcPr>
          <w:p w14:paraId="7B781039" w14:textId="77777777" w:rsidR="00B17E6C" w:rsidRPr="00241863" w:rsidRDefault="00B17E6C" w:rsidP="007F4D57">
            <w:pPr>
              <w:pStyle w:val="TableText"/>
              <w:rPr>
                <w:szCs w:val="18"/>
              </w:rPr>
            </w:pPr>
            <w:r>
              <w:t>An</w:t>
            </w:r>
            <w:r w:rsidRPr="00D84351">
              <w:t xml:space="preserve"> audit </w:t>
            </w:r>
            <w:r>
              <w:t>that</w:t>
            </w:r>
            <w:r w:rsidRPr="00D84351">
              <w:t xml:space="preserve"> determine</w:t>
            </w:r>
            <w:r>
              <w:t>s</w:t>
            </w:r>
            <w:r w:rsidRPr="00D84351">
              <w:t xml:space="preserve"> if a provider is conforming to the relevant screening programme</w:t>
            </w:r>
            <w:r w:rsidR="00E33EDB">
              <w:t>’</w:t>
            </w:r>
            <w:r>
              <w:t>s</w:t>
            </w:r>
            <w:r w:rsidRPr="00D84351">
              <w:t xml:space="preserve"> quality and performance standards. </w:t>
            </w:r>
            <w:r>
              <w:t>It</w:t>
            </w:r>
            <w:r w:rsidRPr="00D84351">
              <w:t xml:space="preserve"> is a full audit of the standards outlined in the audit scope (refer to the audit tool</w:t>
            </w:r>
            <w:r>
              <w:t xml:space="preserve"> for the</w:t>
            </w:r>
            <w:r w:rsidRPr="00D84351">
              <w:t xml:space="preserve"> relevant programme).</w:t>
            </w:r>
          </w:p>
        </w:tc>
      </w:tr>
      <w:tr w:rsidR="00B17E6C" w:rsidRPr="00241863" w14:paraId="7B78103D" w14:textId="77777777" w:rsidTr="007F4D57">
        <w:trPr>
          <w:cantSplit/>
        </w:trPr>
        <w:tc>
          <w:tcPr>
            <w:tcW w:w="2325" w:type="dxa"/>
            <w:tcBorders>
              <w:top w:val="single" w:sz="4" w:space="0" w:color="A6A6A6" w:themeColor="background1" w:themeShade="A6"/>
              <w:bottom w:val="single" w:sz="4" w:space="0" w:color="A6A6A6" w:themeColor="background1" w:themeShade="A6"/>
              <w:right w:val="nil"/>
            </w:tcBorders>
            <w:shd w:val="clear" w:color="auto" w:fill="auto"/>
          </w:tcPr>
          <w:p w14:paraId="7B78103B" w14:textId="77777777" w:rsidR="00B17E6C" w:rsidRPr="00487F24" w:rsidRDefault="00B17E6C" w:rsidP="007F4D57">
            <w:pPr>
              <w:pStyle w:val="TableText"/>
              <w:ind w:right="113"/>
            </w:pPr>
            <w:r w:rsidRPr="00487F24">
              <w:t>Verification condition</w:t>
            </w:r>
          </w:p>
        </w:tc>
        <w:tc>
          <w:tcPr>
            <w:tcW w:w="5812" w:type="dxa"/>
            <w:tcBorders>
              <w:top w:val="single" w:sz="4" w:space="0" w:color="A6A6A6" w:themeColor="background1" w:themeShade="A6"/>
              <w:left w:val="nil"/>
              <w:bottom w:val="single" w:sz="4" w:space="0" w:color="A6A6A6" w:themeColor="background1" w:themeShade="A6"/>
            </w:tcBorders>
            <w:shd w:val="clear" w:color="auto" w:fill="auto"/>
          </w:tcPr>
          <w:p w14:paraId="7B78103C" w14:textId="77777777" w:rsidR="00B17E6C" w:rsidRPr="00487F24" w:rsidRDefault="00B17E6C" w:rsidP="007F4D57">
            <w:pPr>
              <w:pStyle w:val="TableText"/>
            </w:pPr>
            <w:r>
              <w:t>A</w:t>
            </w:r>
            <w:r w:rsidRPr="00487F24">
              <w:t xml:space="preserve"> follow</w:t>
            </w:r>
            <w:r>
              <w:t>-</w:t>
            </w:r>
            <w:r w:rsidRPr="00487F24">
              <w:t xml:space="preserve">up action required for a screening service to maintain </w:t>
            </w:r>
            <w:r>
              <w:t>its</w:t>
            </w:r>
            <w:r w:rsidRPr="00487F24">
              <w:t xml:space="preserve"> veri</w:t>
            </w:r>
            <w:r w:rsidR="004274A5">
              <w:t>fication of conformance status.</w:t>
            </w:r>
          </w:p>
        </w:tc>
      </w:tr>
      <w:tr w:rsidR="00B17E6C" w:rsidRPr="00241863" w14:paraId="7B781040" w14:textId="77777777" w:rsidTr="007F4D57">
        <w:trPr>
          <w:cantSplit/>
        </w:trPr>
        <w:tc>
          <w:tcPr>
            <w:tcW w:w="2325" w:type="dxa"/>
            <w:shd w:val="clear" w:color="auto" w:fill="auto"/>
          </w:tcPr>
          <w:p w14:paraId="7B78103E" w14:textId="77777777" w:rsidR="00B17E6C" w:rsidRPr="00241863" w:rsidRDefault="00B17E6C" w:rsidP="007F4D57">
            <w:pPr>
              <w:pStyle w:val="TableText"/>
              <w:ind w:right="113"/>
              <w:rPr>
                <w:rFonts w:eastAsia="Arial"/>
                <w:szCs w:val="18"/>
              </w:rPr>
            </w:pPr>
            <w:r w:rsidRPr="00241863">
              <w:rPr>
                <w:szCs w:val="18"/>
              </w:rPr>
              <w:t>Verification of evidence</w:t>
            </w:r>
          </w:p>
        </w:tc>
        <w:tc>
          <w:tcPr>
            <w:tcW w:w="5812" w:type="dxa"/>
            <w:shd w:val="clear" w:color="auto" w:fill="auto"/>
          </w:tcPr>
          <w:p w14:paraId="7B78103F" w14:textId="77777777" w:rsidR="00B17E6C" w:rsidRPr="00241863" w:rsidRDefault="00B17E6C" w:rsidP="007F4D57">
            <w:pPr>
              <w:pStyle w:val="TableText"/>
              <w:rPr>
                <w:rFonts w:eastAsia="Arial"/>
                <w:szCs w:val="18"/>
              </w:rPr>
            </w:pPr>
            <w:r w:rsidRPr="00241863">
              <w:rPr>
                <w:szCs w:val="18"/>
              </w:rPr>
              <w:t>The process an auditor follows to confirm their conclusions, which should involve triangulation of evidence wherever possible.</w:t>
            </w:r>
          </w:p>
        </w:tc>
      </w:tr>
    </w:tbl>
    <w:p w14:paraId="7B781041" w14:textId="77777777" w:rsidR="00B17E6C" w:rsidRDefault="00B17E6C" w:rsidP="004274A5"/>
    <w:p w14:paraId="7B781042" w14:textId="77777777" w:rsidR="00072FB2" w:rsidRDefault="00072FB2" w:rsidP="004274A5">
      <w:pPr>
        <w:pStyle w:val="Sectionheading"/>
        <w:sectPr w:rsidR="00072FB2" w:rsidSect="002B7BEC">
          <w:footerReference w:type="even" r:id="rId20"/>
          <w:footerReference w:type="default" r:id="rId21"/>
          <w:pgSz w:w="11907" w:h="16834" w:code="9"/>
          <w:pgMar w:top="1418" w:right="1701" w:bottom="1134" w:left="1843" w:header="284" w:footer="425" w:gutter="284"/>
          <w:pgNumType w:start="1"/>
          <w:cols w:space="720"/>
          <w:docGrid w:linePitch="286"/>
        </w:sectPr>
      </w:pPr>
      <w:bookmarkStart w:id="23" w:name="_Toc68012554"/>
    </w:p>
    <w:p w14:paraId="7B781043" w14:textId="77777777" w:rsidR="00072FB2" w:rsidRDefault="00072FB2" w:rsidP="00072FB2"/>
    <w:p w14:paraId="7B781044" w14:textId="77777777" w:rsidR="00072FB2" w:rsidRDefault="00072FB2" w:rsidP="00072FB2">
      <w:pPr>
        <w:sectPr w:rsidR="00072FB2" w:rsidSect="00072FB2">
          <w:footerReference w:type="even" r:id="rId22"/>
          <w:pgSz w:w="11907" w:h="16834" w:code="9"/>
          <w:pgMar w:top="1418" w:right="1701" w:bottom="1134" w:left="1843" w:header="284" w:footer="425" w:gutter="284"/>
          <w:cols w:space="720"/>
          <w:docGrid w:linePitch="286"/>
        </w:sectPr>
      </w:pPr>
    </w:p>
    <w:p w14:paraId="7B781045" w14:textId="77777777" w:rsidR="00B17E6C" w:rsidRPr="00374466" w:rsidRDefault="00B17E6C" w:rsidP="004274A5">
      <w:pPr>
        <w:pStyle w:val="Sectionheading"/>
      </w:pPr>
      <w:bookmarkStart w:id="24" w:name="_Toc90391825"/>
      <w:r w:rsidRPr="00374466">
        <w:lastRenderedPageBreak/>
        <w:t>General requirements</w:t>
      </w:r>
      <w:bookmarkEnd w:id="23"/>
      <w:bookmarkEnd w:id="24"/>
    </w:p>
    <w:p w14:paraId="7B781046" w14:textId="77777777" w:rsidR="00B17E6C" w:rsidRPr="00CF2B99" w:rsidRDefault="00B17E6C" w:rsidP="004274A5">
      <w:pPr>
        <w:rPr>
          <w:rFonts w:eastAsia="Arial"/>
        </w:rPr>
      </w:pPr>
    </w:p>
    <w:p w14:paraId="7B781047" w14:textId="77777777" w:rsidR="00072FB2" w:rsidRDefault="00072FB2" w:rsidP="007F4D57">
      <w:pPr>
        <w:pStyle w:val="Heading1"/>
        <w:rPr>
          <w:rFonts w:eastAsia="Arial"/>
        </w:rPr>
        <w:sectPr w:rsidR="00072FB2" w:rsidSect="00072FB2">
          <w:footerReference w:type="even" r:id="rId23"/>
          <w:pgSz w:w="11907" w:h="16834" w:code="9"/>
          <w:pgMar w:top="1418" w:right="1701" w:bottom="1134" w:left="1843" w:header="284" w:footer="425" w:gutter="284"/>
          <w:cols w:space="720"/>
          <w:vAlign w:val="center"/>
          <w:docGrid w:linePitch="286"/>
        </w:sectPr>
      </w:pPr>
      <w:bookmarkStart w:id="25" w:name="_Toc371769425"/>
      <w:bookmarkStart w:id="26" w:name="_Toc414889607"/>
      <w:bookmarkStart w:id="27" w:name="_Toc485385883"/>
      <w:bookmarkStart w:id="28" w:name="_Toc68012555"/>
    </w:p>
    <w:p w14:paraId="7B781048" w14:textId="77777777" w:rsidR="00072FB2" w:rsidRDefault="00072FB2" w:rsidP="00072FB2">
      <w:pPr>
        <w:rPr>
          <w:rFonts w:eastAsia="Arial"/>
        </w:rPr>
      </w:pPr>
    </w:p>
    <w:p w14:paraId="7B781049" w14:textId="77777777" w:rsidR="00072FB2" w:rsidRDefault="00072FB2" w:rsidP="00072FB2">
      <w:pPr>
        <w:rPr>
          <w:rFonts w:eastAsia="Arial"/>
        </w:rPr>
        <w:sectPr w:rsidR="00072FB2" w:rsidSect="00072FB2">
          <w:footerReference w:type="even" r:id="rId24"/>
          <w:pgSz w:w="11907" w:h="16834" w:code="9"/>
          <w:pgMar w:top="1418" w:right="1701" w:bottom="1134" w:left="1843" w:header="284" w:footer="425" w:gutter="284"/>
          <w:cols w:space="720"/>
          <w:docGrid w:linePitch="286"/>
        </w:sectPr>
      </w:pPr>
    </w:p>
    <w:p w14:paraId="7B78104A" w14:textId="77777777" w:rsidR="00B17E6C" w:rsidRPr="00700948" w:rsidRDefault="00B17E6C" w:rsidP="007F4D57">
      <w:pPr>
        <w:pStyle w:val="Heading1"/>
        <w:rPr>
          <w:rFonts w:eastAsia="Arial"/>
        </w:rPr>
      </w:pPr>
      <w:bookmarkStart w:id="29" w:name="_Toc90391826"/>
      <w:r w:rsidRPr="00700948">
        <w:rPr>
          <w:rFonts w:eastAsia="Arial"/>
        </w:rPr>
        <w:lastRenderedPageBreak/>
        <w:t>Auditing principles</w:t>
      </w:r>
      <w:bookmarkEnd w:id="25"/>
      <w:bookmarkEnd w:id="26"/>
      <w:bookmarkEnd w:id="27"/>
      <w:bookmarkEnd w:id="28"/>
      <w:bookmarkEnd w:id="29"/>
    </w:p>
    <w:p w14:paraId="7B78104B" w14:textId="77777777" w:rsidR="00B17E6C" w:rsidRPr="00271129" w:rsidRDefault="00B17E6C" w:rsidP="007F4D57">
      <w:pPr>
        <w:pStyle w:val="Heading2"/>
        <w:rPr>
          <w:rFonts w:eastAsia="Arial"/>
        </w:rPr>
      </w:pPr>
      <w:bookmarkStart w:id="30" w:name="_Toc68012556"/>
      <w:bookmarkStart w:id="31" w:name="_Toc90391827"/>
      <w:r w:rsidRPr="00271129">
        <w:rPr>
          <w:rFonts w:eastAsia="Arial"/>
        </w:rPr>
        <w:t xml:space="preserve">NSU </w:t>
      </w:r>
      <w:r>
        <w:rPr>
          <w:rFonts w:eastAsia="Arial"/>
        </w:rPr>
        <w:t>p</w:t>
      </w:r>
      <w:r w:rsidRPr="00271129">
        <w:rPr>
          <w:rFonts w:eastAsia="Arial"/>
        </w:rPr>
        <w:t>rogramme audit approach</w:t>
      </w:r>
      <w:bookmarkEnd w:id="30"/>
      <w:bookmarkEnd w:id="31"/>
    </w:p>
    <w:p w14:paraId="7B78104C" w14:textId="77777777" w:rsidR="00E33EDB" w:rsidRDefault="00B17E6C" w:rsidP="007F4D57">
      <w:pPr>
        <w:rPr>
          <w:rFonts w:eastAsia="Arial"/>
        </w:rPr>
      </w:pPr>
      <w:r>
        <w:rPr>
          <w:rFonts w:eastAsia="Arial"/>
        </w:rPr>
        <w:t>With each cycle of audit, NSU will work with the DAA Group to identify the focus points that the audit process will emphasise. The purpose of a focus point is to identify opportunities to achieve NSU or programme-wide quality improvement activity.</w:t>
      </w:r>
    </w:p>
    <w:p w14:paraId="7B78104D" w14:textId="77777777" w:rsidR="00B17E6C" w:rsidRDefault="00B17E6C" w:rsidP="007F4D57">
      <w:pPr>
        <w:spacing w:before="180"/>
        <w:rPr>
          <w:rFonts w:eastAsia="Arial"/>
        </w:rPr>
      </w:pPr>
      <w:r>
        <w:rPr>
          <w:rFonts w:eastAsia="Arial"/>
        </w:rPr>
        <w:t xml:space="preserve">Audit will invariably identify areas for improvement. In addition, however, NSU wants to tap into the opportunity a regular audit cycle creates to highlight screening providers, staff and processes that demonstrate a commitment to high-quality, </w:t>
      </w:r>
      <w:proofErr w:type="gramStart"/>
      <w:r>
        <w:rPr>
          <w:rFonts w:eastAsia="Arial"/>
        </w:rPr>
        <w:t>person-centred</w:t>
      </w:r>
      <w:proofErr w:type="gramEnd"/>
      <w:r>
        <w:rPr>
          <w:rFonts w:eastAsia="Arial"/>
        </w:rPr>
        <w:t xml:space="preserve"> and safe screening assessments.</w:t>
      </w:r>
    </w:p>
    <w:p w14:paraId="7B78104E" w14:textId="77777777" w:rsidR="00B17E6C" w:rsidRDefault="00B17E6C" w:rsidP="007F4D57">
      <w:pPr>
        <w:spacing w:before="180"/>
        <w:rPr>
          <w:rFonts w:eastAsia="Arial"/>
        </w:rPr>
      </w:pPr>
      <w:r>
        <w:rPr>
          <w:rFonts w:eastAsia="Arial"/>
        </w:rPr>
        <w:t>The screening provider is expected to evidence its commitment to continuous quality improvement in its quality plan.</w:t>
      </w:r>
    </w:p>
    <w:p w14:paraId="7B78104F" w14:textId="77777777" w:rsidR="00B17E6C" w:rsidRPr="00351F23" w:rsidRDefault="00B17E6C" w:rsidP="00DF0FE3">
      <w:pPr>
        <w:pStyle w:val="Heading2"/>
        <w:spacing w:before="660"/>
        <w:rPr>
          <w:rFonts w:eastAsia="Arial"/>
        </w:rPr>
      </w:pPr>
      <w:bookmarkStart w:id="32" w:name="_Toc68012557"/>
      <w:bookmarkStart w:id="33" w:name="_Toc90391828"/>
      <w:r>
        <w:rPr>
          <w:rFonts w:eastAsia="Arial"/>
        </w:rPr>
        <w:t>A</w:t>
      </w:r>
      <w:r w:rsidRPr="00351F23">
        <w:rPr>
          <w:rFonts w:eastAsia="Arial"/>
        </w:rPr>
        <w:t>udit principles</w:t>
      </w:r>
      <w:bookmarkEnd w:id="32"/>
      <w:bookmarkEnd w:id="33"/>
    </w:p>
    <w:p w14:paraId="7B781050" w14:textId="77777777" w:rsidR="00E33EDB" w:rsidRDefault="00B17E6C" w:rsidP="007F4D57">
      <w:pPr>
        <w:rPr>
          <w:rFonts w:eastAsia="Arial"/>
        </w:rPr>
      </w:pPr>
      <w:r w:rsidRPr="003F6642">
        <w:rPr>
          <w:rFonts w:eastAsia="Arial"/>
        </w:rPr>
        <w:t xml:space="preserve">The </w:t>
      </w:r>
      <w:r>
        <w:rPr>
          <w:rFonts w:eastAsia="Arial"/>
        </w:rPr>
        <w:t xml:space="preserve">DAA Group and NSU </w:t>
      </w:r>
      <w:r w:rsidRPr="003F6642">
        <w:rPr>
          <w:rFonts w:eastAsia="Arial"/>
        </w:rPr>
        <w:t xml:space="preserve">require auditors to follow the principles of ethical conduct, fair presentation, due professional care and support, </w:t>
      </w:r>
      <w:proofErr w:type="gramStart"/>
      <w:r w:rsidRPr="003F6642">
        <w:rPr>
          <w:rFonts w:eastAsia="Arial"/>
        </w:rPr>
        <w:t>independence</w:t>
      </w:r>
      <w:proofErr w:type="gramEnd"/>
      <w:r w:rsidRPr="003F6642">
        <w:rPr>
          <w:rFonts w:eastAsia="Arial"/>
        </w:rPr>
        <w:t xml:space="preserve"> and an evidence-based approach as outlined in AS/NZS ISO 19011.</w:t>
      </w:r>
    </w:p>
    <w:p w14:paraId="7B781051" w14:textId="77777777" w:rsidR="00B17E6C" w:rsidRPr="003F6642" w:rsidRDefault="00B17E6C" w:rsidP="007F4D57">
      <w:pPr>
        <w:spacing w:before="180"/>
        <w:rPr>
          <w:rFonts w:eastAsia="Arial"/>
        </w:rPr>
      </w:pPr>
      <w:r w:rsidRPr="003F6642">
        <w:rPr>
          <w:rFonts w:eastAsia="Arial"/>
        </w:rPr>
        <w:t>In addition, the following principles apply</w:t>
      </w:r>
      <w:r>
        <w:rPr>
          <w:rFonts w:eastAsia="Arial"/>
        </w:rPr>
        <w:t xml:space="preserve"> to NSU audits</w:t>
      </w:r>
      <w:r w:rsidRPr="003F6642">
        <w:rPr>
          <w:rFonts w:eastAsia="Arial"/>
        </w:rPr>
        <w:t>.</w:t>
      </w:r>
    </w:p>
    <w:p w14:paraId="7B781052" w14:textId="77777777" w:rsidR="00B17E6C" w:rsidRPr="003F6642" w:rsidRDefault="00B17E6C" w:rsidP="007F4D57">
      <w:pPr>
        <w:pStyle w:val="Bullet"/>
        <w:spacing w:before="120"/>
      </w:pPr>
      <w:r>
        <w:rPr>
          <w:b/>
          <w:bCs/>
        </w:rPr>
        <w:t>Person</w:t>
      </w:r>
      <w:r w:rsidRPr="003F6642">
        <w:rPr>
          <w:b/>
          <w:bCs/>
        </w:rPr>
        <w:t xml:space="preserve"> focus: </w:t>
      </w:r>
      <w:r w:rsidRPr="003F6642">
        <w:t xml:space="preserve">Care, support and services meet the needs and preferences of </w:t>
      </w:r>
      <w:r>
        <w:t>participant</w:t>
      </w:r>
      <w:r w:rsidRPr="003F6642">
        <w:t>s consistent with currently accepted practice.</w:t>
      </w:r>
    </w:p>
    <w:p w14:paraId="7B781053" w14:textId="77777777" w:rsidR="00B17E6C" w:rsidRPr="003F6642" w:rsidRDefault="00B17E6C" w:rsidP="007F4D57">
      <w:pPr>
        <w:spacing w:before="60"/>
        <w:ind w:left="284"/>
      </w:pPr>
      <w:r>
        <w:t xml:space="preserve">Technical </w:t>
      </w:r>
      <w:r w:rsidRPr="007B72C7">
        <w:t>expert assessors will use their technical and clinical expertise to collect audit evidence directly from participants</w:t>
      </w:r>
      <w:r w:rsidRPr="003F6642">
        <w:t xml:space="preserve">, relatives and providers and include a review of </w:t>
      </w:r>
      <w:r w:rsidRPr="002F03CB">
        <w:t>screening service</w:t>
      </w:r>
      <w:r>
        <w:t xml:space="preserve"> </w:t>
      </w:r>
      <w:r w:rsidRPr="003F6642">
        <w:t>received, considering both the</w:t>
      </w:r>
      <w:r>
        <w:t>ir</w:t>
      </w:r>
      <w:r w:rsidRPr="002F03CB">
        <w:t xml:space="preserve"> screening journey</w:t>
      </w:r>
      <w:r w:rsidRPr="003F6642">
        <w:t xml:space="preserve"> and individual components of</w:t>
      </w:r>
      <w:r>
        <w:t xml:space="preserve"> the screening </w:t>
      </w:r>
      <w:r w:rsidRPr="002F03CB">
        <w:t>process.</w:t>
      </w:r>
    </w:p>
    <w:p w14:paraId="7B781054" w14:textId="77777777" w:rsidR="00B17E6C" w:rsidRPr="003F6642" w:rsidRDefault="00B17E6C" w:rsidP="007F4D57">
      <w:pPr>
        <w:pStyle w:val="Bullet"/>
        <w:spacing w:before="120"/>
      </w:pPr>
      <w:r w:rsidRPr="003F6642">
        <w:rPr>
          <w:b/>
          <w:bCs/>
        </w:rPr>
        <w:t xml:space="preserve">Outcomes focus: </w:t>
      </w:r>
      <w:r>
        <w:t>Auditors must consider the</w:t>
      </w:r>
      <w:r w:rsidRPr="003F6642">
        <w:t xml:space="preserve"> context for service provision, acknowledging that outcomes can be achieved through various inputs, </w:t>
      </w:r>
      <w:proofErr w:type="gramStart"/>
      <w:r w:rsidRPr="003F6642">
        <w:t>processes</w:t>
      </w:r>
      <w:proofErr w:type="gramEnd"/>
      <w:r w:rsidRPr="003F6642">
        <w:t xml:space="preserve"> and outputs.</w:t>
      </w:r>
    </w:p>
    <w:p w14:paraId="7B781055" w14:textId="77777777" w:rsidR="00B17E6C" w:rsidRPr="003F6642" w:rsidRDefault="00B17E6C" w:rsidP="007F4D57">
      <w:pPr>
        <w:pStyle w:val="Bullet"/>
        <w:spacing w:before="120"/>
      </w:pPr>
      <w:r w:rsidRPr="003F6642">
        <w:rPr>
          <w:b/>
          <w:bCs/>
        </w:rPr>
        <w:t xml:space="preserve">Systems and process focus: </w:t>
      </w:r>
      <w:r w:rsidRPr="003F6642">
        <w:t xml:space="preserve">Effective systems and processes are implemented to support the delivery of </w:t>
      </w:r>
      <w:r>
        <w:t xml:space="preserve">screening </w:t>
      </w:r>
      <w:r w:rsidRPr="003F6642">
        <w:t>services.</w:t>
      </w:r>
    </w:p>
    <w:p w14:paraId="7B781056" w14:textId="77777777" w:rsidR="00B17E6C" w:rsidRPr="003F6642" w:rsidRDefault="00B17E6C" w:rsidP="007F4D57">
      <w:pPr>
        <w:spacing w:before="60"/>
        <w:ind w:left="284"/>
      </w:pPr>
      <w:r w:rsidRPr="003F6642">
        <w:t>Auditors will determine</w:t>
      </w:r>
      <w:r>
        <w:t>,</w:t>
      </w:r>
      <w:r w:rsidRPr="003F6642">
        <w:t xml:space="preserve"> through the audit evidence</w:t>
      </w:r>
      <w:r>
        <w:t xml:space="preserve"> they collect,</w:t>
      </w:r>
      <w:r w:rsidRPr="003F6642">
        <w:t xml:space="preserve"> that standards of </w:t>
      </w:r>
      <w:r>
        <w:t xml:space="preserve">screening </w:t>
      </w:r>
      <w:r w:rsidRPr="003F6642">
        <w:t>service</w:t>
      </w:r>
      <w:r>
        <w:t>s</w:t>
      </w:r>
      <w:r w:rsidRPr="003F6642">
        <w:t xml:space="preserve"> are not dependent on any one person, but rather on the systems and processes present.</w:t>
      </w:r>
    </w:p>
    <w:p w14:paraId="7B781057" w14:textId="77777777" w:rsidR="00B17E6C" w:rsidRPr="003F6642" w:rsidRDefault="00B17E6C" w:rsidP="007F4D57">
      <w:pPr>
        <w:pStyle w:val="Bullet"/>
        <w:spacing w:before="120"/>
      </w:pPr>
      <w:r w:rsidRPr="003F6642">
        <w:rPr>
          <w:b/>
          <w:bCs/>
        </w:rPr>
        <w:t xml:space="preserve">Openness and transparency: </w:t>
      </w:r>
      <w:r w:rsidRPr="003F6642">
        <w:t>Information is effectively communicated throughout the audit process.</w:t>
      </w:r>
    </w:p>
    <w:p w14:paraId="7B781058" w14:textId="77777777" w:rsidR="00102FEA" w:rsidRDefault="00B17E6C" w:rsidP="007F4D57">
      <w:pPr>
        <w:spacing w:before="60"/>
        <w:ind w:left="284"/>
      </w:pPr>
      <w:r w:rsidRPr="003F6642">
        <w:t>Auditors ensure stakeholders involved in the audit process are fully informed.</w:t>
      </w:r>
    </w:p>
    <w:p w14:paraId="7B781059" w14:textId="77777777" w:rsidR="00B17E6C" w:rsidRPr="00351F23" w:rsidRDefault="00B17E6C" w:rsidP="007F4D57">
      <w:pPr>
        <w:pStyle w:val="Heading1"/>
        <w:rPr>
          <w:rFonts w:eastAsia="Arial"/>
        </w:rPr>
      </w:pPr>
      <w:bookmarkStart w:id="34" w:name="_Toc371769426"/>
      <w:bookmarkStart w:id="35" w:name="_Toc414889608"/>
      <w:bookmarkStart w:id="36" w:name="_Toc485385884"/>
      <w:bookmarkStart w:id="37" w:name="_Toc68012558"/>
      <w:bookmarkStart w:id="38" w:name="_Toc90391829"/>
      <w:r w:rsidRPr="00351F23">
        <w:rPr>
          <w:rFonts w:eastAsia="Arial"/>
        </w:rPr>
        <w:lastRenderedPageBreak/>
        <w:t>The DAA Group</w:t>
      </w:r>
      <w:r>
        <w:rPr>
          <w:rFonts w:eastAsia="Arial"/>
        </w:rPr>
        <w:t xml:space="preserve"> </w:t>
      </w:r>
      <w:r w:rsidRPr="00351F23">
        <w:rPr>
          <w:rFonts w:eastAsia="Arial"/>
        </w:rPr>
        <w:t>responsibilities</w:t>
      </w:r>
      <w:bookmarkEnd w:id="34"/>
      <w:bookmarkEnd w:id="35"/>
      <w:bookmarkEnd w:id="36"/>
      <w:bookmarkEnd w:id="37"/>
      <w:bookmarkEnd w:id="38"/>
    </w:p>
    <w:p w14:paraId="7B78105A" w14:textId="77777777" w:rsidR="00E33EDB" w:rsidRDefault="00B17E6C" w:rsidP="007F4D57">
      <w:r w:rsidRPr="00817F2A">
        <w:t xml:space="preserve">The DAA Group </w:t>
      </w:r>
      <w:r>
        <w:t>must</w:t>
      </w:r>
      <w:r w:rsidRPr="00817F2A">
        <w:t>:</w:t>
      </w:r>
    </w:p>
    <w:p w14:paraId="7B78105B" w14:textId="77777777" w:rsidR="00B17E6C" w:rsidRPr="00817F2A" w:rsidRDefault="009D607F" w:rsidP="009D607F">
      <w:pPr>
        <w:spacing w:before="90"/>
        <w:ind w:left="567" w:hanging="567"/>
      </w:pPr>
      <w:r>
        <w:t>1.</w:t>
      </w:r>
      <w:r>
        <w:tab/>
      </w:r>
      <w:r w:rsidR="00B17E6C">
        <w:t>m</w:t>
      </w:r>
      <w:r w:rsidR="00B17E6C" w:rsidRPr="00817F2A">
        <w:t>aintain third</w:t>
      </w:r>
      <w:r w:rsidR="00B17E6C">
        <w:t>-</w:t>
      </w:r>
      <w:r w:rsidR="00B17E6C" w:rsidRPr="00817F2A">
        <w:t>part</w:t>
      </w:r>
      <w:r w:rsidR="00B17E6C">
        <w:t>y</w:t>
      </w:r>
      <w:r w:rsidR="00B17E6C" w:rsidRPr="00817F2A">
        <w:t xml:space="preserve"> accreditation</w:t>
      </w:r>
      <w:r w:rsidR="00B17E6C">
        <w:t xml:space="preserve"> for its organisation</w:t>
      </w:r>
    </w:p>
    <w:p w14:paraId="7B78105C" w14:textId="77777777" w:rsidR="00B17E6C" w:rsidRPr="00817F2A" w:rsidRDefault="009D607F" w:rsidP="009D607F">
      <w:pPr>
        <w:spacing w:before="90"/>
        <w:ind w:left="567" w:hanging="567"/>
      </w:pPr>
      <w:r>
        <w:t>2.</w:t>
      </w:r>
      <w:r>
        <w:tab/>
      </w:r>
      <w:r w:rsidR="00B17E6C">
        <w:t>m</w:t>
      </w:r>
      <w:r w:rsidR="00B17E6C" w:rsidRPr="00817F2A">
        <w:t xml:space="preserve">eet requirements of a New Zealand designated audit agency, as </w:t>
      </w:r>
      <w:r w:rsidR="00B17E6C">
        <w:t>specified</w:t>
      </w:r>
      <w:r w:rsidR="00B17E6C" w:rsidRPr="00817F2A">
        <w:t xml:space="preserve"> in the </w:t>
      </w:r>
      <w:hyperlink r:id="rId25" w:history="1">
        <w:r w:rsidR="00B17E6C" w:rsidRPr="00043605">
          <w:rPr>
            <w:rStyle w:val="Hyperlink"/>
            <w:rFonts w:cs="Segoe UI"/>
            <w:i/>
            <w:szCs w:val="21"/>
          </w:rPr>
          <w:t>Ministry of Health Auditor Handbook</w:t>
        </w:r>
      </w:hyperlink>
      <w:r w:rsidR="00B17E6C" w:rsidRPr="007F4D57">
        <w:t xml:space="preserve"> (</w:t>
      </w:r>
      <w:r w:rsidR="00B17E6C">
        <w:t>Ministry of Health 2019)</w:t>
      </w:r>
    </w:p>
    <w:p w14:paraId="7B78105D" w14:textId="77777777" w:rsidR="00B17E6C" w:rsidRPr="00817F2A" w:rsidRDefault="009D607F" w:rsidP="009D607F">
      <w:pPr>
        <w:spacing w:before="90"/>
        <w:ind w:left="567" w:hanging="567"/>
      </w:pPr>
      <w:r>
        <w:t>3.</w:t>
      </w:r>
      <w:r>
        <w:tab/>
      </w:r>
      <w:r w:rsidR="00B17E6C">
        <w:t>m</w:t>
      </w:r>
      <w:r w:rsidR="00B17E6C" w:rsidRPr="00817F2A">
        <w:t>eet NSU contractual requirements</w:t>
      </w:r>
      <w:r w:rsidR="00B17E6C">
        <w:t>,</w:t>
      </w:r>
      <w:r w:rsidR="00B17E6C" w:rsidRPr="00817F2A">
        <w:t xml:space="preserve"> including those </w:t>
      </w:r>
      <w:r w:rsidR="00B17E6C">
        <w:t>set out</w:t>
      </w:r>
      <w:r w:rsidR="00B17E6C" w:rsidRPr="00817F2A">
        <w:t xml:space="preserve"> in this handbook</w:t>
      </w:r>
    </w:p>
    <w:p w14:paraId="7B78105E" w14:textId="77777777" w:rsidR="00B17E6C" w:rsidRPr="00817F2A" w:rsidRDefault="009D607F" w:rsidP="009D607F">
      <w:pPr>
        <w:spacing w:before="90"/>
        <w:ind w:left="567" w:hanging="567"/>
      </w:pPr>
      <w:r>
        <w:t>4.</w:t>
      </w:r>
      <w:r>
        <w:tab/>
      </w:r>
      <w:r w:rsidR="00B17E6C">
        <w:t>n</w:t>
      </w:r>
      <w:r w:rsidR="00B17E6C" w:rsidRPr="00817F2A">
        <w:t>otify NSU immediately of any suspension or conditions imposed</w:t>
      </w:r>
      <w:r w:rsidR="00B17E6C">
        <w:t xml:space="preserve"> on DAA Group</w:t>
      </w:r>
      <w:r w:rsidR="00B17E6C" w:rsidRPr="00817F2A">
        <w:t xml:space="preserve"> by a third-party accreditation body or </w:t>
      </w:r>
      <w:r w:rsidR="00B17E6C" w:rsidRPr="00447BB5">
        <w:t>Ministry of Health</w:t>
      </w:r>
      <w:r w:rsidR="00B17E6C" w:rsidRPr="00817F2A">
        <w:t xml:space="preserve"> designation</w:t>
      </w:r>
    </w:p>
    <w:p w14:paraId="7B78105F" w14:textId="77777777" w:rsidR="00E33EDB" w:rsidRDefault="009D607F" w:rsidP="009D607F">
      <w:pPr>
        <w:spacing w:before="90"/>
        <w:ind w:left="567" w:hanging="567"/>
      </w:pPr>
      <w:r>
        <w:t>5.</w:t>
      </w:r>
      <w:r>
        <w:tab/>
      </w:r>
      <w:r w:rsidR="00B17E6C">
        <w:t>n</w:t>
      </w:r>
      <w:r w:rsidR="00B17E6C" w:rsidRPr="00817F2A">
        <w:t>otify NSU immediately of any inability to meet the contractual requirements.</w:t>
      </w:r>
    </w:p>
    <w:p w14:paraId="7B781060" w14:textId="77777777" w:rsidR="007F4D57" w:rsidRDefault="007F4D57" w:rsidP="007F4D57"/>
    <w:p w14:paraId="7B781061" w14:textId="77777777" w:rsidR="00E33EDB" w:rsidRDefault="00B17E6C" w:rsidP="007F4D57">
      <w:pPr>
        <w:pStyle w:val="Heading2"/>
      </w:pPr>
      <w:bookmarkStart w:id="39" w:name="_Toc68012559"/>
      <w:bookmarkStart w:id="40" w:name="_Toc90391830"/>
      <w:r w:rsidRPr="003F6642">
        <w:t>C</w:t>
      </w:r>
      <w:r>
        <w:t>ontract requirements</w:t>
      </w:r>
      <w:bookmarkEnd w:id="39"/>
      <w:bookmarkEnd w:id="40"/>
    </w:p>
    <w:p w14:paraId="7B781062" w14:textId="77777777" w:rsidR="00E33EDB" w:rsidRDefault="00B17E6C" w:rsidP="00B17E6C">
      <w:pPr>
        <w:rPr>
          <w:rFonts w:cs="Segoe UI"/>
          <w:szCs w:val="21"/>
        </w:rPr>
      </w:pPr>
      <w:bookmarkStart w:id="41" w:name="_Hlk52879207"/>
      <w:r w:rsidRPr="00071D84">
        <w:rPr>
          <w:rFonts w:cs="Segoe UI"/>
          <w:szCs w:val="21"/>
        </w:rPr>
        <w:t xml:space="preserve">The DAA Group </w:t>
      </w:r>
      <w:r>
        <w:rPr>
          <w:rFonts w:cs="Segoe UI"/>
          <w:szCs w:val="21"/>
        </w:rPr>
        <w:t>will</w:t>
      </w:r>
      <w:r w:rsidRPr="00071D84">
        <w:rPr>
          <w:rFonts w:cs="Segoe UI"/>
          <w:szCs w:val="21"/>
        </w:rPr>
        <w:t>:</w:t>
      </w:r>
    </w:p>
    <w:bookmarkEnd w:id="41"/>
    <w:p w14:paraId="7B781063" w14:textId="77777777" w:rsidR="00B17E6C" w:rsidRPr="005470E4" w:rsidRDefault="00B17E6C" w:rsidP="007F4D57">
      <w:pPr>
        <w:pStyle w:val="Number"/>
        <w:spacing w:before="120"/>
        <w:rPr>
          <w:rFonts w:cs="Segoe UI"/>
          <w:szCs w:val="21"/>
        </w:rPr>
      </w:pPr>
      <w:r>
        <w:t>f</w:t>
      </w:r>
      <w:r w:rsidRPr="00713843">
        <w:t>ollow IAF MD2:2007 for the transfer of information at the termination of the NSU screening programme contract</w:t>
      </w:r>
    </w:p>
    <w:p w14:paraId="7B781064" w14:textId="77777777" w:rsidR="00B17E6C" w:rsidRPr="004F3CEA" w:rsidRDefault="00B17E6C" w:rsidP="007F4D57">
      <w:pPr>
        <w:pStyle w:val="Number"/>
        <w:spacing w:before="120"/>
        <w:rPr>
          <w:rFonts w:cs="Segoe UI"/>
          <w:szCs w:val="21"/>
        </w:rPr>
      </w:pPr>
      <w:r>
        <w:t>e</w:t>
      </w:r>
      <w:r w:rsidRPr="00713843">
        <w:t>nsure screening providers are aware that the NSU or a recognised third-party accrediting body (</w:t>
      </w:r>
      <w:proofErr w:type="spellStart"/>
      <w:r w:rsidRPr="00713843">
        <w:t>ISQua</w:t>
      </w:r>
      <w:proofErr w:type="spellEnd"/>
      <w:r w:rsidRPr="00713843">
        <w:t xml:space="preserve">) may accompany DAA Group auditors on any audit as part of their observation audit or witnessed audit, performance monitoring process, </w:t>
      </w:r>
      <w:r>
        <w:t xml:space="preserve">their </w:t>
      </w:r>
      <w:r w:rsidRPr="00713843">
        <w:t>accreditation or designation/re-designation process</w:t>
      </w:r>
    </w:p>
    <w:p w14:paraId="7B781065" w14:textId="77777777" w:rsidR="00B17E6C" w:rsidRPr="004F3CEA" w:rsidRDefault="00B17E6C" w:rsidP="007F4D57">
      <w:pPr>
        <w:pStyle w:val="Number"/>
        <w:spacing w:before="120"/>
        <w:rPr>
          <w:rFonts w:cs="Segoe UI"/>
          <w:szCs w:val="21"/>
        </w:rPr>
      </w:pPr>
      <w:r>
        <w:t>maintain</w:t>
      </w:r>
      <w:r w:rsidRPr="00713843">
        <w:t xml:space="preserve"> </w:t>
      </w:r>
      <w:r>
        <w:t xml:space="preserve">confidentiality for </w:t>
      </w:r>
      <w:r w:rsidRPr="00713843">
        <w:t>all information obtained or created during the performance of audit activities</w:t>
      </w:r>
    </w:p>
    <w:p w14:paraId="7B781066" w14:textId="77777777" w:rsidR="00B17E6C" w:rsidRPr="004F3CEA" w:rsidRDefault="00B17E6C" w:rsidP="007F4D57">
      <w:pPr>
        <w:pStyle w:val="Number"/>
        <w:spacing w:before="120"/>
        <w:rPr>
          <w:rFonts w:cs="Segoe UI"/>
          <w:szCs w:val="21"/>
        </w:rPr>
      </w:pPr>
      <w:r>
        <w:t>p</w:t>
      </w:r>
      <w:r w:rsidRPr="003F6642">
        <w:t xml:space="preserve">rovide the </w:t>
      </w:r>
      <w:r>
        <w:t xml:space="preserve">NSU </w:t>
      </w:r>
      <w:r w:rsidRPr="003F6642">
        <w:t xml:space="preserve">with an annual audit schedule updated quarterly, </w:t>
      </w:r>
      <w:r>
        <w:t>starting on</w:t>
      </w:r>
      <w:r w:rsidRPr="004F3CEA">
        <w:rPr>
          <w:sz w:val="16"/>
          <w:szCs w:val="16"/>
        </w:rPr>
        <w:t xml:space="preserve"> </w:t>
      </w:r>
      <w:r>
        <w:t>1</w:t>
      </w:r>
      <w:r w:rsidR="007F4D57">
        <w:t> </w:t>
      </w:r>
      <w:r w:rsidRPr="0006000F">
        <w:t>July each year</w:t>
      </w:r>
    </w:p>
    <w:p w14:paraId="7B781067" w14:textId="77777777" w:rsidR="00B17E6C" w:rsidRPr="004F3CEA" w:rsidRDefault="00B17E6C" w:rsidP="007F4D57">
      <w:pPr>
        <w:pStyle w:val="Number"/>
        <w:spacing w:before="120"/>
        <w:rPr>
          <w:rFonts w:cs="Segoe UI"/>
          <w:szCs w:val="21"/>
        </w:rPr>
      </w:pPr>
      <w:r>
        <w:t>r</w:t>
      </w:r>
      <w:r w:rsidRPr="0006000F">
        <w:t>eport to NSU as contractually required</w:t>
      </w:r>
    </w:p>
    <w:p w14:paraId="7B781068" w14:textId="77777777" w:rsidR="00B17E6C" w:rsidRPr="007F4D57" w:rsidRDefault="00B17E6C" w:rsidP="007F4D57">
      <w:pPr>
        <w:pStyle w:val="Number"/>
        <w:spacing w:before="120"/>
        <w:rPr>
          <w:rFonts w:cs="Segoe UI"/>
          <w:szCs w:val="21"/>
        </w:rPr>
      </w:pPr>
      <w:r>
        <w:t>h</w:t>
      </w:r>
      <w:r w:rsidRPr="0006000F">
        <w:t xml:space="preserve">ave a DAA Group </w:t>
      </w:r>
      <w:r>
        <w:t>NSU c</w:t>
      </w:r>
      <w:r w:rsidRPr="0006000F">
        <w:t xml:space="preserve">lient </w:t>
      </w:r>
      <w:r>
        <w:t>m</w:t>
      </w:r>
      <w:r w:rsidRPr="0006000F">
        <w:t>anager to manage the audit programmes, liaise with the NSU programme leads/advisors and facilitate each audit with the service provider</w:t>
      </w:r>
      <w:r w:rsidR="00E33EDB">
        <w:t>’</w:t>
      </w:r>
      <w:r w:rsidRPr="0006000F">
        <w:t>s nominated representatives.</w:t>
      </w:r>
    </w:p>
    <w:p w14:paraId="7B781069" w14:textId="77777777" w:rsidR="007F4D57" w:rsidRPr="004F3CEA" w:rsidRDefault="007F4D57" w:rsidP="007F4D57"/>
    <w:p w14:paraId="7B78106A" w14:textId="77777777" w:rsidR="00B17E6C" w:rsidRPr="003F6642" w:rsidRDefault="00B17E6C" w:rsidP="007F4D57">
      <w:pPr>
        <w:pStyle w:val="Heading2"/>
      </w:pPr>
      <w:bookmarkStart w:id="42" w:name="_Toc68012560"/>
      <w:bookmarkStart w:id="43" w:name="_Toc90391831"/>
      <w:r w:rsidRPr="003F6642">
        <w:lastRenderedPageBreak/>
        <w:t>Audit teams</w:t>
      </w:r>
      <w:bookmarkEnd w:id="42"/>
      <w:bookmarkEnd w:id="43"/>
    </w:p>
    <w:p w14:paraId="7B78106B" w14:textId="77777777" w:rsidR="00B17E6C" w:rsidRDefault="00B17E6C" w:rsidP="009D607F">
      <w:pPr>
        <w:keepNext/>
      </w:pPr>
      <w:r w:rsidRPr="00071D84">
        <w:rPr>
          <w:rFonts w:cs="Segoe UI"/>
          <w:szCs w:val="21"/>
        </w:rPr>
        <w:t xml:space="preserve">The DAA Group is required to </w:t>
      </w:r>
      <w:r>
        <w:rPr>
          <w:rFonts w:cs="Segoe UI"/>
          <w:szCs w:val="21"/>
        </w:rPr>
        <w:t>e</w:t>
      </w:r>
      <w:r w:rsidRPr="00FF4EE7">
        <w:t xml:space="preserve">nsure </w:t>
      </w:r>
      <w:r>
        <w:t>each of its</w:t>
      </w:r>
      <w:r w:rsidRPr="00FF4EE7">
        <w:t xml:space="preserve"> audit team</w:t>
      </w:r>
      <w:r>
        <w:t>s</w:t>
      </w:r>
      <w:r w:rsidRPr="00FF4EE7">
        <w:t xml:space="preserve"> comprises competent </w:t>
      </w:r>
      <w:r>
        <w:t xml:space="preserve">lead </w:t>
      </w:r>
      <w:r w:rsidRPr="00FF4EE7">
        <w:t xml:space="preserve">auditors, </w:t>
      </w:r>
      <w:r>
        <w:t xml:space="preserve">and </w:t>
      </w:r>
      <w:r w:rsidRPr="00FF4EE7">
        <w:t>technical expert assessors with clinical or technical expertise as appropriate to the screening service</w:t>
      </w:r>
      <w:r>
        <w:t xml:space="preserve"> and the nominated focus points of the audit.</w:t>
      </w:r>
    </w:p>
    <w:p w14:paraId="7B78106C" w14:textId="77777777" w:rsidR="007F4D57" w:rsidRPr="0091770C" w:rsidRDefault="007F4D57" w:rsidP="009D607F">
      <w:pPr>
        <w:keepNext/>
      </w:pPr>
    </w:p>
    <w:p w14:paraId="7B78106D" w14:textId="77777777" w:rsidR="00B17E6C" w:rsidRPr="00CF1C4E" w:rsidRDefault="00B17E6C" w:rsidP="007F4D57">
      <w:pPr>
        <w:pStyle w:val="Heading2"/>
      </w:pPr>
      <w:bookmarkStart w:id="44" w:name="_Toc68012561"/>
      <w:bookmarkStart w:id="45" w:name="_Toc90391832"/>
      <w:r w:rsidRPr="00CF1C4E">
        <w:t xml:space="preserve">Audit </w:t>
      </w:r>
      <w:r>
        <w:t>p</w:t>
      </w:r>
      <w:r w:rsidRPr="00CF1C4E">
        <w:t>rocess</w:t>
      </w:r>
      <w:bookmarkEnd w:id="44"/>
      <w:bookmarkEnd w:id="45"/>
    </w:p>
    <w:p w14:paraId="7B78106E" w14:textId="77777777" w:rsidR="00B17E6C" w:rsidRPr="00C24246" w:rsidRDefault="00B17E6C" w:rsidP="00102FEA">
      <w:pPr>
        <w:pStyle w:val="Heading3-nonumber"/>
      </w:pPr>
      <w:r w:rsidRPr="00C24246">
        <w:t>Scheduling</w:t>
      </w:r>
    </w:p>
    <w:p w14:paraId="7B78106F" w14:textId="77777777" w:rsidR="00E33EDB" w:rsidRDefault="00B17E6C" w:rsidP="007F4D57">
      <w:r w:rsidRPr="00C24246">
        <w:t xml:space="preserve">The DAA Group audit process includes the scheduling of audits on an annual </w:t>
      </w:r>
      <w:r>
        <w:t>basis with a quarterly review i</w:t>
      </w:r>
      <w:r w:rsidRPr="00C24246">
        <w:t>n collaboration with each NSU programme team.</w:t>
      </w:r>
    </w:p>
    <w:p w14:paraId="7B781070" w14:textId="77777777" w:rsidR="00E33EDB" w:rsidRDefault="00B17E6C" w:rsidP="009D607F">
      <w:pPr>
        <w:pStyle w:val="Bullet"/>
      </w:pPr>
      <w:r w:rsidRPr="00C24246">
        <w:t xml:space="preserve">Each NSU programme team will work in collaboration with the DAA Group to schedule audits on </w:t>
      </w:r>
      <w:r>
        <w:t xml:space="preserve">a </w:t>
      </w:r>
      <w:r w:rsidRPr="00C24246">
        <w:t>three</w:t>
      </w:r>
      <w:r>
        <w:t>-</w:t>
      </w:r>
      <w:r w:rsidRPr="00C24246">
        <w:t xml:space="preserve">yearly cycle and review this </w:t>
      </w:r>
      <w:r>
        <w:t xml:space="preserve">on a </w:t>
      </w:r>
      <w:r w:rsidRPr="00C24246">
        <w:t>quarterly basis.</w:t>
      </w:r>
    </w:p>
    <w:p w14:paraId="7B781071" w14:textId="77777777" w:rsidR="00B17E6C" w:rsidRPr="00786426" w:rsidRDefault="00B17E6C" w:rsidP="009D607F">
      <w:pPr>
        <w:pStyle w:val="Bullet"/>
      </w:pPr>
      <w:r w:rsidRPr="00786426">
        <w:t>Each NSU programme team may recommend the order in which service providers are scheduled for audit before the annual audit schedule is prepared</w:t>
      </w:r>
      <w:r>
        <w:t>.</w:t>
      </w:r>
    </w:p>
    <w:p w14:paraId="7B781072" w14:textId="77777777" w:rsidR="00B17E6C" w:rsidRPr="00786426" w:rsidRDefault="00B17E6C" w:rsidP="009D607F">
      <w:pPr>
        <w:pStyle w:val="Bullet"/>
      </w:pPr>
      <w:r w:rsidRPr="00786426">
        <w:t xml:space="preserve">The scheduling process will consider </w:t>
      </w:r>
      <w:r w:rsidRPr="00507BDE">
        <w:t>priorities set by the NSU team, monitoring</w:t>
      </w:r>
      <w:r w:rsidRPr="00786426">
        <w:t xml:space="preserve"> outcomes, identified issues, </w:t>
      </w:r>
      <w:r>
        <w:t xml:space="preserve">and </w:t>
      </w:r>
      <w:r w:rsidRPr="00786426">
        <w:t>geographical location and co-location.</w:t>
      </w:r>
    </w:p>
    <w:p w14:paraId="7B781073" w14:textId="77777777" w:rsidR="00B17E6C" w:rsidRDefault="00B17E6C" w:rsidP="009D607F">
      <w:pPr>
        <w:pStyle w:val="Bullet"/>
      </w:pPr>
      <w:r w:rsidRPr="00786426">
        <w:t>Other considerations include the location of auditors and technical expert assessors.</w:t>
      </w:r>
    </w:p>
    <w:p w14:paraId="7B781074" w14:textId="77777777" w:rsidR="007F4D57" w:rsidRPr="00786426" w:rsidRDefault="007F4D57" w:rsidP="007F4D57"/>
    <w:p w14:paraId="7B781075" w14:textId="77777777" w:rsidR="00B17E6C" w:rsidRPr="00C24246" w:rsidRDefault="00B17E6C" w:rsidP="00102FEA">
      <w:pPr>
        <w:pStyle w:val="Heading3-nonumber"/>
      </w:pPr>
      <w:r w:rsidRPr="00C24246">
        <w:t xml:space="preserve">Audit </w:t>
      </w:r>
      <w:r>
        <w:t>s</w:t>
      </w:r>
      <w:r w:rsidRPr="00C24246">
        <w:t>cope</w:t>
      </w:r>
    </w:p>
    <w:p w14:paraId="7B781076" w14:textId="77777777" w:rsidR="00B17E6C" w:rsidRDefault="00B17E6C" w:rsidP="007F4D57">
      <w:r>
        <w:t xml:space="preserve">Refer </w:t>
      </w:r>
      <w:r w:rsidRPr="00E32202">
        <w:t xml:space="preserve">to the </w:t>
      </w:r>
      <w:r>
        <w:t xml:space="preserve">Part Two </w:t>
      </w:r>
      <w:r w:rsidRPr="00E32202">
        <w:t>that</w:t>
      </w:r>
      <w:r>
        <w:t xml:space="preserve"> describe the scope for specific programme audit requirements.</w:t>
      </w:r>
    </w:p>
    <w:p w14:paraId="7B781077" w14:textId="77777777" w:rsidR="007F4D57" w:rsidRPr="00C24246" w:rsidRDefault="007F4D57" w:rsidP="007F4D57"/>
    <w:p w14:paraId="7B781078" w14:textId="77777777" w:rsidR="00B17E6C" w:rsidRPr="00C24246" w:rsidRDefault="00B17E6C" w:rsidP="00102FEA">
      <w:pPr>
        <w:pStyle w:val="Heading3-nonumber"/>
      </w:pPr>
      <w:r w:rsidRPr="00C24246">
        <w:t xml:space="preserve">Planning and </w:t>
      </w:r>
      <w:r>
        <w:t>p</w:t>
      </w:r>
      <w:r w:rsidRPr="00C24246">
        <w:t>reparation</w:t>
      </w:r>
    </w:p>
    <w:p w14:paraId="7B781079" w14:textId="77777777" w:rsidR="00B17E6C" w:rsidRPr="00C24246" w:rsidRDefault="00B17E6C" w:rsidP="007F4D57">
      <w:pPr>
        <w:pStyle w:val="Bullet"/>
      </w:pPr>
      <w:r w:rsidRPr="00C24246">
        <w:t xml:space="preserve">The DAA Group NSU </w:t>
      </w:r>
      <w:r>
        <w:t>c</w:t>
      </w:r>
      <w:r w:rsidRPr="00C24246">
        <w:t xml:space="preserve">lient manager </w:t>
      </w:r>
      <w:r>
        <w:t>will p</w:t>
      </w:r>
      <w:r w:rsidRPr="00C24246">
        <w:t>lan and prepar</w:t>
      </w:r>
      <w:r>
        <w:t>e</w:t>
      </w:r>
      <w:r w:rsidRPr="00C24246">
        <w:t xml:space="preserve"> for audit </w:t>
      </w:r>
      <w:r>
        <w:t>together</w:t>
      </w:r>
      <w:r w:rsidRPr="00C24246">
        <w:t xml:space="preserve"> with the relevant NSU programme </w:t>
      </w:r>
      <w:r>
        <w:t>audit lead(s)</w:t>
      </w:r>
      <w:r w:rsidRPr="00C24246">
        <w:t xml:space="preserve"> and the specific screening service </w:t>
      </w:r>
      <w:r>
        <w:t>provider representative(s).</w:t>
      </w:r>
    </w:p>
    <w:p w14:paraId="7B78107A" w14:textId="77777777" w:rsidR="00B17E6C" w:rsidRDefault="00B17E6C" w:rsidP="007F4D57">
      <w:pPr>
        <w:pStyle w:val="Bullet"/>
      </w:pPr>
      <w:r w:rsidRPr="00C24246">
        <w:t>This</w:t>
      </w:r>
      <w:r>
        <w:t xml:space="preserve"> work</w:t>
      </w:r>
      <w:r w:rsidRPr="00C24246">
        <w:t xml:space="preserve"> will include </w:t>
      </w:r>
      <w:r>
        <w:t>reaching</w:t>
      </w:r>
      <w:r w:rsidRPr="00C24246">
        <w:t xml:space="preserve"> agreement with NSU o</w:t>
      </w:r>
      <w:r>
        <w:t>n</w:t>
      </w:r>
      <w:r w:rsidRPr="00C24246">
        <w:t xml:space="preserve"> focus</w:t>
      </w:r>
      <w:r>
        <w:t xml:space="preserve"> points </w:t>
      </w:r>
      <w:r w:rsidRPr="00C24246">
        <w:t xml:space="preserve">and specific standards for each programme at the </w:t>
      </w:r>
      <w:r>
        <w:t>start</w:t>
      </w:r>
      <w:r w:rsidRPr="00C24246">
        <w:t xml:space="preserve"> of the </w:t>
      </w:r>
      <w:r>
        <w:t>three</w:t>
      </w:r>
      <w:r w:rsidRPr="00C24246">
        <w:t>-year audit cycle.</w:t>
      </w:r>
    </w:p>
    <w:p w14:paraId="7B78107B" w14:textId="77777777" w:rsidR="009D607F" w:rsidRPr="00C24246" w:rsidRDefault="009D607F" w:rsidP="009D607F"/>
    <w:p w14:paraId="7B78107C" w14:textId="77777777" w:rsidR="00B17E6C" w:rsidRPr="00C24246" w:rsidRDefault="00B17E6C" w:rsidP="00B17E6C">
      <w:pPr>
        <w:pStyle w:val="Heading3-nonumber"/>
      </w:pPr>
      <w:r w:rsidRPr="00C24246">
        <w:t>Methodology</w:t>
      </w:r>
    </w:p>
    <w:p w14:paraId="7B78107D" w14:textId="77777777" w:rsidR="00E33EDB" w:rsidRPr="009D607F" w:rsidRDefault="00B17E6C" w:rsidP="00B17E6C">
      <w:pPr>
        <w:rPr>
          <w:spacing w:val="-2"/>
        </w:rPr>
      </w:pPr>
      <w:r w:rsidRPr="009D607F">
        <w:rPr>
          <w:spacing w:val="-2"/>
        </w:rPr>
        <w:t>Any alteration to the audit methodology will be agreed with the NSU programme managers and screening service providers as relevant. For example, it might be necessary to conduct a remote audit due to a COVID-19 resurgence or another similar crisis.</w:t>
      </w:r>
    </w:p>
    <w:p w14:paraId="7B78107E" w14:textId="77777777" w:rsidR="00E33EDB" w:rsidRDefault="00B17E6C" w:rsidP="00B17E6C">
      <w:pPr>
        <w:pStyle w:val="Heading3-nonumber"/>
      </w:pPr>
      <w:r w:rsidRPr="00C24246">
        <w:lastRenderedPageBreak/>
        <w:t>Two</w:t>
      </w:r>
      <w:r>
        <w:t>-</w:t>
      </w:r>
      <w:r w:rsidRPr="00C24246">
        <w:t>stage audits</w:t>
      </w:r>
    </w:p>
    <w:p w14:paraId="7B78107F" w14:textId="77777777" w:rsidR="00E33EDB" w:rsidRDefault="00B17E6C" w:rsidP="009D607F">
      <w:pPr>
        <w:pStyle w:val="Bullet"/>
      </w:pPr>
      <w:r w:rsidRPr="00C24246">
        <w:t>The audit process will be in two stages</w:t>
      </w:r>
      <w:r>
        <w:t>,</w:t>
      </w:r>
      <w:r w:rsidRPr="00C24246">
        <w:t xml:space="preserve"> as </w:t>
      </w:r>
      <w:r>
        <w:t>S</w:t>
      </w:r>
      <w:r w:rsidRPr="00470D5F">
        <w:t>ection</w:t>
      </w:r>
      <w:r>
        <w:t xml:space="preserve"> 7 describes</w:t>
      </w:r>
      <w:r w:rsidRPr="00470D5F">
        <w:t>.</w:t>
      </w:r>
    </w:p>
    <w:p w14:paraId="7B781080" w14:textId="77777777" w:rsidR="00E33EDB" w:rsidRDefault="00B17E6C" w:rsidP="009D607F">
      <w:pPr>
        <w:pStyle w:val="Bullet"/>
      </w:pPr>
      <w:r w:rsidRPr="00C24246">
        <w:t>Stage one is off site and stage two</w:t>
      </w:r>
      <w:r>
        <w:t xml:space="preserve"> is</w:t>
      </w:r>
      <w:r w:rsidRPr="00C24246">
        <w:t xml:space="preserve"> on</w:t>
      </w:r>
      <w:r>
        <w:t xml:space="preserve"> </w:t>
      </w:r>
      <w:r w:rsidRPr="00C24246">
        <w:t>site.</w:t>
      </w:r>
    </w:p>
    <w:p w14:paraId="7B781081" w14:textId="77777777" w:rsidR="009D607F" w:rsidRDefault="009D607F" w:rsidP="009D607F"/>
    <w:p w14:paraId="7B781082" w14:textId="77777777" w:rsidR="00B17E6C" w:rsidRPr="00C24246" w:rsidRDefault="00B17E6C" w:rsidP="00102FEA">
      <w:pPr>
        <w:pStyle w:val="Heading3-nonumber"/>
      </w:pPr>
      <w:r w:rsidRPr="006619AB">
        <w:t>Audit report</w:t>
      </w:r>
      <w:r>
        <w:t>s</w:t>
      </w:r>
    </w:p>
    <w:p w14:paraId="7B781083" w14:textId="77777777" w:rsidR="00B17E6C" w:rsidRDefault="00B17E6C" w:rsidP="009D607F">
      <w:r>
        <w:t>For information on the a</w:t>
      </w:r>
      <w:r w:rsidRPr="00C24246">
        <w:t>udit report</w:t>
      </w:r>
      <w:r>
        <w:t>s</w:t>
      </w:r>
      <w:r w:rsidRPr="00C24246">
        <w:t xml:space="preserve"> the DAA Group auditors </w:t>
      </w:r>
      <w:r>
        <w:t>provide, see:</w:t>
      </w:r>
    </w:p>
    <w:p w14:paraId="7B781084" w14:textId="4301C261" w:rsidR="00B17E6C" w:rsidRDefault="00D93675" w:rsidP="009D607F">
      <w:pPr>
        <w:pStyle w:val="Bullet"/>
      </w:pPr>
      <w:r>
        <w:rPr>
          <w:b/>
        </w:rPr>
        <w:t xml:space="preserve">Section </w:t>
      </w:r>
      <w:r>
        <w:rPr>
          <w:b/>
        </w:rPr>
        <w:fldChar w:fldCharType="begin"/>
      </w:r>
      <w:r>
        <w:rPr>
          <w:b/>
        </w:rPr>
        <w:instrText xml:space="preserve"> REF _Ref71179459 \r \h </w:instrText>
      </w:r>
      <w:r>
        <w:rPr>
          <w:b/>
        </w:rPr>
      </w:r>
      <w:r>
        <w:rPr>
          <w:b/>
        </w:rPr>
        <w:fldChar w:fldCharType="separate"/>
      </w:r>
      <w:r w:rsidR="002861DC">
        <w:rPr>
          <w:b/>
        </w:rPr>
        <w:t>7.4</w:t>
      </w:r>
      <w:r>
        <w:rPr>
          <w:b/>
        </w:rPr>
        <w:fldChar w:fldCharType="end"/>
      </w:r>
      <w:r w:rsidR="00B17E6C">
        <w:t xml:space="preserve"> </w:t>
      </w:r>
      <w:r>
        <w:fldChar w:fldCharType="begin"/>
      </w:r>
      <w:r>
        <w:instrText xml:space="preserve"> REF _Ref71179475 \h </w:instrText>
      </w:r>
      <w:r>
        <w:fldChar w:fldCharType="separate"/>
      </w:r>
      <w:r w:rsidR="002861DC">
        <w:rPr>
          <w:rFonts w:eastAsia="Arial"/>
        </w:rPr>
        <w:t>Audit outcome</w:t>
      </w:r>
      <w:r>
        <w:fldChar w:fldCharType="end"/>
      </w:r>
    </w:p>
    <w:p w14:paraId="7B781085" w14:textId="3C944543" w:rsidR="00B17E6C" w:rsidRDefault="00B17E6C" w:rsidP="009D607F">
      <w:pPr>
        <w:pStyle w:val="Bullet"/>
      </w:pPr>
      <w:r>
        <w:rPr>
          <w:b/>
        </w:rPr>
        <w:t xml:space="preserve">Section </w:t>
      </w:r>
      <w:r w:rsidR="009C3AC9">
        <w:rPr>
          <w:b/>
        </w:rPr>
        <w:fldChar w:fldCharType="begin"/>
      </w:r>
      <w:r w:rsidR="009C3AC9">
        <w:rPr>
          <w:b/>
        </w:rPr>
        <w:instrText xml:space="preserve"> REF _Ref71179566 \r \h </w:instrText>
      </w:r>
      <w:r w:rsidR="009C3AC9">
        <w:rPr>
          <w:b/>
        </w:rPr>
      </w:r>
      <w:r w:rsidR="009C3AC9">
        <w:rPr>
          <w:b/>
        </w:rPr>
        <w:fldChar w:fldCharType="separate"/>
      </w:r>
      <w:r w:rsidR="002861DC">
        <w:rPr>
          <w:b/>
        </w:rPr>
        <w:t>11</w:t>
      </w:r>
      <w:r w:rsidR="009C3AC9">
        <w:rPr>
          <w:b/>
        </w:rPr>
        <w:fldChar w:fldCharType="end"/>
      </w:r>
      <w:r w:rsidRPr="00470D5F">
        <w:t xml:space="preserve"> </w:t>
      </w:r>
      <w:r w:rsidR="009C3AC9">
        <w:fldChar w:fldCharType="begin"/>
      </w:r>
      <w:r w:rsidR="009C3AC9">
        <w:instrText xml:space="preserve"> REF _Ref71179574 \h </w:instrText>
      </w:r>
      <w:r w:rsidR="009C3AC9">
        <w:fldChar w:fldCharType="separate"/>
      </w:r>
      <w:r w:rsidR="002861DC" w:rsidRPr="00964537">
        <w:rPr>
          <w:rFonts w:eastAsia="Arial"/>
        </w:rPr>
        <w:t>Audit reporting</w:t>
      </w:r>
      <w:r w:rsidR="009C3AC9">
        <w:fldChar w:fldCharType="end"/>
      </w:r>
      <w:r>
        <w:t>.</w:t>
      </w:r>
    </w:p>
    <w:p w14:paraId="7B781086" w14:textId="77777777" w:rsidR="009D607F" w:rsidRPr="00470D5F" w:rsidRDefault="009D607F" w:rsidP="009D607F"/>
    <w:p w14:paraId="7B781087" w14:textId="77777777" w:rsidR="00B17E6C" w:rsidRPr="003F6642" w:rsidRDefault="00B17E6C" w:rsidP="009D607F">
      <w:pPr>
        <w:pStyle w:val="Heading2"/>
      </w:pPr>
      <w:bookmarkStart w:id="46" w:name="_Toc68012562"/>
      <w:bookmarkStart w:id="47" w:name="_Toc90391833"/>
      <w:r>
        <w:t>M</w:t>
      </w:r>
      <w:r w:rsidRPr="003F6642">
        <w:t>anag</w:t>
      </w:r>
      <w:r>
        <w:t xml:space="preserve">ement of </w:t>
      </w:r>
      <w:r w:rsidRPr="003F6642">
        <w:t>conflict of interest</w:t>
      </w:r>
      <w:bookmarkEnd w:id="46"/>
      <w:bookmarkEnd w:id="47"/>
    </w:p>
    <w:p w14:paraId="7B781088" w14:textId="77777777" w:rsidR="00E33EDB" w:rsidRDefault="00B17E6C" w:rsidP="009D607F">
      <w:r w:rsidRPr="00071D84">
        <w:t>The DAA Group is required to:</w:t>
      </w:r>
    </w:p>
    <w:p w14:paraId="7B781089" w14:textId="77777777" w:rsidR="00B17E6C" w:rsidRPr="00B37B34" w:rsidRDefault="00B17E6C" w:rsidP="009D607F">
      <w:pPr>
        <w:pStyle w:val="Number"/>
        <w:spacing w:before="120"/>
      </w:pPr>
      <w:r>
        <w:t>a</w:t>
      </w:r>
      <w:r w:rsidRPr="008C1635">
        <w:t>pp</w:t>
      </w:r>
      <w:r w:rsidRPr="00B37B34">
        <w:t>oint and use a committee for safeguarding impartiality, consistent with a process for managing conflicts of interest as set out in AS/NZS ISO/IEC 17021-1</w:t>
      </w:r>
    </w:p>
    <w:p w14:paraId="7B78108A" w14:textId="77777777" w:rsidR="00B17E6C" w:rsidRPr="00B37B34" w:rsidRDefault="00B17E6C" w:rsidP="009D607F">
      <w:pPr>
        <w:pStyle w:val="Number"/>
        <w:spacing w:before="120"/>
      </w:pPr>
      <w:r w:rsidRPr="00B37B34">
        <w:t>ensure all auditors complete a conflict-of-interest declaration before every audit</w:t>
      </w:r>
    </w:p>
    <w:p w14:paraId="7B78108B" w14:textId="77777777" w:rsidR="00B17E6C" w:rsidRPr="008C1635" w:rsidRDefault="00B17E6C" w:rsidP="009D607F">
      <w:pPr>
        <w:pStyle w:val="Number"/>
        <w:spacing w:before="120"/>
      </w:pPr>
      <w:r w:rsidRPr="00B37B34">
        <w:t>have established processes to specifically manage conflicts of interest at an organi</w:t>
      </w:r>
      <w:r w:rsidRPr="008C1635">
        <w:t>sational level – noting that:</w:t>
      </w:r>
    </w:p>
    <w:p w14:paraId="7B78108C" w14:textId="77777777" w:rsidR="00B17E6C" w:rsidRDefault="00B17E6C" w:rsidP="009D607F">
      <w:pPr>
        <w:pStyle w:val="Bullet"/>
        <w:ind w:left="851"/>
      </w:pPr>
      <w:r>
        <w:t>t</w:t>
      </w:r>
      <w:r w:rsidRPr="008C1635">
        <w:t>he DAA Group must not provide any consulting services to a screening programme service that is also receiving auditing services</w:t>
      </w:r>
    </w:p>
    <w:p w14:paraId="7B78108D" w14:textId="77777777" w:rsidR="00B17E6C" w:rsidRDefault="00B17E6C" w:rsidP="009D607F">
      <w:pPr>
        <w:pStyle w:val="Bullet"/>
        <w:ind w:left="851"/>
      </w:pPr>
      <w:r>
        <w:t>i</w:t>
      </w:r>
      <w:r w:rsidRPr="008C1635">
        <w:t>ndividual auditors must not provide auditing services where they have provided consultancy or educational services within the last two years to the same provider</w:t>
      </w:r>
    </w:p>
    <w:p w14:paraId="7B78108E" w14:textId="77777777" w:rsidR="00B17E6C" w:rsidRDefault="00B17E6C" w:rsidP="009D607F">
      <w:pPr>
        <w:pStyle w:val="Bullet"/>
        <w:ind w:left="851"/>
      </w:pPr>
      <w:r>
        <w:t>there must be a rotation of auditors.</w:t>
      </w:r>
    </w:p>
    <w:p w14:paraId="7B78108F" w14:textId="77777777" w:rsidR="00B17E6C" w:rsidRDefault="00B17E6C" w:rsidP="009D607F">
      <w:pPr>
        <w:rPr>
          <w:highlight w:val="magenta"/>
        </w:rPr>
      </w:pPr>
    </w:p>
    <w:p w14:paraId="7B781090" w14:textId="77777777" w:rsidR="00B17E6C" w:rsidRPr="00575889" w:rsidRDefault="00B17E6C" w:rsidP="00036460">
      <w:pPr>
        <w:pStyle w:val="Heading1"/>
      </w:pPr>
      <w:bookmarkStart w:id="48" w:name="_Toc68012563"/>
      <w:bookmarkStart w:id="49" w:name="_Toc90391834"/>
      <w:r w:rsidRPr="00575889">
        <w:lastRenderedPageBreak/>
        <w:t>NSU responsibilities</w:t>
      </w:r>
      <w:bookmarkEnd w:id="48"/>
      <w:bookmarkEnd w:id="49"/>
    </w:p>
    <w:p w14:paraId="7B781091" w14:textId="77777777" w:rsidR="00B17E6C" w:rsidRPr="00DF35A9" w:rsidRDefault="00B17E6C" w:rsidP="00036460">
      <w:r>
        <w:t>Each of the</w:t>
      </w:r>
      <w:r w:rsidRPr="00DF35A9">
        <w:t xml:space="preserve"> </w:t>
      </w:r>
      <w:r>
        <w:t>s</w:t>
      </w:r>
      <w:r w:rsidRPr="00DF35A9">
        <w:t>creening programmes ha</w:t>
      </w:r>
      <w:r>
        <w:t>s</w:t>
      </w:r>
      <w:r w:rsidRPr="00DF35A9">
        <w:t xml:space="preserve"> responsibilities in the audit process. This is because audit is a critical </w:t>
      </w:r>
      <w:r>
        <w:t xml:space="preserve">part </w:t>
      </w:r>
      <w:r w:rsidRPr="00DF35A9">
        <w:t xml:space="preserve">of </w:t>
      </w:r>
      <w:r>
        <w:t>each programme</w:t>
      </w:r>
      <w:r w:rsidR="00E33EDB">
        <w:t>’</w:t>
      </w:r>
      <w:r>
        <w:t xml:space="preserve">s </w:t>
      </w:r>
      <w:r w:rsidRPr="00DF35A9">
        <w:t>regular monitoring and evaluating activity.</w:t>
      </w:r>
    </w:p>
    <w:p w14:paraId="7B781092" w14:textId="77777777" w:rsidR="00B17E6C" w:rsidRPr="00DF35A9" w:rsidRDefault="00B17E6C" w:rsidP="00036460"/>
    <w:p w14:paraId="7B781093" w14:textId="5927C7EF" w:rsidR="00B17E6C" w:rsidRDefault="00B17E6C" w:rsidP="00036460">
      <w:r>
        <w:t>For a diagram of t</w:t>
      </w:r>
      <w:r w:rsidRPr="00E34115">
        <w:t>he NSU generic audit process</w:t>
      </w:r>
      <w:r>
        <w:t>, see</w:t>
      </w:r>
      <w:r w:rsidRPr="00E34115">
        <w:t xml:space="preserve"> </w:t>
      </w:r>
      <w:r w:rsidR="00B24EF2">
        <w:fldChar w:fldCharType="begin"/>
      </w:r>
      <w:r w:rsidR="00B24EF2">
        <w:instrText xml:space="preserve"> REF _Ref71174929 \r \h </w:instrText>
      </w:r>
      <w:r w:rsidR="00B24EF2">
        <w:fldChar w:fldCharType="separate"/>
      </w:r>
      <w:r w:rsidR="002861DC">
        <w:t>Appendix Two</w:t>
      </w:r>
      <w:r w:rsidR="00B24EF2">
        <w:fldChar w:fldCharType="end"/>
      </w:r>
      <w:r w:rsidRPr="00E34115">
        <w:t>.</w:t>
      </w:r>
    </w:p>
    <w:p w14:paraId="7B781094" w14:textId="77777777" w:rsidR="00B17E6C" w:rsidRDefault="00B17E6C" w:rsidP="00036460"/>
    <w:p w14:paraId="7B781095" w14:textId="77777777" w:rsidR="00B17E6C" w:rsidRPr="00DF35A9" w:rsidRDefault="00B17E6C" w:rsidP="00036460">
      <w:r>
        <w:t>Each programme will appoint an NSU programme audit leads.</w:t>
      </w:r>
    </w:p>
    <w:p w14:paraId="7B781096" w14:textId="77777777" w:rsidR="00B17E6C" w:rsidRPr="00DF35A9" w:rsidRDefault="00B17E6C" w:rsidP="00036460"/>
    <w:p w14:paraId="7B781097" w14:textId="77777777" w:rsidR="00B17E6C" w:rsidRDefault="00B17E6C" w:rsidP="00036460">
      <w:r w:rsidRPr="00DF35A9">
        <w:t>The</w:t>
      </w:r>
      <w:r w:rsidRPr="0097513F">
        <w:t xml:space="preserve"> NSU pro</w:t>
      </w:r>
      <w:r>
        <w:t xml:space="preserve">gramme </w:t>
      </w:r>
      <w:r w:rsidRPr="00DF35A9">
        <w:t>audit lead</w:t>
      </w:r>
      <w:r>
        <w:t>s</w:t>
      </w:r>
      <w:r w:rsidRPr="00DF35A9">
        <w:t xml:space="preserve"> will:</w:t>
      </w:r>
    </w:p>
    <w:p w14:paraId="7B781098" w14:textId="77777777" w:rsidR="00B17E6C" w:rsidRPr="00DF35A9" w:rsidRDefault="00B17E6C" w:rsidP="00036460">
      <w:pPr>
        <w:pStyle w:val="Bullet"/>
      </w:pPr>
      <w:r>
        <w:t>c</w:t>
      </w:r>
      <w:r w:rsidRPr="00DF35A9">
        <w:t>onfirm the audit scope and focus point</w:t>
      </w:r>
    </w:p>
    <w:p w14:paraId="7B781099" w14:textId="77777777" w:rsidR="00B17E6C" w:rsidRPr="00DF35A9" w:rsidRDefault="00B17E6C" w:rsidP="00036460">
      <w:pPr>
        <w:pStyle w:val="Bullet"/>
      </w:pPr>
      <w:r>
        <w:t>p</w:t>
      </w:r>
      <w:r w:rsidRPr="00DF35A9">
        <w:t>rovide</w:t>
      </w:r>
      <w:r w:rsidRPr="00C65013">
        <w:t xml:space="preserve"> </w:t>
      </w:r>
      <w:r w:rsidRPr="00DF35A9">
        <w:t>the audit team</w:t>
      </w:r>
      <w:r>
        <w:t xml:space="preserve"> with</w:t>
      </w:r>
      <w:r w:rsidRPr="00DF35A9">
        <w:t xml:space="preserve"> relevant information </w:t>
      </w:r>
      <w:r>
        <w:t xml:space="preserve">before the </w:t>
      </w:r>
      <w:r w:rsidRPr="00DF35A9">
        <w:t xml:space="preserve">audit </w:t>
      </w:r>
      <w:r>
        <w:t>begins</w:t>
      </w:r>
    </w:p>
    <w:p w14:paraId="7B78109A" w14:textId="77777777" w:rsidR="00B17E6C" w:rsidRPr="00AC1B86" w:rsidRDefault="00B17E6C" w:rsidP="00036460">
      <w:pPr>
        <w:pStyle w:val="Bullet"/>
      </w:pPr>
      <w:r>
        <w:t>s</w:t>
      </w:r>
      <w:r w:rsidRPr="00AC1B86">
        <w:t>ign off the final audit report</w:t>
      </w:r>
    </w:p>
    <w:p w14:paraId="7B78109B" w14:textId="77777777" w:rsidR="00B17E6C" w:rsidRDefault="00B17E6C" w:rsidP="00036460">
      <w:pPr>
        <w:pStyle w:val="Bullet"/>
      </w:pPr>
      <w:r>
        <w:t>after</w:t>
      </w:r>
      <w:r w:rsidRPr="002873ED">
        <w:t xml:space="preserve"> </w:t>
      </w:r>
      <w:r w:rsidRPr="00AC1B86">
        <w:t>receiv</w:t>
      </w:r>
      <w:r>
        <w:t>ing the</w:t>
      </w:r>
      <w:r w:rsidRPr="00AC1B86">
        <w:t xml:space="preserve"> final report</w:t>
      </w:r>
      <w:r>
        <w:t>,</w:t>
      </w:r>
      <w:r w:rsidRPr="00AC1B86">
        <w:t xml:space="preserve"> </w:t>
      </w:r>
      <w:r>
        <w:t>f</w:t>
      </w:r>
      <w:r w:rsidRPr="00AC1B86">
        <w:t xml:space="preserve">ollow up </w:t>
      </w:r>
      <w:r>
        <w:t>on</w:t>
      </w:r>
      <w:r w:rsidRPr="00AC1B86">
        <w:t xml:space="preserve"> action </w:t>
      </w:r>
      <w:r>
        <w:t xml:space="preserve">that </w:t>
      </w:r>
      <w:r w:rsidRPr="00AC1B86">
        <w:t>providers</w:t>
      </w:r>
      <w:r>
        <w:t xml:space="preserve"> must take</w:t>
      </w:r>
    </w:p>
    <w:p w14:paraId="7B78109C" w14:textId="77777777" w:rsidR="00B17E6C" w:rsidRPr="00AC1B86" w:rsidRDefault="00B17E6C" w:rsidP="00036460">
      <w:pPr>
        <w:pStyle w:val="Bullet"/>
      </w:pPr>
      <w:r>
        <w:t>a</w:t>
      </w:r>
      <w:r w:rsidRPr="00AC1B86">
        <w:t>gree the plan with the provider to address any audit critical and high-risk corrective action request</w:t>
      </w:r>
      <w:r>
        <w:t>s (CARs)</w:t>
      </w:r>
      <w:r w:rsidRPr="00AC1B86">
        <w:t xml:space="preserve"> within the timeframes</w:t>
      </w:r>
    </w:p>
    <w:p w14:paraId="7B78109D" w14:textId="77777777" w:rsidR="00B17E6C" w:rsidRPr="00AC1B86" w:rsidRDefault="00B17E6C" w:rsidP="00036460">
      <w:pPr>
        <w:pStyle w:val="Bullet"/>
      </w:pPr>
      <w:r>
        <w:t>r</w:t>
      </w:r>
      <w:r w:rsidRPr="00AC1B86">
        <w:t>egularly advise the programme leadership roles on progress with CAR</w:t>
      </w:r>
      <w:r>
        <w:t>s</w:t>
      </w:r>
    </w:p>
    <w:p w14:paraId="7B78109E" w14:textId="77777777" w:rsidR="00B17E6C" w:rsidRPr="00DF35A9" w:rsidRDefault="00B17E6C" w:rsidP="00036460">
      <w:pPr>
        <w:pStyle w:val="Bullet"/>
      </w:pPr>
      <w:r>
        <w:t>r</w:t>
      </w:r>
      <w:r w:rsidRPr="00AC1B86">
        <w:t xml:space="preserve">ecommend commendation identified through the audit as </w:t>
      </w:r>
      <w:r>
        <w:t xml:space="preserve">one or more </w:t>
      </w:r>
      <w:r w:rsidRPr="00AC1B86">
        <w:t>exemplar</w:t>
      </w:r>
      <w:r w:rsidRPr="00DF35A9">
        <w:t>s of high-quality practice and performance</w:t>
      </w:r>
    </w:p>
    <w:p w14:paraId="7B78109F" w14:textId="77777777" w:rsidR="00B17E6C" w:rsidRPr="00DF35A9" w:rsidRDefault="00B17E6C" w:rsidP="00036460">
      <w:pPr>
        <w:pStyle w:val="Bullet"/>
      </w:pPr>
      <w:r>
        <w:t>a</w:t>
      </w:r>
      <w:r w:rsidRPr="00DF35A9">
        <w:t xml:space="preserve">t the conclusion </w:t>
      </w:r>
      <w:r>
        <w:t xml:space="preserve">of </w:t>
      </w:r>
      <w:r w:rsidRPr="00DF35A9">
        <w:t>a full audit cycle with all screening provider</w:t>
      </w:r>
      <w:r>
        <w:t xml:space="preserve">s, </w:t>
      </w:r>
      <w:r w:rsidRPr="00DF35A9">
        <w:t>analyse high</w:t>
      </w:r>
      <w:r>
        <w:t>-</w:t>
      </w:r>
      <w:r w:rsidRPr="00DF35A9">
        <w:t>le</w:t>
      </w:r>
      <w:r>
        <w:t xml:space="preserve">vel </w:t>
      </w:r>
      <w:r w:rsidRPr="00DF35A9">
        <w:t>outcomes to identify trends or areas of interest to inform focus points</w:t>
      </w:r>
      <w:r w:rsidRPr="00587705">
        <w:t xml:space="preserve"> </w:t>
      </w:r>
      <w:r>
        <w:t xml:space="preserve">in </w:t>
      </w:r>
      <w:r w:rsidRPr="00DF35A9">
        <w:t>the next audit cycle or programme lead continuous quality improvement projects</w:t>
      </w:r>
      <w:r>
        <w:t>.</w:t>
      </w:r>
    </w:p>
    <w:p w14:paraId="7B7810A0" w14:textId="77777777" w:rsidR="00B17E6C" w:rsidRDefault="00B17E6C" w:rsidP="00036460"/>
    <w:p w14:paraId="7B7810A1" w14:textId="77777777" w:rsidR="00E33EDB" w:rsidRDefault="00B17E6C" w:rsidP="00036460">
      <w:r w:rsidRPr="00DF35A9">
        <w:t xml:space="preserve">During the period of the </w:t>
      </w:r>
      <w:r>
        <w:t>first</w:t>
      </w:r>
      <w:r w:rsidRPr="00DF35A9">
        <w:t xml:space="preserve"> three-year</w:t>
      </w:r>
      <w:r>
        <w:t xml:space="preserve"> cycle,</w:t>
      </w:r>
      <w:r w:rsidRPr="00DF35A9">
        <w:t xml:space="preserve"> NSU will work with the DAA Group to include a consumer auditor in the screening programme audit teams.</w:t>
      </w:r>
    </w:p>
    <w:p w14:paraId="7B7810A2" w14:textId="77777777" w:rsidR="00B17E6C" w:rsidRPr="00DF35A9" w:rsidRDefault="00B17E6C" w:rsidP="00036460"/>
    <w:p w14:paraId="7B7810A3" w14:textId="77777777" w:rsidR="00E33EDB" w:rsidRDefault="00B17E6C" w:rsidP="00036460">
      <w:r>
        <w:t>We see t</w:t>
      </w:r>
      <w:r w:rsidRPr="00DF35A9">
        <w:t xml:space="preserve">he role of a consumer auditor </w:t>
      </w:r>
      <w:r>
        <w:t xml:space="preserve">as </w:t>
      </w:r>
      <w:r w:rsidRPr="00DF35A9">
        <w:t xml:space="preserve">invaluable </w:t>
      </w:r>
      <w:r>
        <w:t>because it enables the</w:t>
      </w:r>
      <w:r w:rsidRPr="00DF35A9">
        <w:t xml:space="preserve"> </w:t>
      </w:r>
      <w:r>
        <w:t xml:space="preserve">audit process to </w:t>
      </w:r>
      <w:r w:rsidRPr="00DF35A9">
        <w:t xml:space="preserve">assess the quality of </w:t>
      </w:r>
      <w:r>
        <w:t xml:space="preserve">a screening </w:t>
      </w:r>
      <w:r w:rsidRPr="00DF35A9">
        <w:t>service across the screening pathway</w:t>
      </w:r>
      <w:r>
        <w:t xml:space="preserve"> based on the experience of a service participant. </w:t>
      </w:r>
      <w:r w:rsidRPr="00C216D5">
        <w:t>By adopting this approach</w:t>
      </w:r>
      <w:r>
        <w:t>,</w:t>
      </w:r>
      <w:r w:rsidRPr="00C216D5">
        <w:t xml:space="preserve"> NSU will demonstrate a commitment to person</w:t>
      </w:r>
      <w:r>
        <w:t>-</w:t>
      </w:r>
      <w:r w:rsidRPr="00C216D5">
        <w:t>centred screening delivery.</w:t>
      </w:r>
    </w:p>
    <w:p w14:paraId="7B7810A4" w14:textId="77777777" w:rsidR="00B17E6C" w:rsidRDefault="00B17E6C" w:rsidP="00036460"/>
    <w:p w14:paraId="7B7810A5" w14:textId="77777777" w:rsidR="00E33EDB" w:rsidRDefault="00B17E6C" w:rsidP="00036460">
      <w:r>
        <w:t>In addition, i</w:t>
      </w:r>
      <w:r w:rsidRPr="001C4C69">
        <w:t xml:space="preserve">ndividual tracers will be used as one of the standard audit methodologies to ensure the pathway for consumers is </w:t>
      </w:r>
      <w:r>
        <w:t xml:space="preserve">at the </w:t>
      </w:r>
      <w:r w:rsidRPr="001C4C69">
        <w:t xml:space="preserve">centre </w:t>
      </w:r>
      <w:r>
        <w:t>of</w:t>
      </w:r>
      <w:r w:rsidRPr="001C4C69">
        <w:t xml:space="preserve"> the </w:t>
      </w:r>
      <w:r>
        <w:t xml:space="preserve">audit </w:t>
      </w:r>
      <w:r w:rsidRPr="001C4C69">
        <w:t>process.</w:t>
      </w:r>
    </w:p>
    <w:p w14:paraId="7B7810A6" w14:textId="77777777" w:rsidR="00B17E6C" w:rsidRPr="00DF35A9" w:rsidRDefault="00B17E6C" w:rsidP="00036460"/>
    <w:p w14:paraId="7B7810A7" w14:textId="77777777" w:rsidR="00B17E6C" w:rsidRDefault="00B17E6C" w:rsidP="00036460">
      <w:r w:rsidRPr="00DF35A9">
        <w:t>Separately</w:t>
      </w:r>
      <w:r>
        <w:t>,</w:t>
      </w:r>
      <w:r w:rsidRPr="00DF35A9">
        <w:t xml:space="preserve"> the</w:t>
      </w:r>
      <w:r w:rsidRPr="0097513F">
        <w:t xml:space="preserve"> NSU pro</w:t>
      </w:r>
      <w:r w:rsidRPr="00DF35A9">
        <w:t xml:space="preserve">gramme leads will provide feedback to </w:t>
      </w:r>
      <w:r>
        <w:t xml:space="preserve">the </w:t>
      </w:r>
      <w:r w:rsidRPr="00DF35A9">
        <w:t xml:space="preserve">DAA </w:t>
      </w:r>
      <w:r>
        <w:t xml:space="preserve">Group based on </w:t>
      </w:r>
      <w:r w:rsidRPr="00DF35A9">
        <w:t xml:space="preserve">regular auditor reports and </w:t>
      </w:r>
      <w:r>
        <w:t xml:space="preserve">will </w:t>
      </w:r>
      <w:r w:rsidRPr="00DF35A9">
        <w:t xml:space="preserve">review </w:t>
      </w:r>
      <w:r>
        <w:t xml:space="preserve">the </w:t>
      </w:r>
      <w:r w:rsidRPr="00DF35A9">
        <w:t>audit schedule</w:t>
      </w:r>
      <w:r>
        <w:t xml:space="preserve"> for each programme every year.</w:t>
      </w:r>
    </w:p>
    <w:p w14:paraId="7B7810A8" w14:textId="77777777" w:rsidR="00036460" w:rsidRPr="00DF35A9" w:rsidRDefault="00036460" w:rsidP="00036460"/>
    <w:p w14:paraId="7B7810A9" w14:textId="77777777" w:rsidR="00B17E6C" w:rsidRPr="00447BB5" w:rsidRDefault="00B17E6C" w:rsidP="00036460">
      <w:pPr>
        <w:pStyle w:val="Heading1"/>
        <w:rPr>
          <w:rFonts w:eastAsia="Arial"/>
        </w:rPr>
      </w:pPr>
      <w:bookmarkStart w:id="50" w:name="_Toc68012564"/>
      <w:bookmarkStart w:id="51" w:name="_Toc371769427"/>
      <w:bookmarkStart w:id="52" w:name="_Toc414889609"/>
      <w:bookmarkStart w:id="53" w:name="_Toc485385885"/>
      <w:bookmarkStart w:id="54" w:name="_Ref6736328"/>
      <w:bookmarkStart w:id="55" w:name="_Toc90391835"/>
      <w:r w:rsidRPr="00447BB5">
        <w:rPr>
          <w:rFonts w:eastAsia="Arial"/>
        </w:rPr>
        <w:lastRenderedPageBreak/>
        <w:t>Relationships and communication</w:t>
      </w:r>
      <w:bookmarkEnd w:id="50"/>
      <w:bookmarkEnd w:id="55"/>
    </w:p>
    <w:p w14:paraId="7B7810AA" w14:textId="77777777" w:rsidR="00E33EDB" w:rsidRDefault="00B17E6C" w:rsidP="00036460">
      <w:pPr>
        <w:rPr>
          <w:rFonts w:eastAsia="Arial"/>
        </w:rPr>
      </w:pPr>
      <w:r w:rsidRPr="00E12599">
        <w:rPr>
          <w:rFonts w:eastAsia="Arial"/>
        </w:rPr>
        <w:t xml:space="preserve">The </w:t>
      </w:r>
      <w:r>
        <w:rPr>
          <w:rFonts w:eastAsia="Arial"/>
        </w:rPr>
        <w:t>DAA G</w:t>
      </w:r>
      <w:r w:rsidRPr="002F03CB">
        <w:rPr>
          <w:rFonts w:eastAsia="Arial"/>
        </w:rPr>
        <w:t xml:space="preserve">roup undertakes to develop professional working relationships with the NSU </w:t>
      </w:r>
      <w:r>
        <w:rPr>
          <w:rFonts w:eastAsia="Arial"/>
        </w:rPr>
        <w:t xml:space="preserve">lead roles and </w:t>
      </w:r>
      <w:r w:rsidRPr="002F03CB">
        <w:rPr>
          <w:rFonts w:eastAsia="Arial"/>
        </w:rPr>
        <w:t>managers and each of the screening programme service</w:t>
      </w:r>
      <w:r>
        <w:rPr>
          <w:rFonts w:eastAsia="Arial"/>
        </w:rPr>
        <w:t xml:space="preserve"> provider</w:t>
      </w:r>
      <w:r w:rsidRPr="002F03CB">
        <w:rPr>
          <w:rFonts w:eastAsia="Arial"/>
        </w:rPr>
        <w:t xml:space="preserve">s to enable clear communication and </w:t>
      </w:r>
      <w:r>
        <w:rPr>
          <w:rFonts w:eastAsia="Arial"/>
        </w:rPr>
        <w:t>high-</w:t>
      </w:r>
      <w:r w:rsidRPr="002F03CB">
        <w:rPr>
          <w:rFonts w:eastAsia="Arial"/>
        </w:rPr>
        <w:t xml:space="preserve">quality </w:t>
      </w:r>
      <w:r>
        <w:rPr>
          <w:rFonts w:eastAsia="Arial"/>
        </w:rPr>
        <w:t xml:space="preserve">audit </w:t>
      </w:r>
      <w:r w:rsidRPr="00E12599">
        <w:rPr>
          <w:rFonts w:eastAsia="Arial"/>
        </w:rPr>
        <w:t>outcomes</w:t>
      </w:r>
      <w:r>
        <w:rPr>
          <w:rFonts w:eastAsia="Arial"/>
        </w:rPr>
        <w:t>.</w:t>
      </w:r>
    </w:p>
    <w:p w14:paraId="7B7810AB" w14:textId="77777777" w:rsidR="00B17E6C" w:rsidRDefault="00B17E6C" w:rsidP="00036460">
      <w:pPr>
        <w:rPr>
          <w:rFonts w:eastAsia="Arial"/>
        </w:rPr>
      </w:pPr>
    </w:p>
    <w:p w14:paraId="7B7810AC" w14:textId="77777777" w:rsidR="00B17E6C" w:rsidRDefault="00B17E6C" w:rsidP="00036460">
      <w:pPr>
        <w:rPr>
          <w:rFonts w:eastAsia="Arial"/>
        </w:rPr>
      </w:pPr>
      <w:r>
        <w:rPr>
          <w:rFonts w:eastAsia="Arial"/>
        </w:rPr>
        <w:t xml:space="preserve">The DAA Group states a commitment to reflect the values of professionalism, partnership, passion, integrity, </w:t>
      </w:r>
      <w:proofErr w:type="gramStart"/>
      <w:r>
        <w:rPr>
          <w:rFonts w:eastAsia="Arial"/>
        </w:rPr>
        <w:t>innovation</w:t>
      </w:r>
      <w:proofErr w:type="gramEnd"/>
      <w:r>
        <w:rPr>
          <w:rFonts w:eastAsia="Arial"/>
        </w:rPr>
        <w:t xml:space="preserve"> and independence in all interactions with NSU staff and screening service providers.</w:t>
      </w:r>
    </w:p>
    <w:p w14:paraId="7B7810AD" w14:textId="77777777" w:rsidR="00B17E6C" w:rsidRDefault="00B17E6C" w:rsidP="00036460">
      <w:pPr>
        <w:rPr>
          <w:rFonts w:eastAsia="Arial"/>
        </w:rPr>
      </w:pPr>
    </w:p>
    <w:p w14:paraId="7B7810AE" w14:textId="77777777" w:rsidR="00B17E6C" w:rsidRDefault="00B17E6C" w:rsidP="00036460">
      <w:pPr>
        <w:rPr>
          <w:rFonts w:eastAsia="Arial"/>
        </w:rPr>
      </w:pPr>
      <w:r>
        <w:rPr>
          <w:rFonts w:eastAsia="Arial"/>
        </w:rPr>
        <w:t xml:space="preserve">The DAA Group commits to be open and honest, </w:t>
      </w:r>
      <w:proofErr w:type="gramStart"/>
      <w:r>
        <w:rPr>
          <w:rFonts w:eastAsia="Arial"/>
        </w:rPr>
        <w:t>inclusive</w:t>
      </w:r>
      <w:proofErr w:type="gramEnd"/>
      <w:r>
        <w:rPr>
          <w:rFonts w:eastAsia="Arial"/>
        </w:rPr>
        <w:t xml:space="preserve"> and collaborative in its communication throughout the audit process, including the preparation and planning stages as well as the on-site audit activity.</w:t>
      </w:r>
    </w:p>
    <w:p w14:paraId="7B7810AF" w14:textId="77777777" w:rsidR="00B17E6C" w:rsidRDefault="00B17E6C" w:rsidP="00036460">
      <w:pPr>
        <w:rPr>
          <w:rFonts w:eastAsia="Arial"/>
        </w:rPr>
      </w:pPr>
    </w:p>
    <w:p w14:paraId="7B7810B0" w14:textId="77777777" w:rsidR="00B17E6C" w:rsidRDefault="00B17E6C" w:rsidP="00036460">
      <w:pPr>
        <w:rPr>
          <w:rFonts w:eastAsia="Arial"/>
        </w:rPr>
      </w:pPr>
      <w:r>
        <w:rPr>
          <w:rFonts w:eastAsia="Arial"/>
        </w:rPr>
        <w:t xml:space="preserve">The DAA Group NSU client manager is the main point of contact for NSU programme managers and service providers on all programme-specific audit activity. </w:t>
      </w:r>
      <w:r w:rsidRPr="00D02438">
        <w:rPr>
          <w:rFonts w:eastAsia="Arial"/>
        </w:rPr>
        <w:t xml:space="preserve">The DAA Group NSU </w:t>
      </w:r>
      <w:r>
        <w:rPr>
          <w:rFonts w:eastAsia="Arial"/>
        </w:rPr>
        <w:t>c</w:t>
      </w:r>
      <w:r w:rsidRPr="00D02438">
        <w:rPr>
          <w:rFonts w:eastAsia="Arial"/>
        </w:rPr>
        <w:t xml:space="preserve">lient </w:t>
      </w:r>
      <w:r>
        <w:rPr>
          <w:rFonts w:eastAsia="Arial"/>
        </w:rPr>
        <w:t>m</w:t>
      </w:r>
      <w:r w:rsidRPr="00D02438">
        <w:rPr>
          <w:rFonts w:eastAsia="Arial"/>
        </w:rPr>
        <w:t>anager</w:t>
      </w:r>
      <w:r>
        <w:rPr>
          <w:rFonts w:eastAsia="Arial"/>
        </w:rPr>
        <w:t xml:space="preserve"> also ensures technical expert assessors are recruited, trained and available for audit.</w:t>
      </w:r>
    </w:p>
    <w:p w14:paraId="7B7810B1" w14:textId="77777777" w:rsidR="00B17E6C" w:rsidRDefault="00B17E6C" w:rsidP="00036460">
      <w:pPr>
        <w:rPr>
          <w:rFonts w:eastAsia="Arial"/>
        </w:rPr>
      </w:pPr>
    </w:p>
    <w:p w14:paraId="7B7810B2" w14:textId="77777777" w:rsidR="00B17E6C" w:rsidRPr="0002365B" w:rsidRDefault="00B17E6C" w:rsidP="00036460">
      <w:pPr>
        <w:rPr>
          <w:rFonts w:eastAsia="Arial"/>
        </w:rPr>
      </w:pPr>
      <w:r w:rsidRPr="0002365B">
        <w:rPr>
          <w:rFonts w:eastAsia="Arial"/>
        </w:rPr>
        <w:t xml:space="preserve">The NSU </w:t>
      </w:r>
      <w:r>
        <w:rPr>
          <w:rFonts w:eastAsia="Arial"/>
        </w:rPr>
        <w:t>quality manager or delegate will be the primary liaison person and agreement relationship manager with the DAA Group.</w:t>
      </w:r>
    </w:p>
    <w:p w14:paraId="7B7810B3" w14:textId="77777777" w:rsidR="00B17E6C" w:rsidRPr="0002365B" w:rsidRDefault="00B17E6C" w:rsidP="00036460">
      <w:pPr>
        <w:rPr>
          <w:rFonts w:eastAsia="Arial"/>
        </w:rPr>
      </w:pPr>
    </w:p>
    <w:p w14:paraId="7B7810B4" w14:textId="77777777" w:rsidR="00B17E6C" w:rsidRPr="002F03CB" w:rsidRDefault="00B17E6C" w:rsidP="00036460">
      <w:pPr>
        <w:rPr>
          <w:rFonts w:eastAsia="Arial"/>
        </w:rPr>
      </w:pPr>
      <w:r>
        <w:rPr>
          <w:rFonts w:eastAsia="Arial"/>
        </w:rPr>
        <w:t>The DAA Group will</w:t>
      </w:r>
      <w:r w:rsidRPr="0097513F">
        <w:rPr>
          <w:rFonts w:eastAsia="Arial"/>
        </w:rPr>
        <w:t xml:space="preserve"> liaise </w:t>
      </w:r>
      <w:r>
        <w:rPr>
          <w:rFonts w:eastAsia="Arial"/>
        </w:rPr>
        <w:t xml:space="preserve">with </w:t>
      </w:r>
      <w:r w:rsidRPr="0097513F">
        <w:rPr>
          <w:rFonts w:eastAsia="Arial"/>
        </w:rPr>
        <w:t>screening providers on matters</w:t>
      </w:r>
      <w:r>
        <w:rPr>
          <w:rFonts w:eastAsia="Arial"/>
        </w:rPr>
        <w:t xml:space="preserve"> specific to the screening programme and audit arrangements. This may include agreeing the schedule of audits or providing notification when a change to the date for a site visit is needed.</w:t>
      </w:r>
    </w:p>
    <w:bookmarkEnd w:id="51"/>
    <w:bookmarkEnd w:id="52"/>
    <w:bookmarkEnd w:id="53"/>
    <w:bookmarkEnd w:id="54"/>
    <w:p w14:paraId="7B7810B5" w14:textId="77777777" w:rsidR="00B17E6C" w:rsidRDefault="00B17E6C" w:rsidP="00036460">
      <w:pPr>
        <w:rPr>
          <w:rFonts w:eastAsia="Arial"/>
        </w:rPr>
      </w:pPr>
    </w:p>
    <w:p w14:paraId="7B7810B6" w14:textId="77777777" w:rsidR="00B702AF" w:rsidRDefault="00B702AF" w:rsidP="00036460">
      <w:pPr>
        <w:pStyle w:val="Sectionheading"/>
        <w:sectPr w:rsidR="00B702AF" w:rsidSect="00072FB2">
          <w:footerReference w:type="even" r:id="rId26"/>
          <w:pgSz w:w="11907" w:h="16834" w:code="9"/>
          <w:pgMar w:top="1418" w:right="1701" w:bottom="1134" w:left="1843" w:header="284" w:footer="425" w:gutter="284"/>
          <w:cols w:space="720"/>
          <w:docGrid w:linePitch="286"/>
        </w:sectPr>
      </w:pPr>
      <w:bookmarkStart w:id="56" w:name="_Toc68012565"/>
    </w:p>
    <w:p w14:paraId="7B7810B7" w14:textId="77777777" w:rsidR="00B17E6C" w:rsidRDefault="00B17E6C" w:rsidP="00036460">
      <w:pPr>
        <w:pStyle w:val="Sectionheading"/>
      </w:pPr>
      <w:bookmarkStart w:id="57" w:name="_Toc90391836"/>
      <w:r w:rsidRPr="00926E67">
        <w:lastRenderedPageBreak/>
        <w:t>Audit programme requirements</w:t>
      </w:r>
      <w:bookmarkEnd w:id="56"/>
      <w:bookmarkEnd w:id="57"/>
    </w:p>
    <w:p w14:paraId="7B7810B8" w14:textId="77777777" w:rsidR="00B702AF" w:rsidRPr="00B702AF" w:rsidRDefault="00B702AF" w:rsidP="00B702AF"/>
    <w:p w14:paraId="7B7810B9" w14:textId="77777777" w:rsidR="00B702AF" w:rsidRDefault="00B702AF" w:rsidP="00FD616C">
      <w:pPr>
        <w:pStyle w:val="Heading1"/>
        <w:rPr>
          <w:rFonts w:eastAsia="Arial"/>
        </w:rPr>
        <w:sectPr w:rsidR="00B702AF" w:rsidSect="00B702AF">
          <w:pgSz w:w="11907" w:h="16834" w:code="9"/>
          <w:pgMar w:top="1418" w:right="1701" w:bottom="1134" w:left="1843" w:header="284" w:footer="425" w:gutter="284"/>
          <w:cols w:space="720"/>
          <w:vAlign w:val="center"/>
          <w:docGrid w:linePitch="286"/>
        </w:sectPr>
      </w:pPr>
      <w:bookmarkStart w:id="58" w:name="_Toc68012566"/>
      <w:bookmarkStart w:id="59" w:name="_Toc371769435"/>
      <w:bookmarkStart w:id="60" w:name="_Toc414889617"/>
      <w:bookmarkStart w:id="61" w:name="_Toc485385893"/>
      <w:bookmarkStart w:id="62" w:name="_Ref71179672"/>
    </w:p>
    <w:p w14:paraId="7B7810BA" w14:textId="77777777" w:rsidR="00B702AF" w:rsidRDefault="00B702AF" w:rsidP="00B702AF">
      <w:pPr>
        <w:rPr>
          <w:rFonts w:eastAsia="Arial"/>
        </w:rPr>
      </w:pPr>
    </w:p>
    <w:p w14:paraId="7B7810BB" w14:textId="77777777" w:rsidR="00B702AF" w:rsidRDefault="00B702AF" w:rsidP="00B702AF">
      <w:pPr>
        <w:rPr>
          <w:rFonts w:eastAsia="Arial"/>
        </w:rPr>
        <w:sectPr w:rsidR="00B702AF" w:rsidSect="00072FB2">
          <w:footerReference w:type="even" r:id="rId27"/>
          <w:pgSz w:w="11907" w:h="16834" w:code="9"/>
          <w:pgMar w:top="1418" w:right="1701" w:bottom="1134" w:left="1843" w:header="284" w:footer="425" w:gutter="284"/>
          <w:cols w:space="720"/>
          <w:docGrid w:linePitch="286"/>
        </w:sectPr>
      </w:pPr>
    </w:p>
    <w:p w14:paraId="7B7810BC" w14:textId="77777777" w:rsidR="00E33EDB" w:rsidRDefault="00B17E6C" w:rsidP="00FD616C">
      <w:pPr>
        <w:pStyle w:val="Heading1"/>
        <w:rPr>
          <w:rFonts w:eastAsia="Arial"/>
        </w:rPr>
      </w:pPr>
      <w:bookmarkStart w:id="63" w:name="_Ref71181939"/>
      <w:bookmarkStart w:id="64" w:name="_Toc90391837"/>
      <w:r>
        <w:rPr>
          <w:rFonts w:eastAsia="Arial"/>
        </w:rPr>
        <w:lastRenderedPageBreak/>
        <w:t>NSU a</w:t>
      </w:r>
      <w:r w:rsidRPr="00447BB5">
        <w:rPr>
          <w:rFonts w:eastAsia="Arial"/>
        </w:rPr>
        <w:t xml:space="preserve">udit </w:t>
      </w:r>
      <w:r>
        <w:rPr>
          <w:rFonts w:eastAsia="Arial"/>
        </w:rPr>
        <w:t>programme f</w:t>
      </w:r>
      <w:r w:rsidRPr="00447BB5">
        <w:rPr>
          <w:rFonts w:eastAsia="Arial"/>
        </w:rPr>
        <w:t>ramework</w:t>
      </w:r>
      <w:bookmarkEnd w:id="58"/>
      <w:bookmarkEnd w:id="59"/>
      <w:bookmarkEnd w:id="60"/>
      <w:bookmarkEnd w:id="61"/>
      <w:bookmarkEnd w:id="62"/>
      <w:bookmarkEnd w:id="63"/>
      <w:bookmarkEnd w:id="64"/>
    </w:p>
    <w:p w14:paraId="7B7810BD" w14:textId="77777777" w:rsidR="00B17E6C" w:rsidRPr="006660BD" w:rsidRDefault="00B17E6C" w:rsidP="00036460">
      <w:pPr>
        <w:rPr>
          <w:rFonts w:eastAsia="Arial"/>
        </w:rPr>
      </w:pPr>
      <w:bookmarkStart w:id="65" w:name="_Toc371769436"/>
      <w:bookmarkStart w:id="66" w:name="_Toc414889618"/>
      <w:bookmarkStart w:id="67" w:name="_Toc485385894"/>
      <w:r w:rsidRPr="006660BD">
        <w:rPr>
          <w:rFonts w:eastAsia="Arial"/>
        </w:rPr>
        <w:t xml:space="preserve">The NSU </w:t>
      </w:r>
      <w:r>
        <w:rPr>
          <w:rFonts w:eastAsia="Arial"/>
        </w:rPr>
        <w:t>a</w:t>
      </w:r>
      <w:r w:rsidRPr="006660BD">
        <w:rPr>
          <w:rFonts w:eastAsia="Arial"/>
        </w:rPr>
        <w:t xml:space="preserve">udit </w:t>
      </w:r>
      <w:r>
        <w:rPr>
          <w:rFonts w:eastAsia="Arial"/>
        </w:rPr>
        <w:t>p</w:t>
      </w:r>
      <w:r w:rsidRPr="006660BD">
        <w:rPr>
          <w:rFonts w:eastAsia="Arial"/>
        </w:rPr>
        <w:t>rogramme provides a person-centred approach to quality and risk audit. All screening programme audits have similar person</w:t>
      </w:r>
      <w:r>
        <w:rPr>
          <w:rFonts w:eastAsia="Arial"/>
        </w:rPr>
        <w:t>-</w:t>
      </w:r>
      <w:r w:rsidRPr="006660BD">
        <w:rPr>
          <w:rFonts w:eastAsia="Arial"/>
        </w:rPr>
        <w:t xml:space="preserve">centred quality requirements although unique screening programme elements are </w:t>
      </w:r>
      <w:r>
        <w:rPr>
          <w:rFonts w:eastAsia="Arial"/>
        </w:rPr>
        <w:t xml:space="preserve">also </w:t>
      </w:r>
      <w:r w:rsidRPr="006660BD">
        <w:rPr>
          <w:rFonts w:eastAsia="Arial"/>
        </w:rPr>
        <w:t>incorporated into each programme audit.</w:t>
      </w:r>
    </w:p>
    <w:p w14:paraId="7B7810BE" w14:textId="77777777" w:rsidR="00B17E6C" w:rsidRPr="006660BD" w:rsidRDefault="00B17E6C" w:rsidP="00036460">
      <w:pPr>
        <w:rPr>
          <w:rFonts w:eastAsia="Arial"/>
        </w:rPr>
      </w:pPr>
    </w:p>
    <w:p w14:paraId="7B7810BF" w14:textId="77777777" w:rsidR="00E33EDB" w:rsidRDefault="00B17E6C" w:rsidP="00036460">
      <w:pPr>
        <w:rPr>
          <w:rFonts w:eastAsia="Arial"/>
        </w:rPr>
      </w:pPr>
      <w:r>
        <w:rPr>
          <w:rFonts w:eastAsia="Arial"/>
        </w:rPr>
        <w:t>Screening programmes have</w:t>
      </w:r>
      <w:r w:rsidRPr="006660BD">
        <w:rPr>
          <w:rFonts w:eastAsia="Arial"/>
        </w:rPr>
        <w:t xml:space="preserve"> a three-year audit cycle. The DAA Group</w:t>
      </w:r>
      <w:r w:rsidRPr="009A1A42">
        <w:rPr>
          <w:rFonts w:eastAsia="Arial"/>
        </w:rPr>
        <w:t xml:space="preserve"> </w:t>
      </w:r>
      <w:r w:rsidRPr="006660BD">
        <w:rPr>
          <w:rFonts w:eastAsia="Arial"/>
        </w:rPr>
        <w:t>manage</w:t>
      </w:r>
      <w:r>
        <w:rPr>
          <w:rFonts w:eastAsia="Arial"/>
        </w:rPr>
        <w:t>s the</w:t>
      </w:r>
      <w:r w:rsidRPr="006660BD">
        <w:rPr>
          <w:rFonts w:eastAsia="Arial"/>
        </w:rPr>
        <w:t xml:space="preserve"> NSU audit programme schedule in conjunction with the NSU screening programme managers. The three-year audit cycle typically include</w:t>
      </w:r>
      <w:r>
        <w:rPr>
          <w:rFonts w:eastAsia="Arial"/>
        </w:rPr>
        <w:t>s</w:t>
      </w:r>
      <w:r w:rsidRPr="006660BD">
        <w:rPr>
          <w:rFonts w:eastAsia="Arial"/>
        </w:rPr>
        <w:t xml:space="preserve"> a verification audit followed by a surveillance audit at mid</w:t>
      </w:r>
      <w:r>
        <w:rPr>
          <w:rFonts w:eastAsia="Arial"/>
        </w:rPr>
        <w:t>-</w:t>
      </w:r>
      <w:r w:rsidRPr="006660BD">
        <w:rPr>
          <w:rFonts w:eastAsia="Arial"/>
        </w:rPr>
        <w:t>cycle. Following each verification audit, the relevant screening programme manager issue</w:t>
      </w:r>
      <w:r>
        <w:rPr>
          <w:rFonts w:eastAsia="Arial"/>
        </w:rPr>
        <w:t>s</w:t>
      </w:r>
      <w:r w:rsidRPr="006660BD">
        <w:rPr>
          <w:rFonts w:eastAsia="Arial"/>
        </w:rPr>
        <w:t xml:space="preserve"> a conformance verification letter to the screening provider.</w:t>
      </w:r>
    </w:p>
    <w:p w14:paraId="7B7810C0" w14:textId="77777777" w:rsidR="00B17E6C" w:rsidRPr="006660BD" w:rsidRDefault="00B17E6C" w:rsidP="00036460">
      <w:pPr>
        <w:rPr>
          <w:rFonts w:eastAsia="Arial"/>
        </w:rPr>
      </w:pPr>
    </w:p>
    <w:p w14:paraId="7B7810C1" w14:textId="77777777" w:rsidR="00B17E6C" w:rsidRPr="006660BD" w:rsidRDefault="00B17E6C" w:rsidP="00036460">
      <w:pPr>
        <w:rPr>
          <w:rFonts w:eastAsia="Arial"/>
        </w:rPr>
      </w:pPr>
      <w:r w:rsidRPr="006660BD">
        <w:rPr>
          <w:rFonts w:eastAsia="Arial"/>
        </w:rPr>
        <w:t>The conformance verification letter state</w:t>
      </w:r>
      <w:r>
        <w:rPr>
          <w:rFonts w:eastAsia="Arial"/>
        </w:rPr>
        <w:t>s</w:t>
      </w:r>
      <w:r w:rsidRPr="006660BD">
        <w:rPr>
          <w:rFonts w:eastAsia="Arial"/>
        </w:rPr>
        <w:t xml:space="preserve"> any ongoing conditions arising from th</w:t>
      </w:r>
      <w:r w:rsidRPr="00BF09E6">
        <w:rPr>
          <w:rFonts w:eastAsia="Arial"/>
        </w:rPr>
        <w:t>e audit process</w:t>
      </w:r>
      <w:r>
        <w:rPr>
          <w:rFonts w:eastAsia="Arial"/>
        </w:rPr>
        <w:t>.</w:t>
      </w:r>
      <w:r w:rsidRPr="006660BD">
        <w:rPr>
          <w:rFonts w:eastAsia="Arial"/>
        </w:rPr>
        <w:t xml:space="preserve"> An example of a condition is a requirement to provide progress reports at specified intervals </w:t>
      </w:r>
      <w:r>
        <w:rPr>
          <w:rFonts w:eastAsia="Arial"/>
        </w:rPr>
        <w:t xml:space="preserve">before </w:t>
      </w:r>
      <w:r w:rsidRPr="006660BD">
        <w:rPr>
          <w:rFonts w:eastAsia="Arial"/>
        </w:rPr>
        <w:t>cl</w:t>
      </w:r>
      <w:r>
        <w:rPr>
          <w:rFonts w:eastAsia="Arial"/>
        </w:rPr>
        <w:t xml:space="preserve">osure </w:t>
      </w:r>
      <w:r w:rsidRPr="006660BD">
        <w:rPr>
          <w:rFonts w:eastAsia="Arial"/>
        </w:rPr>
        <w:t xml:space="preserve">of a </w:t>
      </w:r>
      <w:r>
        <w:rPr>
          <w:rFonts w:eastAsia="Arial"/>
        </w:rPr>
        <w:t xml:space="preserve">CAR in a subsequent surveillance audit. </w:t>
      </w:r>
      <w:r w:rsidRPr="006660BD">
        <w:rPr>
          <w:rFonts w:eastAsia="Arial"/>
        </w:rPr>
        <w:t xml:space="preserve">The conformance verification letter </w:t>
      </w:r>
      <w:r>
        <w:rPr>
          <w:rFonts w:eastAsia="Arial"/>
        </w:rPr>
        <w:t>is</w:t>
      </w:r>
      <w:r w:rsidRPr="006660BD">
        <w:rPr>
          <w:rFonts w:eastAsia="Arial"/>
        </w:rPr>
        <w:t xml:space="preserve"> not reissued following the mid-cycle </w:t>
      </w:r>
      <w:bookmarkStart w:id="68" w:name="_Hlk54964325"/>
      <w:r w:rsidRPr="006660BD">
        <w:rPr>
          <w:rFonts w:eastAsia="Arial"/>
        </w:rPr>
        <w:t xml:space="preserve">surveillance audit </w:t>
      </w:r>
      <w:bookmarkEnd w:id="68"/>
      <w:r w:rsidRPr="006660BD">
        <w:rPr>
          <w:rFonts w:eastAsia="Arial"/>
        </w:rPr>
        <w:t>unless the surveillance audit result</w:t>
      </w:r>
      <w:r w:rsidRPr="00481314">
        <w:rPr>
          <w:rFonts w:eastAsia="Arial"/>
        </w:rPr>
        <w:t xml:space="preserve"> </w:t>
      </w:r>
      <w:r w:rsidRPr="006660BD">
        <w:rPr>
          <w:rFonts w:eastAsia="Arial"/>
        </w:rPr>
        <w:t>signal</w:t>
      </w:r>
      <w:r>
        <w:rPr>
          <w:rFonts w:eastAsia="Arial"/>
        </w:rPr>
        <w:t>s</w:t>
      </w:r>
      <w:r w:rsidRPr="00481314">
        <w:rPr>
          <w:rFonts w:eastAsia="Arial"/>
        </w:rPr>
        <w:t xml:space="preserve"> </w:t>
      </w:r>
      <w:r w:rsidRPr="006660BD">
        <w:rPr>
          <w:rFonts w:eastAsia="Arial"/>
        </w:rPr>
        <w:t>an amendment</w:t>
      </w:r>
      <w:r>
        <w:rPr>
          <w:rFonts w:eastAsia="Arial"/>
        </w:rPr>
        <w:t xml:space="preserve"> is needed</w:t>
      </w:r>
      <w:r w:rsidRPr="006660BD">
        <w:rPr>
          <w:rFonts w:eastAsia="Arial"/>
        </w:rPr>
        <w:t>.</w:t>
      </w:r>
    </w:p>
    <w:p w14:paraId="7B7810C2" w14:textId="77777777" w:rsidR="00B17E6C" w:rsidRDefault="00B17E6C" w:rsidP="00036460"/>
    <w:p w14:paraId="7B7810C3" w14:textId="1074DB8C" w:rsidR="00B17E6C" w:rsidRPr="00036460" w:rsidRDefault="00B17E6C" w:rsidP="00036460">
      <w:pPr>
        <w:ind w:right="-142"/>
        <w:rPr>
          <w:rFonts w:eastAsia="Arial"/>
          <w:spacing w:val="-2"/>
        </w:rPr>
      </w:pPr>
      <w:r w:rsidRPr="00036460">
        <w:rPr>
          <w:rFonts w:eastAsia="Arial"/>
          <w:spacing w:val="-2"/>
        </w:rPr>
        <w:t xml:space="preserve">See </w:t>
      </w:r>
      <w:r w:rsidR="00B24EF2">
        <w:rPr>
          <w:rFonts w:eastAsia="Arial"/>
          <w:spacing w:val="-2"/>
        </w:rPr>
        <w:fldChar w:fldCharType="begin"/>
      </w:r>
      <w:r w:rsidR="00B24EF2">
        <w:rPr>
          <w:rFonts w:eastAsia="Arial"/>
          <w:spacing w:val="-2"/>
        </w:rPr>
        <w:instrText xml:space="preserve"> REF _Ref71174939 \r \h </w:instrText>
      </w:r>
      <w:r w:rsidR="00B24EF2">
        <w:rPr>
          <w:rFonts w:eastAsia="Arial"/>
          <w:spacing w:val="-2"/>
        </w:rPr>
      </w:r>
      <w:r w:rsidR="00B24EF2">
        <w:rPr>
          <w:rFonts w:eastAsia="Arial"/>
          <w:spacing w:val="-2"/>
        </w:rPr>
        <w:fldChar w:fldCharType="separate"/>
      </w:r>
      <w:r w:rsidR="002861DC">
        <w:rPr>
          <w:rFonts w:eastAsia="Arial"/>
          <w:spacing w:val="-2"/>
        </w:rPr>
        <w:t>Appendix One</w:t>
      </w:r>
      <w:r w:rsidR="00B24EF2">
        <w:rPr>
          <w:rFonts w:eastAsia="Arial"/>
          <w:spacing w:val="-2"/>
        </w:rPr>
        <w:fldChar w:fldCharType="end"/>
      </w:r>
      <w:r w:rsidRPr="00036460">
        <w:rPr>
          <w:rFonts w:eastAsia="Arial"/>
          <w:spacing w:val="-2"/>
        </w:rPr>
        <w:t xml:space="preserve"> for a flow diagram showing the NSU corrective action request process.</w:t>
      </w:r>
    </w:p>
    <w:p w14:paraId="7B7810C4" w14:textId="77777777" w:rsidR="00036460" w:rsidRDefault="00036460" w:rsidP="00036460">
      <w:pPr>
        <w:rPr>
          <w:rFonts w:eastAsia="Arial"/>
        </w:rPr>
      </w:pPr>
    </w:p>
    <w:p w14:paraId="7B7810C5" w14:textId="77777777" w:rsidR="00B17E6C" w:rsidRPr="003F6642" w:rsidRDefault="00B17E6C" w:rsidP="00036460">
      <w:pPr>
        <w:pStyle w:val="Heading2"/>
        <w:rPr>
          <w:rFonts w:eastAsia="Arial"/>
        </w:rPr>
      </w:pPr>
      <w:bookmarkStart w:id="69" w:name="_Toc68012567"/>
      <w:bookmarkStart w:id="70" w:name="_Toc90391838"/>
      <w:r w:rsidRPr="003F6642">
        <w:rPr>
          <w:rFonts w:eastAsia="Arial"/>
        </w:rPr>
        <w:t xml:space="preserve">Two-stage audit process </w:t>
      </w:r>
      <w:bookmarkEnd w:id="65"/>
      <w:bookmarkEnd w:id="66"/>
      <w:bookmarkEnd w:id="67"/>
      <w:r>
        <w:rPr>
          <w:rFonts w:eastAsia="Arial"/>
        </w:rPr>
        <w:t>for verification and readiness audits</w:t>
      </w:r>
      <w:bookmarkEnd w:id="69"/>
      <w:bookmarkEnd w:id="70"/>
    </w:p>
    <w:p w14:paraId="7B7810C6" w14:textId="77777777" w:rsidR="00E33EDB" w:rsidRDefault="00B17E6C" w:rsidP="00036460">
      <w:r w:rsidRPr="003F6642">
        <w:t xml:space="preserve">All </w:t>
      </w:r>
      <w:r>
        <w:t xml:space="preserve">verification and readiness </w:t>
      </w:r>
      <w:r w:rsidRPr="003F6642">
        <w:t xml:space="preserve">audits include a two-stage </w:t>
      </w:r>
      <w:r>
        <w:t>process</w:t>
      </w:r>
      <w:r w:rsidRPr="003F6642">
        <w:t>.</w:t>
      </w:r>
    </w:p>
    <w:p w14:paraId="7B7810C7" w14:textId="77777777" w:rsidR="00B17E6C" w:rsidRDefault="00B17E6C" w:rsidP="00036460"/>
    <w:p w14:paraId="7B7810C8" w14:textId="77777777" w:rsidR="00B17E6C" w:rsidRDefault="00B17E6C" w:rsidP="00FD616C">
      <w:pPr>
        <w:pStyle w:val="Heading3-nonumber"/>
      </w:pPr>
      <w:r w:rsidRPr="00C358F9">
        <w:t>Self-assessment and document review</w:t>
      </w:r>
    </w:p>
    <w:p w14:paraId="7B7810C9" w14:textId="77777777" w:rsidR="00B17E6C" w:rsidRPr="003F6642" w:rsidRDefault="00B17E6C" w:rsidP="00036460">
      <w:r w:rsidRPr="003F6642">
        <w:t>The first stage of the audit incorporate</w:t>
      </w:r>
      <w:r>
        <w:t>s</w:t>
      </w:r>
      <w:r w:rsidRPr="003F6642">
        <w:t xml:space="preserve"> off-site activities, including a </w:t>
      </w:r>
      <w:r>
        <w:t xml:space="preserve">self-assessment and </w:t>
      </w:r>
      <w:r w:rsidRPr="003F6642">
        <w:t>document review</w:t>
      </w:r>
      <w:r>
        <w:t>.</w:t>
      </w:r>
    </w:p>
    <w:p w14:paraId="7B7810CA" w14:textId="77777777" w:rsidR="00B17E6C" w:rsidRDefault="00B17E6C" w:rsidP="00036460"/>
    <w:p w14:paraId="7B7810CB" w14:textId="77777777" w:rsidR="00B17E6C" w:rsidRPr="00C358F9" w:rsidRDefault="00B17E6C" w:rsidP="00FD616C">
      <w:pPr>
        <w:pStyle w:val="Heading3-nonumber"/>
      </w:pPr>
      <w:r w:rsidRPr="00C358F9">
        <w:lastRenderedPageBreak/>
        <w:t>Provider responsibilities</w:t>
      </w:r>
    </w:p>
    <w:p w14:paraId="7B7810CC" w14:textId="77777777" w:rsidR="00B17E6C" w:rsidRDefault="00B17E6C" w:rsidP="00102FEA">
      <w:pPr>
        <w:keepNext/>
      </w:pPr>
      <w:r>
        <w:t>The provider will complete the self-assessment using the specific screening programme template available from the:</w:t>
      </w:r>
    </w:p>
    <w:p w14:paraId="7B7810CD" w14:textId="77777777" w:rsidR="00B17E6C" w:rsidRDefault="00B17E6C" w:rsidP="00036460">
      <w:pPr>
        <w:pStyle w:val="Bullet"/>
      </w:pPr>
      <w:r>
        <w:t>NSU website</w:t>
      </w:r>
    </w:p>
    <w:p w14:paraId="7B7810CE" w14:textId="77777777" w:rsidR="00E33EDB" w:rsidRDefault="00B17E6C" w:rsidP="00036460">
      <w:pPr>
        <w:pStyle w:val="Bullet"/>
      </w:pPr>
      <w:r>
        <w:t>DAA Group website</w:t>
      </w:r>
    </w:p>
    <w:p w14:paraId="7B7810CF" w14:textId="77777777" w:rsidR="00B17E6C" w:rsidRDefault="00B17E6C" w:rsidP="00036460">
      <w:pPr>
        <w:pStyle w:val="Bullet"/>
      </w:pPr>
      <w:r>
        <w:t>DAA Group NSU client manager.</w:t>
      </w:r>
    </w:p>
    <w:p w14:paraId="7B7810D0" w14:textId="77777777" w:rsidR="00036460" w:rsidRDefault="00036460" w:rsidP="00036460"/>
    <w:p w14:paraId="7B7810D1" w14:textId="77777777" w:rsidR="00B17E6C" w:rsidRDefault="00B17E6C" w:rsidP="00036460">
      <w:r>
        <w:t>The provider will give the completed self-assessment,</w:t>
      </w:r>
      <w:r w:rsidRPr="0057072D">
        <w:t xml:space="preserve"> </w:t>
      </w:r>
      <w:r>
        <w:t>along with documents as requested for review or information, to the DAA Group six weeks before the on-site audit.</w:t>
      </w:r>
    </w:p>
    <w:p w14:paraId="7B7810D2" w14:textId="77777777" w:rsidR="00036460" w:rsidRDefault="00036460" w:rsidP="00036460"/>
    <w:p w14:paraId="7B7810D3" w14:textId="77777777" w:rsidR="00B17E6C" w:rsidRPr="003F6642" w:rsidRDefault="00B17E6C" w:rsidP="00036460">
      <w:r>
        <w:t>Where d</w:t>
      </w:r>
      <w:r w:rsidRPr="003F6642">
        <w:t xml:space="preserve">ocuments </w:t>
      </w:r>
      <w:r>
        <w:t xml:space="preserve">are </w:t>
      </w:r>
      <w:r w:rsidRPr="003F6642">
        <w:t>requested for review as part of stage one</w:t>
      </w:r>
      <w:r>
        <w:t xml:space="preserve">, the provider will </w:t>
      </w:r>
      <w:r w:rsidRPr="003F6642">
        <w:t>suppl</w:t>
      </w:r>
      <w:r>
        <w:t>y them</w:t>
      </w:r>
      <w:r w:rsidRPr="003F6642">
        <w:t xml:space="preserve"> electronically or</w:t>
      </w:r>
      <w:r>
        <w:t xml:space="preserve"> allow </w:t>
      </w:r>
      <w:r w:rsidRPr="003F6642">
        <w:t>electronic</w:t>
      </w:r>
      <w:r>
        <w:t xml:space="preserve"> access to them</w:t>
      </w:r>
      <w:r w:rsidRPr="003F6642">
        <w:t>.</w:t>
      </w:r>
    </w:p>
    <w:p w14:paraId="7B7810D4" w14:textId="77777777" w:rsidR="00036460" w:rsidRDefault="00036460" w:rsidP="00036460"/>
    <w:p w14:paraId="7B7810D5" w14:textId="77777777" w:rsidR="00E33EDB" w:rsidRDefault="00B17E6C" w:rsidP="00036460">
      <w:r>
        <w:t>The self-assessment and document review stage includes:</w:t>
      </w:r>
    </w:p>
    <w:p w14:paraId="7B7810D6" w14:textId="77777777" w:rsidR="00B17E6C" w:rsidRPr="003F6642" w:rsidRDefault="00B17E6C" w:rsidP="00036460">
      <w:pPr>
        <w:pStyle w:val="Bullet"/>
      </w:pPr>
      <w:r>
        <w:t xml:space="preserve">identifying and providing </w:t>
      </w:r>
      <w:r w:rsidRPr="003F6642">
        <w:t>policies and procedures (covering, for example, management systems and clinical systems)</w:t>
      </w:r>
    </w:p>
    <w:p w14:paraId="7B7810D7" w14:textId="77777777" w:rsidR="00B17E6C" w:rsidRDefault="00B17E6C" w:rsidP="00036460">
      <w:pPr>
        <w:pStyle w:val="Bullet"/>
      </w:pPr>
      <w:r>
        <w:t xml:space="preserve">reviewing and providing </w:t>
      </w:r>
      <w:r w:rsidRPr="003F6642">
        <w:t>prior relevant audit</w:t>
      </w:r>
      <w:r>
        <w:t xml:space="preserve"> reports</w:t>
      </w:r>
      <w:r w:rsidRPr="003F6642">
        <w:t xml:space="preserve"> </w:t>
      </w:r>
      <w:r>
        <w:t>along with NSU and screening provider monitoring information.</w:t>
      </w:r>
    </w:p>
    <w:p w14:paraId="7B7810D8" w14:textId="77777777" w:rsidR="00036460" w:rsidRDefault="00036460" w:rsidP="00036460"/>
    <w:p w14:paraId="7B7810D9" w14:textId="77777777" w:rsidR="00B17E6C" w:rsidRDefault="00B17E6C" w:rsidP="00036460">
      <w:r w:rsidRPr="003F6642">
        <w:t xml:space="preserve">The </w:t>
      </w:r>
      <w:r>
        <w:t xml:space="preserve">document </w:t>
      </w:r>
      <w:r w:rsidRPr="003F6642">
        <w:t xml:space="preserve">review </w:t>
      </w:r>
      <w:r>
        <w:t xml:space="preserve">tool </w:t>
      </w:r>
      <w:r w:rsidRPr="003F6642">
        <w:t xml:space="preserve">should </w:t>
      </w:r>
      <w:r>
        <w:t>help</w:t>
      </w:r>
      <w:r w:rsidRPr="003F6642">
        <w:t xml:space="preserve"> the</w:t>
      </w:r>
      <w:r>
        <w:t xml:space="preserve"> screening service </w:t>
      </w:r>
      <w:r w:rsidRPr="003F6642">
        <w:t xml:space="preserve">provider </w:t>
      </w:r>
      <w:r>
        <w:t xml:space="preserve">to </w:t>
      </w:r>
      <w:r w:rsidRPr="003F6642">
        <w:t>prepar</w:t>
      </w:r>
      <w:r>
        <w:t>e</w:t>
      </w:r>
      <w:r w:rsidRPr="003F6642">
        <w:t xml:space="preserve"> for the audit</w:t>
      </w:r>
      <w:r>
        <w:t>,</w:t>
      </w:r>
      <w:r w:rsidRPr="003F6642">
        <w:t xml:space="preserve"> and if required</w:t>
      </w:r>
      <w:r>
        <w:t>,</w:t>
      </w:r>
      <w:r w:rsidRPr="003F6642">
        <w:t xml:space="preserve"> </w:t>
      </w:r>
      <w:r w:rsidRPr="00403EE9">
        <w:t>to complete minor</w:t>
      </w:r>
      <w:r w:rsidRPr="003F6642">
        <w:t xml:space="preserve"> corrections or improvements to policies and procedures </w:t>
      </w:r>
      <w:r>
        <w:t>ahead of the on-site audit</w:t>
      </w:r>
      <w:r w:rsidRPr="003F6642">
        <w:t>.</w:t>
      </w:r>
    </w:p>
    <w:p w14:paraId="7B7810DA" w14:textId="77777777" w:rsidR="00036460" w:rsidRDefault="00036460" w:rsidP="00036460"/>
    <w:p w14:paraId="7B7810DB" w14:textId="77777777" w:rsidR="00B17E6C" w:rsidRPr="00C358F9" w:rsidRDefault="00B17E6C" w:rsidP="00036460">
      <w:pPr>
        <w:pStyle w:val="Heading4"/>
      </w:pPr>
      <w:r w:rsidRPr="008574B8">
        <w:t>DAA Group responsibilities</w:t>
      </w:r>
    </w:p>
    <w:p w14:paraId="7B7810DC" w14:textId="77777777" w:rsidR="00E33EDB" w:rsidRDefault="00B17E6C" w:rsidP="00036460">
      <w:r w:rsidRPr="00B33956">
        <w:t>The purpose of the self-assessment and document review is to allow the DAA Group to collect enough verifiable information to contribute to the second stage of the audit.</w:t>
      </w:r>
    </w:p>
    <w:p w14:paraId="7B7810DD" w14:textId="77777777" w:rsidR="00B17E6C" w:rsidRPr="00B33956" w:rsidRDefault="00B17E6C" w:rsidP="00036460"/>
    <w:p w14:paraId="7B7810DE" w14:textId="77777777" w:rsidR="00E33EDB" w:rsidRDefault="00B17E6C" w:rsidP="00036460">
      <w:r w:rsidRPr="00B33956">
        <w:t xml:space="preserve">The DAA Group </w:t>
      </w:r>
      <w:r>
        <w:t>is responsible for</w:t>
      </w:r>
      <w:r w:rsidRPr="00B33956">
        <w:t xml:space="preserve"> ensur</w:t>
      </w:r>
      <w:r>
        <w:t>ing</w:t>
      </w:r>
      <w:r w:rsidRPr="00B33956">
        <w:t xml:space="preserve"> that, </w:t>
      </w:r>
      <w:r>
        <w:t xml:space="preserve">before </w:t>
      </w:r>
      <w:r w:rsidRPr="00B33956">
        <w:t>a verification audit, each screening programme is provided with a self-assessment document based on the standards to be audited</w:t>
      </w:r>
      <w:r>
        <w:t>.</w:t>
      </w:r>
    </w:p>
    <w:p w14:paraId="7B7810DF" w14:textId="77777777" w:rsidR="00B17E6C" w:rsidRPr="00B33956" w:rsidRDefault="00B17E6C" w:rsidP="00036460"/>
    <w:p w14:paraId="7B7810E0" w14:textId="77777777" w:rsidR="00B17E6C" w:rsidRDefault="00B17E6C" w:rsidP="00036460">
      <w:r w:rsidRPr="00B33956">
        <w:t xml:space="preserve">The DAA Group </w:t>
      </w:r>
      <w:r>
        <w:t>may provide, as required, one or more</w:t>
      </w:r>
      <w:r w:rsidRPr="00B33956">
        <w:t xml:space="preserve"> training session</w:t>
      </w:r>
      <w:r>
        <w:t>s to</w:t>
      </w:r>
      <w:r w:rsidRPr="00AA3642">
        <w:t xml:space="preserve"> </w:t>
      </w:r>
      <w:r>
        <w:t>guide</w:t>
      </w:r>
      <w:r w:rsidRPr="00B33956">
        <w:t xml:space="preserve"> screening providers </w:t>
      </w:r>
      <w:r>
        <w:t>on how to c</w:t>
      </w:r>
      <w:r w:rsidRPr="00B33956">
        <w:t>omplet</w:t>
      </w:r>
      <w:r>
        <w:t xml:space="preserve">e </w:t>
      </w:r>
      <w:r w:rsidRPr="00B33956">
        <w:t xml:space="preserve">the self-assessment. </w:t>
      </w:r>
      <w:r>
        <w:t>It also will provide o</w:t>
      </w:r>
      <w:r w:rsidRPr="00B33956">
        <w:t>ngoing support as required throughout the audit cycle</w:t>
      </w:r>
      <w:r>
        <w:t>, to the extent that it can while</w:t>
      </w:r>
      <w:r w:rsidRPr="00B33956">
        <w:t xml:space="preserve"> maintaining </w:t>
      </w:r>
      <w:r>
        <w:t xml:space="preserve">audit </w:t>
      </w:r>
      <w:r w:rsidRPr="00B33956">
        <w:t>independence.</w:t>
      </w:r>
    </w:p>
    <w:p w14:paraId="7B7810E1" w14:textId="77777777" w:rsidR="00B17E6C" w:rsidRPr="00B33956" w:rsidRDefault="00B17E6C" w:rsidP="00036460"/>
    <w:p w14:paraId="7B7810E2" w14:textId="77777777" w:rsidR="00E33EDB" w:rsidRDefault="00B17E6C" w:rsidP="00036460">
      <w:r w:rsidRPr="00B33956">
        <w:t>The DAA Group will complete a review of the provider self-assessment and</w:t>
      </w:r>
      <w:r>
        <w:t xml:space="preserve"> </w:t>
      </w:r>
      <w:r w:rsidRPr="00B33956">
        <w:t xml:space="preserve">documentation before every verification audit. The audit team will use the review to help </w:t>
      </w:r>
      <w:r>
        <w:t>it</w:t>
      </w:r>
      <w:r w:rsidRPr="00B33956">
        <w:t xml:space="preserve"> to prepare for the audit, reducing the need to review policies and procedures while on site.</w:t>
      </w:r>
    </w:p>
    <w:p w14:paraId="7B7810E3" w14:textId="77777777" w:rsidR="00B17E6C" w:rsidRPr="00B33956" w:rsidRDefault="00B17E6C" w:rsidP="00036460"/>
    <w:p w14:paraId="7B7810E4" w14:textId="77777777" w:rsidR="00102FEA" w:rsidRDefault="00B17E6C" w:rsidP="00036460">
      <w:r w:rsidRPr="00B33956">
        <w:t xml:space="preserve">The DAA Group will request documents </w:t>
      </w:r>
      <w:r>
        <w:t xml:space="preserve">it </w:t>
      </w:r>
      <w:r w:rsidRPr="00B33956">
        <w:t>require</w:t>
      </w:r>
      <w:r>
        <w:t>s</w:t>
      </w:r>
      <w:r w:rsidRPr="00B33956">
        <w:t xml:space="preserve"> for the review at least 40 working days before the scheduled on</w:t>
      </w:r>
      <w:r w:rsidRPr="00B33956">
        <w:noBreakHyphen/>
        <w:t xml:space="preserve">site audit. The list of documents requested </w:t>
      </w:r>
      <w:r>
        <w:t xml:space="preserve">must </w:t>
      </w:r>
      <w:r w:rsidRPr="00B33956">
        <w:t>match the document review reporting template available on the NSU website.</w:t>
      </w:r>
    </w:p>
    <w:p w14:paraId="7B7810E5" w14:textId="77777777" w:rsidR="00B17E6C" w:rsidRPr="00B33956" w:rsidRDefault="00B17E6C" w:rsidP="00036460">
      <w:pPr>
        <w:spacing w:before="240"/>
      </w:pPr>
      <w:r w:rsidRPr="00B33956">
        <w:lastRenderedPageBreak/>
        <w:t>The lead auditor performing the on</w:t>
      </w:r>
      <w:r w:rsidRPr="00B33956">
        <w:noBreakHyphen/>
        <w:t>site audit must complete the document review report.</w:t>
      </w:r>
      <w:r>
        <w:t xml:space="preserve"> </w:t>
      </w:r>
      <w:r w:rsidRPr="00B33956">
        <w:t xml:space="preserve">The DAA Group will </w:t>
      </w:r>
      <w:r>
        <w:t xml:space="preserve">then </w:t>
      </w:r>
      <w:r w:rsidRPr="00B33956">
        <w:t>send the document review report to the provider using the document review reporting template at least 20 working days prior to the scheduled on</w:t>
      </w:r>
      <w:r w:rsidRPr="00B33956">
        <w:noBreakHyphen/>
        <w:t>site audit.</w:t>
      </w:r>
    </w:p>
    <w:p w14:paraId="7B7810E6" w14:textId="77777777" w:rsidR="00B17E6C" w:rsidRPr="00B33956" w:rsidRDefault="00B17E6C" w:rsidP="00036460"/>
    <w:p w14:paraId="7B7810E7" w14:textId="77777777" w:rsidR="00B17E6C" w:rsidRPr="00B33956" w:rsidRDefault="00B17E6C" w:rsidP="00B17E6C">
      <w:pPr>
        <w:rPr>
          <w:rFonts w:cs="Segoe UI"/>
          <w:szCs w:val="21"/>
        </w:rPr>
      </w:pPr>
      <w:r w:rsidRPr="00B33956">
        <w:rPr>
          <w:rFonts w:cs="Segoe UI"/>
          <w:szCs w:val="21"/>
        </w:rPr>
        <w:t xml:space="preserve">The DAA Group is required to </w:t>
      </w:r>
      <w:r>
        <w:rPr>
          <w:rFonts w:cs="Segoe UI"/>
          <w:szCs w:val="21"/>
        </w:rPr>
        <w:t>give</w:t>
      </w:r>
      <w:r w:rsidRPr="00B67626">
        <w:rPr>
          <w:rFonts w:cs="Segoe UI"/>
          <w:szCs w:val="21"/>
        </w:rPr>
        <w:t xml:space="preserve"> </w:t>
      </w:r>
      <w:r w:rsidRPr="00B33956">
        <w:rPr>
          <w:rFonts w:cs="Segoe UI"/>
          <w:szCs w:val="21"/>
        </w:rPr>
        <w:t xml:space="preserve">the provider written feedback </w:t>
      </w:r>
      <w:r>
        <w:rPr>
          <w:rFonts w:cs="Segoe UI"/>
          <w:szCs w:val="21"/>
        </w:rPr>
        <w:t>so it can</w:t>
      </w:r>
      <w:r w:rsidRPr="00B33956">
        <w:rPr>
          <w:rFonts w:cs="Segoe UI"/>
          <w:szCs w:val="21"/>
        </w:rPr>
        <w:t xml:space="preserve"> remedy any issues </w:t>
      </w:r>
      <w:r>
        <w:rPr>
          <w:rFonts w:cs="Segoe UI"/>
          <w:szCs w:val="21"/>
        </w:rPr>
        <w:t>before</w:t>
      </w:r>
      <w:r w:rsidRPr="00B33956">
        <w:rPr>
          <w:rFonts w:cs="Segoe UI"/>
          <w:szCs w:val="21"/>
        </w:rPr>
        <w:t xml:space="preserve"> the on</w:t>
      </w:r>
      <w:r w:rsidRPr="00B33956">
        <w:rPr>
          <w:rFonts w:cs="Segoe UI"/>
          <w:szCs w:val="21"/>
        </w:rPr>
        <w:noBreakHyphen/>
        <w:t>site audit</w:t>
      </w:r>
      <w:r>
        <w:rPr>
          <w:rFonts w:cs="Segoe UI"/>
          <w:szCs w:val="21"/>
        </w:rPr>
        <w:t xml:space="preserve"> begins</w:t>
      </w:r>
      <w:r w:rsidRPr="00B33956">
        <w:rPr>
          <w:rFonts w:cs="Segoe UI"/>
          <w:szCs w:val="21"/>
        </w:rPr>
        <w:t>.</w:t>
      </w:r>
    </w:p>
    <w:p w14:paraId="7B7810E8" w14:textId="77777777" w:rsidR="00B17E6C" w:rsidRPr="00B33956" w:rsidRDefault="00B17E6C" w:rsidP="00B17E6C"/>
    <w:p w14:paraId="7B7810E9" w14:textId="77777777" w:rsidR="00B17E6C" w:rsidRPr="00B33956" w:rsidRDefault="00B17E6C" w:rsidP="00B17E6C">
      <w:pPr>
        <w:rPr>
          <w:rFonts w:cs="Segoe UI"/>
          <w:szCs w:val="21"/>
        </w:rPr>
      </w:pPr>
      <w:r w:rsidRPr="00B33956">
        <w:rPr>
          <w:rFonts w:cs="Segoe UI"/>
          <w:szCs w:val="21"/>
        </w:rPr>
        <w:t xml:space="preserve">The DAA Group </w:t>
      </w:r>
      <w:r>
        <w:rPr>
          <w:rFonts w:cs="Segoe UI"/>
          <w:szCs w:val="21"/>
        </w:rPr>
        <w:t>can supply</w:t>
      </w:r>
      <w:r w:rsidRPr="00AA3642">
        <w:rPr>
          <w:rFonts w:cs="Segoe UI"/>
          <w:szCs w:val="21"/>
        </w:rPr>
        <w:t xml:space="preserve"> </w:t>
      </w:r>
      <w:r w:rsidRPr="00B33956">
        <w:rPr>
          <w:rFonts w:cs="Segoe UI"/>
          <w:szCs w:val="21"/>
        </w:rPr>
        <w:t>members of the audit team</w:t>
      </w:r>
      <w:r>
        <w:rPr>
          <w:rFonts w:cs="Segoe UI"/>
          <w:szCs w:val="21"/>
        </w:rPr>
        <w:t xml:space="preserve"> with d</w:t>
      </w:r>
      <w:r w:rsidRPr="00B33956">
        <w:rPr>
          <w:rFonts w:cs="Segoe UI"/>
          <w:szCs w:val="21"/>
        </w:rPr>
        <w:t>ocuments requested for review as part of stage one.</w:t>
      </w:r>
    </w:p>
    <w:p w14:paraId="7B7810EA" w14:textId="77777777" w:rsidR="00B17E6C" w:rsidRPr="00B33956" w:rsidRDefault="00B17E6C" w:rsidP="00B17E6C"/>
    <w:p w14:paraId="7B7810EB" w14:textId="77777777" w:rsidR="00B17E6C" w:rsidRPr="00B33956" w:rsidRDefault="00B17E6C" w:rsidP="00B17E6C">
      <w:pPr>
        <w:rPr>
          <w:rFonts w:cs="Segoe UI"/>
          <w:szCs w:val="21"/>
        </w:rPr>
      </w:pPr>
      <w:r>
        <w:rPr>
          <w:rFonts w:cs="Segoe UI"/>
          <w:szCs w:val="21"/>
        </w:rPr>
        <w:t>If</w:t>
      </w:r>
      <w:r w:rsidRPr="00B33956">
        <w:rPr>
          <w:rFonts w:cs="Segoe UI"/>
          <w:szCs w:val="21"/>
        </w:rPr>
        <w:t xml:space="preserve"> stage one require</w:t>
      </w:r>
      <w:r>
        <w:rPr>
          <w:rFonts w:cs="Segoe UI"/>
          <w:szCs w:val="21"/>
        </w:rPr>
        <w:t>s</w:t>
      </w:r>
      <w:r w:rsidRPr="00B33956">
        <w:rPr>
          <w:rFonts w:cs="Segoe UI"/>
          <w:szCs w:val="21"/>
        </w:rPr>
        <w:t xml:space="preserve"> additional activities that are consistent with AS/NZS ISO/IEC 17021-1/17065, the DAA Group </w:t>
      </w:r>
      <w:r>
        <w:rPr>
          <w:rFonts w:cs="Segoe UI"/>
          <w:szCs w:val="21"/>
        </w:rPr>
        <w:t xml:space="preserve">must </w:t>
      </w:r>
      <w:r w:rsidRPr="00B33956">
        <w:rPr>
          <w:rFonts w:cs="Segoe UI"/>
          <w:szCs w:val="21"/>
        </w:rPr>
        <w:t>communicate this requirement to the service provider in a timely manner.</w:t>
      </w:r>
    </w:p>
    <w:p w14:paraId="7B7810EC" w14:textId="77777777" w:rsidR="00B17E6C" w:rsidRPr="00B33956" w:rsidRDefault="00B17E6C" w:rsidP="00B17E6C">
      <w:pPr>
        <w:rPr>
          <w:rFonts w:cs="Segoe UI"/>
          <w:szCs w:val="21"/>
        </w:rPr>
      </w:pPr>
    </w:p>
    <w:p w14:paraId="7B7810ED" w14:textId="77777777" w:rsidR="00B17E6C" w:rsidRPr="00B33956" w:rsidRDefault="00B17E6C" w:rsidP="00B17E6C">
      <w:pPr>
        <w:rPr>
          <w:rFonts w:cs="Segoe UI"/>
          <w:szCs w:val="21"/>
        </w:rPr>
      </w:pPr>
      <w:r w:rsidRPr="00B33956">
        <w:rPr>
          <w:rFonts w:cs="Segoe UI"/>
          <w:szCs w:val="21"/>
        </w:rPr>
        <w:t>The auditors at the on</w:t>
      </w:r>
      <w:r w:rsidRPr="00B33956">
        <w:rPr>
          <w:rFonts w:cs="Segoe UI"/>
          <w:szCs w:val="21"/>
        </w:rPr>
        <w:noBreakHyphen/>
        <w:t xml:space="preserve">site audit </w:t>
      </w:r>
      <w:r>
        <w:rPr>
          <w:rFonts w:cs="Segoe UI"/>
          <w:szCs w:val="21"/>
        </w:rPr>
        <w:t>must review a</w:t>
      </w:r>
      <w:r w:rsidRPr="00B33956">
        <w:rPr>
          <w:rFonts w:cs="Segoe UI"/>
          <w:szCs w:val="21"/>
        </w:rPr>
        <w:t>ny documents that a provider changes between the document review and on</w:t>
      </w:r>
      <w:r w:rsidRPr="00B33956">
        <w:rPr>
          <w:rFonts w:cs="Segoe UI"/>
          <w:szCs w:val="21"/>
        </w:rPr>
        <w:noBreakHyphen/>
        <w:t>site audit.</w:t>
      </w:r>
    </w:p>
    <w:p w14:paraId="7B7810EE" w14:textId="77777777" w:rsidR="00B17E6C" w:rsidRPr="00B33956" w:rsidRDefault="00B17E6C" w:rsidP="00B17E6C">
      <w:pPr>
        <w:rPr>
          <w:rFonts w:cs="Segoe UI"/>
          <w:szCs w:val="21"/>
        </w:rPr>
      </w:pPr>
    </w:p>
    <w:p w14:paraId="7B7810EF" w14:textId="77777777" w:rsidR="00B17E6C" w:rsidRPr="00B33956" w:rsidRDefault="00B17E6C" w:rsidP="00B17E6C">
      <w:pPr>
        <w:rPr>
          <w:rFonts w:cs="Segoe UI"/>
          <w:szCs w:val="21"/>
        </w:rPr>
      </w:pPr>
      <w:r w:rsidRPr="00B33956">
        <w:rPr>
          <w:rFonts w:cs="Segoe UI"/>
          <w:szCs w:val="21"/>
        </w:rPr>
        <w:t xml:space="preserve">If </w:t>
      </w:r>
      <w:r>
        <w:rPr>
          <w:rFonts w:cs="Segoe UI"/>
          <w:szCs w:val="21"/>
        </w:rPr>
        <w:t xml:space="preserve">stage one identifies </w:t>
      </w:r>
      <w:r w:rsidRPr="00B33956">
        <w:rPr>
          <w:rFonts w:cs="Segoe UI"/>
          <w:szCs w:val="21"/>
        </w:rPr>
        <w:t xml:space="preserve">a significant number of non-conformities, the DAA Group will contact the NSU programme audit </w:t>
      </w:r>
      <w:proofErr w:type="gramStart"/>
      <w:r w:rsidRPr="00B33956">
        <w:rPr>
          <w:rFonts w:cs="Segoe UI"/>
          <w:szCs w:val="21"/>
        </w:rPr>
        <w:t>lead</w:t>
      </w:r>
      <w:proofErr w:type="gramEnd"/>
      <w:r w:rsidRPr="00B33956">
        <w:rPr>
          <w:rFonts w:cs="Segoe UI"/>
          <w:szCs w:val="21"/>
        </w:rPr>
        <w:t xml:space="preserve"> to discuss appropriate timing for the next stage.</w:t>
      </w:r>
      <w:r>
        <w:rPr>
          <w:rFonts w:cs="Segoe UI"/>
          <w:szCs w:val="21"/>
        </w:rPr>
        <w:t xml:space="preserve"> </w:t>
      </w:r>
      <w:r w:rsidRPr="00B33956">
        <w:rPr>
          <w:rFonts w:cs="Segoe UI"/>
          <w:szCs w:val="21"/>
        </w:rPr>
        <w:t>When conducting readiness audits, the DAA Group will document whether the policies reviewe</w:t>
      </w:r>
      <w:r>
        <w:rPr>
          <w:rFonts w:cs="Segoe UI"/>
          <w:szCs w:val="21"/>
        </w:rPr>
        <w:t xml:space="preserve">d </w:t>
      </w:r>
      <w:r w:rsidRPr="00B33956">
        <w:rPr>
          <w:rFonts w:cs="Segoe UI"/>
          <w:szCs w:val="21"/>
        </w:rPr>
        <w:t>are those of the current provider or the potential provider. Where the potential provider intends</w:t>
      </w:r>
      <w:r>
        <w:rPr>
          <w:rFonts w:cs="Segoe UI"/>
          <w:szCs w:val="21"/>
        </w:rPr>
        <w:t xml:space="preserve"> </w:t>
      </w:r>
      <w:r w:rsidRPr="00B33956">
        <w:rPr>
          <w:rFonts w:cs="Segoe UI"/>
          <w:szCs w:val="21"/>
        </w:rPr>
        <w:t xml:space="preserve">to implement </w:t>
      </w:r>
      <w:r>
        <w:rPr>
          <w:rFonts w:cs="Segoe UI"/>
          <w:szCs w:val="21"/>
        </w:rPr>
        <w:t>its</w:t>
      </w:r>
      <w:r w:rsidRPr="00B33956">
        <w:rPr>
          <w:rFonts w:cs="Segoe UI"/>
          <w:szCs w:val="21"/>
        </w:rPr>
        <w:t xml:space="preserve"> own policies or staffing, rather than following the approach of the current provider, </w:t>
      </w:r>
      <w:r>
        <w:rPr>
          <w:rFonts w:cs="Segoe UI"/>
          <w:szCs w:val="21"/>
        </w:rPr>
        <w:t xml:space="preserve">it must have </w:t>
      </w:r>
      <w:r w:rsidRPr="00B33956">
        <w:rPr>
          <w:rFonts w:cs="Segoe UI"/>
          <w:szCs w:val="21"/>
        </w:rPr>
        <w:t>a transition plan and implementation timetable.</w:t>
      </w:r>
    </w:p>
    <w:p w14:paraId="7B7810F0" w14:textId="77777777" w:rsidR="00B17E6C" w:rsidRPr="003F6642" w:rsidRDefault="00B17E6C" w:rsidP="00B17E6C"/>
    <w:p w14:paraId="7B7810F1" w14:textId="77777777" w:rsidR="00B17E6C" w:rsidRPr="001E56BB" w:rsidRDefault="00B17E6C" w:rsidP="00FD616C">
      <w:pPr>
        <w:pStyle w:val="Heading3-nonumber"/>
      </w:pPr>
      <w:bookmarkStart w:id="71" w:name="_Toc371769437"/>
      <w:bookmarkStart w:id="72" w:name="_Toc414889619"/>
      <w:bookmarkStart w:id="73" w:name="_Toc485385895"/>
      <w:r w:rsidRPr="001E56BB">
        <w:t>On</w:t>
      </w:r>
      <w:r>
        <w:t>-</w:t>
      </w:r>
      <w:r w:rsidRPr="001E56BB">
        <w:t xml:space="preserve">site </w:t>
      </w:r>
      <w:r>
        <w:t>and remote a</w:t>
      </w:r>
      <w:r w:rsidRPr="001E56BB">
        <w:t>udit (for all types of audit)</w:t>
      </w:r>
    </w:p>
    <w:p w14:paraId="7B7810F2" w14:textId="77777777" w:rsidR="00E33EDB" w:rsidRDefault="00B17E6C" w:rsidP="00036460">
      <w:r w:rsidRPr="00B756BF">
        <w:t>The second stage of the audit is an on</w:t>
      </w:r>
      <w:r>
        <w:t>-</w:t>
      </w:r>
      <w:r w:rsidRPr="00B756BF">
        <w:t>site audit</w:t>
      </w:r>
      <w:r>
        <w:t>.</w:t>
      </w:r>
    </w:p>
    <w:p w14:paraId="7B7810F3" w14:textId="77777777" w:rsidR="00B17E6C" w:rsidRPr="00B756BF" w:rsidRDefault="00B17E6C" w:rsidP="00036460">
      <w:pPr>
        <w:rPr>
          <w:rFonts w:eastAsia="Arial"/>
          <w:highlight w:val="yellow"/>
        </w:rPr>
      </w:pPr>
    </w:p>
    <w:p w14:paraId="7B7810F4" w14:textId="77777777" w:rsidR="00B17E6C" w:rsidRDefault="00B17E6C" w:rsidP="00036460">
      <w:r w:rsidRPr="00B756BF">
        <w:t>The audit team is on site to un</w:t>
      </w:r>
      <w:r w:rsidRPr="00B86CD6">
        <w:t xml:space="preserve">dertake the audit, using the methodology and sampling of evidence </w:t>
      </w:r>
      <w:r>
        <w:t>that this</w:t>
      </w:r>
      <w:r w:rsidRPr="00B86CD6">
        <w:t xml:space="preserve"> section </w:t>
      </w:r>
      <w:r>
        <w:t xml:space="preserve">describes. The </w:t>
      </w:r>
      <w:r w:rsidRPr="00F80BD5">
        <w:rPr>
          <w:i/>
        </w:rPr>
        <w:t>NSU Audit Programme Handbook</w:t>
      </w:r>
      <w:r>
        <w:rPr>
          <w:i/>
        </w:rPr>
        <w:t>:</w:t>
      </w:r>
      <w:r>
        <w:t xml:space="preserve"> </w:t>
      </w:r>
      <w:r w:rsidRPr="00F80BD5">
        <w:rPr>
          <w:i/>
        </w:rPr>
        <w:t xml:space="preserve">Part Two </w:t>
      </w:r>
      <w:r>
        <w:t>sets out the prog</w:t>
      </w:r>
      <w:r w:rsidRPr="00B86CD6">
        <w:t>ramme</w:t>
      </w:r>
      <w:r>
        <w:t>-</w:t>
      </w:r>
      <w:r w:rsidRPr="00B86CD6">
        <w:t>specific requirements.</w:t>
      </w:r>
    </w:p>
    <w:p w14:paraId="7B7810F5" w14:textId="77777777" w:rsidR="00B17E6C" w:rsidRPr="009E3943" w:rsidRDefault="00B17E6C" w:rsidP="00036460"/>
    <w:p w14:paraId="7B7810F6" w14:textId="77777777" w:rsidR="00B17E6C" w:rsidRDefault="00B17E6C" w:rsidP="00036460">
      <w:r>
        <w:t>Remote auditing may occur in some situations. It may include accessing the screening service provider</w:t>
      </w:r>
      <w:r w:rsidR="00E33EDB">
        <w:t>’</w:t>
      </w:r>
      <w:r>
        <w:t>s electronic data to review quality and risk systems without the need for an on-site visit.</w:t>
      </w:r>
    </w:p>
    <w:p w14:paraId="7B7810F7" w14:textId="77777777" w:rsidR="00036460" w:rsidRDefault="00036460" w:rsidP="00036460"/>
    <w:p w14:paraId="7B7810F8" w14:textId="77777777" w:rsidR="00B17E6C" w:rsidRPr="00447BB5" w:rsidRDefault="00B17E6C" w:rsidP="00036460">
      <w:pPr>
        <w:pStyle w:val="Heading2"/>
        <w:rPr>
          <w:rFonts w:eastAsia="Arial"/>
        </w:rPr>
      </w:pPr>
      <w:bookmarkStart w:id="74" w:name="_Toc68012568"/>
      <w:bookmarkStart w:id="75" w:name="_Toc90391839"/>
      <w:r>
        <w:rPr>
          <w:rFonts w:eastAsia="Arial"/>
        </w:rPr>
        <w:lastRenderedPageBreak/>
        <w:t>Length of a</w:t>
      </w:r>
      <w:r w:rsidRPr="00447BB5">
        <w:rPr>
          <w:rFonts w:eastAsia="Arial"/>
        </w:rPr>
        <w:t>udit</w:t>
      </w:r>
      <w:bookmarkEnd w:id="71"/>
      <w:bookmarkEnd w:id="72"/>
      <w:bookmarkEnd w:id="73"/>
      <w:bookmarkEnd w:id="74"/>
      <w:bookmarkEnd w:id="75"/>
    </w:p>
    <w:p w14:paraId="7B7810F9" w14:textId="77777777" w:rsidR="00B17E6C" w:rsidRPr="003F6642" w:rsidRDefault="00B17E6C" w:rsidP="00036460">
      <w:pPr>
        <w:keepNext/>
      </w:pPr>
      <w:r>
        <w:t>Deciding on t</w:t>
      </w:r>
      <w:r w:rsidRPr="003F6642">
        <w:t>he time required to conduct an on</w:t>
      </w:r>
      <w:r w:rsidRPr="003F6642">
        <w:noBreakHyphen/>
        <w:t xml:space="preserve">site audit </w:t>
      </w:r>
      <w:r>
        <w:t>will</w:t>
      </w:r>
      <w:r w:rsidRPr="003F6642">
        <w:t xml:space="preserve"> </w:t>
      </w:r>
      <w:r>
        <w:t>take account of</w:t>
      </w:r>
      <w:r w:rsidRPr="003F6642">
        <w:t xml:space="preserve"> the following aspects (as applicable):</w:t>
      </w:r>
    </w:p>
    <w:p w14:paraId="7B7810FA" w14:textId="77777777" w:rsidR="00E33EDB" w:rsidRDefault="00B17E6C" w:rsidP="00036460">
      <w:pPr>
        <w:pStyle w:val="Bullet"/>
        <w:keepNext/>
      </w:pPr>
      <w:r w:rsidRPr="00552D8C">
        <w:t>the requirement that an auditor</w:t>
      </w:r>
      <w:r w:rsidR="00E33EDB">
        <w:t>’</w:t>
      </w:r>
      <w:r w:rsidRPr="00552D8C">
        <w:t>s day is a minimum of seven hours</w:t>
      </w:r>
    </w:p>
    <w:p w14:paraId="7B7810FB" w14:textId="77777777" w:rsidR="00B17E6C" w:rsidRPr="003F6642" w:rsidRDefault="00B17E6C" w:rsidP="00036460">
      <w:pPr>
        <w:pStyle w:val="Bullet"/>
        <w:keepNext/>
        <w:rPr>
          <w:rFonts w:eastAsia="Arial"/>
        </w:rPr>
      </w:pPr>
      <w:r>
        <w:rPr>
          <w:rFonts w:eastAsia="Arial"/>
        </w:rPr>
        <w:t>t</w:t>
      </w:r>
      <w:r w:rsidRPr="003F6642">
        <w:rPr>
          <w:rFonts w:eastAsia="Arial"/>
        </w:rPr>
        <w:t xml:space="preserve">he size and complexity of the service </w:t>
      </w:r>
      <w:r>
        <w:rPr>
          <w:rFonts w:eastAsia="Arial"/>
        </w:rPr>
        <w:t>under</w:t>
      </w:r>
      <w:r w:rsidRPr="003F6642">
        <w:rPr>
          <w:rFonts w:eastAsia="Arial"/>
        </w:rPr>
        <w:t xml:space="preserve"> audit, including geographic spread between regional and outreach services from the primary service</w:t>
      </w:r>
    </w:p>
    <w:p w14:paraId="7B7810FC" w14:textId="77777777" w:rsidR="00B17E6C" w:rsidRPr="003F6642" w:rsidRDefault="00B17E6C" w:rsidP="00036460">
      <w:pPr>
        <w:pStyle w:val="Bullet"/>
        <w:rPr>
          <w:rFonts w:eastAsia="Arial"/>
        </w:rPr>
      </w:pPr>
      <w:r>
        <w:rPr>
          <w:rFonts w:eastAsia="Arial"/>
        </w:rPr>
        <w:t>r</w:t>
      </w:r>
      <w:r w:rsidRPr="003F6642">
        <w:rPr>
          <w:rFonts w:eastAsia="Arial"/>
        </w:rPr>
        <w:t xml:space="preserve">esults of </w:t>
      </w:r>
      <w:r>
        <w:rPr>
          <w:rFonts w:eastAsia="Arial"/>
        </w:rPr>
        <w:t>previous</w:t>
      </w:r>
      <w:r w:rsidRPr="003F6642">
        <w:rPr>
          <w:rFonts w:eastAsia="Arial"/>
        </w:rPr>
        <w:t xml:space="preserve"> audits</w:t>
      </w:r>
    </w:p>
    <w:p w14:paraId="7B7810FD" w14:textId="77777777" w:rsidR="00B17E6C" w:rsidRPr="003F6642" w:rsidRDefault="00B17E6C" w:rsidP="00036460">
      <w:pPr>
        <w:pStyle w:val="Bullet"/>
        <w:rPr>
          <w:rFonts w:eastAsia="Arial"/>
        </w:rPr>
      </w:pPr>
      <w:r>
        <w:rPr>
          <w:rFonts w:eastAsia="Arial"/>
        </w:rPr>
        <w:t>m</w:t>
      </w:r>
      <w:r w:rsidRPr="003F6642">
        <w:rPr>
          <w:rFonts w:eastAsia="Arial"/>
        </w:rPr>
        <w:t>ulti-site considerations</w:t>
      </w:r>
    </w:p>
    <w:p w14:paraId="7B7810FE" w14:textId="77777777" w:rsidR="00B17E6C" w:rsidRPr="003F6642" w:rsidRDefault="00B17E6C" w:rsidP="00036460">
      <w:pPr>
        <w:pStyle w:val="Bullet"/>
        <w:rPr>
          <w:rFonts w:eastAsia="Arial"/>
        </w:rPr>
      </w:pPr>
      <w:r>
        <w:rPr>
          <w:rFonts w:eastAsia="Arial"/>
        </w:rPr>
        <w:t>r</w:t>
      </w:r>
      <w:r w:rsidRPr="003F6642">
        <w:rPr>
          <w:rFonts w:eastAsia="Arial"/>
        </w:rPr>
        <w:t xml:space="preserve">equirements to meet the standards of auditing practice </w:t>
      </w:r>
      <w:r>
        <w:rPr>
          <w:rFonts w:eastAsia="Arial"/>
        </w:rPr>
        <w:t>for</w:t>
      </w:r>
      <w:r w:rsidRPr="003F6642">
        <w:rPr>
          <w:rFonts w:eastAsia="Arial"/>
        </w:rPr>
        <w:t xml:space="preserve"> the </w:t>
      </w:r>
      <w:r>
        <w:rPr>
          <w:rFonts w:eastAsia="Arial"/>
        </w:rPr>
        <w:t>DAA Group</w:t>
      </w:r>
    </w:p>
    <w:p w14:paraId="7B7810FF" w14:textId="77777777" w:rsidR="00B17E6C" w:rsidRPr="003F6642" w:rsidRDefault="00B17E6C" w:rsidP="00036460">
      <w:pPr>
        <w:pStyle w:val="Bullet"/>
        <w:rPr>
          <w:rFonts w:eastAsia="Arial"/>
        </w:rPr>
      </w:pPr>
      <w:r>
        <w:rPr>
          <w:rFonts w:eastAsia="Arial"/>
        </w:rPr>
        <w:t>u</w:t>
      </w:r>
      <w:r w:rsidRPr="003F6642">
        <w:rPr>
          <w:rFonts w:eastAsia="Arial"/>
        </w:rPr>
        <w:t>se of technical expert</w:t>
      </w:r>
      <w:r>
        <w:rPr>
          <w:rFonts w:eastAsia="Arial"/>
        </w:rPr>
        <w:t xml:space="preserve"> assessors</w:t>
      </w:r>
    </w:p>
    <w:p w14:paraId="7B781100" w14:textId="77777777" w:rsidR="00B17E6C" w:rsidRPr="003F6642" w:rsidRDefault="00B17E6C" w:rsidP="00036460">
      <w:pPr>
        <w:pStyle w:val="Bullet"/>
        <w:rPr>
          <w:rFonts w:eastAsia="Arial"/>
        </w:rPr>
      </w:pPr>
      <w:r>
        <w:rPr>
          <w:rFonts w:eastAsia="Arial"/>
        </w:rPr>
        <w:t>t</w:t>
      </w:r>
      <w:r w:rsidRPr="003F6642">
        <w:rPr>
          <w:rFonts w:eastAsia="Arial"/>
        </w:rPr>
        <w:t>he requirement that time on site comprises at least 50 percent of the estimated tota</w:t>
      </w:r>
      <w:r>
        <w:rPr>
          <w:rFonts w:eastAsia="Arial"/>
        </w:rPr>
        <w:t>l</w:t>
      </w:r>
      <w:r w:rsidRPr="003F6642">
        <w:rPr>
          <w:rFonts w:eastAsia="Arial"/>
        </w:rPr>
        <w:t xml:space="preserve"> audit time.</w:t>
      </w:r>
    </w:p>
    <w:p w14:paraId="7B781101" w14:textId="77777777" w:rsidR="00B17E6C" w:rsidRPr="003F6642" w:rsidRDefault="00B17E6C" w:rsidP="00036460"/>
    <w:p w14:paraId="7B781102" w14:textId="77777777" w:rsidR="00B17E6C" w:rsidRDefault="00B17E6C" w:rsidP="00036460">
      <w:r>
        <w:t>For additional</w:t>
      </w:r>
      <w:r w:rsidRPr="003F6642">
        <w:t xml:space="preserve"> guidance on aspects of </w:t>
      </w:r>
      <w:r>
        <w:t xml:space="preserve">the length of </w:t>
      </w:r>
      <w:r w:rsidRPr="003F6642">
        <w:t xml:space="preserve">audit </w:t>
      </w:r>
      <w:r>
        <w:t xml:space="preserve">that this handbook does </w:t>
      </w:r>
      <w:r w:rsidRPr="003F6642">
        <w:t>not cover, see IAF MD5</w:t>
      </w:r>
      <w:r w:rsidRPr="003F6642">
        <w:rPr>
          <w:rFonts w:eastAsia="Arial"/>
        </w:rPr>
        <w:t xml:space="preserve"> </w:t>
      </w:r>
      <w:r w:rsidRPr="005E28B9">
        <w:rPr>
          <w:rFonts w:eastAsia="Arial"/>
          <w:i/>
        </w:rPr>
        <w:t xml:space="preserve">Mandatory Document for Duration of </w:t>
      </w:r>
      <w:r>
        <w:rPr>
          <w:rFonts w:eastAsia="Arial"/>
          <w:i/>
        </w:rPr>
        <w:t>QMS</w:t>
      </w:r>
      <w:r w:rsidRPr="005E28B9">
        <w:rPr>
          <w:rFonts w:eastAsia="Arial"/>
          <w:i/>
        </w:rPr>
        <w:t xml:space="preserve"> and E</w:t>
      </w:r>
      <w:r>
        <w:rPr>
          <w:rFonts w:eastAsia="Arial"/>
          <w:i/>
        </w:rPr>
        <w:t>MS</w:t>
      </w:r>
      <w:r w:rsidRPr="005E28B9">
        <w:rPr>
          <w:rFonts w:eastAsia="Arial"/>
          <w:i/>
        </w:rPr>
        <w:t xml:space="preserve"> Audits</w:t>
      </w:r>
      <w:r w:rsidRPr="003F6642">
        <w:rPr>
          <w:rFonts w:eastAsia="Arial"/>
        </w:rPr>
        <w:t xml:space="preserve"> </w:t>
      </w:r>
      <w:r>
        <w:rPr>
          <w:rFonts w:eastAsia="Arial"/>
        </w:rPr>
        <w:t>(</w:t>
      </w:r>
      <w:r w:rsidRPr="003F6642">
        <w:rPr>
          <w:rFonts w:eastAsia="Arial"/>
        </w:rPr>
        <w:t>International Accreditation Forum</w:t>
      </w:r>
      <w:r>
        <w:rPr>
          <w:rFonts w:eastAsia="Arial"/>
        </w:rPr>
        <w:t xml:space="preserve"> 2009)</w:t>
      </w:r>
      <w:r w:rsidRPr="003F6642">
        <w:t>.</w:t>
      </w:r>
    </w:p>
    <w:p w14:paraId="7B781103" w14:textId="77777777" w:rsidR="00036460" w:rsidRPr="003F6642" w:rsidRDefault="00036460" w:rsidP="00036460"/>
    <w:p w14:paraId="7B781104" w14:textId="77777777" w:rsidR="00B17E6C" w:rsidRPr="00085E36" w:rsidRDefault="00B17E6C" w:rsidP="00036460">
      <w:pPr>
        <w:pStyle w:val="Heading2"/>
        <w:rPr>
          <w:rFonts w:eastAsia="Arial"/>
        </w:rPr>
      </w:pPr>
      <w:bookmarkStart w:id="76" w:name="_Toc371769438"/>
      <w:bookmarkStart w:id="77" w:name="_Toc414889620"/>
      <w:bookmarkStart w:id="78" w:name="_Toc485385896"/>
      <w:bookmarkStart w:id="79" w:name="_Toc68012569"/>
      <w:bookmarkStart w:id="80" w:name="_Toc90391840"/>
      <w:r w:rsidRPr="00085E36">
        <w:rPr>
          <w:rFonts w:eastAsia="Arial"/>
        </w:rPr>
        <w:t xml:space="preserve">The </w:t>
      </w:r>
      <w:r>
        <w:rPr>
          <w:rFonts w:eastAsia="Arial"/>
        </w:rPr>
        <w:t xml:space="preserve">NSU </w:t>
      </w:r>
      <w:r w:rsidRPr="00085E36">
        <w:rPr>
          <w:rFonts w:eastAsia="Arial"/>
        </w:rPr>
        <w:t xml:space="preserve">audit </w:t>
      </w:r>
      <w:bookmarkEnd w:id="76"/>
      <w:bookmarkEnd w:id="77"/>
      <w:bookmarkEnd w:id="78"/>
      <w:r w:rsidRPr="00085E36">
        <w:rPr>
          <w:rFonts w:eastAsia="Arial"/>
        </w:rPr>
        <w:t>approach</w:t>
      </w:r>
      <w:bookmarkEnd w:id="79"/>
      <w:bookmarkEnd w:id="80"/>
    </w:p>
    <w:p w14:paraId="7B781105" w14:textId="77777777" w:rsidR="00E33EDB" w:rsidRDefault="00B17E6C" w:rsidP="00036460">
      <w:r>
        <w:t>The DAA Group will include a</w:t>
      </w:r>
      <w:r w:rsidRPr="00541261">
        <w:t>ll</w:t>
      </w:r>
      <w:r>
        <w:t xml:space="preserve"> sites of the</w:t>
      </w:r>
      <w:r w:rsidRPr="00541261">
        <w:t xml:space="preserve"> screening service provider</w:t>
      </w:r>
      <w:r>
        <w:t xml:space="preserve"> </w:t>
      </w:r>
      <w:r w:rsidRPr="00541261">
        <w:t xml:space="preserve">in the scope of services </w:t>
      </w:r>
      <w:r>
        <w:t>when</w:t>
      </w:r>
      <w:r w:rsidRPr="00541261">
        <w:t xml:space="preserve"> develop</w:t>
      </w:r>
      <w:r>
        <w:t>ing</w:t>
      </w:r>
      <w:r w:rsidRPr="00541261">
        <w:t xml:space="preserve"> the audit plan. </w:t>
      </w:r>
      <w:r>
        <w:t>It will use a</w:t>
      </w:r>
      <w:r w:rsidRPr="00541261">
        <w:t xml:space="preserve"> sampling methodology </w:t>
      </w:r>
      <w:r>
        <w:t xml:space="preserve">to develop the scope of audit for </w:t>
      </w:r>
      <w:r w:rsidRPr="00541261">
        <w:t>multi</w:t>
      </w:r>
      <w:r>
        <w:t>-</w:t>
      </w:r>
      <w:r w:rsidRPr="00541261">
        <w:t>site services and agreed with NSU as part of the multi</w:t>
      </w:r>
      <w:r>
        <w:t>-</w:t>
      </w:r>
      <w:r w:rsidRPr="00541261">
        <w:t>site service</w:t>
      </w:r>
      <w:r w:rsidR="00E33EDB">
        <w:t>’</w:t>
      </w:r>
      <w:r>
        <w:t>s</w:t>
      </w:r>
      <w:r w:rsidRPr="00541261">
        <w:t xml:space="preserve"> preparation for audit.</w:t>
      </w:r>
    </w:p>
    <w:p w14:paraId="7B781106" w14:textId="77777777" w:rsidR="00B17E6C" w:rsidRDefault="00B17E6C" w:rsidP="00036460"/>
    <w:p w14:paraId="7B781107" w14:textId="77777777" w:rsidR="00B17E6C" w:rsidRDefault="00B17E6C" w:rsidP="00036460">
      <w:r>
        <w:t>Unless specified in the individual programme</w:t>
      </w:r>
      <w:r w:rsidR="00E33EDB">
        <w:t>’</w:t>
      </w:r>
      <w:r>
        <w:t xml:space="preserve">s sampling methodology, the audit will </w:t>
      </w:r>
      <w:r w:rsidRPr="00C216D5">
        <w:t>consid</w:t>
      </w:r>
      <w:r>
        <w:t>er</w:t>
      </w:r>
      <w:r w:rsidRPr="00C216D5">
        <w:t xml:space="preserve"> all sites, where possible, over the audit cycle</w:t>
      </w:r>
      <w:r>
        <w:t xml:space="preserve"> (That is,</w:t>
      </w:r>
      <w:r w:rsidRPr="00C216D5">
        <w:t xml:space="preserve"> </w:t>
      </w:r>
      <w:r>
        <w:t xml:space="preserve">sites that auditors do </w:t>
      </w:r>
      <w:r w:rsidRPr="00C216D5">
        <w:t>not visit at verification audit could be included at surveillance audit</w:t>
      </w:r>
      <w:r>
        <w:t>.)</w:t>
      </w:r>
    </w:p>
    <w:p w14:paraId="7B781108" w14:textId="77777777" w:rsidR="00B17E6C" w:rsidRDefault="00B17E6C" w:rsidP="00036460"/>
    <w:p w14:paraId="7B781109" w14:textId="77777777" w:rsidR="00E33EDB" w:rsidRDefault="00B17E6C" w:rsidP="00036460">
      <w:r w:rsidRPr="00292786">
        <w:t xml:space="preserve">The NSU </w:t>
      </w:r>
      <w:r>
        <w:t>a</w:t>
      </w:r>
      <w:r w:rsidRPr="00292786">
        <w:t xml:space="preserve">udit </w:t>
      </w:r>
      <w:r>
        <w:t>p</w:t>
      </w:r>
      <w:r w:rsidRPr="00292786">
        <w:t xml:space="preserve">rogramme will take a streamlined approach </w:t>
      </w:r>
      <w:r>
        <w:t xml:space="preserve">to </w:t>
      </w:r>
      <w:r w:rsidRPr="00292786">
        <w:t xml:space="preserve">all audits. The NSU </w:t>
      </w:r>
      <w:r>
        <w:t>a</w:t>
      </w:r>
      <w:r w:rsidRPr="00292786">
        <w:t>udit</w:t>
      </w:r>
      <w:r>
        <w:t xml:space="preserve"> programme</w:t>
      </w:r>
      <w:r w:rsidRPr="00292786">
        <w:t xml:space="preserve"> </w:t>
      </w:r>
      <w:r>
        <w:t>f</w:t>
      </w:r>
      <w:r w:rsidRPr="00292786">
        <w:t xml:space="preserve">ramework process will focus on points </w:t>
      </w:r>
      <w:r w:rsidRPr="005D006A">
        <w:t>of critical importance</w:t>
      </w:r>
      <w:r w:rsidRPr="00292786">
        <w:t xml:space="preserve"> across the screening pathway.</w:t>
      </w:r>
    </w:p>
    <w:p w14:paraId="7B78110A" w14:textId="77777777" w:rsidR="00036460" w:rsidRDefault="00036460" w:rsidP="00036460"/>
    <w:p w14:paraId="7B78110B" w14:textId="77777777" w:rsidR="00B17E6C" w:rsidRPr="00A8329D" w:rsidRDefault="00B17E6C" w:rsidP="00FD616C">
      <w:pPr>
        <w:pStyle w:val="Heading3-nonumber"/>
      </w:pPr>
      <w:r w:rsidRPr="00A8329D">
        <w:t xml:space="preserve">Evidence-based </w:t>
      </w:r>
      <w:r>
        <w:t>approach</w:t>
      </w:r>
    </w:p>
    <w:p w14:paraId="7B78110C" w14:textId="77777777" w:rsidR="00B17E6C" w:rsidRDefault="00B17E6C" w:rsidP="00036460">
      <w:r w:rsidRPr="003F6642">
        <w:t xml:space="preserve">When conducting audits against the </w:t>
      </w:r>
      <w:r>
        <w:t>screening programme standards</w:t>
      </w:r>
      <w:r w:rsidRPr="003F6642">
        <w:t xml:space="preserve">, the </w:t>
      </w:r>
      <w:r>
        <w:t>DAA Group will</w:t>
      </w:r>
      <w:r w:rsidRPr="003F6642">
        <w:t xml:space="preserve"> consider all consumers</w:t>
      </w:r>
      <w:r w:rsidR="00E33EDB">
        <w:t>’</w:t>
      </w:r>
      <w:r w:rsidRPr="003F6642">
        <w:t xml:space="preserve"> experiences of services as an important part of the triangulation of evidence. Principles of sampling apply to the review of documents as well as to interviews and observations.</w:t>
      </w:r>
    </w:p>
    <w:p w14:paraId="7B78110D" w14:textId="77777777" w:rsidR="00036460" w:rsidRPr="003F6642" w:rsidRDefault="00036460" w:rsidP="00036460"/>
    <w:p w14:paraId="7B78110E" w14:textId="77777777" w:rsidR="00B17E6C" w:rsidRPr="00A8329D" w:rsidRDefault="00B17E6C" w:rsidP="00FD616C">
      <w:pPr>
        <w:pStyle w:val="Heading3-nonumber"/>
      </w:pPr>
      <w:r w:rsidRPr="00A8329D">
        <w:lastRenderedPageBreak/>
        <w:t>Sample size</w:t>
      </w:r>
    </w:p>
    <w:p w14:paraId="7B78110F" w14:textId="77777777" w:rsidR="00E33EDB" w:rsidRDefault="00B17E6C" w:rsidP="00036460">
      <w:r>
        <w:t>The DAA Group will</w:t>
      </w:r>
      <w:r w:rsidRPr="003F6642">
        <w:t xml:space="preserve"> ensure</w:t>
      </w:r>
      <w:r w:rsidRPr="00EE50D4">
        <w:t xml:space="preserve"> </w:t>
      </w:r>
      <w:r w:rsidRPr="003F6642">
        <w:t>all audits</w:t>
      </w:r>
      <w:r>
        <w:t xml:space="preserve"> achieve</w:t>
      </w:r>
      <w:r w:rsidRPr="003F6642">
        <w:t xml:space="preserve"> an adequate sample size </w:t>
      </w:r>
      <w:r>
        <w:t>in the</w:t>
      </w:r>
      <w:r w:rsidRPr="003F6642">
        <w:t xml:space="preserve"> follow</w:t>
      </w:r>
      <w:r>
        <w:t>ing way</w:t>
      </w:r>
      <w:r w:rsidRPr="003F6642">
        <w:t>.</w:t>
      </w:r>
    </w:p>
    <w:p w14:paraId="7B781110" w14:textId="77777777" w:rsidR="00036460" w:rsidRDefault="00036460" w:rsidP="00036460"/>
    <w:p w14:paraId="7B781111" w14:textId="77777777" w:rsidR="00B17E6C" w:rsidRDefault="00B17E6C" w:rsidP="00036460">
      <w:r>
        <w:t>NSU will agree on the sampling method for e</w:t>
      </w:r>
      <w:r w:rsidRPr="00FE6714">
        <w:t xml:space="preserve">ach screening programme to ensure </w:t>
      </w:r>
      <w:r>
        <w:t>the</w:t>
      </w:r>
      <w:r w:rsidRPr="00FE6714">
        <w:t xml:space="preserve"> number of interviews undertaken and files reviewed</w:t>
      </w:r>
      <w:r>
        <w:t xml:space="preserve"> is representative</w:t>
      </w:r>
      <w:r w:rsidRPr="00FE6714">
        <w:t xml:space="preserve">. </w:t>
      </w:r>
      <w:r w:rsidRPr="007D37F3">
        <w:t>This may include an agreed ratio and an agreed time period</w:t>
      </w:r>
      <w:r>
        <w:t xml:space="preserve"> to cover in the audit process</w:t>
      </w:r>
      <w:r w:rsidRPr="007D37F3">
        <w:t>.</w:t>
      </w:r>
    </w:p>
    <w:p w14:paraId="7B781112" w14:textId="77777777" w:rsidR="00E33EDB" w:rsidRDefault="00E33EDB" w:rsidP="00036460"/>
    <w:p w14:paraId="7B781113" w14:textId="77777777" w:rsidR="00B17E6C" w:rsidRDefault="00B17E6C" w:rsidP="00036460">
      <w:r w:rsidRPr="007D37F3">
        <w:t xml:space="preserve">Alternatively, where the sampling formula for any type of audit produces a number </w:t>
      </w:r>
      <w:r>
        <w:t>below</w:t>
      </w:r>
      <w:r w:rsidRPr="007D37F3">
        <w:t xml:space="preserve"> five, </w:t>
      </w:r>
      <w:r>
        <w:t xml:space="preserve">the auditors will interview </w:t>
      </w:r>
      <w:r w:rsidRPr="007D37F3">
        <w:t xml:space="preserve">a minimum of five consumers and </w:t>
      </w:r>
      <w:r>
        <w:t xml:space="preserve">review </w:t>
      </w:r>
      <w:r w:rsidRPr="007D37F3">
        <w:t>their corresponding clinical record</w:t>
      </w:r>
      <w:r>
        <w:t>s</w:t>
      </w:r>
      <w:r w:rsidRPr="007D37F3">
        <w:t>.</w:t>
      </w:r>
    </w:p>
    <w:p w14:paraId="7B781114" w14:textId="77777777" w:rsidR="00036460" w:rsidRDefault="00036460" w:rsidP="00036460"/>
    <w:p w14:paraId="7B781115" w14:textId="77777777" w:rsidR="00B17E6C" w:rsidRDefault="00B17E6C" w:rsidP="00036460">
      <w:r w:rsidRPr="007D37F3">
        <w:t>Where an auditor finds a non-conformity within the minimum sample,</w:t>
      </w:r>
      <w:r>
        <w:t xml:space="preserve"> the audit will widen the</w:t>
      </w:r>
      <w:r w:rsidRPr="007D37F3">
        <w:t xml:space="preserve"> sample sizes to verify whether the case is due to system or process failure, or a one-off anomaly.</w:t>
      </w:r>
    </w:p>
    <w:p w14:paraId="7B781116" w14:textId="77777777" w:rsidR="00036460" w:rsidRDefault="00036460" w:rsidP="00036460"/>
    <w:p w14:paraId="7B781117" w14:textId="77777777" w:rsidR="00B17E6C" w:rsidRDefault="00B17E6C" w:rsidP="00036460">
      <w:r w:rsidRPr="007D37F3">
        <w:t xml:space="preserve">Auditors </w:t>
      </w:r>
      <w:r>
        <w:t xml:space="preserve">must </w:t>
      </w:r>
      <w:r w:rsidRPr="007D37F3">
        <w:t xml:space="preserve">not allow the service to pre-select samples for them. This requirement applies to samples of staff, </w:t>
      </w:r>
      <w:proofErr w:type="gramStart"/>
      <w:r w:rsidRPr="007D37F3">
        <w:t>participants</w:t>
      </w:r>
      <w:proofErr w:type="gramEnd"/>
      <w:r w:rsidRPr="007D37F3">
        <w:t xml:space="preserve"> and clinical files.</w:t>
      </w:r>
    </w:p>
    <w:p w14:paraId="7B781118" w14:textId="77777777" w:rsidR="00B17E6C" w:rsidRDefault="00B17E6C" w:rsidP="00036460"/>
    <w:p w14:paraId="7B781119" w14:textId="77777777" w:rsidR="00B17E6C" w:rsidRDefault="00B17E6C" w:rsidP="00036460">
      <w:r>
        <w:t>Interviews with p</w:t>
      </w:r>
      <w:r w:rsidRPr="007D37F3">
        <w:t>ersonnel (staff, management, contractors, visiting health professionals and advocates) will be part of the audit process.</w:t>
      </w:r>
    </w:p>
    <w:p w14:paraId="7B78111A" w14:textId="77777777" w:rsidR="00B17E6C" w:rsidRPr="007D37F3" w:rsidRDefault="00B17E6C" w:rsidP="00036460"/>
    <w:p w14:paraId="7B78111B" w14:textId="77777777" w:rsidR="00E33EDB" w:rsidRDefault="00B17E6C" w:rsidP="00036460">
      <w:r w:rsidRPr="007D37F3">
        <w:t>Each screening programme will determine the minimum number of staff to be interviewed</w:t>
      </w:r>
      <w:r>
        <w:t>,</w:t>
      </w:r>
      <w:r w:rsidRPr="007D37F3">
        <w:t xml:space="preserve"> in addition to interviews </w:t>
      </w:r>
      <w:r>
        <w:t>with</w:t>
      </w:r>
      <w:r w:rsidRPr="007D37F3">
        <w:t xml:space="preserve"> management, consumers and visiting health professionals.</w:t>
      </w:r>
    </w:p>
    <w:p w14:paraId="7B78111C" w14:textId="77777777" w:rsidR="00B17E6C" w:rsidRPr="007D37F3" w:rsidRDefault="00B17E6C" w:rsidP="00036460"/>
    <w:p w14:paraId="7B78111D" w14:textId="77777777" w:rsidR="00E33EDB" w:rsidRDefault="00B17E6C" w:rsidP="00036460">
      <w:r w:rsidRPr="007D37F3">
        <w:t xml:space="preserve">The sample </w:t>
      </w:r>
      <w:r>
        <w:t>must</w:t>
      </w:r>
      <w:r w:rsidRPr="007D37F3">
        <w:t xml:space="preserve"> represent all roles of screening staff.</w:t>
      </w:r>
    </w:p>
    <w:p w14:paraId="7B78111E" w14:textId="77777777" w:rsidR="00B17E6C" w:rsidRPr="007D37F3" w:rsidRDefault="00B17E6C" w:rsidP="00036460"/>
    <w:p w14:paraId="7B78111F" w14:textId="77777777" w:rsidR="00B17E6C" w:rsidRDefault="00B17E6C" w:rsidP="00036460">
      <w:r w:rsidRPr="007D37F3">
        <w:t xml:space="preserve">All audits will refer to any satisfaction survey (or equivalent) of participants, </w:t>
      </w:r>
      <w:r w:rsidRPr="00AB65C5">
        <w:t>relatives and/or staff</w:t>
      </w:r>
      <w:r>
        <w:t xml:space="preserve"> that the provider has</w:t>
      </w:r>
      <w:r w:rsidRPr="00AB65C5">
        <w:t xml:space="preserve"> undertaken, or </w:t>
      </w:r>
      <w:r>
        <w:t xml:space="preserve">someone has undertaken </w:t>
      </w:r>
      <w:r w:rsidRPr="00AB65C5">
        <w:t xml:space="preserve">on behalf of the provider or funder, since the last audit. In referencing surveys, the audit team may include </w:t>
      </w:r>
      <w:r>
        <w:t xml:space="preserve">survey </w:t>
      </w:r>
      <w:r w:rsidRPr="00AB65C5">
        <w:t xml:space="preserve">results and actions taken in response to </w:t>
      </w:r>
      <w:r>
        <w:t>them</w:t>
      </w:r>
      <w:r w:rsidRPr="00AB65C5">
        <w:t>.</w:t>
      </w:r>
    </w:p>
    <w:p w14:paraId="7B781120" w14:textId="77777777" w:rsidR="00036460" w:rsidRPr="00AB65C5" w:rsidRDefault="00036460" w:rsidP="00036460"/>
    <w:p w14:paraId="7B781121" w14:textId="77777777" w:rsidR="00B17E6C" w:rsidRPr="00A8329D" w:rsidRDefault="00B17E6C" w:rsidP="00FD616C">
      <w:pPr>
        <w:pStyle w:val="Heading3-nonumber"/>
      </w:pPr>
      <w:r w:rsidRPr="00A8329D">
        <w:t>Stratified sampling</w:t>
      </w:r>
    </w:p>
    <w:p w14:paraId="7B781122" w14:textId="77777777" w:rsidR="00B17E6C" w:rsidRDefault="00B17E6C" w:rsidP="00036460">
      <w:r w:rsidRPr="007D37F3">
        <w:t>Auditors will identify relevant subgroups as part of their sampling methodology in order to consider the different characteristics of the population that the audited service is catering for, in line with the relevant screening programme</w:t>
      </w:r>
      <w:r w:rsidR="00E33EDB">
        <w:t>’</w:t>
      </w:r>
      <w:r w:rsidRPr="007D37F3">
        <w:t>s sampling plan.</w:t>
      </w:r>
    </w:p>
    <w:p w14:paraId="7B781123" w14:textId="77777777" w:rsidR="00036460" w:rsidRPr="007D37F3" w:rsidRDefault="00036460" w:rsidP="00036460"/>
    <w:p w14:paraId="7B781124" w14:textId="77777777" w:rsidR="00B17E6C" w:rsidRPr="00A8329D" w:rsidRDefault="00B17E6C" w:rsidP="00FD616C">
      <w:pPr>
        <w:pStyle w:val="Heading3-nonumber"/>
      </w:pPr>
      <w:r w:rsidRPr="00A8329D">
        <w:lastRenderedPageBreak/>
        <w:t>Random sampling</w:t>
      </w:r>
    </w:p>
    <w:p w14:paraId="7B781125" w14:textId="77777777" w:rsidR="00B17E6C" w:rsidRDefault="00B17E6C" w:rsidP="00036460">
      <w:pPr>
        <w:keepLines/>
      </w:pPr>
      <w:r>
        <w:t>With r</w:t>
      </w:r>
      <w:r w:rsidRPr="007D37F3">
        <w:t xml:space="preserve">andom selection </w:t>
      </w:r>
      <w:r w:rsidRPr="00657D3A">
        <w:t xml:space="preserve">of consumers, </w:t>
      </w:r>
      <w:proofErr w:type="gramStart"/>
      <w:r w:rsidRPr="00657D3A">
        <w:t>staff</w:t>
      </w:r>
      <w:proofErr w:type="gramEnd"/>
      <w:r w:rsidRPr="00657D3A">
        <w:t xml:space="preserve"> or documents (where any individual or document can be selected)</w:t>
      </w:r>
      <w:r>
        <w:t>, the audit is less</w:t>
      </w:r>
      <w:r w:rsidRPr="00657D3A">
        <w:t xml:space="preserve"> likel</w:t>
      </w:r>
      <w:r>
        <w:t xml:space="preserve">y to be </w:t>
      </w:r>
      <w:r w:rsidRPr="00657D3A">
        <w:t>bias</w:t>
      </w:r>
      <w:r>
        <w:t>ed</w:t>
      </w:r>
      <w:r w:rsidRPr="00657D3A">
        <w:t xml:space="preserve"> and </w:t>
      </w:r>
      <w:r>
        <w:t>auditors can</w:t>
      </w:r>
      <w:r w:rsidRPr="00657D3A">
        <w:t xml:space="preserve"> accurate</w:t>
      </w:r>
      <w:r>
        <w:t>ly</w:t>
      </w:r>
      <w:r w:rsidRPr="00657D3A">
        <w:t xml:space="preserve"> generalis</w:t>
      </w:r>
      <w:r>
        <w:t>e their</w:t>
      </w:r>
      <w:r w:rsidRPr="00657D3A">
        <w:t xml:space="preserve"> audit results. In every audit, auditors will select several clinical files through random sampling in addition to stratified sampling</w:t>
      </w:r>
      <w:r w:rsidRPr="003D5C72">
        <w:t xml:space="preserve">. </w:t>
      </w:r>
      <w:r w:rsidRPr="00657D3A">
        <w:t>On site, auditors are expected to choose consumers and staff for interview as randomly as possible.</w:t>
      </w:r>
    </w:p>
    <w:p w14:paraId="7B781126" w14:textId="77777777" w:rsidR="00036460" w:rsidRPr="00657D3A" w:rsidRDefault="00036460" w:rsidP="00036460"/>
    <w:p w14:paraId="7B781127" w14:textId="77777777" w:rsidR="00B17E6C" w:rsidRPr="00A8329D" w:rsidRDefault="00B17E6C" w:rsidP="00FD616C">
      <w:pPr>
        <w:pStyle w:val="Heading3-nonumber"/>
      </w:pPr>
      <w:r w:rsidRPr="00A8329D">
        <w:t>Incidental sampling</w:t>
      </w:r>
    </w:p>
    <w:p w14:paraId="7B781128" w14:textId="77777777" w:rsidR="00B17E6C" w:rsidRDefault="00B17E6C" w:rsidP="00036460">
      <w:r>
        <w:t>Auditors will base i</w:t>
      </w:r>
      <w:r w:rsidRPr="007D37F3">
        <w:t>ncidental sampling on the relevant screening programme</w:t>
      </w:r>
      <w:r w:rsidR="00E33EDB">
        <w:t>’</w:t>
      </w:r>
      <w:r>
        <w:t>s</w:t>
      </w:r>
      <w:r w:rsidRPr="007D37F3">
        <w:t xml:space="preserve"> sampling methodology.</w:t>
      </w:r>
    </w:p>
    <w:p w14:paraId="7B781129" w14:textId="77777777" w:rsidR="00036460" w:rsidRPr="007D37F3" w:rsidRDefault="00036460" w:rsidP="00036460"/>
    <w:p w14:paraId="7B78112A" w14:textId="77777777" w:rsidR="00B17E6C" w:rsidRPr="00A8329D" w:rsidRDefault="00B17E6C" w:rsidP="00FD616C">
      <w:pPr>
        <w:pStyle w:val="Heading3-nonumber"/>
      </w:pPr>
      <w:r w:rsidRPr="00A8329D">
        <w:t>Individual tracer methodology</w:t>
      </w:r>
    </w:p>
    <w:p w14:paraId="7B78112B" w14:textId="77777777" w:rsidR="00E33EDB" w:rsidRDefault="00B17E6C" w:rsidP="00036460">
      <w:r w:rsidRPr="00BF676C">
        <w:t>An individual tracer follows the experience of the screening consumer. Selection of a tracer should include a consumer who is following a complex screening pathway as their experience shows how the provider</w:t>
      </w:r>
      <w:r w:rsidR="00E33EDB">
        <w:t>’</w:t>
      </w:r>
      <w:r w:rsidRPr="00BF676C">
        <w:t>s systems and processes support the quality of th</w:t>
      </w:r>
      <w:r>
        <w:t>at consumer</w:t>
      </w:r>
      <w:r w:rsidR="00E33EDB">
        <w:t>’</w:t>
      </w:r>
      <w:r>
        <w:t>s</w:t>
      </w:r>
      <w:r w:rsidRPr="00BF676C">
        <w:t xml:space="preserve"> screening experience. </w:t>
      </w:r>
      <w:r w:rsidRPr="00B14A8B">
        <w:t>Complex screening services may encompass multidisciplinary interventions but do not need to be extensive.</w:t>
      </w:r>
    </w:p>
    <w:p w14:paraId="7B78112C" w14:textId="77777777" w:rsidR="00B17E6C" w:rsidRPr="00B14A8B" w:rsidRDefault="00B17E6C" w:rsidP="00036460"/>
    <w:p w14:paraId="7B78112D" w14:textId="77777777" w:rsidR="00E33EDB" w:rsidRDefault="00B17E6C" w:rsidP="00036460">
      <w:r>
        <w:t>To implement i</w:t>
      </w:r>
      <w:r w:rsidRPr="00B14A8B">
        <w:t>ndividual tracer methodology</w:t>
      </w:r>
      <w:r>
        <w:t>,</w:t>
      </w:r>
      <w:r w:rsidRPr="00B14A8B">
        <w:t xml:space="preserve"> an auditor </w:t>
      </w:r>
      <w:r>
        <w:t xml:space="preserve">must </w:t>
      </w:r>
      <w:r w:rsidRPr="00B14A8B">
        <w:t xml:space="preserve">review both </w:t>
      </w:r>
      <w:r>
        <w:t xml:space="preserve">the </w:t>
      </w:r>
      <w:r w:rsidRPr="00B14A8B">
        <w:t xml:space="preserve">chronology and the quality of assessment, </w:t>
      </w:r>
      <w:proofErr w:type="gramStart"/>
      <w:r w:rsidRPr="00B14A8B">
        <w:t>support</w:t>
      </w:r>
      <w:proofErr w:type="gramEnd"/>
      <w:r w:rsidRPr="00B14A8B">
        <w:t xml:space="preserve"> and service provision. The</w:t>
      </w:r>
      <w:r>
        <w:t>y use the</w:t>
      </w:r>
      <w:r w:rsidRPr="00B14A8B">
        <w:t xml:space="preserve"> participant record as a roadmap to move through the service and follow the experience </w:t>
      </w:r>
      <w:r w:rsidRPr="00657D3A">
        <w:t>of the consumer</w:t>
      </w:r>
      <w:r>
        <w:t>,</w:t>
      </w:r>
      <w:r w:rsidRPr="00657D3A">
        <w:t xml:space="preserve"> </w:t>
      </w:r>
      <w:r>
        <w:t xml:space="preserve">matching </w:t>
      </w:r>
      <w:r w:rsidRPr="00B14A8B">
        <w:t>an audit of the continuum of service provision to a consumer</w:t>
      </w:r>
      <w:r w:rsidR="00E33EDB">
        <w:t>’</w:t>
      </w:r>
      <w:r w:rsidRPr="00B14A8B">
        <w:t>s experience.</w:t>
      </w:r>
    </w:p>
    <w:p w14:paraId="7B78112E" w14:textId="77777777" w:rsidR="00B17E6C" w:rsidRPr="00B14A8B" w:rsidRDefault="00B17E6C" w:rsidP="00036460"/>
    <w:p w14:paraId="7B78112F" w14:textId="77777777" w:rsidR="00B17E6C" w:rsidRPr="00B14A8B" w:rsidRDefault="00B17E6C" w:rsidP="00036460">
      <w:r>
        <w:t>The purpose of an i</w:t>
      </w:r>
      <w:r w:rsidRPr="00B14A8B">
        <w:t xml:space="preserve">ndividual tracer methodology </w:t>
      </w:r>
      <w:r>
        <w:t>shifts</w:t>
      </w:r>
      <w:r w:rsidRPr="00B14A8B">
        <w:t xml:space="preserve"> the focus from written policies and procedures, examined in isolation, to the delivery of screening services. It enables a form of observation and assessment in which the auditor looks for trends that might point to potential issues at the system level within an organisation. The</w:t>
      </w:r>
      <w:r>
        <w:t xml:space="preserve"> methodology also gives the</w:t>
      </w:r>
      <w:r w:rsidRPr="00B14A8B">
        <w:t xml:space="preserve"> organisation a good opportunity to share examples of current practice.</w:t>
      </w:r>
    </w:p>
    <w:p w14:paraId="7B781130" w14:textId="77777777" w:rsidR="00B17E6C" w:rsidRPr="00B14A8B" w:rsidRDefault="00B17E6C" w:rsidP="00036460"/>
    <w:p w14:paraId="7B781131" w14:textId="77777777" w:rsidR="00B17E6C" w:rsidRPr="00B14A8B" w:rsidRDefault="00B17E6C" w:rsidP="00036460">
      <w:r w:rsidRPr="00B14A8B">
        <w:t xml:space="preserve">Auditors </w:t>
      </w:r>
      <w:r>
        <w:t>must</w:t>
      </w:r>
      <w:r w:rsidRPr="00B14A8B">
        <w:t xml:space="preserve"> obtain</w:t>
      </w:r>
      <w:r>
        <w:t xml:space="preserve"> the</w:t>
      </w:r>
      <w:r w:rsidRPr="00B14A8B">
        <w:t xml:space="preserve"> individual</w:t>
      </w:r>
      <w:r w:rsidR="00E33EDB">
        <w:t>’</w:t>
      </w:r>
      <w:r>
        <w:t>s</w:t>
      </w:r>
      <w:r w:rsidRPr="00B14A8B">
        <w:t xml:space="preserve"> verbal consent </w:t>
      </w:r>
      <w:r>
        <w:t xml:space="preserve">to </w:t>
      </w:r>
      <w:r w:rsidRPr="00B14A8B">
        <w:t>participat</w:t>
      </w:r>
      <w:r>
        <w:t>e in the tracer</w:t>
      </w:r>
      <w:r w:rsidRPr="00B14A8B">
        <w:t>. If their verbal consent is not possible</w:t>
      </w:r>
      <w:r>
        <w:t>,</w:t>
      </w:r>
      <w:r w:rsidRPr="00B14A8B">
        <w:t xml:space="preserve"> then the tracer interview will not proceed.</w:t>
      </w:r>
    </w:p>
    <w:p w14:paraId="7B781132" w14:textId="77777777" w:rsidR="00B17E6C" w:rsidRPr="00B14A8B" w:rsidRDefault="00B17E6C" w:rsidP="00036460"/>
    <w:p w14:paraId="7B781133" w14:textId="77777777" w:rsidR="00B17E6C" w:rsidRPr="00B14A8B" w:rsidRDefault="00B17E6C" w:rsidP="00036460">
      <w:r w:rsidRPr="00B14A8B">
        <w:t xml:space="preserve">Individuals may </w:t>
      </w:r>
      <w:r>
        <w:t xml:space="preserve">either </w:t>
      </w:r>
      <w:r w:rsidRPr="00B14A8B">
        <w:t xml:space="preserve">have recently been or </w:t>
      </w:r>
      <w:r>
        <w:t xml:space="preserve">be </w:t>
      </w:r>
      <w:r w:rsidRPr="00B14A8B">
        <w:t xml:space="preserve">currently participating in a screening assessment at </w:t>
      </w:r>
      <w:r>
        <w:t>a</w:t>
      </w:r>
      <w:r w:rsidRPr="00B14A8B">
        <w:t xml:space="preserve"> distinguishable stage across the screening pathway.</w:t>
      </w:r>
      <w:r w:rsidRPr="00B14A8B">
        <w:rPr>
          <w:sz w:val="16"/>
          <w:szCs w:val="16"/>
        </w:rPr>
        <w:t xml:space="preserve"> </w:t>
      </w:r>
      <w:r>
        <w:t xml:space="preserve">The </w:t>
      </w:r>
      <w:r w:rsidRPr="00B14A8B">
        <w:t xml:space="preserve">people </w:t>
      </w:r>
      <w:r>
        <w:t xml:space="preserve">selected </w:t>
      </w:r>
      <w:r w:rsidRPr="00B14A8B">
        <w:t>at stages across the screening pathway are likely to have received services that test the programme and local systems and processes</w:t>
      </w:r>
      <w:r>
        <w:t>,</w:t>
      </w:r>
      <w:r w:rsidRPr="00B14A8B">
        <w:t xml:space="preserve"> including transfers within services or between services.</w:t>
      </w:r>
    </w:p>
    <w:p w14:paraId="7B781134" w14:textId="77777777" w:rsidR="00B17E6C" w:rsidRPr="00B14A8B" w:rsidRDefault="00B17E6C" w:rsidP="00036460"/>
    <w:p w14:paraId="7B781135" w14:textId="77777777" w:rsidR="00B17E6C" w:rsidRDefault="00B17E6C" w:rsidP="00036460">
      <w:pPr>
        <w:keepNext/>
      </w:pPr>
      <w:r w:rsidRPr="00B14A8B">
        <w:lastRenderedPageBreak/>
        <w:t>Individual tracer methodology will involve</w:t>
      </w:r>
      <w:r>
        <w:t>:</w:t>
      </w:r>
    </w:p>
    <w:p w14:paraId="7B781136" w14:textId="77777777" w:rsidR="00B17E6C" w:rsidRDefault="00B17E6C" w:rsidP="00036460">
      <w:pPr>
        <w:pStyle w:val="Bullet"/>
        <w:keepNext/>
      </w:pPr>
      <w:r w:rsidRPr="00B14A8B">
        <w:t>review</w:t>
      </w:r>
      <w:r>
        <w:t>ing</w:t>
      </w:r>
      <w:r w:rsidRPr="00B14A8B">
        <w:t xml:space="preserve"> the participant file</w:t>
      </w:r>
    </w:p>
    <w:p w14:paraId="7B781137" w14:textId="77777777" w:rsidR="00B17E6C" w:rsidRDefault="00B17E6C" w:rsidP="00036460">
      <w:pPr>
        <w:pStyle w:val="Bullet"/>
        <w:keepNext/>
      </w:pPr>
      <w:r w:rsidRPr="00B14A8B">
        <w:t>observ</w:t>
      </w:r>
      <w:r>
        <w:t>ing</w:t>
      </w:r>
      <w:r w:rsidRPr="00B14A8B">
        <w:t xml:space="preserve"> service provision</w:t>
      </w:r>
    </w:p>
    <w:p w14:paraId="7B781138" w14:textId="77777777" w:rsidR="00B17E6C" w:rsidRDefault="00B17E6C" w:rsidP="00036460">
      <w:pPr>
        <w:pStyle w:val="Bullet"/>
      </w:pPr>
      <w:r w:rsidRPr="00B14A8B">
        <w:t>observ</w:t>
      </w:r>
      <w:r>
        <w:t>ing</w:t>
      </w:r>
      <w:r w:rsidRPr="00B14A8B">
        <w:t xml:space="preserve"> the environment and equipment use</w:t>
      </w:r>
    </w:p>
    <w:p w14:paraId="7B781139" w14:textId="77777777" w:rsidR="00E33EDB" w:rsidRDefault="00B17E6C" w:rsidP="00036460">
      <w:pPr>
        <w:pStyle w:val="Bullet"/>
      </w:pPr>
      <w:r w:rsidRPr="00B14A8B">
        <w:t>review</w:t>
      </w:r>
      <w:r>
        <w:t>ing</w:t>
      </w:r>
      <w:r w:rsidRPr="00B14A8B">
        <w:t xml:space="preserve"> competencies of staff</w:t>
      </w:r>
    </w:p>
    <w:p w14:paraId="7B78113A" w14:textId="77777777" w:rsidR="00B17E6C" w:rsidRDefault="00B17E6C" w:rsidP="00036460">
      <w:pPr>
        <w:pStyle w:val="Bullet"/>
      </w:pPr>
      <w:r w:rsidRPr="00B14A8B">
        <w:t>interview</w:t>
      </w:r>
      <w:r>
        <w:t>ing</w:t>
      </w:r>
      <w:r w:rsidRPr="00B14A8B">
        <w:t xml:space="preserve"> as many people as possible, including but not limited to the participant and the staff (nursing, medical, support) who have been directly involved in the delivery of the screening service.</w:t>
      </w:r>
    </w:p>
    <w:p w14:paraId="7B78113B" w14:textId="77777777" w:rsidR="00B17E6C" w:rsidRDefault="00B17E6C" w:rsidP="00036460"/>
    <w:p w14:paraId="7B78113C" w14:textId="77777777" w:rsidR="00B17E6C" w:rsidRPr="00B14A8B" w:rsidRDefault="00B17E6C" w:rsidP="00036460">
      <w:r w:rsidRPr="00B14A8B">
        <w:t>Where practica</w:t>
      </w:r>
      <w:r>
        <w:t>ble,</w:t>
      </w:r>
      <w:r w:rsidRPr="00B14A8B">
        <w:t xml:space="preserve"> the tracer will </w:t>
      </w:r>
      <w:r>
        <w:t xml:space="preserve">begin before the participant receives an </w:t>
      </w:r>
      <w:r w:rsidRPr="00B14A8B">
        <w:t>invitation to screen.</w:t>
      </w:r>
    </w:p>
    <w:p w14:paraId="7B78113D" w14:textId="77777777" w:rsidR="00B17E6C" w:rsidRPr="00B14A8B" w:rsidRDefault="00B17E6C" w:rsidP="00036460"/>
    <w:p w14:paraId="7B78113E" w14:textId="77777777" w:rsidR="00B17E6C" w:rsidRPr="00B14A8B" w:rsidRDefault="00B17E6C" w:rsidP="00036460">
      <w:r w:rsidRPr="00B14A8B">
        <w:t xml:space="preserve">The tracer description in the audit report </w:t>
      </w:r>
      <w:r>
        <w:t>will not include any</w:t>
      </w:r>
      <w:r w:rsidRPr="00B14A8B">
        <w:t xml:space="preserve"> identifiable information about an individual. Suitable samples for review of a participant</w:t>
      </w:r>
      <w:r w:rsidR="00E33EDB">
        <w:t>’</w:t>
      </w:r>
      <w:r w:rsidRPr="00B14A8B">
        <w:t>s screening experience include</w:t>
      </w:r>
      <w:r>
        <w:t>,</w:t>
      </w:r>
      <w:r w:rsidRPr="00B14A8B">
        <w:t xml:space="preserve"> but are not limited to</w:t>
      </w:r>
      <w:r>
        <w:t>,</w:t>
      </w:r>
      <w:r w:rsidRPr="00B14A8B">
        <w:t xml:space="preserve"> a participant who has:</w:t>
      </w:r>
    </w:p>
    <w:p w14:paraId="7B78113F" w14:textId="77777777" w:rsidR="00B17E6C" w:rsidRPr="00B14A8B" w:rsidRDefault="00B17E6C" w:rsidP="00036460">
      <w:pPr>
        <w:pStyle w:val="Bullet"/>
      </w:pPr>
      <w:r>
        <w:t>b</w:t>
      </w:r>
      <w:r w:rsidRPr="00B14A8B">
        <w:t>een involved in a complex screening experience</w:t>
      </w:r>
    </w:p>
    <w:p w14:paraId="7B781140" w14:textId="77777777" w:rsidR="00B17E6C" w:rsidRPr="00B14A8B" w:rsidRDefault="00B17E6C" w:rsidP="00036460">
      <w:pPr>
        <w:pStyle w:val="Bullet"/>
      </w:pPr>
      <w:r>
        <w:t>e</w:t>
      </w:r>
      <w:r w:rsidRPr="00B14A8B">
        <w:t xml:space="preserve">xperienced a recent illness where pain or a complication </w:t>
      </w:r>
      <w:r>
        <w:t>resulted</w:t>
      </w:r>
      <w:r w:rsidRPr="00B14A8B">
        <w:t xml:space="preserve"> from the screening assessment</w:t>
      </w:r>
      <w:r>
        <w:t>,</w:t>
      </w:r>
      <w:r w:rsidRPr="00B14A8B">
        <w:t xml:space="preserve"> and </w:t>
      </w:r>
      <w:r>
        <w:t>may have</w:t>
      </w:r>
      <w:r w:rsidRPr="00B14A8B">
        <w:t xml:space="preserve"> required a public hospital admission</w:t>
      </w:r>
    </w:p>
    <w:p w14:paraId="7B781141" w14:textId="77777777" w:rsidR="00B17E6C" w:rsidRDefault="00B17E6C" w:rsidP="00036460">
      <w:pPr>
        <w:pStyle w:val="Bullet"/>
      </w:pPr>
      <w:r>
        <w:t>p</w:t>
      </w:r>
      <w:r w:rsidRPr="00B14A8B">
        <w:t>rovided feedback or made a complaint about their ass</w:t>
      </w:r>
      <w:r w:rsidRPr="00657D3A">
        <w:t>essment and/or sc</w:t>
      </w:r>
      <w:r w:rsidRPr="00B14A8B">
        <w:t>reening experience</w:t>
      </w:r>
      <w:r>
        <w:t>.</w:t>
      </w:r>
    </w:p>
    <w:p w14:paraId="7B781142" w14:textId="77777777" w:rsidR="00036460" w:rsidRPr="00B14A8B" w:rsidRDefault="00036460" w:rsidP="00036460"/>
    <w:p w14:paraId="7B781143" w14:textId="77777777" w:rsidR="00B17E6C" w:rsidRPr="00A8329D" w:rsidRDefault="00B17E6C" w:rsidP="00FD616C">
      <w:pPr>
        <w:pStyle w:val="Heading3-nonumber"/>
      </w:pPr>
      <w:r w:rsidRPr="00A8329D">
        <w:t>Systems-based tracer methodology</w:t>
      </w:r>
    </w:p>
    <w:p w14:paraId="7B781144" w14:textId="77777777" w:rsidR="00B17E6C" w:rsidRPr="00657D3A" w:rsidRDefault="00B17E6C" w:rsidP="00036460">
      <w:pPr>
        <w:rPr>
          <w:rFonts w:eastAsia="Arial"/>
        </w:rPr>
      </w:pPr>
      <w:bookmarkStart w:id="81" w:name="_Hlk61424621"/>
      <w:r w:rsidRPr="00701F43">
        <w:rPr>
          <w:rFonts w:eastAsia="Arial"/>
        </w:rPr>
        <w:t xml:space="preserve">A systems-based tracer is used to audit a process, </w:t>
      </w:r>
      <w:proofErr w:type="gramStart"/>
      <w:r w:rsidRPr="00701F43">
        <w:rPr>
          <w:rFonts w:eastAsia="Arial"/>
        </w:rPr>
        <w:t>programme</w:t>
      </w:r>
      <w:proofErr w:type="gramEnd"/>
      <w:r w:rsidRPr="00701F43">
        <w:rPr>
          <w:rFonts w:eastAsia="Arial"/>
        </w:rPr>
        <w:t xml:space="preserve"> or system across an organisation to determine how well it functions in relation to relevant </w:t>
      </w:r>
      <w:r>
        <w:rPr>
          <w:rFonts w:eastAsia="Arial"/>
        </w:rPr>
        <w:t>s</w:t>
      </w:r>
      <w:r w:rsidRPr="00701F43">
        <w:rPr>
          <w:rFonts w:eastAsia="Arial"/>
        </w:rPr>
        <w:t>tandards across an organisation</w:t>
      </w:r>
      <w:r>
        <w:rPr>
          <w:rFonts w:eastAsia="Arial"/>
        </w:rPr>
        <w:t xml:space="preserve"> or </w:t>
      </w:r>
      <w:r w:rsidRPr="00701F43">
        <w:rPr>
          <w:rFonts w:eastAsia="Arial"/>
        </w:rPr>
        <w:t xml:space="preserve">facility. </w:t>
      </w:r>
      <w:bookmarkEnd w:id="81"/>
      <w:r w:rsidRPr="00701F43">
        <w:rPr>
          <w:rFonts w:eastAsia="Arial"/>
        </w:rPr>
        <w:t xml:space="preserve">The process for undertaking systems-based tracers is similar </w:t>
      </w:r>
      <w:r>
        <w:rPr>
          <w:rFonts w:eastAsia="Arial"/>
        </w:rPr>
        <w:t>across all</w:t>
      </w:r>
      <w:r w:rsidRPr="00701F43">
        <w:rPr>
          <w:rFonts w:eastAsia="Arial"/>
        </w:rPr>
        <w:t xml:space="preserve"> system</w:t>
      </w:r>
      <w:r>
        <w:rPr>
          <w:rFonts w:eastAsia="Arial"/>
        </w:rPr>
        <w:t xml:space="preserve">s </w:t>
      </w:r>
      <w:r w:rsidRPr="00701F43">
        <w:rPr>
          <w:rFonts w:eastAsia="Arial"/>
        </w:rPr>
        <w:t>being audited. Examples of systems-based tracers include infection prevention and control, a</w:t>
      </w:r>
      <w:r w:rsidRPr="00657D3A">
        <w:rPr>
          <w:rFonts w:eastAsia="Arial"/>
        </w:rPr>
        <w:t>nd recruitment and retention management.</w:t>
      </w:r>
    </w:p>
    <w:p w14:paraId="7B781145" w14:textId="77777777" w:rsidR="00B17E6C" w:rsidRPr="00657D3A" w:rsidRDefault="00B17E6C" w:rsidP="00036460">
      <w:pPr>
        <w:rPr>
          <w:rFonts w:eastAsia="Arial"/>
        </w:rPr>
      </w:pPr>
    </w:p>
    <w:p w14:paraId="7B781146" w14:textId="77777777" w:rsidR="00E33EDB" w:rsidRDefault="00B17E6C" w:rsidP="00036460">
      <w:pPr>
        <w:rPr>
          <w:rFonts w:eastAsia="Arial"/>
        </w:rPr>
      </w:pPr>
      <w:r w:rsidRPr="00701F43">
        <w:rPr>
          <w:rFonts w:eastAsia="Arial"/>
        </w:rPr>
        <w:t>To complete a systems-based tracer, the auditor will look at a sample of the provider</w:t>
      </w:r>
      <w:r w:rsidR="00E33EDB">
        <w:rPr>
          <w:rFonts w:eastAsia="Arial"/>
        </w:rPr>
        <w:t>’</w:t>
      </w:r>
      <w:r w:rsidRPr="00701F43">
        <w:rPr>
          <w:rFonts w:eastAsia="Arial"/>
        </w:rPr>
        <w:t xml:space="preserve">s process from </w:t>
      </w:r>
      <w:r>
        <w:rPr>
          <w:rFonts w:eastAsia="Arial"/>
        </w:rPr>
        <w:t>start</w:t>
      </w:r>
      <w:r w:rsidRPr="00701F43">
        <w:rPr>
          <w:rFonts w:eastAsia="Arial"/>
        </w:rPr>
        <w:t xml:space="preserve"> to </w:t>
      </w:r>
      <w:r>
        <w:rPr>
          <w:rFonts w:eastAsia="Arial"/>
        </w:rPr>
        <w:t>finish</w:t>
      </w:r>
      <w:r w:rsidRPr="00701F43">
        <w:rPr>
          <w:rFonts w:eastAsia="Arial"/>
        </w:rPr>
        <w:t xml:space="preserve"> to determine how well the system and </w:t>
      </w:r>
      <w:r>
        <w:rPr>
          <w:rFonts w:eastAsia="Arial"/>
        </w:rPr>
        <w:t xml:space="preserve">the </w:t>
      </w:r>
      <w:r w:rsidRPr="00701F43">
        <w:rPr>
          <w:rFonts w:eastAsia="Arial"/>
        </w:rPr>
        <w:t>process used within the system meet the needs of the service and</w:t>
      </w:r>
      <w:r>
        <w:rPr>
          <w:rFonts w:eastAsia="Arial"/>
        </w:rPr>
        <w:t xml:space="preserve"> the</w:t>
      </w:r>
      <w:r w:rsidRPr="00701F43">
        <w:rPr>
          <w:rFonts w:eastAsia="Arial"/>
        </w:rPr>
        <w:t xml:space="preserve"> participants in that service.</w:t>
      </w:r>
    </w:p>
    <w:p w14:paraId="7B781147" w14:textId="77777777" w:rsidR="00B17E6C" w:rsidRDefault="00B17E6C" w:rsidP="00036460">
      <w:pPr>
        <w:rPr>
          <w:rFonts w:eastAsia="Arial"/>
        </w:rPr>
      </w:pPr>
    </w:p>
    <w:p w14:paraId="7B781148" w14:textId="77777777" w:rsidR="00E33EDB" w:rsidRDefault="00B17E6C" w:rsidP="00036460">
      <w:pPr>
        <w:rPr>
          <w:rFonts w:eastAsia="Arial"/>
        </w:rPr>
      </w:pPr>
      <w:r w:rsidRPr="00701F43">
        <w:rPr>
          <w:rFonts w:eastAsia="Arial"/>
        </w:rPr>
        <w:t xml:space="preserve">A key difference between a systems-based tracer and individual tracer </w:t>
      </w:r>
      <w:r>
        <w:rPr>
          <w:rFonts w:eastAsia="Arial"/>
        </w:rPr>
        <w:t>lies in</w:t>
      </w:r>
      <w:r w:rsidRPr="00701F43">
        <w:rPr>
          <w:rFonts w:eastAsia="Arial"/>
        </w:rPr>
        <w:t xml:space="preserve"> </w:t>
      </w:r>
      <w:r>
        <w:rPr>
          <w:rFonts w:eastAsia="Arial"/>
        </w:rPr>
        <w:t>their focus and approach to sampling.</w:t>
      </w:r>
      <w:r w:rsidRPr="00701F43">
        <w:rPr>
          <w:rFonts w:eastAsia="Arial"/>
        </w:rPr>
        <w:t xml:space="preserve"> </w:t>
      </w:r>
      <w:r>
        <w:rPr>
          <w:rFonts w:eastAsia="Arial"/>
        </w:rPr>
        <w:t>T</w:t>
      </w:r>
      <w:r w:rsidRPr="00701F43">
        <w:rPr>
          <w:rFonts w:eastAsia="Arial"/>
        </w:rPr>
        <w:t xml:space="preserve">he individual tracer looks at multiple systems and processes in relation to the individual and then extends sampling beyond that individual tracer based on the findings from that tracer. </w:t>
      </w:r>
      <w:r>
        <w:rPr>
          <w:rFonts w:eastAsia="Arial"/>
        </w:rPr>
        <w:t>In contrast, t</w:t>
      </w:r>
      <w:r w:rsidRPr="00701F43">
        <w:rPr>
          <w:rFonts w:eastAsia="Arial"/>
        </w:rPr>
        <w:t>he systems-based tracer looks at one system or programme</w:t>
      </w:r>
      <w:r>
        <w:rPr>
          <w:rFonts w:eastAsia="Arial"/>
        </w:rPr>
        <w:t>,</w:t>
      </w:r>
      <w:r w:rsidRPr="00701F43">
        <w:rPr>
          <w:rFonts w:eastAsia="Arial"/>
        </w:rPr>
        <w:t xml:space="preserve"> sampling across multiple parts of the organisation</w:t>
      </w:r>
      <w:r>
        <w:rPr>
          <w:rFonts w:eastAsia="Arial"/>
        </w:rPr>
        <w:t xml:space="preserve"> or </w:t>
      </w:r>
      <w:r w:rsidRPr="00701F43">
        <w:rPr>
          <w:rFonts w:eastAsia="Arial"/>
        </w:rPr>
        <w:t>service.</w:t>
      </w:r>
    </w:p>
    <w:p w14:paraId="7B781149" w14:textId="77777777" w:rsidR="00B17E6C" w:rsidRPr="00701F43" w:rsidRDefault="00B17E6C" w:rsidP="00036460">
      <w:pPr>
        <w:rPr>
          <w:rFonts w:eastAsia="Arial"/>
        </w:rPr>
      </w:pPr>
    </w:p>
    <w:p w14:paraId="7B78114A" w14:textId="77777777" w:rsidR="00B17E6C" w:rsidRPr="00701F43" w:rsidRDefault="00B17E6C" w:rsidP="00036460">
      <w:pPr>
        <w:keepNext/>
        <w:rPr>
          <w:rFonts w:eastAsia="Arial"/>
        </w:rPr>
      </w:pPr>
      <w:r>
        <w:rPr>
          <w:rFonts w:eastAsia="Arial"/>
        </w:rPr>
        <w:lastRenderedPageBreak/>
        <w:t xml:space="preserve">In </w:t>
      </w:r>
      <w:r w:rsidRPr="00701F43">
        <w:rPr>
          <w:rFonts w:eastAsia="Arial"/>
        </w:rPr>
        <w:t>undertak</w:t>
      </w:r>
      <w:r>
        <w:rPr>
          <w:rFonts w:eastAsia="Arial"/>
        </w:rPr>
        <w:t>ing a</w:t>
      </w:r>
      <w:r w:rsidRPr="00701F43">
        <w:rPr>
          <w:rFonts w:eastAsia="Arial"/>
        </w:rPr>
        <w:t xml:space="preserve"> systems-based tracer</w:t>
      </w:r>
      <w:r>
        <w:rPr>
          <w:rFonts w:eastAsia="Arial"/>
        </w:rPr>
        <w:t>, auditors must</w:t>
      </w:r>
      <w:r w:rsidRPr="00701F43">
        <w:rPr>
          <w:rFonts w:eastAsia="Arial"/>
        </w:rPr>
        <w:t>:</w:t>
      </w:r>
    </w:p>
    <w:p w14:paraId="7B78114B" w14:textId="77777777" w:rsidR="00B17E6C" w:rsidRPr="00701F43" w:rsidRDefault="00B17E6C" w:rsidP="00036460">
      <w:pPr>
        <w:pStyle w:val="Bullet"/>
        <w:keepNext/>
        <w:rPr>
          <w:rFonts w:eastAsia="Arial"/>
        </w:rPr>
      </w:pPr>
      <w:r w:rsidRPr="00701F43">
        <w:rPr>
          <w:rFonts w:eastAsia="Arial"/>
        </w:rPr>
        <w:t>review relevant documentation</w:t>
      </w:r>
      <w:r>
        <w:rPr>
          <w:rFonts w:eastAsia="Arial"/>
        </w:rPr>
        <w:t>,</w:t>
      </w:r>
      <w:r w:rsidRPr="00701F43">
        <w:rPr>
          <w:rFonts w:eastAsia="Arial"/>
        </w:rPr>
        <w:t xml:space="preserve"> such as policies, procedures, internal audits, incident reports, complaints, dashboard reporting and relevant monitoring</w:t>
      </w:r>
    </w:p>
    <w:p w14:paraId="7B78114C" w14:textId="77777777" w:rsidR="00B17E6C" w:rsidRPr="00701F43" w:rsidRDefault="00B17E6C" w:rsidP="00036460">
      <w:pPr>
        <w:pStyle w:val="Bullet"/>
        <w:keepLines/>
        <w:rPr>
          <w:rFonts w:eastAsia="Arial"/>
        </w:rPr>
      </w:pPr>
      <w:r>
        <w:rPr>
          <w:rFonts w:eastAsia="Arial"/>
        </w:rPr>
        <w:t>conduct a</w:t>
      </w:r>
      <w:r w:rsidRPr="00701F43">
        <w:rPr>
          <w:rFonts w:eastAsia="Arial"/>
        </w:rPr>
        <w:t>n interview or small focus group discussion with staff that are involved in management and delivery of the system. This usually includes</w:t>
      </w:r>
      <w:r>
        <w:rPr>
          <w:rFonts w:eastAsia="Arial"/>
        </w:rPr>
        <w:t xml:space="preserve"> both groups or </w:t>
      </w:r>
      <w:r w:rsidRPr="00701F43">
        <w:rPr>
          <w:rFonts w:eastAsia="Arial"/>
        </w:rPr>
        <w:t>committees with the system responsibility and staff who are directly involved in the system</w:t>
      </w:r>
    </w:p>
    <w:p w14:paraId="7B78114D" w14:textId="77777777" w:rsidR="00B17E6C" w:rsidRDefault="00B17E6C" w:rsidP="00036460">
      <w:pPr>
        <w:pStyle w:val="Bullet"/>
        <w:rPr>
          <w:rFonts w:eastAsia="Arial"/>
        </w:rPr>
      </w:pPr>
      <w:r>
        <w:rPr>
          <w:rFonts w:eastAsia="Arial"/>
        </w:rPr>
        <w:t>a</w:t>
      </w:r>
      <w:r w:rsidRPr="00701F43">
        <w:rPr>
          <w:rFonts w:eastAsia="Arial"/>
        </w:rPr>
        <w:t>udit a sample of current participant records</w:t>
      </w:r>
      <w:r>
        <w:rPr>
          <w:rFonts w:eastAsia="Arial"/>
        </w:rPr>
        <w:t xml:space="preserve"> and undertake</w:t>
      </w:r>
      <w:r w:rsidRPr="00701F43">
        <w:rPr>
          <w:rFonts w:eastAsia="Arial"/>
        </w:rPr>
        <w:t xml:space="preserve"> observation and informal interviews across the organisation</w:t>
      </w:r>
      <w:r>
        <w:rPr>
          <w:rFonts w:eastAsia="Arial"/>
        </w:rPr>
        <w:t>,</w:t>
      </w:r>
      <w:r w:rsidRPr="00701F43">
        <w:rPr>
          <w:rFonts w:eastAsia="Arial"/>
        </w:rPr>
        <w:t xml:space="preserve"> which </w:t>
      </w:r>
      <w:r>
        <w:rPr>
          <w:rFonts w:eastAsia="Arial"/>
        </w:rPr>
        <w:t xml:space="preserve">they </w:t>
      </w:r>
      <w:r w:rsidRPr="00701F43">
        <w:rPr>
          <w:rFonts w:eastAsia="Arial"/>
        </w:rPr>
        <w:t>can use to test the implementation of the process or programme within the system</w:t>
      </w:r>
      <w:r>
        <w:rPr>
          <w:rFonts w:eastAsia="Arial"/>
        </w:rPr>
        <w:t>.</w:t>
      </w:r>
    </w:p>
    <w:p w14:paraId="7B78114E" w14:textId="77777777" w:rsidR="00036460" w:rsidRPr="00701F43" w:rsidRDefault="00036460" w:rsidP="00036460">
      <w:pPr>
        <w:rPr>
          <w:rFonts w:eastAsia="Arial"/>
        </w:rPr>
      </w:pPr>
    </w:p>
    <w:p w14:paraId="7B78114F" w14:textId="77777777" w:rsidR="00B17E6C" w:rsidRPr="00A8329D" w:rsidRDefault="00B17E6C" w:rsidP="00FD616C">
      <w:pPr>
        <w:pStyle w:val="Heading3-nonumber"/>
      </w:pPr>
      <w:r w:rsidRPr="00A8329D">
        <w:t>Interviewing</w:t>
      </w:r>
    </w:p>
    <w:p w14:paraId="7B781150" w14:textId="77777777" w:rsidR="00B17E6C" w:rsidRPr="003F6642" w:rsidRDefault="00B17E6C" w:rsidP="00036460">
      <w:r w:rsidRPr="003F6642">
        <w:t xml:space="preserve">Auditors </w:t>
      </w:r>
      <w:r>
        <w:t xml:space="preserve">will </w:t>
      </w:r>
      <w:r w:rsidRPr="003F6642">
        <w:t>use interviews to:</w:t>
      </w:r>
    </w:p>
    <w:p w14:paraId="7B781151" w14:textId="77777777" w:rsidR="00B17E6C" w:rsidRPr="003F6642" w:rsidRDefault="00B17E6C" w:rsidP="00036460">
      <w:pPr>
        <w:pStyle w:val="Bullet"/>
      </w:pPr>
      <w:r>
        <w:t>g</w:t>
      </w:r>
      <w:r w:rsidRPr="003F6642">
        <w:t>ather new audit evidence</w:t>
      </w:r>
    </w:p>
    <w:p w14:paraId="7B781152" w14:textId="77777777" w:rsidR="00B17E6C" w:rsidRPr="003F6642" w:rsidRDefault="00B17E6C" w:rsidP="00036460">
      <w:pPr>
        <w:pStyle w:val="Bullet"/>
      </w:pPr>
      <w:r>
        <w:t>c</w:t>
      </w:r>
      <w:r w:rsidRPr="003F6642">
        <w:t>orroborate audit evidence</w:t>
      </w:r>
      <w:r>
        <w:t>.</w:t>
      </w:r>
    </w:p>
    <w:p w14:paraId="7B781153" w14:textId="77777777" w:rsidR="00B17E6C" w:rsidRPr="003F6642" w:rsidRDefault="00B17E6C" w:rsidP="00036460"/>
    <w:p w14:paraId="7B781154" w14:textId="77777777" w:rsidR="00B17E6C" w:rsidRPr="003F6642" w:rsidRDefault="00B17E6C" w:rsidP="00036460">
      <w:pPr>
        <w:rPr>
          <w:rFonts w:eastAsia="Arial"/>
        </w:rPr>
      </w:pPr>
      <w:r>
        <w:rPr>
          <w:rFonts w:eastAsia="Arial"/>
        </w:rPr>
        <w:t>Auditors will i</w:t>
      </w:r>
      <w:r w:rsidRPr="003F6642">
        <w:rPr>
          <w:rFonts w:eastAsia="Arial"/>
        </w:rPr>
        <w:t>nterview</w:t>
      </w:r>
      <w:r>
        <w:rPr>
          <w:rFonts w:eastAsia="Arial"/>
        </w:rPr>
        <w:t xml:space="preserve"> at least some </w:t>
      </w:r>
      <w:r w:rsidRPr="003F6642">
        <w:rPr>
          <w:rFonts w:eastAsia="Arial"/>
        </w:rPr>
        <w:t>staff,</w:t>
      </w:r>
      <w:r w:rsidRPr="003F6642">
        <w:t xml:space="preserve"> </w:t>
      </w:r>
      <w:proofErr w:type="gramStart"/>
      <w:r>
        <w:rPr>
          <w:rFonts w:eastAsia="Arial"/>
        </w:rPr>
        <w:t>participants</w:t>
      </w:r>
      <w:proofErr w:type="gramEnd"/>
      <w:r w:rsidRPr="003F6642">
        <w:rPr>
          <w:rFonts w:eastAsia="Arial"/>
        </w:rPr>
        <w:t xml:space="preserve"> and relatives </w:t>
      </w:r>
      <w:r>
        <w:rPr>
          <w:rFonts w:eastAsia="Arial"/>
        </w:rPr>
        <w:t>individually rather than only</w:t>
      </w:r>
      <w:r w:rsidRPr="003F6642">
        <w:rPr>
          <w:rFonts w:eastAsia="Arial"/>
        </w:rPr>
        <w:t xml:space="preserve"> in groups. </w:t>
      </w:r>
      <w:r>
        <w:rPr>
          <w:rFonts w:eastAsia="Arial"/>
        </w:rPr>
        <w:t xml:space="preserve">Because of the lack of confidentiality in this </w:t>
      </w:r>
      <w:r w:rsidRPr="003F6642">
        <w:rPr>
          <w:rFonts w:eastAsia="Arial"/>
        </w:rPr>
        <w:t>situation</w:t>
      </w:r>
      <w:r>
        <w:rPr>
          <w:rFonts w:eastAsia="Arial"/>
        </w:rPr>
        <w:t>,</w:t>
      </w:r>
      <w:r w:rsidRPr="003F6642">
        <w:rPr>
          <w:rFonts w:eastAsia="Arial"/>
        </w:rPr>
        <w:t xml:space="preserve"> an individual may not disclose </w:t>
      </w:r>
      <w:r>
        <w:rPr>
          <w:rFonts w:eastAsia="Arial"/>
        </w:rPr>
        <w:t>their</w:t>
      </w:r>
      <w:r w:rsidRPr="003F6642">
        <w:rPr>
          <w:rFonts w:eastAsia="Arial"/>
        </w:rPr>
        <w:t xml:space="preserve"> true opinions.</w:t>
      </w:r>
    </w:p>
    <w:p w14:paraId="7B781155" w14:textId="77777777" w:rsidR="00B17E6C" w:rsidRPr="003F6642" w:rsidRDefault="00B17E6C" w:rsidP="00036460"/>
    <w:p w14:paraId="7B781156" w14:textId="77777777" w:rsidR="00B17E6C" w:rsidRPr="003F6642" w:rsidRDefault="00B17E6C" w:rsidP="00036460">
      <w:pPr>
        <w:rPr>
          <w:rFonts w:eastAsia="Arial"/>
        </w:rPr>
      </w:pPr>
      <w:r>
        <w:rPr>
          <w:rFonts w:eastAsia="Arial"/>
        </w:rPr>
        <w:t>S</w:t>
      </w:r>
      <w:r w:rsidRPr="003F6642">
        <w:rPr>
          <w:rFonts w:eastAsia="Arial"/>
        </w:rPr>
        <w:t xml:space="preserve">taff </w:t>
      </w:r>
      <w:r>
        <w:rPr>
          <w:rFonts w:eastAsia="Arial"/>
        </w:rPr>
        <w:t>interviewed will</w:t>
      </w:r>
      <w:r w:rsidRPr="003F6642">
        <w:rPr>
          <w:rFonts w:eastAsia="Arial"/>
        </w:rPr>
        <w:t xml:space="preserve"> include staff directly providing services. </w:t>
      </w:r>
      <w:r>
        <w:rPr>
          <w:rFonts w:eastAsia="Arial"/>
        </w:rPr>
        <w:t>Interviews must</w:t>
      </w:r>
      <w:r w:rsidRPr="003F6642">
        <w:rPr>
          <w:rFonts w:eastAsia="Arial"/>
        </w:rPr>
        <w:t xml:space="preserve"> not be </w:t>
      </w:r>
      <w:r>
        <w:rPr>
          <w:rFonts w:eastAsia="Arial"/>
        </w:rPr>
        <w:t>limited</w:t>
      </w:r>
      <w:r w:rsidRPr="003F6642">
        <w:rPr>
          <w:rFonts w:eastAsia="Arial"/>
        </w:rPr>
        <w:t xml:space="preserve"> to management or staff employed in a team leader or management capacity.</w:t>
      </w:r>
    </w:p>
    <w:p w14:paraId="7B781157" w14:textId="77777777" w:rsidR="00B17E6C" w:rsidRPr="003F6642" w:rsidRDefault="00B17E6C" w:rsidP="00036460"/>
    <w:p w14:paraId="7B781158" w14:textId="77777777" w:rsidR="00B17E6C" w:rsidRPr="00657D3A" w:rsidRDefault="00B17E6C" w:rsidP="00036460">
      <w:pPr>
        <w:rPr>
          <w:rFonts w:eastAsia="Arial"/>
        </w:rPr>
      </w:pPr>
      <w:r w:rsidRPr="003F6642">
        <w:rPr>
          <w:rFonts w:eastAsia="Arial"/>
        </w:rPr>
        <w:t xml:space="preserve">Auditors </w:t>
      </w:r>
      <w:r>
        <w:rPr>
          <w:rFonts w:eastAsia="Arial"/>
        </w:rPr>
        <w:t>will</w:t>
      </w:r>
      <w:r w:rsidRPr="003F6642">
        <w:rPr>
          <w:rFonts w:eastAsia="Arial"/>
        </w:rPr>
        <w:t xml:space="preserve"> apply</w:t>
      </w:r>
      <w:r>
        <w:rPr>
          <w:rFonts w:eastAsia="Arial"/>
        </w:rPr>
        <w:t xml:space="preserve"> the</w:t>
      </w:r>
      <w:r w:rsidRPr="003F6642">
        <w:rPr>
          <w:rFonts w:eastAsia="Arial"/>
        </w:rPr>
        <w:t xml:space="preserve"> sampling methodology to interviewing </w:t>
      </w:r>
      <w:r>
        <w:rPr>
          <w:rFonts w:eastAsia="Arial"/>
        </w:rPr>
        <w:t>that</w:t>
      </w:r>
      <w:r w:rsidRPr="003F6642">
        <w:rPr>
          <w:rFonts w:eastAsia="Arial"/>
        </w:rPr>
        <w:t xml:space="preserve"> </w:t>
      </w:r>
      <w:r w:rsidRPr="00657D3A">
        <w:rPr>
          <w:rFonts w:eastAsia="Arial"/>
        </w:rPr>
        <w:t xml:space="preserve">the </w:t>
      </w:r>
      <w:r w:rsidRPr="0064494C">
        <w:rPr>
          <w:rFonts w:eastAsia="Arial"/>
          <w:i/>
        </w:rPr>
        <w:t>NSU Auditing Handbook: Part Two</w:t>
      </w:r>
      <w:r>
        <w:rPr>
          <w:rFonts w:eastAsia="Arial"/>
        </w:rPr>
        <w:t xml:space="preserve"> describes</w:t>
      </w:r>
      <w:r w:rsidRPr="00657D3A">
        <w:rPr>
          <w:rFonts w:eastAsia="Arial"/>
        </w:rPr>
        <w:t xml:space="preserve">. Note that they should make the sample </w:t>
      </w:r>
      <w:r>
        <w:rPr>
          <w:rFonts w:eastAsia="Arial"/>
        </w:rPr>
        <w:t xml:space="preserve">large enough </w:t>
      </w:r>
      <w:r w:rsidRPr="00657D3A">
        <w:rPr>
          <w:rFonts w:eastAsia="Arial"/>
        </w:rPr>
        <w:t>to ensure their conclusions are representative of the service they are auditing.</w:t>
      </w:r>
    </w:p>
    <w:p w14:paraId="7B781159" w14:textId="77777777" w:rsidR="00B17E6C" w:rsidRPr="00657D3A" w:rsidRDefault="00B17E6C" w:rsidP="00036460">
      <w:pPr>
        <w:rPr>
          <w:rFonts w:eastAsia="Arial"/>
        </w:rPr>
      </w:pPr>
    </w:p>
    <w:p w14:paraId="7B78115A" w14:textId="77777777" w:rsidR="00E33EDB" w:rsidRDefault="00B17E6C" w:rsidP="00036460">
      <w:pPr>
        <w:rPr>
          <w:rFonts w:eastAsia="Arial"/>
        </w:rPr>
      </w:pPr>
      <w:r w:rsidRPr="003F6642">
        <w:rPr>
          <w:rFonts w:eastAsia="Arial"/>
        </w:rPr>
        <w:t xml:space="preserve">Auditors </w:t>
      </w:r>
      <w:r>
        <w:rPr>
          <w:rFonts w:eastAsia="Arial"/>
        </w:rPr>
        <w:t>will</w:t>
      </w:r>
      <w:r w:rsidRPr="003F6642">
        <w:rPr>
          <w:rFonts w:eastAsia="Arial"/>
        </w:rPr>
        <w:t xml:space="preserve"> use interviewing to corroborate information</w:t>
      </w:r>
      <w:r>
        <w:rPr>
          <w:rFonts w:eastAsia="Arial"/>
        </w:rPr>
        <w:t>,</w:t>
      </w:r>
      <w:r w:rsidRPr="003F6642">
        <w:rPr>
          <w:rFonts w:eastAsia="Arial"/>
        </w:rPr>
        <w:t xml:space="preserve"> such as how processes work and their effectiveness.</w:t>
      </w:r>
    </w:p>
    <w:p w14:paraId="7B78115B" w14:textId="77777777" w:rsidR="00036460" w:rsidRDefault="00036460" w:rsidP="00036460">
      <w:pPr>
        <w:rPr>
          <w:rFonts w:eastAsia="Arial"/>
        </w:rPr>
      </w:pPr>
    </w:p>
    <w:p w14:paraId="7B78115C" w14:textId="77777777" w:rsidR="00B17E6C" w:rsidRPr="00A8329D" w:rsidRDefault="00B17E6C" w:rsidP="00FD616C">
      <w:pPr>
        <w:pStyle w:val="Heading3-nonumber"/>
      </w:pPr>
      <w:r w:rsidRPr="00A8329D">
        <w:t>Collecti</w:t>
      </w:r>
      <w:r>
        <w:t>ng</w:t>
      </w:r>
      <w:r w:rsidRPr="00A8329D">
        <w:t xml:space="preserve"> audit evidence</w:t>
      </w:r>
    </w:p>
    <w:p w14:paraId="7B78115D" w14:textId="77777777" w:rsidR="00B17E6C" w:rsidRPr="003F6642" w:rsidRDefault="00B17E6C" w:rsidP="00036460">
      <w:r w:rsidRPr="003F6642">
        <w:t xml:space="preserve">Auditors </w:t>
      </w:r>
      <w:r>
        <w:t>will</w:t>
      </w:r>
      <w:r w:rsidRPr="003F6642">
        <w:t xml:space="preserve"> use work documents</w:t>
      </w:r>
      <w:r>
        <w:t>,</w:t>
      </w:r>
      <w:r w:rsidRPr="003F6642">
        <w:t xml:space="preserve"> such as checklists, audit sampling plans and forms</w:t>
      </w:r>
      <w:r>
        <w:t>,</w:t>
      </w:r>
      <w:r w:rsidRPr="003F6642">
        <w:t xml:space="preserve"> </w:t>
      </w:r>
      <w:r>
        <w:t>to</w:t>
      </w:r>
      <w:r w:rsidRPr="003F6642">
        <w:t xml:space="preserve"> record information</w:t>
      </w:r>
      <w:r>
        <w:t>,</w:t>
      </w:r>
      <w:r w:rsidRPr="003F6642">
        <w:t xml:space="preserve"> such as supporting evidence, audit findings and records of meetings and interviews</w:t>
      </w:r>
      <w:r>
        <w:t>. This approach</w:t>
      </w:r>
      <w:r w:rsidRPr="003F6642">
        <w:t xml:space="preserve"> support</w:t>
      </w:r>
      <w:r>
        <w:t>s</w:t>
      </w:r>
      <w:r w:rsidRPr="003F6642">
        <w:t xml:space="preserve"> a consistent standard of collecti</w:t>
      </w:r>
      <w:r>
        <w:t>ng the</w:t>
      </w:r>
      <w:r w:rsidRPr="003F6642">
        <w:t xml:space="preserve"> information that will form audit evidence.</w:t>
      </w:r>
    </w:p>
    <w:p w14:paraId="7B78115E" w14:textId="77777777" w:rsidR="00B17E6C" w:rsidRPr="003F6642" w:rsidRDefault="00B17E6C" w:rsidP="00036460"/>
    <w:p w14:paraId="7B78115F" w14:textId="77777777" w:rsidR="00B17E6C" w:rsidRPr="003F6642" w:rsidRDefault="00B17E6C" w:rsidP="00036460">
      <w:r w:rsidRPr="003F6642">
        <w:t xml:space="preserve">AS/NZS ISO 19011 defines audit evidence as </w:t>
      </w:r>
      <w:r w:rsidR="00E33EDB">
        <w:t>‘</w:t>
      </w:r>
      <w:r w:rsidRPr="003F6642">
        <w:t>records, statements of fact or other information which are relevant to the audit criteria and verifiable</w:t>
      </w:r>
      <w:r w:rsidR="00E33EDB">
        <w:t>’</w:t>
      </w:r>
      <w:r w:rsidRPr="003F6642">
        <w:t>.</w:t>
      </w:r>
    </w:p>
    <w:p w14:paraId="7B781160" w14:textId="77777777" w:rsidR="00B17E6C" w:rsidRPr="003F6642" w:rsidRDefault="00B17E6C" w:rsidP="00036460"/>
    <w:p w14:paraId="7B781161" w14:textId="77777777" w:rsidR="00B17E6C" w:rsidRPr="003F6642" w:rsidRDefault="00B17E6C" w:rsidP="00036460">
      <w:r w:rsidRPr="003F6642">
        <w:t xml:space="preserve">Auditors </w:t>
      </w:r>
      <w:r>
        <w:t>will</w:t>
      </w:r>
      <w:r w:rsidRPr="003F6642">
        <w:t xml:space="preserve"> collect evidence using appropriate sampling methods, including but not limited to interviews, </w:t>
      </w:r>
      <w:proofErr w:type="gramStart"/>
      <w:r w:rsidRPr="003F6642">
        <w:t>documentation</w:t>
      </w:r>
      <w:proofErr w:type="gramEnd"/>
      <w:r w:rsidRPr="003F6642">
        <w:t xml:space="preserve"> and observations.</w:t>
      </w:r>
    </w:p>
    <w:p w14:paraId="7B781162" w14:textId="77777777" w:rsidR="00B17E6C" w:rsidRPr="003F6642" w:rsidRDefault="00B17E6C" w:rsidP="00036460"/>
    <w:p w14:paraId="7B781163" w14:textId="77777777" w:rsidR="00B17E6C" w:rsidRPr="003F6642" w:rsidRDefault="00B17E6C" w:rsidP="00036460">
      <w:pPr>
        <w:keepLines/>
      </w:pPr>
      <w:r>
        <w:lastRenderedPageBreak/>
        <w:t xml:space="preserve">Before making </w:t>
      </w:r>
      <w:r w:rsidRPr="003F6642">
        <w:t>audit findings</w:t>
      </w:r>
      <w:r>
        <w:t>,</w:t>
      </w:r>
      <w:r w:rsidRPr="003F6642">
        <w:t xml:space="preserve"> </w:t>
      </w:r>
      <w:r>
        <w:t>a</w:t>
      </w:r>
      <w:r w:rsidRPr="003F6642">
        <w:t xml:space="preserve">uditors </w:t>
      </w:r>
      <w:r>
        <w:t>will</w:t>
      </w:r>
      <w:r w:rsidRPr="003F6642">
        <w:t xml:space="preserve"> consider </w:t>
      </w:r>
      <w:r>
        <w:t>whether</w:t>
      </w:r>
      <w:r w:rsidRPr="003F6642">
        <w:t xml:space="preserve"> </w:t>
      </w:r>
      <w:r>
        <w:t>they have</w:t>
      </w:r>
      <w:r w:rsidRPr="00B67E12">
        <w:t xml:space="preserve"> </w:t>
      </w:r>
      <w:r w:rsidRPr="003F6642">
        <w:t>gathered</w:t>
      </w:r>
      <w:r>
        <w:t xml:space="preserve"> enough relevant </w:t>
      </w:r>
      <w:r w:rsidRPr="003F6642">
        <w:t xml:space="preserve">information. They </w:t>
      </w:r>
      <w:r>
        <w:t>must</w:t>
      </w:r>
      <w:r w:rsidRPr="003F6642">
        <w:t xml:space="preserve"> not use one-off events and unsubstantiated information as the sole basis for an audit finding</w:t>
      </w:r>
      <w:r>
        <w:t>. Instead, they</w:t>
      </w:r>
      <w:r w:rsidRPr="003F6642">
        <w:t xml:space="preserve"> </w:t>
      </w:r>
      <w:r>
        <w:t>will</w:t>
      </w:r>
      <w:r w:rsidRPr="003F6642">
        <w:t xml:space="preserve"> use such data as a prompt to collect more information in order to </w:t>
      </w:r>
      <w:r>
        <w:t>confirm</w:t>
      </w:r>
      <w:r w:rsidRPr="003F6642">
        <w:t xml:space="preserve"> or </w:t>
      </w:r>
      <w:r>
        <w:t>reject</w:t>
      </w:r>
      <w:r w:rsidRPr="003F6642" w:rsidDel="00F60646">
        <w:t xml:space="preserve"> </w:t>
      </w:r>
      <w:r w:rsidRPr="003F6642">
        <w:t>the initial information.</w:t>
      </w:r>
    </w:p>
    <w:p w14:paraId="7B781164" w14:textId="77777777" w:rsidR="00B17E6C" w:rsidRPr="003F6642" w:rsidRDefault="00B17E6C" w:rsidP="00036460"/>
    <w:p w14:paraId="7B781165" w14:textId="77777777" w:rsidR="00B17E6C" w:rsidRDefault="00B17E6C" w:rsidP="00036460">
      <w:r w:rsidRPr="003F6642">
        <w:t>Where an auditor determines that an isolated event pose</w:t>
      </w:r>
      <w:r>
        <w:t>s</w:t>
      </w:r>
      <w:r w:rsidRPr="003F6642">
        <w:t xml:space="preserve"> a serious risk of harm or potential harm to a </w:t>
      </w:r>
      <w:r>
        <w:t>participant,</w:t>
      </w:r>
      <w:r w:rsidRPr="003F6642">
        <w:t xml:space="preserve"> they </w:t>
      </w:r>
      <w:r>
        <w:t>must</w:t>
      </w:r>
      <w:r w:rsidRPr="003F6642">
        <w:t xml:space="preserve"> </w:t>
      </w:r>
      <w:r>
        <w:t>either:</w:t>
      </w:r>
    </w:p>
    <w:p w14:paraId="7B781166" w14:textId="77777777" w:rsidR="00E33EDB" w:rsidRDefault="00B17E6C" w:rsidP="00036460">
      <w:pPr>
        <w:pStyle w:val="Bullet"/>
      </w:pPr>
      <w:r>
        <w:t xml:space="preserve">establish </w:t>
      </w:r>
      <w:r w:rsidRPr="003F6642">
        <w:t>that the service in question has remedied the situation and the risk of reoccurrence is negligible, or</w:t>
      </w:r>
    </w:p>
    <w:p w14:paraId="7B781167" w14:textId="0792AA35" w:rsidR="00B17E6C" w:rsidRPr="003F6642" w:rsidRDefault="00B17E6C" w:rsidP="00036460">
      <w:pPr>
        <w:pStyle w:val="Bullet"/>
      </w:pPr>
      <w:r w:rsidRPr="003F6642">
        <w:t xml:space="preserve">further substantiate the risk and make an appropriate audit </w:t>
      </w:r>
      <w:r w:rsidRPr="00540B30">
        <w:t xml:space="preserve">finding (see </w:t>
      </w:r>
      <w:r w:rsidR="009C3AC9">
        <w:t>s</w:t>
      </w:r>
      <w:r w:rsidRPr="009C3AC9">
        <w:t>ection</w:t>
      </w:r>
      <w:r w:rsidR="00036460" w:rsidRPr="009C3AC9">
        <w:t> </w:t>
      </w:r>
      <w:r w:rsidR="009C3AC9" w:rsidRPr="009C3AC9">
        <w:fldChar w:fldCharType="begin"/>
      </w:r>
      <w:r w:rsidR="009C3AC9" w:rsidRPr="009C3AC9">
        <w:instrText xml:space="preserve"> REF _Ref71179603 \r \h </w:instrText>
      </w:r>
      <w:r w:rsidR="009C3AC9">
        <w:instrText xml:space="preserve"> \* MERGEFORMAT </w:instrText>
      </w:r>
      <w:r w:rsidR="009C3AC9" w:rsidRPr="009C3AC9">
        <w:fldChar w:fldCharType="separate"/>
      </w:r>
      <w:r w:rsidR="002861DC">
        <w:t>7.4.5</w:t>
      </w:r>
      <w:r w:rsidR="009C3AC9" w:rsidRPr="009C3AC9">
        <w:fldChar w:fldCharType="end"/>
      </w:r>
      <w:r w:rsidRPr="009C3AC9">
        <w:t>) and</w:t>
      </w:r>
      <w:r w:rsidRPr="00540B30">
        <w:t xml:space="preserve"> agree on an action plan.</w:t>
      </w:r>
    </w:p>
    <w:p w14:paraId="7B781168" w14:textId="77777777" w:rsidR="00B17E6C" w:rsidRPr="003F6642" w:rsidRDefault="00B17E6C" w:rsidP="00036460"/>
    <w:p w14:paraId="7B781169" w14:textId="77777777" w:rsidR="00B17E6C" w:rsidRPr="003F6642" w:rsidRDefault="00B17E6C" w:rsidP="00036460">
      <w:r w:rsidRPr="003F6642">
        <w:t>Auditors are required to triangulate evidence from at least three sources where possible and</w:t>
      </w:r>
      <w:r>
        <w:t>,</w:t>
      </w:r>
      <w:r w:rsidRPr="003F6642">
        <w:t xml:space="preserve"> corroborate each piece of evidence they cite, to increase the reliability of their findings. The corroboration process </w:t>
      </w:r>
      <w:r>
        <w:t>will</w:t>
      </w:r>
      <w:r w:rsidRPr="003F6642">
        <w:t xml:space="preserve"> include </w:t>
      </w:r>
      <w:r>
        <w:t xml:space="preserve">evidence </w:t>
      </w:r>
      <w:r w:rsidRPr="003F6642">
        <w:t>from at least two sources.</w:t>
      </w:r>
    </w:p>
    <w:p w14:paraId="7B78116A" w14:textId="77777777" w:rsidR="00B17E6C" w:rsidRPr="003F6642" w:rsidRDefault="00B17E6C" w:rsidP="00036460"/>
    <w:p w14:paraId="7B78116B" w14:textId="77777777" w:rsidR="00B17E6C" w:rsidRPr="003F6642" w:rsidRDefault="00B17E6C" w:rsidP="00036460">
      <w:r w:rsidRPr="003F6642">
        <w:t xml:space="preserve">Auditors </w:t>
      </w:r>
      <w:r>
        <w:t>will</w:t>
      </w:r>
      <w:r w:rsidRPr="003F6642">
        <w:t xml:space="preserve"> strive to triangulate evidence as part of the corroboration process. </w:t>
      </w:r>
      <w:r>
        <w:t>In t</w:t>
      </w:r>
      <w:r w:rsidRPr="003F6642">
        <w:t>riangulati</w:t>
      </w:r>
      <w:r>
        <w:t>ng evidence, they must gather</w:t>
      </w:r>
      <w:r w:rsidRPr="003F6642">
        <w:t xml:space="preserve"> evidence from three sources using th</w:t>
      </w:r>
      <w:r>
        <w:t>ree of</w:t>
      </w:r>
      <w:r w:rsidRPr="003F6642">
        <w:t xml:space="preserve"> following </w:t>
      </w:r>
      <w:r>
        <w:t>four</w:t>
      </w:r>
      <w:r w:rsidRPr="003F6642">
        <w:t xml:space="preserve"> </w:t>
      </w:r>
      <w:r>
        <w:t>methods</w:t>
      </w:r>
      <w:r w:rsidRPr="003F6642">
        <w:t>.</w:t>
      </w:r>
    </w:p>
    <w:p w14:paraId="7B78116C" w14:textId="77777777" w:rsidR="00B17E6C" w:rsidRPr="003F6642" w:rsidRDefault="00B17E6C" w:rsidP="00EB6669">
      <w:pPr>
        <w:pStyle w:val="Number"/>
        <w:spacing w:before="120"/>
      </w:pPr>
      <w:r w:rsidRPr="003F6642">
        <w:t xml:space="preserve">Interview consumers, relatives, personnel (managers, staff members), other health professionals (for example, a </w:t>
      </w:r>
      <w:r>
        <w:t>screening radiologist</w:t>
      </w:r>
      <w:r w:rsidRPr="003F6642">
        <w:t>) and advocates</w:t>
      </w:r>
      <w:r>
        <w:t>.</w:t>
      </w:r>
    </w:p>
    <w:p w14:paraId="7B78116D" w14:textId="77777777" w:rsidR="00B17E6C" w:rsidRPr="003F6642" w:rsidRDefault="00B17E6C" w:rsidP="00EB6669">
      <w:pPr>
        <w:pStyle w:val="Number"/>
        <w:spacing w:before="120"/>
      </w:pPr>
      <w:r w:rsidRPr="003F6642">
        <w:t xml:space="preserve">Review documents </w:t>
      </w:r>
      <w:r>
        <w:t xml:space="preserve">and records, </w:t>
      </w:r>
      <w:r w:rsidRPr="003F6642">
        <w:t>including but not limited to:</w:t>
      </w:r>
    </w:p>
    <w:p w14:paraId="7B78116E" w14:textId="77777777" w:rsidR="00B17E6C" w:rsidRPr="003F6642" w:rsidRDefault="00B17E6C" w:rsidP="00EB6669">
      <w:pPr>
        <w:pStyle w:val="Bullet"/>
        <w:ind w:left="851"/>
      </w:pPr>
      <w:r w:rsidRPr="003F6642">
        <w:t xml:space="preserve">plans, policies, procedures, </w:t>
      </w:r>
      <w:proofErr w:type="gramStart"/>
      <w:r w:rsidRPr="003F6642">
        <w:t>manuals</w:t>
      </w:r>
      <w:proofErr w:type="gramEnd"/>
      <w:r w:rsidRPr="003F6642">
        <w:t xml:space="preserve"> and work instructions (for example, a service</w:t>
      </w:r>
      <w:r w:rsidR="00E33EDB">
        <w:t>’</w:t>
      </w:r>
      <w:r w:rsidRPr="003F6642">
        <w:t>s quality and risk management plan, annual plan, clinical policies and procedures, cleaning procedures and infection control manual)</w:t>
      </w:r>
    </w:p>
    <w:p w14:paraId="7B78116F" w14:textId="77777777" w:rsidR="00B17E6C" w:rsidRPr="00657D3A" w:rsidRDefault="00B17E6C" w:rsidP="00EB6669">
      <w:pPr>
        <w:pStyle w:val="Bullet"/>
        <w:ind w:left="851"/>
      </w:pPr>
      <w:r w:rsidRPr="003F6642">
        <w:t xml:space="preserve">information for </w:t>
      </w:r>
      <w:r>
        <w:t>members of the p</w:t>
      </w:r>
      <w:r w:rsidRPr="00657D3A">
        <w:t>ublic</w:t>
      </w:r>
      <w:r>
        <w:t>,</w:t>
      </w:r>
      <w:r w:rsidRPr="00657D3A">
        <w:t xml:space="preserve"> </w:t>
      </w:r>
      <w:proofErr w:type="gramStart"/>
      <w:r w:rsidRPr="00657D3A">
        <w:t>consumers</w:t>
      </w:r>
      <w:proofErr w:type="gramEnd"/>
      <w:r w:rsidRPr="00657D3A">
        <w:t xml:space="preserve"> and other stakeholders (for example, pamphlets or admission brochures)</w:t>
      </w:r>
    </w:p>
    <w:p w14:paraId="7B781170" w14:textId="77777777" w:rsidR="00E33EDB" w:rsidRDefault="00B17E6C" w:rsidP="00EB6669">
      <w:pPr>
        <w:pStyle w:val="Bullet"/>
        <w:ind w:left="851"/>
      </w:pPr>
      <w:r w:rsidRPr="00657D3A">
        <w:t>screening assessment clinical records</w:t>
      </w:r>
    </w:p>
    <w:p w14:paraId="7B781171" w14:textId="77777777" w:rsidR="00B17E6C" w:rsidRPr="00657D3A" w:rsidRDefault="00B17E6C" w:rsidP="00EB6669">
      <w:pPr>
        <w:pStyle w:val="Bullet"/>
        <w:ind w:left="851"/>
      </w:pPr>
      <w:r w:rsidRPr="00657D3A">
        <w:t>completed internal audits or assessments, progress</w:t>
      </w:r>
      <w:r>
        <w:t xml:space="preserve"> reports</w:t>
      </w:r>
      <w:r w:rsidRPr="00657D3A">
        <w:t xml:space="preserve">, complaints, adverse </w:t>
      </w:r>
      <w:proofErr w:type="gramStart"/>
      <w:r w:rsidRPr="00657D3A">
        <w:t>events</w:t>
      </w:r>
      <w:proofErr w:type="gramEnd"/>
      <w:r w:rsidRPr="00657D3A">
        <w:t xml:space="preserve"> and accident records</w:t>
      </w:r>
    </w:p>
    <w:p w14:paraId="7B781172" w14:textId="77777777" w:rsidR="00B17E6C" w:rsidRPr="003F6642" w:rsidRDefault="00B17E6C" w:rsidP="00EB6669">
      <w:pPr>
        <w:pStyle w:val="Bullet"/>
        <w:ind w:left="851"/>
      </w:pPr>
      <w:r w:rsidRPr="00657D3A">
        <w:t>other records (for example, personnel records</w:t>
      </w:r>
      <w:r>
        <w:t>;</w:t>
      </w:r>
      <w:r w:rsidRPr="00657D3A">
        <w:t xml:space="preserve"> staff training records or minutes of meetings</w:t>
      </w:r>
      <w:r>
        <w:t>;</w:t>
      </w:r>
      <w:r w:rsidRPr="00657D3A">
        <w:t xml:space="preserve"> consumer, relative and staff satisfactio</w:t>
      </w:r>
      <w:r w:rsidRPr="003F6642">
        <w:t>n surveys</w:t>
      </w:r>
      <w:r>
        <w:t>;</w:t>
      </w:r>
      <w:r w:rsidRPr="003F6642">
        <w:t xml:space="preserve"> complaints)</w:t>
      </w:r>
    </w:p>
    <w:p w14:paraId="7B781173" w14:textId="77777777" w:rsidR="00B17E6C" w:rsidRPr="003F6642" w:rsidRDefault="00B17E6C" w:rsidP="00EB6669">
      <w:pPr>
        <w:pStyle w:val="Bullet"/>
        <w:ind w:left="851"/>
      </w:pPr>
      <w:r w:rsidRPr="003F6642">
        <w:t>reports (for example,</w:t>
      </w:r>
      <w:r>
        <w:t xml:space="preserve"> NSU monitoring</w:t>
      </w:r>
      <w:r w:rsidRPr="003F6642">
        <w:t xml:space="preserve"> incident reports, quality assurance or self-assessment reports)</w:t>
      </w:r>
    </w:p>
    <w:p w14:paraId="7B781174" w14:textId="77777777" w:rsidR="00B17E6C" w:rsidRPr="003F6642" w:rsidRDefault="00B17E6C" w:rsidP="00EB6669">
      <w:pPr>
        <w:pStyle w:val="Bullet"/>
        <w:ind w:left="851"/>
      </w:pPr>
      <w:r w:rsidRPr="003F6642">
        <w:t xml:space="preserve">forms (for example, data collection forms used as </w:t>
      </w:r>
      <w:r w:rsidRPr="00E37AB7">
        <w:t>assessment t</w:t>
      </w:r>
      <w:r w:rsidRPr="003F6642">
        <w:t>ools).</w:t>
      </w:r>
    </w:p>
    <w:p w14:paraId="7B781175" w14:textId="77777777" w:rsidR="00B17E6C" w:rsidRDefault="00B17E6C" w:rsidP="00EB6669">
      <w:pPr>
        <w:pStyle w:val="Number"/>
        <w:spacing w:before="120"/>
      </w:pPr>
      <w:r w:rsidRPr="003F6642">
        <w:t>Observe the process. Observation allows the auditor to review practices in the service on the day of audit, including</w:t>
      </w:r>
      <w:r>
        <w:t xml:space="preserve">, </w:t>
      </w:r>
      <w:r w:rsidRPr="003F6642">
        <w:t>but not limited to</w:t>
      </w:r>
      <w:r>
        <w:t>,</w:t>
      </w:r>
      <w:r w:rsidRPr="003F6642">
        <w:t xml:space="preserve"> assessing elements of the physical environment</w:t>
      </w:r>
      <w:r>
        <w:t>,</w:t>
      </w:r>
      <w:r w:rsidRPr="003F6642">
        <w:t xml:space="preserve"> reviewing practices</w:t>
      </w:r>
      <w:r>
        <w:t>,</w:t>
      </w:r>
      <w:r w:rsidRPr="003F6642">
        <w:t xml:space="preserve"> such as </w:t>
      </w:r>
      <w:r>
        <w:t>implementation of the Code of Health and Disability Services Consumers</w:t>
      </w:r>
      <w:r w:rsidR="00E33EDB">
        <w:t>’</w:t>
      </w:r>
      <w:r>
        <w:t xml:space="preserve"> Rights,</w:t>
      </w:r>
      <w:r w:rsidRPr="003F6642">
        <w:t xml:space="preserve"> and identifying any support </w:t>
      </w:r>
      <w:r>
        <w:t xml:space="preserve">that </w:t>
      </w:r>
      <w:r w:rsidRPr="003F6642">
        <w:t>consumers</w:t>
      </w:r>
      <w:r>
        <w:t xml:space="preserve"> need</w:t>
      </w:r>
      <w:r w:rsidRPr="003F6642">
        <w:t>.</w:t>
      </w:r>
    </w:p>
    <w:p w14:paraId="7B781176" w14:textId="77777777" w:rsidR="00B17E6C" w:rsidRPr="003F6642" w:rsidRDefault="00B17E6C" w:rsidP="00EB6669">
      <w:pPr>
        <w:pStyle w:val="Number"/>
        <w:spacing w:before="120"/>
      </w:pPr>
      <w:r>
        <w:t xml:space="preserve">Collect data from other sources, such as data analysis reports, external </w:t>
      </w:r>
      <w:proofErr w:type="gramStart"/>
      <w:r>
        <w:t>reports</w:t>
      </w:r>
      <w:proofErr w:type="gramEnd"/>
      <w:r>
        <w:t xml:space="preserve"> and feedback (for example, complaints to the Health and Disability Commissioner (HDC)).</w:t>
      </w:r>
    </w:p>
    <w:p w14:paraId="7B781177" w14:textId="77777777" w:rsidR="00B17E6C" w:rsidRDefault="00B17E6C" w:rsidP="00D46103">
      <w:r>
        <w:lastRenderedPageBreak/>
        <w:t xml:space="preserve">An </w:t>
      </w:r>
      <w:r w:rsidRPr="00E37AB7">
        <w:t xml:space="preserve">exception to the requirement </w:t>
      </w:r>
      <w:r>
        <w:t>to</w:t>
      </w:r>
      <w:r w:rsidRPr="00E37AB7">
        <w:t xml:space="preserve"> </w:t>
      </w:r>
      <w:r>
        <w:t xml:space="preserve">have </w:t>
      </w:r>
      <w:r w:rsidRPr="00E37AB7">
        <w:t xml:space="preserve">more than one source of evidence is </w:t>
      </w:r>
      <w:r>
        <w:t xml:space="preserve">when </w:t>
      </w:r>
      <w:r w:rsidRPr="00E37AB7">
        <w:t>an auditor sight</w:t>
      </w:r>
      <w:r>
        <w:t>s</w:t>
      </w:r>
      <w:r w:rsidRPr="00E37AB7">
        <w:t xml:space="preserve"> </w:t>
      </w:r>
      <w:r>
        <w:t>a document that confirms a service has met the requirement, such as a</w:t>
      </w:r>
      <w:r w:rsidRPr="00E37AB7">
        <w:t xml:space="preserve"> building warrant of fitness </w:t>
      </w:r>
      <w:r>
        <w:t>or a</w:t>
      </w:r>
      <w:r w:rsidRPr="00E37AB7">
        <w:t xml:space="preserve"> current operative evacuation scheme approved by the New Zealand Fire Service.</w:t>
      </w:r>
    </w:p>
    <w:p w14:paraId="7B781178" w14:textId="77777777" w:rsidR="00D46103" w:rsidRPr="003F6642" w:rsidRDefault="00D46103" w:rsidP="00D46103"/>
    <w:p w14:paraId="7B781179" w14:textId="77777777" w:rsidR="00B17E6C" w:rsidRDefault="00B17E6C" w:rsidP="007D28CF">
      <w:pPr>
        <w:pStyle w:val="Heading2"/>
        <w:rPr>
          <w:rFonts w:eastAsia="Arial"/>
        </w:rPr>
      </w:pPr>
      <w:bookmarkStart w:id="82" w:name="_Toc68012570"/>
      <w:bookmarkStart w:id="83" w:name="_Ref71179459"/>
      <w:bookmarkStart w:id="84" w:name="_Ref71179475"/>
      <w:bookmarkStart w:id="85" w:name="_Toc90391841"/>
      <w:r>
        <w:rPr>
          <w:rFonts w:eastAsia="Arial"/>
        </w:rPr>
        <w:t>Audit outcome</w:t>
      </w:r>
      <w:bookmarkEnd w:id="82"/>
      <w:bookmarkEnd w:id="83"/>
      <w:bookmarkEnd w:id="84"/>
      <w:bookmarkEnd w:id="85"/>
    </w:p>
    <w:p w14:paraId="7B78117A" w14:textId="77777777" w:rsidR="00B17E6C" w:rsidRPr="00E32B82" w:rsidRDefault="00B17E6C" w:rsidP="007D28CF">
      <w:pPr>
        <w:pStyle w:val="Heading3"/>
      </w:pPr>
      <w:r w:rsidRPr="007D28CF">
        <w:t>Analysing</w:t>
      </w:r>
      <w:r w:rsidRPr="00E32B82">
        <w:t xml:space="preserve"> audit evidence</w:t>
      </w:r>
    </w:p>
    <w:p w14:paraId="7B78117B" w14:textId="77777777" w:rsidR="00B17E6C" w:rsidRPr="003F6642" w:rsidRDefault="00B17E6C" w:rsidP="009D0987">
      <w:pPr>
        <w:rPr>
          <w:rFonts w:eastAsia="Georgia"/>
        </w:rPr>
      </w:pPr>
      <w:r w:rsidRPr="003F6642">
        <w:rPr>
          <w:rFonts w:eastAsia="Arial"/>
        </w:rPr>
        <w:t xml:space="preserve">Auditors </w:t>
      </w:r>
      <w:r>
        <w:rPr>
          <w:rFonts w:eastAsia="Arial"/>
        </w:rPr>
        <w:t>will</w:t>
      </w:r>
      <w:r w:rsidRPr="003F6642">
        <w:rPr>
          <w:rFonts w:eastAsia="Arial"/>
        </w:rPr>
        <w:t xml:space="preserve"> discuss findings with the whole audit team </w:t>
      </w:r>
      <w:r w:rsidRPr="00C83F66">
        <w:rPr>
          <w:rFonts w:eastAsia="Arial"/>
        </w:rPr>
        <w:t xml:space="preserve">and </w:t>
      </w:r>
      <w:r w:rsidRPr="00C83F66">
        <w:rPr>
          <w:rFonts w:eastAsia="Georgia"/>
        </w:rPr>
        <w:t>evaluate evidence</w:t>
      </w:r>
      <w:r>
        <w:rPr>
          <w:rFonts w:eastAsia="Georgia"/>
        </w:rPr>
        <w:t xml:space="preserve"> </w:t>
      </w:r>
      <w:r w:rsidRPr="003F6642">
        <w:rPr>
          <w:rFonts w:eastAsia="Georgia"/>
        </w:rPr>
        <w:t xml:space="preserve">objectively to reach conclusions </w:t>
      </w:r>
      <w:r>
        <w:rPr>
          <w:rFonts w:eastAsia="Georgia"/>
        </w:rPr>
        <w:t>about</w:t>
      </w:r>
      <w:r w:rsidRPr="003F6642">
        <w:rPr>
          <w:rFonts w:eastAsia="Georgia"/>
        </w:rPr>
        <w:t xml:space="preserve"> the extent to which</w:t>
      </w:r>
      <w:r>
        <w:rPr>
          <w:rFonts w:eastAsia="Georgia"/>
        </w:rPr>
        <w:t xml:space="preserve"> a provider has fulfilled its</w:t>
      </w:r>
      <w:r w:rsidRPr="003F6642">
        <w:rPr>
          <w:rFonts w:eastAsia="Georgia"/>
        </w:rPr>
        <w:t xml:space="preserve"> requirements. This includes evaluati</w:t>
      </w:r>
      <w:r>
        <w:rPr>
          <w:rFonts w:eastAsia="Georgia"/>
        </w:rPr>
        <w:t>ng the</w:t>
      </w:r>
      <w:r w:rsidRPr="003F6642">
        <w:rPr>
          <w:rFonts w:eastAsia="Georgia"/>
        </w:rPr>
        <w:t xml:space="preserve"> information collected to identify</w:t>
      </w:r>
      <w:r>
        <w:rPr>
          <w:rFonts w:eastAsia="Georgia"/>
        </w:rPr>
        <w:t xml:space="preserve"> which</w:t>
      </w:r>
      <w:r w:rsidRPr="003F6642">
        <w:rPr>
          <w:rFonts w:eastAsia="Georgia"/>
        </w:rPr>
        <w:t xml:space="preserve"> information supports conformity and </w:t>
      </w:r>
      <w:r>
        <w:rPr>
          <w:rFonts w:eastAsia="Georgia"/>
        </w:rPr>
        <w:t xml:space="preserve">which </w:t>
      </w:r>
      <w:r w:rsidRPr="003F6642">
        <w:rPr>
          <w:rFonts w:eastAsia="Georgia"/>
        </w:rPr>
        <w:t>does not.</w:t>
      </w:r>
    </w:p>
    <w:p w14:paraId="7B78117C" w14:textId="77777777" w:rsidR="00B17E6C" w:rsidRPr="003F6642" w:rsidRDefault="00B17E6C" w:rsidP="009D0987"/>
    <w:p w14:paraId="7B78117D" w14:textId="77777777" w:rsidR="00B17E6C" w:rsidRPr="003F6642" w:rsidRDefault="00B17E6C" w:rsidP="009D0987">
      <w:pPr>
        <w:rPr>
          <w:rFonts w:eastAsia="Arial"/>
        </w:rPr>
      </w:pPr>
      <w:r w:rsidRPr="003F6642">
        <w:rPr>
          <w:rFonts w:eastAsia="Arial"/>
        </w:rPr>
        <w:t xml:space="preserve">When undertaking an analysis of evidence, the audit team </w:t>
      </w:r>
      <w:r>
        <w:rPr>
          <w:rFonts w:eastAsia="Arial"/>
        </w:rPr>
        <w:t>will</w:t>
      </w:r>
      <w:r w:rsidRPr="003F6642">
        <w:rPr>
          <w:rFonts w:eastAsia="Arial"/>
        </w:rPr>
        <w:t xml:space="preserve"> determine:</w:t>
      </w:r>
    </w:p>
    <w:p w14:paraId="7B78117E" w14:textId="77777777" w:rsidR="00B17E6C" w:rsidRPr="003F6642" w:rsidRDefault="00B17E6C" w:rsidP="009D0987">
      <w:pPr>
        <w:pStyle w:val="Bullet"/>
      </w:pPr>
      <w:r>
        <w:t>w</w:t>
      </w:r>
      <w:r w:rsidRPr="003F6642">
        <w:t>hether evidence supports the</w:t>
      </w:r>
      <w:r>
        <w:t xml:space="preserve"> conclusion that a provider has</w:t>
      </w:r>
      <w:r w:rsidRPr="003F6642">
        <w:t xml:space="preserve"> achieve</w:t>
      </w:r>
      <w:r>
        <w:t>d</w:t>
      </w:r>
      <w:r w:rsidRPr="003F6642">
        <w:t xml:space="preserve"> </w:t>
      </w:r>
      <w:r>
        <w:t xml:space="preserve">the </w:t>
      </w:r>
      <w:r w:rsidRPr="003F6642">
        <w:t>criteria (sufficiency)</w:t>
      </w:r>
    </w:p>
    <w:p w14:paraId="7B78117F" w14:textId="77777777" w:rsidR="00B17E6C" w:rsidRPr="003F6642" w:rsidRDefault="00B17E6C" w:rsidP="009D0987">
      <w:pPr>
        <w:pStyle w:val="Bullet"/>
      </w:pPr>
      <w:r>
        <w:t>w</w:t>
      </w:r>
      <w:r w:rsidRPr="003F6642">
        <w:t xml:space="preserve">hether evidence has identified deficiencies in systems, </w:t>
      </w:r>
      <w:proofErr w:type="gramStart"/>
      <w:r w:rsidRPr="003F6642">
        <w:t>policies</w:t>
      </w:r>
      <w:proofErr w:type="gramEnd"/>
      <w:r w:rsidRPr="003F6642">
        <w:t xml:space="preserve"> or processes</w:t>
      </w:r>
    </w:p>
    <w:p w14:paraId="7B781180" w14:textId="77777777" w:rsidR="00B17E6C" w:rsidRPr="003F6642" w:rsidRDefault="00B17E6C" w:rsidP="009D0987">
      <w:pPr>
        <w:pStyle w:val="Bullet"/>
      </w:pPr>
      <w:r>
        <w:t>w</w:t>
      </w:r>
      <w:r w:rsidRPr="003F6642">
        <w:t>hether evidence has identified deficiencies in the</w:t>
      </w:r>
      <w:r>
        <w:t xml:space="preserve"> way a provider has</w:t>
      </w:r>
      <w:r w:rsidRPr="003F6642">
        <w:t xml:space="preserve"> implement</w:t>
      </w:r>
      <w:r>
        <w:t>ed</w:t>
      </w:r>
      <w:r w:rsidRPr="003F6642">
        <w:t xml:space="preserve"> systems and processes</w:t>
      </w:r>
    </w:p>
    <w:p w14:paraId="7B781181" w14:textId="77777777" w:rsidR="00B17E6C" w:rsidRPr="003F6642" w:rsidRDefault="00B17E6C" w:rsidP="009D0987">
      <w:pPr>
        <w:pStyle w:val="Bullet"/>
      </w:pPr>
      <w:r w:rsidRPr="003F6642">
        <w:t>trends within evidence</w:t>
      </w:r>
    </w:p>
    <w:p w14:paraId="7B781182" w14:textId="77777777" w:rsidR="00B17E6C" w:rsidRPr="003F6642" w:rsidRDefault="00B17E6C" w:rsidP="009D0987">
      <w:pPr>
        <w:pStyle w:val="Bullet"/>
      </w:pPr>
      <w:r w:rsidRPr="003F6642">
        <w:t xml:space="preserve">causes of identified deficiencies, </w:t>
      </w:r>
      <w:r>
        <w:t>which</w:t>
      </w:r>
      <w:r w:rsidRPr="003F6642">
        <w:t xml:space="preserve"> auditors </w:t>
      </w:r>
      <w:r>
        <w:t xml:space="preserve">can use </w:t>
      </w:r>
      <w:r w:rsidRPr="003F6642">
        <w:t xml:space="preserve">to </w:t>
      </w:r>
      <w:r>
        <w:t>identify</w:t>
      </w:r>
      <w:r w:rsidRPr="003F6642">
        <w:t xml:space="preserve"> the best </w:t>
      </w:r>
      <w:r>
        <w:t>s</w:t>
      </w:r>
      <w:r w:rsidRPr="003F6642">
        <w:t xml:space="preserve">tandard or criterion to evidence the non-conformity against and to </w:t>
      </w:r>
      <w:r>
        <w:t>help</w:t>
      </w:r>
      <w:r w:rsidRPr="003F6642">
        <w:t xml:space="preserve"> providers to develop and agree on a corrective action plan</w:t>
      </w:r>
    </w:p>
    <w:p w14:paraId="7B781183" w14:textId="0F81FE70" w:rsidR="00B17E6C" w:rsidRPr="009C3AC9" w:rsidRDefault="00B17E6C" w:rsidP="009D0987">
      <w:pPr>
        <w:pStyle w:val="Bullet"/>
      </w:pPr>
      <w:r w:rsidRPr="003F6642">
        <w:t>risks and consequences of issues identified</w:t>
      </w:r>
      <w:r>
        <w:t xml:space="preserve">, </w:t>
      </w:r>
      <w:r w:rsidRPr="003F6642">
        <w:t xml:space="preserve">using the risk </w:t>
      </w:r>
      <w:r>
        <w:t xml:space="preserve">assessment </w:t>
      </w:r>
      <w:r w:rsidRPr="003F6642">
        <w:t>matrix</w:t>
      </w:r>
      <w:r>
        <w:t xml:space="preserve"> (see </w:t>
      </w:r>
      <w:r w:rsidR="009C3AC9" w:rsidRPr="009C3AC9">
        <w:t>s</w:t>
      </w:r>
      <w:r w:rsidRPr="009C3AC9">
        <w:t xml:space="preserve">ection </w:t>
      </w:r>
      <w:r w:rsidR="009C3AC9" w:rsidRPr="009C3AC9">
        <w:fldChar w:fldCharType="begin"/>
      </w:r>
      <w:r w:rsidR="009C3AC9" w:rsidRPr="009C3AC9">
        <w:instrText xml:space="preserve"> REF _Ref71179624 \r \h </w:instrText>
      </w:r>
      <w:r w:rsidR="009C3AC9">
        <w:instrText xml:space="preserve"> \* MERGEFORMAT </w:instrText>
      </w:r>
      <w:r w:rsidR="009C3AC9" w:rsidRPr="009C3AC9">
        <w:fldChar w:fldCharType="separate"/>
      </w:r>
      <w:r w:rsidR="002861DC">
        <w:t>7.4.3</w:t>
      </w:r>
      <w:r w:rsidR="009C3AC9" w:rsidRPr="009C3AC9">
        <w:fldChar w:fldCharType="end"/>
      </w:r>
      <w:r w:rsidRPr="009C3AC9">
        <w:t>).</w:t>
      </w:r>
    </w:p>
    <w:p w14:paraId="7B781184" w14:textId="77777777" w:rsidR="00B17E6C" w:rsidRPr="003F6642" w:rsidRDefault="00B17E6C" w:rsidP="009D0987"/>
    <w:p w14:paraId="7B781185" w14:textId="77777777" w:rsidR="00B17E6C" w:rsidRPr="003F6642" w:rsidRDefault="00B17E6C" w:rsidP="009D0987">
      <w:r w:rsidRPr="003F6642">
        <w:t>Reported evidence must include a narrative that reflects the relationship between:</w:t>
      </w:r>
    </w:p>
    <w:p w14:paraId="7B781186" w14:textId="77777777" w:rsidR="00B17E6C" w:rsidRPr="003F6642" w:rsidRDefault="00B17E6C" w:rsidP="009D0987">
      <w:pPr>
        <w:pStyle w:val="Bullet"/>
      </w:pPr>
      <w:r w:rsidRPr="003F6642">
        <w:t xml:space="preserve">evidence collected specific to the </w:t>
      </w:r>
      <w:r>
        <w:t>s</w:t>
      </w:r>
      <w:r w:rsidRPr="003F6642">
        <w:t>tandard</w:t>
      </w:r>
    </w:p>
    <w:p w14:paraId="7B781187" w14:textId="77777777" w:rsidR="00B17E6C" w:rsidRPr="003F6642" w:rsidRDefault="00B17E6C" w:rsidP="009D0987">
      <w:pPr>
        <w:pStyle w:val="Bullet"/>
      </w:pPr>
      <w:r w:rsidRPr="003F6642">
        <w:t>evaluation of that evidence</w:t>
      </w:r>
    </w:p>
    <w:p w14:paraId="7B781188" w14:textId="77777777" w:rsidR="00B17E6C" w:rsidRPr="003F6642" w:rsidRDefault="00B17E6C" w:rsidP="009D0987">
      <w:pPr>
        <w:pStyle w:val="Bullet"/>
      </w:pPr>
      <w:r w:rsidRPr="003F6642">
        <w:t xml:space="preserve">how criteria have contributed to the level of achievement awarded to the </w:t>
      </w:r>
      <w:r>
        <w:t>s</w:t>
      </w:r>
      <w:r w:rsidRPr="003F6642">
        <w:t>tandard.</w:t>
      </w:r>
    </w:p>
    <w:p w14:paraId="7B781189" w14:textId="77777777" w:rsidR="00B17E6C" w:rsidRPr="003F6642" w:rsidRDefault="00B17E6C" w:rsidP="009D0987"/>
    <w:p w14:paraId="7B78118A" w14:textId="77777777" w:rsidR="00B17E6C" w:rsidRDefault="00B17E6C" w:rsidP="009D0987">
      <w:pPr>
        <w:rPr>
          <w:rFonts w:eastAsia="Arial"/>
        </w:rPr>
      </w:pPr>
      <w:r w:rsidRPr="003F6642">
        <w:rPr>
          <w:rFonts w:eastAsia="Arial"/>
        </w:rPr>
        <w:t xml:space="preserve">Conclusions </w:t>
      </w:r>
      <w:r>
        <w:rPr>
          <w:rFonts w:eastAsia="Arial"/>
        </w:rPr>
        <w:t>will</w:t>
      </w:r>
      <w:r w:rsidRPr="003F6642">
        <w:rPr>
          <w:rFonts w:eastAsia="Arial"/>
        </w:rPr>
        <w:t xml:space="preserve"> be fair, </w:t>
      </w:r>
      <w:proofErr w:type="gramStart"/>
      <w:r w:rsidRPr="003F6642">
        <w:rPr>
          <w:rFonts w:eastAsia="Arial"/>
        </w:rPr>
        <w:t>balanced</w:t>
      </w:r>
      <w:proofErr w:type="gramEnd"/>
      <w:r w:rsidRPr="003F6642">
        <w:rPr>
          <w:rFonts w:eastAsia="Arial"/>
        </w:rPr>
        <w:t xml:space="preserve"> and free of bias.</w:t>
      </w:r>
    </w:p>
    <w:p w14:paraId="7B78118B" w14:textId="77777777" w:rsidR="009D0987" w:rsidRPr="003F6642" w:rsidRDefault="009D0987" w:rsidP="009D0987">
      <w:pPr>
        <w:rPr>
          <w:rFonts w:eastAsia="Arial"/>
        </w:rPr>
      </w:pPr>
    </w:p>
    <w:p w14:paraId="7B78118C" w14:textId="77777777" w:rsidR="00B17E6C" w:rsidRPr="00E32B82" w:rsidRDefault="00B17E6C" w:rsidP="009D0987">
      <w:pPr>
        <w:pStyle w:val="Heading3"/>
      </w:pPr>
      <w:r w:rsidRPr="00E32B82">
        <w:lastRenderedPageBreak/>
        <w:t>Ratings</w:t>
      </w:r>
    </w:p>
    <w:p w14:paraId="7B78118D" w14:textId="77777777" w:rsidR="00B17E6C" w:rsidRDefault="00B17E6C" w:rsidP="009D0987">
      <w:pPr>
        <w:keepNext/>
      </w:pPr>
      <w:r>
        <w:t xml:space="preserve">Auditors </w:t>
      </w:r>
      <w:r w:rsidRPr="00C83F66">
        <w:t>will determine</w:t>
      </w:r>
      <w:r>
        <w:t xml:space="preserve"> their findings</w:t>
      </w:r>
      <w:r w:rsidRPr="00C83F66">
        <w:t xml:space="preserve"> and </w:t>
      </w:r>
      <w:r>
        <w:t xml:space="preserve">allocate one of the following </w:t>
      </w:r>
      <w:r w:rsidRPr="00C83F66">
        <w:t>attainment level</w:t>
      </w:r>
      <w:r>
        <w:t>s</w:t>
      </w:r>
      <w:r w:rsidRPr="00C83F66">
        <w:t xml:space="preserve"> for each criterion of the </w:t>
      </w:r>
      <w:r>
        <w:t>audit tool.</w:t>
      </w:r>
    </w:p>
    <w:p w14:paraId="7B78118E" w14:textId="77777777" w:rsidR="00B17E6C" w:rsidRPr="009D0987" w:rsidRDefault="00B17E6C" w:rsidP="009D0987">
      <w:pPr>
        <w:keepNext/>
        <w:spacing w:before="180"/>
        <w:rPr>
          <w:b/>
        </w:rPr>
      </w:pPr>
      <w:r w:rsidRPr="009D0987">
        <w:rPr>
          <w:b/>
        </w:rPr>
        <w:t>FA</w:t>
      </w:r>
      <w:r w:rsidRPr="009D0987">
        <w:rPr>
          <w:b/>
        </w:rPr>
        <w:tab/>
        <w:t>Fully Attained</w:t>
      </w:r>
    </w:p>
    <w:p w14:paraId="7B78118F" w14:textId="77777777" w:rsidR="00E33EDB" w:rsidRDefault="00B17E6C" w:rsidP="009D0987">
      <w:pPr>
        <w:keepNext/>
        <w:spacing w:before="60"/>
        <w:ind w:left="567"/>
      </w:pPr>
      <w:r w:rsidRPr="00C83F66">
        <w:t xml:space="preserve">The service can clearly demonstrate implementation (practice evidence, training, records, visual evidence, etc) of the process, </w:t>
      </w:r>
      <w:proofErr w:type="gramStart"/>
      <w:r w:rsidRPr="00C83F66">
        <w:t>systems</w:t>
      </w:r>
      <w:proofErr w:type="gramEnd"/>
      <w:r w:rsidRPr="00C83F66">
        <w:t xml:space="preserve"> or structures in order to meet the required outcome of the criterion.</w:t>
      </w:r>
    </w:p>
    <w:p w14:paraId="7B781190" w14:textId="77777777" w:rsidR="00B17E6C" w:rsidRPr="009D0987" w:rsidRDefault="00B17E6C" w:rsidP="009D0987">
      <w:pPr>
        <w:keepNext/>
        <w:spacing w:before="180"/>
        <w:rPr>
          <w:b/>
        </w:rPr>
      </w:pPr>
      <w:r w:rsidRPr="009D0987">
        <w:rPr>
          <w:b/>
        </w:rPr>
        <w:t>PA</w:t>
      </w:r>
      <w:r w:rsidRPr="009D0987">
        <w:rPr>
          <w:b/>
        </w:rPr>
        <w:tab/>
        <w:t>Partially Attained</w:t>
      </w:r>
    </w:p>
    <w:p w14:paraId="7B781191" w14:textId="77777777" w:rsidR="00B17E6C" w:rsidRPr="00C83F66" w:rsidRDefault="00B17E6C" w:rsidP="009D0987">
      <w:pPr>
        <w:spacing w:before="60"/>
        <w:ind w:left="567"/>
      </w:pPr>
      <w:r>
        <w:t>Either:</w:t>
      </w:r>
    </w:p>
    <w:p w14:paraId="7B781192" w14:textId="77777777" w:rsidR="00B17E6C" w:rsidRPr="005C28E0" w:rsidRDefault="00B17E6C" w:rsidP="009D0987">
      <w:pPr>
        <w:pStyle w:val="Bullet"/>
        <w:ind w:left="851"/>
      </w:pPr>
      <w:r w:rsidRPr="005C28E0">
        <w:t xml:space="preserve">evidence </w:t>
      </w:r>
      <w:r>
        <w:t>indicates</w:t>
      </w:r>
      <w:r w:rsidRPr="005C28E0">
        <w:t xml:space="preserve"> implementation </w:t>
      </w:r>
      <w:r>
        <w:t xml:space="preserve">of an </w:t>
      </w:r>
      <w:r w:rsidRPr="005C28E0">
        <w:t>appropriate process (policy</w:t>
      </w:r>
      <w:r>
        <w:t xml:space="preserve">, </w:t>
      </w:r>
      <w:r w:rsidRPr="005C28E0">
        <w:t>procedure</w:t>
      </w:r>
      <w:r>
        <w:t xml:space="preserve">, </w:t>
      </w:r>
      <w:r w:rsidRPr="005C28E0">
        <w:t>guidelines, etc), system or structure without the required documentation, or</w:t>
      </w:r>
    </w:p>
    <w:p w14:paraId="7B781193" w14:textId="77777777" w:rsidR="00B17E6C" w:rsidRPr="005C28E0" w:rsidRDefault="00B17E6C" w:rsidP="009D0987">
      <w:pPr>
        <w:pStyle w:val="Bullet"/>
        <w:ind w:left="851"/>
      </w:pPr>
      <w:r>
        <w:t>a</w:t>
      </w:r>
      <w:r w:rsidRPr="005C28E0">
        <w:t xml:space="preserve"> documented process (policy</w:t>
      </w:r>
      <w:r>
        <w:t xml:space="preserve">, </w:t>
      </w:r>
      <w:proofErr w:type="gramStart"/>
      <w:r w:rsidRPr="005C28E0">
        <w:t>procedure</w:t>
      </w:r>
      <w:proofErr w:type="gramEnd"/>
      <w:r>
        <w:t xml:space="preserve"> or </w:t>
      </w:r>
      <w:r w:rsidRPr="005C28E0">
        <w:t>guideline), system or structure is evident, but the organisation or service is unable to demonstrate implementation where this is required.</w:t>
      </w:r>
    </w:p>
    <w:p w14:paraId="7B781194" w14:textId="77777777" w:rsidR="00B17E6C" w:rsidRPr="009D0987" w:rsidRDefault="00B17E6C" w:rsidP="009D0987">
      <w:pPr>
        <w:keepNext/>
        <w:spacing w:before="180"/>
        <w:rPr>
          <w:b/>
        </w:rPr>
      </w:pPr>
      <w:r w:rsidRPr="009D0987">
        <w:rPr>
          <w:b/>
        </w:rPr>
        <w:t>UA</w:t>
      </w:r>
      <w:r w:rsidRPr="009D0987">
        <w:rPr>
          <w:b/>
        </w:rPr>
        <w:tab/>
        <w:t>Unattained</w:t>
      </w:r>
    </w:p>
    <w:p w14:paraId="7B781195" w14:textId="77777777" w:rsidR="00B17E6C" w:rsidRPr="00C83F66" w:rsidRDefault="00B17E6C" w:rsidP="009D0987">
      <w:pPr>
        <w:spacing w:before="60"/>
        <w:ind w:left="567"/>
      </w:pPr>
      <w:r w:rsidRPr="00C83F66">
        <w:t xml:space="preserve">The organisation or service is unable to demonstrate appropriate processes, </w:t>
      </w:r>
      <w:proofErr w:type="gramStart"/>
      <w:r w:rsidRPr="00C83F66">
        <w:t>systems</w:t>
      </w:r>
      <w:proofErr w:type="gramEnd"/>
      <w:r w:rsidRPr="00C83F66">
        <w:t xml:space="preserve"> or structures to meet the required outcome of the criterion.</w:t>
      </w:r>
    </w:p>
    <w:p w14:paraId="7B781196" w14:textId="77777777" w:rsidR="00B17E6C" w:rsidRPr="009D0987" w:rsidRDefault="00B17E6C" w:rsidP="009D0987">
      <w:pPr>
        <w:keepNext/>
        <w:spacing w:before="180"/>
        <w:rPr>
          <w:b/>
        </w:rPr>
      </w:pPr>
      <w:r w:rsidRPr="009D0987">
        <w:rPr>
          <w:b/>
        </w:rPr>
        <w:t>CM</w:t>
      </w:r>
      <w:r w:rsidRPr="009D0987">
        <w:rPr>
          <w:b/>
        </w:rPr>
        <w:tab/>
        <w:t>Commendation</w:t>
      </w:r>
    </w:p>
    <w:p w14:paraId="7B781197" w14:textId="77777777" w:rsidR="00B17E6C" w:rsidRDefault="00B17E6C" w:rsidP="009D0987">
      <w:pPr>
        <w:spacing w:before="60"/>
        <w:ind w:left="567"/>
      </w:pPr>
      <w:r w:rsidRPr="00C83F66">
        <w:t>Having fully attained the criterion</w:t>
      </w:r>
      <w:r>
        <w:t>,</w:t>
      </w:r>
      <w:r w:rsidRPr="00C83F66">
        <w:t xml:space="preserve"> the service can, in addition, clearly demonstrate a review process including analysis and reporting of findings, evidence of action taken based on those findings, and improvements to service provision and consumer safety, or satisfaction as a result of the review process.</w:t>
      </w:r>
    </w:p>
    <w:p w14:paraId="7B781198" w14:textId="77777777" w:rsidR="00B17E6C" w:rsidRPr="00C83F66" w:rsidRDefault="00B17E6C" w:rsidP="009D0987"/>
    <w:p w14:paraId="7B781199" w14:textId="77777777" w:rsidR="00E33EDB" w:rsidRDefault="00B17E6C" w:rsidP="009D0987">
      <w:r w:rsidRPr="003F6642">
        <w:t xml:space="preserve">The audit report </w:t>
      </w:r>
      <w:r>
        <w:t>will</w:t>
      </w:r>
      <w:r w:rsidRPr="003F6642">
        <w:t xml:space="preserve"> reflect findings and ratings at the time of the audit. This</w:t>
      </w:r>
      <w:r>
        <w:t xml:space="preserve"> approach</w:t>
      </w:r>
      <w:r w:rsidRPr="003F6642">
        <w:t xml:space="preserve"> will ensure that subsequent audits will </w:t>
      </w:r>
      <w:r>
        <w:t>continue to monitor</w:t>
      </w:r>
      <w:r w:rsidRPr="003F6642">
        <w:t xml:space="preserve"> appropriate criteria.</w:t>
      </w:r>
    </w:p>
    <w:p w14:paraId="7B78119A" w14:textId="77777777" w:rsidR="00B17E6C" w:rsidRPr="003F6642" w:rsidRDefault="00B17E6C" w:rsidP="009D0987"/>
    <w:p w14:paraId="7B78119B" w14:textId="77777777" w:rsidR="00B17E6C" w:rsidRPr="003F6642" w:rsidRDefault="00B17E6C" w:rsidP="009D0987">
      <w:r>
        <w:t>In the audit report, a</w:t>
      </w:r>
      <w:r w:rsidRPr="003F6642">
        <w:t xml:space="preserve">uditors </w:t>
      </w:r>
      <w:r>
        <w:t>will</w:t>
      </w:r>
      <w:r w:rsidRPr="003F6642">
        <w:t>:</w:t>
      </w:r>
    </w:p>
    <w:p w14:paraId="7B78119C" w14:textId="77777777" w:rsidR="00B17E6C" w:rsidRPr="003F6642" w:rsidRDefault="00B17E6C" w:rsidP="00025CB0">
      <w:pPr>
        <w:pStyle w:val="Number"/>
        <w:spacing w:before="120"/>
      </w:pPr>
      <w:r>
        <w:t>explain</w:t>
      </w:r>
      <w:r w:rsidRPr="003F6642">
        <w:t xml:space="preserve"> </w:t>
      </w:r>
      <w:r>
        <w:t xml:space="preserve">why </w:t>
      </w:r>
      <w:r w:rsidRPr="003F6642">
        <w:t xml:space="preserve">any criterion </w:t>
      </w:r>
      <w:r>
        <w:t>is</w:t>
      </w:r>
      <w:r w:rsidRPr="003F6642">
        <w:t xml:space="preserve"> </w:t>
      </w:r>
      <w:r w:rsidR="00E33EDB">
        <w:t>‘</w:t>
      </w:r>
      <w:r w:rsidRPr="003F6642">
        <w:t>not applicable</w:t>
      </w:r>
      <w:r w:rsidR="00E33EDB">
        <w:t>’</w:t>
      </w:r>
      <w:r w:rsidRPr="003F6642">
        <w:t xml:space="preserve"> to the service being audited</w:t>
      </w:r>
    </w:p>
    <w:p w14:paraId="7B78119D" w14:textId="77777777" w:rsidR="00B17E6C" w:rsidRPr="0063473A" w:rsidRDefault="00B17E6C" w:rsidP="00025CB0">
      <w:pPr>
        <w:pStyle w:val="Number"/>
        <w:spacing w:before="120"/>
      </w:pPr>
      <w:r>
        <w:t>d</w:t>
      </w:r>
      <w:r w:rsidRPr="003F6642">
        <w:t xml:space="preserve">ocument audit evidence for each criterion and </w:t>
      </w:r>
      <w:r>
        <w:t>s</w:t>
      </w:r>
      <w:r w:rsidRPr="003F6642">
        <w:t xml:space="preserve">tandard </w:t>
      </w:r>
      <w:r w:rsidRPr="0063473A">
        <w:t>in a way that meets the reporting requirements set out in this handbook</w:t>
      </w:r>
    </w:p>
    <w:p w14:paraId="7B78119E" w14:textId="004E2E53" w:rsidR="00B17E6C" w:rsidRDefault="00B17E6C" w:rsidP="00025CB0">
      <w:pPr>
        <w:pStyle w:val="Number"/>
        <w:spacing w:before="120"/>
      </w:pPr>
      <w:r w:rsidRPr="003F6642">
        <w:t xml:space="preserve">not rate as </w:t>
      </w:r>
      <w:r w:rsidR="00E33EDB">
        <w:t>‘</w:t>
      </w:r>
      <w:r w:rsidRPr="00A83C87">
        <w:t>fully attained</w:t>
      </w:r>
      <w:r w:rsidR="00E33EDB">
        <w:t>’</w:t>
      </w:r>
      <w:r w:rsidRPr="003F6642">
        <w:t xml:space="preserve"> any criterion that contains a corrective action planned for a future date. If the </w:t>
      </w:r>
      <w:r>
        <w:t>provider</w:t>
      </w:r>
      <w:r w:rsidRPr="003F6642">
        <w:t xml:space="preserve"> advises the </w:t>
      </w:r>
      <w:r>
        <w:t xml:space="preserve">DAA Group </w:t>
      </w:r>
      <w:r w:rsidRPr="003F6642">
        <w:t xml:space="preserve">that it has completed a </w:t>
      </w:r>
      <w:r w:rsidRPr="0057605D">
        <w:t>corrective action</w:t>
      </w:r>
      <w:r w:rsidRPr="003F6642">
        <w:t xml:space="preserve"> before the </w:t>
      </w:r>
      <w:r>
        <w:t xml:space="preserve">DAA Group </w:t>
      </w:r>
      <w:r w:rsidRPr="003F6642">
        <w:t xml:space="preserve">has completed the audit or submitted the report, the grading remains </w:t>
      </w:r>
      <w:r w:rsidR="00E33EDB">
        <w:t>‘</w:t>
      </w:r>
      <w:r w:rsidRPr="00C542BD">
        <w:t>partially attained</w:t>
      </w:r>
      <w:r w:rsidR="00E33EDB">
        <w:t>’</w:t>
      </w:r>
      <w:r w:rsidRPr="00C542BD">
        <w:t xml:space="preserve"> or </w:t>
      </w:r>
      <w:r w:rsidR="00E33EDB">
        <w:t>‘</w:t>
      </w:r>
      <w:r w:rsidRPr="00C542BD">
        <w:t>unattained</w:t>
      </w:r>
      <w:r w:rsidR="00E33EDB">
        <w:t>’</w:t>
      </w:r>
      <w:r w:rsidRPr="00C542BD">
        <w:t>,</w:t>
      </w:r>
      <w:r w:rsidRPr="003F6642">
        <w:t xml:space="preserve"> and the risk rating</w:t>
      </w:r>
      <w:r>
        <w:t xml:space="preserve"> (</w:t>
      </w:r>
      <w:r w:rsidRPr="009C3AC9">
        <w:t xml:space="preserve">see </w:t>
      </w:r>
      <w:r w:rsidR="009C3AC9" w:rsidRPr="009C3AC9">
        <w:t>s</w:t>
      </w:r>
      <w:r w:rsidRPr="009C3AC9">
        <w:t xml:space="preserve">ection </w:t>
      </w:r>
      <w:r w:rsidR="009C3AC9" w:rsidRPr="009C3AC9">
        <w:fldChar w:fldCharType="begin"/>
      </w:r>
      <w:r w:rsidR="009C3AC9" w:rsidRPr="009C3AC9">
        <w:instrText xml:space="preserve"> REF _Ref71179624 \r \h </w:instrText>
      </w:r>
      <w:r w:rsidR="009C3AC9">
        <w:instrText xml:space="preserve"> \* MERGEFORMAT </w:instrText>
      </w:r>
      <w:r w:rsidR="009C3AC9" w:rsidRPr="009C3AC9">
        <w:fldChar w:fldCharType="separate"/>
      </w:r>
      <w:r w:rsidR="002861DC">
        <w:t>7.4.3</w:t>
      </w:r>
      <w:r w:rsidR="009C3AC9" w:rsidRPr="009C3AC9">
        <w:fldChar w:fldCharType="end"/>
      </w:r>
      <w:r w:rsidRPr="009C3AC9">
        <w:t>) will remain</w:t>
      </w:r>
      <w:r w:rsidRPr="003F6642">
        <w:t xml:space="preserve"> as it was determined at the time of the on</w:t>
      </w:r>
      <w:r w:rsidRPr="003F6642">
        <w:noBreakHyphen/>
        <w:t>site audit. The report may reflect that action has been taken, and the impact of this action on the risk level may be contained in the report commentary</w:t>
      </w:r>
    </w:p>
    <w:p w14:paraId="7B78119F" w14:textId="77777777" w:rsidR="00B17E6C" w:rsidRPr="003F6642" w:rsidRDefault="00B17E6C" w:rsidP="00025CB0">
      <w:pPr>
        <w:pStyle w:val="Number"/>
        <w:spacing w:before="120"/>
      </w:pPr>
      <w:r>
        <w:t>award a rating for each criterion that reflects the lowest level of attainment achieved where multiple service categories are being audited for a single service provider or where multiple service areas provide the same service. For example, if one mobile unit achieves PA and another mobile unit at the same provider achieves FA for the same criterion, the rating awarded for this criterion will be PA</w:t>
      </w:r>
    </w:p>
    <w:p w14:paraId="7B7811A0" w14:textId="77777777" w:rsidR="00B17E6C" w:rsidRPr="003F6642" w:rsidRDefault="00B17E6C" w:rsidP="00025CB0">
      <w:pPr>
        <w:pStyle w:val="Number"/>
        <w:spacing w:before="120"/>
      </w:pPr>
      <w:r>
        <w:lastRenderedPageBreak/>
        <w:t>i</w:t>
      </w:r>
      <w:r w:rsidRPr="003F6642">
        <w:t xml:space="preserve">nclude audit evidence for </w:t>
      </w:r>
      <w:r w:rsidRPr="00122912">
        <w:t>a commendation rating</w:t>
      </w:r>
      <w:r w:rsidRPr="003F6642">
        <w:t xml:space="preserve"> that demonstrates </w:t>
      </w:r>
      <w:r>
        <w:t xml:space="preserve">one or more of </w:t>
      </w:r>
      <w:r w:rsidRPr="003F6642">
        <w:t>the following</w:t>
      </w:r>
      <w:r>
        <w:t xml:space="preserve"> criteria</w:t>
      </w:r>
      <w:r w:rsidRPr="003F6642">
        <w:t>:</w:t>
      </w:r>
    </w:p>
    <w:p w14:paraId="7B7811A1" w14:textId="77777777" w:rsidR="00B17E6C" w:rsidRPr="003F6642" w:rsidRDefault="00B17E6C" w:rsidP="00025CB0">
      <w:pPr>
        <w:pStyle w:val="Bullet"/>
        <w:ind w:left="851"/>
      </w:pPr>
      <w:r w:rsidRPr="003F6642">
        <w:t>achievement beyond the expected full attainment</w:t>
      </w:r>
    </w:p>
    <w:p w14:paraId="7B7811A2" w14:textId="77777777" w:rsidR="00B17E6C" w:rsidRPr="003F6642" w:rsidRDefault="00B17E6C" w:rsidP="00025CB0">
      <w:pPr>
        <w:pStyle w:val="Bullet"/>
        <w:ind w:left="851"/>
      </w:pPr>
      <w:r w:rsidRPr="003F6642">
        <w:t xml:space="preserve">a review process has occurred, including </w:t>
      </w:r>
      <w:proofErr w:type="gramStart"/>
      <w:r w:rsidRPr="003F6642">
        <w:t>analysis</w:t>
      </w:r>
      <w:proofErr w:type="gramEnd"/>
      <w:r w:rsidRPr="003F6642">
        <w:t xml:space="preserve"> and reporting of findings</w:t>
      </w:r>
    </w:p>
    <w:p w14:paraId="7B7811A3" w14:textId="77777777" w:rsidR="00B17E6C" w:rsidRPr="003F6642" w:rsidRDefault="00B17E6C" w:rsidP="00025CB0">
      <w:pPr>
        <w:pStyle w:val="Bullet"/>
        <w:ind w:left="851"/>
      </w:pPr>
      <w:r w:rsidRPr="003F6642">
        <w:t xml:space="preserve">evidence </w:t>
      </w:r>
      <w:r>
        <w:t>shows the service has taken</w:t>
      </w:r>
      <w:r w:rsidRPr="003F6642">
        <w:t xml:space="preserve"> action based on findings and </w:t>
      </w:r>
      <w:r>
        <w:t xml:space="preserve">that action has </w:t>
      </w:r>
      <w:r w:rsidRPr="003F6642">
        <w:t>improve</w:t>
      </w:r>
      <w:r>
        <w:t>d its</w:t>
      </w:r>
      <w:r w:rsidRPr="003F6642">
        <w:t xml:space="preserve"> provision</w:t>
      </w:r>
    </w:p>
    <w:p w14:paraId="7B7811A4" w14:textId="77777777" w:rsidR="00B17E6C" w:rsidRPr="003F6642" w:rsidRDefault="00B17E6C" w:rsidP="00025CB0">
      <w:pPr>
        <w:pStyle w:val="Bullet"/>
        <w:ind w:left="851"/>
      </w:pPr>
      <w:r w:rsidRPr="003F6642">
        <w:t>consumer safety or consumer satisfaction has been measured as a result of the review process</w:t>
      </w:r>
      <w:r>
        <w:t>.</w:t>
      </w:r>
    </w:p>
    <w:p w14:paraId="7B7811A5" w14:textId="77777777" w:rsidR="00B17E6C" w:rsidRPr="003F6642" w:rsidRDefault="00B17E6C" w:rsidP="00025CB0">
      <w:pPr>
        <w:spacing w:before="90"/>
        <w:ind w:left="567"/>
      </w:pPr>
      <w:r w:rsidRPr="003F6642">
        <w:t xml:space="preserve">A </w:t>
      </w:r>
      <w:r>
        <w:t>commendation rating</w:t>
      </w:r>
      <w:r w:rsidRPr="003F6642">
        <w:t xml:space="preserve"> is</w:t>
      </w:r>
      <w:r>
        <w:t xml:space="preserve"> for</w:t>
      </w:r>
      <w:r w:rsidRPr="003F6642">
        <w:t xml:space="preserve"> a</w:t>
      </w:r>
      <w:r>
        <w:t xml:space="preserve"> system-wide</w:t>
      </w:r>
      <w:r w:rsidRPr="003F6642">
        <w:t xml:space="preserve"> improvement that affect</w:t>
      </w:r>
      <w:r>
        <w:t>s</w:t>
      </w:r>
      <w:r w:rsidRPr="003F6642">
        <w:t xml:space="preserve"> or relat</w:t>
      </w:r>
      <w:r>
        <w:t>es</w:t>
      </w:r>
      <w:r w:rsidRPr="003F6642">
        <w:t xml:space="preserve"> </w:t>
      </w:r>
      <w:r>
        <w:t xml:space="preserve">to </w:t>
      </w:r>
      <w:r w:rsidRPr="003F6642">
        <w:t xml:space="preserve">a </w:t>
      </w:r>
      <w:r>
        <w:t xml:space="preserve">programme priority </w:t>
      </w:r>
      <w:r w:rsidRPr="003F6642">
        <w:t xml:space="preserve">group, or </w:t>
      </w:r>
      <w:r>
        <w:t>the quality of the whole screening service</w:t>
      </w:r>
      <w:r w:rsidRPr="003F6642">
        <w:t xml:space="preserve"> instead of </w:t>
      </w:r>
      <w:r>
        <w:t>the</w:t>
      </w:r>
      <w:r w:rsidRPr="003F6642">
        <w:t xml:space="preserve"> individual </w:t>
      </w:r>
      <w:r>
        <w:t>participant</w:t>
      </w:r>
      <w:r w:rsidRPr="003F6642">
        <w:t xml:space="preserve"> or parts.</w:t>
      </w:r>
      <w:r>
        <w:t xml:space="preserve"> It</w:t>
      </w:r>
      <w:r w:rsidRPr="00A85A0E">
        <w:t xml:space="preserve"> may be awarded </w:t>
      </w:r>
      <w:r>
        <w:t>if the service demonstrates</w:t>
      </w:r>
      <w:r w:rsidRPr="00A85A0E">
        <w:t xml:space="preserve"> one or more of the above conditions at subsequent or consecutive audits.</w:t>
      </w:r>
    </w:p>
    <w:p w14:paraId="7B7811A6" w14:textId="77777777" w:rsidR="00B17E6C" w:rsidRPr="003F6642" w:rsidRDefault="00B17E6C" w:rsidP="00025CB0">
      <w:pPr>
        <w:pStyle w:val="Number"/>
        <w:spacing w:before="120"/>
      </w:pPr>
      <w:r w:rsidRPr="003F6642">
        <w:t xml:space="preserve">When a </w:t>
      </w:r>
      <w:r>
        <w:t>commendation</w:t>
      </w:r>
      <w:r w:rsidRPr="003F6642">
        <w:t xml:space="preserve"> has been awarded at a previous audit, the auditor </w:t>
      </w:r>
      <w:r>
        <w:t>will</w:t>
      </w:r>
      <w:r w:rsidRPr="003F6642">
        <w:t xml:space="preserve"> </w:t>
      </w:r>
      <w:r>
        <w:t>verify</w:t>
      </w:r>
      <w:r w:rsidRPr="003F6642">
        <w:t xml:space="preserve"> </w:t>
      </w:r>
      <w:r>
        <w:t>that the service continues to demonstrate the relevant</w:t>
      </w:r>
      <w:r w:rsidRPr="003F6642">
        <w:t xml:space="preserve"> criteria </w:t>
      </w:r>
      <w:r>
        <w:t>so that it</w:t>
      </w:r>
      <w:r w:rsidRPr="003F6642">
        <w:t xml:space="preserve"> </w:t>
      </w:r>
      <w:r>
        <w:t>maintains the</w:t>
      </w:r>
      <w:r w:rsidRPr="003F6642">
        <w:t xml:space="preserve"> </w:t>
      </w:r>
      <w:r>
        <w:t xml:space="preserve">previous </w:t>
      </w:r>
      <w:r w:rsidRPr="006C08F3">
        <w:t>commendation r</w:t>
      </w:r>
      <w:r w:rsidRPr="003F6642">
        <w:t>ating.</w:t>
      </w:r>
    </w:p>
    <w:p w14:paraId="7B7811A7" w14:textId="77777777" w:rsidR="00B17E6C" w:rsidRPr="006C08F3" w:rsidRDefault="00B17E6C" w:rsidP="00025CB0">
      <w:pPr>
        <w:pStyle w:val="Bullet"/>
        <w:ind w:left="851"/>
      </w:pPr>
      <w:r>
        <w:t xml:space="preserve">only change </w:t>
      </w:r>
      <w:r w:rsidRPr="006C08F3">
        <w:t xml:space="preserve">NSU </w:t>
      </w:r>
      <w:r>
        <w:t>a</w:t>
      </w:r>
      <w:r w:rsidRPr="006C08F3">
        <w:t>udit</w:t>
      </w:r>
      <w:r>
        <w:t xml:space="preserve"> programme</w:t>
      </w:r>
      <w:r w:rsidRPr="006C08F3">
        <w:t xml:space="preserve"> </w:t>
      </w:r>
      <w:r>
        <w:t>f</w:t>
      </w:r>
      <w:r w:rsidRPr="006C08F3">
        <w:t>ramework attainment ratings within the period between the end of the on</w:t>
      </w:r>
      <w:r>
        <w:t>-</w:t>
      </w:r>
      <w:r w:rsidRPr="006C08F3">
        <w:t>site audit and the submission of the report</w:t>
      </w:r>
      <w:r w:rsidRPr="00A81F1F">
        <w:t xml:space="preserve"> </w:t>
      </w:r>
      <w:r w:rsidRPr="006C08F3">
        <w:t>where this relates to:</w:t>
      </w:r>
    </w:p>
    <w:p w14:paraId="7B7811A8" w14:textId="77777777" w:rsidR="00B17E6C" w:rsidRPr="006C08F3" w:rsidRDefault="00B17E6C" w:rsidP="00025CB0">
      <w:pPr>
        <w:pStyle w:val="Bullet"/>
        <w:ind w:left="851"/>
      </w:pPr>
      <w:r>
        <w:t xml:space="preserve">a </w:t>
      </w:r>
      <w:r w:rsidRPr="006C08F3">
        <w:t xml:space="preserve">building warrant of fitness or </w:t>
      </w:r>
      <w:r>
        <w:t xml:space="preserve">building </w:t>
      </w:r>
      <w:r w:rsidRPr="00574F99">
        <w:t>code of compliance</w:t>
      </w:r>
      <w:r>
        <w:t xml:space="preserve"> or a certificate of public use</w:t>
      </w:r>
    </w:p>
    <w:p w14:paraId="7B7811A9" w14:textId="77777777" w:rsidR="00B17E6C" w:rsidRPr="006C08F3" w:rsidRDefault="00B17E6C" w:rsidP="00025CB0">
      <w:pPr>
        <w:pStyle w:val="Bullet"/>
        <w:ind w:left="851"/>
      </w:pPr>
      <w:r w:rsidRPr="006C08F3">
        <w:t>New Zealand Fire Service approval of an evacuation scheme, or written approval of an exemption.</w:t>
      </w:r>
    </w:p>
    <w:p w14:paraId="7B7811AA" w14:textId="77777777" w:rsidR="00B17E6C" w:rsidRDefault="00B17E6C" w:rsidP="00025CB0">
      <w:pPr>
        <w:rPr>
          <w:rFonts w:eastAsia="Arial"/>
        </w:rPr>
      </w:pPr>
    </w:p>
    <w:p w14:paraId="7B7811AB" w14:textId="77777777" w:rsidR="00E33EDB" w:rsidRDefault="00B17E6C" w:rsidP="00102FEA">
      <w:pPr>
        <w:pStyle w:val="Heading3"/>
        <w:keepNext w:val="0"/>
        <w:pageBreakBefore/>
        <w:spacing w:before="0"/>
      </w:pPr>
      <w:bookmarkStart w:id="86" w:name="_Ref71179624"/>
      <w:r w:rsidRPr="00C83F66">
        <w:lastRenderedPageBreak/>
        <w:t xml:space="preserve">Risk </w:t>
      </w:r>
      <w:r>
        <w:t>assessment m</w:t>
      </w:r>
      <w:r w:rsidRPr="00C83F66">
        <w:t>atrix</w:t>
      </w:r>
      <w:bookmarkEnd w:id="86"/>
    </w:p>
    <w:p w14:paraId="7B7811AC" w14:textId="77777777" w:rsidR="00B17E6C" w:rsidRDefault="00B17E6C" w:rsidP="00025CB0">
      <w:r w:rsidRPr="00C83F66">
        <w:t xml:space="preserve">This risk management matrix will be used to determine the risk rating for any partially attained or unattained criterion, and the timeframe for the </w:t>
      </w:r>
      <w:r>
        <w:t>CAR.</w:t>
      </w:r>
    </w:p>
    <w:p w14:paraId="7B7811AD" w14:textId="77777777" w:rsidR="00B17E6C" w:rsidRDefault="00B17E6C" w:rsidP="00025CB0"/>
    <w:tbl>
      <w:tblPr>
        <w:tblW w:w="4931" w:type="pct"/>
        <w:tblInd w:w="57" w:type="dxa"/>
        <w:tblLayout w:type="fixed"/>
        <w:tblCellMar>
          <w:left w:w="57" w:type="dxa"/>
          <w:right w:w="57" w:type="dxa"/>
        </w:tblCellMar>
        <w:tblLook w:val="04A0" w:firstRow="1" w:lastRow="0" w:firstColumn="1" w:lastColumn="0" w:noHBand="0" w:noVBand="1"/>
      </w:tblPr>
      <w:tblGrid>
        <w:gridCol w:w="417"/>
        <w:gridCol w:w="1794"/>
        <w:gridCol w:w="1281"/>
        <w:gridCol w:w="1119"/>
        <w:gridCol w:w="1119"/>
        <w:gridCol w:w="1119"/>
        <w:gridCol w:w="1119"/>
      </w:tblGrid>
      <w:tr w:rsidR="00B17E6C" w:rsidRPr="00102FEA" w14:paraId="7B7811AF" w14:textId="77777777" w:rsidTr="008B729A">
        <w:tc>
          <w:tcPr>
            <w:tcW w:w="5000" w:type="pct"/>
            <w:gridSpan w:val="7"/>
            <w:tcBorders>
              <w:bottom w:val="nil"/>
            </w:tcBorders>
            <w:shd w:val="clear" w:color="auto" w:fill="B5CF5A"/>
          </w:tcPr>
          <w:p w14:paraId="7B7811AE" w14:textId="77777777" w:rsidR="00B17E6C" w:rsidRPr="00102FEA" w:rsidRDefault="00B17E6C" w:rsidP="00102FEA">
            <w:pPr>
              <w:pStyle w:val="TableText"/>
              <w:jc w:val="center"/>
              <w:rPr>
                <w:b/>
                <w:sz w:val="20"/>
              </w:rPr>
            </w:pPr>
            <w:r w:rsidRPr="00102FEA">
              <w:rPr>
                <w:b/>
                <w:sz w:val="20"/>
              </w:rPr>
              <w:t>Likelihood</w:t>
            </w:r>
          </w:p>
        </w:tc>
      </w:tr>
      <w:tr w:rsidR="008B729A" w:rsidRPr="00D67287" w14:paraId="7B7811B7" w14:textId="77777777" w:rsidTr="008B729A">
        <w:tc>
          <w:tcPr>
            <w:tcW w:w="262" w:type="pct"/>
            <w:vMerge w:val="restart"/>
            <w:tcBorders>
              <w:top w:val="nil"/>
              <w:bottom w:val="single" w:sz="4" w:space="0" w:color="B5CF5A"/>
            </w:tcBorders>
            <w:shd w:val="clear" w:color="auto" w:fill="B5CF5A"/>
            <w:textDirection w:val="btLr"/>
          </w:tcPr>
          <w:p w14:paraId="7B7811B0" w14:textId="77777777" w:rsidR="00B17E6C" w:rsidRPr="00102FEA" w:rsidRDefault="00B17E6C" w:rsidP="008B729A">
            <w:pPr>
              <w:pStyle w:val="TableText"/>
              <w:spacing w:before="0" w:after="0"/>
              <w:jc w:val="center"/>
              <w:rPr>
                <w:sz w:val="20"/>
              </w:rPr>
            </w:pPr>
            <w:r w:rsidRPr="00102FEA">
              <w:rPr>
                <w:b/>
                <w:sz w:val="20"/>
              </w:rPr>
              <w:t>Consequences</w:t>
            </w:r>
          </w:p>
        </w:tc>
        <w:tc>
          <w:tcPr>
            <w:tcW w:w="1126" w:type="pct"/>
            <w:tcBorders>
              <w:bottom w:val="single" w:sz="4" w:space="0" w:color="A6A6A6" w:themeColor="background1" w:themeShade="A6"/>
              <w:right w:val="single" w:sz="4" w:space="0" w:color="A6A6A6" w:themeColor="background1" w:themeShade="A6"/>
            </w:tcBorders>
            <w:shd w:val="clear" w:color="auto" w:fill="auto"/>
          </w:tcPr>
          <w:p w14:paraId="7B7811B1" w14:textId="77777777" w:rsidR="00B17E6C" w:rsidRPr="00102FEA" w:rsidRDefault="00B17E6C" w:rsidP="00102FEA">
            <w:pPr>
              <w:pStyle w:val="TableText"/>
              <w:rPr>
                <w:b/>
                <w:sz w:val="16"/>
                <w:szCs w:val="16"/>
              </w:rPr>
            </w:pPr>
            <w:r w:rsidRPr="00102FEA">
              <w:rPr>
                <w:b/>
                <w:sz w:val="16"/>
                <w:szCs w:val="16"/>
              </w:rPr>
              <w:t>Level of risk</w:t>
            </w:r>
          </w:p>
        </w:tc>
        <w:tc>
          <w:tcPr>
            <w:tcW w:w="804" w:type="pct"/>
            <w:tcBorders>
              <w:left w:val="single" w:sz="4" w:space="0" w:color="A6A6A6" w:themeColor="background1" w:themeShade="A6"/>
              <w:right w:val="single" w:sz="4" w:space="0" w:color="A6A6A6" w:themeColor="background1" w:themeShade="A6"/>
            </w:tcBorders>
            <w:shd w:val="clear" w:color="auto" w:fill="auto"/>
          </w:tcPr>
          <w:p w14:paraId="7B7811B2" w14:textId="77777777" w:rsidR="00B17E6C" w:rsidRPr="00102FEA" w:rsidRDefault="00B17E6C" w:rsidP="008B729A">
            <w:pPr>
              <w:pStyle w:val="TableText"/>
              <w:jc w:val="center"/>
              <w:rPr>
                <w:sz w:val="16"/>
                <w:szCs w:val="16"/>
              </w:rPr>
            </w:pPr>
            <w:r w:rsidRPr="00102FEA">
              <w:rPr>
                <w:sz w:val="16"/>
                <w:szCs w:val="16"/>
              </w:rPr>
              <w:t>The likelihood</w:t>
            </w:r>
            <w:r w:rsidR="008B729A">
              <w:rPr>
                <w:sz w:val="16"/>
                <w:szCs w:val="16"/>
              </w:rPr>
              <w:br/>
            </w:r>
            <w:r w:rsidRPr="00102FEA">
              <w:rPr>
                <w:sz w:val="16"/>
                <w:szCs w:val="16"/>
              </w:rPr>
              <w:t>of this</w:t>
            </w:r>
            <w:r w:rsidR="008B729A">
              <w:rPr>
                <w:sz w:val="16"/>
                <w:szCs w:val="16"/>
              </w:rPr>
              <w:br/>
            </w:r>
            <w:r w:rsidRPr="00102FEA">
              <w:rPr>
                <w:sz w:val="16"/>
                <w:szCs w:val="16"/>
              </w:rPr>
              <w:t>occurring is</w:t>
            </w:r>
            <w:r w:rsidR="00102FEA" w:rsidRPr="00102FEA">
              <w:rPr>
                <w:sz w:val="16"/>
                <w:szCs w:val="16"/>
              </w:rPr>
              <w:t xml:space="preserve"> </w:t>
            </w:r>
            <w:r w:rsidRPr="00102FEA">
              <w:rPr>
                <w:b/>
                <w:sz w:val="16"/>
                <w:szCs w:val="16"/>
              </w:rPr>
              <w:t>almost certain</w:t>
            </w:r>
          </w:p>
        </w:tc>
        <w:tc>
          <w:tcPr>
            <w:tcW w:w="702" w:type="pct"/>
            <w:tcBorders>
              <w:left w:val="single" w:sz="4" w:space="0" w:color="A6A6A6" w:themeColor="background1" w:themeShade="A6"/>
              <w:right w:val="single" w:sz="4" w:space="0" w:color="A6A6A6" w:themeColor="background1" w:themeShade="A6"/>
            </w:tcBorders>
            <w:shd w:val="clear" w:color="auto" w:fill="auto"/>
          </w:tcPr>
          <w:p w14:paraId="7B7811B3" w14:textId="77777777" w:rsidR="00B17E6C" w:rsidRPr="00102FEA" w:rsidRDefault="00B17E6C" w:rsidP="00102FEA">
            <w:pPr>
              <w:pStyle w:val="TableText"/>
              <w:jc w:val="center"/>
              <w:rPr>
                <w:sz w:val="16"/>
                <w:szCs w:val="16"/>
              </w:rPr>
            </w:pPr>
            <w:r w:rsidRPr="00102FEA">
              <w:rPr>
                <w:sz w:val="16"/>
                <w:szCs w:val="16"/>
              </w:rPr>
              <w:t>The likelihood of this occurring is</w:t>
            </w:r>
            <w:r w:rsidR="00102FEA" w:rsidRPr="00102FEA">
              <w:rPr>
                <w:sz w:val="16"/>
                <w:szCs w:val="16"/>
              </w:rPr>
              <w:t xml:space="preserve"> </w:t>
            </w:r>
            <w:r w:rsidRPr="00102FEA">
              <w:rPr>
                <w:b/>
                <w:sz w:val="16"/>
                <w:szCs w:val="16"/>
              </w:rPr>
              <w:t>likely</w:t>
            </w:r>
          </w:p>
        </w:tc>
        <w:tc>
          <w:tcPr>
            <w:tcW w:w="702" w:type="pct"/>
            <w:tcBorders>
              <w:left w:val="single" w:sz="4" w:space="0" w:color="A6A6A6" w:themeColor="background1" w:themeShade="A6"/>
              <w:right w:val="single" w:sz="4" w:space="0" w:color="A6A6A6" w:themeColor="background1" w:themeShade="A6"/>
            </w:tcBorders>
            <w:shd w:val="clear" w:color="auto" w:fill="auto"/>
          </w:tcPr>
          <w:p w14:paraId="7B7811B4" w14:textId="77777777" w:rsidR="00B17E6C" w:rsidRPr="00102FEA" w:rsidRDefault="00B17E6C" w:rsidP="00EC46E0">
            <w:pPr>
              <w:pStyle w:val="TableText"/>
              <w:jc w:val="center"/>
              <w:rPr>
                <w:sz w:val="16"/>
                <w:szCs w:val="16"/>
              </w:rPr>
            </w:pPr>
            <w:r w:rsidRPr="00102FEA">
              <w:rPr>
                <w:sz w:val="16"/>
                <w:szCs w:val="16"/>
              </w:rPr>
              <w:t>The likelihood of this</w:t>
            </w:r>
            <w:r w:rsidR="00EC46E0">
              <w:rPr>
                <w:sz w:val="16"/>
                <w:szCs w:val="16"/>
              </w:rPr>
              <w:br/>
            </w:r>
            <w:r w:rsidRPr="00102FEA">
              <w:rPr>
                <w:sz w:val="16"/>
                <w:szCs w:val="16"/>
              </w:rPr>
              <w:t xml:space="preserve">occurring is </w:t>
            </w:r>
            <w:r w:rsidRPr="00102FEA">
              <w:rPr>
                <w:b/>
                <w:sz w:val="16"/>
                <w:szCs w:val="16"/>
              </w:rPr>
              <w:t>moderate</w:t>
            </w:r>
          </w:p>
        </w:tc>
        <w:tc>
          <w:tcPr>
            <w:tcW w:w="702" w:type="pct"/>
            <w:tcBorders>
              <w:left w:val="single" w:sz="4" w:space="0" w:color="A6A6A6" w:themeColor="background1" w:themeShade="A6"/>
              <w:right w:val="single" w:sz="4" w:space="0" w:color="A6A6A6" w:themeColor="background1" w:themeShade="A6"/>
            </w:tcBorders>
            <w:shd w:val="clear" w:color="auto" w:fill="auto"/>
          </w:tcPr>
          <w:p w14:paraId="7B7811B5" w14:textId="77777777" w:rsidR="00B17E6C" w:rsidRPr="00102FEA" w:rsidRDefault="00B17E6C" w:rsidP="00102FEA">
            <w:pPr>
              <w:pStyle w:val="TableText"/>
              <w:jc w:val="center"/>
              <w:rPr>
                <w:sz w:val="16"/>
                <w:szCs w:val="16"/>
              </w:rPr>
            </w:pPr>
            <w:r w:rsidRPr="00102FEA">
              <w:rPr>
                <w:sz w:val="16"/>
                <w:szCs w:val="16"/>
              </w:rPr>
              <w:t>The likelihood of this occurring is</w:t>
            </w:r>
            <w:r w:rsidR="00102FEA" w:rsidRPr="00102FEA">
              <w:rPr>
                <w:sz w:val="16"/>
                <w:szCs w:val="16"/>
              </w:rPr>
              <w:t xml:space="preserve"> </w:t>
            </w:r>
            <w:r w:rsidRPr="00102FEA">
              <w:rPr>
                <w:b/>
                <w:sz w:val="16"/>
                <w:szCs w:val="16"/>
              </w:rPr>
              <w:t>unlikely</w:t>
            </w:r>
          </w:p>
        </w:tc>
        <w:tc>
          <w:tcPr>
            <w:tcW w:w="702" w:type="pct"/>
            <w:tcBorders>
              <w:left w:val="single" w:sz="4" w:space="0" w:color="A6A6A6" w:themeColor="background1" w:themeShade="A6"/>
            </w:tcBorders>
            <w:shd w:val="clear" w:color="auto" w:fill="auto"/>
          </w:tcPr>
          <w:p w14:paraId="7B7811B6" w14:textId="77777777" w:rsidR="00B17E6C" w:rsidRPr="00102FEA" w:rsidRDefault="00B17E6C" w:rsidP="00102FEA">
            <w:pPr>
              <w:pStyle w:val="TableText"/>
              <w:jc w:val="center"/>
              <w:rPr>
                <w:sz w:val="16"/>
                <w:szCs w:val="16"/>
              </w:rPr>
            </w:pPr>
            <w:r w:rsidRPr="00102FEA">
              <w:rPr>
                <w:sz w:val="16"/>
                <w:szCs w:val="16"/>
              </w:rPr>
              <w:t>The likelihood of this occurring is</w:t>
            </w:r>
            <w:r w:rsidR="00102FEA" w:rsidRPr="00102FEA">
              <w:rPr>
                <w:sz w:val="16"/>
                <w:szCs w:val="16"/>
              </w:rPr>
              <w:t xml:space="preserve"> </w:t>
            </w:r>
            <w:r w:rsidRPr="00102FEA">
              <w:rPr>
                <w:b/>
                <w:sz w:val="16"/>
                <w:szCs w:val="16"/>
              </w:rPr>
              <w:t>rare</w:t>
            </w:r>
          </w:p>
        </w:tc>
      </w:tr>
      <w:tr w:rsidR="008B729A" w:rsidRPr="00D67287" w14:paraId="7B7811BF" w14:textId="77777777" w:rsidTr="008B729A">
        <w:tc>
          <w:tcPr>
            <w:tcW w:w="262" w:type="pct"/>
            <w:vMerge/>
            <w:tcBorders>
              <w:bottom w:val="single" w:sz="4" w:space="0" w:color="B5CF5A"/>
            </w:tcBorders>
            <w:shd w:val="clear" w:color="auto" w:fill="B5CF5A"/>
          </w:tcPr>
          <w:p w14:paraId="7B7811B8" w14:textId="77777777" w:rsidR="00B17E6C" w:rsidRPr="00102FEA" w:rsidRDefault="00B17E6C" w:rsidP="00102FEA">
            <w:pPr>
              <w:pStyle w:val="TableText"/>
              <w:rPr>
                <w:sz w:val="16"/>
                <w:szCs w:val="16"/>
              </w:rPr>
            </w:pPr>
          </w:p>
        </w:tc>
        <w:tc>
          <w:tcPr>
            <w:tcW w:w="1126" w:type="pct"/>
            <w:tcBorders>
              <w:bottom w:val="single" w:sz="4" w:space="0" w:color="A6A6A6" w:themeColor="background1" w:themeShade="A6"/>
              <w:right w:val="single" w:sz="4" w:space="0" w:color="FF5050"/>
            </w:tcBorders>
          </w:tcPr>
          <w:p w14:paraId="7B7811B9" w14:textId="77777777" w:rsidR="00B17E6C" w:rsidRPr="00102FEA" w:rsidRDefault="00B17E6C" w:rsidP="00102FEA">
            <w:pPr>
              <w:pStyle w:val="TableText"/>
              <w:rPr>
                <w:sz w:val="16"/>
                <w:szCs w:val="16"/>
              </w:rPr>
            </w:pPr>
            <w:r w:rsidRPr="00102FEA">
              <w:rPr>
                <w:sz w:val="16"/>
                <w:szCs w:val="16"/>
              </w:rPr>
              <w:t xml:space="preserve">The consequences of not meeting these criteria would put consumers at </w:t>
            </w:r>
            <w:r w:rsidRPr="00102FEA">
              <w:rPr>
                <w:b/>
                <w:sz w:val="16"/>
                <w:szCs w:val="16"/>
              </w:rPr>
              <w:t>extreme risk of harm or actual harm is occurring</w:t>
            </w:r>
          </w:p>
        </w:tc>
        <w:tc>
          <w:tcPr>
            <w:tcW w:w="804" w:type="pct"/>
            <w:tcBorders>
              <w:left w:val="single" w:sz="4" w:space="0" w:color="FF5050"/>
              <w:bottom w:val="single" w:sz="4" w:space="0" w:color="FFFFFF" w:themeColor="background1"/>
              <w:right w:val="single" w:sz="4" w:space="0" w:color="FFFFFF" w:themeColor="background1"/>
            </w:tcBorders>
            <w:shd w:val="clear" w:color="auto" w:fill="FF5050"/>
            <w:vAlign w:val="center"/>
          </w:tcPr>
          <w:p w14:paraId="7B7811BA" w14:textId="77777777" w:rsidR="00B17E6C" w:rsidRPr="005117ED" w:rsidRDefault="00B17E6C" w:rsidP="00102FEA">
            <w:pPr>
              <w:pStyle w:val="TableText"/>
              <w:jc w:val="center"/>
              <w:rPr>
                <w:b/>
                <w:color w:val="FFFFFF" w:themeColor="background1"/>
                <w:sz w:val="16"/>
                <w:szCs w:val="16"/>
              </w:rPr>
            </w:pPr>
            <w:r w:rsidRPr="005117ED">
              <w:rPr>
                <w:b/>
                <w:color w:val="FFFFFF" w:themeColor="background1"/>
                <w:sz w:val="16"/>
                <w:szCs w:val="16"/>
              </w:rPr>
              <w:t>Critical</w:t>
            </w:r>
          </w:p>
        </w:tc>
        <w:tc>
          <w:tcPr>
            <w:tcW w:w="702" w:type="pct"/>
            <w:tcBorders>
              <w:left w:val="single" w:sz="4" w:space="0" w:color="FFFFFF" w:themeColor="background1"/>
              <w:bottom w:val="single" w:sz="4" w:space="0" w:color="FFFFFF" w:themeColor="background1"/>
              <w:right w:val="single" w:sz="4" w:space="0" w:color="FFFFFF" w:themeColor="background1"/>
            </w:tcBorders>
            <w:shd w:val="clear" w:color="auto" w:fill="FF5050"/>
            <w:vAlign w:val="center"/>
          </w:tcPr>
          <w:p w14:paraId="7B7811BB" w14:textId="77777777" w:rsidR="00B17E6C" w:rsidRPr="005117ED" w:rsidRDefault="00B17E6C" w:rsidP="00102FEA">
            <w:pPr>
              <w:pStyle w:val="TableText"/>
              <w:jc w:val="center"/>
              <w:rPr>
                <w:b/>
                <w:color w:val="FFFFFF" w:themeColor="background1"/>
                <w:sz w:val="16"/>
                <w:szCs w:val="16"/>
              </w:rPr>
            </w:pPr>
            <w:r w:rsidRPr="005117ED">
              <w:rPr>
                <w:b/>
                <w:color w:val="FFFFFF" w:themeColor="background1"/>
                <w:sz w:val="16"/>
                <w:szCs w:val="16"/>
              </w:rPr>
              <w:t>Critical</w:t>
            </w:r>
          </w:p>
        </w:tc>
        <w:tc>
          <w:tcPr>
            <w:tcW w:w="702" w:type="pct"/>
            <w:tcBorders>
              <w:left w:val="single" w:sz="4" w:space="0" w:color="FFFFFF" w:themeColor="background1"/>
              <w:bottom w:val="single" w:sz="4" w:space="0" w:color="FFFFFF" w:themeColor="background1"/>
              <w:right w:val="single" w:sz="4" w:space="0" w:color="FFFFFF" w:themeColor="background1"/>
            </w:tcBorders>
            <w:shd w:val="clear" w:color="auto" w:fill="FFFFCC"/>
            <w:vAlign w:val="center"/>
          </w:tcPr>
          <w:p w14:paraId="7B7811BC" w14:textId="77777777" w:rsidR="00B17E6C" w:rsidRPr="00102FEA" w:rsidRDefault="00B17E6C" w:rsidP="00102FEA">
            <w:pPr>
              <w:pStyle w:val="TableText"/>
              <w:jc w:val="center"/>
              <w:rPr>
                <w:b/>
                <w:sz w:val="16"/>
                <w:szCs w:val="16"/>
              </w:rPr>
            </w:pPr>
            <w:r w:rsidRPr="00102FEA">
              <w:rPr>
                <w:b/>
                <w:sz w:val="16"/>
                <w:szCs w:val="16"/>
              </w:rPr>
              <w:t>High</w:t>
            </w:r>
          </w:p>
        </w:tc>
        <w:tc>
          <w:tcPr>
            <w:tcW w:w="702" w:type="pct"/>
            <w:tcBorders>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7B7811BD" w14:textId="77777777" w:rsidR="00B17E6C" w:rsidRPr="00102FEA" w:rsidRDefault="00B17E6C" w:rsidP="00102FEA">
            <w:pPr>
              <w:pStyle w:val="TableText"/>
              <w:jc w:val="center"/>
              <w:rPr>
                <w:b/>
                <w:sz w:val="16"/>
                <w:szCs w:val="16"/>
              </w:rPr>
            </w:pPr>
            <w:r w:rsidRPr="00102FEA">
              <w:rPr>
                <w:b/>
                <w:sz w:val="16"/>
                <w:szCs w:val="16"/>
              </w:rPr>
              <w:t>Moderate</w:t>
            </w:r>
          </w:p>
        </w:tc>
        <w:tc>
          <w:tcPr>
            <w:tcW w:w="702" w:type="pct"/>
            <w:tcBorders>
              <w:left w:val="single" w:sz="4" w:space="0" w:color="FFFFFF" w:themeColor="background1"/>
              <w:bottom w:val="single" w:sz="4" w:space="0" w:color="FFFFFF" w:themeColor="background1"/>
            </w:tcBorders>
            <w:shd w:val="clear" w:color="auto" w:fill="B5CF5A"/>
            <w:vAlign w:val="center"/>
          </w:tcPr>
          <w:p w14:paraId="7B7811BE" w14:textId="77777777" w:rsidR="00B17E6C" w:rsidRPr="00102FEA" w:rsidRDefault="00B17E6C" w:rsidP="00102FEA">
            <w:pPr>
              <w:pStyle w:val="TableText"/>
              <w:jc w:val="center"/>
              <w:rPr>
                <w:b/>
                <w:sz w:val="16"/>
                <w:szCs w:val="16"/>
              </w:rPr>
            </w:pPr>
            <w:r w:rsidRPr="00102FEA">
              <w:rPr>
                <w:b/>
                <w:sz w:val="16"/>
                <w:szCs w:val="16"/>
              </w:rPr>
              <w:t>Low</w:t>
            </w:r>
          </w:p>
        </w:tc>
      </w:tr>
      <w:tr w:rsidR="008B729A" w:rsidRPr="00D67287" w14:paraId="7B7811C7" w14:textId="77777777" w:rsidTr="008B729A">
        <w:tc>
          <w:tcPr>
            <w:tcW w:w="262" w:type="pct"/>
            <w:vMerge/>
            <w:tcBorders>
              <w:bottom w:val="single" w:sz="4" w:space="0" w:color="B5CF5A"/>
            </w:tcBorders>
            <w:shd w:val="clear" w:color="auto" w:fill="B5CF5A"/>
          </w:tcPr>
          <w:p w14:paraId="7B7811C0" w14:textId="77777777" w:rsidR="00B17E6C" w:rsidRPr="00102FEA" w:rsidRDefault="00B17E6C" w:rsidP="00102FEA">
            <w:pPr>
              <w:pStyle w:val="TableText"/>
              <w:rPr>
                <w:sz w:val="16"/>
                <w:szCs w:val="16"/>
              </w:rPr>
            </w:pPr>
          </w:p>
        </w:tc>
        <w:tc>
          <w:tcPr>
            <w:tcW w:w="1126" w:type="pct"/>
            <w:tcBorders>
              <w:top w:val="single" w:sz="4" w:space="0" w:color="A6A6A6" w:themeColor="background1" w:themeShade="A6"/>
              <w:bottom w:val="single" w:sz="4" w:space="0" w:color="A6A6A6" w:themeColor="background1" w:themeShade="A6"/>
              <w:right w:val="single" w:sz="4" w:space="0" w:color="FF5050"/>
            </w:tcBorders>
          </w:tcPr>
          <w:p w14:paraId="7B7811C1" w14:textId="77777777" w:rsidR="00B17E6C" w:rsidRPr="00102FEA" w:rsidRDefault="00B17E6C" w:rsidP="00102FEA">
            <w:pPr>
              <w:pStyle w:val="TableText"/>
              <w:rPr>
                <w:sz w:val="16"/>
                <w:szCs w:val="16"/>
              </w:rPr>
            </w:pPr>
            <w:r w:rsidRPr="00102FEA">
              <w:rPr>
                <w:sz w:val="16"/>
                <w:szCs w:val="16"/>
              </w:rPr>
              <w:t>The consequences of not meeting these criteria would put consumers at</w:t>
            </w:r>
            <w:r w:rsidR="00102FEA" w:rsidRPr="00102FEA">
              <w:rPr>
                <w:sz w:val="16"/>
                <w:szCs w:val="16"/>
              </w:rPr>
              <w:t xml:space="preserve"> </w:t>
            </w:r>
            <w:r w:rsidRPr="00102FEA">
              <w:rPr>
                <w:b/>
                <w:sz w:val="16"/>
                <w:szCs w:val="16"/>
              </w:rPr>
              <w:t>significant risk of harm</w:t>
            </w:r>
          </w:p>
        </w:tc>
        <w:tc>
          <w:tcPr>
            <w:tcW w:w="804" w:type="pct"/>
            <w:tcBorders>
              <w:top w:val="single" w:sz="4" w:space="0" w:color="FFFFFF" w:themeColor="background1"/>
              <w:left w:val="single" w:sz="4" w:space="0" w:color="FF5050"/>
              <w:bottom w:val="single" w:sz="4" w:space="0" w:color="FFFFFF" w:themeColor="background1"/>
              <w:right w:val="single" w:sz="4" w:space="0" w:color="FFFFFF" w:themeColor="background1"/>
            </w:tcBorders>
            <w:shd w:val="clear" w:color="auto" w:fill="FF5050"/>
            <w:vAlign w:val="center"/>
          </w:tcPr>
          <w:p w14:paraId="7B7811C2" w14:textId="77777777" w:rsidR="00B17E6C" w:rsidRPr="00102FEA" w:rsidRDefault="00B17E6C" w:rsidP="00102FEA">
            <w:pPr>
              <w:pStyle w:val="TableText"/>
              <w:jc w:val="center"/>
              <w:rPr>
                <w:b/>
                <w:sz w:val="16"/>
                <w:szCs w:val="16"/>
              </w:rPr>
            </w:pPr>
            <w:r w:rsidRPr="005117ED">
              <w:rPr>
                <w:b/>
                <w:color w:val="FFFFFF" w:themeColor="background1"/>
                <w:sz w:val="16"/>
                <w:szCs w:val="16"/>
              </w:rPr>
              <w:t>Critical</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CC"/>
            <w:vAlign w:val="center"/>
          </w:tcPr>
          <w:p w14:paraId="7B7811C3" w14:textId="77777777" w:rsidR="00B17E6C" w:rsidRPr="00102FEA" w:rsidRDefault="00B17E6C" w:rsidP="00102FEA">
            <w:pPr>
              <w:pStyle w:val="TableText"/>
              <w:jc w:val="center"/>
              <w:rPr>
                <w:b/>
                <w:sz w:val="16"/>
                <w:szCs w:val="16"/>
              </w:rPr>
            </w:pPr>
            <w:r w:rsidRPr="00102FEA">
              <w:rPr>
                <w:b/>
                <w:sz w:val="16"/>
                <w:szCs w:val="16"/>
              </w:rPr>
              <w:t>High</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7B7811C4" w14:textId="77777777" w:rsidR="00B17E6C" w:rsidRPr="00102FEA" w:rsidRDefault="00B17E6C" w:rsidP="00102FEA">
            <w:pPr>
              <w:pStyle w:val="TableText"/>
              <w:jc w:val="center"/>
              <w:rPr>
                <w:b/>
                <w:sz w:val="16"/>
                <w:szCs w:val="16"/>
              </w:rPr>
            </w:pPr>
            <w:r w:rsidRPr="00102FEA">
              <w:rPr>
                <w:b/>
                <w:sz w:val="16"/>
                <w:szCs w:val="16"/>
              </w:rPr>
              <w:t>Moderate</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CF5A"/>
            <w:vAlign w:val="center"/>
          </w:tcPr>
          <w:p w14:paraId="7B7811C5" w14:textId="77777777" w:rsidR="00B17E6C" w:rsidRPr="00102FEA" w:rsidRDefault="00B17E6C" w:rsidP="00102FEA">
            <w:pPr>
              <w:pStyle w:val="TableText"/>
              <w:jc w:val="center"/>
              <w:rPr>
                <w:b/>
                <w:sz w:val="16"/>
                <w:szCs w:val="16"/>
              </w:rPr>
            </w:pPr>
            <w:r w:rsidRPr="00102FEA">
              <w:rPr>
                <w:b/>
                <w:sz w:val="16"/>
                <w:szCs w:val="16"/>
              </w:rPr>
              <w:t>Low</w:t>
            </w:r>
          </w:p>
        </w:tc>
        <w:tc>
          <w:tcPr>
            <w:tcW w:w="702" w:type="pct"/>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vAlign w:val="center"/>
          </w:tcPr>
          <w:p w14:paraId="7B7811C6" w14:textId="77777777" w:rsidR="00B17E6C" w:rsidRPr="00102FEA" w:rsidRDefault="00B17E6C" w:rsidP="00102FEA">
            <w:pPr>
              <w:pStyle w:val="TableText"/>
              <w:jc w:val="center"/>
              <w:rPr>
                <w:b/>
                <w:sz w:val="16"/>
                <w:szCs w:val="16"/>
              </w:rPr>
            </w:pPr>
            <w:r w:rsidRPr="00102FEA">
              <w:rPr>
                <w:b/>
                <w:sz w:val="16"/>
                <w:szCs w:val="16"/>
              </w:rPr>
              <w:t>Negligible</w:t>
            </w:r>
          </w:p>
        </w:tc>
      </w:tr>
      <w:tr w:rsidR="008B729A" w:rsidRPr="00D67287" w14:paraId="7B7811CF" w14:textId="77777777" w:rsidTr="008B729A">
        <w:tc>
          <w:tcPr>
            <w:tcW w:w="262" w:type="pct"/>
            <w:vMerge/>
            <w:tcBorders>
              <w:bottom w:val="single" w:sz="4" w:space="0" w:color="B5CF5A"/>
            </w:tcBorders>
            <w:shd w:val="clear" w:color="auto" w:fill="B5CF5A"/>
          </w:tcPr>
          <w:p w14:paraId="7B7811C8" w14:textId="77777777" w:rsidR="00B17E6C" w:rsidRPr="00102FEA" w:rsidRDefault="00B17E6C" w:rsidP="00102FEA">
            <w:pPr>
              <w:pStyle w:val="TableText"/>
              <w:rPr>
                <w:sz w:val="16"/>
                <w:szCs w:val="16"/>
              </w:rPr>
            </w:pPr>
          </w:p>
        </w:tc>
        <w:tc>
          <w:tcPr>
            <w:tcW w:w="1126" w:type="pct"/>
            <w:tcBorders>
              <w:top w:val="single" w:sz="4" w:space="0" w:color="A6A6A6" w:themeColor="background1" w:themeShade="A6"/>
              <w:bottom w:val="single" w:sz="4" w:space="0" w:color="A6A6A6" w:themeColor="background1" w:themeShade="A6"/>
            </w:tcBorders>
          </w:tcPr>
          <w:p w14:paraId="7B7811C9" w14:textId="77777777" w:rsidR="00B17E6C" w:rsidRPr="00102FEA" w:rsidRDefault="00B17E6C" w:rsidP="00102FEA">
            <w:pPr>
              <w:pStyle w:val="TableText"/>
              <w:rPr>
                <w:sz w:val="16"/>
                <w:szCs w:val="16"/>
              </w:rPr>
            </w:pPr>
            <w:r w:rsidRPr="00102FEA">
              <w:rPr>
                <w:sz w:val="16"/>
                <w:szCs w:val="16"/>
              </w:rPr>
              <w:t>The consequences of not meeting these criteria would put consumers at</w:t>
            </w:r>
            <w:r w:rsidR="00102FEA" w:rsidRPr="00102FEA">
              <w:rPr>
                <w:sz w:val="16"/>
                <w:szCs w:val="16"/>
              </w:rPr>
              <w:t xml:space="preserve"> </w:t>
            </w:r>
            <w:r w:rsidRPr="00102FEA">
              <w:rPr>
                <w:b/>
                <w:sz w:val="16"/>
                <w:szCs w:val="16"/>
              </w:rPr>
              <w:t>moderate risk of harm</w:t>
            </w:r>
          </w:p>
        </w:tc>
        <w:tc>
          <w:tcPr>
            <w:tcW w:w="804" w:type="pct"/>
            <w:tcBorders>
              <w:top w:val="single" w:sz="4" w:space="0" w:color="FFFFFF" w:themeColor="background1"/>
              <w:bottom w:val="single" w:sz="4" w:space="0" w:color="FFFFFF" w:themeColor="background1"/>
              <w:right w:val="single" w:sz="4" w:space="0" w:color="FFFFFF" w:themeColor="background1"/>
            </w:tcBorders>
            <w:shd w:val="clear" w:color="auto" w:fill="FFFFCC"/>
            <w:vAlign w:val="center"/>
          </w:tcPr>
          <w:p w14:paraId="7B7811CA" w14:textId="77777777" w:rsidR="00B17E6C" w:rsidRPr="00102FEA" w:rsidRDefault="00B17E6C" w:rsidP="00102FEA">
            <w:pPr>
              <w:pStyle w:val="TableText"/>
              <w:jc w:val="center"/>
              <w:rPr>
                <w:b/>
                <w:sz w:val="16"/>
                <w:szCs w:val="16"/>
              </w:rPr>
            </w:pPr>
            <w:r w:rsidRPr="00102FEA">
              <w:rPr>
                <w:b/>
                <w:sz w:val="16"/>
                <w:szCs w:val="16"/>
              </w:rPr>
              <w:t>High</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7B7811CB" w14:textId="77777777" w:rsidR="00B17E6C" w:rsidRPr="00102FEA" w:rsidRDefault="00B17E6C" w:rsidP="00102FEA">
            <w:pPr>
              <w:pStyle w:val="TableText"/>
              <w:jc w:val="center"/>
              <w:rPr>
                <w:b/>
                <w:sz w:val="16"/>
                <w:szCs w:val="16"/>
              </w:rPr>
            </w:pPr>
            <w:r w:rsidRPr="00102FEA">
              <w:rPr>
                <w:b/>
                <w:sz w:val="16"/>
                <w:szCs w:val="16"/>
              </w:rPr>
              <w:t>Moderate</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7B7811CC" w14:textId="77777777" w:rsidR="00B17E6C" w:rsidRPr="00102FEA" w:rsidRDefault="00B17E6C" w:rsidP="00102FEA">
            <w:pPr>
              <w:pStyle w:val="TableText"/>
              <w:jc w:val="center"/>
              <w:rPr>
                <w:b/>
                <w:sz w:val="16"/>
                <w:szCs w:val="16"/>
              </w:rPr>
            </w:pPr>
            <w:r w:rsidRPr="00102FEA">
              <w:rPr>
                <w:b/>
                <w:sz w:val="16"/>
                <w:szCs w:val="16"/>
              </w:rPr>
              <w:t>Moderate</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CF5A"/>
            <w:vAlign w:val="center"/>
          </w:tcPr>
          <w:p w14:paraId="7B7811CD" w14:textId="77777777" w:rsidR="00B17E6C" w:rsidRPr="00102FEA" w:rsidRDefault="00B17E6C" w:rsidP="00102FEA">
            <w:pPr>
              <w:pStyle w:val="TableText"/>
              <w:jc w:val="center"/>
              <w:rPr>
                <w:b/>
                <w:sz w:val="16"/>
                <w:szCs w:val="16"/>
              </w:rPr>
            </w:pPr>
            <w:r w:rsidRPr="00102FEA">
              <w:rPr>
                <w:b/>
                <w:sz w:val="16"/>
                <w:szCs w:val="16"/>
              </w:rPr>
              <w:t>Low</w:t>
            </w:r>
          </w:p>
        </w:tc>
        <w:tc>
          <w:tcPr>
            <w:tcW w:w="702" w:type="pct"/>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vAlign w:val="center"/>
          </w:tcPr>
          <w:p w14:paraId="7B7811CE" w14:textId="77777777" w:rsidR="00B17E6C" w:rsidRPr="00102FEA" w:rsidRDefault="00B17E6C" w:rsidP="00102FEA">
            <w:pPr>
              <w:pStyle w:val="TableText"/>
              <w:jc w:val="center"/>
              <w:rPr>
                <w:b/>
                <w:sz w:val="16"/>
                <w:szCs w:val="16"/>
              </w:rPr>
            </w:pPr>
            <w:r w:rsidRPr="00102FEA">
              <w:rPr>
                <w:b/>
                <w:sz w:val="16"/>
                <w:szCs w:val="16"/>
              </w:rPr>
              <w:t>Negligible</w:t>
            </w:r>
          </w:p>
        </w:tc>
      </w:tr>
      <w:tr w:rsidR="008B729A" w:rsidRPr="00D67287" w14:paraId="7B7811D7" w14:textId="77777777" w:rsidTr="008B729A">
        <w:tc>
          <w:tcPr>
            <w:tcW w:w="262" w:type="pct"/>
            <w:vMerge/>
            <w:tcBorders>
              <w:bottom w:val="single" w:sz="4" w:space="0" w:color="B5CF5A"/>
            </w:tcBorders>
            <w:shd w:val="clear" w:color="auto" w:fill="B5CF5A"/>
          </w:tcPr>
          <w:p w14:paraId="7B7811D0" w14:textId="77777777" w:rsidR="00B17E6C" w:rsidRPr="00102FEA" w:rsidRDefault="00B17E6C" w:rsidP="00102FEA">
            <w:pPr>
              <w:pStyle w:val="TableText"/>
              <w:rPr>
                <w:sz w:val="16"/>
                <w:szCs w:val="16"/>
              </w:rPr>
            </w:pPr>
          </w:p>
        </w:tc>
        <w:tc>
          <w:tcPr>
            <w:tcW w:w="1126" w:type="pct"/>
            <w:tcBorders>
              <w:top w:val="single" w:sz="4" w:space="0" w:color="A6A6A6" w:themeColor="background1" w:themeShade="A6"/>
              <w:bottom w:val="single" w:sz="4" w:space="0" w:color="A6A6A6" w:themeColor="background1" w:themeShade="A6"/>
            </w:tcBorders>
          </w:tcPr>
          <w:p w14:paraId="7B7811D1" w14:textId="77777777" w:rsidR="00B17E6C" w:rsidRPr="00102FEA" w:rsidRDefault="00B17E6C" w:rsidP="00102FEA">
            <w:pPr>
              <w:pStyle w:val="TableText"/>
              <w:rPr>
                <w:sz w:val="16"/>
                <w:szCs w:val="16"/>
              </w:rPr>
            </w:pPr>
            <w:r w:rsidRPr="00102FEA">
              <w:rPr>
                <w:sz w:val="16"/>
                <w:szCs w:val="16"/>
              </w:rPr>
              <w:t>The consequences of not meeting these criteria would put consumers at</w:t>
            </w:r>
            <w:r w:rsidR="00102FEA" w:rsidRPr="00102FEA">
              <w:rPr>
                <w:sz w:val="16"/>
                <w:szCs w:val="16"/>
              </w:rPr>
              <w:t xml:space="preserve"> </w:t>
            </w:r>
            <w:r w:rsidRPr="00102FEA">
              <w:rPr>
                <w:b/>
                <w:sz w:val="16"/>
                <w:szCs w:val="16"/>
              </w:rPr>
              <w:t>minimal risk of harm</w:t>
            </w:r>
          </w:p>
        </w:tc>
        <w:tc>
          <w:tcPr>
            <w:tcW w:w="804" w:type="pct"/>
            <w:tcBorders>
              <w:top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7B7811D2" w14:textId="77777777" w:rsidR="00B17E6C" w:rsidRPr="00102FEA" w:rsidRDefault="00B17E6C" w:rsidP="00102FEA">
            <w:pPr>
              <w:pStyle w:val="TableText"/>
              <w:jc w:val="center"/>
              <w:rPr>
                <w:b/>
                <w:sz w:val="16"/>
                <w:szCs w:val="16"/>
              </w:rPr>
            </w:pPr>
            <w:r w:rsidRPr="00102FEA">
              <w:rPr>
                <w:b/>
                <w:sz w:val="16"/>
                <w:szCs w:val="16"/>
              </w:rPr>
              <w:t>Moderate</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CF5A"/>
            <w:vAlign w:val="center"/>
          </w:tcPr>
          <w:p w14:paraId="7B7811D3" w14:textId="77777777" w:rsidR="00B17E6C" w:rsidRPr="00102FEA" w:rsidRDefault="00B17E6C" w:rsidP="00102FEA">
            <w:pPr>
              <w:pStyle w:val="TableText"/>
              <w:jc w:val="center"/>
              <w:rPr>
                <w:b/>
                <w:sz w:val="16"/>
                <w:szCs w:val="16"/>
              </w:rPr>
            </w:pPr>
            <w:r w:rsidRPr="00102FEA">
              <w:rPr>
                <w:b/>
                <w:sz w:val="16"/>
                <w:szCs w:val="16"/>
              </w:rPr>
              <w:t>Low</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CF5A"/>
            <w:vAlign w:val="center"/>
          </w:tcPr>
          <w:p w14:paraId="7B7811D4" w14:textId="77777777" w:rsidR="00B17E6C" w:rsidRPr="00102FEA" w:rsidRDefault="00B17E6C" w:rsidP="00102FEA">
            <w:pPr>
              <w:pStyle w:val="TableText"/>
              <w:jc w:val="center"/>
              <w:rPr>
                <w:b/>
                <w:sz w:val="16"/>
                <w:szCs w:val="16"/>
              </w:rPr>
            </w:pPr>
            <w:r w:rsidRPr="00102FEA">
              <w:rPr>
                <w:b/>
                <w:sz w:val="16"/>
                <w:szCs w:val="16"/>
              </w:rPr>
              <w:t>Low</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CF5A"/>
            <w:vAlign w:val="center"/>
          </w:tcPr>
          <w:p w14:paraId="7B7811D5" w14:textId="77777777" w:rsidR="00B17E6C" w:rsidRPr="00102FEA" w:rsidRDefault="00B17E6C" w:rsidP="00102FEA">
            <w:pPr>
              <w:pStyle w:val="TableText"/>
              <w:jc w:val="center"/>
              <w:rPr>
                <w:b/>
                <w:sz w:val="16"/>
                <w:szCs w:val="16"/>
              </w:rPr>
            </w:pPr>
            <w:r w:rsidRPr="00102FEA">
              <w:rPr>
                <w:b/>
                <w:sz w:val="16"/>
                <w:szCs w:val="16"/>
              </w:rPr>
              <w:t>Low</w:t>
            </w:r>
          </w:p>
        </w:tc>
        <w:tc>
          <w:tcPr>
            <w:tcW w:w="702" w:type="pct"/>
            <w:tcBorders>
              <w:top w:val="single" w:sz="4" w:space="0" w:color="FFFFFF" w:themeColor="background1"/>
              <w:left w:val="single" w:sz="4" w:space="0" w:color="FFFFFF" w:themeColor="background1"/>
              <w:bottom w:val="single" w:sz="4" w:space="0" w:color="FFFFFF" w:themeColor="background1"/>
            </w:tcBorders>
            <w:shd w:val="clear" w:color="auto" w:fill="D9D9D9" w:themeFill="background1" w:themeFillShade="D9"/>
            <w:vAlign w:val="center"/>
          </w:tcPr>
          <w:p w14:paraId="7B7811D6" w14:textId="77777777" w:rsidR="00B17E6C" w:rsidRPr="00102FEA" w:rsidRDefault="00B17E6C" w:rsidP="00102FEA">
            <w:pPr>
              <w:pStyle w:val="TableText"/>
              <w:jc w:val="center"/>
              <w:rPr>
                <w:b/>
                <w:sz w:val="16"/>
                <w:szCs w:val="16"/>
              </w:rPr>
            </w:pPr>
            <w:r w:rsidRPr="00102FEA">
              <w:rPr>
                <w:b/>
                <w:sz w:val="16"/>
                <w:szCs w:val="16"/>
              </w:rPr>
              <w:t>Negligible</w:t>
            </w:r>
          </w:p>
        </w:tc>
      </w:tr>
      <w:tr w:rsidR="008B729A" w:rsidRPr="00D67287" w14:paraId="7B7811DF" w14:textId="77777777" w:rsidTr="008B729A">
        <w:tc>
          <w:tcPr>
            <w:tcW w:w="262" w:type="pct"/>
            <w:vMerge/>
            <w:tcBorders>
              <w:bottom w:val="single" w:sz="4" w:space="0" w:color="B5CF5A"/>
            </w:tcBorders>
            <w:shd w:val="clear" w:color="auto" w:fill="B5CF5A"/>
          </w:tcPr>
          <w:p w14:paraId="7B7811D8" w14:textId="77777777" w:rsidR="00B17E6C" w:rsidRPr="00102FEA" w:rsidRDefault="00B17E6C" w:rsidP="00102FEA">
            <w:pPr>
              <w:pStyle w:val="TableText"/>
              <w:rPr>
                <w:sz w:val="16"/>
                <w:szCs w:val="16"/>
              </w:rPr>
            </w:pPr>
          </w:p>
        </w:tc>
        <w:tc>
          <w:tcPr>
            <w:tcW w:w="1126" w:type="pct"/>
            <w:tcBorders>
              <w:top w:val="single" w:sz="4" w:space="0" w:color="A6A6A6" w:themeColor="background1" w:themeShade="A6"/>
              <w:bottom w:val="single" w:sz="4" w:space="0" w:color="B5CF5A"/>
            </w:tcBorders>
          </w:tcPr>
          <w:p w14:paraId="7B7811D9" w14:textId="77777777" w:rsidR="00B17E6C" w:rsidRPr="00102FEA" w:rsidRDefault="00B17E6C" w:rsidP="00102FEA">
            <w:pPr>
              <w:pStyle w:val="TableText"/>
              <w:rPr>
                <w:sz w:val="16"/>
                <w:szCs w:val="16"/>
              </w:rPr>
            </w:pPr>
            <w:r w:rsidRPr="00102FEA">
              <w:rPr>
                <w:sz w:val="16"/>
                <w:szCs w:val="16"/>
              </w:rPr>
              <w:t xml:space="preserve">Risk of harm is </w:t>
            </w:r>
            <w:r w:rsidRPr="00102FEA">
              <w:rPr>
                <w:b/>
                <w:sz w:val="16"/>
                <w:szCs w:val="16"/>
              </w:rPr>
              <w:t>insignificant even if these criteria are not met</w:t>
            </w:r>
          </w:p>
        </w:tc>
        <w:tc>
          <w:tcPr>
            <w:tcW w:w="804" w:type="pct"/>
            <w:tcBorders>
              <w:top w:val="single" w:sz="4" w:space="0" w:color="FFFFFF" w:themeColor="background1"/>
              <w:bottom w:val="single" w:sz="4" w:space="0" w:color="B5CF5A"/>
              <w:right w:val="single" w:sz="4" w:space="0" w:color="FFFFFF" w:themeColor="background1"/>
            </w:tcBorders>
            <w:shd w:val="clear" w:color="auto" w:fill="B5CF5A"/>
            <w:vAlign w:val="center"/>
          </w:tcPr>
          <w:p w14:paraId="7B7811DA" w14:textId="77777777" w:rsidR="00B17E6C" w:rsidRPr="00102FEA" w:rsidRDefault="00B17E6C" w:rsidP="00102FEA">
            <w:pPr>
              <w:pStyle w:val="TableText"/>
              <w:jc w:val="center"/>
              <w:rPr>
                <w:b/>
                <w:sz w:val="16"/>
                <w:szCs w:val="16"/>
              </w:rPr>
            </w:pPr>
            <w:r w:rsidRPr="00102FEA">
              <w:rPr>
                <w:b/>
                <w:sz w:val="16"/>
                <w:szCs w:val="16"/>
              </w:rPr>
              <w:t>Low</w:t>
            </w:r>
          </w:p>
        </w:tc>
        <w:tc>
          <w:tcPr>
            <w:tcW w:w="702" w:type="pct"/>
            <w:tcBorders>
              <w:top w:val="single" w:sz="4" w:space="0" w:color="FFFFFF" w:themeColor="background1"/>
              <w:left w:val="single" w:sz="4" w:space="0" w:color="FFFFFF" w:themeColor="background1"/>
              <w:bottom w:val="single" w:sz="4" w:space="0" w:color="B5CF5A"/>
              <w:right w:val="single" w:sz="4" w:space="0" w:color="FFFFFF" w:themeColor="background1"/>
            </w:tcBorders>
            <w:shd w:val="clear" w:color="auto" w:fill="B5CF5A"/>
            <w:vAlign w:val="center"/>
          </w:tcPr>
          <w:p w14:paraId="7B7811DB" w14:textId="77777777" w:rsidR="00B17E6C" w:rsidRPr="00102FEA" w:rsidRDefault="00B17E6C" w:rsidP="00102FEA">
            <w:pPr>
              <w:pStyle w:val="TableText"/>
              <w:jc w:val="center"/>
              <w:rPr>
                <w:b/>
                <w:sz w:val="16"/>
                <w:szCs w:val="16"/>
              </w:rPr>
            </w:pPr>
            <w:r w:rsidRPr="00102FEA">
              <w:rPr>
                <w:b/>
                <w:sz w:val="16"/>
                <w:szCs w:val="16"/>
              </w:rPr>
              <w:t>Low</w:t>
            </w:r>
          </w:p>
        </w:tc>
        <w:tc>
          <w:tcPr>
            <w:tcW w:w="702" w:type="pct"/>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14:paraId="7B7811DC" w14:textId="77777777" w:rsidR="00B17E6C" w:rsidRPr="00102FEA" w:rsidRDefault="00B17E6C" w:rsidP="00102FEA">
            <w:pPr>
              <w:pStyle w:val="TableText"/>
              <w:jc w:val="center"/>
              <w:rPr>
                <w:b/>
                <w:sz w:val="16"/>
                <w:szCs w:val="16"/>
              </w:rPr>
            </w:pPr>
            <w:r w:rsidRPr="00102FEA">
              <w:rPr>
                <w:b/>
                <w:sz w:val="16"/>
                <w:szCs w:val="16"/>
              </w:rPr>
              <w:t>Negligible</w:t>
            </w:r>
          </w:p>
        </w:tc>
        <w:tc>
          <w:tcPr>
            <w:tcW w:w="702" w:type="pct"/>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14:paraId="7B7811DD" w14:textId="77777777" w:rsidR="00B17E6C" w:rsidRPr="00102FEA" w:rsidRDefault="00B17E6C" w:rsidP="00102FEA">
            <w:pPr>
              <w:pStyle w:val="TableText"/>
              <w:jc w:val="center"/>
              <w:rPr>
                <w:b/>
                <w:sz w:val="16"/>
                <w:szCs w:val="16"/>
              </w:rPr>
            </w:pPr>
            <w:r w:rsidRPr="00102FEA">
              <w:rPr>
                <w:b/>
                <w:sz w:val="16"/>
                <w:szCs w:val="16"/>
              </w:rPr>
              <w:t>Negligible</w:t>
            </w:r>
          </w:p>
        </w:tc>
        <w:tc>
          <w:tcPr>
            <w:tcW w:w="702" w:type="pct"/>
            <w:tcBorders>
              <w:top w:val="single" w:sz="4" w:space="0" w:color="FFFFFF" w:themeColor="background1"/>
              <w:left w:val="single" w:sz="4" w:space="0" w:color="FFFFFF" w:themeColor="background1"/>
              <w:bottom w:val="single" w:sz="4" w:space="0" w:color="D9D9D9" w:themeColor="background1" w:themeShade="D9"/>
            </w:tcBorders>
            <w:shd w:val="clear" w:color="auto" w:fill="D9D9D9" w:themeFill="background1" w:themeFillShade="D9"/>
            <w:vAlign w:val="center"/>
          </w:tcPr>
          <w:p w14:paraId="7B7811DE" w14:textId="77777777" w:rsidR="00B17E6C" w:rsidRPr="00102FEA" w:rsidRDefault="00B17E6C" w:rsidP="00102FEA">
            <w:pPr>
              <w:pStyle w:val="TableText"/>
              <w:jc w:val="center"/>
              <w:rPr>
                <w:b/>
                <w:sz w:val="16"/>
                <w:szCs w:val="16"/>
              </w:rPr>
            </w:pPr>
            <w:r w:rsidRPr="00102FEA">
              <w:rPr>
                <w:b/>
                <w:sz w:val="16"/>
                <w:szCs w:val="16"/>
              </w:rPr>
              <w:t>Negligible</w:t>
            </w:r>
          </w:p>
        </w:tc>
      </w:tr>
    </w:tbl>
    <w:p w14:paraId="7B7811E0" w14:textId="77777777" w:rsidR="00025CB0" w:rsidRDefault="00025CB0" w:rsidP="008B729A">
      <w:pPr>
        <w:rPr>
          <w:rFonts w:eastAsia="Arial"/>
        </w:rPr>
      </w:pPr>
    </w:p>
    <w:p w14:paraId="7B7811E1" w14:textId="77777777" w:rsidR="00B17E6C" w:rsidRPr="00CE3612" w:rsidRDefault="00B17E6C" w:rsidP="00B17E6C">
      <w:pPr>
        <w:pStyle w:val="Heading4"/>
        <w:rPr>
          <w:rFonts w:eastAsia="Arial"/>
        </w:rPr>
      </w:pPr>
      <w:r>
        <w:rPr>
          <w:rFonts w:eastAsia="Arial"/>
        </w:rPr>
        <w:t>T</w:t>
      </w:r>
      <w:r w:rsidRPr="00CE3612">
        <w:rPr>
          <w:rFonts w:eastAsia="Arial"/>
        </w:rPr>
        <w:t>imeframe</w:t>
      </w:r>
      <w:r>
        <w:rPr>
          <w:rFonts w:eastAsia="Arial"/>
        </w:rPr>
        <w:t xml:space="preserve"> for implementing a corrective action plan</w:t>
      </w:r>
    </w:p>
    <w:p w14:paraId="7B7811E2" w14:textId="77777777" w:rsidR="00B17E6C" w:rsidRPr="00C3584D" w:rsidRDefault="00B17E6C" w:rsidP="005117ED">
      <w:pPr>
        <w:ind w:right="-284"/>
      </w:pPr>
      <w:r w:rsidRPr="00C3584D">
        <w:t xml:space="preserve">These timeframes </w:t>
      </w:r>
      <w:r>
        <w:t xml:space="preserve">for implementing a corrective action plan </w:t>
      </w:r>
      <w:r w:rsidRPr="00C3584D">
        <w:t>are a guide for lead auditors</w:t>
      </w:r>
      <w:r>
        <w:t>.</w:t>
      </w:r>
      <w:r w:rsidRPr="00C3584D">
        <w:t xml:space="preserve"> </w:t>
      </w:r>
      <w:r>
        <w:t>The final decision on timeframe is for lead auditors to</w:t>
      </w:r>
      <w:r w:rsidRPr="00C3584D">
        <w:t xml:space="preserve"> make</w:t>
      </w:r>
      <w:r>
        <w:t>,</w:t>
      </w:r>
      <w:r w:rsidRPr="00C3584D">
        <w:t xml:space="preserve"> </w:t>
      </w:r>
      <w:r>
        <w:t>based on their</w:t>
      </w:r>
      <w:r w:rsidRPr="00C3584D">
        <w:t xml:space="preserve"> professional judgement </w:t>
      </w:r>
      <w:r>
        <w:t>that takes account of</w:t>
      </w:r>
      <w:r w:rsidRPr="00C3584D">
        <w:t xml:space="preserve"> the issue identified and the action required.</w:t>
      </w:r>
    </w:p>
    <w:p w14:paraId="7B7811E3" w14:textId="77777777" w:rsidR="00B17E6C" w:rsidRDefault="00B17E6C" w:rsidP="00025CB0"/>
    <w:p w14:paraId="7B7811E4" w14:textId="77777777" w:rsidR="00B17E6C" w:rsidRPr="005117ED" w:rsidRDefault="00B17E6C" w:rsidP="00025CB0">
      <w:r>
        <w:t>Implementation timeframes are from the day of audit.</w:t>
      </w:r>
    </w:p>
    <w:p w14:paraId="7B7811E5" w14:textId="77777777" w:rsidR="00B17E6C" w:rsidRDefault="00B17E6C" w:rsidP="00025CB0">
      <w:pPr>
        <w:rPr>
          <w:highlight w:val="green"/>
        </w:rPr>
      </w:pPr>
    </w:p>
    <w:tbl>
      <w:tblPr>
        <w:tblW w:w="0" w:type="auto"/>
        <w:tblInd w:w="57" w:type="dxa"/>
        <w:tblLayout w:type="fixed"/>
        <w:tblCellMar>
          <w:left w:w="57" w:type="dxa"/>
          <w:right w:w="57" w:type="dxa"/>
        </w:tblCellMar>
        <w:tblLook w:val="04A0" w:firstRow="1" w:lastRow="0" w:firstColumn="1" w:lastColumn="0" w:noHBand="0" w:noVBand="1"/>
      </w:tblPr>
      <w:tblGrid>
        <w:gridCol w:w="2410"/>
        <w:gridCol w:w="2976"/>
        <w:gridCol w:w="2694"/>
      </w:tblGrid>
      <w:tr w:rsidR="00B17E6C" w14:paraId="7B7811E9" w14:textId="77777777" w:rsidTr="00025CB0">
        <w:trPr>
          <w:cantSplit/>
        </w:trPr>
        <w:tc>
          <w:tcPr>
            <w:tcW w:w="2410" w:type="dxa"/>
            <w:shd w:val="clear" w:color="auto" w:fill="92D050"/>
          </w:tcPr>
          <w:p w14:paraId="7B7811E6" w14:textId="77777777" w:rsidR="00B17E6C" w:rsidRDefault="00B17E6C" w:rsidP="00025CB0">
            <w:pPr>
              <w:pStyle w:val="TableText"/>
              <w:rPr>
                <w:highlight w:val="green"/>
              </w:rPr>
            </w:pPr>
          </w:p>
        </w:tc>
        <w:tc>
          <w:tcPr>
            <w:tcW w:w="2976" w:type="dxa"/>
            <w:shd w:val="clear" w:color="auto" w:fill="92D050"/>
          </w:tcPr>
          <w:p w14:paraId="7B7811E7" w14:textId="77777777" w:rsidR="00B17E6C" w:rsidRPr="00C836FF" w:rsidRDefault="00B17E6C" w:rsidP="00025CB0">
            <w:pPr>
              <w:pStyle w:val="TableText"/>
              <w:rPr>
                <w:b/>
              </w:rPr>
            </w:pPr>
            <w:r w:rsidRPr="00C836FF">
              <w:rPr>
                <w:b/>
              </w:rPr>
              <w:t xml:space="preserve">Corrective </w:t>
            </w:r>
            <w:r>
              <w:rPr>
                <w:b/>
              </w:rPr>
              <w:t>a</w:t>
            </w:r>
            <w:r w:rsidRPr="00C836FF">
              <w:rPr>
                <w:b/>
              </w:rPr>
              <w:t xml:space="preserve">ction </w:t>
            </w:r>
            <w:r>
              <w:rPr>
                <w:b/>
              </w:rPr>
              <w:t>p</w:t>
            </w:r>
            <w:r w:rsidRPr="00C836FF">
              <w:rPr>
                <w:b/>
              </w:rPr>
              <w:t>lan</w:t>
            </w:r>
          </w:p>
        </w:tc>
        <w:tc>
          <w:tcPr>
            <w:tcW w:w="2694" w:type="dxa"/>
            <w:shd w:val="clear" w:color="auto" w:fill="92D050"/>
          </w:tcPr>
          <w:p w14:paraId="7B7811E8" w14:textId="77777777" w:rsidR="00B17E6C" w:rsidRPr="00C836FF" w:rsidRDefault="00B17E6C" w:rsidP="00025CB0">
            <w:pPr>
              <w:pStyle w:val="TableText"/>
              <w:rPr>
                <w:b/>
              </w:rPr>
            </w:pPr>
            <w:r w:rsidRPr="00C836FF">
              <w:rPr>
                <w:b/>
              </w:rPr>
              <w:t>Implementation</w:t>
            </w:r>
          </w:p>
        </w:tc>
      </w:tr>
      <w:tr w:rsidR="00B17E6C" w:rsidRPr="00C836FF" w14:paraId="7B7811ED" w14:textId="77777777" w:rsidTr="00025CB0">
        <w:trPr>
          <w:cantSplit/>
        </w:trPr>
        <w:tc>
          <w:tcPr>
            <w:tcW w:w="2410" w:type="dxa"/>
            <w:shd w:val="clear" w:color="auto" w:fill="D9D9D9" w:themeFill="background1" w:themeFillShade="D9"/>
          </w:tcPr>
          <w:p w14:paraId="7B7811EA" w14:textId="77777777" w:rsidR="00B17E6C" w:rsidRPr="00830BA6" w:rsidRDefault="00B17E6C" w:rsidP="00025CB0">
            <w:pPr>
              <w:pStyle w:val="TableText"/>
              <w:rPr>
                <w:highlight w:val="green"/>
              </w:rPr>
            </w:pPr>
            <w:r w:rsidRPr="00830BA6">
              <w:t>Negligible</w:t>
            </w:r>
          </w:p>
        </w:tc>
        <w:tc>
          <w:tcPr>
            <w:tcW w:w="2976" w:type="dxa"/>
            <w:shd w:val="clear" w:color="auto" w:fill="D9D9D9" w:themeFill="background1" w:themeFillShade="D9"/>
          </w:tcPr>
          <w:p w14:paraId="7B7811EB" w14:textId="77777777" w:rsidR="00B17E6C" w:rsidRPr="00830BA6" w:rsidRDefault="00B17E6C" w:rsidP="00025CB0">
            <w:pPr>
              <w:pStyle w:val="TableText"/>
            </w:pPr>
            <w:r>
              <w:t>N</w:t>
            </w:r>
            <w:r w:rsidRPr="00830BA6">
              <w:t>ot required</w:t>
            </w:r>
          </w:p>
        </w:tc>
        <w:tc>
          <w:tcPr>
            <w:tcW w:w="2694" w:type="dxa"/>
            <w:shd w:val="clear" w:color="auto" w:fill="D9D9D9" w:themeFill="background1" w:themeFillShade="D9"/>
          </w:tcPr>
          <w:p w14:paraId="7B7811EC" w14:textId="77777777" w:rsidR="00B17E6C" w:rsidRPr="00E22220" w:rsidRDefault="00B17E6C" w:rsidP="00025CB0">
            <w:pPr>
              <w:pStyle w:val="TableText"/>
            </w:pPr>
          </w:p>
        </w:tc>
      </w:tr>
      <w:tr w:rsidR="00B17E6C" w14:paraId="7B7811F1" w14:textId="77777777" w:rsidTr="00025CB0">
        <w:trPr>
          <w:cantSplit/>
        </w:trPr>
        <w:tc>
          <w:tcPr>
            <w:tcW w:w="2410" w:type="dxa"/>
            <w:shd w:val="clear" w:color="auto" w:fill="C2D69B" w:themeFill="accent3" w:themeFillTint="99"/>
          </w:tcPr>
          <w:p w14:paraId="7B7811EE" w14:textId="77777777" w:rsidR="00B17E6C" w:rsidRPr="00C836FF" w:rsidRDefault="00025CB0" w:rsidP="00025CB0">
            <w:pPr>
              <w:pStyle w:val="TableText"/>
            </w:pPr>
            <w:r>
              <w:t>Low</w:t>
            </w:r>
          </w:p>
        </w:tc>
        <w:tc>
          <w:tcPr>
            <w:tcW w:w="2976" w:type="dxa"/>
            <w:shd w:val="clear" w:color="auto" w:fill="C2D69B" w:themeFill="accent3" w:themeFillTint="99"/>
          </w:tcPr>
          <w:p w14:paraId="7B7811EF" w14:textId="77777777" w:rsidR="00B17E6C" w:rsidRPr="00C836FF" w:rsidRDefault="00B17E6C" w:rsidP="00025CB0">
            <w:pPr>
              <w:pStyle w:val="TableText"/>
            </w:pPr>
            <w:r>
              <w:t>W</w:t>
            </w:r>
            <w:r w:rsidRPr="00C836FF">
              <w:t>ithin a month</w:t>
            </w:r>
          </w:p>
        </w:tc>
        <w:tc>
          <w:tcPr>
            <w:tcW w:w="2694" w:type="dxa"/>
            <w:shd w:val="clear" w:color="auto" w:fill="C2D69B" w:themeFill="accent3" w:themeFillTint="99"/>
          </w:tcPr>
          <w:p w14:paraId="7B7811F0" w14:textId="77777777" w:rsidR="00B17E6C" w:rsidRPr="00C836FF" w:rsidRDefault="00B17E6C" w:rsidP="00025CB0">
            <w:pPr>
              <w:pStyle w:val="TableText"/>
            </w:pPr>
            <w:r>
              <w:t>W</w:t>
            </w:r>
            <w:r w:rsidRPr="00C836FF">
              <w:t xml:space="preserve">ithin </w:t>
            </w:r>
            <w:r>
              <w:t>120 working days</w:t>
            </w:r>
          </w:p>
        </w:tc>
      </w:tr>
      <w:tr w:rsidR="00B17E6C" w14:paraId="7B7811F5" w14:textId="77777777" w:rsidTr="00025CB0">
        <w:trPr>
          <w:cantSplit/>
        </w:trPr>
        <w:tc>
          <w:tcPr>
            <w:tcW w:w="2410" w:type="dxa"/>
            <w:shd w:val="clear" w:color="auto" w:fill="FBD4B4" w:themeFill="accent6" w:themeFillTint="66"/>
          </w:tcPr>
          <w:p w14:paraId="7B7811F2" w14:textId="77777777" w:rsidR="00B17E6C" w:rsidRPr="00C836FF" w:rsidRDefault="00B17E6C" w:rsidP="00025CB0">
            <w:pPr>
              <w:pStyle w:val="TableText"/>
            </w:pPr>
            <w:r w:rsidRPr="00C836FF">
              <w:t>Moderate</w:t>
            </w:r>
          </w:p>
        </w:tc>
        <w:tc>
          <w:tcPr>
            <w:tcW w:w="2976" w:type="dxa"/>
            <w:shd w:val="clear" w:color="auto" w:fill="FBD4B4" w:themeFill="accent6" w:themeFillTint="66"/>
          </w:tcPr>
          <w:p w14:paraId="7B7811F3" w14:textId="77777777" w:rsidR="00B17E6C" w:rsidRPr="00C836FF" w:rsidRDefault="00B17E6C" w:rsidP="00025CB0">
            <w:pPr>
              <w:pStyle w:val="TableText"/>
            </w:pPr>
            <w:r>
              <w:t>W</w:t>
            </w:r>
            <w:r w:rsidRPr="00C836FF">
              <w:t>ithin a month</w:t>
            </w:r>
          </w:p>
        </w:tc>
        <w:tc>
          <w:tcPr>
            <w:tcW w:w="2694" w:type="dxa"/>
            <w:shd w:val="clear" w:color="auto" w:fill="FBD4B4" w:themeFill="accent6" w:themeFillTint="66"/>
          </w:tcPr>
          <w:p w14:paraId="7B7811F4" w14:textId="77777777" w:rsidR="00B17E6C" w:rsidRPr="00C836FF" w:rsidRDefault="00B17E6C" w:rsidP="00025CB0">
            <w:pPr>
              <w:pStyle w:val="TableText"/>
            </w:pPr>
            <w:r>
              <w:t>W</w:t>
            </w:r>
            <w:r w:rsidRPr="00830BA6">
              <w:t xml:space="preserve">ithin </w:t>
            </w:r>
            <w:r>
              <w:t>60 working days</w:t>
            </w:r>
          </w:p>
        </w:tc>
      </w:tr>
      <w:tr w:rsidR="00B17E6C" w14:paraId="7B7811F9" w14:textId="77777777" w:rsidTr="00025CB0">
        <w:trPr>
          <w:cantSplit/>
        </w:trPr>
        <w:tc>
          <w:tcPr>
            <w:tcW w:w="2410" w:type="dxa"/>
            <w:shd w:val="clear" w:color="auto" w:fill="F6FDB3"/>
          </w:tcPr>
          <w:p w14:paraId="7B7811F6" w14:textId="77777777" w:rsidR="00B17E6C" w:rsidRPr="00C836FF" w:rsidRDefault="00B17E6C" w:rsidP="00025CB0">
            <w:pPr>
              <w:pStyle w:val="TableText"/>
            </w:pPr>
            <w:r w:rsidRPr="00C836FF">
              <w:t>High risk</w:t>
            </w:r>
          </w:p>
        </w:tc>
        <w:tc>
          <w:tcPr>
            <w:tcW w:w="2976" w:type="dxa"/>
            <w:shd w:val="clear" w:color="auto" w:fill="F6FDB3"/>
          </w:tcPr>
          <w:p w14:paraId="7B7811F7" w14:textId="77777777" w:rsidR="00B17E6C" w:rsidRPr="00C836FF" w:rsidRDefault="00B17E6C" w:rsidP="00025CB0">
            <w:pPr>
              <w:pStyle w:val="TableText"/>
            </w:pPr>
            <w:r>
              <w:t>Within 48 hours</w:t>
            </w:r>
          </w:p>
        </w:tc>
        <w:tc>
          <w:tcPr>
            <w:tcW w:w="2694" w:type="dxa"/>
            <w:shd w:val="clear" w:color="auto" w:fill="F6FDB3"/>
          </w:tcPr>
          <w:p w14:paraId="7B7811F8" w14:textId="77777777" w:rsidR="00B17E6C" w:rsidRPr="00C836FF" w:rsidRDefault="00B17E6C" w:rsidP="00025CB0">
            <w:pPr>
              <w:pStyle w:val="TableText"/>
            </w:pPr>
            <w:r>
              <w:t>W</w:t>
            </w:r>
            <w:r w:rsidRPr="00C836FF">
              <w:t xml:space="preserve">ithin </w:t>
            </w:r>
            <w:r>
              <w:t>20 working days</w:t>
            </w:r>
          </w:p>
        </w:tc>
      </w:tr>
      <w:tr w:rsidR="00B17E6C" w14:paraId="7B7811FD" w14:textId="77777777" w:rsidTr="00025CB0">
        <w:trPr>
          <w:cantSplit/>
        </w:trPr>
        <w:tc>
          <w:tcPr>
            <w:tcW w:w="2410" w:type="dxa"/>
            <w:shd w:val="clear" w:color="auto" w:fill="FF0000"/>
          </w:tcPr>
          <w:p w14:paraId="7B7811FA" w14:textId="77777777" w:rsidR="00B17E6C" w:rsidRPr="00B70978" w:rsidRDefault="00B17E6C" w:rsidP="00025CB0">
            <w:pPr>
              <w:pStyle w:val="TableText"/>
              <w:rPr>
                <w:color w:val="FFFFFF" w:themeColor="background1"/>
              </w:rPr>
            </w:pPr>
            <w:r w:rsidRPr="00B70978">
              <w:rPr>
                <w:color w:val="FFFFFF" w:themeColor="background1"/>
              </w:rPr>
              <w:t>Critical</w:t>
            </w:r>
          </w:p>
        </w:tc>
        <w:tc>
          <w:tcPr>
            <w:tcW w:w="2976" w:type="dxa"/>
            <w:shd w:val="clear" w:color="auto" w:fill="FF0000"/>
          </w:tcPr>
          <w:p w14:paraId="7B7811FB" w14:textId="77777777" w:rsidR="00B17E6C" w:rsidRPr="00B70978" w:rsidRDefault="00B17E6C" w:rsidP="00025CB0">
            <w:pPr>
              <w:pStyle w:val="TableText"/>
              <w:rPr>
                <w:color w:val="FFFFFF" w:themeColor="background1"/>
              </w:rPr>
            </w:pPr>
            <w:r w:rsidRPr="00B70978">
              <w:rPr>
                <w:color w:val="FFFFFF" w:themeColor="background1"/>
              </w:rPr>
              <w:t>Immediate</w:t>
            </w:r>
          </w:p>
        </w:tc>
        <w:tc>
          <w:tcPr>
            <w:tcW w:w="2694" w:type="dxa"/>
            <w:shd w:val="clear" w:color="auto" w:fill="FF0000"/>
          </w:tcPr>
          <w:p w14:paraId="7B7811FC" w14:textId="77777777" w:rsidR="00B17E6C" w:rsidRPr="00B70978" w:rsidRDefault="00B17E6C" w:rsidP="00025CB0">
            <w:pPr>
              <w:pStyle w:val="TableText"/>
              <w:rPr>
                <w:color w:val="FFFFFF" w:themeColor="background1"/>
              </w:rPr>
            </w:pPr>
            <w:r w:rsidRPr="00B70978">
              <w:rPr>
                <w:color w:val="FFFFFF" w:themeColor="background1"/>
              </w:rPr>
              <w:t>Within 48 hours</w:t>
            </w:r>
          </w:p>
        </w:tc>
      </w:tr>
    </w:tbl>
    <w:p w14:paraId="7B7811FE" w14:textId="77777777" w:rsidR="00E33EDB" w:rsidRDefault="00B17E6C" w:rsidP="00025CB0">
      <w:pPr>
        <w:pStyle w:val="Heading3"/>
      </w:pPr>
      <w:bookmarkStart w:id="87" w:name="_Hlk52979825"/>
      <w:r w:rsidRPr="00C83F66">
        <w:lastRenderedPageBreak/>
        <w:t xml:space="preserve">NSU </w:t>
      </w:r>
      <w:r>
        <w:t>c</w:t>
      </w:r>
      <w:r w:rsidRPr="00C83F66">
        <w:t xml:space="preserve">orrective </w:t>
      </w:r>
      <w:r>
        <w:t>a</w:t>
      </w:r>
      <w:r w:rsidRPr="00C83F66">
        <w:t>ctions process</w:t>
      </w:r>
      <w:bookmarkEnd w:id="87"/>
    </w:p>
    <w:p w14:paraId="7B7811FF" w14:textId="77777777" w:rsidR="00B17E6C" w:rsidRPr="003F6642" w:rsidRDefault="00B17E6C" w:rsidP="00025CB0">
      <w:r w:rsidRPr="00C83F66">
        <w:t>Audit teams will generate a CAR for each audit finding</w:t>
      </w:r>
      <w:r>
        <w:t xml:space="preserve"> that</w:t>
      </w:r>
      <w:r w:rsidRPr="00C83F66">
        <w:t xml:space="preserve"> result</w:t>
      </w:r>
      <w:r>
        <w:t>s</w:t>
      </w:r>
      <w:r w:rsidRPr="00C83F66">
        <w:t xml:space="preserve"> in a PA or UA rating. </w:t>
      </w:r>
      <w:r>
        <w:t>An a</w:t>
      </w:r>
      <w:r w:rsidRPr="00C83F66">
        <w:t xml:space="preserve">udit </w:t>
      </w:r>
      <w:r>
        <w:t xml:space="preserve">finding </w:t>
      </w:r>
      <w:r w:rsidRPr="00C83F66">
        <w:t xml:space="preserve">resulting in </w:t>
      </w:r>
      <w:r>
        <w:t>CARs will</w:t>
      </w:r>
      <w:r w:rsidRPr="00C83F66">
        <w:t>:</w:t>
      </w:r>
    </w:p>
    <w:p w14:paraId="7B781200" w14:textId="77777777" w:rsidR="00B17E6C" w:rsidRPr="00C83F66" w:rsidRDefault="00B17E6C" w:rsidP="00025CB0">
      <w:pPr>
        <w:pStyle w:val="Bullet"/>
        <w:rPr>
          <w:rFonts w:eastAsia="Arial"/>
        </w:rPr>
      </w:pPr>
      <w:r>
        <w:rPr>
          <w:rFonts w:eastAsia="Arial"/>
        </w:rPr>
        <w:t>c</w:t>
      </w:r>
      <w:r w:rsidRPr="00C83F66">
        <w:rPr>
          <w:rFonts w:eastAsia="Arial"/>
        </w:rPr>
        <w:t xml:space="preserve">learly define the extent of the </w:t>
      </w:r>
      <w:r>
        <w:rPr>
          <w:rFonts w:eastAsia="Arial"/>
        </w:rPr>
        <w:t>problem</w:t>
      </w:r>
      <w:r w:rsidRPr="00C83F66">
        <w:rPr>
          <w:rFonts w:eastAsia="Arial"/>
        </w:rPr>
        <w:t xml:space="preserve"> (description, level of attainment and risk rating)</w:t>
      </w:r>
    </w:p>
    <w:p w14:paraId="7B781201" w14:textId="77777777" w:rsidR="00B17E6C" w:rsidRPr="00C83F66" w:rsidRDefault="00B17E6C" w:rsidP="00025CB0">
      <w:pPr>
        <w:pStyle w:val="Bullet"/>
        <w:rPr>
          <w:rFonts w:eastAsia="Arial"/>
        </w:rPr>
      </w:pPr>
      <w:r>
        <w:rPr>
          <w:rFonts w:eastAsia="Arial"/>
        </w:rPr>
        <w:t>p</w:t>
      </w:r>
      <w:r w:rsidRPr="00C83F66">
        <w:rPr>
          <w:rFonts w:eastAsia="Arial"/>
        </w:rPr>
        <w:t>rovide a rationale for the finding</w:t>
      </w:r>
    </w:p>
    <w:p w14:paraId="7B781202" w14:textId="77777777" w:rsidR="00B17E6C" w:rsidRPr="00C83F66" w:rsidRDefault="00B17E6C" w:rsidP="00025CB0">
      <w:pPr>
        <w:pStyle w:val="Bullet"/>
        <w:rPr>
          <w:rFonts w:eastAsia="Arial"/>
        </w:rPr>
      </w:pPr>
      <w:r>
        <w:rPr>
          <w:rFonts w:eastAsia="Arial"/>
        </w:rPr>
        <w:t>d</w:t>
      </w:r>
      <w:r w:rsidRPr="00C83F66">
        <w:rPr>
          <w:rFonts w:eastAsia="Arial"/>
        </w:rPr>
        <w:t>escribe expected outcomes</w:t>
      </w:r>
    </w:p>
    <w:p w14:paraId="7B781203" w14:textId="77777777" w:rsidR="00B17E6C" w:rsidRPr="00C83F66" w:rsidRDefault="00B17E6C" w:rsidP="00025CB0">
      <w:pPr>
        <w:pStyle w:val="Bullet"/>
        <w:rPr>
          <w:rFonts w:eastAsia="Arial"/>
        </w:rPr>
      </w:pPr>
      <w:r>
        <w:rPr>
          <w:rFonts w:eastAsia="Arial"/>
        </w:rPr>
        <w:t>d</w:t>
      </w:r>
      <w:r w:rsidRPr="00C83F66">
        <w:rPr>
          <w:rFonts w:eastAsia="Arial"/>
        </w:rPr>
        <w:t>efine timeframes for these actions</w:t>
      </w:r>
      <w:r>
        <w:rPr>
          <w:rFonts w:eastAsia="Arial"/>
        </w:rPr>
        <w:t>.</w:t>
      </w:r>
    </w:p>
    <w:p w14:paraId="7B781204" w14:textId="77777777" w:rsidR="00B17E6C" w:rsidRDefault="00B17E6C" w:rsidP="00025CB0"/>
    <w:p w14:paraId="7B781205" w14:textId="77777777" w:rsidR="00E33EDB" w:rsidRDefault="00B17E6C" w:rsidP="00025CB0">
      <w:r w:rsidRPr="003F6642">
        <w:t xml:space="preserve">The service provider is responsible for developing the </w:t>
      </w:r>
      <w:r>
        <w:t xml:space="preserve">corrective </w:t>
      </w:r>
      <w:r w:rsidRPr="003F6642">
        <w:t>action plan and implementing the corrective actions.</w:t>
      </w:r>
    </w:p>
    <w:p w14:paraId="7B781206" w14:textId="77777777" w:rsidR="00B17E6C" w:rsidRDefault="00B17E6C" w:rsidP="00025CB0">
      <w:pPr>
        <w:rPr>
          <w:rFonts w:eastAsia="Arial"/>
        </w:rPr>
      </w:pPr>
    </w:p>
    <w:p w14:paraId="7B781207" w14:textId="77777777" w:rsidR="00E33EDB" w:rsidRDefault="00B17E6C" w:rsidP="00025CB0">
      <w:pPr>
        <w:rPr>
          <w:rFonts w:eastAsia="Arial"/>
        </w:rPr>
      </w:pPr>
      <w:r w:rsidRPr="00542400">
        <w:rPr>
          <w:rFonts w:eastAsia="Arial"/>
        </w:rPr>
        <w:t>The NSU programme manager or delegate</w:t>
      </w:r>
      <w:r w:rsidRPr="00B750BD">
        <w:rPr>
          <w:rFonts w:eastAsia="Arial"/>
        </w:rPr>
        <w:t xml:space="preserve"> </w:t>
      </w:r>
      <w:r w:rsidRPr="00542400">
        <w:rPr>
          <w:rFonts w:eastAsia="Arial"/>
        </w:rPr>
        <w:t xml:space="preserve">will review and </w:t>
      </w:r>
      <w:r>
        <w:rPr>
          <w:rFonts w:eastAsia="Arial"/>
        </w:rPr>
        <w:t>accept</w:t>
      </w:r>
      <w:r w:rsidRPr="00542400">
        <w:rPr>
          <w:rFonts w:eastAsia="Arial"/>
        </w:rPr>
        <w:t xml:space="preserve"> corrective action plan</w:t>
      </w:r>
      <w:r>
        <w:rPr>
          <w:rFonts w:eastAsia="Arial"/>
        </w:rPr>
        <w:t xml:space="preserve"> and timeframe for completion</w:t>
      </w:r>
      <w:r w:rsidRPr="00542400">
        <w:rPr>
          <w:rFonts w:eastAsia="Arial"/>
        </w:rPr>
        <w:t>. Th</w:t>
      </w:r>
      <w:r>
        <w:rPr>
          <w:rFonts w:eastAsia="Arial"/>
        </w:rPr>
        <w:t>is approach</w:t>
      </w:r>
      <w:r w:rsidRPr="00542400">
        <w:rPr>
          <w:rFonts w:eastAsia="Arial"/>
        </w:rPr>
        <w:t xml:space="preserve"> will </w:t>
      </w:r>
      <w:r>
        <w:rPr>
          <w:rFonts w:eastAsia="Arial"/>
        </w:rPr>
        <w:t xml:space="preserve">clearly identify the method and frequency of any reporting that is required. </w:t>
      </w:r>
      <w:r w:rsidRPr="00542400">
        <w:rPr>
          <w:rFonts w:eastAsia="Arial"/>
        </w:rPr>
        <w:t xml:space="preserve">The </w:t>
      </w:r>
      <w:r w:rsidRPr="006660BD">
        <w:rPr>
          <w:rFonts w:eastAsia="Arial"/>
        </w:rPr>
        <w:t xml:space="preserve">conformance verification letter </w:t>
      </w:r>
      <w:r>
        <w:rPr>
          <w:rFonts w:eastAsia="Arial"/>
        </w:rPr>
        <w:t xml:space="preserve">issued to the provider </w:t>
      </w:r>
      <w:r w:rsidRPr="00542400">
        <w:rPr>
          <w:rFonts w:eastAsia="Arial"/>
        </w:rPr>
        <w:t xml:space="preserve">will include any reporting conditions </w:t>
      </w:r>
      <w:r>
        <w:rPr>
          <w:rFonts w:eastAsia="Arial"/>
        </w:rPr>
        <w:t xml:space="preserve">relating to </w:t>
      </w:r>
      <w:r w:rsidRPr="00542400">
        <w:rPr>
          <w:rFonts w:eastAsia="Arial"/>
        </w:rPr>
        <w:t>findings from the audit.</w:t>
      </w:r>
    </w:p>
    <w:p w14:paraId="7B781208" w14:textId="77777777" w:rsidR="00B17E6C" w:rsidRDefault="00B17E6C" w:rsidP="00025CB0"/>
    <w:p w14:paraId="7B781209" w14:textId="77777777" w:rsidR="00E33EDB" w:rsidRDefault="00B17E6C" w:rsidP="00025CB0">
      <w:r w:rsidRPr="00542400">
        <w:t>The NSU screening programme manager will monitor the provider</w:t>
      </w:r>
      <w:r w:rsidR="00E33EDB">
        <w:t>’</w:t>
      </w:r>
      <w:r w:rsidRPr="00542400">
        <w:t xml:space="preserve">s progress against the requirements </w:t>
      </w:r>
      <w:r>
        <w:t xml:space="preserve">and the agreed </w:t>
      </w:r>
      <w:r w:rsidRPr="00542400">
        <w:t>timeframes.</w:t>
      </w:r>
    </w:p>
    <w:p w14:paraId="7B78120A" w14:textId="77777777" w:rsidR="00B17E6C" w:rsidRPr="00782096" w:rsidRDefault="00B17E6C" w:rsidP="00025CB0">
      <w:pPr>
        <w:rPr>
          <w:rFonts w:eastAsia="Arial"/>
        </w:rPr>
      </w:pPr>
    </w:p>
    <w:p w14:paraId="7B78120B" w14:textId="77777777" w:rsidR="00E33EDB" w:rsidRDefault="00B17E6C" w:rsidP="00025CB0">
      <w:r>
        <w:t>The closure of a CAR will be achieved following on-site review of evidence of resolution at the mid-cycle surveillance audit. Where a provider has ongoing issues with resolving a CAR, t</w:t>
      </w:r>
      <w:r w:rsidRPr="00542400">
        <w:t>he DAA Group may be asked to undertake a one-off, additional on</w:t>
      </w:r>
      <w:r w:rsidRPr="00542400">
        <w:noBreakHyphen/>
        <w:t xml:space="preserve">site audit to verify </w:t>
      </w:r>
      <w:r>
        <w:t xml:space="preserve">the </w:t>
      </w:r>
      <w:r w:rsidRPr="00542400">
        <w:t>progress</w:t>
      </w:r>
      <w:r>
        <w:t xml:space="preserve"> or </w:t>
      </w:r>
      <w:r w:rsidRPr="00542400">
        <w:t>completion</w:t>
      </w:r>
      <w:r>
        <w:t xml:space="preserve"> of the corrective actions</w:t>
      </w:r>
      <w:r w:rsidRPr="00542400">
        <w:t>.</w:t>
      </w:r>
    </w:p>
    <w:p w14:paraId="7B78120C" w14:textId="77777777" w:rsidR="00B17E6C" w:rsidRDefault="00B17E6C" w:rsidP="00025CB0"/>
    <w:p w14:paraId="7B78120D" w14:textId="77777777" w:rsidR="00B17E6C" w:rsidRPr="00CE3612" w:rsidRDefault="00B17E6C" w:rsidP="00025CB0">
      <w:pPr>
        <w:pStyle w:val="Heading3"/>
      </w:pPr>
      <w:bookmarkStart w:id="88" w:name="_Ref71179603"/>
      <w:r w:rsidRPr="00CE3612">
        <w:t>Manag</w:t>
      </w:r>
      <w:r>
        <w:t>ing</w:t>
      </w:r>
      <w:r w:rsidRPr="00CE3612">
        <w:t xml:space="preserve"> critical and high-</w:t>
      </w:r>
      <w:r>
        <w:t>r</w:t>
      </w:r>
      <w:r w:rsidRPr="00CE3612">
        <w:t xml:space="preserve">isk findings </w:t>
      </w:r>
      <w:r>
        <w:t>–</w:t>
      </w:r>
      <w:r w:rsidRPr="00CE3612">
        <w:t xml:space="preserve"> corrective action follow</w:t>
      </w:r>
      <w:r>
        <w:t>-</w:t>
      </w:r>
      <w:r w:rsidRPr="00CE3612">
        <w:t>up process</w:t>
      </w:r>
      <w:bookmarkEnd w:id="88"/>
    </w:p>
    <w:p w14:paraId="7B78120E" w14:textId="77777777" w:rsidR="00B17E6C" w:rsidRPr="00F64A9E" w:rsidRDefault="00B17E6C" w:rsidP="00025CB0">
      <w:r w:rsidRPr="00F64A9E">
        <w:t xml:space="preserve">When audit teams agree that an audit finding resulting in a PA or UA rating is of critical or high risk, the </w:t>
      </w:r>
      <w:r>
        <w:t>l</w:t>
      </w:r>
      <w:r w:rsidRPr="00F64A9E">
        <w:t xml:space="preserve">ead </w:t>
      </w:r>
      <w:r>
        <w:t>a</w:t>
      </w:r>
      <w:r w:rsidRPr="00F64A9E">
        <w:t xml:space="preserve">uditor will notify the DAA Group NSU </w:t>
      </w:r>
      <w:r>
        <w:t>c</w:t>
      </w:r>
      <w:r w:rsidRPr="00F64A9E">
        <w:t xml:space="preserve">lient </w:t>
      </w:r>
      <w:r>
        <w:t>m</w:t>
      </w:r>
      <w:r w:rsidRPr="00F64A9E">
        <w:t>anager and/or the NSU programme manager by phone and will follow up by email as follows</w:t>
      </w:r>
      <w:r>
        <w:t>.</w:t>
      </w:r>
    </w:p>
    <w:p w14:paraId="7B78120F" w14:textId="77777777" w:rsidR="00B17E6C" w:rsidRPr="00F64A9E" w:rsidRDefault="00B17E6C" w:rsidP="00025CB0"/>
    <w:p w14:paraId="7B781210" w14:textId="77777777" w:rsidR="00E33EDB" w:rsidRDefault="00B17E6C" w:rsidP="00B17E6C">
      <w:pPr>
        <w:pStyle w:val="Heading4"/>
      </w:pPr>
      <w:r w:rsidRPr="00F64A9E">
        <w:t>Critical risk – notify before leaving the audit</w:t>
      </w:r>
    </w:p>
    <w:p w14:paraId="7B781211" w14:textId="77777777" w:rsidR="00E33EDB" w:rsidRDefault="00B17E6C" w:rsidP="00025CB0">
      <w:pPr>
        <w:pStyle w:val="Bullet"/>
      </w:pPr>
      <w:r>
        <w:t>T</w:t>
      </w:r>
      <w:r w:rsidRPr="00F64A9E">
        <w:t>he NSU</w:t>
      </w:r>
      <w:r>
        <w:t xml:space="preserve"> escalates</w:t>
      </w:r>
      <w:r w:rsidRPr="00F64A9E">
        <w:t xml:space="preserve"> the issue to the Clinical Director immediately.</w:t>
      </w:r>
    </w:p>
    <w:p w14:paraId="7B781212" w14:textId="77777777" w:rsidR="00B17E6C" w:rsidRPr="00F64A9E" w:rsidRDefault="00B17E6C" w:rsidP="00025CB0">
      <w:pPr>
        <w:pStyle w:val="Bullet"/>
      </w:pPr>
      <w:r w:rsidRPr="00F64A9E">
        <w:t>Agree an action plan to reduce or eliminate the risk within 24 hours</w:t>
      </w:r>
      <w:r>
        <w:t>.</w:t>
      </w:r>
    </w:p>
    <w:p w14:paraId="7B781213" w14:textId="77777777" w:rsidR="00B17E6C" w:rsidRPr="00F64A9E" w:rsidRDefault="00B17E6C" w:rsidP="00025CB0">
      <w:pPr>
        <w:pStyle w:val="Bullet"/>
      </w:pPr>
      <w:r w:rsidRPr="00F64A9E">
        <w:t xml:space="preserve">Agree </w:t>
      </w:r>
      <w:r>
        <w:t xml:space="preserve">what </w:t>
      </w:r>
      <w:r w:rsidRPr="00F64A9E">
        <w:t>reporting is to occur</w:t>
      </w:r>
      <w:r>
        <w:t>,</w:t>
      </w:r>
      <w:r w:rsidRPr="00F64A9E">
        <w:t xml:space="preserve"> and who</w:t>
      </w:r>
      <w:r>
        <w:t xml:space="preserve"> to report to,</w:t>
      </w:r>
      <w:r w:rsidRPr="00F64A9E">
        <w:t xml:space="preserve"> for the implementation of the plan</w:t>
      </w:r>
      <w:r>
        <w:t>.</w:t>
      </w:r>
    </w:p>
    <w:p w14:paraId="7B781214" w14:textId="77777777" w:rsidR="00B17E6C" w:rsidRPr="00F64A9E" w:rsidRDefault="00B17E6C" w:rsidP="00025CB0">
      <w:pPr>
        <w:pStyle w:val="Bullet"/>
      </w:pPr>
      <w:r w:rsidRPr="00F64A9E">
        <w:t>The provider report</w:t>
      </w:r>
      <w:r>
        <w:t>s</w:t>
      </w:r>
      <w:r w:rsidRPr="00F64A9E">
        <w:t xml:space="preserve"> to </w:t>
      </w:r>
      <w:r>
        <w:t xml:space="preserve">the </w:t>
      </w:r>
      <w:r w:rsidRPr="00F64A9E">
        <w:t>NSU programme manager with evidence of action</w:t>
      </w:r>
      <w:r>
        <w:t xml:space="preserve"> it has</w:t>
      </w:r>
      <w:r w:rsidRPr="00F64A9E">
        <w:t xml:space="preserve"> taken based on the plan.</w:t>
      </w:r>
    </w:p>
    <w:p w14:paraId="7B781215" w14:textId="77777777" w:rsidR="00B17E6C" w:rsidRDefault="00B17E6C" w:rsidP="00025CB0"/>
    <w:p w14:paraId="7B781216" w14:textId="77777777" w:rsidR="00B17E6C" w:rsidRPr="00F64A9E" w:rsidRDefault="00B17E6C" w:rsidP="00B17E6C">
      <w:pPr>
        <w:pStyle w:val="Heading4"/>
      </w:pPr>
      <w:r w:rsidRPr="00F64A9E">
        <w:lastRenderedPageBreak/>
        <w:t>High risk – notify within 48 hours of completing the audit</w:t>
      </w:r>
    </w:p>
    <w:p w14:paraId="7B781217" w14:textId="77777777" w:rsidR="00E33EDB" w:rsidRDefault="00B17E6C" w:rsidP="00025CB0">
      <w:pPr>
        <w:pStyle w:val="Bullet"/>
      </w:pPr>
      <w:r>
        <w:t>T</w:t>
      </w:r>
      <w:r w:rsidRPr="00F64A9E">
        <w:t>he NSU</w:t>
      </w:r>
      <w:r w:rsidRPr="000B23D6">
        <w:t xml:space="preserve"> </w:t>
      </w:r>
      <w:r w:rsidRPr="00F64A9E">
        <w:t>escalate</w:t>
      </w:r>
      <w:r>
        <w:t>s</w:t>
      </w:r>
      <w:r w:rsidRPr="00F64A9E">
        <w:t xml:space="preserve"> the issue to the Clinical Director immediately.</w:t>
      </w:r>
    </w:p>
    <w:p w14:paraId="7B781218" w14:textId="77777777" w:rsidR="00B17E6C" w:rsidRPr="00F64A9E" w:rsidRDefault="00B17E6C" w:rsidP="00025CB0">
      <w:pPr>
        <w:pStyle w:val="Bullet"/>
      </w:pPr>
      <w:r w:rsidRPr="00F64A9E">
        <w:t>The provider send</w:t>
      </w:r>
      <w:r>
        <w:t>s</w:t>
      </w:r>
      <w:r w:rsidRPr="00F64A9E">
        <w:t xml:space="preserve"> an action plan to </w:t>
      </w:r>
      <w:r>
        <w:t xml:space="preserve">the </w:t>
      </w:r>
      <w:r w:rsidRPr="00F64A9E">
        <w:t>NSU programme manager within one week of the audit</w:t>
      </w:r>
      <w:r>
        <w:t>.</w:t>
      </w:r>
    </w:p>
    <w:p w14:paraId="7B781219" w14:textId="77777777" w:rsidR="00B17E6C" w:rsidRPr="00F64A9E" w:rsidRDefault="00B17E6C" w:rsidP="00025CB0">
      <w:pPr>
        <w:pStyle w:val="Bullet"/>
      </w:pPr>
      <w:r w:rsidRPr="00F64A9E">
        <w:t>On agreement of the action plan</w:t>
      </w:r>
      <w:r>
        <w:t>,</w:t>
      </w:r>
      <w:r w:rsidRPr="00F64A9E">
        <w:t xml:space="preserve"> </w:t>
      </w:r>
      <w:r>
        <w:t xml:space="preserve">develop </w:t>
      </w:r>
      <w:r w:rsidRPr="00F64A9E">
        <w:t>a monitoring plan</w:t>
      </w:r>
      <w:r>
        <w:t>.</w:t>
      </w:r>
    </w:p>
    <w:p w14:paraId="7B78121A" w14:textId="77777777" w:rsidR="00B17E6C" w:rsidRPr="00F64A9E" w:rsidRDefault="00B17E6C" w:rsidP="00025CB0">
      <w:pPr>
        <w:pStyle w:val="Bullet"/>
      </w:pPr>
      <w:r w:rsidRPr="00F64A9E">
        <w:t>The provider report</w:t>
      </w:r>
      <w:r>
        <w:t>s</w:t>
      </w:r>
      <w:r w:rsidRPr="00F64A9E">
        <w:t xml:space="preserve"> with evidence of action </w:t>
      </w:r>
      <w:r>
        <w:t xml:space="preserve">it has </w:t>
      </w:r>
      <w:r w:rsidRPr="00F64A9E">
        <w:t>taken based on the monitoring plan.</w:t>
      </w:r>
    </w:p>
    <w:p w14:paraId="7B78121B" w14:textId="77777777" w:rsidR="00B17E6C" w:rsidRPr="00F64A9E" w:rsidRDefault="00B17E6C" w:rsidP="00025CB0"/>
    <w:p w14:paraId="7B78121C" w14:textId="77777777" w:rsidR="00E33EDB" w:rsidRDefault="00B17E6C" w:rsidP="00025CB0">
      <w:r w:rsidRPr="00AC025D">
        <w:t>When a clinical safety issue is identified in the audit process, and to immediately address the issue, the screening programme will consider initiati</w:t>
      </w:r>
      <w:r>
        <w:t>ng</w:t>
      </w:r>
      <w:r w:rsidRPr="00AC025D">
        <w:t xml:space="preserve"> an NSU programme lead clinical investigation team.</w:t>
      </w:r>
    </w:p>
    <w:p w14:paraId="7B78121D" w14:textId="77777777" w:rsidR="00B17E6C" w:rsidRPr="00AC025D" w:rsidRDefault="00B17E6C" w:rsidP="00025CB0"/>
    <w:p w14:paraId="7B78121E" w14:textId="77777777" w:rsidR="00E33EDB" w:rsidRDefault="00B17E6C" w:rsidP="00025CB0">
      <w:r w:rsidRPr="00AC025D">
        <w:t xml:space="preserve">This team will work with the cooperation of the screening provider to identify causative factors, share </w:t>
      </w:r>
      <w:proofErr w:type="gramStart"/>
      <w:r w:rsidRPr="00AC025D">
        <w:t>learnings</w:t>
      </w:r>
      <w:proofErr w:type="gramEnd"/>
      <w:r w:rsidRPr="00AC025D">
        <w:t xml:space="preserve"> and prevent a recurrence</w:t>
      </w:r>
      <w:r>
        <w:t xml:space="preserve"> of the issue</w:t>
      </w:r>
      <w:r w:rsidRPr="00AC025D">
        <w:t>.</w:t>
      </w:r>
      <w:r>
        <w:t xml:space="preserve"> The audit team will complete the audit report and ensure the audit conclusions:</w:t>
      </w:r>
    </w:p>
    <w:p w14:paraId="7B78121F" w14:textId="77777777" w:rsidR="00B17E6C" w:rsidRPr="00C83F66" w:rsidRDefault="00B17E6C" w:rsidP="00025CB0">
      <w:pPr>
        <w:pStyle w:val="Bullet"/>
        <w:rPr>
          <w:rFonts w:eastAsia="Arial"/>
        </w:rPr>
      </w:pPr>
      <w:r>
        <w:rPr>
          <w:rFonts w:eastAsia="Arial"/>
        </w:rPr>
        <w:t>c</w:t>
      </w:r>
      <w:r w:rsidRPr="00C83F66">
        <w:rPr>
          <w:rFonts w:eastAsia="Arial"/>
        </w:rPr>
        <w:t xml:space="preserve">learly define the extent of the </w:t>
      </w:r>
      <w:r>
        <w:rPr>
          <w:rFonts w:eastAsia="Arial"/>
        </w:rPr>
        <w:t>problem</w:t>
      </w:r>
      <w:r w:rsidRPr="00C83F66">
        <w:rPr>
          <w:rFonts w:eastAsia="Arial"/>
        </w:rPr>
        <w:t xml:space="preserve"> (description, level of attainment and risk rating)</w:t>
      </w:r>
    </w:p>
    <w:p w14:paraId="7B781220" w14:textId="77777777" w:rsidR="00B17E6C" w:rsidRPr="00C83F66" w:rsidRDefault="00B17E6C" w:rsidP="00025CB0">
      <w:pPr>
        <w:pStyle w:val="Bullet"/>
        <w:rPr>
          <w:rFonts w:eastAsia="Arial"/>
        </w:rPr>
      </w:pPr>
      <w:r>
        <w:rPr>
          <w:rFonts w:eastAsia="Arial"/>
        </w:rPr>
        <w:t>p</w:t>
      </w:r>
      <w:r w:rsidRPr="00C83F66">
        <w:rPr>
          <w:rFonts w:eastAsia="Arial"/>
        </w:rPr>
        <w:t>rovide a rationale for the finding</w:t>
      </w:r>
    </w:p>
    <w:p w14:paraId="7B781221" w14:textId="77777777" w:rsidR="00B17E6C" w:rsidRDefault="00B17E6C" w:rsidP="00025CB0">
      <w:pPr>
        <w:pStyle w:val="Bullet"/>
        <w:rPr>
          <w:rFonts w:eastAsia="Arial"/>
        </w:rPr>
      </w:pPr>
      <w:r>
        <w:rPr>
          <w:rFonts w:eastAsia="Arial"/>
        </w:rPr>
        <w:t>d</w:t>
      </w:r>
      <w:r w:rsidRPr="00C83F66">
        <w:rPr>
          <w:rFonts w:eastAsia="Arial"/>
        </w:rPr>
        <w:t>escribe expected outcomes</w:t>
      </w:r>
      <w:r>
        <w:rPr>
          <w:rFonts w:eastAsia="Arial"/>
        </w:rPr>
        <w:t>.</w:t>
      </w:r>
    </w:p>
    <w:p w14:paraId="7B781222" w14:textId="77777777" w:rsidR="00B17E6C" w:rsidRDefault="00B17E6C" w:rsidP="00025CB0">
      <w:pPr>
        <w:rPr>
          <w:rFonts w:eastAsia="Arial"/>
        </w:rPr>
      </w:pPr>
    </w:p>
    <w:p w14:paraId="7B781223" w14:textId="77777777" w:rsidR="00B17E6C" w:rsidRPr="00D60D7D" w:rsidRDefault="00B17E6C" w:rsidP="00CD665C">
      <w:pPr>
        <w:pStyle w:val="Heading1"/>
        <w:rPr>
          <w:rFonts w:eastAsia="Arial"/>
        </w:rPr>
      </w:pPr>
      <w:bookmarkStart w:id="89" w:name="_Toc371769428"/>
      <w:bookmarkStart w:id="90" w:name="_Toc414889610"/>
      <w:bookmarkStart w:id="91" w:name="_Toc485385886"/>
      <w:bookmarkStart w:id="92" w:name="_Ref6736455"/>
      <w:bookmarkStart w:id="93" w:name="_Ref6738456"/>
      <w:bookmarkStart w:id="94" w:name="_Toc68012571"/>
      <w:bookmarkStart w:id="95" w:name="_Toc90391842"/>
      <w:r w:rsidRPr="00D60D7D">
        <w:rPr>
          <w:rFonts w:eastAsia="Arial"/>
        </w:rPr>
        <w:lastRenderedPageBreak/>
        <w:t>Audit teams</w:t>
      </w:r>
      <w:bookmarkEnd w:id="89"/>
      <w:bookmarkEnd w:id="90"/>
      <w:bookmarkEnd w:id="91"/>
      <w:bookmarkEnd w:id="92"/>
      <w:bookmarkEnd w:id="93"/>
      <w:bookmarkEnd w:id="94"/>
      <w:bookmarkEnd w:id="95"/>
    </w:p>
    <w:p w14:paraId="7B781224" w14:textId="77777777" w:rsidR="00B17E6C" w:rsidRPr="003F6642" w:rsidRDefault="00B17E6C" w:rsidP="00CD665C">
      <w:pPr>
        <w:pStyle w:val="Heading2"/>
        <w:rPr>
          <w:rFonts w:eastAsia="Arial"/>
        </w:rPr>
      </w:pPr>
      <w:bookmarkStart w:id="96" w:name="_Toc68012572"/>
      <w:bookmarkStart w:id="97" w:name="_Toc371769429"/>
      <w:bookmarkStart w:id="98" w:name="_Toc414889611"/>
      <w:bookmarkStart w:id="99" w:name="_Toc485385887"/>
      <w:bookmarkStart w:id="100" w:name="_Ref6736905"/>
      <w:bookmarkStart w:id="101" w:name="_Ref6737686"/>
      <w:bookmarkStart w:id="102" w:name="_Ref6738403"/>
      <w:bookmarkStart w:id="103" w:name="_Toc90391843"/>
      <w:r>
        <w:rPr>
          <w:rFonts w:eastAsia="Arial"/>
        </w:rPr>
        <w:t>DAA Group NSU client manager</w:t>
      </w:r>
      <w:bookmarkEnd w:id="96"/>
      <w:bookmarkEnd w:id="103"/>
    </w:p>
    <w:p w14:paraId="7B781225" w14:textId="77777777" w:rsidR="00E33EDB" w:rsidRDefault="00B17E6C" w:rsidP="00CD665C">
      <w:r w:rsidRPr="00830BA6">
        <w:t xml:space="preserve">The DAA Group NSU client manager </w:t>
      </w:r>
      <w:r>
        <w:t xml:space="preserve">is responsible for </w:t>
      </w:r>
      <w:r w:rsidRPr="00830BA6">
        <w:t>form</w:t>
      </w:r>
      <w:r>
        <w:t>ing</w:t>
      </w:r>
      <w:r w:rsidRPr="00830BA6">
        <w:t xml:space="preserve"> the audit team.</w:t>
      </w:r>
    </w:p>
    <w:p w14:paraId="7B781226" w14:textId="77777777" w:rsidR="00B17E6C" w:rsidRPr="00830BA6" w:rsidRDefault="00B17E6C" w:rsidP="00CD665C"/>
    <w:p w14:paraId="7B781227" w14:textId="77777777" w:rsidR="00B17E6C" w:rsidRDefault="00B17E6C" w:rsidP="00CD665C">
      <w:r w:rsidRPr="00830BA6">
        <w:t>The</w:t>
      </w:r>
      <w:r>
        <w:t>y agree on the</w:t>
      </w:r>
      <w:r w:rsidRPr="00830BA6">
        <w:t xml:space="preserve"> requirements for each audit </w:t>
      </w:r>
      <w:r>
        <w:t>together</w:t>
      </w:r>
      <w:r w:rsidRPr="00830BA6">
        <w:t xml:space="preserve"> with the relevant NSU programme advisor and the</w:t>
      </w:r>
      <w:r w:rsidRPr="00411EDE">
        <w:t xml:space="preserve"> </w:t>
      </w:r>
      <w:r w:rsidRPr="00830BA6">
        <w:t>provider</w:t>
      </w:r>
      <w:r>
        <w:t xml:space="preserve"> of the</w:t>
      </w:r>
      <w:r w:rsidRPr="00830BA6">
        <w:t xml:space="preserve"> specific screening programme service.</w:t>
      </w:r>
    </w:p>
    <w:p w14:paraId="7B781228" w14:textId="77777777" w:rsidR="00B17E6C" w:rsidRPr="00830BA6" w:rsidRDefault="00B17E6C" w:rsidP="00CD665C"/>
    <w:p w14:paraId="7B781229" w14:textId="77777777" w:rsidR="00E33EDB" w:rsidRDefault="00B17E6C" w:rsidP="00CD665C">
      <w:r w:rsidRPr="00830BA6">
        <w:t xml:space="preserve">The DAA Group NSU </w:t>
      </w:r>
      <w:r>
        <w:t>c</w:t>
      </w:r>
      <w:r w:rsidRPr="00830BA6">
        <w:t xml:space="preserve">lient </w:t>
      </w:r>
      <w:r>
        <w:t>m</w:t>
      </w:r>
      <w:r w:rsidRPr="00830BA6">
        <w:t xml:space="preserve">anager works closely with the delegated </w:t>
      </w:r>
      <w:r>
        <w:t>l</w:t>
      </w:r>
      <w:r w:rsidRPr="00830BA6">
        <w:t xml:space="preserve">ead </w:t>
      </w:r>
      <w:r>
        <w:t>a</w:t>
      </w:r>
      <w:r w:rsidRPr="00830BA6">
        <w:t xml:space="preserve">uditor </w:t>
      </w:r>
      <w:r>
        <w:t xml:space="preserve">to </w:t>
      </w:r>
      <w:r w:rsidRPr="00830BA6">
        <w:t>prepar</w:t>
      </w:r>
      <w:r>
        <w:t>e</w:t>
      </w:r>
      <w:r w:rsidRPr="00830BA6">
        <w:t xml:space="preserve"> each audit event.</w:t>
      </w:r>
    </w:p>
    <w:p w14:paraId="7B78122A" w14:textId="77777777" w:rsidR="00B17E6C" w:rsidRPr="00830BA6" w:rsidRDefault="00B17E6C" w:rsidP="00CD665C"/>
    <w:p w14:paraId="7B78122B" w14:textId="77777777" w:rsidR="00B17E6C" w:rsidRPr="00830BA6" w:rsidRDefault="00B17E6C" w:rsidP="00CD665C">
      <w:r w:rsidRPr="00830BA6">
        <w:t xml:space="preserve">While their roles and responsibilities are not limited to the following, the DAA Group NSU </w:t>
      </w:r>
      <w:r>
        <w:t>c</w:t>
      </w:r>
      <w:r w:rsidRPr="00830BA6">
        <w:t xml:space="preserve">lient </w:t>
      </w:r>
      <w:r>
        <w:t>m</w:t>
      </w:r>
      <w:r w:rsidRPr="00830BA6">
        <w:t xml:space="preserve">anager </w:t>
      </w:r>
      <w:r>
        <w:t>will</w:t>
      </w:r>
      <w:r w:rsidRPr="00830BA6">
        <w:t>:</w:t>
      </w:r>
    </w:p>
    <w:p w14:paraId="7B78122C" w14:textId="77777777" w:rsidR="00B17E6C" w:rsidRPr="00830BA6" w:rsidRDefault="00B17E6C" w:rsidP="00CD665C">
      <w:pPr>
        <w:pStyle w:val="Number"/>
        <w:spacing w:before="120"/>
      </w:pPr>
      <w:r>
        <w:t>c</w:t>
      </w:r>
      <w:r w:rsidRPr="00830BA6">
        <w:t xml:space="preserve">onfirm the membership of the audit team is appropriate to the type of audit </w:t>
      </w:r>
      <w:r>
        <w:t>it is</w:t>
      </w:r>
      <w:r w:rsidRPr="00830BA6">
        <w:t xml:space="preserve"> conduct</w:t>
      </w:r>
      <w:r>
        <w:t>ing</w:t>
      </w:r>
    </w:p>
    <w:p w14:paraId="7B78122D" w14:textId="77777777" w:rsidR="00B17E6C" w:rsidRPr="00830BA6" w:rsidRDefault="00B17E6C" w:rsidP="00CD665C">
      <w:pPr>
        <w:pStyle w:val="Number"/>
        <w:spacing w:before="120"/>
      </w:pPr>
      <w:r>
        <w:t>e</w:t>
      </w:r>
      <w:r w:rsidRPr="00830BA6">
        <w:t>nsure the audit is conducted in accordance with DAA Group policies and procedures and consistent with AS/NZS ISO 19011</w:t>
      </w:r>
    </w:p>
    <w:p w14:paraId="7B78122E" w14:textId="77777777" w:rsidR="00B17E6C" w:rsidRPr="00830BA6" w:rsidRDefault="00B17E6C" w:rsidP="00CD665C">
      <w:pPr>
        <w:pStyle w:val="Number"/>
        <w:spacing w:before="120"/>
      </w:pPr>
      <w:r>
        <w:t>e</w:t>
      </w:r>
      <w:r w:rsidRPr="00830BA6">
        <w:t>nsure each team member has completed a conflict-of-interest declaration</w:t>
      </w:r>
    </w:p>
    <w:p w14:paraId="7B78122F" w14:textId="77777777" w:rsidR="00B17E6C" w:rsidRPr="00830BA6" w:rsidRDefault="00B17E6C" w:rsidP="00CD665C">
      <w:pPr>
        <w:pStyle w:val="Number"/>
        <w:spacing w:before="120"/>
      </w:pPr>
      <w:r>
        <w:t>c</w:t>
      </w:r>
      <w:r w:rsidRPr="00830BA6">
        <w:t>onfirm audit arrangements with providers, as specified by AS/NZS ISO 19011</w:t>
      </w:r>
    </w:p>
    <w:p w14:paraId="7B781230" w14:textId="77777777" w:rsidR="00B17E6C" w:rsidRPr="00830BA6" w:rsidRDefault="00B17E6C" w:rsidP="00CD665C">
      <w:pPr>
        <w:pStyle w:val="Number"/>
        <w:spacing w:before="120"/>
      </w:pPr>
      <w:r>
        <w:t>c</w:t>
      </w:r>
      <w:r w:rsidRPr="00830BA6">
        <w:t xml:space="preserve">ontact the NSU </w:t>
      </w:r>
      <w:r>
        <w:t>p</w:t>
      </w:r>
      <w:r w:rsidRPr="00830BA6">
        <w:t xml:space="preserve">rogramme </w:t>
      </w:r>
      <w:r>
        <w:t>r</w:t>
      </w:r>
      <w:r w:rsidRPr="00830BA6">
        <w:t>elationship managers. This contact will include but is not limited to:</w:t>
      </w:r>
    </w:p>
    <w:p w14:paraId="7B781231" w14:textId="77777777" w:rsidR="00B17E6C" w:rsidRPr="00830BA6" w:rsidRDefault="00B17E6C" w:rsidP="00CD665C">
      <w:pPr>
        <w:pStyle w:val="Bullet"/>
        <w:ind w:left="851"/>
      </w:pPr>
      <w:r w:rsidRPr="00830BA6">
        <w:t>notifying the</w:t>
      </w:r>
      <w:r>
        <w:t xml:space="preserve"> managers</w:t>
      </w:r>
      <w:r w:rsidRPr="00830BA6">
        <w:t xml:space="preserve"> of the intended date of the audit</w:t>
      </w:r>
    </w:p>
    <w:p w14:paraId="7B781232" w14:textId="77777777" w:rsidR="00B17E6C" w:rsidRPr="00830BA6" w:rsidRDefault="00B17E6C" w:rsidP="00CD665C">
      <w:pPr>
        <w:pStyle w:val="Bullet"/>
        <w:ind w:left="851"/>
      </w:pPr>
      <w:r w:rsidRPr="00830BA6">
        <w:t>asking them to provide the DAA Group</w:t>
      </w:r>
      <w:r>
        <w:t xml:space="preserve"> with</w:t>
      </w:r>
      <w:r w:rsidRPr="00830BA6">
        <w:t xml:space="preserve"> any relevant information that may contribute to the audit process</w:t>
      </w:r>
      <w:r>
        <w:t>.</w:t>
      </w:r>
    </w:p>
    <w:p w14:paraId="7B781233" w14:textId="77777777" w:rsidR="00B17E6C" w:rsidRDefault="00B17E6C" w:rsidP="00CD665C"/>
    <w:p w14:paraId="7B781234" w14:textId="77777777" w:rsidR="00B17E6C" w:rsidRDefault="00B17E6C" w:rsidP="00CD665C">
      <w:r w:rsidRPr="00830BA6">
        <w:t xml:space="preserve">Where issues </w:t>
      </w:r>
      <w:r>
        <w:t>exist for</w:t>
      </w:r>
      <w:r w:rsidRPr="00830BA6">
        <w:t xml:space="preserve"> one or more of the screening facilities, it may be necessary to include them in the sampling plan (if applicable).</w:t>
      </w:r>
    </w:p>
    <w:p w14:paraId="7B781235" w14:textId="77777777" w:rsidR="00CD665C" w:rsidRPr="00830BA6" w:rsidRDefault="00CD665C" w:rsidP="00CD665C"/>
    <w:p w14:paraId="7B781236" w14:textId="77777777" w:rsidR="00B17E6C" w:rsidRPr="003F6642" w:rsidRDefault="00B17E6C" w:rsidP="00CD665C">
      <w:pPr>
        <w:pStyle w:val="Heading2"/>
        <w:rPr>
          <w:rFonts w:eastAsia="Arial"/>
        </w:rPr>
      </w:pPr>
      <w:bookmarkStart w:id="104" w:name="_Toc68012573"/>
      <w:bookmarkStart w:id="105" w:name="_Toc90391844"/>
      <w:r>
        <w:rPr>
          <w:rFonts w:eastAsia="Arial"/>
        </w:rPr>
        <w:t>Audit team requirements</w:t>
      </w:r>
      <w:bookmarkEnd w:id="97"/>
      <w:bookmarkEnd w:id="98"/>
      <w:bookmarkEnd w:id="99"/>
      <w:bookmarkEnd w:id="100"/>
      <w:bookmarkEnd w:id="101"/>
      <w:bookmarkEnd w:id="102"/>
      <w:bookmarkEnd w:id="104"/>
      <w:bookmarkEnd w:id="105"/>
    </w:p>
    <w:p w14:paraId="7B781237" w14:textId="77777777" w:rsidR="00B17E6C" w:rsidRDefault="00B17E6C" w:rsidP="00CD665C">
      <w:r w:rsidRPr="003F6642">
        <w:t xml:space="preserve">The </w:t>
      </w:r>
      <w:r>
        <w:t xml:space="preserve">following </w:t>
      </w:r>
      <w:r w:rsidRPr="003F6642">
        <w:t xml:space="preserve">requirements </w:t>
      </w:r>
      <w:r>
        <w:t xml:space="preserve">apply to </w:t>
      </w:r>
      <w:r w:rsidRPr="003F6642">
        <w:t xml:space="preserve">every </w:t>
      </w:r>
      <w:r>
        <w:t>DAA Group</w:t>
      </w:r>
      <w:r w:rsidRPr="003F6642">
        <w:t xml:space="preserve"> audit team.</w:t>
      </w:r>
    </w:p>
    <w:p w14:paraId="7B781238" w14:textId="77777777" w:rsidR="00B17E6C" w:rsidRPr="003F6642" w:rsidRDefault="00B17E6C" w:rsidP="00CD665C"/>
    <w:p w14:paraId="7B781239" w14:textId="77777777" w:rsidR="00B17E6C" w:rsidRDefault="00B17E6C" w:rsidP="00CD665C">
      <w:r w:rsidRPr="003F6642">
        <w:t xml:space="preserve">The </w:t>
      </w:r>
      <w:r>
        <w:t>expertise in</w:t>
      </w:r>
      <w:r w:rsidRPr="003F6642">
        <w:t xml:space="preserve"> the audit team must reflect the characteristics of the </w:t>
      </w:r>
      <w:r>
        <w:t xml:space="preserve">screening </w:t>
      </w:r>
      <w:r w:rsidRPr="003F6642">
        <w:t>service and its users</w:t>
      </w:r>
      <w:r w:rsidRPr="00F45FF1">
        <w:t>.</w:t>
      </w:r>
    </w:p>
    <w:p w14:paraId="7B78123A" w14:textId="77777777" w:rsidR="00B17E6C" w:rsidRPr="00F45FF1" w:rsidRDefault="00B17E6C" w:rsidP="00CD665C"/>
    <w:p w14:paraId="7B78123B" w14:textId="77777777" w:rsidR="00B17E6C" w:rsidRDefault="00B17E6C" w:rsidP="00CD665C">
      <w:r w:rsidRPr="003F6642">
        <w:t>Every audit team must include a qualified and experienced lead auditor</w:t>
      </w:r>
      <w:r>
        <w:t>.</w:t>
      </w:r>
    </w:p>
    <w:p w14:paraId="7B78123C" w14:textId="77777777" w:rsidR="00B17E6C" w:rsidRPr="003F6642" w:rsidRDefault="00B17E6C" w:rsidP="00CD665C"/>
    <w:p w14:paraId="7B78123D" w14:textId="77777777" w:rsidR="00B17E6C" w:rsidRDefault="00B17E6C" w:rsidP="00CD665C">
      <w:pPr>
        <w:keepNext/>
      </w:pPr>
      <w:r w:rsidRPr="00C5061B">
        <w:lastRenderedPageBreak/>
        <w:t>Where</w:t>
      </w:r>
      <w:r w:rsidRPr="003F6642">
        <w:t xml:space="preserve"> audits require technical expert</w:t>
      </w:r>
      <w:r>
        <w:t xml:space="preserve"> assessors</w:t>
      </w:r>
      <w:r w:rsidRPr="003F6642">
        <w:t xml:space="preserve">, the level of expertise </w:t>
      </w:r>
      <w:r>
        <w:t>will</w:t>
      </w:r>
      <w:r w:rsidRPr="003F6642">
        <w:t xml:space="preserve"> meet the </w:t>
      </w:r>
      <w:r>
        <w:t>specific requirements of the screening programme</w:t>
      </w:r>
      <w:r w:rsidRPr="006C08F3">
        <w:t>.</w:t>
      </w:r>
      <w:r w:rsidR="00E33EDB">
        <w:t xml:space="preserve"> </w:t>
      </w:r>
      <w:r w:rsidRPr="003F6642">
        <w:t xml:space="preserve">One </w:t>
      </w:r>
      <w:r>
        <w:t xml:space="preserve">team member </w:t>
      </w:r>
      <w:r w:rsidRPr="003F6642">
        <w:t>may be both the lead auditor and a technical expert</w:t>
      </w:r>
      <w:r>
        <w:t xml:space="preserve"> assessor</w:t>
      </w:r>
      <w:r w:rsidRPr="003F6642">
        <w:t>.</w:t>
      </w:r>
    </w:p>
    <w:p w14:paraId="7B78123E" w14:textId="77777777" w:rsidR="00B17E6C" w:rsidRPr="003F6642" w:rsidRDefault="00B17E6C" w:rsidP="00CD665C"/>
    <w:p w14:paraId="7B78123F" w14:textId="77777777" w:rsidR="00B17E6C" w:rsidRDefault="00B17E6C" w:rsidP="00CD665C">
      <w:r w:rsidRPr="003F6642">
        <w:t xml:space="preserve">The audit team must have a working knowledge of </w:t>
      </w:r>
      <w:r>
        <w:t>the provider</w:t>
      </w:r>
      <w:r w:rsidR="00E33EDB">
        <w:t>’</w:t>
      </w:r>
      <w:r>
        <w:t xml:space="preserve">s </w:t>
      </w:r>
      <w:r w:rsidRPr="003F6642">
        <w:t xml:space="preserve">current contracts to ensure </w:t>
      </w:r>
      <w:r>
        <w:t xml:space="preserve">it considers </w:t>
      </w:r>
      <w:r w:rsidRPr="003F6642">
        <w:t xml:space="preserve">the relevance of contracted requirements as part of the </w:t>
      </w:r>
      <w:r>
        <w:t xml:space="preserve">verification </w:t>
      </w:r>
      <w:r w:rsidRPr="003F6642">
        <w:t>audit process.</w:t>
      </w:r>
    </w:p>
    <w:p w14:paraId="7B781240" w14:textId="77777777" w:rsidR="00B17E6C" w:rsidRPr="003F6642" w:rsidRDefault="00B17E6C" w:rsidP="00CD665C"/>
    <w:p w14:paraId="7B781241" w14:textId="77777777" w:rsidR="00E33EDB" w:rsidRDefault="00B17E6C" w:rsidP="00CD665C">
      <w:r>
        <w:t>Each screening programme</w:t>
      </w:r>
      <w:r w:rsidRPr="003F6642">
        <w:t xml:space="preserve"> </w:t>
      </w:r>
      <w:r>
        <w:t>will define</w:t>
      </w:r>
      <w:r w:rsidRPr="001705F9">
        <w:t xml:space="preserve"> </w:t>
      </w:r>
      <w:r>
        <w:t>its own</w:t>
      </w:r>
      <w:r w:rsidRPr="003F6642">
        <w:t xml:space="preserve"> </w:t>
      </w:r>
      <w:r>
        <w:t>m</w:t>
      </w:r>
      <w:r w:rsidRPr="003F6642">
        <w:t>inimum audit team requirements</w:t>
      </w:r>
      <w:r>
        <w:t>.</w:t>
      </w:r>
    </w:p>
    <w:p w14:paraId="7B781242" w14:textId="77777777" w:rsidR="00B17E6C" w:rsidRPr="006324F7" w:rsidRDefault="00B17E6C" w:rsidP="00CD665C"/>
    <w:p w14:paraId="7B781243" w14:textId="77777777" w:rsidR="00B17E6C" w:rsidRPr="00DB4343" w:rsidRDefault="00B17E6C" w:rsidP="00CD665C">
      <w:pPr>
        <w:pStyle w:val="Heading2"/>
        <w:rPr>
          <w:rFonts w:eastAsia="Arial"/>
        </w:rPr>
      </w:pPr>
      <w:bookmarkStart w:id="106" w:name="_Toc371769430"/>
      <w:bookmarkStart w:id="107" w:name="_Toc414889612"/>
      <w:bookmarkStart w:id="108" w:name="_Toc485385888"/>
      <w:bookmarkStart w:id="109" w:name="_Toc68012574"/>
      <w:bookmarkStart w:id="110" w:name="_Toc90391845"/>
      <w:r w:rsidRPr="00DB4343">
        <w:rPr>
          <w:rFonts w:eastAsia="Arial"/>
        </w:rPr>
        <w:t>Lead auditor</w:t>
      </w:r>
      <w:bookmarkEnd w:id="106"/>
      <w:bookmarkEnd w:id="107"/>
      <w:bookmarkEnd w:id="108"/>
      <w:bookmarkEnd w:id="109"/>
      <w:bookmarkEnd w:id="110"/>
    </w:p>
    <w:p w14:paraId="7B781244" w14:textId="77777777" w:rsidR="00B17E6C" w:rsidRPr="00DB4343" w:rsidRDefault="00B17E6C" w:rsidP="00CD665C">
      <w:r w:rsidRPr="00DB4343">
        <w:t xml:space="preserve">The DAA Group NSU </w:t>
      </w:r>
      <w:r>
        <w:t>c</w:t>
      </w:r>
      <w:r w:rsidRPr="00DB4343">
        <w:t xml:space="preserve">lient </w:t>
      </w:r>
      <w:r>
        <w:t>m</w:t>
      </w:r>
      <w:r w:rsidRPr="00DB4343">
        <w:t xml:space="preserve">anager will coordinate the audit </w:t>
      </w:r>
      <w:r>
        <w:t>together</w:t>
      </w:r>
      <w:r w:rsidRPr="00DB4343">
        <w:t xml:space="preserve"> with the lead auditor. Whil</w:t>
      </w:r>
      <w:r w:rsidRPr="00BB62E0">
        <w:t>e</w:t>
      </w:r>
      <w:r w:rsidRPr="00DB4343">
        <w:t xml:space="preserve"> their roles and responsibilities are not limited to the following, the lead auditor must:</w:t>
      </w:r>
    </w:p>
    <w:p w14:paraId="7B781245" w14:textId="77777777" w:rsidR="00B17E6C" w:rsidRPr="00DB4343" w:rsidRDefault="00B17E6C" w:rsidP="00A759B1">
      <w:pPr>
        <w:pStyle w:val="Number"/>
        <w:spacing w:before="120"/>
      </w:pPr>
      <w:r>
        <w:t>c</w:t>
      </w:r>
      <w:r w:rsidRPr="00DB4343">
        <w:t xml:space="preserve">onfirm the membership of the audit team is appropriate to the type of audit </w:t>
      </w:r>
      <w:r>
        <w:t>it is</w:t>
      </w:r>
      <w:r w:rsidRPr="00DB4343">
        <w:t xml:space="preserve"> conduct</w:t>
      </w:r>
      <w:r>
        <w:t>ing</w:t>
      </w:r>
    </w:p>
    <w:p w14:paraId="7B781246" w14:textId="77777777" w:rsidR="00B17E6C" w:rsidRPr="00DB4343" w:rsidRDefault="00B17E6C" w:rsidP="00A759B1">
      <w:pPr>
        <w:pStyle w:val="Number"/>
        <w:spacing w:before="120"/>
      </w:pPr>
      <w:r>
        <w:t>e</w:t>
      </w:r>
      <w:r w:rsidRPr="00DB4343">
        <w:t xml:space="preserve">nsure the audit is conducted in </w:t>
      </w:r>
      <w:r>
        <w:t>line</w:t>
      </w:r>
      <w:r w:rsidRPr="00DB4343">
        <w:t xml:space="preserve"> with DAA Group policies and procedures and consistent with AS/NZS ISO 19011</w:t>
      </w:r>
    </w:p>
    <w:p w14:paraId="7B781247" w14:textId="77777777" w:rsidR="00B17E6C" w:rsidRPr="00DB4343" w:rsidRDefault="00B17E6C" w:rsidP="00A759B1">
      <w:pPr>
        <w:pStyle w:val="Number"/>
        <w:spacing w:before="120"/>
      </w:pPr>
      <w:r>
        <w:t>c</w:t>
      </w:r>
      <w:r w:rsidRPr="00DB4343">
        <w:t>onfirm audit arrangements with providers, as specified by AS/NZS ISO 19011</w:t>
      </w:r>
    </w:p>
    <w:p w14:paraId="7B781248" w14:textId="77777777" w:rsidR="00B17E6C" w:rsidRPr="00D10445" w:rsidRDefault="00B17E6C" w:rsidP="00A759B1">
      <w:pPr>
        <w:pStyle w:val="Number"/>
        <w:spacing w:before="120"/>
      </w:pPr>
      <w:r>
        <w:t>r</w:t>
      </w:r>
      <w:r w:rsidRPr="00D10445">
        <w:t>eview provider information, such as:</w:t>
      </w:r>
    </w:p>
    <w:p w14:paraId="7B781249" w14:textId="77777777" w:rsidR="00B17E6C" w:rsidRPr="00D10445" w:rsidRDefault="00B17E6C" w:rsidP="00A759B1">
      <w:pPr>
        <w:pStyle w:val="Bullet"/>
        <w:ind w:left="851"/>
      </w:pPr>
      <w:r w:rsidRPr="00D10445">
        <w:t>self-assessment and document review</w:t>
      </w:r>
    </w:p>
    <w:p w14:paraId="7B78124A" w14:textId="77777777" w:rsidR="00B17E6C" w:rsidRPr="00D10445" w:rsidRDefault="00B17E6C" w:rsidP="00A759B1">
      <w:pPr>
        <w:pStyle w:val="Bullet"/>
        <w:ind w:left="851"/>
      </w:pPr>
      <w:r w:rsidRPr="00D10445">
        <w:t>last audit</w:t>
      </w:r>
      <w:r>
        <w:t>,</w:t>
      </w:r>
      <w:r w:rsidRPr="00D10445">
        <w:t xml:space="preserve"> where applicable</w:t>
      </w:r>
    </w:p>
    <w:p w14:paraId="7B78124B" w14:textId="77777777" w:rsidR="00B17E6C" w:rsidRPr="00D10445" w:rsidRDefault="00B17E6C" w:rsidP="00A759B1">
      <w:pPr>
        <w:pStyle w:val="Bullet"/>
        <w:ind w:left="851"/>
      </w:pPr>
      <w:r w:rsidRPr="00D10445">
        <w:t>any surveillance or other audit event since the last audit</w:t>
      </w:r>
    </w:p>
    <w:p w14:paraId="7B78124C" w14:textId="77777777" w:rsidR="00B17E6C" w:rsidRPr="00D10445" w:rsidRDefault="00B17E6C" w:rsidP="00A759B1">
      <w:pPr>
        <w:pStyle w:val="Bullet"/>
        <w:ind w:left="851"/>
      </w:pPr>
      <w:r w:rsidRPr="00D10445">
        <w:t>programme monitoring reports or other assessments undertaken by third parties</w:t>
      </w:r>
    </w:p>
    <w:p w14:paraId="7B78124D" w14:textId="77777777" w:rsidR="00B17E6C" w:rsidRPr="00D10445" w:rsidRDefault="00B17E6C" w:rsidP="00A759B1">
      <w:pPr>
        <w:pStyle w:val="Bullet"/>
        <w:ind w:left="851"/>
      </w:pPr>
      <w:r w:rsidRPr="00D10445">
        <w:t>progress reports</w:t>
      </w:r>
    </w:p>
    <w:p w14:paraId="7B78124E" w14:textId="77777777" w:rsidR="00B17E6C" w:rsidRPr="00DB4343" w:rsidRDefault="00B17E6C" w:rsidP="00A759B1">
      <w:pPr>
        <w:pStyle w:val="Bullet"/>
        <w:ind w:left="851"/>
      </w:pPr>
      <w:r w:rsidRPr="00DB4343">
        <w:t>accreditation or audits undertaken by third parties</w:t>
      </w:r>
      <w:r>
        <w:t xml:space="preserve"> as available.</w:t>
      </w:r>
    </w:p>
    <w:p w14:paraId="7B78124F" w14:textId="77777777" w:rsidR="00B17E6C" w:rsidRDefault="00B17E6C" w:rsidP="00A759B1"/>
    <w:p w14:paraId="7B781250" w14:textId="77777777" w:rsidR="00B17E6C" w:rsidRPr="00DB4343" w:rsidRDefault="00B17E6C" w:rsidP="00A759B1">
      <w:r w:rsidRPr="00DB4343">
        <w:t>The lead auditor also:</w:t>
      </w:r>
    </w:p>
    <w:p w14:paraId="7B781251" w14:textId="77777777" w:rsidR="00B17E6C" w:rsidRPr="00DB4343" w:rsidRDefault="00B17E6C" w:rsidP="007939DC">
      <w:pPr>
        <w:pStyle w:val="Number"/>
        <w:numPr>
          <w:ilvl w:val="3"/>
          <w:numId w:val="19"/>
        </w:numPr>
        <w:spacing w:before="120"/>
      </w:pPr>
      <w:r>
        <w:t>c</w:t>
      </w:r>
      <w:r w:rsidRPr="00DB4343">
        <w:t xml:space="preserve">hairs the opening and closing meetings with the screening service </w:t>
      </w:r>
      <w:r>
        <w:t xml:space="preserve">and </w:t>
      </w:r>
      <w:r w:rsidRPr="00DB4343">
        <w:t>maintain</w:t>
      </w:r>
      <w:r>
        <w:t>s</w:t>
      </w:r>
      <w:r w:rsidRPr="00DB4343">
        <w:t xml:space="preserve"> a record of these</w:t>
      </w:r>
    </w:p>
    <w:p w14:paraId="7B781252" w14:textId="77777777" w:rsidR="00B17E6C" w:rsidRPr="00DB4343" w:rsidRDefault="00B17E6C" w:rsidP="00A759B1">
      <w:pPr>
        <w:pStyle w:val="Number"/>
        <w:spacing w:before="120"/>
      </w:pPr>
      <w:r>
        <w:t>e</w:t>
      </w:r>
      <w:r w:rsidRPr="00DB4343">
        <w:t>nsures the opening and closing meetings conform with the requirements of AS/NZS ISO/IEC 17021-1/17065 and AS/NZS ISO 19011 and include a discussion with the provider about the audit objectives</w:t>
      </w:r>
    </w:p>
    <w:p w14:paraId="7B781253" w14:textId="77777777" w:rsidR="00B17E6C" w:rsidRPr="00DB4343" w:rsidRDefault="00B17E6C" w:rsidP="00A759B1">
      <w:pPr>
        <w:pStyle w:val="Number"/>
        <w:spacing w:before="120"/>
      </w:pPr>
      <w:r>
        <w:t>e</w:t>
      </w:r>
      <w:r w:rsidRPr="00DB4343">
        <w:t>nsures the audit team</w:t>
      </w:r>
      <w:r w:rsidRPr="00DB4343" w:rsidDel="009B2186">
        <w:t xml:space="preserve"> </w:t>
      </w:r>
      <w:r w:rsidRPr="00DB4343">
        <w:t>substantiat</w:t>
      </w:r>
      <w:r>
        <w:t>es</w:t>
      </w:r>
      <w:r w:rsidRPr="00DB4343">
        <w:t xml:space="preserve"> and validat</w:t>
      </w:r>
      <w:r>
        <w:t xml:space="preserve">es </w:t>
      </w:r>
      <w:r w:rsidRPr="00DB4343">
        <w:t xml:space="preserve">information </w:t>
      </w:r>
      <w:r>
        <w:t xml:space="preserve">it has </w:t>
      </w:r>
      <w:r w:rsidRPr="00DB4343">
        <w:t>gathered</w:t>
      </w:r>
      <w:r>
        <w:t xml:space="preserve"> before</w:t>
      </w:r>
      <w:r w:rsidRPr="00DB4343">
        <w:t xml:space="preserve"> us</w:t>
      </w:r>
      <w:r>
        <w:t>ing it</w:t>
      </w:r>
      <w:r w:rsidRPr="00DB4343">
        <w:t xml:space="preserve"> as audit evidence</w:t>
      </w:r>
    </w:p>
    <w:p w14:paraId="7B781254" w14:textId="77777777" w:rsidR="00B17E6C" w:rsidRPr="00BB62E0" w:rsidRDefault="00B17E6C" w:rsidP="00A759B1">
      <w:pPr>
        <w:pStyle w:val="Number"/>
        <w:spacing w:before="120"/>
        <w:rPr>
          <w:spacing w:val="-2"/>
        </w:rPr>
      </w:pPr>
      <w:r>
        <w:rPr>
          <w:spacing w:val="-2"/>
        </w:rPr>
        <w:t>e</w:t>
      </w:r>
      <w:r w:rsidRPr="00BB62E0">
        <w:rPr>
          <w:spacing w:val="-2"/>
        </w:rPr>
        <w:t xml:space="preserve">nsures the provider receives a copy of the audit findings and corrective action required at the closing meeting. </w:t>
      </w:r>
      <w:r>
        <w:rPr>
          <w:spacing w:val="-2"/>
        </w:rPr>
        <w:t>They also f</w:t>
      </w:r>
      <w:r w:rsidRPr="00BB62E0">
        <w:rPr>
          <w:spacing w:val="-2"/>
        </w:rPr>
        <w:t xml:space="preserve">orward a copy of the corrective actions report generated on site to the NSU programme relationship manager within 24 hours if </w:t>
      </w:r>
      <w:r>
        <w:rPr>
          <w:spacing w:val="-2"/>
        </w:rPr>
        <w:t>it contains</w:t>
      </w:r>
      <w:r w:rsidRPr="00BB62E0">
        <w:rPr>
          <w:spacing w:val="-2"/>
        </w:rPr>
        <w:t xml:space="preserve"> any critical or high-risk findings</w:t>
      </w:r>
    </w:p>
    <w:p w14:paraId="7B781255" w14:textId="77777777" w:rsidR="00B17E6C" w:rsidRPr="00830BA6" w:rsidRDefault="00B17E6C" w:rsidP="00A759B1">
      <w:pPr>
        <w:pStyle w:val="Number"/>
        <w:spacing w:before="120"/>
      </w:pPr>
      <w:r>
        <w:lastRenderedPageBreak/>
        <w:t>e</w:t>
      </w:r>
      <w:r w:rsidRPr="00DB4343">
        <w:t xml:space="preserve">nsures the provider has obtained </w:t>
      </w:r>
      <w:r w:rsidRPr="00830BA6">
        <w:t>consumers</w:t>
      </w:r>
      <w:r w:rsidR="00E33EDB">
        <w:t>’</w:t>
      </w:r>
      <w:r w:rsidRPr="00830BA6">
        <w:t xml:space="preserve"> </w:t>
      </w:r>
      <w:r w:rsidRPr="00DB4343">
        <w:t>verbal con</w:t>
      </w:r>
      <w:r w:rsidRPr="00830BA6">
        <w:t>sent</w:t>
      </w:r>
      <w:r w:rsidRPr="00BB62E0">
        <w:rPr>
          <w:sz w:val="16"/>
          <w:szCs w:val="16"/>
        </w:rPr>
        <w:t xml:space="preserve"> </w:t>
      </w:r>
      <w:r w:rsidRPr="00830BA6">
        <w:t xml:space="preserve">for the audit team to interview </w:t>
      </w:r>
      <w:r>
        <w:t>them</w:t>
      </w:r>
    </w:p>
    <w:p w14:paraId="7B781256" w14:textId="77777777" w:rsidR="00B17E6C" w:rsidRPr="00DB4343" w:rsidRDefault="00B17E6C" w:rsidP="00A759B1">
      <w:pPr>
        <w:pStyle w:val="Number"/>
        <w:spacing w:before="120"/>
      </w:pPr>
      <w:r>
        <w:t>n</w:t>
      </w:r>
      <w:r w:rsidRPr="00DB4343">
        <w:t>otifies the DAA Group</w:t>
      </w:r>
      <w:r>
        <w:t xml:space="preserve"> NSU</w:t>
      </w:r>
      <w:r w:rsidRPr="00DB4343">
        <w:t xml:space="preserve"> </w:t>
      </w:r>
      <w:r>
        <w:t>c</w:t>
      </w:r>
      <w:r w:rsidRPr="00DB4343">
        <w:t xml:space="preserve">lient </w:t>
      </w:r>
      <w:r>
        <w:t>m</w:t>
      </w:r>
      <w:r w:rsidRPr="00DB4343">
        <w:t xml:space="preserve">anager and/or NSU programme manager about the progress of an audit where </w:t>
      </w:r>
      <w:r>
        <w:t xml:space="preserve">the audit has identified </w:t>
      </w:r>
      <w:r w:rsidRPr="00DB4343">
        <w:t>a high or critical risk</w:t>
      </w:r>
    </w:p>
    <w:p w14:paraId="7B781257" w14:textId="77777777" w:rsidR="00B17E6C" w:rsidRPr="00DB4343" w:rsidRDefault="00B17E6C" w:rsidP="00A759B1">
      <w:pPr>
        <w:pStyle w:val="Number"/>
        <w:spacing w:before="120"/>
      </w:pPr>
      <w:r>
        <w:t>c</w:t>
      </w:r>
      <w:r w:rsidRPr="00DB4343">
        <w:t>oordinates the audit team and is a resource to the team (see AS/NZS ISO 19011), for example in helping to validate information collected</w:t>
      </w:r>
    </w:p>
    <w:p w14:paraId="7B781258" w14:textId="77777777" w:rsidR="00B17E6C" w:rsidRPr="00DB4343" w:rsidRDefault="00B17E6C" w:rsidP="00A759B1">
      <w:pPr>
        <w:pStyle w:val="Number"/>
        <w:spacing w:before="120"/>
      </w:pPr>
      <w:r>
        <w:t>i</w:t>
      </w:r>
      <w:r w:rsidRPr="00DB4343">
        <w:t>s the central point of contact for the provider throughout the on</w:t>
      </w:r>
      <w:r>
        <w:t>-</w:t>
      </w:r>
      <w:r w:rsidRPr="00DB4343">
        <w:t>site audit, liaising with them as appropriate to ensure openness and transparency throughout (see AS/NZS ISO 19011)</w:t>
      </w:r>
    </w:p>
    <w:p w14:paraId="7B781259" w14:textId="77777777" w:rsidR="00B17E6C" w:rsidRPr="00DB4343" w:rsidRDefault="00B17E6C" w:rsidP="00A759B1">
      <w:pPr>
        <w:pStyle w:val="Number"/>
        <w:spacing w:before="120"/>
      </w:pPr>
      <w:r>
        <w:t>r</w:t>
      </w:r>
      <w:r w:rsidRPr="00DB4343">
        <w:t xml:space="preserve">eviews the full audit report </w:t>
      </w:r>
      <w:r>
        <w:t>before it is</w:t>
      </w:r>
      <w:r w:rsidRPr="00DB4343">
        <w:t xml:space="preserve"> peer review</w:t>
      </w:r>
      <w:r>
        <w:t>ed</w:t>
      </w:r>
      <w:r w:rsidRPr="00DB4343">
        <w:t>, and</w:t>
      </w:r>
      <w:r>
        <w:t xml:space="preserve"> reviews the report</w:t>
      </w:r>
      <w:r w:rsidRPr="00DB4343">
        <w:t xml:space="preserve"> before</w:t>
      </w:r>
      <w:r>
        <w:t xml:space="preserve"> it is</w:t>
      </w:r>
      <w:r w:rsidRPr="00DB4343">
        <w:t xml:space="preserve"> submi</w:t>
      </w:r>
      <w:r>
        <w:t>tted</w:t>
      </w:r>
      <w:r w:rsidRPr="00DB4343">
        <w:t xml:space="preserve"> to the NSU</w:t>
      </w:r>
    </w:p>
    <w:p w14:paraId="7B78125A" w14:textId="77777777" w:rsidR="00B17E6C" w:rsidRDefault="00B17E6C" w:rsidP="00A759B1">
      <w:pPr>
        <w:pStyle w:val="Number"/>
        <w:spacing w:before="120"/>
      </w:pPr>
      <w:r>
        <w:t>p</w:t>
      </w:r>
      <w:r w:rsidRPr="00DB4343">
        <w:t xml:space="preserve">rovides any feedback </w:t>
      </w:r>
      <w:r>
        <w:t xml:space="preserve">on </w:t>
      </w:r>
      <w:r w:rsidRPr="00DB4343">
        <w:t>audit team performance to the DAA Group.</w:t>
      </w:r>
    </w:p>
    <w:p w14:paraId="7B78125B" w14:textId="77777777" w:rsidR="00A759B1" w:rsidRPr="00DB4343" w:rsidRDefault="00A759B1" w:rsidP="00A759B1"/>
    <w:p w14:paraId="7B78125C" w14:textId="77777777" w:rsidR="00B17E6C" w:rsidRPr="0061352E" w:rsidRDefault="00B17E6C" w:rsidP="00A759B1">
      <w:pPr>
        <w:pStyle w:val="Heading2"/>
        <w:rPr>
          <w:rFonts w:eastAsia="Arial"/>
        </w:rPr>
      </w:pPr>
      <w:bookmarkStart w:id="111" w:name="_Toc371769433"/>
      <w:bookmarkStart w:id="112" w:name="_Toc414889615"/>
      <w:bookmarkStart w:id="113" w:name="_Toc485385891"/>
      <w:bookmarkStart w:id="114" w:name="_Toc68012575"/>
      <w:bookmarkStart w:id="115" w:name="_Toc90391846"/>
      <w:r w:rsidRPr="0061352E">
        <w:rPr>
          <w:rFonts w:eastAsia="Arial"/>
        </w:rPr>
        <w:t xml:space="preserve">Technical </w:t>
      </w:r>
      <w:r>
        <w:rPr>
          <w:rFonts w:eastAsia="Arial"/>
        </w:rPr>
        <w:t>e</w:t>
      </w:r>
      <w:r w:rsidRPr="0061352E">
        <w:rPr>
          <w:rFonts w:eastAsia="Arial"/>
        </w:rPr>
        <w:t>xpert</w:t>
      </w:r>
      <w:bookmarkEnd w:id="111"/>
      <w:bookmarkEnd w:id="112"/>
      <w:bookmarkEnd w:id="113"/>
      <w:r>
        <w:rPr>
          <w:rFonts w:eastAsia="Arial"/>
        </w:rPr>
        <w:t xml:space="preserve"> a</w:t>
      </w:r>
      <w:r w:rsidRPr="0061352E">
        <w:rPr>
          <w:rFonts w:eastAsia="Arial"/>
        </w:rPr>
        <w:t>ssessor</w:t>
      </w:r>
      <w:bookmarkEnd w:id="114"/>
      <w:bookmarkEnd w:id="115"/>
    </w:p>
    <w:p w14:paraId="7B78125D" w14:textId="77777777" w:rsidR="00E33EDB" w:rsidRDefault="00B17E6C" w:rsidP="00A759B1">
      <w:r w:rsidRPr="0061352E">
        <w:t xml:space="preserve">A technical expert assessor (TEA) is an experienced health professional </w:t>
      </w:r>
      <w:r>
        <w:t>who has</w:t>
      </w:r>
      <w:r w:rsidRPr="0061352E">
        <w:t xml:space="preserve"> a current annual practising certificate or equivalent</w:t>
      </w:r>
      <w:r>
        <w:t>,</w:t>
      </w:r>
      <w:r w:rsidRPr="0061352E">
        <w:t xml:space="preserve"> </w:t>
      </w:r>
      <w:r>
        <w:t xml:space="preserve">along with </w:t>
      </w:r>
      <w:r w:rsidRPr="0061352E">
        <w:t xml:space="preserve">demonstrated knowledge, skills and experience related to the screening programme being audited. </w:t>
      </w:r>
      <w:bookmarkStart w:id="116" w:name="_Hlk61424888"/>
      <w:r w:rsidRPr="0061352E">
        <w:t>The DAA Group will train the TEA to perform this role.</w:t>
      </w:r>
    </w:p>
    <w:bookmarkEnd w:id="116"/>
    <w:p w14:paraId="7B78125E" w14:textId="77777777" w:rsidR="00B17E6C" w:rsidRPr="0061352E" w:rsidRDefault="00B17E6C" w:rsidP="00A759B1"/>
    <w:p w14:paraId="7B78125F" w14:textId="77777777" w:rsidR="00B17E6C" w:rsidRPr="0061352E" w:rsidRDefault="00B17E6C" w:rsidP="00A759B1">
      <w:r w:rsidRPr="0061352E">
        <w:t>TEAs must be included in verification audits for each of the screening programme services.</w:t>
      </w:r>
    </w:p>
    <w:p w14:paraId="7B781260" w14:textId="77777777" w:rsidR="00B17E6C" w:rsidRPr="0061352E" w:rsidRDefault="00B17E6C" w:rsidP="00A759B1"/>
    <w:p w14:paraId="7B781261" w14:textId="77777777" w:rsidR="00B17E6C" w:rsidRPr="0061352E" w:rsidRDefault="00B17E6C" w:rsidP="00A759B1">
      <w:r w:rsidRPr="0061352E">
        <w:t>In some cases, the TEA can provide advice remotely.</w:t>
      </w:r>
    </w:p>
    <w:p w14:paraId="7B781262" w14:textId="77777777" w:rsidR="00B17E6C" w:rsidRPr="0061352E" w:rsidRDefault="00B17E6C" w:rsidP="00A759B1"/>
    <w:p w14:paraId="7B781263" w14:textId="77777777" w:rsidR="00B17E6C" w:rsidRPr="0061352E" w:rsidRDefault="00B17E6C" w:rsidP="00A759B1">
      <w:r w:rsidRPr="0061352E">
        <w:t>A technical expert assessor will:</w:t>
      </w:r>
    </w:p>
    <w:p w14:paraId="7B781264" w14:textId="77777777" w:rsidR="00B17E6C" w:rsidRPr="0061352E" w:rsidRDefault="00B17E6C" w:rsidP="00A759B1">
      <w:pPr>
        <w:pStyle w:val="Number"/>
        <w:spacing w:before="120"/>
      </w:pPr>
      <w:r>
        <w:t>h</w:t>
      </w:r>
      <w:r w:rsidRPr="0061352E">
        <w:t>ave demonstrated knowledge and skills related to</w:t>
      </w:r>
      <w:r>
        <w:t>,</w:t>
      </w:r>
      <w:r w:rsidRPr="0061352E">
        <w:t xml:space="preserve"> and recent experience of</w:t>
      </w:r>
      <w:r>
        <w:t>,</w:t>
      </w:r>
      <w:r w:rsidRPr="0061352E">
        <w:t xml:space="preserve"> working within the screening service being audited</w:t>
      </w:r>
    </w:p>
    <w:p w14:paraId="7B781265" w14:textId="77777777" w:rsidR="00B17E6C" w:rsidRPr="0061352E" w:rsidRDefault="00B17E6C" w:rsidP="00A759B1">
      <w:pPr>
        <w:pStyle w:val="Number"/>
        <w:spacing w:before="120"/>
      </w:pPr>
      <w:r>
        <w:t xml:space="preserve">have capability </w:t>
      </w:r>
      <w:r w:rsidRPr="0061352E">
        <w:t xml:space="preserve">to reach an informed opinion on the appropriateness of the services </w:t>
      </w:r>
      <w:r>
        <w:t>of</w:t>
      </w:r>
      <w:r w:rsidRPr="0061352E">
        <w:t xml:space="preserve"> the screening service being audited</w:t>
      </w:r>
    </w:p>
    <w:p w14:paraId="7B781266" w14:textId="77777777" w:rsidR="00B17E6C" w:rsidRPr="0061352E" w:rsidRDefault="00B17E6C" w:rsidP="00A759B1">
      <w:pPr>
        <w:pStyle w:val="Number"/>
        <w:spacing w:before="120"/>
      </w:pPr>
      <w:r>
        <w:t>b</w:t>
      </w:r>
      <w:r w:rsidRPr="0061352E">
        <w:t>e able to identify trends in relation to service delivery</w:t>
      </w:r>
    </w:p>
    <w:p w14:paraId="7B781267" w14:textId="77777777" w:rsidR="00B17E6C" w:rsidRDefault="00B17E6C" w:rsidP="00A759B1">
      <w:pPr>
        <w:pStyle w:val="Number"/>
        <w:spacing w:before="120"/>
      </w:pPr>
      <w:r>
        <w:t>c</w:t>
      </w:r>
      <w:r w:rsidRPr="0061352E">
        <w:t>omplete a conflict-of-interest declaration</w:t>
      </w:r>
      <w:r>
        <w:t>.</w:t>
      </w:r>
    </w:p>
    <w:p w14:paraId="7B781268" w14:textId="77777777" w:rsidR="00A759B1" w:rsidRPr="0061352E" w:rsidRDefault="00A759B1" w:rsidP="00A759B1"/>
    <w:p w14:paraId="7B781269" w14:textId="77777777" w:rsidR="00B17E6C" w:rsidRPr="0061352E" w:rsidRDefault="00B17E6C" w:rsidP="00A759B1">
      <w:pPr>
        <w:pStyle w:val="Heading2"/>
        <w:rPr>
          <w:rFonts w:eastAsia="Arial"/>
        </w:rPr>
      </w:pPr>
      <w:bookmarkStart w:id="117" w:name="_Toc371769434"/>
      <w:bookmarkStart w:id="118" w:name="_Toc414889616"/>
      <w:bookmarkStart w:id="119" w:name="_Toc485385892"/>
      <w:bookmarkStart w:id="120" w:name="_Ref6736871"/>
      <w:bookmarkStart w:id="121" w:name="_Toc68012576"/>
      <w:bookmarkStart w:id="122" w:name="_Toc90391847"/>
      <w:r w:rsidRPr="0061352E">
        <w:rPr>
          <w:rFonts w:eastAsia="Arial"/>
        </w:rPr>
        <w:lastRenderedPageBreak/>
        <w:t>Consumer auditors</w:t>
      </w:r>
      <w:bookmarkEnd w:id="117"/>
      <w:bookmarkEnd w:id="118"/>
      <w:bookmarkEnd w:id="119"/>
      <w:bookmarkEnd w:id="120"/>
      <w:bookmarkEnd w:id="121"/>
      <w:bookmarkEnd w:id="122"/>
    </w:p>
    <w:p w14:paraId="7B78126A" w14:textId="77777777" w:rsidR="00B17E6C" w:rsidRPr="001C2577" w:rsidRDefault="00B17E6C" w:rsidP="00A759B1">
      <w:pPr>
        <w:keepNext/>
      </w:pPr>
      <w:r w:rsidRPr="001C2577">
        <w:t xml:space="preserve">A consumer auditor, when </w:t>
      </w:r>
      <w:r>
        <w:t>included in the audit team</w:t>
      </w:r>
      <w:r w:rsidRPr="001C2577">
        <w:t>, is expected to:</w:t>
      </w:r>
    </w:p>
    <w:p w14:paraId="7B78126B" w14:textId="77777777" w:rsidR="00B17E6C" w:rsidRPr="001C2577" w:rsidRDefault="00B17E6C" w:rsidP="00A759B1">
      <w:pPr>
        <w:pStyle w:val="Bullet"/>
        <w:keepNext/>
      </w:pPr>
      <w:r>
        <w:t>b</w:t>
      </w:r>
      <w:r w:rsidRPr="001C2577">
        <w:t>e involved in planning and prepar</w:t>
      </w:r>
      <w:r>
        <w:t>ing</w:t>
      </w:r>
      <w:r w:rsidRPr="001C2577">
        <w:t xml:space="preserve"> methods of service user participation in the audit and in evaluating the need for independent support for service users</w:t>
      </w:r>
    </w:p>
    <w:p w14:paraId="7B78126C" w14:textId="77777777" w:rsidR="00B17E6C" w:rsidRPr="001C2577" w:rsidRDefault="00B17E6C" w:rsidP="00A759B1">
      <w:pPr>
        <w:pStyle w:val="Bullet"/>
        <w:keepNext/>
      </w:pPr>
      <w:r>
        <w:t>p</w:t>
      </w:r>
      <w:r w:rsidRPr="001C2577">
        <w:t>articipate as a full audit team member</w:t>
      </w:r>
    </w:p>
    <w:p w14:paraId="7B78126D" w14:textId="77777777" w:rsidR="00B17E6C" w:rsidRPr="001C2577" w:rsidRDefault="00B17E6C" w:rsidP="00A759B1">
      <w:pPr>
        <w:pStyle w:val="Bullet"/>
        <w:keepNext/>
      </w:pPr>
      <w:r>
        <w:t>f</w:t>
      </w:r>
      <w:r w:rsidRPr="001C2577">
        <w:t>ocus on the experience of people who use the services</w:t>
      </w:r>
    </w:p>
    <w:p w14:paraId="7B78126E" w14:textId="77777777" w:rsidR="00B17E6C" w:rsidRPr="001C2577" w:rsidRDefault="00B17E6C" w:rsidP="00A759B1">
      <w:pPr>
        <w:pStyle w:val="Bullet"/>
      </w:pPr>
      <w:r>
        <w:t>b</w:t>
      </w:r>
      <w:r w:rsidRPr="001C2577">
        <w:t xml:space="preserve">e included in key meetings with the organisation, management, </w:t>
      </w:r>
      <w:proofErr w:type="gramStart"/>
      <w:r w:rsidRPr="001C2577">
        <w:t>staff</w:t>
      </w:r>
      <w:proofErr w:type="gramEnd"/>
      <w:r w:rsidRPr="001C2577">
        <w:t xml:space="preserve"> and consumers</w:t>
      </w:r>
    </w:p>
    <w:p w14:paraId="7B78126F" w14:textId="77777777" w:rsidR="00B17E6C" w:rsidRPr="001C2577" w:rsidRDefault="00B17E6C" w:rsidP="00A759B1">
      <w:pPr>
        <w:pStyle w:val="Bullet"/>
      </w:pPr>
      <w:r>
        <w:t>f</w:t>
      </w:r>
      <w:r w:rsidRPr="001C2577">
        <w:t>acilitate meetings and interviews with service users and consumer groups</w:t>
      </w:r>
    </w:p>
    <w:p w14:paraId="7B781270" w14:textId="77777777" w:rsidR="00B17E6C" w:rsidRPr="001C2577" w:rsidRDefault="00B17E6C" w:rsidP="00A759B1">
      <w:pPr>
        <w:pStyle w:val="Bullet"/>
      </w:pPr>
      <w:r>
        <w:t>i</w:t>
      </w:r>
      <w:r w:rsidRPr="001C2577">
        <w:t>nterview service users independently and work under the direction of the lead auditor when completing any other aspects of the audit</w:t>
      </w:r>
    </w:p>
    <w:p w14:paraId="7B781271" w14:textId="77777777" w:rsidR="00B17E6C" w:rsidRPr="001C2577" w:rsidRDefault="00B17E6C" w:rsidP="00A759B1">
      <w:pPr>
        <w:pStyle w:val="Bullet"/>
      </w:pPr>
      <w:r>
        <w:t>b</w:t>
      </w:r>
      <w:r w:rsidRPr="001C2577">
        <w:t>e engaged under the normal principles of employment related to term of appointment, contract, remuneration, job description and adherence to codes of conduct such as those on confidentiality, non-disclosure protocols and conflict-of-interest declarations, in the same way that those principles apply to all other team members</w:t>
      </w:r>
    </w:p>
    <w:p w14:paraId="7B781272" w14:textId="77777777" w:rsidR="00B17E6C" w:rsidRPr="001C2577" w:rsidRDefault="00B17E6C" w:rsidP="00A759B1">
      <w:pPr>
        <w:pStyle w:val="Bullet"/>
      </w:pPr>
      <w:r>
        <w:t>b</w:t>
      </w:r>
      <w:r w:rsidRPr="001C2577">
        <w:t>e trained in auditing principles, the use of the approved standards and audit tools as a member of the audit team</w:t>
      </w:r>
    </w:p>
    <w:p w14:paraId="7B781273" w14:textId="77777777" w:rsidR="00B17E6C" w:rsidRPr="001C2577" w:rsidRDefault="00B17E6C" w:rsidP="00A759B1">
      <w:pPr>
        <w:pStyle w:val="Bullet"/>
      </w:pPr>
      <w:r>
        <w:t>h</w:t>
      </w:r>
      <w:r w:rsidRPr="001C2577">
        <w:t xml:space="preserve">ave the following knowledge, </w:t>
      </w:r>
      <w:proofErr w:type="gramStart"/>
      <w:r w:rsidRPr="001C2577">
        <w:t>skills</w:t>
      </w:r>
      <w:proofErr w:type="gramEnd"/>
      <w:r w:rsidRPr="001C2577">
        <w:t xml:space="preserve"> and attributes:</w:t>
      </w:r>
    </w:p>
    <w:p w14:paraId="7B781274" w14:textId="77777777" w:rsidR="00B17E6C" w:rsidRPr="001C2577" w:rsidRDefault="00B17E6C" w:rsidP="00A759B1">
      <w:pPr>
        <w:pStyle w:val="Dash"/>
      </w:pPr>
      <w:r w:rsidRPr="001C2577">
        <w:t>know</w:t>
      </w:r>
      <w:r>
        <w:t>ledge of</w:t>
      </w:r>
      <w:r w:rsidRPr="001C2577">
        <w:t xml:space="preserve"> the legislative and regulatory requirements for the service being audited</w:t>
      </w:r>
    </w:p>
    <w:p w14:paraId="7B781275" w14:textId="77777777" w:rsidR="00B17E6C" w:rsidRPr="001C2577" w:rsidRDefault="00B17E6C" w:rsidP="00A759B1">
      <w:pPr>
        <w:pStyle w:val="Dash"/>
      </w:pPr>
      <w:r w:rsidRPr="001C2577">
        <w:t>understand</w:t>
      </w:r>
      <w:r>
        <w:t>ing of</w:t>
      </w:r>
      <w:r w:rsidRPr="001C2577">
        <w:t xml:space="preserve"> continuous improvement concepts, </w:t>
      </w:r>
      <w:proofErr w:type="gramStart"/>
      <w:r w:rsidRPr="001C2577">
        <w:t>methodologies</w:t>
      </w:r>
      <w:proofErr w:type="gramEnd"/>
      <w:r w:rsidRPr="001C2577">
        <w:t xml:space="preserve"> and planning processes</w:t>
      </w:r>
    </w:p>
    <w:p w14:paraId="7B781276" w14:textId="77777777" w:rsidR="00B17E6C" w:rsidRPr="001C2577" w:rsidRDefault="00B17E6C" w:rsidP="00A759B1">
      <w:pPr>
        <w:pStyle w:val="Dash"/>
      </w:pPr>
      <w:r w:rsidRPr="001C2577">
        <w:t>understand</w:t>
      </w:r>
      <w:r>
        <w:t>ing of</w:t>
      </w:r>
      <w:r w:rsidRPr="001C2577">
        <w:t xml:space="preserve"> quality management systems</w:t>
      </w:r>
    </w:p>
    <w:p w14:paraId="7B781277" w14:textId="77777777" w:rsidR="00B17E6C" w:rsidRPr="001C2577" w:rsidRDefault="00B17E6C" w:rsidP="00A759B1">
      <w:pPr>
        <w:pStyle w:val="Dash"/>
      </w:pPr>
      <w:r>
        <w:t xml:space="preserve">ability to </w:t>
      </w:r>
      <w:r w:rsidRPr="001C2577">
        <w:t>communicate effectively in writing or orally or to use alternative communication systems with all parties involved in the audit process.</w:t>
      </w:r>
    </w:p>
    <w:p w14:paraId="7B781278" w14:textId="77777777" w:rsidR="00B17E6C" w:rsidRPr="001C2577" w:rsidRDefault="00B17E6C" w:rsidP="00A759B1"/>
    <w:p w14:paraId="7B781279" w14:textId="77777777" w:rsidR="00E33EDB" w:rsidRDefault="00B17E6C" w:rsidP="00A759B1">
      <w:r w:rsidRPr="00243146">
        <w:t xml:space="preserve">When a consumer auditor </w:t>
      </w:r>
      <w:r>
        <w:t xml:space="preserve">is </w:t>
      </w:r>
      <w:r w:rsidRPr="00243146">
        <w:t>included in the audit team</w:t>
      </w:r>
      <w:r>
        <w:t>,</w:t>
      </w:r>
      <w:r w:rsidRPr="00243146">
        <w:t xml:space="preserve"> the </w:t>
      </w:r>
      <w:r>
        <w:t>team</w:t>
      </w:r>
      <w:r w:rsidRPr="00243146">
        <w:t xml:space="preserve"> will comprise a minimum of two members:</w:t>
      </w:r>
      <w:r>
        <w:t xml:space="preserve"> either</w:t>
      </w:r>
      <w:r w:rsidRPr="00243146">
        <w:t xml:space="preserve"> </w:t>
      </w:r>
      <w:r>
        <w:t xml:space="preserve">a consumer auditor and </w:t>
      </w:r>
      <w:r w:rsidRPr="00243146">
        <w:t>a combined role of lead auditor/technical expert assessor; or a combined role</w:t>
      </w:r>
      <w:r>
        <w:t xml:space="preserve"> of</w:t>
      </w:r>
      <w:r w:rsidRPr="00243146">
        <w:t xml:space="preserve"> lead auditor/consumer auditor and a technical expert assessor.</w:t>
      </w:r>
    </w:p>
    <w:p w14:paraId="7B78127A" w14:textId="77777777" w:rsidR="00B17E6C" w:rsidRPr="00724A71" w:rsidRDefault="00B17E6C" w:rsidP="00A759B1"/>
    <w:p w14:paraId="7B78127B" w14:textId="77777777" w:rsidR="00B17E6C" w:rsidRPr="00724A71" w:rsidRDefault="00B17E6C" w:rsidP="00A759B1">
      <w:r w:rsidRPr="00724A71">
        <w:t>The Health Information Privacy Code 1994 states that the disclosure of a person</w:t>
      </w:r>
      <w:r w:rsidR="00E33EDB">
        <w:t>’</w:t>
      </w:r>
      <w:r w:rsidRPr="00724A71">
        <w:t>s private health information is permitted only to the extent necessary for the specific purpose.</w:t>
      </w:r>
      <w:r>
        <w:t xml:space="preserve"> </w:t>
      </w:r>
      <w:r w:rsidRPr="00724A71">
        <w:t>Given the scope of their role, the consumer auditor will not review clinical information, for example:</w:t>
      </w:r>
    </w:p>
    <w:p w14:paraId="7B78127C" w14:textId="77777777" w:rsidR="00B17E6C" w:rsidRPr="00724A71" w:rsidRDefault="00B17E6C" w:rsidP="00A759B1">
      <w:pPr>
        <w:pStyle w:val="Bullet"/>
        <w:spacing w:before="60"/>
      </w:pPr>
      <w:r>
        <w:t>m</w:t>
      </w:r>
      <w:r w:rsidRPr="00724A71">
        <w:t>edical specialist letters</w:t>
      </w:r>
    </w:p>
    <w:p w14:paraId="7B78127D" w14:textId="77777777" w:rsidR="00B17E6C" w:rsidRPr="00724A71" w:rsidRDefault="00B17E6C" w:rsidP="00A759B1">
      <w:pPr>
        <w:pStyle w:val="Bullet"/>
        <w:spacing w:before="60"/>
      </w:pPr>
      <w:r>
        <w:t>m</w:t>
      </w:r>
      <w:r w:rsidRPr="00724A71">
        <w:t>edical records</w:t>
      </w:r>
    </w:p>
    <w:p w14:paraId="7B78127E" w14:textId="77777777" w:rsidR="00B17E6C" w:rsidRPr="00724A71" w:rsidRDefault="00B17E6C" w:rsidP="00A759B1">
      <w:pPr>
        <w:pStyle w:val="Bullet"/>
        <w:spacing w:before="60"/>
      </w:pPr>
      <w:r>
        <w:t>m</w:t>
      </w:r>
      <w:r w:rsidRPr="00724A71">
        <w:t>edication records.</w:t>
      </w:r>
    </w:p>
    <w:p w14:paraId="7B78127F" w14:textId="77777777" w:rsidR="00B17E6C" w:rsidRDefault="00B17E6C" w:rsidP="00A759B1"/>
    <w:p w14:paraId="7B781280" w14:textId="77777777" w:rsidR="00B17E6C" w:rsidRPr="00724A71" w:rsidRDefault="00B17E6C" w:rsidP="00A759B1">
      <w:r w:rsidRPr="00724A71">
        <w:t>They may view personal plans, for example:</w:t>
      </w:r>
    </w:p>
    <w:p w14:paraId="7B781281" w14:textId="77777777" w:rsidR="00B17E6C" w:rsidRPr="00724A71" w:rsidRDefault="00B17E6C" w:rsidP="00A759B1">
      <w:pPr>
        <w:pStyle w:val="Bullet"/>
        <w:spacing w:before="60"/>
      </w:pPr>
      <w:r>
        <w:t>i</w:t>
      </w:r>
      <w:r w:rsidRPr="00724A71">
        <w:t>nformed consent forms</w:t>
      </w:r>
    </w:p>
    <w:p w14:paraId="7B781282" w14:textId="77777777" w:rsidR="005117ED" w:rsidRPr="00724A71" w:rsidRDefault="00B17E6C" w:rsidP="005117ED">
      <w:pPr>
        <w:pStyle w:val="Bullet"/>
        <w:spacing w:before="60"/>
      </w:pPr>
      <w:r>
        <w:t>i</w:t>
      </w:r>
      <w:r w:rsidRPr="00724A71">
        <w:t>nformation about services in conjunction with service user interviews.</w:t>
      </w:r>
    </w:p>
    <w:p w14:paraId="7B781283" w14:textId="77777777" w:rsidR="00B17E6C" w:rsidRPr="008069F5" w:rsidRDefault="00B17E6C" w:rsidP="00A759B1">
      <w:pPr>
        <w:pStyle w:val="Heading1"/>
        <w:rPr>
          <w:rFonts w:eastAsia="Arial"/>
        </w:rPr>
      </w:pPr>
      <w:bookmarkStart w:id="123" w:name="_Toc371769439"/>
      <w:bookmarkStart w:id="124" w:name="_Toc414889621"/>
      <w:bookmarkStart w:id="125" w:name="_Toc485385897"/>
      <w:bookmarkStart w:id="126" w:name="_Ref6738081"/>
      <w:bookmarkStart w:id="127" w:name="_Ref6738107"/>
      <w:bookmarkStart w:id="128" w:name="_Ref6738731"/>
      <w:bookmarkStart w:id="129" w:name="_Ref6738776"/>
      <w:bookmarkStart w:id="130" w:name="_Toc68012577"/>
      <w:bookmarkStart w:id="131" w:name="_Toc90391848"/>
      <w:r w:rsidRPr="008069F5">
        <w:rPr>
          <w:rFonts w:eastAsia="Arial"/>
        </w:rPr>
        <w:lastRenderedPageBreak/>
        <w:t>Types of audits</w:t>
      </w:r>
      <w:bookmarkEnd w:id="123"/>
      <w:bookmarkEnd w:id="124"/>
      <w:bookmarkEnd w:id="125"/>
      <w:bookmarkEnd w:id="126"/>
      <w:bookmarkEnd w:id="127"/>
      <w:bookmarkEnd w:id="128"/>
      <w:bookmarkEnd w:id="129"/>
      <w:bookmarkEnd w:id="130"/>
      <w:bookmarkEnd w:id="131"/>
    </w:p>
    <w:p w14:paraId="7B781284" w14:textId="77777777" w:rsidR="00B17E6C" w:rsidRPr="003F6642" w:rsidRDefault="00B17E6C" w:rsidP="00A759B1">
      <w:pPr>
        <w:pStyle w:val="Heading2"/>
        <w:rPr>
          <w:rFonts w:eastAsia="Arial"/>
        </w:rPr>
      </w:pPr>
      <w:bookmarkStart w:id="132" w:name="_Toc68012578"/>
      <w:bookmarkStart w:id="133" w:name="_Toc371769440"/>
      <w:bookmarkStart w:id="134" w:name="_Toc414889622"/>
      <w:bookmarkStart w:id="135" w:name="_Toc485385898"/>
      <w:bookmarkStart w:id="136" w:name="_Toc90391849"/>
      <w:r w:rsidRPr="756231BE">
        <w:rPr>
          <w:rFonts w:eastAsia="Arial"/>
        </w:rPr>
        <w:t xml:space="preserve">NSU </w:t>
      </w:r>
      <w:r>
        <w:rPr>
          <w:rFonts w:eastAsia="Arial"/>
        </w:rPr>
        <w:t>v</w:t>
      </w:r>
      <w:r w:rsidRPr="756231BE">
        <w:rPr>
          <w:rFonts w:eastAsia="Arial"/>
        </w:rPr>
        <w:t>erification audit</w:t>
      </w:r>
      <w:bookmarkEnd w:id="132"/>
      <w:bookmarkEnd w:id="136"/>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843"/>
        <w:gridCol w:w="6237"/>
      </w:tblGrid>
      <w:tr w:rsidR="00B17E6C" w:rsidRPr="003F6642" w14:paraId="7B781287" w14:textId="77777777" w:rsidTr="007F4D57">
        <w:trPr>
          <w:cantSplit/>
        </w:trPr>
        <w:tc>
          <w:tcPr>
            <w:tcW w:w="1843" w:type="dxa"/>
            <w:tcBorders>
              <w:top w:val="single" w:sz="4" w:space="0" w:color="D9D9D9" w:themeColor="background1" w:themeShade="D9"/>
              <w:bottom w:val="single" w:sz="4" w:space="0" w:color="FFFFFF" w:themeColor="background1"/>
            </w:tcBorders>
            <w:shd w:val="clear" w:color="auto" w:fill="D9D9D9" w:themeFill="background1" w:themeFillShade="D9"/>
          </w:tcPr>
          <w:p w14:paraId="7B781285" w14:textId="77777777" w:rsidR="00B17E6C" w:rsidRPr="003F6642" w:rsidRDefault="00B17E6C" w:rsidP="007F4D57">
            <w:pPr>
              <w:pStyle w:val="TableText"/>
              <w:ind w:right="113"/>
              <w:rPr>
                <w:rFonts w:eastAsia="Arial"/>
                <w:b/>
              </w:rPr>
            </w:pPr>
            <w:r w:rsidRPr="003F6642">
              <w:rPr>
                <w:rFonts w:eastAsia="Arial"/>
                <w:b/>
              </w:rPr>
              <w:t>Definition</w:t>
            </w:r>
          </w:p>
        </w:tc>
        <w:tc>
          <w:tcPr>
            <w:tcW w:w="6237" w:type="dxa"/>
            <w:shd w:val="clear" w:color="auto" w:fill="auto"/>
          </w:tcPr>
          <w:p w14:paraId="7B781286" w14:textId="77777777" w:rsidR="00B17E6C" w:rsidRPr="003F6642" w:rsidRDefault="00B17E6C" w:rsidP="005117ED">
            <w:pPr>
              <w:pStyle w:val="TableText"/>
              <w:spacing w:after="120"/>
              <w:rPr>
                <w:rFonts w:eastAsia="Arial"/>
              </w:rPr>
            </w:pPr>
            <w:r>
              <w:rPr>
                <w:rFonts w:eastAsia="Arial"/>
              </w:rPr>
              <w:t>The purpose of the NSU programme</w:t>
            </w:r>
            <w:r w:rsidRPr="003F6642">
              <w:rPr>
                <w:rFonts w:eastAsia="Arial"/>
              </w:rPr>
              <w:t xml:space="preserve"> audit is to determine if a provider is </w:t>
            </w:r>
            <w:r>
              <w:rPr>
                <w:rFonts w:eastAsia="Arial"/>
              </w:rPr>
              <w:t>conforming to the relevant screening programme</w:t>
            </w:r>
            <w:r w:rsidR="00E33EDB">
              <w:rPr>
                <w:rFonts w:eastAsia="Arial"/>
              </w:rPr>
              <w:t>’</w:t>
            </w:r>
            <w:r>
              <w:rPr>
                <w:rFonts w:eastAsia="Arial"/>
              </w:rPr>
              <w:t>s quality and performance</w:t>
            </w:r>
            <w:r w:rsidRPr="003F6642">
              <w:rPr>
                <w:rFonts w:eastAsia="Arial"/>
              </w:rPr>
              <w:t xml:space="preserve"> standards.</w:t>
            </w:r>
            <w:r>
              <w:rPr>
                <w:rFonts w:eastAsia="Arial"/>
              </w:rPr>
              <w:t xml:space="preserve"> A verification audit is a full audit of defined standards as they apply to the provider</w:t>
            </w:r>
            <w:r w:rsidR="00E33EDB">
              <w:rPr>
                <w:rFonts w:eastAsia="Arial"/>
              </w:rPr>
              <w:t>’</w:t>
            </w:r>
            <w:r>
              <w:rPr>
                <w:rFonts w:eastAsia="Arial"/>
              </w:rPr>
              <w:t>s screening service (refer to the relevant programme</w:t>
            </w:r>
            <w:r w:rsidR="00E33EDB">
              <w:rPr>
                <w:rFonts w:eastAsia="Arial"/>
              </w:rPr>
              <w:t>’</w:t>
            </w:r>
            <w:r>
              <w:rPr>
                <w:rFonts w:eastAsia="Arial"/>
              </w:rPr>
              <w:t>s audit tool).</w:t>
            </w:r>
          </w:p>
        </w:tc>
      </w:tr>
      <w:tr w:rsidR="00B17E6C" w:rsidRPr="003F6642" w14:paraId="7B78128A" w14:textId="77777777" w:rsidTr="007F4D57">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88" w14:textId="77777777" w:rsidR="00B17E6C" w:rsidRPr="003F6642" w:rsidRDefault="00B17E6C" w:rsidP="007F4D57">
            <w:pPr>
              <w:pStyle w:val="TableText"/>
              <w:ind w:right="113"/>
              <w:rPr>
                <w:rFonts w:eastAsia="Arial"/>
                <w:b/>
              </w:rPr>
            </w:pPr>
            <w:r w:rsidRPr="003F6642">
              <w:rPr>
                <w:rFonts w:eastAsia="Arial"/>
                <w:b/>
              </w:rPr>
              <w:t>Applies to</w:t>
            </w:r>
          </w:p>
        </w:tc>
        <w:tc>
          <w:tcPr>
            <w:tcW w:w="6237" w:type="dxa"/>
            <w:shd w:val="clear" w:color="auto" w:fill="auto"/>
          </w:tcPr>
          <w:p w14:paraId="7B781289" w14:textId="77777777" w:rsidR="00B17E6C" w:rsidRPr="003F6642" w:rsidRDefault="00B17E6C" w:rsidP="005117ED">
            <w:pPr>
              <w:pStyle w:val="TableText"/>
              <w:spacing w:after="120"/>
              <w:rPr>
                <w:rFonts w:eastAsia="Arial"/>
              </w:rPr>
            </w:pPr>
            <w:r w:rsidRPr="00BC454A">
              <w:rPr>
                <w:rFonts w:eastAsia="Arial"/>
              </w:rPr>
              <w:t>The audit applies to</w:t>
            </w:r>
            <w:r>
              <w:rPr>
                <w:rFonts w:eastAsia="Arial"/>
              </w:rPr>
              <w:t xml:space="preserve"> </w:t>
            </w:r>
            <w:r w:rsidRPr="003F6642">
              <w:rPr>
                <w:rFonts w:eastAsia="Arial"/>
              </w:rPr>
              <w:t xml:space="preserve">all </w:t>
            </w:r>
            <w:r>
              <w:rPr>
                <w:rFonts w:eastAsia="Arial"/>
              </w:rPr>
              <w:t xml:space="preserve">screening </w:t>
            </w:r>
            <w:r w:rsidRPr="003F6642">
              <w:rPr>
                <w:rFonts w:eastAsia="Arial"/>
              </w:rPr>
              <w:t>providers</w:t>
            </w:r>
            <w:r>
              <w:rPr>
                <w:rFonts w:eastAsia="Arial"/>
              </w:rPr>
              <w:t xml:space="preserve"> that</w:t>
            </w:r>
            <w:r w:rsidRPr="003F6642">
              <w:rPr>
                <w:rFonts w:eastAsia="Arial"/>
              </w:rPr>
              <w:t xml:space="preserve"> provid</w:t>
            </w:r>
            <w:r>
              <w:rPr>
                <w:rFonts w:eastAsia="Arial"/>
              </w:rPr>
              <w:t>e</w:t>
            </w:r>
            <w:r w:rsidRPr="003F6642">
              <w:rPr>
                <w:rFonts w:eastAsia="Arial"/>
              </w:rPr>
              <w:t xml:space="preserve"> a </w:t>
            </w:r>
            <w:r>
              <w:rPr>
                <w:rFonts w:eastAsia="Arial"/>
              </w:rPr>
              <w:t>screening service in New Zealand.</w:t>
            </w:r>
          </w:p>
        </w:tc>
      </w:tr>
      <w:tr w:rsidR="00B17E6C" w:rsidRPr="003F6642" w14:paraId="7B78128E" w14:textId="77777777" w:rsidTr="007F4D57">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8B" w14:textId="77777777" w:rsidR="00B17E6C" w:rsidRPr="003F6642" w:rsidRDefault="00B17E6C" w:rsidP="007F4D57">
            <w:pPr>
              <w:pStyle w:val="TableText"/>
              <w:ind w:right="113"/>
              <w:rPr>
                <w:rFonts w:eastAsia="Arial"/>
                <w:b/>
              </w:rPr>
            </w:pPr>
            <w:r w:rsidRPr="003F6642">
              <w:rPr>
                <w:rFonts w:eastAsia="Arial"/>
                <w:b/>
              </w:rPr>
              <w:t>Scope</w:t>
            </w:r>
          </w:p>
        </w:tc>
        <w:tc>
          <w:tcPr>
            <w:tcW w:w="6237" w:type="dxa"/>
            <w:shd w:val="clear" w:color="auto" w:fill="auto"/>
          </w:tcPr>
          <w:p w14:paraId="7B78128C" w14:textId="77777777" w:rsidR="00B17E6C" w:rsidRPr="003F6642" w:rsidRDefault="00B17E6C" w:rsidP="007F4D57">
            <w:pPr>
              <w:pStyle w:val="TableText"/>
              <w:rPr>
                <w:rFonts w:eastAsia="Arial"/>
              </w:rPr>
            </w:pPr>
            <w:r w:rsidRPr="003F6642">
              <w:rPr>
                <w:rFonts w:eastAsia="Arial"/>
              </w:rPr>
              <w:t xml:space="preserve">The audit should meet </w:t>
            </w:r>
            <w:r>
              <w:rPr>
                <w:rFonts w:eastAsia="Arial"/>
              </w:rPr>
              <w:t>defined</w:t>
            </w:r>
            <w:r w:rsidRPr="003F6642">
              <w:rPr>
                <w:rFonts w:eastAsia="Arial"/>
              </w:rPr>
              <w:t xml:space="preserve"> relevant requirements of the </w:t>
            </w:r>
            <w:r>
              <w:rPr>
                <w:rFonts w:eastAsia="Arial"/>
              </w:rPr>
              <w:t>individual programme</w:t>
            </w:r>
            <w:r w:rsidR="00E33EDB">
              <w:rPr>
                <w:rFonts w:eastAsia="Arial"/>
              </w:rPr>
              <w:t>’</w:t>
            </w:r>
            <w:r>
              <w:rPr>
                <w:rFonts w:eastAsia="Arial"/>
              </w:rPr>
              <w:t xml:space="preserve">s standard </w:t>
            </w:r>
            <w:r w:rsidRPr="003F6642">
              <w:rPr>
                <w:rFonts w:eastAsia="Arial"/>
              </w:rPr>
              <w:t xml:space="preserve">using </w:t>
            </w:r>
            <w:r>
              <w:rPr>
                <w:rFonts w:eastAsia="Arial"/>
              </w:rPr>
              <w:t xml:space="preserve">the NSU </w:t>
            </w:r>
            <w:r w:rsidRPr="003F6642">
              <w:rPr>
                <w:rFonts w:eastAsia="Arial"/>
              </w:rPr>
              <w:t xml:space="preserve">audit </w:t>
            </w:r>
            <w:r>
              <w:rPr>
                <w:rFonts w:eastAsia="Arial"/>
              </w:rPr>
              <w:t xml:space="preserve">programme </w:t>
            </w:r>
            <w:r w:rsidRPr="003F6642">
              <w:rPr>
                <w:rFonts w:eastAsia="Arial"/>
              </w:rPr>
              <w:t>approach</w:t>
            </w:r>
            <w:r>
              <w:rPr>
                <w:rFonts w:eastAsia="Arial"/>
              </w:rPr>
              <w:t>.</w:t>
            </w:r>
          </w:p>
          <w:p w14:paraId="7B78128D" w14:textId="77777777" w:rsidR="00B17E6C" w:rsidRPr="003F6642" w:rsidRDefault="00B17E6C" w:rsidP="005117ED">
            <w:pPr>
              <w:pStyle w:val="TableText"/>
              <w:spacing w:after="120"/>
              <w:rPr>
                <w:rFonts w:eastAsia="Arial"/>
              </w:rPr>
            </w:pPr>
            <w:r>
              <w:rPr>
                <w:rFonts w:eastAsia="Arial"/>
              </w:rPr>
              <w:t>Refer to Part Two for each programme-specific section for individual programme scope.</w:t>
            </w:r>
          </w:p>
        </w:tc>
      </w:tr>
      <w:tr w:rsidR="00B17E6C" w:rsidRPr="003F6642" w14:paraId="7B781293" w14:textId="77777777" w:rsidTr="007F4D57">
        <w:trPr>
          <w:cantSplit/>
        </w:trPr>
        <w:tc>
          <w:tcPr>
            <w:tcW w:w="1843" w:type="dxa"/>
            <w:tcBorders>
              <w:top w:val="single" w:sz="4" w:space="0" w:color="FFFFFF" w:themeColor="background1"/>
              <w:bottom w:val="single" w:sz="4" w:space="0" w:color="F2F2F2" w:themeColor="background1" w:themeShade="F2"/>
            </w:tcBorders>
            <w:shd w:val="clear" w:color="auto" w:fill="D9D9D9" w:themeFill="background1" w:themeFillShade="D9"/>
          </w:tcPr>
          <w:p w14:paraId="7B78128F" w14:textId="77777777" w:rsidR="00B17E6C" w:rsidRPr="003F6642" w:rsidRDefault="00B17E6C" w:rsidP="007F4D57">
            <w:pPr>
              <w:pStyle w:val="TableText"/>
              <w:ind w:right="113"/>
              <w:rPr>
                <w:rFonts w:eastAsia="Arial"/>
                <w:b/>
              </w:rPr>
            </w:pPr>
            <w:r w:rsidRPr="003F6642">
              <w:rPr>
                <w:rFonts w:eastAsia="Arial"/>
                <w:b/>
              </w:rPr>
              <w:t>Provider roles and responsibilities</w:t>
            </w:r>
          </w:p>
        </w:tc>
        <w:tc>
          <w:tcPr>
            <w:tcW w:w="6237" w:type="dxa"/>
            <w:shd w:val="clear" w:color="auto" w:fill="auto"/>
          </w:tcPr>
          <w:p w14:paraId="7B781290" w14:textId="77777777" w:rsidR="00B17E6C" w:rsidRPr="003F6642" w:rsidRDefault="00B17E6C" w:rsidP="007F4D57">
            <w:pPr>
              <w:pStyle w:val="TableText"/>
              <w:rPr>
                <w:rFonts w:eastAsia="Arial"/>
              </w:rPr>
            </w:pPr>
            <w:r w:rsidRPr="003F6642">
              <w:rPr>
                <w:rFonts w:eastAsia="Arial"/>
              </w:rPr>
              <w:t>A</w:t>
            </w:r>
            <w:r>
              <w:rPr>
                <w:rFonts w:eastAsia="Arial"/>
              </w:rPr>
              <w:t xml:space="preserve"> screening</w:t>
            </w:r>
            <w:r w:rsidRPr="003F6642">
              <w:rPr>
                <w:rFonts w:eastAsia="Arial"/>
              </w:rPr>
              <w:t xml:space="preserve"> provider must:</w:t>
            </w:r>
          </w:p>
          <w:p w14:paraId="7B781291" w14:textId="77777777" w:rsidR="00B17E6C" w:rsidRDefault="00B17E6C" w:rsidP="007F4D57">
            <w:pPr>
              <w:pStyle w:val="TableBullet"/>
              <w:rPr>
                <w:rFonts w:eastAsia="Arial"/>
              </w:rPr>
            </w:pPr>
            <w:r>
              <w:rPr>
                <w:rFonts w:eastAsia="Arial"/>
              </w:rPr>
              <w:t>demonstrate</w:t>
            </w:r>
            <w:r w:rsidRPr="003F6642">
              <w:rPr>
                <w:rFonts w:eastAsia="Arial"/>
              </w:rPr>
              <w:t xml:space="preserve"> that the</w:t>
            </w:r>
            <w:r>
              <w:rPr>
                <w:rFonts w:eastAsia="Arial"/>
              </w:rPr>
              <w:t xml:space="preserve"> verification of conformance </w:t>
            </w:r>
            <w:r w:rsidRPr="003F6642">
              <w:rPr>
                <w:rFonts w:eastAsia="Arial"/>
              </w:rPr>
              <w:t>remains current</w:t>
            </w:r>
          </w:p>
          <w:p w14:paraId="7B781292" w14:textId="77777777" w:rsidR="00B17E6C" w:rsidRPr="003F6642" w:rsidRDefault="00B17E6C" w:rsidP="005117ED">
            <w:pPr>
              <w:pStyle w:val="TableBullet"/>
              <w:spacing w:after="120"/>
              <w:rPr>
                <w:rFonts w:eastAsia="Arial"/>
              </w:rPr>
            </w:pPr>
            <w:r>
              <w:rPr>
                <w:rFonts w:eastAsia="Arial"/>
              </w:rPr>
              <w:t>report to the NSU screening programme a risk or issue that compromises the status of the audit outcome.</w:t>
            </w:r>
          </w:p>
        </w:tc>
      </w:tr>
      <w:tr w:rsidR="00B17E6C" w:rsidRPr="003F6642" w14:paraId="7B78129B" w14:textId="77777777" w:rsidTr="00A759B1">
        <w:trPr>
          <w:cantSplit/>
        </w:trPr>
        <w:tc>
          <w:tcPr>
            <w:tcW w:w="1843" w:type="dxa"/>
            <w:tcBorders>
              <w:top w:val="single" w:sz="4" w:space="0" w:color="F2F2F2" w:themeColor="background1" w:themeShade="F2"/>
              <w:bottom w:val="single" w:sz="4" w:space="0" w:color="FFFFFF" w:themeColor="background1"/>
            </w:tcBorders>
            <w:shd w:val="clear" w:color="auto" w:fill="D9D9D9" w:themeFill="background1" w:themeFillShade="D9"/>
          </w:tcPr>
          <w:p w14:paraId="7B781294" w14:textId="77777777" w:rsidR="00B17E6C" w:rsidRPr="003F6642" w:rsidRDefault="00B17E6C" w:rsidP="007F4D57">
            <w:pPr>
              <w:pStyle w:val="TableText"/>
              <w:ind w:right="113"/>
              <w:rPr>
                <w:rFonts w:eastAsia="Arial"/>
                <w:b/>
              </w:rPr>
            </w:pPr>
            <w:r>
              <w:rPr>
                <w:rFonts w:eastAsia="Arial"/>
                <w:b/>
              </w:rPr>
              <w:t xml:space="preserve">DAA Group </w:t>
            </w:r>
            <w:r w:rsidRPr="003F6642">
              <w:rPr>
                <w:rFonts w:eastAsia="Arial"/>
                <w:b/>
              </w:rPr>
              <w:t>roles and responsibilities</w:t>
            </w:r>
          </w:p>
        </w:tc>
        <w:tc>
          <w:tcPr>
            <w:tcW w:w="6237" w:type="dxa"/>
            <w:shd w:val="clear" w:color="auto" w:fill="auto"/>
          </w:tcPr>
          <w:p w14:paraId="7B781295" w14:textId="77777777" w:rsidR="00B17E6C" w:rsidRPr="003F6642" w:rsidRDefault="00B17E6C" w:rsidP="007F4D57">
            <w:pPr>
              <w:pStyle w:val="TableText"/>
              <w:rPr>
                <w:rFonts w:eastAsia="Arial"/>
              </w:rPr>
            </w:pPr>
            <w:r w:rsidRPr="003F6642">
              <w:rPr>
                <w:rFonts w:eastAsia="Arial"/>
              </w:rPr>
              <w:t xml:space="preserve">The </w:t>
            </w:r>
            <w:r>
              <w:rPr>
                <w:rFonts w:eastAsia="Arial"/>
              </w:rPr>
              <w:t xml:space="preserve">DAA Group </w:t>
            </w:r>
            <w:r w:rsidRPr="003F6642">
              <w:rPr>
                <w:rFonts w:eastAsia="Arial"/>
              </w:rPr>
              <w:t>must:</w:t>
            </w:r>
          </w:p>
          <w:p w14:paraId="7B781296" w14:textId="77777777" w:rsidR="00B17E6C" w:rsidRPr="003F6642" w:rsidRDefault="00B17E6C" w:rsidP="005117ED">
            <w:pPr>
              <w:pStyle w:val="TableBullet"/>
              <w:rPr>
                <w:rFonts w:eastAsia="Arial"/>
              </w:rPr>
            </w:pPr>
            <w:r>
              <w:rPr>
                <w:rFonts w:eastAsia="Arial"/>
              </w:rPr>
              <w:t>n</w:t>
            </w:r>
            <w:r w:rsidRPr="003F6642">
              <w:rPr>
                <w:rFonts w:eastAsia="Arial"/>
              </w:rPr>
              <w:t xml:space="preserve">otify the relevant </w:t>
            </w:r>
            <w:r>
              <w:rPr>
                <w:rFonts w:eastAsia="Arial"/>
              </w:rPr>
              <w:t>NSU programme</w:t>
            </w:r>
            <w:r w:rsidRPr="003F6642">
              <w:rPr>
                <w:rFonts w:eastAsia="Arial"/>
              </w:rPr>
              <w:t xml:space="preserve"> </w:t>
            </w:r>
            <w:r>
              <w:rPr>
                <w:rFonts w:eastAsia="Arial"/>
              </w:rPr>
              <w:t xml:space="preserve">relationship </w:t>
            </w:r>
            <w:r w:rsidRPr="003F6642">
              <w:rPr>
                <w:rFonts w:eastAsia="Arial"/>
              </w:rPr>
              <w:t>manager, at least 20</w:t>
            </w:r>
            <w:r w:rsidR="00A759B1">
              <w:rPr>
                <w:rFonts w:eastAsia="Arial"/>
              </w:rPr>
              <w:t> </w:t>
            </w:r>
            <w:r w:rsidRPr="003F6642">
              <w:rPr>
                <w:rFonts w:eastAsia="Arial"/>
              </w:rPr>
              <w:t xml:space="preserve">days prior to audit, of the intention to audit </w:t>
            </w:r>
            <w:r>
              <w:rPr>
                <w:rFonts w:eastAsia="Arial"/>
              </w:rPr>
              <w:t>and detail all</w:t>
            </w:r>
            <w:r w:rsidRPr="003F6642">
              <w:rPr>
                <w:rFonts w:eastAsia="Arial"/>
              </w:rPr>
              <w:t xml:space="preserve"> services to be audited</w:t>
            </w:r>
          </w:p>
          <w:p w14:paraId="7B781297" w14:textId="77777777" w:rsidR="00B17E6C" w:rsidRPr="003F6642" w:rsidRDefault="00B17E6C" w:rsidP="005117ED">
            <w:pPr>
              <w:pStyle w:val="TableBullet"/>
              <w:rPr>
                <w:rFonts w:eastAsia="Arial"/>
              </w:rPr>
            </w:pPr>
            <w:r>
              <w:rPr>
                <w:rFonts w:eastAsia="Arial"/>
              </w:rPr>
              <w:t>w</w:t>
            </w:r>
            <w:r w:rsidRPr="003F6642">
              <w:rPr>
                <w:rFonts w:eastAsia="Arial"/>
              </w:rPr>
              <w:t xml:space="preserve">here the relevant </w:t>
            </w:r>
            <w:r>
              <w:rPr>
                <w:rFonts w:eastAsia="Arial"/>
              </w:rPr>
              <w:t>NSU programme</w:t>
            </w:r>
            <w:r w:rsidRPr="003F6642">
              <w:rPr>
                <w:rFonts w:eastAsia="Arial"/>
              </w:rPr>
              <w:t xml:space="preserve"> manager</w:t>
            </w:r>
            <w:r w:rsidRPr="003F6642" w:rsidDel="008E4158">
              <w:rPr>
                <w:rFonts w:eastAsia="Arial"/>
              </w:rPr>
              <w:t xml:space="preserve"> </w:t>
            </w:r>
            <w:r w:rsidRPr="003F6642">
              <w:rPr>
                <w:rFonts w:eastAsia="Arial"/>
              </w:rPr>
              <w:t xml:space="preserve">specifies </w:t>
            </w:r>
            <w:r w:rsidRPr="00242E00">
              <w:rPr>
                <w:rFonts w:eastAsia="Arial"/>
              </w:rPr>
              <w:t xml:space="preserve">contractually </w:t>
            </w:r>
            <w:r w:rsidRPr="00264079">
              <w:rPr>
                <w:rFonts w:eastAsia="Arial"/>
              </w:rPr>
              <w:t>or quality</w:t>
            </w:r>
            <w:r>
              <w:rPr>
                <w:rFonts w:eastAsia="Arial"/>
              </w:rPr>
              <w:t>-</w:t>
            </w:r>
            <w:r w:rsidRPr="00264079">
              <w:rPr>
                <w:rFonts w:eastAsia="Arial"/>
              </w:rPr>
              <w:t>related issues to consider at audit, notify the provider of</w:t>
            </w:r>
            <w:r w:rsidRPr="003F6642">
              <w:rPr>
                <w:rFonts w:eastAsia="Arial"/>
              </w:rPr>
              <w:t xml:space="preserve"> this requirement seven working days </w:t>
            </w:r>
            <w:r>
              <w:rPr>
                <w:rFonts w:eastAsia="Arial"/>
              </w:rPr>
              <w:t>before the</w:t>
            </w:r>
            <w:r w:rsidRPr="003F6642">
              <w:rPr>
                <w:rFonts w:eastAsia="Arial"/>
              </w:rPr>
              <w:t xml:space="preserve"> audit</w:t>
            </w:r>
          </w:p>
          <w:p w14:paraId="7B781298" w14:textId="77777777" w:rsidR="00B17E6C" w:rsidRPr="004033B4" w:rsidRDefault="00B17E6C" w:rsidP="005117ED">
            <w:pPr>
              <w:pStyle w:val="TableBullet"/>
              <w:rPr>
                <w:rFonts w:eastAsia="Arial"/>
              </w:rPr>
            </w:pPr>
            <w:r>
              <w:rPr>
                <w:rFonts w:eastAsia="Arial"/>
              </w:rPr>
              <w:t>s</w:t>
            </w:r>
            <w:r w:rsidRPr="003F6642">
              <w:rPr>
                <w:rFonts w:eastAsia="Arial"/>
              </w:rPr>
              <w:t xml:space="preserve">ubmit the audit report at least 20 working days </w:t>
            </w:r>
            <w:r>
              <w:rPr>
                <w:rFonts w:eastAsia="Arial"/>
              </w:rPr>
              <w:t>before</w:t>
            </w:r>
            <w:r w:rsidRPr="003F6642">
              <w:rPr>
                <w:rFonts w:eastAsia="Arial"/>
              </w:rPr>
              <w:t xml:space="preserve"> the expir</w:t>
            </w:r>
            <w:r>
              <w:rPr>
                <w:rFonts w:eastAsia="Arial"/>
              </w:rPr>
              <w:t>y</w:t>
            </w:r>
            <w:r w:rsidRPr="003F6642">
              <w:rPr>
                <w:rFonts w:eastAsia="Arial"/>
              </w:rPr>
              <w:t xml:space="preserve"> </w:t>
            </w:r>
            <w:r w:rsidRPr="004033B4">
              <w:rPr>
                <w:rFonts w:eastAsia="Arial"/>
              </w:rPr>
              <w:t>date on the provider</w:t>
            </w:r>
            <w:r w:rsidR="00E33EDB">
              <w:rPr>
                <w:rFonts w:eastAsia="Arial"/>
              </w:rPr>
              <w:t>’</w:t>
            </w:r>
            <w:r w:rsidRPr="004033B4">
              <w:rPr>
                <w:rFonts w:eastAsia="Arial"/>
              </w:rPr>
              <w:t>s verification of conformance</w:t>
            </w:r>
            <w:r w:rsidRPr="004033B4">
              <w:t xml:space="preserve"> </w:t>
            </w:r>
            <w:r w:rsidRPr="004033B4">
              <w:rPr>
                <w:rFonts w:eastAsia="Arial"/>
              </w:rPr>
              <w:t>letter</w:t>
            </w:r>
          </w:p>
          <w:p w14:paraId="7B781299" w14:textId="77777777" w:rsidR="00B17E6C" w:rsidRPr="003F6642" w:rsidRDefault="00B17E6C" w:rsidP="005117ED">
            <w:pPr>
              <w:pStyle w:val="TableBullet"/>
              <w:rPr>
                <w:rFonts w:eastAsia="Arial"/>
              </w:rPr>
            </w:pPr>
            <w:r>
              <w:rPr>
                <w:rFonts w:eastAsia="Arial"/>
              </w:rPr>
              <w:t>ensu</w:t>
            </w:r>
            <w:r w:rsidRPr="003F6642">
              <w:rPr>
                <w:rFonts w:eastAsia="Arial"/>
              </w:rPr>
              <w:t>re the provider receives a copy of the final audit report</w:t>
            </w:r>
          </w:p>
          <w:p w14:paraId="7B78129A" w14:textId="77777777" w:rsidR="00B17E6C" w:rsidRPr="003F6642" w:rsidRDefault="00B17E6C" w:rsidP="005117ED">
            <w:pPr>
              <w:pStyle w:val="TableBullet"/>
              <w:spacing w:after="120"/>
              <w:rPr>
                <w:rFonts w:eastAsia="Arial"/>
              </w:rPr>
            </w:pPr>
            <w:r>
              <w:rPr>
                <w:rFonts w:eastAsia="Arial"/>
              </w:rPr>
              <w:t>hold records of the audit in the form of auditor notes, which will be maintained to two audit cycles.</w:t>
            </w:r>
          </w:p>
        </w:tc>
      </w:tr>
      <w:tr w:rsidR="00B17E6C" w:rsidRPr="003F6642" w14:paraId="7B7812A2" w14:textId="77777777" w:rsidTr="00A759B1">
        <w:trPr>
          <w:cantSplit/>
          <w:trHeight w:val="2684"/>
        </w:trPr>
        <w:tc>
          <w:tcPr>
            <w:tcW w:w="1843" w:type="dxa"/>
            <w:tcBorders>
              <w:top w:val="single" w:sz="4" w:space="0" w:color="FFFFFF" w:themeColor="background1"/>
              <w:bottom w:val="single" w:sz="4" w:space="0" w:color="D9D9D9" w:themeColor="background1" w:themeShade="D9"/>
            </w:tcBorders>
            <w:shd w:val="clear" w:color="auto" w:fill="D9D9D9" w:themeFill="background1" w:themeFillShade="D9"/>
          </w:tcPr>
          <w:p w14:paraId="7B78129C" w14:textId="77777777" w:rsidR="00B17E6C" w:rsidRPr="003F6642" w:rsidRDefault="00B17E6C" w:rsidP="007F4D57">
            <w:pPr>
              <w:pStyle w:val="TableText"/>
              <w:ind w:right="113"/>
              <w:rPr>
                <w:rFonts w:eastAsia="Arial"/>
                <w:b/>
              </w:rPr>
            </w:pPr>
            <w:r w:rsidRPr="003F6642">
              <w:rPr>
                <w:rFonts w:eastAsia="Arial"/>
                <w:b/>
              </w:rPr>
              <w:t>Outcome</w:t>
            </w:r>
          </w:p>
        </w:tc>
        <w:tc>
          <w:tcPr>
            <w:tcW w:w="6237" w:type="dxa"/>
            <w:shd w:val="clear" w:color="auto" w:fill="auto"/>
          </w:tcPr>
          <w:p w14:paraId="7B78129D" w14:textId="77777777" w:rsidR="00E33EDB" w:rsidRDefault="00B17E6C" w:rsidP="007F4D57">
            <w:pPr>
              <w:pStyle w:val="TableText"/>
            </w:pPr>
            <w:r>
              <w:rPr>
                <w:rFonts w:eastAsia="Arial"/>
              </w:rPr>
              <w:t xml:space="preserve">The audit will verify that the screening service </w:t>
            </w:r>
            <w:r w:rsidRPr="00170CA0">
              <w:rPr>
                <w:rFonts w:eastAsia="Arial"/>
              </w:rPr>
              <w:t>conform</w:t>
            </w:r>
            <w:r>
              <w:rPr>
                <w:rFonts w:eastAsia="Arial"/>
              </w:rPr>
              <w:t>s</w:t>
            </w:r>
            <w:r w:rsidRPr="00170CA0">
              <w:rPr>
                <w:rFonts w:eastAsia="Arial"/>
              </w:rPr>
              <w:t xml:space="preserve"> to the programme </w:t>
            </w:r>
            <w:r>
              <w:rPr>
                <w:rFonts w:eastAsia="Arial"/>
              </w:rPr>
              <w:t>s</w:t>
            </w:r>
            <w:r w:rsidRPr="00170CA0">
              <w:rPr>
                <w:rFonts w:eastAsia="Arial"/>
              </w:rPr>
              <w:t xml:space="preserve">tandards and according to the </w:t>
            </w:r>
            <w:r>
              <w:rPr>
                <w:rFonts w:eastAsia="Arial"/>
              </w:rPr>
              <w:t>a</w:t>
            </w:r>
            <w:r w:rsidRPr="00170CA0">
              <w:rPr>
                <w:rFonts w:eastAsia="Arial"/>
              </w:rPr>
              <w:t>udit scope.</w:t>
            </w:r>
          </w:p>
          <w:p w14:paraId="7B78129E" w14:textId="77777777" w:rsidR="00E33EDB" w:rsidRDefault="00B17E6C" w:rsidP="007F4D57">
            <w:pPr>
              <w:pStyle w:val="TableText"/>
              <w:rPr>
                <w:rFonts w:eastAsia="Arial"/>
              </w:rPr>
            </w:pPr>
            <w:r>
              <w:t xml:space="preserve">A </w:t>
            </w:r>
            <w:r w:rsidRPr="00876362">
              <w:rPr>
                <w:rFonts w:eastAsia="Arial"/>
              </w:rPr>
              <w:t>verification of conformance letter</w:t>
            </w:r>
            <w:r>
              <w:rPr>
                <w:rFonts w:eastAsia="Arial"/>
              </w:rPr>
              <w:t xml:space="preserve"> is sent to the screening provider. This letter will include an expiry date.</w:t>
            </w:r>
          </w:p>
          <w:p w14:paraId="7B78129F" w14:textId="77777777" w:rsidR="00B17E6C" w:rsidRPr="003F6642" w:rsidRDefault="00B17E6C" w:rsidP="007F4D57">
            <w:pPr>
              <w:pStyle w:val="TableText"/>
              <w:rPr>
                <w:rFonts w:eastAsia="Arial"/>
              </w:rPr>
            </w:pPr>
            <w:r w:rsidRPr="008A1FE7">
              <w:rPr>
                <w:rFonts w:eastAsia="Arial"/>
              </w:rPr>
              <w:t xml:space="preserve">All providers </w:t>
            </w:r>
            <w:r>
              <w:rPr>
                <w:rFonts w:eastAsia="Arial"/>
              </w:rPr>
              <w:t>must</w:t>
            </w:r>
            <w:r w:rsidRPr="008A1FE7">
              <w:rPr>
                <w:rFonts w:eastAsia="Arial"/>
              </w:rPr>
              <w:t xml:space="preserve"> have one surveillance audit </w:t>
            </w:r>
            <w:r>
              <w:rPr>
                <w:rFonts w:eastAsia="Arial"/>
              </w:rPr>
              <w:t xml:space="preserve">two months either side of the </w:t>
            </w:r>
            <w:r w:rsidRPr="008A1FE7">
              <w:rPr>
                <w:rFonts w:eastAsia="Arial"/>
              </w:rPr>
              <w:t>mid-point of this period unless:</w:t>
            </w:r>
          </w:p>
          <w:p w14:paraId="7B7812A0" w14:textId="77777777" w:rsidR="00B17E6C" w:rsidRPr="003F6642" w:rsidRDefault="00B17E6C" w:rsidP="005117ED">
            <w:pPr>
              <w:pStyle w:val="TableBullet"/>
              <w:rPr>
                <w:rFonts w:eastAsia="Arial"/>
              </w:rPr>
            </w:pPr>
            <w:r>
              <w:rPr>
                <w:rFonts w:eastAsia="Arial"/>
              </w:rPr>
              <w:t>s</w:t>
            </w:r>
            <w:r w:rsidRPr="003F6642">
              <w:rPr>
                <w:rFonts w:eastAsia="Arial"/>
              </w:rPr>
              <w:t>ignificant shortfalls are identified following an inspection or issues</w:t>
            </w:r>
            <w:r>
              <w:rPr>
                <w:rFonts w:eastAsia="Arial"/>
              </w:rPr>
              <w:t>-</w:t>
            </w:r>
            <w:r w:rsidRPr="003F6642">
              <w:rPr>
                <w:rFonts w:eastAsia="Arial"/>
              </w:rPr>
              <w:t>based audit</w:t>
            </w:r>
          </w:p>
          <w:p w14:paraId="7B7812A1" w14:textId="77777777" w:rsidR="00B17E6C" w:rsidRPr="003F6642" w:rsidRDefault="00B17E6C" w:rsidP="005117ED">
            <w:pPr>
              <w:pStyle w:val="TableBullet"/>
              <w:spacing w:after="120"/>
              <w:rPr>
                <w:rFonts w:eastAsia="Arial"/>
              </w:rPr>
            </w:pPr>
            <w:r>
              <w:rPr>
                <w:rFonts w:eastAsia="Arial"/>
              </w:rPr>
              <w:t>a</w:t>
            </w:r>
            <w:r w:rsidRPr="003F6642">
              <w:rPr>
                <w:rFonts w:eastAsia="Arial"/>
              </w:rPr>
              <w:t xml:space="preserve"> condition of</w:t>
            </w:r>
            <w:r>
              <w:rPr>
                <w:rFonts w:eastAsia="Arial"/>
              </w:rPr>
              <w:t xml:space="preserve"> the letter of</w:t>
            </w:r>
            <w:r w:rsidRPr="003F6642">
              <w:rPr>
                <w:rFonts w:eastAsia="Arial"/>
              </w:rPr>
              <w:t xml:space="preserve"> </w:t>
            </w:r>
            <w:r>
              <w:rPr>
                <w:rFonts w:eastAsia="Arial"/>
              </w:rPr>
              <w:t>verification requires an additional surveillance audit.</w:t>
            </w:r>
          </w:p>
        </w:tc>
      </w:tr>
    </w:tbl>
    <w:p w14:paraId="7B7812A3" w14:textId="77777777" w:rsidR="00B17E6C" w:rsidRPr="003F6642" w:rsidRDefault="00B17E6C" w:rsidP="00A759B1"/>
    <w:p w14:paraId="7B7812A4" w14:textId="77777777" w:rsidR="00B17E6C" w:rsidRPr="00381AEA" w:rsidRDefault="00B17E6C" w:rsidP="00A759B1">
      <w:pPr>
        <w:pStyle w:val="Heading2"/>
        <w:rPr>
          <w:rFonts w:eastAsia="Arial"/>
        </w:rPr>
      </w:pPr>
      <w:bookmarkStart w:id="137" w:name="_Toc68012579"/>
      <w:bookmarkStart w:id="138" w:name="_Toc90391850"/>
      <w:r w:rsidRPr="00381AEA">
        <w:rPr>
          <w:rFonts w:eastAsia="Arial"/>
        </w:rPr>
        <w:lastRenderedPageBreak/>
        <w:t>Surveillance audit</w:t>
      </w:r>
      <w:bookmarkEnd w:id="137"/>
      <w:bookmarkEnd w:id="138"/>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843"/>
        <w:gridCol w:w="6237"/>
      </w:tblGrid>
      <w:tr w:rsidR="00B17E6C" w:rsidRPr="003F6642" w14:paraId="7B7812A9" w14:textId="77777777" w:rsidTr="007F4D57">
        <w:trPr>
          <w:cantSplit/>
        </w:trPr>
        <w:tc>
          <w:tcPr>
            <w:tcW w:w="1843" w:type="dxa"/>
            <w:tcBorders>
              <w:top w:val="single" w:sz="4" w:space="0" w:color="D9D9D9" w:themeColor="background1" w:themeShade="D9"/>
              <w:bottom w:val="single" w:sz="4" w:space="0" w:color="FFFFFF" w:themeColor="background1"/>
            </w:tcBorders>
            <w:shd w:val="clear" w:color="auto" w:fill="D9D9D9" w:themeFill="background1" w:themeFillShade="D9"/>
          </w:tcPr>
          <w:p w14:paraId="7B7812A5" w14:textId="77777777" w:rsidR="00B17E6C" w:rsidRPr="003F6642" w:rsidRDefault="00B17E6C" w:rsidP="007F4D57">
            <w:pPr>
              <w:pStyle w:val="TableText"/>
              <w:rPr>
                <w:rFonts w:eastAsia="Arial"/>
                <w:b/>
              </w:rPr>
            </w:pPr>
            <w:r w:rsidRPr="003F6642">
              <w:rPr>
                <w:rFonts w:eastAsia="Arial"/>
                <w:b/>
              </w:rPr>
              <w:t>Definition</w:t>
            </w:r>
          </w:p>
        </w:tc>
        <w:tc>
          <w:tcPr>
            <w:tcW w:w="6237" w:type="dxa"/>
            <w:shd w:val="clear" w:color="auto" w:fill="auto"/>
          </w:tcPr>
          <w:p w14:paraId="7B7812A6" w14:textId="77777777" w:rsidR="00B17E6C" w:rsidRPr="003F6642" w:rsidRDefault="00B17E6C" w:rsidP="007F4D57">
            <w:pPr>
              <w:pStyle w:val="TableText"/>
              <w:rPr>
                <w:rFonts w:eastAsia="Arial"/>
              </w:rPr>
            </w:pPr>
            <w:r w:rsidRPr="003F6642">
              <w:rPr>
                <w:rFonts w:eastAsia="Arial"/>
              </w:rPr>
              <w:t>A surveillance audit is undertaken</w:t>
            </w:r>
            <w:r>
              <w:rPr>
                <w:rFonts w:eastAsia="Arial"/>
              </w:rPr>
              <w:t xml:space="preserve"> two months either side of the mid-point of the provider</w:t>
            </w:r>
            <w:r w:rsidR="00E33EDB">
              <w:rPr>
                <w:rFonts w:eastAsia="Arial"/>
              </w:rPr>
              <w:t>’</w:t>
            </w:r>
            <w:r>
              <w:rPr>
                <w:rFonts w:eastAsia="Arial"/>
              </w:rPr>
              <w:t xml:space="preserve">s verification cycle </w:t>
            </w:r>
            <w:r w:rsidRPr="003F6642">
              <w:rPr>
                <w:rFonts w:eastAsia="Arial"/>
              </w:rPr>
              <w:t xml:space="preserve">to assure the </w:t>
            </w:r>
            <w:r>
              <w:rPr>
                <w:rFonts w:eastAsia="Arial"/>
              </w:rPr>
              <w:t xml:space="preserve">NSU </w:t>
            </w:r>
            <w:r w:rsidRPr="003F6642">
              <w:rPr>
                <w:rFonts w:eastAsia="Arial"/>
              </w:rPr>
              <w:t>that the provider continues to meet relevant standards</w:t>
            </w:r>
            <w:r>
              <w:rPr>
                <w:rFonts w:eastAsia="Arial"/>
              </w:rPr>
              <w:t>.</w:t>
            </w:r>
          </w:p>
          <w:p w14:paraId="7B7812A7" w14:textId="77777777" w:rsidR="00B17E6C" w:rsidRDefault="00B17E6C" w:rsidP="007F4D57">
            <w:pPr>
              <w:pStyle w:val="TableText"/>
              <w:rPr>
                <w:rFonts w:eastAsia="Arial"/>
              </w:rPr>
            </w:pPr>
            <w:r w:rsidRPr="003F6642">
              <w:rPr>
                <w:rFonts w:eastAsia="Arial"/>
              </w:rPr>
              <w:t xml:space="preserve">The focus of the audit is on </w:t>
            </w:r>
            <w:r>
              <w:rPr>
                <w:rFonts w:eastAsia="Arial"/>
              </w:rPr>
              <w:t>the quality management systems concerned with</w:t>
            </w:r>
            <w:r w:rsidRPr="003F6642">
              <w:rPr>
                <w:rFonts w:eastAsia="Arial"/>
              </w:rPr>
              <w:t xml:space="preserve"> delivery</w:t>
            </w:r>
            <w:r>
              <w:rPr>
                <w:rFonts w:eastAsia="Arial"/>
              </w:rPr>
              <w:t xml:space="preserve"> of a specific </w:t>
            </w:r>
            <w:r w:rsidRPr="003F6642">
              <w:rPr>
                <w:rFonts w:eastAsia="Arial"/>
              </w:rPr>
              <w:t>service</w:t>
            </w:r>
            <w:r>
              <w:rPr>
                <w:rFonts w:eastAsia="Arial"/>
              </w:rPr>
              <w:t xml:space="preserve">, as well as on </w:t>
            </w:r>
            <w:r w:rsidRPr="003F6642">
              <w:rPr>
                <w:rFonts w:eastAsia="Arial"/>
              </w:rPr>
              <w:t>review</w:t>
            </w:r>
            <w:r>
              <w:rPr>
                <w:rFonts w:eastAsia="Arial"/>
              </w:rPr>
              <w:t>ing</w:t>
            </w:r>
            <w:r w:rsidRPr="003F6642">
              <w:rPr>
                <w:rFonts w:eastAsia="Arial"/>
              </w:rPr>
              <w:t xml:space="preserve"> criteria not fully attained at the previous audit</w:t>
            </w:r>
            <w:r>
              <w:rPr>
                <w:rFonts w:eastAsia="Arial"/>
              </w:rPr>
              <w:t>.</w:t>
            </w:r>
          </w:p>
          <w:p w14:paraId="7B7812A8" w14:textId="77777777" w:rsidR="00B17E6C" w:rsidRPr="003F6642" w:rsidRDefault="00B17E6C" w:rsidP="005117ED">
            <w:pPr>
              <w:pStyle w:val="TableText"/>
              <w:spacing w:after="120"/>
              <w:rPr>
                <w:rFonts w:eastAsia="Arial"/>
              </w:rPr>
            </w:pPr>
            <w:r>
              <w:rPr>
                <w:rFonts w:eastAsia="Arial"/>
              </w:rPr>
              <w:t>Surveillance audits provide assurance to the screening programme that the provider is making progress on the verification audit correction action(s) or CARs.</w:t>
            </w:r>
          </w:p>
        </w:tc>
      </w:tr>
      <w:tr w:rsidR="00B17E6C" w:rsidRPr="003F6642" w14:paraId="7B7812AC" w14:textId="77777777" w:rsidTr="00A759B1">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AA" w14:textId="77777777" w:rsidR="00B17E6C" w:rsidRPr="003F6642" w:rsidRDefault="00B17E6C" w:rsidP="007F4D57">
            <w:pPr>
              <w:pStyle w:val="TableText"/>
              <w:rPr>
                <w:rFonts w:eastAsia="Arial"/>
                <w:b/>
              </w:rPr>
            </w:pPr>
            <w:r w:rsidRPr="003F6642">
              <w:rPr>
                <w:rFonts w:eastAsia="Arial"/>
                <w:b/>
              </w:rPr>
              <w:t>Applies to</w:t>
            </w:r>
          </w:p>
        </w:tc>
        <w:tc>
          <w:tcPr>
            <w:tcW w:w="6237" w:type="dxa"/>
            <w:shd w:val="clear" w:color="auto" w:fill="auto"/>
          </w:tcPr>
          <w:p w14:paraId="7B7812AB" w14:textId="77777777" w:rsidR="00B17E6C" w:rsidRPr="004033B4" w:rsidRDefault="00B17E6C" w:rsidP="005117ED">
            <w:pPr>
              <w:pStyle w:val="TableText"/>
              <w:spacing w:after="120"/>
              <w:rPr>
                <w:rFonts w:eastAsia="Arial"/>
              </w:rPr>
            </w:pPr>
            <w:r w:rsidRPr="003F6642">
              <w:rPr>
                <w:rFonts w:eastAsia="Arial"/>
              </w:rPr>
              <w:t>The audit applies to</w:t>
            </w:r>
            <w:r>
              <w:rPr>
                <w:rFonts w:eastAsia="Arial"/>
              </w:rPr>
              <w:t xml:space="preserve"> </w:t>
            </w:r>
            <w:r w:rsidRPr="003F6642">
              <w:rPr>
                <w:rFonts w:eastAsia="Arial"/>
              </w:rPr>
              <w:t xml:space="preserve">all </w:t>
            </w:r>
            <w:r>
              <w:rPr>
                <w:rFonts w:eastAsia="Arial"/>
              </w:rPr>
              <w:t xml:space="preserve">screening </w:t>
            </w:r>
            <w:r w:rsidRPr="003F6642">
              <w:rPr>
                <w:rFonts w:eastAsia="Arial"/>
              </w:rPr>
              <w:t xml:space="preserve">providers </w:t>
            </w:r>
            <w:r>
              <w:rPr>
                <w:rFonts w:eastAsia="Arial"/>
              </w:rPr>
              <w:t xml:space="preserve">that </w:t>
            </w:r>
            <w:r w:rsidRPr="003F6642">
              <w:rPr>
                <w:rFonts w:eastAsia="Arial"/>
              </w:rPr>
              <w:t>provid</w:t>
            </w:r>
            <w:r>
              <w:rPr>
                <w:rFonts w:eastAsia="Arial"/>
              </w:rPr>
              <w:t>e</w:t>
            </w:r>
            <w:r w:rsidRPr="003F6642">
              <w:rPr>
                <w:rFonts w:eastAsia="Arial"/>
              </w:rPr>
              <w:t xml:space="preserve"> a </w:t>
            </w:r>
            <w:r>
              <w:rPr>
                <w:rFonts w:eastAsia="Arial"/>
              </w:rPr>
              <w:t>screening service in New Zealand.</w:t>
            </w:r>
          </w:p>
        </w:tc>
      </w:tr>
      <w:tr w:rsidR="00B17E6C" w:rsidRPr="003F6642" w14:paraId="7B7812B0" w14:textId="77777777" w:rsidTr="00A759B1">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AD" w14:textId="77777777" w:rsidR="00B17E6C" w:rsidRPr="003F6642" w:rsidRDefault="00B17E6C" w:rsidP="007F4D57">
            <w:pPr>
              <w:pStyle w:val="TableText"/>
              <w:rPr>
                <w:rFonts w:eastAsia="Arial"/>
                <w:b/>
              </w:rPr>
            </w:pPr>
            <w:r w:rsidRPr="003F6642">
              <w:rPr>
                <w:rFonts w:eastAsia="Arial"/>
                <w:b/>
              </w:rPr>
              <w:t>Scope</w:t>
            </w:r>
          </w:p>
        </w:tc>
        <w:tc>
          <w:tcPr>
            <w:tcW w:w="6237" w:type="dxa"/>
            <w:shd w:val="clear" w:color="auto" w:fill="auto"/>
          </w:tcPr>
          <w:p w14:paraId="7B7812AE" w14:textId="77777777" w:rsidR="00B17E6C" w:rsidRPr="003F6642" w:rsidRDefault="00B17E6C" w:rsidP="007F4D57">
            <w:pPr>
              <w:pStyle w:val="TableText"/>
              <w:rPr>
                <w:rFonts w:eastAsia="Arial"/>
              </w:rPr>
            </w:pPr>
            <w:r w:rsidRPr="003F6642">
              <w:rPr>
                <w:rFonts w:eastAsia="Arial"/>
              </w:rPr>
              <w:t xml:space="preserve">The audit should meet all relevant requirements of the </w:t>
            </w:r>
            <w:r>
              <w:rPr>
                <w:rFonts w:eastAsia="Arial"/>
              </w:rPr>
              <w:t>specific screening programme.</w:t>
            </w:r>
          </w:p>
          <w:p w14:paraId="7B7812AF" w14:textId="77777777" w:rsidR="00B17E6C" w:rsidRPr="003F6642" w:rsidRDefault="00B17E6C" w:rsidP="005117ED">
            <w:pPr>
              <w:pStyle w:val="TableText"/>
              <w:spacing w:after="120"/>
              <w:rPr>
                <w:rFonts w:eastAsia="Arial"/>
              </w:rPr>
            </w:pPr>
            <w:r w:rsidRPr="003F6642">
              <w:rPr>
                <w:rFonts w:eastAsia="Arial"/>
              </w:rPr>
              <w:t xml:space="preserve">See </w:t>
            </w:r>
            <w:r>
              <w:rPr>
                <w:rFonts w:eastAsia="Arial"/>
              </w:rPr>
              <w:t xml:space="preserve">Part Two </w:t>
            </w:r>
            <w:hyperlink w:anchor="Appendix2" w:history="1">
              <w:r>
                <w:rPr>
                  <w:rFonts w:eastAsia="Arial"/>
                </w:rPr>
                <w:t>specific</w:t>
              </w:r>
            </w:hyperlink>
            <w:r>
              <w:rPr>
                <w:rFonts w:eastAsia="Arial"/>
              </w:rPr>
              <w:t xml:space="preserve"> programme requirements</w:t>
            </w:r>
            <w:r w:rsidRPr="003F6642">
              <w:rPr>
                <w:rFonts w:eastAsia="Arial"/>
              </w:rPr>
              <w:t xml:space="preserve"> for the list of criteria matched to </w:t>
            </w:r>
            <w:r>
              <w:rPr>
                <w:rFonts w:eastAsia="Arial"/>
              </w:rPr>
              <w:t>s</w:t>
            </w:r>
            <w:r w:rsidRPr="003F6642">
              <w:rPr>
                <w:rFonts w:eastAsia="Arial"/>
              </w:rPr>
              <w:t>tandards that are required for surveillance audits</w:t>
            </w:r>
            <w:r>
              <w:rPr>
                <w:rFonts w:eastAsia="Arial"/>
              </w:rPr>
              <w:t>.</w:t>
            </w:r>
          </w:p>
        </w:tc>
      </w:tr>
      <w:tr w:rsidR="00B17E6C" w:rsidRPr="003F6642" w14:paraId="7B7812BB" w14:textId="77777777" w:rsidTr="007F4D57">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B1" w14:textId="77777777" w:rsidR="00B17E6C" w:rsidRPr="003F6642" w:rsidRDefault="00B17E6C" w:rsidP="007F4D57">
            <w:pPr>
              <w:pStyle w:val="TableText"/>
              <w:rPr>
                <w:rFonts w:eastAsia="Arial"/>
                <w:b/>
              </w:rPr>
            </w:pPr>
            <w:r w:rsidRPr="003F6642">
              <w:rPr>
                <w:rFonts w:eastAsia="Arial"/>
                <w:b/>
              </w:rPr>
              <w:t xml:space="preserve">DAA </w:t>
            </w:r>
            <w:r>
              <w:rPr>
                <w:rFonts w:eastAsia="Arial"/>
                <w:b/>
              </w:rPr>
              <w:t xml:space="preserve">Group </w:t>
            </w:r>
            <w:r w:rsidRPr="003F6642">
              <w:rPr>
                <w:rFonts w:eastAsia="Arial"/>
                <w:b/>
              </w:rPr>
              <w:t>roles and responsibilities</w:t>
            </w:r>
          </w:p>
        </w:tc>
        <w:tc>
          <w:tcPr>
            <w:tcW w:w="6237" w:type="dxa"/>
            <w:shd w:val="clear" w:color="auto" w:fill="auto"/>
          </w:tcPr>
          <w:p w14:paraId="7B7812B2" w14:textId="77777777" w:rsidR="00B17E6C" w:rsidRPr="003F6642" w:rsidRDefault="00B17E6C" w:rsidP="007F4D57">
            <w:pPr>
              <w:pStyle w:val="TableText"/>
              <w:rPr>
                <w:rFonts w:eastAsia="Arial"/>
              </w:rPr>
            </w:pPr>
            <w:r w:rsidRPr="003F6642">
              <w:rPr>
                <w:rFonts w:eastAsia="Arial"/>
              </w:rPr>
              <w:t xml:space="preserve">The </w:t>
            </w:r>
            <w:r>
              <w:rPr>
                <w:rFonts w:eastAsia="Arial"/>
              </w:rPr>
              <w:t xml:space="preserve">DAA Group </w:t>
            </w:r>
            <w:r w:rsidRPr="003F6642">
              <w:rPr>
                <w:rFonts w:eastAsia="Arial"/>
              </w:rPr>
              <w:t>must:</w:t>
            </w:r>
          </w:p>
          <w:p w14:paraId="7B7812B3" w14:textId="77777777" w:rsidR="00B17E6C" w:rsidRPr="003F6642" w:rsidRDefault="00B17E6C" w:rsidP="007939DC">
            <w:pPr>
              <w:pStyle w:val="TableBullet"/>
              <w:numPr>
                <w:ilvl w:val="0"/>
                <w:numId w:val="9"/>
              </w:numPr>
              <w:rPr>
                <w:rFonts w:eastAsia="Arial"/>
              </w:rPr>
            </w:pPr>
            <w:r>
              <w:rPr>
                <w:rFonts w:eastAsia="Arial"/>
              </w:rPr>
              <w:t>n</w:t>
            </w:r>
            <w:r w:rsidRPr="003F6642">
              <w:rPr>
                <w:rFonts w:eastAsia="Arial"/>
              </w:rPr>
              <w:t xml:space="preserve">otify the </w:t>
            </w:r>
            <w:r>
              <w:rPr>
                <w:rFonts w:eastAsia="Arial"/>
              </w:rPr>
              <w:t>NSU</w:t>
            </w:r>
            <w:r w:rsidRPr="003F6642">
              <w:rPr>
                <w:rFonts w:eastAsia="Arial"/>
              </w:rPr>
              <w:t xml:space="preserve"> of the intended date of the surveillance audit at least three months </w:t>
            </w:r>
            <w:r>
              <w:rPr>
                <w:rFonts w:eastAsia="Arial"/>
              </w:rPr>
              <w:t>before</w:t>
            </w:r>
            <w:r w:rsidRPr="003F6642">
              <w:rPr>
                <w:rFonts w:eastAsia="Arial"/>
              </w:rPr>
              <w:t xml:space="preserve"> the audit (as part of provi</w:t>
            </w:r>
            <w:r>
              <w:rPr>
                <w:rFonts w:eastAsia="Arial"/>
              </w:rPr>
              <w:t>ding</w:t>
            </w:r>
            <w:r w:rsidRPr="003F6642">
              <w:rPr>
                <w:rFonts w:eastAsia="Arial"/>
              </w:rPr>
              <w:t xml:space="preserve"> quarterly notifications to the </w:t>
            </w:r>
            <w:r>
              <w:rPr>
                <w:rFonts w:eastAsia="Arial"/>
              </w:rPr>
              <w:t>NSU</w:t>
            </w:r>
            <w:r w:rsidRPr="003F6642">
              <w:rPr>
                <w:rFonts w:eastAsia="Arial"/>
              </w:rPr>
              <w:t xml:space="preserve"> of upcoming surveillance audits)</w:t>
            </w:r>
          </w:p>
          <w:p w14:paraId="7B7812B4" w14:textId="77777777" w:rsidR="00B17E6C" w:rsidRPr="004033B4" w:rsidRDefault="00B17E6C" w:rsidP="007939DC">
            <w:pPr>
              <w:pStyle w:val="TableBullet"/>
              <w:numPr>
                <w:ilvl w:val="0"/>
                <w:numId w:val="9"/>
              </w:numPr>
            </w:pPr>
            <w:r>
              <w:t>w</w:t>
            </w:r>
            <w:r w:rsidRPr="004033B4">
              <w:t>hen requested, provide any additional documentation and evidence</w:t>
            </w:r>
          </w:p>
          <w:p w14:paraId="7B7812B5" w14:textId="77777777" w:rsidR="00B17E6C" w:rsidRPr="003F6642" w:rsidRDefault="00B17E6C" w:rsidP="007939DC">
            <w:pPr>
              <w:pStyle w:val="TableBullet"/>
              <w:numPr>
                <w:ilvl w:val="0"/>
                <w:numId w:val="9"/>
              </w:numPr>
              <w:rPr>
                <w:rFonts w:eastAsia="Arial"/>
              </w:rPr>
            </w:pPr>
            <w:r>
              <w:rPr>
                <w:rFonts w:eastAsia="Arial"/>
              </w:rPr>
              <w:t>e</w:t>
            </w:r>
            <w:r w:rsidRPr="003F6642">
              <w:rPr>
                <w:rFonts w:eastAsia="Arial"/>
              </w:rPr>
              <w:t>nsure the provider receives a copy of the final audit report</w:t>
            </w:r>
          </w:p>
          <w:p w14:paraId="7B7812B6" w14:textId="77777777" w:rsidR="00B17E6C" w:rsidRPr="003F6642" w:rsidRDefault="00B17E6C" w:rsidP="005117ED">
            <w:pPr>
              <w:pStyle w:val="TableText"/>
              <w:spacing w:before="120"/>
              <w:rPr>
                <w:rFonts w:eastAsia="Arial"/>
                <w:b/>
              </w:rPr>
            </w:pPr>
            <w:r w:rsidRPr="003F6642">
              <w:rPr>
                <w:rFonts w:eastAsia="Arial"/>
                <w:b/>
              </w:rPr>
              <w:t>Audit activity</w:t>
            </w:r>
          </w:p>
          <w:p w14:paraId="7B7812B7" w14:textId="77777777" w:rsidR="00B17E6C" w:rsidRPr="003F6642" w:rsidRDefault="00B17E6C" w:rsidP="007939DC">
            <w:pPr>
              <w:pStyle w:val="TableBullet"/>
              <w:numPr>
                <w:ilvl w:val="0"/>
                <w:numId w:val="8"/>
              </w:numPr>
              <w:rPr>
                <w:rFonts w:eastAsia="Arial"/>
              </w:rPr>
            </w:pPr>
            <w:r>
              <w:rPr>
                <w:rFonts w:eastAsia="Arial"/>
              </w:rPr>
              <w:t>u</w:t>
            </w:r>
            <w:r w:rsidRPr="003F6642">
              <w:rPr>
                <w:rFonts w:eastAsia="Arial"/>
              </w:rPr>
              <w:t xml:space="preserve">ndertake </w:t>
            </w:r>
            <w:r>
              <w:rPr>
                <w:rFonts w:eastAsia="Arial"/>
              </w:rPr>
              <w:t xml:space="preserve">a </w:t>
            </w:r>
            <w:r w:rsidRPr="003F6642">
              <w:rPr>
                <w:rFonts w:eastAsia="Arial"/>
              </w:rPr>
              <w:t xml:space="preserve">surveillance audit where this is a condition of </w:t>
            </w:r>
            <w:r>
              <w:rPr>
                <w:rFonts w:eastAsia="Arial"/>
              </w:rPr>
              <w:t>verification of conformance</w:t>
            </w:r>
          </w:p>
          <w:p w14:paraId="7B7812B8" w14:textId="77777777" w:rsidR="00B17E6C" w:rsidRPr="003F6642" w:rsidRDefault="00B17E6C" w:rsidP="007939DC">
            <w:pPr>
              <w:pStyle w:val="TableBullet"/>
              <w:numPr>
                <w:ilvl w:val="0"/>
                <w:numId w:val="8"/>
              </w:numPr>
              <w:rPr>
                <w:rFonts w:eastAsia="Arial"/>
              </w:rPr>
            </w:pPr>
            <w:r>
              <w:rPr>
                <w:rFonts w:eastAsia="Arial"/>
              </w:rPr>
              <w:t>c</w:t>
            </w:r>
            <w:r w:rsidRPr="003F6642">
              <w:rPr>
                <w:rFonts w:eastAsia="Arial"/>
              </w:rPr>
              <w:t xml:space="preserve">onduct a surveillance no more than </w:t>
            </w:r>
            <w:r>
              <w:rPr>
                <w:rFonts w:eastAsia="Arial"/>
              </w:rPr>
              <w:t>two months</w:t>
            </w:r>
            <w:r w:rsidRPr="003F6642">
              <w:rPr>
                <w:rFonts w:eastAsia="Arial"/>
              </w:rPr>
              <w:t xml:space="preserve"> </w:t>
            </w:r>
            <w:r>
              <w:rPr>
                <w:rFonts w:eastAsia="Arial"/>
              </w:rPr>
              <w:t>either side of</w:t>
            </w:r>
            <w:r w:rsidRPr="003F6642">
              <w:rPr>
                <w:rFonts w:eastAsia="Arial"/>
              </w:rPr>
              <w:t xml:space="preserve"> the date on the </w:t>
            </w:r>
            <w:r>
              <w:rPr>
                <w:rFonts w:eastAsia="Arial"/>
              </w:rPr>
              <w:t>verification of conformance letter</w:t>
            </w:r>
            <w:r w:rsidRPr="003F6642">
              <w:rPr>
                <w:rFonts w:eastAsia="Arial"/>
              </w:rPr>
              <w:t xml:space="preserve">, unless it has </w:t>
            </w:r>
            <w:r>
              <w:rPr>
                <w:rFonts w:eastAsia="Arial"/>
              </w:rPr>
              <w:t>NSU</w:t>
            </w:r>
            <w:r w:rsidRPr="003F6642">
              <w:rPr>
                <w:rFonts w:eastAsia="Arial"/>
              </w:rPr>
              <w:t xml:space="preserve"> approval for a </w:t>
            </w:r>
            <w:r>
              <w:rPr>
                <w:rFonts w:eastAsia="Arial"/>
              </w:rPr>
              <w:t>changed</w:t>
            </w:r>
            <w:r w:rsidRPr="003F6642">
              <w:rPr>
                <w:rFonts w:eastAsia="Arial"/>
              </w:rPr>
              <w:t xml:space="preserve"> timeframe</w:t>
            </w:r>
          </w:p>
          <w:p w14:paraId="7B7812B9" w14:textId="77777777" w:rsidR="00B17E6C" w:rsidRPr="003F6642" w:rsidRDefault="00B17E6C" w:rsidP="007939DC">
            <w:pPr>
              <w:pStyle w:val="TableBullet"/>
              <w:numPr>
                <w:ilvl w:val="0"/>
                <w:numId w:val="8"/>
              </w:numPr>
              <w:rPr>
                <w:rFonts w:eastAsia="Arial"/>
              </w:rPr>
            </w:pPr>
            <w:r>
              <w:rPr>
                <w:rFonts w:eastAsia="Arial"/>
              </w:rPr>
              <w:t>s</w:t>
            </w:r>
            <w:r w:rsidRPr="003F6642">
              <w:rPr>
                <w:rFonts w:eastAsia="Arial"/>
              </w:rPr>
              <w:t>ubmit the audit report electronically within 20 working days of completing the audit</w:t>
            </w:r>
          </w:p>
          <w:p w14:paraId="7B7812BA" w14:textId="77777777" w:rsidR="00B17E6C" w:rsidRPr="00A56A77" w:rsidRDefault="00B17E6C" w:rsidP="005117ED">
            <w:pPr>
              <w:pStyle w:val="TableBullet"/>
              <w:numPr>
                <w:ilvl w:val="0"/>
                <w:numId w:val="8"/>
              </w:numPr>
              <w:spacing w:after="120"/>
              <w:ind w:left="357" w:hanging="357"/>
              <w:rPr>
                <w:rFonts w:eastAsia="Arial"/>
              </w:rPr>
            </w:pPr>
            <w:r>
              <w:rPr>
                <w:rFonts w:eastAsia="Arial"/>
              </w:rPr>
              <w:t>w</w:t>
            </w:r>
            <w:r w:rsidRPr="003F6642">
              <w:rPr>
                <w:rFonts w:eastAsia="Arial"/>
              </w:rPr>
              <w:t xml:space="preserve">iden the scope of the surveillance audit to include any aspect of the </w:t>
            </w:r>
            <w:r>
              <w:rPr>
                <w:rFonts w:eastAsia="Arial"/>
              </w:rPr>
              <w:t xml:space="preserve">relevant programme standards </w:t>
            </w:r>
            <w:r w:rsidRPr="003F6642">
              <w:rPr>
                <w:rFonts w:eastAsia="Arial"/>
              </w:rPr>
              <w:t>if any areas of non-conformity (actual or potential) have been identified</w:t>
            </w:r>
            <w:r>
              <w:rPr>
                <w:rFonts w:eastAsia="Arial"/>
              </w:rPr>
              <w:t>. The reason to widen the scope will be</w:t>
            </w:r>
            <w:r w:rsidRPr="003F6642">
              <w:rPr>
                <w:rFonts w:eastAsia="Arial"/>
              </w:rPr>
              <w:t xml:space="preserve"> as a result of the audit process </w:t>
            </w:r>
            <w:r>
              <w:rPr>
                <w:rFonts w:eastAsia="Arial"/>
              </w:rPr>
              <w:t>(for example,</w:t>
            </w:r>
            <w:r w:rsidRPr="003F6642">
              <w:rPr>
                <w:rFonts w:eastAsia="Arial"/>
              </w:rPr>
              <w:t xml:space="preserve"> as a result of observation while conducting a tour of the service or in the review of clinical files, or in interviews with staff, </w:t>
            </w:r>
            <w:proofErr w:type="gramStart"/>
            <w:r w:rsidRPr="003F6642">
              <w:rPr>
                <w:rFonts w:eastAsia="Arial"/>
              </w:rPr>
              <w:t>consumers</w:t>
            </w:r>
            <w:proofErr w:type="gramEnd"/>
            <w:r w:rsidRPr="003F6642">
              <w:rPr>
                <w:rFonts w:eastAsia="Arial"/>
              </w:rPr>
              <w:t xml:space="preserve"> or relatives</w:t>
            </w:r>
            <w:r>
              <w:rPr>
                <w:rFonts w:eastAsia="Arial"/>
              </w:rPr>
              <w:t>).</w:t>
            </w:r>
          </w:p>
        </w:tc>
      </w:tr>
      <w:tr w:rsidR="00B17E6C" w:rsidRPr="003F6642" w14:paraId="7B7812C0" w14:textId="77777777" w:rsidTr="007F4D57">
        <w:trPr>
          <w:cantSplit/>
        </w:trPr>
        <w:tc>
          <w:tcPr>
            <w:tcW w:w="1843" w:type="dxa"/>
            <w:tcBorders>
              <w:top w:val="single" w:sz="4" w:space="0" w:color="FFFFFF" w:themeColor="background1"/>
              <w:bottom w:val="single" w:sz="4" w:space="0" w:color="D9D9D9" w:themeColor="background1" w:themeShade="D9"/>
            </w:tcBorders>
            <w:shd w:val="clear" w:color="auto" w:fill="D9D9D9" w:themeFill="background1" w:themeFillShade="D9"/>
          </w:tcPr>
          <w:p w14:paraId="7B7812BC" w14:textId="77777777" w:rsidR="00B17E6C" w:rsidRPr="003F6642" w:rsidRDefault="00B17E6C" w:rsidP="007F4D57">
            <w:pPr>
              <w:pStyle w:val="TableText"/>
              <w:rPr>
                <w:rFonts w:eastAsia="Arial"/>
                <w:b/>
              </w:rPr>
            </w:pPr>
            <w:r w:rsidRPr="003F6642">
              <w:rPr>
                <w:rFonts w:eastAsia="Arial"/>
                <w:b/>
              </w:rPr>
              <w:t>Outcome</w:t>
            </w:r>
          </w:p>
        </w:tc>
        <w:tc>
          <w:tcPr>
            <w:tcW w:w="6237" w:type="dxa"/>
            <w:shd w:val="clear" w:color="auto" w:fill="auto"/>
          </w:tcPr>
          <w:p w14:paraId="7B7812BD" w14:textId="77777777" w:rsidR="00B17E6C" w:rsidRDefault="00B17E6C" w:rsidP="007F4D57">
            <w:pPr>
              <w:pStyle w:val="TableText"/>
              <w:rPr>
                <w:rFonts w:eastAsia="Arial"/>
              </w:rPr>
            </w:pPr>
            <w:r>
              <w:rPr>
                <w:rFonts w:eastAsia="Arial"/>
              </w:rPr>
              <w:t>Following a surveillance audit, either:</w:t>
            </w:r>
          </w:p>
          <w:p w14:paraId="7B7812BE" w14:textId="77777777" w:rsidR="00E33EDB" w:rsidRDefault="00B17E6C" w:rsidP="007939DC">
            <w:pPr>
              <w:pStyle w:val="TableText"/>
              <w:numPr>
                <w:ilvl w:val="0"/>
                <w:numId w:val="14"/>
              </w:numPr>
              <w:ind w:left="368"/>
              <w:rPr>
                <w:rFonts w:eastAsia="Arial"/>
              </w:rPr>
            </w:pPr>
            <w:r>
              <w:rPr>
                <w:rFonts w:eastAsia="Arial"/>
              </w:rPr>
              <w:t>t</w:t>
            </w:r>
            <w:r w:rsidRPr="003F6642">
              <w:rPr>
                <w:rFonts w:eastAsia="Arial"/>
              </w:rPr>
              <w:t xml:space="preserve">he </w:t>
            </w:r>
            <w:r>
              <w:rPr>
                <w:rFonts w:eastAsia="Arial"/>
              </w:rPr>
              <w:t>most recently issued verification of conformance letter</w:t>
            </w:r>
            <w:r w:rsidRPr="003F6642">
              <w:rPr>
                <w:rFonts w:eastAsia="Arial"/>
              </w:rPr>
              <w:t xml:space="preserve"> </w:t>
            </w:r>
            <w:r>
              <w:rPr>
                <w:rFonts w:eastAsia="Arial"/>
              </w:rPr>
              <w:t>may</w:t>
            </w:r>
            <w:r w:rsidRPr="003F6642">
              <w:rPr>
                <w:rFonts w:eastAsia="Arial"/>
              </w:rPr>
              <w:t xml:space="preserve"> not change</w:t>
            </w:r>
            <w:r>
              <w:rPr>
                <w:rFonts w:eastAsia="Arial"/>
              </w:rPr>
              <w:t>, or</w:t>
            </w:r>
          </w:p>
          <w:p w14:paraId="7B7812BF" w14:textId="77777777" w:rsidR="00B17E6C" w:rsidRPr="003F6642" w:rsidRDefault="00B17E6C" w:rsidP="005117ED">
            <w:pPr>
              <w:pStyle w:val="TableText"/>
              <w:numPr>
                <w:ilvl w:val="0"/>
                <w:numId w:val="14"/>
              </w:numPr>
              <w:spacing w:after="120"/>
              <w:ind w:left="363" w:hanging="357"/>
              <w:rPr>
                <w:rFonts w:eastAsia="Arial"/>
              </w:rPr>
            </w:pPr>
            <w:r w:rsidRPr="003F6642">
              <w:rPr>
                <w:rFonts w:eastAsia="Arial"/>
              </w:rPr>
              <w:t xml:space="preserve">a new or amended </w:t>
            </w:r>
            <w:r>
              <w:rPr>
                <w:rFonts w:eastAsia="Arial"/>
              </w:rPr>
              <w:t>letter</w:t>
            </w:r>
            <w:r w:rsidRPr="003F6642">
              <w:rPr>
                <w:rFonts w:eastAsia="Arial"/>
              </w:rPr>
              <w:t xml:space="preserve"> may be issued in response to the audit result</w:t>
            </w:r>
            <w:r>
              <w:rPr>
                <w:rFonts w:eastAsia="Arial"/>
              </w:rPr>
              <w:t>.</w:t>
            </w:r>
          </w:p>
        </w:tc>
      </w:tr>
    </w:tbl>
    <w:p w14:paraId="7B7812C1" w14:textId="77777777" w:rsidR="00B17E6C" w:rsidRDefault="00B17E6C" w:rsidP="005A7A8D">
      <w:pPr>
        <w:rPr>
          <w:rFonts w:eastAsia="Arial"/>
        </w:rPr>
      </w:pPr>
    </w:p>
    <w:p w14:paraId="7B7812C2" w14:textId="77777777" w:rsidR="00B17E6C" w:rsidRPr="00DF1944" w:rsidRDefault="00B17E6C" w:rsidP="00A759B1">
      <w:pPr>
        <w:pStyle w:val="Heading2"/>
        <w:rPr>
          <w:rFonts w:eastAsia="Arial"/>
        </w:rPr>
      </w:pPr>
      <w:bookmarkStart w:id="139" w:name="_Toc68012580"/>
      <w:bookmarkStart w:id="140" w:name="_Toc90391851"/>
      <w:r w:rsidRPr="00DF1944">
        <w:rPr>
          <w:rFonts w:eastAsia="Arial"/>
        </w:rPr>
        <w:lastRenderedPageBreak/>
        <w:t xml:space="preserve">Readiness </w:t>
      </w:r>
      <w:bookmarkEnd w:id="133"/>
      <w:bookmarkEnd w:id="134"/>
      <w:bookmarkEnd w:id="135"/>
      <w:r>
        <w:rPr>
          <w:rFonts w:eastAsia="Arial"/>
        </w:rPr>
        <w:t>audit</w:t>
      </w:r>
      <w:bookmarkEnd w:id="139"/>
      <w:bookmarkEnd w:id="140"/>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843"/>
        <w:gridCol w:w="6237"/>
      </w:tblGrid>
      <w:tr w:rsidR="00B17E6C" w:rsidRPr="003F6642" w14:paraId="7B7812C7" w14:textId="77777777" w:rsidTr="00A759B1">
        <w:trPr>
          <w:cantSplit/>
        </w:trPr>
        <w:tc>
          <w:tcPr>
            <w:tcW w:w="1843" w:type="dxa"/>
            <w:tcBorders>
              <w:top w:val="single" w:sz="4" w:space="0" w:color="D9D9D9" w:themeColor="background1" w:themeShade="D9"/>
              <w:bottom w:val="single" w:sz="4" w:space="0" w:color="FFFFFF" w:themeColor="background1"/>
            </w:tcBorders>
            <w:shd w:val="clear" w:color="auto" w:fill="D9D9D9" w:themeFill="background1" w:themeFillShade="D9"/>
          </w:tcPr>
          <w:p w14:paraId="7B7812C3" w14:textId="77777777" w:rsidR="00B17E6C" w:rsidRPr="003F6642" w:rsidRDefault="00B17E6C" w:rsidP="007F4D57">
            <w:pPr>
              <w:pStyle w:val="TableText"/>
              <w:rPr>
                <w:rFonts w:eastAsia="Arial"/>
                <w:b/>
              </w:rPr>
            </w:pPr>
            <w:r w:rsidRPr="003F6642">
              <w:rPr>
                <w:rFonts w:eastAsia="Arial"/>
                <w:b/>
              </w:rPr>
              <w:t>Definition</w:t>
            </w:r>
          </w:p>
        </w:tc>
        <w:tc>
          <w:tcPr>
            <w:tcW w:w="6237" w:type="dxa"/>
            <w:shd w:val="clear" w:color="auto" w:fill="auto"/>
          </w:tcPr>
          <w:p w14:paraId="7B7812C4" w14:textId="77777777" w:rsidR="00B17E6C" w:rsidRPr="003F6642" w:rsidRDefault="00B17E6C" w:rsidP="007F4D57">
            <w:pPr>
              <w:pStyle w:val="TableText"/>
              <w:rPr>
                <w:rFonts w:eastAsia="Arial"/>
              </w:rPr>
            </w:pPr>
            <w:r w:rsidRPr="003F6642">
              <w:rPr>
                <w:rFonts w:eastAsia="Arial"/>
              </w:rPr>
              <w:t>A</w:t>
            </w:r>
            <w:r>
              <w:rPr>
                <w:rFonts w:eastAsia="Arial"/>
              </w:rPr>
              <w:t xml:space="preserve"> readiness assessment </w:t>
            </w:r>
            <w:r w:rsidRPr="003F6642">
              <w:rPr>
                <w:rFonts w:eastAsia="Arial"/>
              </w:rPr>
              <w:t>audit is</w:t>
            </w:r>
            <w:r>
              <w:rPr>
                <w:rFonts w:eastAsia="Arial"/>
              </w:rPr>
              <w:t xml:space="preserve"> either</w:t>
            </w:r>
            <w:r w:rsidRPr="003F6642">
              <w:rPr>
                <w:rFonts w:eastAsia="Arial"/>
              </w:rPr>
              <w:t>:</w:t>
            </w:r>
          </w:p>
          <w:p w14:paraId="7B7812C5" w14:textId="77777777" w:rsidR="00B17E6C" w:rsidRPr="00F97183" w:rsidRDefault="00B17E6C" w:rsidP="007939DC">
            <w:pPr>
              <w:pStyle w:val="TableBullet"/>
              <w:numPr>
                <w:ilvl w:val="0"/>
                <w:numId w:val="15"/>
              </w:numPr>
              <w:ind w:left="357" w:hanging="357"/>
              <w:rPr>
                <w:rFonts w:eastAsia="Arial"/>
              </w:rPr>
            </w:pPr>
            <w:r>
              <w:rPr>
                <w:rFonts w:eastAsia="Arial"/>
              </w:rPr>
              <w:t>a</w:t>
            </w:r>
            <w:r w:rsidRPr="00F97183">
              <w:rPr>
                <w:rFonts w:eastAsia="Arial"/>
              </w:rPr>
              <w:t xml:space="preserve"> programme-initiated audit of a prospective provider</w:t>
            </w:r>
            <w:r w:rsidR="00E33EDB">
              <w:rPr>
                <w:rFonts w:eastAsia="Arial"/>
              </w:rPr>
              <w:t>’</w:t>
            </w:r>
            <w:r w:rsidRPr="00F97183">
              <w:rPr>
                <w:rFonts w:eastAsia="Arial"/>
              </w:rPr>
              <w:t xml:space="preserve">s preparedness to </w:t>
            </w:r>
            <w:r>
              <w:rPr>
                <w:rFonts w:eastAsia="Arial"/>
              </w:rPr>
              <w:t>start</w:t>
            </w:r>
            <w:r w:rsidRPr="00F97183">
              <w:rPr>
                <w:rFonts w:eastAsia="Arial"/>
              </w:rPr>
              <w:t xml:space="preserve"> a new screening service</w:t>
            </w:r>
            <w:r>
              <w:rPr>
                <w:rFonts w:eastAsia="Arial"/>
              </w:rPr>
              <w:t xml:space="preserve">, </w:t>
            </w:r>
            <w:r w:rsidRPr="00F97183">
              <w:rPr>
                <w:rFonts w:eastAsia="Arial"/>
              </w:rPr>
              <w:t>or</w:t>
            </w:r>
          </w:p>
          <w:p w14:paraId="7B7812C6" w14:textId="77777777" w:rsidR="00B17E6C" w:rsidRPr="003F6642" w:rsidRDefault="00B17E6C" w:rsidP="005117ED">
            <w:pPr>
              <w:pStyle w:val="TableBullet"/>
              <w:numPr>
                <w:ilvl w:val="0"/>
                <w:numId w:val="15"/>
              </w:numPr>
              <w:spacing w:after="120"/>
              <w:ind w:left="357" w:hanging="357"/>
              <w:rPr>
                <w:rFonts w:eastAsia="Arial"/>
              </w:rPr>
            </w:pPr>
            <w:r>
              <w:rPr>
                <w:rFonts w:eastAsia="Arial"/>
              </w:rPr>
              <w:t xml:space="preserve">on behalf of a prospective owner if a current service is under </w:t>
            </w:r>
            <w:r w:rsidRPr="008B3001">
              <w:rPr>
                <w:rFonts w:eastAsia="Arial"/>
              </w:rPr>
              <w:t>a purchase agreement</w:t>
            </w:r>
            <w:r>
              <w:rPr>
                <w:rFonts w:eastAsia="Arial"/>
              </w:rPr>
              <w:t xml:space="preserve"> to fulfil programme due diligence.</w:t>
            </w:r>
          </w:p>
        </w:tc>
      </w:tr>
      <w:tr w:rsidR="00B17E6C" w:rsidRPr="003F6642" w14:paraId="7B7812CA" w14:textId="77777777" w:rsidTr="00A759B1">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C8" w14:textId="77777777" w:rsidR="00B17E6C" w:rsidRPr="003F6642" w:rsidRDefault="00B17E6C" w:rsidP="007F4D57">
            <w:pPr>
              <w:pStyle w:val="TableText"/>
              <w:rPr>
                <w:rFonts w:eastAsia="Arial"/>
                <w:b/>
              </w:rPr>
            </w:pPr>
            <w:r w:rsidRPr="003F6642">
              <w:rPr>
                <w:rFonts w:eastAsia="Arial"/>
                <w:b/>
              </w:rPr>
              <w:t>Applies to</w:t>
            </w:r>
          </w:p>
        </w:tc>
        <w:tc>
          <w:tcPr>
            <w:tcW w:w="6237" w:type="dxa"/>
            <w:shd w:val="clear" w:color="auto" w:fill="auto"/>
          </w:tcPr>
          <w:p w14:paraId="7B7812C9" w14:textId="77777777" w:rsidR="00B17E6C" w:rsidRPr="003F6642" w:rsidRDefault="00B17E6C" w:rsidP="005117ED">
            <w:pPr>
              <w:pStyle w:val="TableText"/>
              <w:spacing w:after="120"/>
              <w:rPr>
                <w:rFonts w:eastAsia="Arial"/>
              </w:rPr>
            </w:pPr>
            <w:r w:rsidRPr="003F6642">
              <w:rPr>
                <w:rFonts w:eastAsia="Arial"/>
              </w:rPr>
              <w:t>The audit applies to</w:t>
            </w:r>
            <w:r>
              <w:rPr>
                <w:rFonts w:eastAsia="Arial"/>
              </w:rPr>
              <w:t xml:space="preserve"> a prospective provider.</w:t>
            </w:r>
          </w:p>
        </w:tc>
      </w:tr>
      <w:tr w:rsidR="00B17E6C" w:rsidRPr="003F6642" w14:paraId="7B7812D0" w14:textId="77777777" w:rsidTr="00A759B1">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CB" w14:textId="77777777" w:rsidR="00B17E6C" w:rsidRPr="003F6642" w:rsidRDefault="00B17E6C" w:rsidP="007F4D57">
            <w:pPr>
              <w:pStyle w:val="TableText"/>
              <w:rPr>
                <w:rFonts w:eastAsia="Arial"/>
                <w:b/>
              </w:rPr>
            </w:pPr>
            <w:r w:rsidRPr="003F6642">
              <w:rPr>
                <w:rFonts w:eastAsia="Arial"/>
                <w:b/>
              </w:rPr>
              <w:t>Scope</w:t>
            </w:r>
          </w:p>
        </w:tc>
        <w:tc>
          <w:tcPr>
            <w:tcW w:w="6237" w:type="dxa"/>
            <w:shd w:val="clear" w:color="auto" w:fill="auto"/>
          </w:tcPr>
          <w:p w14:paraId="7B7812CC" w14:textId="774C3616" w:rsidR="00B17E6C" w:rsidRDefault="00B17E6C" w:rsidP="005117ED">
            <w:pPr>
              <w:pStyle w:val="TableBullet"/>
              <w:spacing w:before="60"/>
              <w:rPr>
                <w:rFonts w:eastAsia="Arial"/>
              </w:rPr>
            </w:pPr>
            <w:r w:rsidRPr="003F6642">
              <w:rPr>
                <w:rFonts w:eastAsia="Arial"/>
              </w:rPr>
              <w:t>The audit should include an</w:t>
            </w:r>
            <w:r>
              <w:rPr>
                <w:rFonts w:eastAsia="Arial"/>
              </w:rPr>
              <w:t xml:space="preserve"> i</w:t>
            </w:r>
            <w:r w:rsidRPr="003F6642">
              <w:rPr>
                <w:rFonts w:eastAsia="Arial"/>
              </w:rPr>
              <w:t>nterview with the prospect</w:t>
            </w:r>
            <w:r w:rsidRPr="008B3001">
              <w:rPr>
                <w:rFonts w:eastAsia="Arial"/>
              </w:rPr>
              <w:t xml:space="preserve">ive provider (or contact person) to establish </w:t>
            </w:r>
            <w:r>
              <w:rPr>
                <w:rFonts w:eastAsia="Arial"/>
              </w:rPr>
              <w:t>it is</w:t>
            </w:r>
            <w:r w:rsidRPr="008B3001">
              <w:rPr>
                <w:rFonts w:eastAsia="Arial"/>
              </w:rPr>
              <w:t xml:space="preserve"> prepared to deliver a screening service (see </w:t>
            </w:r>
            <w:r w:rsidR="00B24EF2">
              <w:rPr>
                <w:rFonts w:eastAsia="Arial"/>
              </w:rPr>
              <w:fldChar w:fldCharType="begin"/>
            </w:r>
            <w:r w:rsidR="00B24EF2">
              <w:rPr>
                <w:rFonts w:eastAsia="Arial"/>
              </w:rPr>
              <w:instrText xml:space="preserve"> REF _Ref71174950 \r \h </w:instrText>
            </w:r>
            <w:r w:rsidR="00B24EF2">
              <w:rPr>
                <w:rFonts w:eastAsia="Arial"/>
              </w:rPr>
            </w:r>
            <w:r w:rsidR="00B24EF2">
              <w:rPr>
                <w:rFonts w:eastAsia="Arial"/>
              </w:rPr>
              <w:fldChar w:fldCharType="separate"/>
            </w:r>
            <w:r w:rsidR="002861DC">
              <w:rPr>
                <w:rFonts w:eastAsia="Arial"/>
              </w:rPr>
              <w:t>Appendix One</w:t>
            </w:r>
            <w:r w:rsidR="00B24EF2">
              <w:rPr>
                <w:rFonts w:eastAsia="Arial"/>
              </w:rPr>
              <w:fldChar w:fldCharType="end"/>
            </w:r>
            <w:r w:rsidRPr="008B3001">
              <w:rPr>
                <w:rFonts w:eastAsia="Arial"/>
              </w:rPr>
              <w:t>)</w:t>
            </w:r>
            <w:r>
              <w:rPr>
                <w:rFonts w:eastAsia="Arial"/>
              </w:rPr>
              <w:t>.</w:t>
            </w:r>
          </w:p>
          <w:p w14:paraId="7B7812CD" w14:textId="77777777" w:rsidR="00B17E6C" w:rsidRPr="00BC454A" w:rsidRDefault="00B17E6C" w:rsidP="005117ED">
            <w:pPr>
              <w:pStyle w:val="TableBullet"/>
              <w:rPr>
                <w:rFonts w:eastAsia="Arial"/>
              </w:rPr>
            </w:pPr>
            <w:r>
              <w:rPr>
                <w:rFonts w:eastAsia="Arial"/>
              </w:rPr>
              <w:t>The a</w:t>
            </w:r>
            <w:r w:rsidRPr="00BC454A">
              <w:rPr>
                <w:rFonts w:eastAsia="Arial"/>
              </w:rPr>
              <w:t xml:space="preserve">udit report should include interview guidance and </w:t>
            </w:r>
            <w:r>
              <w:rPr>
                <w:rFonts w:eastAsia="Arial"/>
              </w:rPr>
              <w:t>report on</w:t>
            </w:r>
            <w:r w:rsidRPr="00BC454A">
              <w:rPr>
                <w:rFonts w:eastAsia="Arial"/>
              </w:rPr>
              <w:t xml:space="preserve"> evidence</w:t>
            </w:r>
            <w:r>
              <w:rPr>
                <w:rFonts w:eastAsia="Arial"/>
              </w:rPr>
              <w:t xml:space="preserve"> related to the s</w:t>
            </w:r>
            <w:r w:rsidRPr="00BC454A">
              <w:rPr>
                <w:rFonts w:eastAsia="Arial"/>
              </w:rPr>
              <w:t>tandards criteria</w:t>
            </w:r>
            <w:r>
              <w:rPr>
                <w:rFonts w:eastAsia="Arial"/>
              </w:rPr>
              <w:t>.</w:t>
            </w:r>
          </w:p>
          <w:p w14:paraId="7B7812CE" w14:textId="77777777" w:rsidR="00B17E6C" w:rsidRPr="003F6642" w:rsidRDefault="00B17E6C" w:rsidP="005117ED">
            <w:pPr>
              <w:pStyle w:val="TableBullet"/>
              <w:rPr>
                <w:rFonts w:eastAsia="Arial"/>
              </w:rPr>
            </w:pPr>
            <w:r>
              <w:rPr>
                <w:rFonts w:eastAsia="Arial"/>
              </w:rPr>
              <w:t>The a</w:t>
            </w:r>
            <w:r w:rsidRPr="003F6642">
              <w:rPr>
                <w:rFonts w:eastAsia="Arial"/>
              </w:rPr>
              <w:t xml:space="preserve">udit </w:t>
            </w:r>
            <w:r>
              <w:rPr>
                <w:rFonts w:eastAsia="Arial"/>
              </w:rPr>
              <w:t xml:space="preserve">should assess </w:t>
            </w:r>
            <w:r w:rsidRPr="003F6642">
              <w:rPr>
                <w:rFonts w:eastAsia="Arial"/>
              </w:rPr>
              <w:t xml:space="preserve">the current facility against </w:t>
            </w:r>
            <w:r>
              <w:rPr>
                <w:rFonts w:eastAsia="Arial"/>
              </w:rPr>
              <w:t xml:space="preserve">selected or </w:t>
            </w:r>
            <w:r w:rsidRPr="003F6642">
              <w:rPr>
                <w:rFonts w:eastAsia="Arial"/>
              </w:rPr>
              <w:t xml:space="preserve">all </w:t>
            </w:r>
            <w:r>
              <w:rPr>
                <w:rFonts w:eastAsia="Arial"/>
              </w:rPr>
              <w:t>relevant s</w:t>
            </w:r>
            <w:r w:rsidRPr="003F6642">
              <w:rPr>
                <w:rFonts w:eastAsia="Arial"/>
              </w:rPr>
              <w:t>tandards.</w:t>
            </w:r>
          </w:p>
          <w:p w14:paraId="7B7812CF" w14:textId="77777777" w:rsidR="00B17E6C" w:rsidRPr="003F6642" w:rsidRDefault="00B17E6C" w:rsidP="005117ED">
            <w:pPr>
              <w:pStyle w:val="TableBullet"/>
              <w:spacing w:after="120"/>
              <w:rPr>
                <w:rFonts w:eastAsia="Arial"/>
              </w:rPr>
            </w:pPr>
            <w:r>
              <w:rPr>
                <w:rFonts w:eastAsia="Arial"/>
              </w:rPr>
              <w:t>Where</w:t>
            </w:r>
            <w:r w:rsidRPr="00804D30">
              <w:rPr>
                <w:rFonts w:eastAsia="Arial"/>
              </w:rPr>
              <w:t xml:space="preserve"> a quality improvement activity is planned but not completed</w:t>
            </w:r>
            <w:r>
              <w:rPr>
                <w:rFonts w:eastAsia="Arial"/>
              </w:rPr>
              <w:t>,</w:t>
            </w:r>
            <w:r w:rsidRPr="00804D30">
              <w:rPr>
                <w:rFonts w:eastAsia="Arial"/>
              </w:rPr>
              <w:t xml:space="preserve"> such as the plans of the prospective provider</w:t>
            </w:r>
            <w:r>
              <w:rPr>
                <w:rFonts w:eastAsia="Arial"/>
              </w:rPr>
              <w:t xml:space="preserve"> for</w:t>
            </w:r>
            <w:r w:rsidRPr="00804D30">
              <w:rPr>
                <w:rFonts w:eastAsia="Arial"/>
              </w:rPr>
              <w:t xml:space="preserve"> training or recruitment</w:t>
            </w:r>
            <w:r>
              <w:rPr>
                <w:rFonts w:eastAsia="Arial"/>
              </w:rPr>
              <w:t>, the audit should award</w:t>
            </w:r>
            <w:r w:rsidRPr="00804D30">
              <w:rPr>
                <w:rFonts w:eastAsia="Arial"/>
              </w:rPr>
              <w:t xml:space="preserve"> a PA</w:t>
            </w:r>
            <w:r>
              <w:rPr>
                <w:rFonts w:eastAsia="Arial"/>
              </w:rPr>
              <w:t>.</w:t>
            </w:r>
          </w:p>
        </w:tc>
      </w:tr>
      <w:tr w:rsidR="00B17E6C" w:rsidRPr="003F6642" w14:paraId="7B7812D9" w14:textId="77777777" w:rsidTr="00A759B1">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D1" w14:textId="77777777" w:rsidR="00B17E6C" w:rsidRPr="003F6642" w:rsidRDefault="00B17E6C" w:rsidP="007F4D57">
            <w:pPr>
              <w:pStyle w:val="TableText"/>
              <w:rPr>
                <w:rFonts w:eastAsia="Arial"/>
                <w:b/>
              </w:rPr>
            </w:pPr>
            <w:r w:rsidRPr="003F6642">
              <w:rPr>
                <w:rFonts w:eastAsia="Arial"/>
                <w:b/>
              </w:rPr>
              <w:t>Provider roles and responsibilities</w:t>
            </w:r>
          </w:p>
        </w:tc>
        <w:tc>
          <w:tcPr>
            <w:tcW w:w="6237" w:type="dxa"/>
            <w:shd w:val="clear" w:color="auto" w:fill="auto"/>
          </w:tcPr>
          <w:p w14:paraId="7B7812D2" w14:textId="77777777" w:rsidR="00B17E6C" w:rsidRPr="003F6642" w:rsidRDefault="00B17E6C" w:rsidP="007F4D57">
            <w:pPr>
              <w:pStyle w:val="TableText"/>
              <w:rPr>
                <w:rFonts w:eastAsia="Arial"/>
              </w:rPr>
            </w:pPr>
            <w:r w:rsidRPr="003F6642">
              <w:rPr>
                <w:rFonts w:eastAsia="Arial"/>
              </w:rPr>
              <w:t>The prospective provider must:</w:t>
            </w:r>
          </w:p>
          <w:p w14:paraId="7B7812D3" w14:textId="77777777" w:rsidR="00B17E6C" w:rsidRDefault="00B17E6C" w:rsidP="005117ED">
            <w:pPr>
              <w:pStyle w:val="TableBullet"/>
              <w:rPr>
                <w:rFonts w:eastAsia="Arial"/>
              </w:rPr>
            </w:pPr>
            <w:r>
              <w:rPr>
                <w:rFonts w:eastAsia="Arial"/>
              </w:rPr>
              <w:t>a</w:t>
            </w:r>
            <w:r w:rsidRPr="003F6642">
              <w:rPr>
                <w:rFonts w:eastAsia="Arial"/>
              </w:rPr>
              <w:t>pply</w:t>
            </w:r>
            <w:r>
              <w:rPr>
                <w:rFonts w:eastAsia="Arial"/>
              </w:rPr>
              <w:t xml:space="preserve"> for and have completed a</w:t>
            </w:r>
            <w:r w:rsidRPr="003F6642">
              <w:rPr>
                <w:rFonts w:eastAsia="Arial"/>
              </w:rPr>
              <w:t xml:space="preserve"> signed declaration</w:t>
            </w:r>
            <w:r>
              <w:rPr>
                <w:rFonts w:eastAsia="Arial"/>
              </w:rPr>
              <w:t xml:space="preserve">. If an audit fee applies, it must also pay the </w:t>
            </w:r>
            <w:r w:rsidRPr="003F6642">
              <w:rPr>
                <w:rFonts w:eastAsia="Arial"/>
              </w:rPr>
              <w:t xml:space="preserve">prescribed fee to </w:t>
            </w:r>
            <w:r>
              <w:rPr>
                <w:rFonts w:eastAsia="Arial"/>
              </w:rPr>
              <w:t>NSU</w:t>
            </w:r>
          </w:p>
          <w:p w14:paraId="7B7812D4" w14:textId="77777777" w:rsidR="00B17E6C" w:rsidRPr="00FD283A" w:rsidRDefault="00B17E6C" w:rsidP="005117ED">
            <w:pPr>
              <w:pStyle w:val="TableBullet"/>
              <w:rPr>
                <w:rFonts w:eastAsia="Arial"/>
              </w:rPr>
            </w:pPr>
            <w:r>
              <w:rPr>
                <w:rFonts w:eastAsia="Arial"/>
              </w:rPr>
              <w:t>a</w:t>
            </w:r>
            <w:r w:rsidRPr="00FD283A">
              <w:rPr>
                <w:rFonts w:eastAsia="Arial"/>
              </w:rPr>
              <w:t>s applicable</w:t>
            </w:r>
            <w:r>
              <w:rPr>
                <w:rFonts w:eastAsia="Arial"/>
              </w:rPr>
              <w:t>,</w:t>
            </w:r>
            <w:r w:rsidRPr="00FD283A">
              <w:rPr>
                <w:rFonts w:eastAsia="Arial"/>
              </w:rPr>
              <w:t xml:space="preserve"> provide a certificate of incorporation (or other relevant legal documentation of a business entity) to NSU</w:t>
            </w:r>
            <w:r>
              <w:rPr>
                <w:rFonts w:eastAsia="Arial"/>
              </w:rPr>
              <w:t>.</w:t>
            </w:r>
          </w:p>
          <w:p w14:paraId="7B7812D5" w14:textId="77777777" w:rsidR="00B17E6C" w:rsidRPr="003F6642" w:rsidRDefault="00B17E6C" w:rsidP="007F4D57">
            <w:pPr>
              <w:pStyle w:val="TableBullet"/>
              <w:numPr>
                <w:ilvl w:val="0"/>
                <w:numId w:val="0"/>
              </w:numPr>
              <w:ind w:left="284" w:hanging="284"/>
              <w:rPr>
                <w:rFonts w:eastAsia="Arial"/>
              </w:rPr>
            </w:pPr>
            <w:r>
              <w:rPr>
                <w:rFonts w:eastAsia="Arial"/>
              </w:rPr>
              <w:t>A prospective provider must:</w:t>
            </w:r>
          </w:p>
          <w:p w14:paraId="7B7812D6" w14:textId="77777777" w:rsidR="00B17E6C" w:rsidRDefault="00B17E6C" w:rsidP="005117ED">
            <w:pPr>
              <w:pStyle w:val="TableBullet"/>
              <w:rPr>
                <w:rFonts w:eastAsia="Arial"/>
              </w:rPr>
            </w:pPr>
            <w:r>
              <w:rPr>
                <w:rFonts w:eastAsia="Arial"/>
              </w:rPr>
              <w:t xml:space="preserve">participate with the DAA Group </w:t>
            </w:r>
            <w:r w:rsidRPr="003F6642">
              <w:rPr>
                <w:rFonts w:eastAsia="Arial"/>
              </w:rPr>
              <w:t xml:space="preserve">to undertake the </w:t>
            </w:r>
            <w:r>
              <w:rPr>
                <w:rFonts w:eastAsia="Arial"/>
              </w:rPr>
              <w:t xml:space="preserve">readiness </w:t>
            </w:r>
            <w:r w:rsidRPr="003F6642">
              <w:rPr>
                <w:rFonts w:eastAsia="Arial"/>
              </w:rPr>
              <w:t>audit</w:t>
            </w:r>
          </w:p>
          <w:p w14:paraId="7B7812D7" w14:textId="77777777" w:rsidR="00B17E6C" w:rsidRDefault="00B17E6C" w:rsidP="005117ED">
            <w:pPr>
              <w:pStyle w:val="TableBullet"/>
              <w:rPr>
                <w:rFonts w:eastAsia="Arial"/>
              </w:rPr>
            </w:pPr>
            <w:r>
              <w:rPr>
                <w:rFonts w:eastAsia="Arial"/>
              </w:rPr>
              <w:t>reflect the outcome of the audit in the transition plan</w:t>
            </w:r>
          </w:p>
          <w:p w14:paraId="7B7812D8" w14:textId="77777777" w:rsidR="00B17E6C" w:rsidRPr="003F6642" w:rsidRDefault="00B17E6C" w:rsidP="005117ED">
            <w:pPr>
              <w:pStyle w:val="TableBullet"/>
              <w:spacing w:after="120"/>
              <w:rPr>
                <w:rFonts w:eastAsia="Arial"/>
              </w:rPr>
            </w:pPr>
            <w:r>
              <w:rPr>
                <w:rFonts w:eastAsia="Arial"/>
              </w:rPr>
              <w:t>p</w:t>
            </w:r>
            <w:r w:rsidRPr="0006546A">
              <w:rPr>
                <w:rFonts w:eastAsia="Arial"/>
              </w:rPr>
              <w:t>articipate with the DAA Group to undertake the readiness audit</w:t>
            </w:r>
            <w:r>
              <w:rPr>
                <w:rFonts w:eastAsia="Arial"/>
              </w:rPr>
              <w:t>.</w:t>
            </w:r>
          </w:p>
        </w:tc>
      </w:tr>
      <w:tr w:rsidR="00B17E6C" w:rsidRPr="003F6642" w14:paraId="7B7812DF" w14:textId="77777777" w:rsidTr="00A759B1">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DA" w14:textId="77777777" w:rsidR="00B17E6C" w:rsidRPr="003F6642" w:rsidRDefault="00B17E6C" w:rsidP="007F4D57">
            <w:pPr>
              <w:pStyle w:val="TableText"/>
              <w:rPr>
                <w:rFonts w:eastAsia="Arial"/>
                <w:b/>
              </w:rPr>
            </w:pPr>
            <w:r>
              <w:rPr>
                <w:rFonts w:eastAsia="Arial"/>
                <w:b/>
              </w:rPr>
              <w:t xml:space="preserve">DAA Group </w:t>
            </w:r>
            <w:r w:rsidRPr="003F6642">
              <w:rPr>
                <w:rFonts w:eastAsia="Arial"/>
                <w:b/>
              </w:rPr>
              <w:t>roles and responsibilities</w:t>
            </w:r>
          </w:p>
        </w:tc>
        <w:tc>
          <w:tcPr>
            <w:tcW w:w="6237" w:type="dxa"/>
            <w:shd w:val="clear" w:color="auto" w:fill="auto"/>
          </w:tcPr>
          <w:p w14:paraId="7B7812DB" w14:textId="77777777" w:rsidR="00B17E6C" w:rsidRDefault="00B17E6C" w:rsidP="007F4D57">
            <w:pPr>
              <w:pStyle w:val="TableText"/>
              <w:rPr>
                <w:rFonts w:eastAsia="Arial"/>
              </w:rPr>
            </w:pPr>
            <w:r w:rsidRPr="00A20FE6">
              <w:rPr>
                <w:rFonts w:eastAsia="Arial"/>
              </w:rPr>
              <w:t xml:space="preserve">The DAA Group will not undertake </w:t>
            </w:r>
            <w:r>
              <w:rPr>
                <w:rFonts w:eastAsia="Arial"/>
              </w:rPr>
              <w:t>a readiness</w:t>
            </w:r>
            <w:r w:rsidRPr="00A20FE6">
              <w:rPr>
                <w:rFonts w:eastAsia="Arial"/>
              </w:rPr>
              <w:t xml:space="preserve"> audit without documented approval from NSU</w:t>
            </w:r>
            <w:r>
              <w:rPr>
                <w:rFonts w:eastAsia="Arial"/>
              </w:rPr>
              <w:t>.</w:t>
            </w:r>
          </w:p>
          <w:p w14:paraId="7B7812DC" w14:textId="77777777" w:rsidR="00B17E6C" w:rsidRPr="00EF3AC5" w:rsidRDefault="00B17E6C" w:rsidP="007F4D57">
            <w:pPr>
              <w:pStyle w:val="TableText"/>
              <w:rPr>
                <w:rFonts w:eastAsia="Arial"/>
              </w:rPr>
            </w:pPr>
            <w:r w:rsidRPr="003F6642">
              <w:rPr>
                <w:rFonts w:eastAsia="Arial"/>
              </w:rPr>
              <w:t xml:space="preserve">The </w:t>
            </w:r>
            <w:r>
              <w:rPr>
                <w:rFonts w:eastAsia="Arial"/>
              </w:rPr>
              <w:t xml:space="preserve">DAA Group </w:t>
            </w:r>
            <w:r w:rsidRPr="003F6642">
              <w:rPr>
                <w:rFonts w:eastAsia="Arial"/>
              </w:rPr>
              <w:t>must:</w:t>
            </w:r>
          </w:p>
          <w:p w14:paraId="7B7812DD" w14:textId="150A85C2" w:rsidR="00B17E6C" w:rsidRPr="0077551B" w:rsidRDefault="00B17E6C" w:rsidP="005117ED">
            <w:pPr>
              <w:pStyle w:val="TableBullet"/>
              <w:rPr>
                <w:rFonts w:eastAsia="Arial"/>
              </w:rPr>
            </w:pPr>
            <w:r>
              <w:rPr>
                <w:rFonts w:eastAsia="Arial"/>
              </w:rPr>
              <w:t>s</w:t>
            </w:r>
            <w:r w:rsidRPr="003F6642">
              <w:rPr>
                <w:rFonts w:eastAsia="Arial"/>
              </w:rPr>
              <w:t xml:space="preserve">ubmit the audit report to </w:t>
            </w:r>
            <w:r>
              <w:rPr>
                <w:rFonts w:eastAsia="Arial"/>
              </w:rPr>
              <w:t>NSU</w:t>
            </w:r>
            <w:r w:rsidRPr="003F6642">
              <w:rPr>
                <w:rFonts w:eastAsia="Arial"/>
              </w:rPr>
              <w:t xml:space="preserve"> within 20 working days of the audit </w:t>
            </w:r>
            <w:r w:rsidRPr="0077551B">
              <w:rPr>
                <w:rFonts w:eastAsia="Arial"/>
              </w:rPr>
              <w:t>(</w:t>
            </w:r>
            <w:r>
              <w:rPr>
                <w:rFonts w:eastAsia="Arial"/>
              </w:rPr>
              <w:t>see</w:t>
            </w:r>
            <w:r w:rsidRPr="0077551B">
              <w:rPr>
                <w:rFonts w:eastAsia="Arial"/>
              </w:rPr>
              <w:t xml:space="preserve"> </w:t>
            </w:r>
            <w:r w:rsidR="009C3AC9">
              <w:rPr>
                <w:rFonts w:eastAsia="Arial"/>
              </w:rPr>
              <w:t>s</w:t>
            </w:r>
            <w:r w:rsidRPr="0077551B">
              <w:rPr>
                <w:rFonts w:eastAsia="Arial"/>
              </w:rPr>
              <w:t>ection</w:t>
            </w:r>
            <w:r w:rsidR="009C3AC9">
              <w:rPr>
                <w:rFonts w:eastAsia="Arial"/>
              </w:rPr>
              <w:t> </w:t>
            </w:r>
            <w:r w:rsidR="005117ED">
              <w:rPr>
                <w:rFonts w:eastAsia="Arial"/>
              </w:rPr>
              <w:fldChar w:fldCharType="begin"/>
            </w:r>
            <w:r w:rsidR="005117ED">
              <w:rPr>
                <w:rFonts w:eastAsia="Arial"/>
              </w:rPr>
              <w:instrText xml:space="preserve"> REF _Ref71181939 \r \h </w:instrText>
            </w:r>
            <w:r w:rsidR="005117ED">
              <w:rPr>
                <w:rFonts w:eastAsia="Arial"/>
              </w:rPr>
            </w:r>
            <w:r w:rsidR="005117ED">
              <w:rPr>
                <w:rFonts w:eastAsia="Arial"/>
              </w:rPr>
              <w:fldChar w:fldCharType="separate"/>
            </w:r>
            <w:r w:rsidR="002861DC">
              <w:rPr>
                <w:rFonts w:eastAsia="Arial"/>
              </w:rPr>
              <w:t>7</w:t>
            </w:r>
            <w:r w:rsidR="005117ED">
              <w:rPr>
                <w:rFonts w:eastAsia="Arial"/>
              </w:rPr>
              <w:fldChar w:fldCharType="end"/>
            </w:r>
            <w:r w:rsidRPr="0077551B">
              <w:rPr>
                <w:rFonts w:eastAsia="Arial"/>
              </w:rPr>
              <w:t>)</w:t>
            </w:r>
          </w:p>
          <w:p w14:paraId="7B7812DE" w14:textId="77777777" w:rsidR="00B17E6C" w:rsidRPr="003F6642" w:rsidRDefault="00B17E6C" w:rsidP="005117ED">
            <w:pPr>
              <w:pStyle w:val="TableBullet"/>
              <w:spacing w:after="120"/>
              <w:rPr>
                <w:rFonts w:eastAsia="Arial"/>
              </w:rPr>
            </w:pPr>
            <w:r>
              <w:rPr>
                <w:rFonts w:eastAsia="Arial"/>
              </w:rPr>
              <w:t>e</w:t>
            </w:r>
            <w:r w:rsidRPr="003F6642">
              <w:rPr>
                <w:rFonts w:eastAsia="Arial"/>
              </w:rPr>
              <w:t xml:space="preserve">nsure the </w:t>
            </w:r>
            <w:r>
              <w:rPr>
                <w:rFonts w:eastAsia="Arial"/>
              </w:rPr>
              <w:t xml:space="preserve">NSU programme and </w:t>
            </w:r>
            <w:r w:rsidRPr="003F6642">
              <w:rPr>
                <w:rFonts w:eastAsia="Arial"/>
              </w:rPr>
              <w:t>prospective provider receives a copy of the final audit report</w:t>
            </w:r>
            <w:r>
              <w:rPr>
                <w:rFonts w:eastAsia="Arial"/>
              </w:rPr>
              <w:t>.</w:t>
            </w:r>
          </w:p>
        </w:tc>
      </w:tr>
      <w:tr w:rsidR="00B17E6C" w:rsidRPr="003F6642" w14:paraId="7B7812E5" w14:textId="77777777" w:rsidTr="00A759B1">
        <w:trPr>
          <w:cantSplit/>
        </w:trPr>
        <w:tc>
          <w:tcPr>
            <w:tcW w:w="1843" w:type="dxa"/>
            <w:tcBorders>
              <w:top w:val="single" w:sz="4" w:space="0" w:color="FFFFFF" w:themeColor="background1"/>
              <w:bottom w:val="single" w:sz="4" w:space="0" w:color="D9D9D9" w:themeColor="background1" w:themeShade="D9"/>
            </w:tcBorders>
            <w:shd w:val="clear" w:color="auto" w:fill="D9D9D9" w:themeFill="background1" w:themeFillShade="D9"/>
          </w:tcPr>
          <w:p w14:paraId="7B7812E0" w14:textId="77777777" w:rsidR="00B17E6C" w:rsidRPr="003F6642" w:rsidRDefault="00B17E6C" w:rsidP="007F4D57">
            <w:pPr>
              <w:pStyle w:val="TableText"/>
              <w:rPr>
                <w:rFonts w:eastAsia="Arial"/>
                <w:b/>
              </w:rPr>
            </w:pPr>
            <w:r w:rsidRPr="003F6642">
              <w:rPr>
                <w:rFonts w:eastAsia="Arial"/>
                <w:b/>
              </w:rPr>
              <w:t>Outcome</w:t>
            </w:r>
          </w:p>
        </w:tc>
        <w:tc>
          <w:tcPr>
            <w:tcW w:w="6237" w:type="dxa"/>
            <w:shd w:val="clear" w:color="auto" w:fill="auto"/>
          </w:tcPr>
          <w:p w14:paraId="7B7812E1" w14:textId="77777777" w:rsidR="00B17E6C" w:rsidRPr="003F6642" w:rsidRDefault="00B17E6C" w:rsidP="007F4D57">
            <w:pPr>
              <w:pStyle w:val="TableText"/>
              <w:rPr>
                <w:rFonts w:eastAsia="Arial"/>
              </w:rPr>
            </w:pPr>
            <w:r w:rsidRPr="003F6642">
              <w:rPr>
                <w:rFonts w:eastAsia="Arial"/>
              </w:rPr>
              <w:t>A</w:t>
            </w:r>
            <w:r>
              <w:rPr>
                <w:rFonts w:eastAsia="Arial"/>
              </w:rPr>
              <w:t>pproval to proceed with purchase or contract is supported.</w:t>
            </w:r>
          </w:p>
          <w:p w14:paraId="7B7812E2" w14:textId="77777777" w:rsidR="00B17E6C" w:rsidRDefault="00B17E6C" w:rsidP="007F4D57">
            <w:pPr>
              <w:pStyle w:val="TableText"/>
              <w:rPr>
                <w:rFonts w:eastAsia="Arial"/>
              </w:rPr>
            </w:pPr>
            <w:r w:rsidRPr="003F6642">
              <w:rPr>
                <w:rFonts w:eastAsia="Arial"/>
              </w:rPr>
              <w:t xml:space="preserve">A </w:t>
            </w:r>
            <w:r>
              <w:rPr>
                <w:rFonts w:eastAsia="Arial"/>
              </w:rPr>
              <w:t>verification</w:t>
            </w:r>
            <w:r w:rsidRPr="003F6642">
              <w:rPr>
                <w:rFonts w:eastAsia="Arial"/>
              </w:rPr>
              <w:t xml:space="preserve"> audit </w:t>
            </w:r>
            <w:r>
              <w:rPr>
                <w:rFonts w:eastAsia="Arial"/>
              </w:rPr>
              <w:t>is performed within a year</w:t>
            </w:r>
            <w:r w:rsidRPr="003F6642">
              <w:rPr>
                <w:rFonts w:eastAsia="Arial"/>
              </w:rPr>
              <w:t>.</w:t>
            </w:r>
          </w:p>
          <w:p w14:paraId="7B7812E3" w14:textId="77777777" w:rsidR="00B17E6C" w:rsidRDefault="00B17E6C" w:rsidP="007F4D57">
            <w:pPr>
              <w:pStyle w:val="TableText"/>
              <w:rPr>
                <w:rFonts w:eastAsia="Arial"/>
              </w:rPr>
            </w:pPr>
            <w:r>
              <w:rPr>
                <w:rFonts w:eastAsia="Arial"/>
              </w:rPr>
              <w:t>The prospective provider transition plan will be updated to consider the outcome of the readiness audit.</w:t>
            </w:r>
          </w:p>
          <w:p w14:paraId="7B7812E4" w14:textId="77777777" w:rsidR="00B17E6C" w:rsidRPr="003F6642" w:rsidRDefault="00B17E6C" w:rsidP="005117ED">
            <w:pPr>
              <w:pStyle w:val="TableText"/>
              <w:spacing w:after="120"/>
              <w:rPr>
                <w:rFonts w:eastAsia="Arial"/>
              </w:rPr>
            </w:pPr>
            <w:r w:rsidRPr="00F90D78">
              <w:rPr>
                <w:rFonts w:eastAsia="Arial"/>
              </w:rPr>
              <w:t>The current provider is responsible for any improvement actions identified by the readiness audit until the settlement or transfer to the new provider has occurred</w:t>
            </w:r>
            <w:r>
              <w:rPr>
                <w:rFonts w:eastAsia="Arial"/>
              </w:rPr>
              <w:t>.</w:t>
            </w:r>
          </w:p>
        </w:tc>
      </w:tr>
    </w:tbl>
    <w:p w14:paraId="7B7812E6" w14:textId="77777777" w:rsidR="00B17E6C" w:rsidRPr="003F6642" w:rsidRDefault="00B17E6C" w:rsidP="00A759B1"/>
    <w:p w14:paraId="7B7812E7" w14:textId="77777777" w:rsidR="00B17E6C" w:rsidRPr="003F6642" w:rsidRDefault="00B17E6C" w:rsidP="005A7A8D">
      <w:pPr>
        <w:pStyle w:val="Heading2"/>
        <w:rPr>
          <w:rFonts w:eastAsia="Arial"/>
        </w:rPr>
      </w:pPr>
      <w:bookmarkStart w:id="141" w:name="_Toc371769441"/>
      <w:bookmarkStart w:id="142" w:name="_Toc414889623"/>
      <w:bookmarkStart w:id="143" w:name="_Toc485385899"/>
      <w:bookmarkStart w:id="144" w:name="_Toc68012581"/>
      <w:bookmarkStart w:id="145" w:name="_Toc90391852"/>
      <w:r w:rsidRPr="007516D0">
        <w:rPr>
          <w:rFonts w:eastAsia="Arial"/>
        </w:rPr>
        <w:lastRenderedPageBreak/>
        <w:t>Extension audit</w:t>
      </w:r>
      <w:bookmarkEnd w:id="141"/>
      <w:bookmarkEnd w:id="142"/>
      <w:bookmarkEnd w:id="143"/>
      <w:bookmarkEnd w:id="144"/>
      <w:bookmarkEnd w:id="145"/>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843"/>
        <w:gridCol w:w="6237"/>
      </w:tblGrid>
      <w:tr w:rsidR="00B17E6C" w:rsidRPr="003F6642" w14:paraId="7B7812EC" w14:textId="77777777" w:rsidTr="007F4D57">
        <w:trPr>
          <w:cantSplit/>
        </w:trPr>
        <w:tc>
          <w:tcPr>
            <w:tcW w:w="1843" w:type="dxa"/>
            <w:tcBorders>
              <w:top w:val="single" w:sz="4" w:space="0" w:color="D9D9D9" w:themeColor="background1" w:themeShade="D9"/>
              <w:bottom w:val="single" w:sz="4" w:space="0" w:color="FFFFFF" w:themeColor="background1"/>
            </w:tcBorders>
            <w:shd w:val="clear" w:color="auto" w:fill="D9D9D9" w:themeFill="background1" w:themeFillShade="D9"/>
          </w:tcPr>
          <w:p w14:paraId="7B7812E8" w14:textId="77777777" w:rsidR="00B17E6C" w:rsidRPr="003F6642" w:rsidRDefault="00B17E6C" w:rsidP="007F4D57">
            <w:pPr>
              <w:pStyle w:val="TableText"/>
              <w:ind w:right="113"/>
              <w:rPr>
                <w:rFonts w:eastAsia="Arial"/>
                <w:b/>
              </w:rPr>
            </w:pPr>
            <w:r w:rsidRPr="003F6642">
              <w:rPr>
                <w:rFonts w:eastAsia="Arial"/>
                <w:b/>
              </w:rPr>
              <w:t>Definition</w:t>
            </w:r>
          </w:p>
        </w:tc>
        <w:tc>
          <w:tcPr>
            <w:tcW w:w="6237" w:type="dxa"/>
            <w:shd w:val="clear" w:color="auto" w:fill="auto"/>
          </w:tcPr>
          <w:p w14:paraId="7B7812E9" w14:textId="77777777" w:rsidR="00B17E6C" w:rsidRPr="00CE4C69" w:rsidRDefault="00B17E6C" w:rsidP="007F4D57">
            <w:pPr>
              <w:pStyle w:val="TableText"/>
              <w:rPr>
                <w:rFonts w:eastAsia="Arial"/>
              </w:rPr>
            </w:pPr>
            <w:r>
              <w:rPr>
                <w:rFonts w:eastAsia="Arial"/>
              </w:rPr>
              <w:t>The purpose of a</w:t>
            </w:r>
            <w:r w:rsidRPr="00CE4C69">
              <w:rPr>
                <w:rFonts w:eastAsia="Arial"/>
              </w:rPr>
              <w:t>n extension audit is to establish the level of preparedness of an existing provider to provide a new or reconfigured screening service.</w:t>
            </w:r>
          </w:p>
          <w:p w14:paraId="7B7812EA" w14:textId="77777777" w:rsidR="00B17E6C" w:rsidRDefault="00B17E6C" w:rsidP="007F4D57">
            <w:pPr>
              <w:pStyle w:val="TableBullet"/>
              <w:numPr>
                <w:ilvl w:val="0"/>
                <w:numId w:val="0"/>
              </w:numPr>
              <w:rPr>
                <w:rFonts w:eastAsia="Arial"/>
              </w:rPr>
            </w:pPr>
            <w:r w:rsidRPr="00CE4C69">
              <w:rPr>
                <w:rFonts w:eastAsia="Arial"/>
              </w:rPr>
              <w:t xml:space="preserve">The DAA Group will not undertake an extension audit without documented approval from </w:t>
            </w:r>
            <w:r>
              <w:rPr>
                <w:rFonts w:eastAsia="Arial"/>
              </w:rPr>
              <w:t>NSU.</w:t>
            </w:r>
          </w:p>
          <w:p w14:paraId="7B7812EB" w14:textId="77777777" w:rsidR="00B17E6C" w:rsidRPr="003F6642" w:rsidRDefault="00B17E6C" w:rsidP="005117ED">
            <w:pPr>
              <w:pStyle w:val="TableBullet"/>
              <w:numPr>
                <w:ilvl w:val="0"/>
                <w:numId w:val="0"/>
              </w:numPr>
              <w:spacing w:before="60" w:after="120"/>
              <w:rPr>
                <w:rFonts w:eastAsia="Arial"/>
              </w:rPr>
            </w:pPr>
            <w:r>
              <w:rPr>
                <w:rFonts w:eastAsia="Arial"/>
              </w:rPr>
              <w:t>P</w:t>
            </w:r>
            <w:r w:rsidRPr="003F6642">
              <w:rPr>
                <w:rFonts w:eastAsia="Arial"/>
              </w:rPr>
              <w:t xml:space="preserve">roviders </w:t>
            </w:r>
            <w:r>
              <w:rPr>
                <w:rFonts w:eastAsia="Arial"/>
              </w:rPr>
              <w:t xml:space="preserve">must </w:t>
            </w:r>
            <w:r w:rsidRPr="003F6642">
              <w:rPr>
                <w:rFonts w:eastAsia="Arial"/>
              </w:rPr>
              <w:t xml:space="preserve">liaise directly with </w:t>
            </w:r>
            <w:r>
              <w:rPr>
                <w:rFonts w:eastAsia="Arial"/>
              </w:rPr>
              <w:t>NSU</w:t>
            </w:r>
            <w:r w:rsidRPr="003F6642">
              <w:rPr>
                <w:rFonts w:eastAsia="Arial"/>
              </w:rPr>
              <w:t xml:space="preserve"> </w:t>
            </w:r>
            <w:r>
              <w:rPr>
                <w:rFonts w:eastAsia="Arial"/>
              </w:rPr>
              <w:t>before</w:t>
            </w:r>
            <w:r w:rsidRPr="003F6642">
              <w:rPr>
                <w:rFonts w:eastAsia="Arial"/>
              </w:rPr>
              <w:t xml:space="preserve"> engaging </w:t>
            </w:r>
            <w:r>
              <w:rPr>
                <w:rFonts w:eastAsia="Arial"/>
              </w:rPr>
              <w:t xml:space="preserve">the DAA Group, </w:t>
            </w:r>
            <w:r w:rsidRPr="003F6642">
              <w:rPr>
                <w:rFonts w:eastAsia="Arial"/>
              </w:rPr>
              <w:t xml:space="preserve">as an audit may not be required or </w:t>
            </w:r>
            <w:r>
              <w:rPr>
                <w:rFonts w:eastAsia="Arial"/>
              </w:rPr>
              <w:t>NSU</w:t>
            </w:r>
            <w:r w:rsidRPr="003F6642">
              <w:rPr>
                <w:rFonts w:eastAsia="Arial"/>
              </w:rPr>
              <w:t xml:space="preserve"> may approve a combined audit where another audit activity is imminent</w:t>
            </w:r>
            <w:r>
              <w:rPr>
                <w:rFonts w:eastAsia="Arial"/>
              </w:rPr>
              <w:t>.</w:t>
            </w:r>
          </w:p>
        </w:tc>
      </w:tr>
      <w:tr w:rsidR="00B17E6C" w:rsidRPr="003F6642" w14:paraId="7B7812F2" w14:textId="77777777" w:rsidTr="007F4D57">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ED" w14:textId="77777777" w:rsidR="00B17E6C" w:rsidRPr="003F6642" w:rsidRDefault="00B17E6C" w:rsidP="007F4D57">
            <w:pPr>
              <w:pStyle w:val="TableText"/>
              <w:ind w:right="113"/>
              <w:rPr>
                <w:rFonts w:eastAsia="Arial"/>
                <w:b/>
              </w:rPr>
            </w:pPr>
            <w:r w:rsidRPr="003F6642">
              <w:rPr>
                <w:rFonts w:eastAsia="Arial"/>
                <w:b/>
              </w:rPr>
              <w:t>Applies to</w:t>
            </w:r>
          </w:p>
        </w:tc>
        <w:tc>
          <w:tcPr>
            <w:tcW w:w="6237" w:type="dxa"/>
            <w:shd w:val="clear" w:color="auto" w:fill="auto"/>
          </w:tcPr>
          <w:p w14:paraId="7B7812EE" w14:textId="77777777" w:rsidR="00B17E6C" w:rsidRPr="003F6642" w:rsidRDefault="00B17E6C" w:rsidP="007F4D57">
            <w:pPr>
              <w:pStyle w:val="TableText"/>
              <w:rPr>
                <w:rFonts w:eastAsia="Arial"/>
              </w:rPr>
            </w:pPr>
            <w:r w:rsidRPr="003F6642">
              <w:rPr>
                <w:rFonts w:eastAsia="Arial"/>
              </w:rPr>
              <w:t>The audit applies to a</w:t>
            </w:r>
            <w:r>
              <w:rPr>
                <w:rFonts w:eastAsia="Arial"/>
              </w:rPr>
              <w:t xml:space="preserve"> screening provider that is</w:t>
            </w:r>
            <w:r w:rsidRPr="003F6642">
              <w:rPr>
                <w:rFonts w:eastAsia="Arial"/>
              </w:rPr>
              <w:t>:</w:t>
            </w:r>
          </w:p>
          <w:p w14:paraId="7B7812EF" w14:textId="77777777" w:rsidR="00B17E6C" w:rsidRPr="003F6642" w:rsidRDefault="00B17E6C" w:rsidP="007F4D57">
            <w:pPr>
              <w:pStyle w:val="TableBullet"/>
              <w:rPr>
                <w:rFonts w:eastAsia="Arial"/>
              </w:rPr>
            </w:pPr>
            <w:r w:rsidRPr="003F6642">
              <w:rPr>
                <w:rFonts w:eastAsia="Arial"/>
              </w:rPr>
              <w:t>applying to add a</w:t>
            </w:r>
            <w:r>
              <w:rPr>
                <w:rFonts w:eastAsia="Arial"/>
              </w:rPr>
              <w:t xml:space="preserve">nother screening service </w:t>
            </w:r>
            <w:r w:rsidRPr="003F6642">
              <w:rPr>
                <w:rFonts w:eastAsia="Arial"/>
              </w:rPr>
              <w:t xml:space="preserve">to </w:t>
            </w:r>
            <w:r>
              <w:rPr>
                <w:rFonts w:eastAsia="Arial"/>
              </w:rPr>
              <w:t>its</w:t>
            </w:r>
            <w:r w:rsidRPr="003F6642">
              <w:rPr>
                <w:rFonts w:eastAsia="Arial"/>
              </w:rPr>
              <w:t xml:space="preserve"> existing </w:t>
            </w:r>
            <w:r>
              <w:rPr>
                <w:rFonts w:eastAsia="Arial"/>
              </w:rPr>
              <w:t>screening service</w:t>
            </w:r>
          </w:p>
          <w:p w14:paraId="7B7812F0" w14:textId="77777777" w:rsidR="00B17E6C" w:rsidRPr="003F6642" w:rsidRDefault="00B17E6C" w:rsidP="007F4D57">
            <w:pPr>
              <w:pStyle w:val="TableBullet"/>
              <w:rPr>
                <w:rFonts w:eastAsia="Arial"/>
              </w:rPr>
            </w:pPr>
            <w:r w:rsidRPr="003F6642">
              <w:rPr>
                <w:rFonts w:eastAsia="Arial"/>
              </w:rPr>
              <w:t xml:space="preserve">applying to change the configuration of existing services </w:t>
            </w:r>
            <w:r>
              <w:rPr>
                <w:rFonts w:eastAsia="Arial"/>
              </w:rPr>
              <w:t>(</w:t>
            </w:r>
            <w:proofErr w:type="spellStart"/>
            <w:r w:rsidRPr="003F6642">
              <w:rPr>
                <w:rFonts w:eastAsia="Arial"/>
              </w:rPr>
              <w:t>eg</w:t>
            </w:r>
            <w:proofErr w:type="spellEnd"/>
            <w:r>
              <w:rPr>
                <w:rFonts w:eastAsia="Arial"/>
              </w:rPr>
              <w:t>,</w:t>
            </w:r>
            <w:r w:rsidRPr="003F6642">
              <w:rPr>
                <w:rFonts w:eastAsia="Arial"/>
              </w:rPr>
              <w:t xml:space="preserve"> adding </w:t>
            </w:r>
            <w:r>
              <w:rPr>
                <w:rFonts w:eastAsia="Arial"/>
              </w:rPr>
              <w:t xml:space="preserve">new screening technology </w:t>
            </w:r>
            <w:r w:rsidRPr="003F6642">
              <w:rPr>
                <w:rFonts w:eastAsia="Arial"/>
              </w:rPr>
              <w:t>or increasing</w:t>
            </w:r>
            <w:r>
              <w:rPr>
                <w:rFonts w:eastAsia="Arial"/>
              </w:rPr>
              <w:t xml:space="preserve"> the</w:t>
            </w:r>
            <w:r w:rsidRPr="003F6642">
              <w:rPr>
                <w:rFonts w:eastAsia="Arial"/>
              </w:rPr>
              <w:t xml:space="preserve"> </w:t>
            </w:r>
            <w:r>
              <w:rPr>
                <w:rFonts w:eastAsia="Arial"/>
              </w:rPr>
              <w:t>capacity of</w:t>
            </w:r>
            <w:r w:rsidRPr="003F6642">
              <w:rPr>
                <w:rFonts w:eastAsia="Arial"/>
              </w:rPr>
              <w:t xml:space="preserve"> </w:t>
            </w:r>
            <w:r>
              <w:rPr>
                <w:rFonts w:eastAsia="Arial"/>
              </w:rPr>
              <w:t xml:space="preserve">an </w:t>
            </w:r>
            <w:r w:rsidRPr="003F6642">
              <w:rPr>
                <w:rFonts w:eastAsia="Arial"/>
              </w:rPr>
              <w:t xml:space="preserve">existing </w:t>
            </w:r>
            <w:r>
              <w:rPr>
                <w:rFonts w:eastAsia="Arial"/>
              </w:rPr>
              <w:t>screening service)</w:t>
            </w:r>
          </w:p>
          <w:p w14:paraId="7B7812F1" w14:textId="77777777" w:rsidR="00B17E6C" w:rsidRPr="00A95894" w:rsidRDefault="00B17E6C" w:rsidP="005117ED">
            <w:pPr>
              <w:pStyle w:val="TableBullet"/>
              <w:spacing w:after="120"/>
              <w:rPr>
                <w:rFonts w:eastAsia="Arial"/>
              </w:rPr>
            </w:pPr>
            <w:r>
              <w:rPr>
                <w:rFonts w:eastAsia="Arial"/>
              </w:rPr>
              <w:t>a</w:t>
            </w:r>
            <w:r w:rsidRPr="003F6642">
              <w:rPr>
                <w:rFonts w:eastAsia="Arial"/>
              </w:rPr>
              <w:t xml:space="preserve">dding a new building as an extension to an existing site or for a building that is not currently providing </w:t>
            </w:r>
            <w:r>
              <w:rPr>
                <w:rFonts w:eastAsia="Arial"/>
              </w:rPr>
              <w:t>screening</w:t>
            </w:r>
            <w:r w:rsidRPr="003F6642">
              <w:rPr>
                <w:rFonts w:eastAsia="Arial"/>
              </w:rPr>
              <w:t xml:space="preserve"> services on a new site</w:t>
            </w:r>
            <w:r>
              <w:rPr>
                <w:rFonts w:eastAsia="Arial"/>
              </w:rPr>
              <w:t>.</w:t>
            </w:r>
          </w:p>
        </w:tc>
      </w:tr>
      <w:tr w:rsidR="00B17E6C" w:rsidRPr="003F6642" w14:paraId="7B7812F9" w14:textId="77777777" w:rsidTr="005A7A8D">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2F3" w14:textId="77777777" w:rsidR="00B17E6C" w:rsidRPr="003F6642" w:rsidRDefault="00B17E6C" w:rsidP="007F4D57">
            <w:pPr>
              <w:pStyle w:val="TableText"/>
              <w:ind w:right="113"/>
              <w:rPr>
                <w:rFonts w:eastAsia="Arial"/>
                <w:b/>
              </w:rPr>
            </w:pPr>
            <w:r w:rsidRPr="003F6642">
              <w:rPr>
                <w:rFonts w:eastAsia="Arial"/>
                <w:b/>
              </w:rPr>
              <w:t>Scope</w:t>
            </w:r>
          </w:p>
        </w:tc>
        <w:tc>
          <w:tcPr>
            <w:tcW w:w="6237" w:type="dxa"/>
            <w:shd w:val="clear" w:color="auto" w:fill="auto"/>
          </w:tcPr>
          <w:p w14:paraId="7B7812F4" w14:textId="77777777" w:rsidR="00B17E6C" w:rsidRPr="003F6642" w:rsidRDefault="00B17E6C" w:rsidP="007F4D57">
            <w:pPr>
              <w:pStyle w:val="TableText"/>
              <w:rPr>
                <w:rFonts w:eastAsia="Arial"/>
              </w:rPr>
            </w:pPr>
            <w:r w:rsidRPr="003F6642">
              <w:rPr>
                <w:rFonts w:eastAsia="Arial"/>
              </w:rPr>
              <w:t>The audit should include an:</w:t>
            </w:r>
          </w:p>
          <w:p w14:paraId="7B7812F5" w14:textId="77777777" w:rsidR="00B17E6C" w:rsidRPr="003F6642" w:rsidRDefault="00B17E6C" w:rsidP="007F4D57">
            <w:pPr>
              <w:pStyle w:val="TableBullet"/>
              <w:rPr>
                <w:rFonts w:eastAsia="Arial"/>
              </w:rPr>
            </w:pPr>
            <w:r>
              <w:rPr>
                <w:rFonts w:eastAsia="Arial"/>
              </w:rPr>
              <w:t>i</w:t>
            </w:r>
            <w:r w:rsidRPr="003F6642">
              <w:rPr>
                <w:rFonts w:eastAsia="Arial"/>
              </w:rPr>
              <w:t>nterview with the provider (or contact person)</w:t>
            </w:r>
          </w:p>
          <w:p w14:paraId="7B7812F6" w14:textId="77777777" w:rsidR="00B17E6C" w:rsidRPr="00637FEE" w:rsidRDefault="00B17E6C" w:rsidP="007F4D57">
            <w:pPr>
              <w:pStyle w:val="TableBullet"/>
              <w:rPr>
                <w:rFonts w:eastAsia="Arial"/>
              </w:rPr>
            </w:pPr>
            <w:r>
              <w:rPr>
                <w:rFonts w:eastAsia="Arial"/>
              </w:rPr>
              <w:t>a</w:t>
            </w:r>
            <w:r w:rsidRPr="003F6642">
              <w:rPr>
                <w:rFonts w:eastAsia="Arial"/>
              </w:rPr>
              <w:t xml:space="preserve">udit against the </w:t>
            </w:r>
            <w:r>
              <w:rPr>
                <w:rFonts w:eastAsia="Arial"/>
              </w:rPr>
              <w:t>agreed programme standards.</w:t>
            </w:r>
          </w:p>
          <w:p w14:paraId="7B7812F7" w14:textId="77777777" w:rsidR="00B17E6C" w:rsidRDefault="00B17E6C" w:rsidP="007F4D57">
            <w:pPr>
              <w:pStyle w:val="TableText"/>
              <w:rPr>
                <w:rFonts w:eastAsia="Arial"/>
              </w:rPr>
            </w:pPr>
            <w:r>
              <w:rPr>
                <w:rFonts w:eastAsia="Arial"/>
              </w:rPr>
              <w:t>Where</w:t>
            </w:r>
            <w:r w:rsidRPr="003F6642">
              <w:rPr>
                <w:rFonts w:eastAsia="Arial"/>
              </w:rPr>
              <w:t xml:space="preserve"> an activity is planned but not completed</w:t>
            </w:r>
            <w:r>
              <w:rPr>
                <w:rFonts w:eastAsia="Arial"/>
              </w:rPr>
              <w:t xml:space="preserve"> (</w:t>
            </w:r>
            <w:proofErr w:type="spellStart"/>
            <w:r>
              <w:rPr>
                <w:rFonts w:eastAsia="Arial"/>
              </w:rPr>
              <w:t>eg</w:t>
            </w:r>
            <w:proofErr w:type="spellEnd"/>
            <w:r>
              <w:rPr>
                <w:rFonts w:eastAsia="Arial"/>
              </w:rPr>
              <w:t xml:space="preserve">, </w:t>
            </w:r>
            <w:r w:rsidRPr="009C6554">
              <w:rPr>
                <w:rFonts w:eastAsia="Arial"/>
              </w:rPr>
              <w:t xml:space="preserve">planned training or </w:t>
            </w:r>
            <w:r>
              <w:rPr>
                <w:rFonts w:eastAsia="Arial"/>
              </w:rPr>
              <w:t>a delayed start date for a key role),</w:t>
            </w:r>
            <w:r w:rsidRPr="003F6642">
              <w:rPr>
                <w:rFonts w:eastAsia="Arial"/>
              </w:rPr>
              <w:t xml:space="preserve"> </w:t>
            </w:r>
            <w:r>
              <w:rPr>
                <w:rFonts w:eastAsia="Arial"/>
              </w:rPr>
              <w:t xml:space="preserve">auditors should award </w:t>
            </w:r>
            <w:r w:rsidRPr="003F6642">
              <w:rPr>
                <w:rFonts w:eastAsia="Arial"/>
              </w:rPr>
              <w:t xml:space="preserve">a </w:t>
            </w:r>
            <w:r w:rsidRPr="009C6554">
              <w:rPr>
                <w:rFonts w:eastAsia="Arial"/>
              </w:rPr>
              <w:t>PA</w:t>
            </w:r>
            <w:r>
              <w:rPr>
                <w:rFonts w:eastAsia="Arial"/>
              </w:rPr>
              <w:t>.</w:t>
            </w:r>
          </w:p>
          <w:p w14:paraId="7B7812F8" w14:textId="77777777" w:rsidR="00B17E6C" w:rsidRPr="003F6642" w:rsidRDefault="00B17E6C" w:rsidP="005117ED">
            <w:pPr>
              <w:pStyle w:val="TableText"/>
              <w:spacing w:after="120"/>
              <w:rPr>
                <w:rFonts w:eastAsia="Arial"/>
              </w:rPr>
            </w:pPr>
            <w:r>
              <w:rPr>
                <w:lang w:bidi="en-US"/>
              </w:rPr>
              <w:t>Each programme defines t</w:t>
            </w:r>
            <w:r w:rsidRPr="008B3001">
              <w:rPr>
                <w:lang w:bidi="en-US"/>
              </w:rPr>
              <w:t xml:space="preserve">he </w:t>
            </w:r>
            <w:r>
              <w:rPr>
                <w:lang w:bidi="en-US"/>
              </w:rPr>
              <w:t>s</w:t>
            </w:r>
            <w:r w:rsidRPr="008B3001">
              <w:rPr>
                <w:lang w:bidi="en-US"/>
              </w:rPr>
              <w:t xml:space="preserve">tandards that must be rated as fully attained </w:t>
            </w:r>
            <w:r>
              <w:rPr>
                <w:lang w:bidi="en-US"/>
              </w:rPr>
              <w:t>before</w:t>
            </w:r>
            <w:r w:rsidRPr="008B3001">
              <w:rPr>
                <w:lang w:bidi="en-US"/>
              </w:rPr>
              <w:t xml:space="preserve"> the change </w:t>
            </w:r>
            <w:r>
              <w:rPr>
                <w:lang w:bidi="en-US"/>
              </w:rPr>
              <w:t xml:space="preserve">to the service </w:t>
            </w:r>
            <w:r w:rsidRPr="008B3001">
              <w:rPr>
                <w:lang w:bidi="en-US"/>
              </w:rPr>
              <w:t xml:space="preserve">or occupation </w:t>
            </w:r>
            <w:r>
              <w:rPr>
                <w:lang w:bidi="en-US"/>
              </w:rPr>
              <w:t>of the building. For more information,</w:t>
            </w:r>
            <w:r w:rsidRPr="008B3001">
              <w:rPr>
                <w:lang w:bidi="en-US"/>
              </w:rPr>
              <w:t xml:space="preserve"> see</w:t>
            </w:r>
            <w:r>
              <w:rPr>
                <w:lang w:bidi="en-US"/>
              </w:rPr>
              <w:t xml:space="preserve"> Part Two for</w:t>
            </w:r>
            <w:r w:rsidRPr="008B3001">
              <w:rPr>
                <w:lang w:bidi="en-US"/>
              </w:rPr>
              <w:t xml:space="preserve"> the Programme Specific Requirements.</w:t>
            </w:r>
          </w:p>
        </w:tc>
      </w:tr>
      <w:tr w:rsidR="00B17E6C" w:rsidRPr="003F6642" w14:paraId="7B781301" w14:textId="77777777" w:rsidTr="005A7A8D">
        <w:trPr>
          <w:cantSplit/>
        </w:trPr>
        <w:tc>
          <w:tcPr>
            <w:tcW w:w="1843" w:type="dxa"/>
            <w:tcBorders>
              <w:top w:val="single" w:sz="4" w:space="0" w:color="FFFFFF" w:themeColor="background1"/>
              <w:bottom w:val="single" w:sz="4" w:space="0" w:color="D9D9D9" w:themeColor="background1" w:themeShade="D9"/>
            </w:tcBorders>
            <w:shd w:val="clear" w:color="auto" w:fill="D9D9D9" w:themeFill="background1" w:themeFillShade="D9"/>
          </w:tcPr>
          <w:p w14:paraId="7B7812FA" w14:textId="77777777" w:rsidR="00B17E6C" w:rsidRPr="003F6642" w:rsidRDefault="00B17E6C" w:rsidP="007F4D57">
            <w:pPr>
              <w:pStyle w:val="TableText"/>
              <w:ind w:right="113"/>
              <w:rPr>
                <w:rFonts w:eastAsia="Arial"/>
                <w:b/>
              </w:rPr>
            </w:pPr>
            <w:r w:rsidRPr="003F6642">
              <w:rPr>
                <w:rFonts w:eastAsia="Arial"/>
                <w:b/>
              </w:rPr>
              <w:t>Provider roles and responsibilities</w:t>
            </w:r>
          </w:p>
        </w:tc>
        <w:tc>
          <w:tcPr>
            <w:tcW w:w="6237" w:type="dxa"/>
            <w:shd w:val="clear" w:color="auto" w:fill="auto"/>
          </w:tcPr>
          <w:p w14:paraId="7B7812FB" w14:textId="77777777" w:rsidR="00B17E6C" w:rsidRPr="00CE4C69" w:rsidRDefault="00B17E6C" w:rsidP="007F4D57">
            <w:pPr>
              <w:pStyle w:val="TableText"/>
            </w:pPr>
            <w:r w:rsidRPr="003F6642">
              <w:rPr>
                <w:rFonts w:eastAsia="Arial"/>
              </w:rPr>
              <w:t>The provider must</w:t>
            </w:r>
            <w:r>
              <w:t xml:space="preserve"> n</w:t>
            </w:r>
            <w:r w:rsidRPr="003F6642">
              <w:t xml:space="preserve">otify </w:t>
            </w:r>
            <w:r>
              <w:t>NSU</w:t>
            </w:r>
            <w:r w:rsidRPr="003F6642">
              <w:t xml:space="preserve"> of any planned reconfiguration or increase in capacity before implement</w:t>
            </w:r>
            <w:r>
              <w:t>ing it, giving enough notice to complete an extension audit.</w:t>
            </w:r>
          </w:p>
          <w:p w14:paraId="7B7812FC" w14:textId="77777777" w:rsidR="00B17E6C" w:rsidRPr="0024756F" w:rsidRDefault="00B17E6C" w:rsidP="007F4D57">
            <w:pPr>
              <w:pStyle w:val="TableBullet"/>
              <w:numPr>
                <w:ilvl w:val="0"/>
                <w:numId w:val="0"/>
              </w:numPr>
              <w:rPr>
                <w:rFonts w:eastAsia="Arial"/>
              </w:rPr>
            </w:pPr>
            <w:r w:rsidRPr="0024756F">
              <w:rPr>
                <w:rFonts w:eastAsia="Arial"/>
              </w:rPr>
              <w:t xml:space="preserve">Where NSU has determined an audit is required, </w:t>
            </w:r>
            <w:r>
              <w:rPr>
                <w:rFonts w:eastAsia="Arial"/>
              </w:rPr>
              <w:t>it</w:t>
            </w:r>
            <w:r w:rsidRPr="0024756F">
              <w:rPr>
                <w:rFonts w:eastAsia="Arial"/>
              </w:rPr>
              <w:t xml:space="preserve"> will engage the DAA Group to undertake the extension audit.</w:t>
            </w:r>
          </w:p>
          <w:p w14:paraId="7B7812FD" w14:textId="77777777" w:rsidR="00E33EDB" w:rsidRDefault="00B17E6C" w:rsidP="007F4D57">
            <w:pPr>
              <w:pStyle w:val="TableBullet"/>
              <w:numPr>
                <w:ilvl w:val="0"/>
                <w:numId w:val="0"/>
              </w:numPr>
            </w:pPr>
            <w:r w:rsidRPr="0024756F">
              <w:rPr>
                <w:rFonts w:eastAsia="Arial"/>
              </w:rPr>
              <w:t>Where a new premise is involved in the extension audit process</w:t>
            </w:r>
            <w:r>
              <w:rPr>
                <w:rFonts w:eastAsia="Arial"/>
              </w:rPr>
              <w:t>,</w:t>
            </w:r>
            <w:r w:rsidRPr="0024756F">
              <w:rPr>
                <w:rFonts w:eastAsia="Arial"/>
              </w:rPr>
              <w:t xml:space="preserve"> the timing of the audit steps must allow for an assessment of the new building as close to the completion of the build as possible</w:t>
            </w:r>
            <w:r w:rsidRPr="003F6642">
              <w:rPr>
                <w:rFonts w:eastAsia="Arial"/>
              </w:rPr>
              <w:t>. This is to allow the auditors to accurately assess the provider</w:t>
            </w:r>
            <w:r w:rsidR="00E33EDB">
              <w:rPr>
                <w:rFonts w:eastAsia="Arial"/>
              </w:rPr>
              <w:t>’</w:t>
            </w:r>
            <w:r w:rsidRPr="003F6642">
              <w:rPr>
                <w:rFonts w:eastAsia="Arial"/>
              </w:rPr>
              <w:t xml:space="preserve">s preparedness to provide the new or reconfigured service in the new building and support a planned occupancy. The </w:t>
            </w:r>
            <w:r>
              <w:rPr>
                <w:rFonts w:eastAsia="Arial"/>
              </w:rPr>
              <w:t>NSU</w:t>
            </w:r>
            <w:r w:rsidRPr="003F6642">
              <w:rPr>
                <w:rFonts w:eastAsia="Arial"/>
              </w:rPr>
              <w:t xml:space="preserve"> may delay an audit if the construction is still substantially un</w:t>
            </w:r>
            <w:r>
              <w:rPr>
                <w:rFonts w:eastAsia="Arial"/>
              </w:rPr>
              <w:t>finished</w:t>
            </w:r>
            <w:r w:rsidRPr="003F6642">
              <w:rPr>
                <w:rFonts w:eastAsia="Arial"/>
              </w:rPr>
              <w:t>.</w:t>
            </w:r>
          </w:p>
          <w:p w14:paraId="7B7812FE" w14:textId="77777777" w:rsidR="00B17E6C" w:rsidRDefault="00B17E6C" w:rsidP="007F4D57">
            <w:pPr>
              <w:pStyle w:val="TableBullet"/>
              <w:numPr>
                <w:ilvl w:val="0"/>
                <w:numId w:val="0"/>
              </w:numPr>
              <w:rPr>
                <w:rFonts w:eastAsia="Arial"/>
              </w:rPr>
            </w:pPr>
            <w:r>
              <w:t>The screening provider will, on</w:t>
            </w:r>
            <w:r w:rsidRPr="004C37F6">
              <w:t xml:space="preserve"> request,</w:t>
            </w:r>
            <w:r w:rsidRPr="004C37F6">
              <w:rPr>
                <w:sz w:val="16"/>
                <w:szCs w:val="16"/>
              </w:rPr>
              <w:t xml:space="preserve"> </w:t>
            </w:r>
            <w:r w:rsidRPr="004C37F6">
              <w:rPr>
                <w:rFonts w:eastAsia="Arial"/>
              </w:rPr>
              <w:t>provide any additional documentation, including where relevant</w:t>
            </w:r>
            <w:r>
              <w:rPr>
                <w:rFonts w:eastAsia="Arial"/>
              </w:rPr>
              <w:t>:</w:t>
            </w:r>
          </w:p>
          <w:p w14:paraId="7B7812FF" w14:textId="77777777" w:rsidR="00B17E6C" w:rsidRDefault="00B17E6C" w:rsidP="007939DC">
            <w:pPr>
              <w:pStyle w:val="TableBullet"/>
              <w:numPr>
                <w:ilvl w:val="0"/>
                <w:numId w:val="17"/>
              </w:numPr>
              <w:ind w:left="368"/>
              <w:rPr>
                <w:rFonts w:eastAsia="Arial"/>
              </w:rPr>
            </w:pPr>
            <w:r w:rsidRPr="004C37F6">
              <w:rPr>
                <w:rFonts w:eastAsia="Arial"/>
              </w:rPr>
              <w:t xml:space="preserve">a copy of a current building warrant of fitness (or a certificate of public use </w:t>
            </w:r>
            <w:r>
              <w:rPr>
                <w:rFonts w:eastAsia="Arial"/>
              </w:rPr>
              <w:t>for</w:t>
            </w:r>
            <w:r w:rsidRPr="004C37F6">
              <w:rPr>
                <w:rFonts w:eastAsia="Arial"/>
              </w:rPr>
              <w:t xml:space="preserve"> a new site) or written advice from the relevant local authority confirming one is not required for a service currently certified</w:t>
            </w:r>
          </w:p>
          <w:p w14:paraId="7B781300" w14:textId="77777777" w:rsidR="00B17E6C" w:rsidRPr="003F6642" w:rsidRDefault="00B17E6C" w:rsidP="005117ED">
            <w:pPr>
              <w:pStyle w:val="TableBullet"/>
              <w:numPr>
                <w:ilvl w:val="0"/>
                <w:numId w:val="17"/>
              </w:numPr>
              <w:spacing w:after="120"/>
              <w:ind w:left="363" w:hanging="357"/>
              <w:rPr>
                <w:rFonts w:eastAsia="Arial"/>
              </w:rPr>
            </w:pPr>
            <w:r w:rsidRPr="004C37F6">
              <w:rPr>
                <w:rFonts w:eastAsia="Arial"/>
              </w:rPr>
              <w:t>a copy of the New Zealand Fire Service</w:t>
            </w:r>
            <w:r w:rsidR="00E33EDB">
              <w:rPr>
                <w:rFonts w:eastAsia="Arial"/>
              </w:rPr>
              <w:t>’</w:t>
            </w:r>
            <w:r w:rsidRPr="004C37F6">
              <w:rPr>
                <w:rFonts w:eastAsia="Arial"/>
              </w:rPr>
              <w:t>s approval of an evacuation scheme or the Fire Service</w:t>
            </w:r>
            <w:r w:rsidR="00E33EDB">
              <w:rPr>
                <w:rFonts w:eastAsia="Arial"/>
              </w:rPr>
              <w:t>’</w:t>
            </w:r>
            <w:r w:rsidRPr="004C37F6">
              <w:rPr>
                <w:rFonts w:eastAsia="Arial"/>
              </w:rPr>
              <w:t>s notification that a scheme will not be approved until after occupation</w:t>
            </w:r>
            <w:r>
              <w:rPr>
                <w:rFonts w:eastAsia="Arial"/>
              </w:rPr>
              <w:t>.</w:t>
            </w:r>
          </w:p>
        </w:tc>
      </w:tr>
      <w:tr w:rsidR="00B17E6C" w:rsidRPr="003F6642" w14:paraId="7B781308" w14:textId="77777777" w:rsidTr="005A7A8D">
        <w:trPr>
          <w:cantSplit/>
        </w:trPr>
        <w:tc>
          <w:tcPr>
            <w:tcW w:w="1843" w:type="dxa"/>
            <w:tcBorders>
              <w:top w:val="single" w:sz="4" w:space="0" w:color="D9D9D9" w:themeColor="background1" w:themeShade="D9"/>
              <w:bottom w:val="single" w:sz="4" w:space="0" w:color="FFFFFF" w:themeColor="background1"/>
            </w:tcBorders>
            <w:shd w:val="clear" w:color="auto" w:fill="D9D9D9" w:themeFill="background1" w:themeFillShade="D9"/>
          </w:tcPr>
          <w:p w14:paraId="7B781302" w14:textId="77777777" w:rsidR="00B17E6C" w:rsidRPr="003F6642" w:rsidRDefault="00B17E6C" w:rsidP="007F4D57">
            <w:pPr>
              <w:pStyle w:val="TableText"/>
              <w:ind w:right="113"/>
              <w:rPr>
                <w:rFonts w:eastAsia="Arial"/>
                <w:b/>
              </w:rPr>
            </w:pPr>
            <w:r>
              <w:rPr>
                <w:rFonts w:eastAsia="Arial"/>
                <w:b/>
              </w:rPr>
              <w:lastRenderedPageBreak/>
              <w:t xml:space="preserve">DAA Group </w:t>
            </w:r>
            <w:r w:rsidRPr="003F6642">
              <w:rPr>
                <w:rFonts w:eastAsia="Arial"/>
                <w:b/>
              </w:rPr>
              <w:t>roles and responsibilities</w:t>
            </w:r>
          </w:p>
        </w:tc>
        <w:tc>
          <w:tcPr>
            <w:tcW w:w="6237" w:type="dxa"/>
            <w:shd w:val="clear" w:color="auto" w:fill="auto"/>
          </w:tcPr>
          <w:p w14:paraId="7B781303" w14:textId="77777777" w:rsidR="00B17E6C" w:rsidRPr="003F6642" w:rsidRDefault="00B17E6C" w:rsidP="007F4D57">
            <w:pPr>
              <w:pStyle w:val="TableText"/>
              <w:rPr>
                <w:rFonts w:eastAsia="Arial"/>
              </w:rPr>
            </w:pPr>
            <w:r w:rsidRPr="003F6642">
              <w:rPr>
                <w:rFonts w:eastAsia="Arial"/>
              </w:rPr>
              <w:t xml:space="preserve">The </w:t>
            </w:r>
            <w:r>
              <w:rPr>
                <w:rFonts w:eastAsia="Arial"/>
              </w:rPr>
              <w:t>DAA Group will</w:t>
            </w:r>
            <w:r w:rsidRPr="003F6642">
              <w:rPr>
                <w:rFonts w:eastAsia="Arial"/>
              </w:rPr>
              <w:t>:</w:t>
            </w:r>
          </w:p>
          <w:p w14:paraId="7B781304" w14:textId="77777777" w:rsidR="00B17E6C" w:rsidRDefault="00B17E6C" w:rsidP="007F4D57">
            <w:pPr>
              <w:pStyle w:val="TableBullet"/>
              <w:rPr>
                <w:rFonts w:eastAsia="Arial"/>
              </w:rPr>
            </w:pPr>
            <w:r>
              <w:rPr>
                <w:rFonts w:eastAsia="Arial"/>
              </w:rPr>
              <w:t>n</w:t>
            </w:r>
            <w:r w:rsidRPr="003F6642">
              <w:rPr>
                <w:rFonts w:eastAsia="Arial"/>
              </w:rPr>
              <w:t xml:space="preserve">otify the relevant </w:t>
            </w:r>
            <w:r>
              <w:rPr>
                <w:rFonts w:eastAsia="Arial"/>
              </w:rPr>
              <w:t xml:space="preserve">NSU programme </w:t>
            </w:r>
            <w:r w:rsidRPr="003F6642">
              <w:rPr>
                <w:rFonts w:eastAsia="Arial"/>
              </w:rPr>
              <w:t xml:space="preserve">manager, at least 10 days </w:t>
            </w:r>
            <w:r>
              <w:rPr>
                <w:rFonts w:eastAsia="Arial"/>
              </w:rPr>
              <w:t>before the</w:t>
            </w:r>
            <w:r w:rsidRPr="003F6642">
              <w:rPr>
                <w:rFonts w:eastAsia="Arial"/>
              </w:rPr>
              <w:t xml:space="preserve"> audit, of the intention to audit the provider</w:t>
            </w:r>
          </w:p>
          <w:p w14:paraId="7B781305" w14:textId="77777777" w:rsidR="00B17E6C" w:rsidRPr="004C37F6" w:rsidRDefault="00B17E6C" w:rsidP="007F4D57">
            <w:pPr>
              <w:pStyle w:val="TableBullet"/>
              <w:rPr>
                <w:rFonts w:eastAsia="Arial"/>
              </w:rPr>
            </w:pPr>
            <w:r>
              <w:rPr>
                <w:rFonts w:eastAsia="Arial"/>
              </w:rPr>
              <w:t>r</w:t>
            </w:r>
            <w:r w:rsidRPr="004C37F6">
              <w:rPr>
                <w:rFonts w:eastAsia="Arial"/>
              </w:rPr>
              <w:t>ate criteria as PA where planned activities are not yet completed</w:t>
            </w:r>
          </w:p>
          <w:p w14:paraId="7B781306" w14:textId="77777777" w:rsidR="00B17E6C" w:rsidRPr="004C37F6" w:rsidRDefault="00B17E6C" w:rsidP="007F4D57">
            <w:pPr>
              <w:pStyle w:val="TableBullet"/>
              <w:rPr>
                <w:rFonts w:eastAsia="Arial"/>
              </w:rPr>
            </w:pPr>
            <w:r>
              <w:rPr>
                <w:rFonts w:eastAsia="Arial"/>
              </w:rPr>
              <w:t>s</w:t>
            </w:r>
            <w:r w:rsidRPr="004C37F6">
              <w:rPr>
                <w:rFonts w:eastAsia="Arial"/>
              </w:rPr>
              <w:t xml:space="preserve">ubmit the audit report at least eight working days </w:t>
            </w:r>
            <w:r>
              <w:rPr>
                <w:rFonts w:eastAsia="Arial"/>
              </w:rPr>
              <w:t>before</w:t>
            </w:r>
            <w:r w:rsidRPr="004C37F6">
              <w:rPr>
                <w:rFonts w:eastAsia="Arial"/>
              </w:rPr>
              <w:t xml:space="preserve"> the date the screening provider intends to </w:t>
            </w:r>
            <w:r>
              <w:rPr>
                <w:rFonts w:eastAsia="Arial"/>
              </w:rPr>
              <w:t>begin</w:t>
            </w:r>
            <w:r w:rsidRPr="004C37F6">
              <w:rPr>
                <w:rFonts w:eastAsia="Arial"/>
              </w:rPr>
              <w:t xml:space="preserve"> service delivery</w:t>
            </w:r>
          </w:p>
          <w:p w14:paraId="7B781307" w14:textId="77777777" w:rsidR="00B17E6C" w:rsidRPr="003F6642" w:rsidRDefault="00B17E6C" w:rsidP="005117ED">
            <w:pPr>
              <w:pStyle w:val="TableBullet"/>
              <w:spacing w:after="120"/>
              <w:rPr>
                <w:rFonts w:eastAsia="Arial"/>
              </w:rPr>
            </w:pPr>
            <w:r>
              <w:rPr>
                <w:rFonts w:eastAsia="Arial"/>
              </w:rPr>
              <w:t>e</w:t>
            </w:r>
            <w:r w:rsidRPr="003F6642">
              <w:rPr>
                <w:rFonts w:eastAsia="Arial"/>
              </w:rPr>
              <w:t>nsure the provider receives a copy of the final audit report</w:t>
            </w:r>
            <w:r>
              <w:rPr>
                <w:rFonts w:eastAsia="Arial"/>
              </w:rPr>
              <w:t>.</w:t>
            </w:r>
          </w:p>
        </w:tc>
      </w:tr>
      <w:tr w:rsidR="00B17E6C" w:rsidRPr="003F6642" w14:paraId="7B78130D" w14:textId="77777777" w:rsidTr="005A7A8D">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309" w14:textId="77777777" w:rsidR="00B17E6C" w:rsidRPr="003F6642" w:rsidRDefault="00B17E6C" w:rsidP="007F4D57">
            <w:pPr>
              <w:pStyle w:val="TableText"/>
              <w:ind w:right="113"/>
              <w:rPr>
                <w:rFonts w:eastAsia="Arial"/>
                <w:b/>
              </w:rPr>
            </w:pPr>
            <w:r w:rsidRPr="003F6642">
              <w:rPr>
                <w:rFonts w:eastAsia="Arial"/>
                <w:b/>
              </w:rPr>
              <w:t>Outcome</w:t>
            </w:r>
          </w:p>
        </w:tc>
        <w:tc>
          <w:tcPr>
            <w:tcW w:w="6237" w:type="dxa"/>
            <w:shd w:val="clear" w:color="auto" w:fill="auto"/>
          </w:tcPr>
          <w:p w14:paraId="7B78130A" w14:textId="77777777" w:rsidR="00B17E6C" w:rsidRPr="003F6642" w:rsidRDefault="00B17E6C" w:rsidP="007F4D57">
            <w:pPr>
              <w:pStyle w:val="TableText"/>
            </w:pPr>
            <w:r w:rsidRPr="003F6642">
              <w:t>The new or reconfigured service will be</w:t>
            </w:r>
            <w:r>
              <w:t xml:space="preserve"> verified as conforming to the programme standards and according to the audit scope.</w:t>
            </w:r>
          </w:p>
          <w:p w14:paraId="7B78130B" w14:textId="77777777" w:rsidR="00B17E6C" w:rsidRDefault="00B17E6C" w:rsidP="007F4D57">
            <w:pPr>
              <w:pStyle w:val="TableText"/>
            </w:pPr>
            <w:r>
              <w:t>For a n</w:t>
            </w:r>
            <w:r w:rsidRPr="003F6642">
              <w:t>ew site</w:t>
            </w:r>
            <w:r>
              <w:t xml:space="preserve">, a verification of conformance to minimal standards </w:t>
            </w:r>
            <w:r w:rsidRPr="003F6642">
              <w:t>will be issued for one year</w:t>
            </w:r>
            <w:r>
              <w:t>, with a verification audit to follow 12 months later.</w:t>
            </w:r>
          </w:p>
          <w:p w14:paraId="7B78130C" w14:textId="77777777" w:rsidR="00B17E6C" w:rsidRPr="003F6642" w:rsidRDefault="00B17E6C" w:rsidP="005117ED">
            <w:pPr>
              <w:pStyle w:val="TableText"/>
              <w:spacing w:after="120"/>
              <w:rPr>
                <w:rFonts w:eastAsia="Arial"/>
              </w:rPr>
            </w:pPr>
            <w:r w:rsidRPr="003F6642">
              <w:t xml:space="preserve">A new or amended </w:t>
            </w:r>
            <w:r>
              <w:t>verification</w:t>
            </w:r>
            <w:r w:rsidRPr="003F6642" w:rsidDel="004033B4">
              <w:t xml:space="preserve"> </w:t>
            </w:r>
            <w:r w:rsidRPr="003F6642">
              <w:t>will be developed in response to the findings with progress reporting requirements</w:t>
            </w:r>
            <w:r>
              <w:t xml:space="preserve"> to the screening programme.</w:t>
            </w:r>
          </w:p>
        </w:tc>
      </w:tr>
    </w:tbl>
    <w:p w14:paraId="7B78130E" w14:textId="77777777" w:rsidR="00B17E6C" w:rsidRPr="003F6642" w:rsidRDefault="00B17E6C" w:rsidP="005A7A8D"/>
    <w:p w14:paraId="7B78130F" w14:textId="77777777" w:rsidR="00B17E6C" w:rsidRPr="000D7F58" w:rsidRDefault="00B17E6C" w:rsidP="005A7A8D">
      <w:pPr>
        <w:pStyle w:val="Heading2"/>
        <w:keepNext w:val="0"/>
        <w:pageBreakBefore/>
        <w:spacing w:before="0"/>
        <w:rPr>
          <w:rFonts w:eastAsia="Arial"/>
        </w:rPr>
      </w:pPr>
      <w:bookmarkStart w:id="146" w:name="_Toc68012582"/>
      <w:bookmarkStart w:id="147" w:name="_Toc90391853"/>
      <w:r w:rsidRPr="000D7F58">
        <w:rPr>
          <w:rFonts w:eastAsia="Arial"/>
        </w:rPr>
        <w:lastRenderedPageBreak/>
        <w:t>Remote/virtual audit</w:t>
      </w:r>
      <w:bookmarkEnd w:id="146"/>
      <w:bookmarkEnd w:id="147"/>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843"/>
        <w:gridCol w:w="6237"/>
      </w:tblGrid>
      <w:tr w:rsidR="00B17E6C" w:rsidRPr="003F6642" w14:paraId="7B781313" w14:textId="77777777" w:rsidTr="007F4D57">
        <w:trPr>
          <w:cantSplit/>
        </w:trPr>
        <w:tc>
          <w:tcPr>
            <w:tcW w:w="1843" w:type="dxa"/>
            <w:tcBorders>
              <w:top w:val="single" w:sz="4" w:space="0" w:color="D9D9D9" w:themeColor="background1" w:themeShade="D9"/>
              <w:bottom w:val="single" w:sz="4" w:space="0" w:color="FFFFFF" w:themeColor="background1"/>
            </w:tcBorders>
            <w:shd w:val="clear" w:color="auto" w:fill="D9D9D9" w:themeFill="background1" w:themeFillShade="D9"/>
          </w:tcPr>
          <w:p w14:paraId="7B781310" w14:textId="77777777" w:rsidR="00B17E6C" w:rsidRPr="003F6642" w:rsidRDefault="00B17E6C" w:rsidP="007F4D57">
            <w:pPr>
              <w:pStyle w:val="TableText"/>
              <w:rPr>
                <w:rFonts w:eastAsia="Arial"/>
                <w:b/>
              </w:rPr>
            </w:pPr>
            <w:r w:rsidRPr="003F6642">
              <w:rPr>
                <w:rFonts w:eastAsia="Arial"/>
                <w:b/>
              </w:rPr>
              <w:t>Definition</w:t>
            </w:r>
          </w:p>
        </w:tc>
        <w:tc>
          <w:tcPr>
            <w:tcW w:w="6237" w:type="dxa"/>
            <w:shd w:val="clear" w:color="auto" w:fill="auto"/>
          </w:tcPr>
          <w:p w14:paraId="7B781311" w14:textId="77777777" w:rsidR="00B17E6C" w:rsidRDefault="00B17E6C" w:rsidP="007F4D57">
            <w:pPr>
              <w:pStyle w:val="TableText"/>
              <w:rPr>
                <w:rFonts w:eastAsia="Arial"/>
              </w:rPr>
            </w:pPr>
            <w:r>
              <w:rPr>
                <w:rFonts w:eastAsia="Arial"/>
              </w:rPr>
              <w:t xml:space="preserve">An audit performed from a remote location using information and communication technology, such as Zoom or </w:t>
            </w:r>
            <w:proofErr w:type="spellStart"/>
            <w:r>
              <w:rPr>
                <w:rFonts w:eastAsia="Arial"/>
              </w:rPr>
              <w:t>Webex</w:t>
            </w:r>
            <w:proofErr w:type="spellEnd"/>
            <w:r>
              <w:rPr>
                <w:rFonts w:eastAsia="Arial"/>
              </w:rPr>
              <w:t>, to perform virtual tours of a facility, conduct face-to-face interviews and access the provider</w:t>
            </w:r>
            <w:r w:rsidR="00E33EDB">
              <w:rPr>
                <w:rFonts w:eastAsia="Arial"/>
              </w:rPr>
              <w:t>’</w:t>
            </w:r>
            <w:r>
              <w:rPr>
                <w:rFonts w:eastAsia="Arial"/>
              </w:rPr>
              <w:t>s computer systems.</w:t>
            </w:r>
          </w:p>
          <w:p w14:paraId="7B781312" w14:textId="77777777" w:rsidR="00B17E6C" w:rsidRPr="003F6642" w:rsidRDefault="00B17E6C" w:rsidP="005117ED">
            <w:pPr>
              <w:pStyle w:val="TableText"/>
              <w:spacing w:after="120"/>
              <w:rPr>
                <w:rFonts w:eastAsia="Arial"/>
              </w:rPr>
            </w:pPr>
            <w:r w:rsidRPr="003F6642">
              <w:rPr>
                <w:rFonts w:eastAsia="Arial"/>
              </w:rPr>
              <w:t xml:space="preserve">A </w:t>
            </w:r>
            <w:r>
              <w:rPr>
                <w:rFonts w:eastAsia="Arial"/>
              </w:rPr>
              <w:t xml:space="preserve">remote or virtual </w:t>
            </w:r>
            <w:r w:rsidRPr="003F6642">
              <w:rPr>
                <w:rFonts w:eastAsia="Arial"/>
              </w:rPr>
              <w:t xml:space="preserve">audit </w:t>
            </w:r>
            <w:r>
              <w:rPr>
                <w:rFonts w:eastAsia="Arial"/>
              </w:rPr>
              <w:t xml:space="preserve">may be required due to the location of a service provider or external factors, such as a pandemic response, </w:t>
            </w:r>
            <w:r w:rsidRPr="003F6642">
              <w:rPr>
                <w:rFonts w:eastAsia="Arial"/>
              </w:rPr>
              <w:t xml:space="preserve">to assure </w:t>
            </w:r>
            <w:r>
              <w:rPr>
                <w:rFonts w:eastAsia="Arial"/>
              </w:rPr>
              <w:t xml:space="preserve">NSU </w:t>
            </w:r>
            <w:r w:rsidRPr="003F6642">
              <w:rPr>
                <w:rFonts w:eastAsia="Arial"/>
              </w:rPr>
              <w:t>the provider continues to meet all relevant standards</w:t>
            </w:r>
            <w:r>
              <w:rPr>
                <w:rFonts w:eastAsia="Arial"/>
              </w:rPr>
              <w:t>.</w:t>
            </w:r>
          </w:p>
        </w:tc>
      </w:tr>
      <w:tr w:rsidR="00B17E6C" w:rsidRPr="003F6642" w14:paraId="7B781317" w14:textId="77777777" w:rsidTr="005A7A8D">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314" w14:textId="77777777" w:rsidR="00B17E6C" w:rsidRPr="003F6642" w:rsidRDefault="00B17E6C" w:rsidP="007F4D57">
            <w:pPr>
              <w:pStyle w:val="TableText"/>
              <w:rPr>
                <w:rFonts w:eastAsia="Arial"/>
                <w:b/>
              </w:rPr>
            </w:pPr>
            <w:r w:rsidRPr="003F6642">
              <w:rPr>
                <w:rFonts w:eastAsia="Arial"/>
                <w:b/>
              </w:rPr>
              <w:t>Applies to</w:t>
            </w:r>
          </w:p>
        </w:tc>
        <w:tc>
          <w:tcPr>
            <w:tcW w:w="6237" w:type="dxa"/>
            <w:shd w:val="clear" w:color="auto" w:fill="auto"/>
          </w:tcPr>
          <w:p w14:paraId="7B781315" w14:textId="77777777" w:rsidR="00B17E6C" w:rsidRDefault="00B17E6C" w:rsidP="007F4D57">
            <w:pPr>
              <w:pStyle w:val="TableText"/>
              <w:rPr>
                <w:rFonts w:eastAsia="Arial"/>
              </w:rPr>
            </w:pPr>
            <w:r w:rsidRPr="003F6642">
              <w:rPr>
                <w:rFonts w:eastAsia="Arial"/>
              </w:rPr>
              <w:t>The audit applies to</w:t>
            </w:r>
            <w:r>
              <w:rPr>
                <w:rFonts w:eastAsia="Arial"/>
              </w:rPr>
              <w:t xml:space="preserve"> services scheduled for an audit.</w:t>
            </w:r>
          </w:p>
          <w:p w14:paraId="7B781316" w14:textId="77777777" w:rsidR="00B17E6C" w:rsidRPr="003F6642" w:rsidRDefault="00B17E6C" w:rsidP="005117ED">
            <w:pPr>
              <w:pStyle w:val="TableBullet"/>
              <w:numPr>
                <w:ilvl w:val="0"/>
                <w:numId w:val="0"/>
              </w:numPr>
              <w:spacing w:before="60" w:after="120"/>
              <w:rPr>
                <w:rFonts w:eastAsia="Arial"/>
              </w:rPr>
            </w:pPr>
            <w:r>
              <w:rPr>
                <w:rFonts w:eastAsia="Arial"/>
              </w:rPr>
              <w:t>It may apply to services in remote locations at any time.</w:t>
            </w:r>
          </w:p>
        </w:tc>
      </w:tr>
      <w:tr w:rsidR="00B17E6C" w:rsidRPr="003F6642" w14:paraId="7B78131A" w14:textId="77777777" w:rsidTr="005A7A8D">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318" w14:textId="77777777" w:rsidR="00B17E6C" w:rsidRPr="003F6642" w:rsidRDefault="00B17E6C" w:rsidP="007F4D57">
            <w:pPr>
              <w:pStyle w:val="TableText"/>
              <w:rPr>
                <w:rFonts w:eastAsia="Arial"/>
                <w:b/>
              </w:rPr>
            </w:pPr>
            <w:r w:rsidRPr="003F6642">
              <w:rPr>
                <w:rFonts w:eastAsia="Arial"/>
                <w:b/>
              </w:rPr>
              <w:t>Scope</w:t>
            </w:r>
          </w:p>
        </w:tc>
        <w:tc>
          <w:tcPr>
            <w:tcW w:w="6237" w:type="dxa"/>
            <w:shd w:val="clear" w:color="auto" w:fill="auto"/>
          </w:tcPr>
          <w:p w14:paraId="7B781319" w14:textId="77777777" w:rsidR="00B17E6C" w:rsidRPr="003F6642" w:rsidRDefault="00B17E6C" w:rsidP="005117ED">
            <w:pPr>
              <w:pStyle w:val="TableText"/>
              <w:spacing w:after="120"/>
              <w:rPr>
                <w:rFonts w:eastAsia="Arial"/>
              </w:rPr>
            </w:pPr>
            <w:r w:rsidRPr="003F6642">
              <w:rPr>
                <w:rFonts w:eastAsia="Arial"/>
              </w:rPr>
              <w:t xml:space="preserve">The audit should meet all relevant requirements of the </w:t>
            </w:r>
            <w:r>
              <w:rPr>
                <w:rFonts w:eastAsia="Arial"/>
              </w:rPr>
              <w:t>specific screening programme.</w:t>
            </w:r>
          </w:p>
        </w:tc>
      </w:tr>
      <w:tr w:rsidR="00B17E6C" w:rsidRPr="003F6642" w14:paraId="7B781324" w14:textId="77777777" w:rsidTr="007F4D57">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tcPr>
          <w:p w14:paraId="7B78131B" w14:textId="77777777" w:rsidR="00B17E6C" w:rsidRPr="003F6642" w:rsidRDefault="00B17E6C" w:rsidP="007F4D57">
            <w:pPr>
              <w:pStyle w:val="TableText"/>
              <w:rPr>
                <w:rFonts w:eastAsia="Arial"/>
                <w:b/>
              </w:rPr>
            </w:pPr>
            <w:r w:rsidRPr="003F6642">
              <w:rPr>
                <w:rFonts w:eastAsia="Arial"/>
                <w:b/>
              </w:rPr>
              <w:t xml:space="preserve">DAA </w:t>
            </w:r>
            <w:r>
              <w:rPr>
                <w:rFonts w:eastAsia="Arial"/>
                <w:b/>
              </w:rPr>
              <w:t xml:space="preserve">Group </w:t>
            </w:r>
            <w:r w:rsidRPr="003F6642">
              <w:rPr>
                <w:rFonts w:eastAsia="Arial"/>
                <w:b/>
              </w:rPr>
              <w:t>roles and responsibilities</w:t>
            </w:r>
          </w:p>
        </w:tc>
        <w:tc>
          <w:tcPr>
            <w:tcW w:w="6237" w:type="dxa"/>
            <w:shd w:val="clear" w:color="auto" w:fill="auto"/>
          </w:tcPr>
          <w:p w14:paraId="7B78131C" w14:textId="77777777" w:rsidR="00B17E6C" w:rsidRPr="003F6642" w:rsidRDefault="00B17E6C" w:rsidP="007F4D57">
            <w:pPr>
              <w:pStyle w:val="TableText"/>
              <w:rPr>
                <w:rFonts w:eastAsia="Arial"/>
              </w:rPr>
            </w:pPr>
            <w:r w:rsidRPr="003F6642">
              <w:rPr>
                <w:rFonts w:eastAsia="Arial"/>
              </w:rPr>
              <w:t xml:space="preserve">The </w:t>
            </w:r>
            <w:r>
              <w:rPr>
                <w:rFonts w:eastAsia="Arial"/>
              </w:rPr>
              <w:t xml:space="preserve">DAA Group </w:t>
            </w:r>
            <w:r w:rsidRPr="003F6642">
              <w:rPr>
                <w:rFonts w:eastAsia="Arial"/>
              </w:rPr>
              <w:t>must:</w:t>
            </w:r>
          </w:p>
          <w:p w14:paraId="7B78131D" w14:textId="77777777" w:rsidR="00B17E6C" w:rsidRDefault="00B17E6C" w:rsidP="007F4D57">
            <w:pPr>
              <w:pStyle w:val="TableBullet"/>
              <w:rPr>
                <w:rFonts w:eastAsia="Arial"/>
              </w:rPr>
            </w:pPr>
            <w:r>
              <w:rPr>
                <w:rFonts w:eastAsia="Arial"/>
              </w:rPr>
              <w:t>follow accepted best-practice virtual audit guidelines</w:t>
            </w:r>
          </w:p>
          <w:p w14:paraId="7B78131E" w14:textId="77777777" w:rsidR="00B17E6C" w:rsidRDefault="00B17E6C" w:rsidP="007F4D57">
            <w:pPr>
              <w:pStyle w:val="TableBullet"/>
              <w:rPr>
                <w:rFonts w:eastAsia="Arial"/>
              </w:rPr>
            </w:pPr>
            <w:r>
              <w:rPr>
                <w:rFonts w:eastAsia="Arial"/>
              </w:rPr>
              <w:t>follow the usual audit timelines</w:t>
            </w:r>
          </w:p>
          <w:p w14:paraId="7B78131F" w14:textId="77777777" w:rsidR="00B17E6C" w:rsidRPr="003F6642" w:rsidRDefault="00B17E6C" w:rsidP="007F4D57">
            <w:pPr>
              <w:pStyle w:val="TableBullet"/>
              <w:rPr>
                <w:rFonts w:eastAsia="Arial"/>
              </w:rPr>
            </w:pPr>
            <w:r>
              <w:rPr>
                <w:rFonts w:eastAsia="Arial"/>
              </w:rPr>
              <w:t>e</w:t>
            </w:r>
            <w:r w:rsidRPr="003F6642">
              <w:rPr>
                <w:rFonts w:eastAsia="Arial"/>
              </w:rPr>
              <w:t>nsure the provider receives a copy of the final audit report</w:t>
            </w:r>
          </w:p>
          <w:p w14:paraId="7B781320" w14:textId="77777777" w:rsidR="00B17E6C" w:rsidRPr="003F6642" w:rsidRDefault="00B17E6C" w:rsidP="005117ED">
            <w:pPr>
              <w:pStyle w:val="TableText"/>
              <w:spacing w:before="120"/>
              <w:rPr>
                <w:rFonts w:eastAsia="Arial"/>
                <w:b/>
              </w:rPr>
            </w:pPr>
            <w:r w:rsidRPr="003F6642">
              <w:rPr>
                <w:rFonts w:eastAsia="Arial"/>
                <w:b/>
              </w:rPr>
              <w:t>Audit activity</w:t>
            </w:r>
          </w:p>
          <w:p w14:paraId="7B781321" w14:textId="77777777" w:rsidR="00B17E6C" w:rsidRPr="003F6642" w:rsidRDefault="00B17E6C" w:rsidP="007F4D57">
            <w:pPr>
              <w:pStyle w:val="TableBullet"/>
              <w:rPr>
                <w:rFonts w:eastAsia="Arial"/>
              </w:rPr>
            </w:pPr>
            <w:r>
              <w:rPr>
                <w:rFonts w:eastAsia="Arial"/>
              </w:rPr>
              <w:t>u</w:t>
            </w:r>
            <w:r w:rsidRPr="003F6642">
              <w:rPr>
                <w:rFonts w:eastAsia="Arial"/>
              </w:rPr>
              <w:t>ndertake a</w:t>
            </w:r>
            <w:r>
              <w:rPr>
                <w:rFonts w:eastAsia="Arial"/>
              </w:rPr>
              <w:t xml:space="preserve"> remote</w:t>
            </w:r>
            <w:r w:rsidRPr="003F6642">
              <w:rPr>
                <w:rFonts w:eastAsia="Arial"/>
              </w:rPr>
              <w:t xml:space="preserve"> audit where this is a condition of </w:t>
            </w:r>
            <w:r>
              <w:rPr>
                <w:rFonts w:eastAsia="Arial"/>
              </w:rPr>
              <w:t>the verification process</w:t>
            </w:r>
          </w:p>
          <w:p w14:paraId="7B781322" w14:textId="77777777" w:rsidR="00B17E6C" w:rsidRPr="003F6642" w:rsidRDefault="00B17E6C" w:rsidP="007F4D57">
            <w:pPr>
              <w:pStyle w:val="TableBullet"/>
              <w:rPr>
                <w:rFonts w:eastAsia="Arial"/>
              </w:rPr>
            </w:pPr>
            <w:r>
              <w:rPr>
                <w:rFonts w:eastAsia="Arial"/>
              </w:rPr>
              <w:t>s</w:t>
            </w:r>
            <w:r w:rsidRPr="003F6642">
              <w:rPr>
                <w:rFonts w:eastAsia="Arial"/>
              </w:rPr>
              <w:t>ubmit the audit report electronically within 20 working days of completing the audit</w:t>
            </w:r>
          </w:p>
          <w:p w14:paraId="7B781323" w14:textId="77777777" w:rsidR="00B17E6C" w:rsidRPr="003F6642" w:rsidRDefault="00B17E6C" w:rsidP="005117ED">
            <w:pPr>
              <w:pStyle w:val="TableBullet"/>
              <w:spacing w:after="120"/>
              <w:rPr>
                <w:rFonts w:eastAsia="Arial"/>
              </w:rPr>
            </w:pPr>
            <w:r>
              <w:rPr>
                <w:rFonts w:eastAsia="Arial"/>
              </w:rPr>
              <w:t>widen the scope of the remote</w:t>
            </w:r>
            <w:r w:rsidRPr="003F6642">
              <w:rPr>
                <w:rFonts w:eastAsia="Arial"/>
              </w:rPr>
              <w:t xml:space="preserve"> audit to include any aspect of the </w:t>
            </w:r>
            <w:r>
              <w:rPr>
                <w:rFonts w:eastAsia="Arial"/>
              </w:rPr>
              <w:t xml:space="preserve">relevant programme standards </w:t>
            </w:r>
            <w:r w:rsidRPr="003F6642">
              <w:rPr>
                <w:rFonts w:eastAsia="Arial"/>
              </w:rPr>
              <w:t>if</w:t>
            </w:r>
            <w:r>
              <w:rPr>
                <w:rFonts w:eastAsia="Arial"/>
              </w:rPr>
              <w:t xml:space="preserve"> the audit has identified</w:t>
            </w:r>
            <w:r w:rsidRPr="003F6642">
              <w:rPr>
                <w:rFonts w:eastAsia="Arial"/>
              </w:rPr>
              <w:t xml:space="preserve"> any areas of non-conformity (actual or potential)</w:t>
            </w:r>
            <w:r>
              <w:rPr>
                <w:rFonts w:eastAsia="Arial"/>
              </w:rPr>
              <w:t>. This will be</w:t>
            </w:r>
            <w:r w:rsidRPr="003F6642">
              <w:rPr>
                <w:rFonts w:eastAsia="Arial"/>
              </w:rPr>
              <w:t xml:space="preserve"> as a result of the </w:t>
            </w:r>
            <w:r>
              <w:rPr>
                <w:rFonts w:eastAsia="Arial"/>
              </w:rPr>
              <w:t xml:space="preserve">virtual </w:t>
            </w:r>
            <w:r w:rsidRPr="003F6642">
              <w:rPr>
                <w:rFonts w:eastAsia="Arial"/>
              </w:rPr>
              <w:t xml:space="preserve">audit process </w:t>
            </w:r>
            <w:r>
              <w:rPr>
                <w:rFonts w:eastAsia="Arial"/>
              </w:rPr>
              <w:t>(</w:t>
            </w:r>
            <w:proofErr w:type="spellStart"/>
            <w:r w:rsidRPr="003F6642">
              <w:rPr>
                <w:rFonts w:eastAsia="Arial"/>
              </w:rPr>
              <w:t>eg</w:t>
            </w:r>
            <w:proofErr w:type="spellEnd"/>
            <w:r>
              <w:rPr>
                <w:rFonts w:eastAsia="Arial"/>
              </w:rPr>
              <w:t>,</w:t>
            </w:r>
            <w:r w:rsidRPr="003F6642">
              <w:rPr>
                <w:rFonts w:eastAsia="Arial"/>
              </w:rPr>
              <w:t xml:space="preserve"> as a result of observation while conducting a </w:t>
            </w:r>
            <w:r>
              <w:rPr>
                <w:rFonts w:eastAsia="Arial"/>
              </w:rPr>
              <w:t xml:space="preserve">virtual </w:t>
            </w:r>
            <w:r w:rsidRPr="003F6642">
              <w:rPr>
                <w:rFonts w:eastAsia="Arial"/>
              </w:rPr>
              <w:t xml:space="preserve">tour of the service or in the review of clinical files, or in interviews with staff, </w:t>
            </w:r>
            <w:proofErr w:type="gramStart"/>
            <w:r w:rsidRPr="003F6642">
              <w:rPr>
                <w:rFonts w:eastAsia="Arial"/>
              </w:rPr>
              <w:t>consumers</w:t>
            </w:r>
            <w:proofErr w:type="gramEnd"/>
            <w:r w:rsidRPr="003F6642">
              <w:rPr>
                <w:rFonts w:eastAsia="Arial"/>
              </w:rPr>
              <w:t xml:space="preserve"> or relative</w:t>
            </w:r>
            <w:r>
              <w:rPr>
                <w:rFonts w:eastAsia="Arial"/>
              </w:rPr>
              <w:t>s).</w:t>
            </w:r>
          </w:p>
        </w:tc>
      </w:tr>
      <w:tr w:rsidR="00B17E6C" w:rsidRPr="003F6642" w14:paraId="7B781328" w14:textId="77777777" w:rsidTr="007F4D57">
        <w:trPr>
          <w:cantSplit/>
        </w:trPr>
        <w:tc>
          <w:tcPr>
            <w:tcW w:w="1843" w:type="dxa"/>
            <w:tcBorders>
              <w:top w:val="single" w:sz="4" w:space="0" w:color="FFFFFF" w:themeColor="background1"/>
              <w:bottom w:val="single" w:sz="4" w:space="0" w:color="D9D9D9" w:themeColor="background1" w:themeShade="D9"/>
            </w:tcBorders>
            <w:shd w:val="clear" w:color="auto" w:fill="D9D9D9" w:themeFill="background1" w:themeFillShade="D9"/>
          </w:tcPr>
          <w:p w14:paraId="7B781325" w14:textId="77777777" w:rsidR="00B17E6C" w:rsidRPr="003F6642" w:rsidRDefault="00B17E6C" w:rsidP="007F4D57">
            <w:pPr>
              <w:pStyle w:val="TableText"/>
              <w:rPr>
                <w:rFonts w:eastAsia="Arial"/>
                <w:b/>
              </w:rPr>
            </w:pPr>
            <w:r w:rsidRPr="003F6642">
              <w:rPr>
                <w:rFonts w:eastAsia="Arial"/>
                <w:b/>
              </w:rPr>
              <w:t>Outcome</w:t>
            </w:r>
          </w:p>
        </w:tc>
        <w:tc>
          <w:tcPr>
            <w:tcW w:w="6237" w:type="dxa"/>
            <w:shd w:val="clear" w:color="auto" w:fill="auto"/>
          </w:tcPr>
          <w:p w14:paraId="7B781326" w14:textId="77777777" w:rsidR="00B17E6C" w:rsidRDefault="00B17E6C" w:rsidP="007F4D57">
            <w:pPr>
              <w:pStyle w:val="TableText"/>
              <w:rPr>
                <w:rFonts w:eastAsia="Arial"/>
              </w:rPr>
            </w:pPr>
            <w:r>
              <w:rPr>
                <w:rFonts w:eastAsia="Arial"/>
              </w:rPr>
              <w:t>For a virtual verification audit, a verification of conformance letter will</w:t>
            </w:r>
            <w:r w:rsidRPr="003F6642">
              <w:rPr>
                <w:rFonts w:eastAsia="Arial"/>
              </w:rPr>
              <w:t xml:space="preserve"> be issued in response to the audit result.</w:t>
            </w:r>
          </w:p>
          <w:p w14:paraId="7B781327" w14:textId="77777777" w:rsidR="00B17E6C" w:rsidRPr="003F6642" w:rsidRDefault="00B17E6C" w:rsidP="005117ED">
            <w:pPr>
              <w:pStyle w:val="TableText"/>
              <w:spacing w:after="120"/>
              <w:rPr>
                <w:rFonts w:eastAsia="Arial"/>
              </w:rPr>
            </w:pPr>
            <w:r>
              <w:rPr>
                <w:rFonts w:eastAsia="Arial"/>
              </w:rPr>
              <w:t>For a virtual surveillance audit, t</w:t>
            </w:r>
            <w:r w:rsidRPr="00381AEA">
              <w:rPr>
                <w:rFonts w:eastAsia="Arial"/>
              </w:rPr>
              <w:t xml:space="preserve">he </w:t>
            </w:r>
            <w:r>
              <w:rPr>
                <w:rFonts w:eastAsia="Arial"/>
              </w:rPr>
              <w:t xml:space="preserve">most recently issued </w:t>
            </w:r>
            <w:r w:rsidRPr="00381AEA">
              <w:rPr>
                <w:rFonts w:eastAsia="Arial"/>
              </w:rPr>
              <w:t xml:space="preserve">verification of conformance letter </w:t>
            </w:r>
            <w:r>
              <w:rPr>
                <w:rFonts w:eastAsia="Arial"/>
              </w:rPr>
              <w:t>may</w:t>
            </w:r>
            <w:r w:rsidRPr="00381AEA">
              <w:rPr>
                <w:rFonts w:eastAsia="Arial"/>
              </w:rPr>
              <w:t xml:space="preserve"> not change</w:t>
            </w:r>
            <w:r>
              <w:rPr>
                <w:rFonts w:eastAsia="Arial"/>
              </w:rPr>
              <w:t xml:space="preserve"> or</w:t>
            </w:r>
            <w:r w:rsidRPr="00381AEA">
              <w:rPr>
                <w:rFonts w:eastAsia="Arial"/>
              </w:rPr>
              <w:t xml:space="preserve"> a new or amended letter may be issued in response to the audit result</w:t>
            </w:r>
            <w:r>
              <w:rPr>
                <w:rFonts w:eastAsia="Arial"/>
              </w:rPr>
              <w:t>.</w:t>
            </w:r>
          </w:p>
        </w:tc>
      </w:tr>
    </w:tbl>
    <w:p w14:paraId="7B781329" w14:textId="77777777" w:rsidR="00B17E6C" w:rsidRPr="003F6642" w:rsidRDefault="00B17E6C" w:rsidP="00B17E6C"/>
    <w:p w14:paraId="7B78132A" w14:textId="77777777" w:rsidR="00B17E6C" w:rsidRPr="00605EA2" w:rsidRDefault="00B17E6C" w:rsidP="005A7A8D">
      <w:pPr>
        <w:pStyle w:val="Heading1"/>
        <w:rPr>
          <w:rFonts w:eastAsia="Arial"/>
        </w:rPr>
      </w:pPr>
      <w:bookmarkStart w:id="148" w:name="_Toc371769444"/>
      <w:bookmarkStart w:id="149" w:name="_Toc414889626"/>
      <w:bookmarkStart w:id="150" w:name="_Toc485385902"/>
      <w:bookmarkStart w:id="151" w:name="_Ref6737985"/>
      <w:bookmarkStart w:id="152" w:name="_Ref6738433"/>
      <w:bookmarkStart w:id="153" w:name="_Ref6738710"/>
      <w:bookmarkStart w:id="154" w:name="_Ref6738748"/>
      <w:bookmarkStart w:id="155" w:name="_Ref6738765"/>
      <w:bookmarkStart w:id="156" w:name="_Toc68012583"/>
      <w:bookmarkStart w:id="157" w:name="_Toc90391854"/>
      <w:r w:rsidRPr="00605EA2">
        <w:rPr>
          <w:rFonts w:eastAsia="Arial"/>
        </w:rPr>
        <w:lastRenderedPageBreak/>
        <w:t>General requirements for the audit process</w:t>
      </w:r>
      <w:bookmarkEnd w:id="148"/>
      <w:bookmarkEnd w:id="149"/>
      <w:bookmarkEnd w:id="150"/>
      <w:bookmarkEnd w:id="151"/>
      <w:bookmarkEnd w:id="152"/>
      <w:bookmarkEnd w:id="153"/>
      <w:bookmarkEnd w:id="154"/>
      <w:bookmarkEnd w:id="155"/>
      <w:bookmarkEnd w:id="156"/>
      <w:bookmarkEnd w:id="157"/>
    </w:p>
    <w:p w14:paraId="7B78132B" w14:textId="77777777" w:rsidR="00B17E6C" w:rsidRPr="003F6642" w:rsidRDefault="00B17E6C" w:rsidP="005A7A8D">
      <w:r w:rsidRPr="003F6642">
        <w:t xml:space="preserve">The following audit requirements apply to all service </w:t>
      </w:r>
      <w:r>
        <w:t xml:space="preserve">provider </w:t>
      </w:r>
      <w:r w:rsidRPr="003F6642">
        <w:t xml:space="preserve">types. For information on a specific service </w:t>
      </w:r>
      <w:r>
        <w:t xml:space="preserve">provider </w:t>
      </w:r>
      <w:r w:rsidRPr="003F6642">
        <w:t xml:space="preserve">type, </w:t>
      </w:r>
      <w:r>
        <w:t xml:space="preserve">also </w:t>
      </w:r>
      <w:r w:rsidRPr="003F6642">
        <w:t xml:space="preserve">refer to the section on that </w:t>
      </w:r>
      <w:r w:rsidRPr="00381AEA">
        <w:t>type</w:t>
      </w:r>
      <w:r>
        <w:t xml:space="preserve"> in the </w:t>
      </w:r>
      <w:r w:rsidRPr="00FD2D20">
        <w:rPr>
          <w:i/>
        </w:rPr>
        <w:t>NSU Auditing Handbook: Part Two</w:t>
      </w:r>
      <w:r w:rsidRPr="003F6642">
        <w:t>.</w:t>
      </w:r>
    </w:p>
    <w:p w14:paraId="7B78132C" w14:textId="77777777" w:rsidR="00B17E6C" w:rsidRPr="003F6642" w:rsidRDefault="00B17E6C" w:rsidP="005A7A8D"/>
    <w:p w14:paraId="7B78132D" w14:textId="77777777" w:rsidR="00B17E6C" w:rsidRDefault="00B17E6C" w:rsidP="005A7A8D">
      <w:pPr>
        <w:pStyle w:val="Heading2"/>
        <w:rPr>
          <w:rFonts w:eastAsia="Arial"/>
        </w:rPr>
      </w:pPr>
      <w:bookmarkStart w:id="158" w:name="_Toc68012584"/>
      <w:bookmarkStart w:id="159" w:name="_Toc371769445"/>
      <w:bookmarkStart w:id="160" w:name="_Toc414889627"/>
      <w:bookmarkStart w:id="161" w:name="_Toc485385903"/>
      <w:bookmarkStart w:id="162" w:name="_Toc90391855"/>
      <w:r>
        <w:rPr>
          <w:rFonts w:eastAsia="Arial"/>
        </w:rPr>
        <w:t>Cultural considerations</w:t>
      </w:r>
      <w:bookmarkEnd w:id="158"/>
      <w:bookmarkEnd w:id="162"/>
    </w:p>
    <w:p w14:paraId="7B78132E" w14:textId="77777777" w:rsidR="00B17E6C" w:rsidRDefault="00B17E6C" w:rsidP="005A7A8D">
      <w:pPr>
        <w:rPr>
          <w:rFonts w:eastAsia="Arial"/>
        </w:rPr>
      </w:pPr>
      <w:r>
        <w:rPr>
          <w:rFonts w:eastAsia="Arial"/>
        </w:rPr>
        <w:t>Planning for the three-year cycle schedule for each programme will consider what cultural components to incorporate into screening provider audits. The DAA Group will be do this in conjunction with screening programme leaders.</w:t>
      </w:r>
    </w:p>
    <w:p w14:paraId="7B78132F" w14:textId="77777777" w:rsidR="005A7A8D" w:rsidRPr="00E17DEA" w:rsidRDefault="005A7A8D" w:rsidP="005A7A8D">
      <w:pPr>
        <w:rPr>
          <w:rFonts w:eastAsia="Arial"/>
        </w:rPr>
      </w:pPr>
    </w:p>
    <w:p w14:paraId="7B781330" w14:textId="77777777" w:rsidR="00B17E6C" w:rsidRPr="003F6642" w:rsidRDefault="00B17E6C" w:rsidP="0032386F">
      <w:pPr>
        <w:pStyle w:val="Heading2"/>
        <w:rPr>
          <w:rFonts w:eastAsia="Arial"/>
        </w:rPr>
      </w:pPr>
      <w:bookmarkStart w:id="163" w:name="_Toc68012585"/>
      <w:bookmarkStart w:id="164" w:name="_Toc90391856"/>
      <w:r w:rsidRPr="003F6642">
        <w:rPr>
          <w:rFonts w:eastAsia="Arial"/>
        </w:rPr>
        <w:t>Combining audits</w:t>
      </w:r>
      <w:bookmarkEnd w:id="159"/>
      <w:bookmarkEnd w:id="160"/>
      <w:bookmarkEnd w:id="161"/>
      <w:bookmarkEnd w:id="163"/>
      <w:bookmarkEnd w:id="164"/>
    </w:p>
    <w:p w14:paraId="7B781331" w14:textId="77777777" w:rsidR="00B17E6C" w:rsidRPr="003F6642" w:rsidRDefault="00B17E6C" w:rsidP="0032386F">
      <w:pPr>
        <w:rPr>
          <w:rFonts w:eastAsia="Arial"/>
        </w:rPr>
      </w:pPr>
      <w:r w:rsidRPr="003F6642">
        <w:rPr>
          <w:rFonts w:eastAsia="Arial"/>
        </w:rPr>
        <w:t xml:space="preserve">A combined audit involves completing two </w:t>
      </w:r>
      <w:r>
        <w:rPr>
          <w:rFonts w:eastAsia="Arial"/>
        </w:rPr>
        <w:t>or more</w:t>
      </w:r>
      <w:r w:rsidRPr="005D0D1F">
        <w:rPr>
          <w:rFonts w:eastAsia="Arial"/>
        </w:rPr>
        <w:t xml:space="preserve"> </w:t>
      </w:r>
      <w:r w:rsidRPr="003F6642">
        <w:rPr>
          <w:rFonts w:eastAsia="Arial"/>
        </w:rPr>
        <w:t>audits</w:t>
      </w:r>
      <w:r>
        <w:rPr>
          <w:rFonts w:eastAsia="Arial"/>
        </w:rPr>
        <w:t xml:space="preserve"> </w:t>
      </w:r>
      <w:r w:rsidRPr="003F6642">
        <w:rPr>
          <w:rFonts w:eastAsia="Arial"/>
        </w:rPr>
        <w:t>at the same time.</w:t>
      </w:r>
    </w:p>
    <w:p w14:paraId="7B781332" w14:textId="77777777" w:rsidR="00B17E6C" w:rsidRPr="003F6642" w:rsidRDefault="00B17E6C" w:rsidP="0032386F">
      <w:pPr>
        <w:rPr>
          <w:rFonts w:eastAsia="Arial"/>
        </w:rPr>
      </w:pPr>
    </w:p>
    <w:p w14:paraId="7B781333" w14:textId="77777777" w:rsidR="00B17E6C" w:rsidRPr="001164DA" w:rsidRDefault="00B17E6C" w:rsidP="0032386F">
      <w:pPr>
        <w:rPr>
          <w:rFonts w:eastAsia="Arial"/>
        </w:rPr>
      </w:pPr>
      <w:r w:rsidRPr="001164DA">
        <w:rPr>
          <w:rFonts w:eastAsia="Arial"/>
        </w:rPr>
        <w:t xml:space="preserve">A readiness </w:t>
      </w:r>
      <w:r>
        <w:rPr>
          <w:rFonts w:eastAsia="Arial"/>
        </w:rPr>
        <w:t xml:space="preserve">audit </w:t>
      </w:r>
      <w:r w:rsidRPr="00154565">
        <w:rPr>
          <w:rFonts w:eastAsia="Arial"/>
        </w:rPr>
        <w:t>cannot</w:t>
      </w:r>
      <w:r w:rsidRPr="001164DA">
        <w:rPr>
          <w:rFonts w:eastAsia="Arial"/>
        </w:rPr>
        <w:t xml:space="preserve"> be combined with any other audit because</w:t>
      </w:r>
      <w:r w:rsidRPr="005D0D1F">
        <w:rPr>
          <w:rFonts w:eastAsia="Arial"/>
        </w:rPr>
        <w:t xml:space="preserve"> </w:t>
      </w:r>
      <w:r w:rsidRPr="001164DA">
        <w:rPr>
          <w:rFonts w:eastAsia="Arial"/>
        </w:rPr>
        <w:t xml:space="preserve">the prospective provider </w:t>
      </w:r>
      <w:r>
        <w:rPr>
          <w:rFonts w:eastAsia="Arial"/>
        </w:rPr>
        <w:t>commissions</w:t>
      </w:r>
      <w:r w:rsidRPr="001164DA">
        <w:rPr>
          <w:rFonts w:eastAsia="Arial"/>
        </w:rPr>
        <w:t xml:space="preserve"> the readiness assessment whereas </w:t>
      </w:r>
      <w:r>
        <w:rPr>
          <w:rFonts w:eastAsia="Arial"/>
        </w:rPr>
        <w:t>NSU</w:t>
      </w:r>
      <w:r w:rsidRPr="001164DA">
        <w:rPr>
          <w:rFonts w:eastAsia="Arial"/>
        </w:rPr>
        <w:t xml:space="preserve"> commission</w:t>
      </w:r>
      <w:r>
        <w:rPr>
          <w:rFonts w:eastAsia="Arial"/>
        </w:rPr>
        <w:t>s</w:t>
      </w:r>
      <w:r w:rsidRPr="001164DA">
        <w:rPr>
          <w:rFonts w:eastAsia="Arial"/>
        </w:rPr>
        <w:t xml:space="preserve"> </w:t>
      </w:r>
      <w:r>
        <w:rPr>
          <w:rFonts w:eastAsia="Arial"/>
        </w:rPr>
        <w:t>all</w:t>
      </w:r>
      <w:r w:rsidRPr="001164DA">
        <w:rPr>
          <w:rFonts w:eastAsia="Arial"/>
        </w:rPr>
        <w:t xml:space="preserve"> other </w:t>
      </w:r>
      <w:r>
        <w:rPr>
          <w:rFonts w:eastAsia="Arial"/>
        </w:rPr>
        <w:t xml:space="preserve">types of </w:t>
      </w:r>
      <w:r w:rsidRPr="001164DA">
        <w:rPr>
          <w:rFonts w:eastAsia="Arial"/>
        </w:rPr>
        <w:t>audit.</w:t>
      </w:r>
    </w:p>
    <w:p w14:paraId="7B781334" w14:textId="77777777" w:rsidR="00B17E6C" w:rsidRPr="001164DA" w:rsidRDefault="00B17E6C" w:rsidP="0032386F"/>
    <w:p w14:paraId="7B781335" w14:textId="77777777" w:rsidR="00E33EDB" w:rsidRDefault="00B17E6C" w:rsidP="0032386F">
      <w:r w:rsidRPr="001164DA">
        <w:t xml:space="preserve">When completing two audits at the same time, the DAA Group can submit one audit report that covers </w:t>
      </w:r>
      <w:r>
        <w:t>the scopes</w:t>
      </w:r>
      <w:r w:rsidRPr="001164DA">
        <w:t xml:space="preserve"> </w:t>
      </w:r>
      <w:r>
        <w:t xml:space="preserve">of </w:t>
      </w:r>
      <w:r w:rsidRPr="001164DA">
        <w:t xml:space="preserve">both </w:t>
      </w:r>
      <w:r>
        <w:t>audits</w:t>
      </w:r>
      <w:r w:rsidRPr="001164DA">
        <w:t>.</w:t>
      </w:r>
    </w:p>
    <w:p w14:paraId="7B781336" w14:textId="77777777" w:rsidR="00B17E6C" w:rsidRPr="001164DA" w:rsidRDefault="00B17E6C" w:rsidP="0032386F"/>
    <w:p w14:paraId="7B781337" w14:textId="77777777" w:rsidR="00B17E6C" w:rsidRPr="003F6642" w:rsidRDefault="00B17E6C" w:rsidP="0032386F">
      <w:pPr>
        <w:rPr>
          <w:rFonts w:eastAsia="Arial"/>
        </w:rPr>
      </w:pPr>
      <w:r w:rsidRPr="001164DA">
        <w:rPr>
          <w:rFonts w:eastAsia="Arial"/>
        </w:rPr>
        <w:t>Where services have changed (for example, through the addition of another site</w:t>
      </w:r>
      <w:r>
        <w:rPr>
          <w:rFonts w:eastAsia="Arial"/>
        </w:rPr>
        <w:t>,</w:t>
      </w:r>
      <w:r w:rsidRPr="001164DA">
        <w:rPr>
          <w:rFonts w:eastAsia="Arial"/>
        </w:rPr>
        <w:t xml:space="preserve"> </w:t>
      </w:r>
      <w:r>
        <w:rPr>
          <w:rFonts w:eastAsia="Arial"/>
        </w:rPr>
        <w:t xml:space="preserve">or </w:t>
      </w:r>
      <w:r w:rsidRPr="001164DA">
        <w:rPr>
          <w:rFonts w:eastAsia="Arial"/>
        </w:rPr>
        <w:t>an increase in capacity or reconfiguration</w:t>
      </w:r>
      <w:r>
        <w:rPr>
          <w:rFonts w:eastAsia="Arial"/>
        </w:rPr>
        <w:t xml:space="preserve"> of a service</w:t>
      </w:r>
      <w:r w:rsidRPr="001164DA">
        <w:rPr>
          <w:rFonts w:eastAsia="Arial"/>
        </w:rPr>
        <w:t xml:space="preserve">) and are being verified as part of a routine audit, the DAA Group can include information about the changes in the general overview section of the </w:t>
      </w:r>
      <w:r>
        <w:rPr>
          <w:rFonts w:eastAsia="Arial"/>
        </w:rPr>
        <w:t xml:space="preserve">audit </w:t>
      </w:r>
      <w:r w:rsidRPr="001164DA">
        <w:rPr>
          <w:rFonts w:eastAsia="Arial"/>
        </w:rPr>
        <w:t>report</w:t>
      </w:r>
      <w:r>
        <w:rPr>
          <w:rFonts w:eastAsia="Arial"/>
        </w:rPr>
        <w:t>ing</w:t>
      </w:r>
      <w:r w:rsidRPr="001164DA">
        <w:rPr>
          <w:rFonts w:eastAsia="Arial"/>
        </w:rPr>
        <w:t xml:space="preserve"> template.</w:t>
      </w:r>
    </w:p>
    <w:p w14:paraId="7B781338" w14:textId="77777777" w:rsidR="00B17E6C" w:rsidRPr="003F6642" w:rsidRDefault="00B17E6C" w:rsidP="0032386F"/>
    <w:p w14:paraId="7B781339" w14:textId="77777777" w:rsidR="00E33EDB" w:rsidRDefault="00B17E6C" w:rsidP="0032386F">
      <w:pPr>
        <w:pStyle w:val="Heading2"/>
        <w:rPr>
          <w:rFonts w:eastAsia="Arial"/>
        </w:rPr>
      </w:pPr>
      <w:bookmarkStart w:id="165" w:name="_Toc68012586"/>
      <w:bookmarkStart w:id="166" w:name="_Toc371769446"/>
      <w:bookmarkStart w:id="167" w:name="_Toc414889628"/>
      <w:bookmarkStart w:id="168" w:name="_Toc485385904"/>
      <w:bookmarkStart w:id="169" w:name="_Ref6738818"/>
      <w:bookmarkStart w:id="170" w:name="_Toc90391857"/>
      <w:r w:rsidRPr="000A1763">
        <w:rPr>
          <w:rFonts w:eastAsia="Arial"/>
        </w:rPr>
        <w:lastRenderedPageBreak/>
        <w:t>Auditing against specific conditions</w:t>
      </w:r>
      <w:bookmarkEnd w:id="165"/>
      <w:bookmarkEnd w:id="166"/>
      <w:bookmarkEnd w:id="167"/>
      <w:bookmarkEnd w:id="168"/>
      <w:bookmarkEnd w:id="169"/>
      <w:bookmarkEnd w:id="170"/>
    </w:p>
    <w:p w14:paraId="7B78133A" w14:textId="77777777" w:rsidR="00B17E6C" w:rsidRPr="00CE3612" w:rsidRDefault="00B17E6C" w:rsidP="0032386F">
      <w:pPr>
        <w:pStyle w:val="Heading3-nonumber"/>
      </w:pPr>
      <w:r w:rsidRPr="00CE3612">
        <w:t>Ad hoc NSU or screening programme requirements</w:t>
      </w:r>
    </w:p>
    <w:p w14:paraId="7B78133B" w14:textId="77777777" w:rsidR="00E33EDB" w:rsidRDefault="00B17E6C" w:rsidP="0032386F">
      <w:r w:rsidRPr="003F6642">
        <w:t>Whe</w:t>
      </w:r>
      <w:r>
        <w:t xml:space="preserve">n </w:t>
      </w:r>
      <w:r w:rsidRPr="003F6642">
        <w:t xml:space="preserve">a </w:t>
      </w:r>
      <w:r>
        <w:t>screening provider</w:t>
      </w:r>
      <w:r w:rsidRPr="003F6642">
        <w:t xml:space="preserve"> has </w:t>
      </w:r>
      <w:r>
        <w:t xml:space="preserve">a </w:t>
      </w:r>
      <w:r w:rsidRPr="003F6642">
        <w:t xml:space="preserve">condition added to its </w:t>
      </w:r>
      <w:r>
        <w:rPr>
          <w:rFonts w:eastAsia="Arial"/>
        </w:rPr>
        <w:t>verification of conformance letter</w:t>
      </w:r>
      <w:r w:rsidRPr="003F6642">
        <w:t xml:space="preserve"> as a result of an </w:t>
      </w:r>
      <w:r>
        <w:t>NSU</w:t>
      </w:r>
      <w:r w:rsidRPr="003F6642">
        <w:t xml:space="preserve"> </w:t>
      </w:r>
      <w:r>
        <w:t>requirement</w:t>
      </w:r>
      <w:r w:rsidRPr="003F6642">
        <w:t xml:space="preserve">, </w:t>
      </w:r>
      <w:r>
        <w:t xml:space="preserve">the NSU </w:t>
      </w:r>
      <w:r w:rsidRPr="003F6642">
        <w:t>require</w:t>
      </w:r>
      <w:r>
        <w:t>s</w:t>
      </w:r>
      <w:r w:rsidRPr="003F6642">
        <w:t xml:space="preserve"> the service provider to submit evidence as part of </w:t>
      </w:r>
      <w:r>
        <w:t xml:space="preserve">programme </w:t>
      </w:r>
      <w:r w:rsidRPr="003F6642">
        <w:t>monitoring</w:t>
      </w:r>
      <w:r>
        <w:t>.</w:t>
      </w:r>
    </w:p>
    <w:p w14:paraId="7B78133C" w14:textId="77777777" w:rsidR="00B17E6C" w:rsidRDefault="00B17E6C" w:rsidP="0032386F"/>
    <w:p w14:paraId="7B78133D" w14:textId="77777777" w:rsidR="00B17E6C" w:rsidRDefault="00B17E6C" w:rsidP="0032386F">
      <w:r>
        <w:t>NSU</w:t>
      </w:r>
      <w:r w:rsidRPr="003F6642">
        <w:t xml:space="preserve"> </w:t>
      </w:r>
      <w:r>
        <w:t>will inform</w:t>
      </w:r>
      <w:r w:rsidRPr="003F6642">
        <w:t xml:space="preserve"> the </w:t>
      </w:r>
      <w:r>
        <w:t xml:space="preserve">DAA Group </w:t>
      </w:r>
      <w:r w:rsidRPr="003F6642">
        <w:t xml:space="preserve">of </w:t>
      </w:r>
      <w:r>
        <w:t xml:space="preserve">any </w:t>
      </w:r>
      <w:r w:rsidRPr="003F6642">
        <w:t xml:space="preserve">conditions added to a </w:t>
      </w:r>
      <w:r>
        <w:rPr>
          <w:rFonts w:eastAsia="Arial"/>
        </w:rPr>
        <w:t>verification of conformance letter</w:t>
      </w:r>
      <w:r w:rsidRPr="003F6642">
        <w:t xml:space="preserve"> </w:t>
      </w:r>
      <w:r>
        <w:t xml:space="preserve">that </w:t>
      </w:r>
      <w:r w:rsidRPr="003F6642">
        <w:t xml:space="preserve">apply to </w:t>
      </w:r>
      <w:r>
        <w:t>a screening provider.</w:t>
      </w:r>
      <w:r w:rsidRPr="003F6642">
        <w:t xml:space="preserve"> </w:t>
      </w:r>
      <w:r>
        <w:t>T</w:t>
      </w:r>
      <w:r w:rsidRPr="003F6642">
        <w:t xml:space="preserve">he </w:t>
      </w:r>
      <w:r>
        <w:t>DAA Group will</w:t>
      </w:r>
      <w:r w:rsidRPr="003F6642">
        <w:t xml:space="preserve"> audit </w:t>
      </w:r>
      <w:r>
        <w:t>according to the</w:t>
      </w:r>
      <w:r w:rsidRPr="003F6642">
        <w:t xml:space="preserve"> conditions at the next </w:t>
      </w:r>
      <w:r>
        <w:t xml:space="preserve">scheduled </w:t>
      </w:r>
      <w:r w:rsidRPr="003F6642">
        <w:t>audit.</w:t>
      </w:r>
    </w:p>
    <w:p w14:paraId="7B78133E" w14:textId="77777777" w:rsidR="0032386F" w:rsidRPr="003F6642" w:rsidRDefault="0032386F" w:rsidP="0032386F"/>
    <w:p w14:paraId="7B78133F" w14:textId="77777777" w:rsidR="00B17E6C" w:rsidRPr="00CE3612" w:rsidRDefault="00B17E6C" w:rsidP="0032386F">
      <w:pPr>
        <w:pStyle w:val="Heading3-nonumber"/>
      </w:pPr>
      <w:r w:rsidRPr="00CE3612">
        <w:t>Requirements from previous non-conformities</w:t>
      </w:r>
    </w:p>
    <w:p w14:paraId="7B781340" w14:textId="77777777" w:rsidR="00B17E6C" w:rsidRDefault="00B17E6C" w:rsidP="0032386F">
      <w:r w:rsidRPr="000A1763">
        <w:t>When conducting an on</w:t>
      </w:r>
      <w:r w:rsidRPr="000A1763">
        <w:noBreakHyphen/>
        <w:t xml:space="preserve">site audit, the DAA Group </w:t>
      </w:r>
      <w:r>
        <w:t>will</w:t>
      </w:r>
      <w:r w:rsidRPr="000A1763">
        <w:t xml:space="preserve"> audit all conditions on the existing </w:t>
      </w:r>
      <w:r w:rsidRPr="000A1763">
        <w:rPr>
          <w:rFonts w:eastAsia="Arial"/>
        </w:rPr>
        <w:t xml:space="preserve">verification of conformance </w:t>
      </w:r>
      <w:r w:rsidRPr="000A1763">
        <w:t xml:space="preserve">letter. Where a condition has been generated as a result of a corrective action, the DAA Group </w:t>
      </w:r>
      <w:r>
        <w:t>will</w:t>
      </w:r>
      <w:r w:rsidRPr="000A1763">
        <w:t xml:space="preserve"> audit the specified </w:t>
      </w:r>
      <w:r w:rsidRPr="00135494">
        <w:t xml:space="preserve">criterion and </w:t>
      </w:r>
      <w:r w:rsidRPr="00135494">
        <w:rPr>
          <w:bCs/>
        </w:rPr>
        <w:t>not only</w:t>
      </w:r>
      <w:r w:rsidRPr="00135494">
        <w:t xml:space="preserve"> the completion of the corrective action. This requirement also applies to any conditions</w:t>
      </w:r>
      <w:r w:rsidRPr="000A1763">
        <w:t xml:space="preserve"> that the NSU has monitored through progress reporting.</w:t>
      </w:r>
    </w:p>
    <w:p w14:paraId="7B781341" w14:textId="77777777" w:rsidR="0032386F" w:rsidRPr="003F6642" w:rsidRDefault="0032386F" w:rsidP="0032386F"/>
    <w:p w14:paraId="7B781342" w14:textId="77777777" w:rsidR="00B17E6C" w:rsidRPr="000A1763" w:rsidRDefault="00B17E6C" w:rsidP="0032386F">
      <w:pPr>
        <w:pStyle w:val="Heading2"/>
      </w:pPr>
      <w:bookmarkStart w:id="171" w:name="_Toc414889629"/>
      <w:bookmarkStart w:id="172" w:name="_Toc485385905"/>
      <w:bookmarkStart w:id="173" w:name="_Toc68012587"/>
      <w:bookmarkStart w:id="174" w:name="_Toc90391858"/>
      <w:r w:rsidRPr="000A1763">
        <w:t>Include relevant information</w:t>
      </w:r>
      <w:bookmarkEnd w:id="171"/>
      <w:bookmarkEnd w:id="172"/>
      <w:bookmarkEnd w:id="173"/>
      <w:bookmarkEnd w:id="174"/>
    </w:p>
    <w:p w14:paraId="7B781343" w14:textId="77777777" w:rsidR="00B17E6C" w:rsidRPr="003F6642" w:rsidRDefault="00B17E6C" w:rsidP="0032386F">
      <w:r w:rsidRPr="000A1763">
        <w:t xml:space="preserve">When conducting audits against each of the screening programme </w:t>
      </w:r>
      <w:r>
        <w:t>s</w:t>
      </w:r>
      <w:r w:rsidRPr="000A1763">
        <w:t xml:space="preserve">tandards, the DAA Group </w:t>
      </w:r>
      <w:r>
        <w:t>will</w:t>
      </w:r>
      <w:r w:rsidRPr="000A1763">
        <w:t xml:space="preserve"> include all relevant information. This includes (but is not limited to) HDC complaints, police investigations, coroner</w:t>
      </w:r>
      <w:r w:rsidR="00E33EDB">
        <w:t>’</w:t>
      </w:r>
      <w:r w:rsidRPr="000A1763">
        <w:t xml:space="preserve">s inquests, issues-based </w:t>
      </w:r>
      <w:proofErr w:type="gramStart"/>
      <w:r w:rsidRPr="000A1763">
        <w:t>audits</w:t>
      </w:r>
      <w:proofErr w:type="gramEnd"/>
      <w:r w:rsidRPr="000A1763">
        <w:t xml:space="preserve"> and any other notifications</w:t>
      </w:r>
      <w:r>
        <w:t xml:space="preserve"> (</w:t>
      </w:r>
      <w:proofErr w:type="spellStart"/>
      <w:r w:rsidRPr="000A1763">
        <w:t>eg</w:t>
      </w:r>
      <w:proofErr w:type="spellEnd"/>
      <w:r>
        <w:t>,</w:t>
      </w:r>
      <w:r w:rsidRPr="000A1763">
        <w:t xml:space="preserve"> public health</w:t>
      </w:r>
      <w:r>
        <w:t xml:space="preserve"> regulation notices)</w:t>
      </w:r>
      <w:r w:rsidRPr="000A1763">
        <w:t>.</w:t>
      </w:r>
    </w:p>
    <w:p w14:paraId="7B781344" w14:textId="77777777" w:rsidR="00B17E6C" w:rsidRPr="003F6642" w:rsidRDefault="00B17E6C" w:rsidP="0032386F"/>
    <w:p w14:paraId="7B781345" w14:textId="77777777" w:rsidR="00B17E6C" w:rsidRPr="00964537" w:rsidRDefault="00B17E6C" w:rsidP="00D93675">
      <w:pPr>
        <w:pStyle w:val="Heading1"/>
        <w:rPr>
          <w:rFonts w:eastAsia="Arial"/>
        </w:rPr>
      </w:pPr>
      <w:bookmarkStart w:id="175" w:name="_Ref6737038"/>
      <w:bookmarkStart w:id="176" w:name="_Toc371769451"/>
      <w:bookmarkStart w:id="177" w:name="_Toc414889634"/>
      <w:bookmarkStart w:id="178" w:name="_Toc485385910"/>
      <w:bookmarkStart w:id="179" w:name="_Ref6736484"/>
      <w:bookmarkStart w:id="180" w:name="_Toc68012588"/>
      <w:bookmarkStart w:id="181" w:name="_Ref71179566"/>
      <w:bookmarkStart w:id="182" w:name="_Ref71179574"/>
      <w:bookmarkStart w:id="183" w:name="_Toc90391859"/>
      <w:bookmarkEnd w:id="175"/>
      <w:r w:rsidRPr="00964537">
        <w:rPr>
          <w:rFonts w:eastAsia="Arial"/>
        </w:rPr>
        <w:lastRenderedPageBreak/>
        <w:t>Audit reporting</w:t>
      </w:r>
      <w:bookmarkEnd w:id="176"/>
      <w:bookmarkEnd w:id="177"/>
      <w:bookmarkEnd w:id="178"/>
      <w:bookmarkEnd w:id="179"/>
      <w:bookmarkEnd w:id="180"/>
      <w:bookmarkEnd w:id="181"/>
      <w:bookmarkEnd w:id="182"/>
      <w:bookmarkEnd w:id="183"/>
    </w:p>
    <w:p w14:paraId="7B781346" w14:textId="77777777" w:rsidR="00B17E6C" w:rsidRPr="003F6642" w:rsidRDefault="00B17E6C" w:rsidP="00F14BD8">
      <w:r w:rsidRPr="001B2C65">
        <w:t>The DAA Group undertak</w:t>
      </w:r>
      <w:r>
        <w:t>es</w:t>
      </w:r>
      <w:r w:rsidRPr="001B2C65">
        <w:t xml:space="preserve"> an audit </w:t>
      </w:r>
      <w:r>
        <w:t>for the purpose of</w:t>
      </w:r>
      <w:r w:rsidRPr="001B2C65">
        <w:t xml:space="preserve"> provid</w:t>
      </w:r>
      <w:r>
        <w:t>ing</w:t>
      </w:r>
      <w:r w:rsidRPr="001B2C65">
        <w:t xml:space="preserve"> the Group Man</w:t>
      </w:r>
      <w:r>
        <w:t>a</w:t>
      </w:r>
      <w:r w:rsidRPr="001B2C65">
        <w:t xml:space="preserve">ger and Clinical Director-of NSU with an audit report </w:t>
      </w:r>
      <w:r>
        <w:t>that</w:t>
      </w:r>
      <w:r w:rsidRPr="001B2C65">
        <w:t xml:space="preserve"> </w:t>
      </w:r>
      <w:r>
        <w:t>NSU leadership roles can use to d</w:t>
      </w:r>
      <w:r w:rsidRPr="001B2C65">
        <w:t xml:space="preserve">etermine </w:t>
      </w:r>
      <w:r>
        <w:t>whether a screening</w:t>
      </w:r>
      <w:r w:rsidRPr="001B2C65">
        <w:t xml:space="preserve"> provider meets the required standards and</w:t>
      </w:r>
      <w:r>
        <w:t>/</w:t>
      </w:r>
      <w:r w:rsidRPr="001B2C65">
        <w:t>or contract requirements.</w:t>
      </w:r>
    </w:p>
    <w:p w14:paraId="7B781347" w14:textId="77777777" w:rsidR="00B17E6C" w:rsidRPr="003F6642" w:rsidRDefault="00B17E6C" w:rsidP="009611A2"/>
    <w:p w14:paraId="7B781348" w14:textId="77777777" w:rsidR="00B17E6C" w:rsidRDefault="00B17E6C" w:rsidP="009611A2">
      <w:r w:rsidRPr="003F6642">
        <w:t xml:space="preserve">Audit reports submitted to the </w:t>
      </w:r>
      <w:r>
        <w:t>NSU</w:t>
      </w:r>
      <w:r w:rsidRPr="003F6642">
        <w:t xml:space="preserve"> </w:t>
      </w:r>
      <w:r>
        <w:t xml:space="preserve">will </w:t>
      </w:r>
      <w:r w:rsidRPr="003F6642">
        <w:t xml:space="preserve">use the </w:t>
      </w:r>
      <w:r>
        <w:t>DAA Group NSU</w:t>
      </w:r>
      <w:r w:rsidRPr="003F6642">
        <w:t xml:space="preserve"> audit reporting template</w:t>
      </w:r>
      <w:r>
        <w:t>.</w:t>
      </w:r>
    </w:p>
    <w:p w14:paraId="7B781349" w14:textId="77777777" w:rsidR="009611A2" w:rsidRDefault="009611A2" w:rsidP="009611A2"/>
    <w:p w14:paraId="7B78134A" w14:textId="77777777" w:rsidR="00B17E6C" w:rsidRPr="00893E36" w:rsidRDefault="00B17E6C" w:rsidP="009611A2">
      <w:pPr>
        <w:pStyle w:val="Heading3-nonumber"/>
      </w:pPr>
      <w:r w:rsidRPr="00893E36">
        <w:t xml:space="preserve">Audit </w:t>
      </w:r>
      <w:r w:rsidR="009C3AC9">
        <w:t>e</w:t>
      </w:r>
      <w:r w:rsidRPr="00893E36">
        <w:t>vidence</w:t>
      </w:r>
    </w:p>
    <w:p w14:paraId="7B78134B" w14:textId="77777777" w:rsidR="00B17E6C" w:rsidRPr="003F6642" w:rsidRDefault="00B17E6C" w:rsidP="009611A2">
      <w:r>
        <w:t xml:space="preserve">They must </w:t>
      </w:r>
      <w:r w:rsidRPr="003F6642">
        <w:t xml:space="preserve">present evidence that is competent, sufficient, </w:t>
      </w:r>
      <w:proofErr w:type="gramStart"/>
      <w:r w:rsidRPr="003F6642">
        <w:t>relevant</w:t>
      </w:r>
      <w:proofErr w:type="gramEnd"/>
      <w:r w:rsidRPr="003F6642">
        <w:t xml:space="preserve"> and reliable.</w:t>
      </w:r>
    </w:p>
    <w:p w14:paraId="7B78134C" w14:textId="77777777" w:rsidR="00B17E6C" w:rsidRPr="003F6642" w:rsidRDefault="00B17E6C" w:rsidP="009611A2"/>
    <w:p w14:paraId="7B78134D" w14:textId="77777777" w:rsidR="00B17E6C" w:rsidRPr="003F6642" w:rsidRDefault="00B17E6C" w:rsidP="009611A2">
      <w:r w:rsidRPr="003F6642">
        <w:rPr>
          <w:rFonts w:eastAsia="Arial"/>
        </w:rPr>
        <w:t>For evidence to be</w:t>
      </w:r>
      <w:r>
        <w:rPr>
          <w:b/>
        </w:rPr>
        <w:t xml:space="preserve"> </w:t>
      </w:r>
      <w:r w:rsidRPr="003F6642">
        <w:rPr>
          <w:b/>
        </w:rPr>
        <w:t>valid</w:t>
      </w:r>
      <w:r w:rsidRPr="003F6642">
        <w:t xml:space="preserve">, it </w:t>
      </w:r>
      <w:r>
        <w:t>will</w:t>
      </w:r>
      <w:r w:rsidRPr="003F6642">
        <w:t>:</w:t>
      </w:r>
    </w:p>
    <w:p w14:paraId="7B78134E" w14:textId="77777777" w:rsidR="00B17E6C" w:rsidRPr="003F6642" w:rsidRDefault="00B17E6C" w:rsidP="009611A2">
      <w:pPr>
        <w:pStyle w:val="Bullet"/>
      </w:pPr>
      <w:r>
        <w:t>b</w:t>
      </w:r>
      <w:r w:rsidRPr="003F6642">
        <w:t xml:space="preserve">e collected by appropriately skilled and experienced members of the audit team (that is, qualified lead auditors </w:t>
      </w:r>
      <w:r>
        <w:t xml:space="preserve">and </w:t>
      </w:r>
      <w:r w:rsidRPr="003F6642">
        <w:t>technical expert</w:t>
      </w:r>
      <w:r>
        <w:t xml:space="preserve"> assessors</w:t>
      </w:r>
      <w:r w:rsidRPr="003F6642">
        <w:t xml:space="preserve"> with clinical expertise matched to the service being audited, as appropriate)</w:t>
      </w:r>
    </w:p>
    <w:p w14:paraId="7B78134F" w14:textId="77777777" w:rsidR="00B17E6C" w:rsidRPr="003F6642" w:rsidRDefault="00B17E6C" w:rsidP="009611A2">
      <w:pPr>
        <w:pStyle w:val="Bullet"/>
        <w:rPr>
          <w:rFonts w:eastAsia="Arial"/>
          <w:szCs w:val="24"/>
        </w:rPr>
      </w:pPr>
      <w:r>
        <w:rPr>
          <w:rFonts w:eastAsia="Arial"/>
          <w:szCs w:val="24"/>
        </w:rPr>
        <w:t xml:space="preserve">come </w:t>
      </w:r>
      <w:r w:rsidRPr="003F6642">
        <w:rPr>
          <w:rFonts w:eastAsia="Arial"/>
          <w:szCs w:val="24"/>
        </w:rPr>
        <w:t>from an adequate sampling methodology</w:t>
      </w:r>
    </w:p>
    <w:p w14:paraId="7B781350" w14:textId="77777777" w:rsidR="00B17E6C" w:rsidRPr="003F6642" w:rsidRDefault="00B17E6C" w:rsidP="009611A2">
      <w:pPr>
        <w:pStyle w:val="Bullet"/>
        <w:rPr>
          <w:rFonts w:eastAsia="Arial"/>
          <w:szCs w:val="24"/>
        </w:rPr>
      </w:pPr>
      <w:r>
        <w:rPr>
          <w:rFonts w:eastAsia="Arial"/>
          <w:szCs w:val="24"/>
        </w:rPr>
        <w:t>d</w:t>
      </w:r>
      <w:r w:rsidRPr="003F6642">
        <w:rPr>
          <w:rFonts w:eastAsia="Arial"/>
          <w:szCs w:val="24"/>
        </w:rPr>
        <w:t xml:space="preserve">emonstrate </w:t>
      </w:r>
      <w:r w:rsidRPr="003F6642">
        <w:rPr>
          <w:rFonts w:eastAsia="Arial"/>
          <w:b/>
          <w:bCs/>
          <w:szCs w:val="24"/>
        </w:rPr>
        <w:t>corroboration</w:t>
      </w:r>
      <w:r w:rsidRPr="009611A2">
        <w:rPr>
          <w:rFonts w:eastAsia="Arial"/>
        </w:rPr>
        <w:t xml:space="preserve"> </w:t>
      </w:r>
      <w:r w:rsidRPr="003F6642">
        <w:rPr>
          <w:rFonts w:eastAsia="Arial"/>
          <w:szCs w:val="24"/>
        </w:rPr>
        <w:t>of evidence, triangulated wherever possible, from a variety of reliable sources</w:t>
      </w:r>
    </w:p>
    <w:p w14:paraId="7B781351" w14:textId="77777777" w:rsidR="00B17E6C" w:rsidRDefault="00B17E6C" w:rsidP="009611A2">
      <w:pPr>
        <w:pStyle w:val="Bullet"/>
        <w:rPr>
          <w:rFonts w:eastAsia="Arial"/>
          <w:szCs w:val="24"/>
        </w:rPr>
      </w:pPr>
      <w:r>
        <w:rPr>
          <w:rFonts w:eastAsia="Arial"/>
          <w:szCs w:val="24"/>
        </w:rPr>
        <w:t>i</w:t>
      </w:r>
      <w:r w:rsidRPr="003F6642">
        <w:rPr>
          <w:rFonts w:eastAsia="Arial"/>
          <w:szCs w:val="24"/>
        </w:rPr>
        <w:t xml:space="preserve">nclude evidence from documented records </w:t>
      </w:r>
      <w:r w:rsidRPr="003F6642">
        <w:rPr>
          <w:rFonts w:eastAsia="Arial"/>
          <w:b/>
          <w:bCs/>
          <w:szCs w:val="24"/>
        </w:rPr>
        <w:t>and</w:t>
      </w:r>
      <w:r w:rsidRPr="009611A2">
        <w:rPr>
          <w:rFonts w:eastAsia="Arial"/>
        </w:rPr>
        <w:t xml:space="preserve"> </w:t>
      </w:r>
      <w:r w:rsidRPr="003F6642">
        <w:rPr>
          <w:rFonts w:eastAsia="Arial"/>
          <w:szCs w:val="24"/>
        </w:rPr>
        <w:t>interviews with stakeholders that can be substantiated</w:t>
      </w:r>
      <w:r>
        <w:rPr>
          <w:rFonts w:eastAsia="Arial"/>
          <w:szCs w:val="24"/>
        </w:rPr>
        <w:t>.</w:t>
      </w:r>
    </w:p>
    <w:p w14:paraId="7B781352" w14:textId="77777777" w:rsidR="00B17E6C" w:rsidRDefault="00B17E6C" w:rsidP="009611A2">
      <w:pPr>
        <w:rPr>
          <w:rFonts w:eastAsia="Arial"/>
        </w:rPr>
      </w:pPr>
    </w:p>
    <w:p w14:paraId="7B781353" w14:textId="77777777" w:rsidR="00E33EDB" w:rsidRDefault="00B17E6C" w:rsidP="009611A2">
      <w:r>
        <w:t>Where a provider meets standards or contract requirements, reports will summarise each standard or section. Each summary will set out evidence that is:</w:t>
      </w:r>
    </w:p>
    <w:p w14:paraId="7B781354" w14:textId="77777777" w:rsidR="00B17E6C" w:rsidRPr="003F6642" w:rsidRDefault="00B17E6C" w:rsidP="009611A2">
      <w:pPr>
        <w:pStyle w:val="Bullet"/>
      </w:pPr>
      <w:r w:rsidRPr="00047030">
        <w:rPr>
          <w:b/>
        </w:rPr>
        <w:t>sufficient</w:t>
      </w:r>
      <w:r w:rsidRPr="003F6642">
        <w:t>,</w:t>
      </w:r>
      <w:r>
        <w:t xml:space="preserve"> meaning</w:t>
      </w:r>
      <w:r w:rsidRPr="003F6642">
        <w:t xml:space="preserve"> it </w:t>
      </w:r>
      <w:r>
        <w:t>will p</w:t>
      </w:r>
      <w:r w:rsidRPr="003F6642">
        <w:t>rovide detailed information with relevant and quantified examples</w:t>
      </w:r>
    </w:p>
    <w:p w14:paraId="7B781355" w14:textId="77777777" w:rsidR="00B17E6C" w:rsidRPr="003F6642" w:rsidRDefault="00B17E6C" w:rsidP="009611A2">
      <w:pPr>
        <w:pStyle w:val="Bullet"/>
      </w:pPr>
      <w:r w:rsidRPr="003F6642">
        <w:rPr>
          <w:b/>
        </w:rPr>
        <w:t>relevant</w:t>
      </w:r>
      <w:r w:rsidRPr="003F6642">
        <w:t xml:space="preserve">, </w:t>
      </w:r>
      <w:r>
        <w:t xml:space="preserve">meaning </w:t>
      </w:r>
      <w:r w:rsidRPr="003F6642">
        <w:t xml:space="preserve">it </w:t>
      </w:r>
      <w:r>
        <w:t>will</w:t>
      </w:r>
      <w:r w:rsidRPr="003F6642">
        <w:t>:</w:t>
      </w:r>
    </w:p>
    <w:p w14:paraId="7B781356" w14:textId="77777777" w:rsidR="00B17E6C" w:rsidRPr="003F6642" w:rsidRDefault="00B17E6C" w:rsidP="009611A2">
      <w:pPr>
        <w:pStyle w:val="Dash"/>
      </w:pPr>
      <w:r>
        <w:t>d</w:t>
      </w:r>
      <w:r w:rsidRPr="003F6642">
        <w:t>emonstrate the relationship between actual and expected outcomes</w:t>
      </w:r>
    </w:p>
    <w:p w14:paraId="7B781357" w14:textId="77777777" w:rsidR="00B17E6C" w:rsidRPr="003F6642" w:rsidRDefault="00B17E6C" w:rsidP="009611A2">
      <w:pPr>
        <w:pStyle w:val="Dash"/>
      </w:pPr>
      <w:r>
        <w:t>b</w:t>
      </w:r>
      <w:r w:rsidRPr="003F6642">
        <w:t>e consistent</w:t>
      </w:r>
    </w:p>
    <w:p w14:paraId="7B781358" w14:textId="77777777" w:rsidR="00B17E6C" w:rsidRPr="003F6642" w:rsidRDefault="00B17E6C" w:rsidP="009611A2">
      <w:pPr>
        <w:pStyle w:val="Bullet"/>
      </w:pPr>
      <w:r w:rsidRPr="003F6642">
        <w:rPr>
          <w:b/>
        </w:rPr>
        <w:t>reliable</w:t>
      </w:r>
      <w:r w:rsidRPr="003F6642">
        <w:t xml:space="preserve">, </w:t>
      </w:r>
      <w:r>
        <w:t xml:space="preserve">meaning </w:t>
      </w:r>
      <w:r w:rsidRPr="003F6642">
        <w:t xml:space="preserve">it </w:t>
      </w:r>
      <w:r>
        <w:t>will</w:t>
      </w:r>
      <w:r w:rsidRPr="003F6642">
        <w:t>:</w:t>
      </w:r>
    </w:p>
    <w:p w14:paraId="7B781359" w14:textId="77777777" w:rsidR="00B17E6C" w:rsidRPr="003F6642" w:rsidRDefault="00B17E6C" w:rsidP="009611A2">
      <w:pPr>
        <w:pStyle w:val="Dash"/>
      </w:pPr>
      <w:r>
        <w:t>r</w:t>
      </w:r>
      <w:r w:rsidRPr="003F6642">
        <w:t xml:space="preserve">eport attainment ratings against each </w:t>
      </w:r>
      <w:r>
        <w:t>s</w:t>
      </w:r>
      <w:r w:rsidRPr="00460A43">
        <w:t>tandard</w:t>
      </w:r>
      <w:r>
        <w:t xml:space="preserve"> or </w:t>
      </w:r>
      <w:r w:rsidRPr="00460A43">
        <w:t>contract requirement and criterion</w:t>
      </w:r>
      <w:r>
        <w:t xml:space="preserve"> that is</w:t>
      </w:r>
      <w:r w:rsidRPr="003F6642">
        <w:t xml:space="preserve"> not rated</w:t>
      </w:r>
      <w:r>
        <w:t xml:space="preserve"> as</w:t>
      </w:r>
      <w:r w:rsidRPr="003F6642">
        <w:t xml:space="preserve"> fully attained or where there is a continuous improvement</w:t>
      </w:r>
    </w:p>
    <w:p w14:paraId="7B78135A" w14:textId="77777777" w:rsidR="00B17E6C" w:rsidRPr="003F6642" w:rsidRDefault="00B17E6C" w:rsidP="009611A2">
      <w:pPr>
        <w:pStyle w:val="Dash"/>
      </w:pPr>
      <w:r>
        <w:t>r</w:t>
      </w:r>
      <w:r w:rsidRPr="003F6642">
        <w:t xml:space="preserve">eport risk ratings against each </w:t>
      </w:r>
      <w:r>
        <w:t>s</w:t>
      </w:r>
      <w:r w:rsidRPr="00460A43">
        <w:t>tandard</w:t>
      </w:r>
      <w:r>
        <w:t xml:space="preserve"> or </w:t>
      </w:r>
      <w:r w:rsidRPr="00460A43">
        <w:t>contract requirement and criterion within the scope of the audit when not fully attained</w:t>
      </w:r>
    </w:p>
    <w:p w14:paraId="7B78135B" w14:textId="77777777" w:rsidR="00B17E6C" w:rsidRDefault="00B17E6C" w:rsidP="009611A2">
      <w:pPr>
        <w:pStyle w:val="Dash"/>
      </w:pPr>
      <w:r>
        <w:t>b</w:t>
      </w:r>
      <w:r w:rsidRPr="003F6642">
        <w:t xml:space="preserve">e proofread, peer reviewed and endorsed by the lead auditor, before </w:t>
      </w:r>
      <w:r>
        <w:t>the DAA Group</w:t>
      </w:r>
      <w:r w:rsidRPr="003F6642">
        <w:t xml:space="preserve"> submit</w:t>
      </w:r>
      <w:r>
        <w:t>s it</w:t>
      </w:r>
      <w:r w:rsidRPr="003F6642">
        <w:t xml:space="preserve"> to the </w:t>
      </w:r>
      <w:r>
        <w:t>NSU</w:t>
      </w:r>
      <w:r w:rsidRPr="003F6642">
        <w:t>.</w:t>
      </w:r>
    </w:p>
    <w:p w14:paraId="7B78135C" w14:textId="77777777" w:rsidR="009611A2" w:rsidRPr="003F6642" w:rsidRDefault="009611A2" w:rsidP="009611A2"/>
    <w:p w14:paraId="7B78135D" w14:textId="77777777" w:rsidR="00B17E6C" w:rsidRPr="00B66F1E" w:rsidRDefault="00B17E6C" w:rsidP="009611A2">
      <w:pPr>
        <w:pStyle w:val="Heading2"/>
        <w:rPr>
          <w:rFonts w:eastAsia="Arial"/>
        </w:rPr>
      </w:pPr>
      <w:bookmarkStart w:id="184" w:name="_Toc371769452"/>
      <w:bookmarkStart w:id="185" w:name="_Toc414889635"/>
      <w:bookmarkStart w:id="186" w:name="_Toc485385911"/>
      <w:bookmarkStart w:id="187" w:name="_Toc68012589"/>
      <w:bookmarkStart w:id="188" w:name="_Toc90391860"/>
      <w:r w:rsidRPr="00B66F1E">
        <w:rPr>
          <w:rFonts w:eastAsia="Arial"/>
        </w:rPr>
        <w:lastRenderedPageBreak/>
        <w:t xml:space="preserve">DAA Group </w:t>
      </w:r>
      <w:r>
        <w:rPr>
          <w:rFonts w:eastAsia="Arial"/>
        </w:rPr>
        <w:t>a</w:t>
      </w:r>
      <w:r w:rsidRPr="00B66F1E">
        <w:rPr>
          <w:rFonts w:eastAsia="Arial"/>
        </w:rPr>
        <w:t>udit report writing guideline</w:t>
      </w:r>
      <w:bookmarkEnd w:id="184"/>
      <w:bookmarkEnd w:id="185"/>
      <w:bookmarkEnd w:id="186"/>
      <w:bookmarkEnd w:id="187"/>
      <w:bookmarkEnd w:id="188"/>
    </w:p>
    <w:p w14:paraId="7B78135E" w14:textId="77777777" w:rsidR="00B17E6C" w:rsidRDefault="00B17E6C" w:rsidP="009611A2">
      <w:pPr>
        <w:rPr>
          <w:rFonts w:eastAsia="Arial"/>
        </w:rPr>
      </w:pPr>
      <w:r>
        <w:rPr>
          <w:rFonts w:eastAsia="Arial"/>
        </w:rPr>
        <w:t>The DAA Group provides its contracted auditors and technical expert assessors with the DAA Group report writing guideline, which sets out best-practice requirements.</w:t>
      </w:r>
    </w:p>
    <w:p w14:paraId="7B78135F" w14:textId="77777777" w:rsidR="009611A2" w:rsidRPr="003F6642" w:rsidRDefault="009611A2" w:rsidP="009611A2">
      <w:pPr>
        <w:rPr>
          <w:rFonts w:eastAsia="Arial"/>
        </w:rPr>
      </w:pPr>
    </w:p>
    <w:p w14:paraId="7B781360" w14:textId="77777777" w:rsidR="00B17E6C" w:rsidRPr="003F6642" w:rsidRDefault="00B17E6C" w:rsidP="009611A2">
      <w:pPr>
        <w:pStyle w:val="Heading2"/>
        <w:rPr>
          <w:rFonts w:eastAsia="Arial"/>
        </w:rPr>
      </w:pPr>
      <w:bookmarkStart w:id="189" w:name="_Toc371769453"/>
      <w:bookmarkStart w:id="190" w:name="_Toc414889636"/>
      <w:bookmarkStart w:id="191" w:name="_Toc485385912"/>
      <w:bookmarkStart w:id="192" w:name="_Toc68012590"/>
      <w:bookmarkStart w:id="193" w:name="_Toc90391861"/>
      <w:r w:rsidRPr="003F6642">
        <w:rPr>
          <w:rFonts w:eastAsia="Arial"/>
        </w:rPr>
        <w:t>Documented evidence</w:t>
      </w:r>
      <w:bookmarkEnd w:id="189"/>
      <w:bookmarkEnd w:id="190"/>
      <w:bookmarkEnd w:id="191"/>
      <w:bookmarkEnd w:id="192"/>
      <w:bookmarkEnd w:id="193"/>
    </w:p>
    <w:p w14:paraId="7B781361" w14:textId="77777777" w:rsidR="00E33EDB" w:rsidRDefault="00B17E6C" w:rsidP="009611A2">
      <w:r>
        <w:t>The audit team will document evidence in the audit tools that the DAA Group provides it with. It will describe the evidence in enough detail to support the report findings.</w:t>
      </w:r>
    </w:p>
    <w:p w14:paraId="7B781362" w14:textId="77777777" w:rsidR="009611A2" w:rsidRDefault="009611A2" w:rsidP="009611A2"/>
    <w:p w14:paraId="7B781363" w14:textId="77777777" w:rsidR="00B17E6C" w:rsidRPr="003F6642" w:rsidRDefault="00B17E6C" w:rsidP="009611A2">
      <w:pPr>
        <w:pStyle w:val="Heading2"/>
        <w:rPr>
          <w:rFonts w:eastAsia="Arial"/>
        </w:rPr>
      </w:pPr>
      <w:bookmarkStart w:id="194" w:name="_Toc47457600"/>
      <w:bookmarkStart w:id="195" w:name="_Toc47522218"/>
      <w:bookmarkStart w:id="196" w:name="_Toc47542671"/>
      <w:bookmarkStart w:id="197" w:name="_Toc371769455"/>
      <w:bookmarkStart w:id="198" w:name="_Toc414889638"/>
      <w:bookmarkStart w:id="199" w:name="_Toc485385914"/>
      <w:bookmarkStart w:id="200" w:name="_Toc68012591"/>
      <w:bookmarkStart w:id="201" w:name="_Toc90391862"/>
      <w:bookmarkEnd w:id="194"/>
      <w:bookmarkEnd w:id="195"/>
      <w:bookmarkEnd w:id="196"/>
      <w:r w:rsidRPr="003F6642">
        <w:rPr>
          <w:rFonts w:eastAsia="Arial"/>
        </w:rPr>
        <w:t xml:space="preserve">Submission of the </w:t>
      </w:r>
      <w:r>
        <w:rPr>
          <w:rFonts w:eastAsia="Arial"/>
        </w:rPr>
        <w:t>NSU</w:t>
      </w:r>
      <w:r w:rsidRPr="003F6642">
        <w:rPr>
          <w:rFonts w:eastAsia="Arial"/>
        </w:rPr>
        <w:t xml:space="preserve"> audit report</w:t>
      </w:r>
      <w:bookmarkEnd w:id="197"/>
      <w:bookmarkEnd w:id="198"/>
      <w:bookmarkEnd w:id="199"/>
      <w:bookmarkEnd w:id="200"/>
      <w:bookmarkEnd w:id="201"/>
    </w:p>
    <w:p w14:paraId="7B781364" w14:textId="77777777" w:rsidR="00B17E6C" w:rsidRPr="003F6642" w:rsidRDefault="00B17E6C" w:rsidP="009611A2">
      <w:r>
        <w:t>The DAA Group will submit e</w:t>
      </w:r>
      <w:r w:rsidRPr="003F6642">
        <w:t xml:space="preserve">very audit report electronically to </w:t>
      </w:r>
      <w:r>
        <w:t>NSU.</w:t>
      </w:r>
    </w:p>
    <w:p w14:paraId="7B781365" w14:textId="77777777" w:rsidR="00B17E6C" w:rsidRPr="003F6642" w:rsidRDefault="00B17E6C" w:rsidP="009611A2"/>
    <w:p w14:paraId="7B781366" w14:textId="77777777" w:rsidR="00B17E6C" w:rsidRPr="003F6642" w:rsidRDefault="00B17E6C" w:rsidP="009611A2">
      <w:r w:rsidRPr="003F6642">
        <w:t xml:space="preserve">Before submitting the audit report to the </w:t>
      </w:r>
      <w:r>
        <w:t>NSU</w:t>
      </w:r>
      <w:r w:rsidRPr="003F6642">
        <w:t xml:space="preserve">, the </w:t>
      </w:r>
      <w:r>
        <w:t>DAA Group will</w:t>
      </w:r>
      <w:r w:rsidRPr="003F6642">
        <w:t xml:space="preserve"> ensure that:</w:t>
      </w:r>
    </w:p>
    <w:p w14:paraId="7B781367" w14:textId="77777777" w:rsidR="00B17E6C" w:rsidRPr="00306163" w:rsidRDefault="00B17E6C" w:rsidP="009611A2">
      <w:pPr>
        <w:pStyle w:val="Number"/>
        <w:spacing w:before="120"/>
        <w:rPr>
          <w:rFonts w:eastAsia="Arial"/>
        </w:rPr>
      </w:pPr>
      <w:r>
        <w:rPr>
          <w:rFonts w:eastAsia="Arial"/>
        </w:rPr>
        <w:t>t</w:t>
      </w:r>
      <w:r w:rsidRPr="00306163">
        <w:rPr>
          <w:rFonts w:eastAsia="Arial"/>
        </w:rPr>
        <w:t>he service provider has had an opportunity to comment on the draft report. The DAA Group will clearly document any disagreement between the DAA Group and provider on the content</w:t>
      </w:r>
    </w:p>
    <w:p w14:paraId="7B781368" w14:textId="77777777" w:rsidR="00B17E6C" w:rsidRPr="00306163" w:rsidRDefault="00B17E6C" w:rsidP="009611A2">
      <w:pPr>
        <w:pStyle w:val="Number"/>
        <w:spacing w:before="120"/>
        <w:rPr>
          <w:rFonts w:eastAsia="Arial"/>
        </w:rPr>
      </w:pPr>
      <w:r>
        <w:rPr>
          <w:rFonts w:eastAsia="Arial"/>
        </w:rPr>
        <w:t>e</w:t>
      </w:r>
      <w:r w:rsidRPr="00306163">
        <w:rPr>
          <w:rFonts w:eastAsia="Arial"/>
        </w:rPr>
        <w:t>very mandatory field has been completed (including the executive summary)</w:t>
      </w:r>
    </w:p>
    <w:p w14:paraId="7B781369" w14:textId="77777777" w:rsidR="00B17E6C" w:rsidRPr="00306163" w:rsidRDefault="00B17E6C" w:rsidP="009611A2">
      <w:pPr>
        <w:pStyle w:val="Number"/>
        <w:spacing w:before="120"/>
        <w:rPr>
          <w:rFonts w:eastAsia="Arial"/>
        </w:rPr>
      </w:pPr>
      <w:r>
        <w:rPr>
          <w:rFonts w:eastAsia="Arial"/>
        </w:rPr>
        <w:t>f</w:t>
      </w:r>
      <w:r w:rsidRPr="00306163">
        <w:rPr>
          <w:rFonts w:eastAsia="Arial"/>
        </w:rPr>
        <w:t>inding statements and corrective action requests are completed and appropriate to the level of attainment and risk determined</w:t>
      </w:r>
    </w:p>
    <w:p w14:paraId="7B78136A" w14:textId="77777777" w:rsidR="00B17E6C" w:rsidRPr="00306163" w:rsidRDefault="00B17E6C" w:rsidP="009611A2">
      <w:pPr>
        <w:pStyle w:val="Number"/>
        <w:spacing w:before="120"/>
        <w:rPr>
          <w:rFonts w:eastAsia="Arial"/>
        </w:rPr>
      </w:pPr>
      <w:r w:rsidRPr="00306163">
        <w:rPr>
          <w:rFonts w:eastAsia="Arial"/>
        </w:rPr>
        <w:t>the lead auditor and a peer reviewer</w:t>
      </w:r>
      <w:r w:rsidRPr="007756D5">
        <w:rPr>
          <w:rFonts w:eastAsia="Arial"/>
        </w:rPr>
        <w:t xml:space="preserve"> </w:t>
      </w:r>
      <w:r>
        <w:rPr>
          <w:rFonts w:eastAsia="Arial"/>
        </w:rPr>
        <w:t xml:space="preserve">have </w:t>
      </w:r>
      <w:r w:rsidRPr="00306163">
        <w:rPr>
          <w:rFonts w:eastAsia="Arial"/>
        </w:rPr>
        <w:t>reviewed</w:t>
      </w:r>
      <w:r>
        <w:rPr>
          <w:rFonts w:eastAsia="Arial"/>
        </w:rPr>
        <w:t xml:space="preserve"> t</w:t>
      </w:r>
      <w:r w:rsidRPr="00306163">
        <w:rPr>
          <w:rFonts w:eastAsia="Arial"/>
        </w:rPr>
        <w:t xml:space="preserve">he report and the lead auditor </w:t>
      </w:r>
      <w:r>
        <w:rPr>
          <w:rFonts w:eastAsia="Arial"/>
        </w:rPr>
        <w:t xml:space="preserve">has endorsed it </w:t>
      </w:r>
      <w:r w:rsidRPr="00306163">
        <w:rPr>
          <w:rFonts w:eastAsia="Arial"/>
        </w:rPr>
        <w:t>following peer review</w:t>
      </w:r>
    </w:p>
    <w:p w14:paraId="7B78136B" w14:textId="77777777" w:rsidR="00B17E6C" w:rsidRPr="00306163" w:rsidRDefault="00B17E6C" w:rsidP="009611A2">
      <w:pPr>
        <w:pStyle w:val="Number"/>
        <w:spacing w:before="120"/>
        <w:rPr>
          <w:rFonts w:eastAsia="Arial"/>
        </w:rPr>
      </w:pPr>
      <w:r>
        <w:rPr>
          <w:rFonts w:eastAsia="Arial"/>
        </w:rPr>
        <w:t>t</w:t>
      </w:r>
      <w:r w:rsidRPr="00306163">
        <w:rPr>
          <w:rFonts w:eastAsia="Arial"/>
        </w:rPr>
        <w:t>he report is complete</w:t>
      </w:r>
    </w:p>
    <w:p w14:paraId="7B78136C" w14:textId="77777777" w:rsidR="00B17E6C" w:rsidRDefault="00B17E6C" w:rsidP="009611A2">
      <w:pPr>
        <w:pStyle w:val="Number"/>
        <w:spacing w:before="120"/>
        <w:rPr>
          <w:rFonts w:eastAsia="Arial"/>
        </w:rPr>
      </w:pPr>
      <w:r w:rsidRPr="00306163">
        <w:rPr>
          <w:rFonts w:eastAsia="Arial"/>
        </w:rPr>
        <w:t>the service audited</w:t>
      </w:r>
      <w:r w:rsidRPr="007756D5">
        <w:rPr>
          <w:rFonts w:eastAsia="Arial"/>
        </w:rPr>
        <w:t xml:space="preserve"> </w:t>
      </w:r>
      <w:r w:rsidRPr="00306163">
        <w:rPr>
          <w:rFonts w:eastAsia="Arial"/>
        </w:rPr>
        <w:t>has received</w:t>
      </w:r>
      <w:r>
        <w:rPr>
          <w:rFonts w:eastAsia="Arial"/>
        </w:rPr>
        <w:t xml:space="preserve"> t</w:t>
      </w:r>
      <w:r w:rsidRPr="00306163">
        <w:rPr>
          <w:rFonts w:eastAsia="Arial"/>
        </w:rPr>
        <w:t>he report.</w:t>
      </w:r>
    </w:p>
    <w:p w14:paraId="7B78136D" w14:textId="77777777" w:rsidR="009611A2" w:rsidRPr="00306163" w:rsidRDefault="009611A2" w:rsidP="009611A2">
      <w:pPr>
        <w:rPr>
          <w:rFonts w:eastAsia="Arial"/>
        </w:rPr>
      </w:pPr>
    </w:p>
    <w:p w14:paraId="7B78136E" w14:textId="77777777" w:rsidR="00B17E6C" w:rsidRPr="008D0BFA" w:rsidRDefault="00B17E6C" w:rsidP="009611A2">
      <w:pPr>
        <w:pStyle w:val="Heading3-nonumber"/>
      </w:pPr>
      <w:bookmarkStart w:id="202" w:name="_Ref6737539"/>
      <w:r w:rsidRPr="008D0BFA">
        <w:t>Timeframes</w:t>
      </w:r>
      <w:bookmarkEnd w:id="202"/>
    </w:p>
    <w:p w14:paraId="7B78136F" w14:textId="77777777" w:rsidR="00B17E6C" w:rsidRPr="003F6642" w:rsidRDefault="00B17E6C" w:rsidP="009611A2">
      <w:r>
        <w:rPr>
          <w:rFonts w:eastAsia="Arial"/>
        </w:rPr>
        <w:t>The DAA Group must submit NSU</w:t>
      </w:r>
      <w:r w:rsidRPr="003F6642">
        <w:rPr>
          <w:rFonts w:eastAsia="Arial"/>
        </w:rPr>
        <w:t xml:space="preserve"> audit reports within 20</w:t>
      </w:r>
      <w:r>
        <w:rPr>
          <w:rFonts w:eastAsia="Arial"/>
        </w:rPr>
        <w:t xml:space="preserve"> </w:t>
      </w:r>
      <w:r w:rsidRPr="003F6642">
        <w:rPr>
          <w:rFonts w:eastAsia="Arial"/>
        </w:rPr>
        <w:t xml:space="preserve">working days of the </w:t>
      </w:r>
      <w:r>
        <w:rPr>
          <w:rFonts w:eastAsia="Arial"/>
        </w:rPr>
        <w:t>audit team</w:t>
      </w:r>
      <w:r w:rsidR="00E33EDB">
        <w:rPr>
          <w:rFonts w:eastAsia="Arial"/>
        </w:rPr>
        <w:t>’</w:t>
      </w:r>
      <w:r>
        <w:rPr>
          <w:rFonts w:eastAsia="Arial"/>
        </w:rPr>
        <w:t xml:space="preserve">s </w:t>
      </w:r>
      <w:r w:rsidRPr="003F6642">
        <w:rPr>
          <w:rFonts w:eastAsia="Arial"/>
        </w:rPr>
        <w:t>last site visit</w:t>
      </w:r>
      <w:r>
        <w:rPr>
          <w:rFonts w:eastAsia="Arial"/>
        </w:rPr>
        <w:t>.</w:t>
      </w:r>
    </w:p>
    <w:p w14:paraId="7B781370" w14:textId="77777777" w:rsidR="00B17E6C" w:rsidRPr="003F6642" w:rsidRDefault="00B17E6C" w:rsidP="009611A2"/>
    <w:p w14:paraId="7B781371" w14:textId="77777777" w:rsidR="00B17E6C" w:rsidRDefault="00B17E6C" w:rsidP="009611A2">
      <w:r>
        <w:t>It must negotiate a</w:t>
      </w:r>
      <w:r w:rsidRPr="003F6642">
        <w:t xml:space="preserve">ny request for an exemption from these timeframes directly with the </w:t>
      </w:r>
      <w:r>
        <w:t>NSU</w:t>
      </w:r>
      <w:r w:rsidRPr="003F6642">
        <w:t xml:space="preserve"> </w:t>
      </w:r>
      <w:r>
        <w:t xml:space="preserve">programme manager </w:t>
      </w:r>
      <w:r w:rsidRPr="003F6642">
        <w:t>on a case-by-case basis.</w:t>
      </w:r>
    </w:p>
    <w:p w14:paraId="7B781372" w14:textId="77777777" w:rsidR="009611A2" w:rsidRPr="003F6642" w:rsidRDefault="009611A2" w:rsidP="009611A2"/>
    <w:p w14:paraId="7B781373" w14:textId="77777777" w:rsidR="00B17E6C" w:rsidRPr="008D0BFA" w:rsidRDefault="00B17E6C" w:rsidP="009611A2">
      <w:pPr>
        <w:pStyle w:val="Heading3-nonumber"/>
      </w:pPr>
      <w:r w:rsidRPr="008D0BFA">
        <w:lastRenderedPageBreak/>
        <w:t>Supporting documents</w:t>
      </w:r>
    </w:p>
    <w:p w14:paraId="7B781374" w14:textId="77777777" w:rsidR="00B17E6C" w:rsidRDefault="00B17E6C" w:rsidP="009611A2">
      <w:r>
        <w:t xml:space="preserve">Records of all audits must be available to the NSU on </w:t>
      </w:r>
      <w:proofErr w:type="gramStart"/>
      <w:r>
        <w:t>request, if</w:t>
      </w:r>
      <w:proofErr w:type="gramEnd"/>
      <w:r>
        <w:t xml:space="preserve"> it needs these for further review or information.</w:t>
      </w:r>
    </w:p>
    <w:p w14:paraId="7B781375" w14:textId="77777777" w:rsidR="00B17E6C" w:rsidRDefault="00B17E6C" w:rsidP="009611A2"/>
    <w:p w14:paraId="7B781376" w14:textId="77777777" w:rsidR="00B17E6C" w:rsidRDefault="00B17E6C" w:rsidP="009611A2">
      <w:r>
        <w:t>If NSU programme managers</w:t>
      </w:r>
      <w:r w:rsidRPr="003F6642">
        <w:t xml:space="preserve"> ask the </w:t>
      </w:r>
      <w:r>
        <w:t xml:space="preserve">DAA Group </w:t>
      </w:r>
      <w:r w:rsidRPr="003F6642">
        <w:t>to submit the required evidence</w:t>
      </w:r>
      <w:r>
        <w:t>, t</w:t>
      </w:r>
      <w:r w:rsidRPr="003F6642">
        <w:t xml:space="preserve">he </w:t>
      </w:r>
      <w:r>
        <w:t>DAA Group must</w:t>
      </w:r>
      <w:r w:rsidRPr="003F6642">
        <w:t xml:space="preserve"> submit this evidence within </w:t>
      </w:r>
      <w:r>
        <w:t>five</w:t>
      </w:r>
      <w:r w:rsidRPr="003F6642">
        <w:t xml:space="preserve"> working days.</w:t>
      </w:r>
    </w:p>
    <w:p w14:paraId="7B781377" w14:textId="77777777" w:rsidR="009611A2" w:rsidRPr="003F6642" w:rsidRDefault="009611A2" w:rsidP="009611A2"/>
    <w:p w14:paraId="7B781378" w14:textId="77777777" w:rsidR="00B17E6C" w:rsidRPr="00DE2A78" w:rsidRDefault="00B17E6C" w:rsidP="009611A2">
      <w:pPr>
        <w:pStyle w:val="Heading2"/>
        <w:rPr>
          <w:rFonts w:eastAsia="Arial"/>
        </w:rPr>
      </w:pPr>
      <w:bookmarkStart w:id="203" w:name="_Toc68012592"/>
      <w:bookmarkStart w:id="204" w:name="_Toc90391863"/>
      <w:r w:rsidRPr="00DE2A78">
        <w:rPr>
          <w:rFonts w:eastAsia="Arial"/>
        </w:rPr>
        <w:t>NSU report review and action</w:t>
      </w:r>
      <w:r>
        <w:rPr>
          <w:rFonts w:eastAsia="Arial"/>
        </w:rPr>
        <w:t xml:space="preserve"> </w:t>
      </w:r>
      <w:r w:rsidRPr="00DE2A78">
        <w:rPr>
          <w:rFonts w:eastAsia="Arial"/>
        </w:rPr>
        <w:t>process</w:t>
      </w:r>
      <w:bookmarkEnd w:id="203"/>
      <w:bookmarkEnd w:id="204"/>
    </w:p>
    <w:p w14:paraId="7B781379" w14:textId="77777777" w:rsidR="00B17E6C" w:rsidRDefault="00B17E6C" w:rsidP="009611A2">
      <w:pPr>
        <w:rPr>
          <w:rFonts w:eastAsia="Arial"/>
        </w:rPr>
      </w:pPr>
      <w:r>
        <w:rPr>
          <w:rFonts w:eastAsia="Arial"/>
        </w:rPr>
        <w:t>Each programme within the NSU audit programme will have a documented, unambiguous process to manage audit outcomes.</w:t>
      </w:r>
    </w:p>
    <w:p w14:paraId="7B78137A" w14:textId="77777777" w:rsidR="00B17E6C" w:rsidRDefault="00B17E6C" w:rsidP="009611A2">
      <w:pPr>
        <w:rPr>
          <w:rFonts w:eastAsia="Arial"/>
        </w:rPr>
      </w:pPr>
    </w:p>
    <w:p w14:paraId="7B78137B" w14:textId="77777777" w:rsidR="00E33EDB" w:rsidRDefault="00B17E6C" w:rsidP="009611A2">
      <w:pPr>
        <w:rPr>
          <w:rFonts w:eastAsia="Arial"/>
        </w:rPr>
      </w:pPr>
      <w:r>
        <w:rPr>
          <w:rFonts w:eastAsia="Arial"/>
        </w:rPr>
        <w:t>Each programme will ensure the screening provider reports on progress against corrective actions within the agreed timelines and will actively engage the screening provider on a delayed or unsatisfactory response.</w:t>
      </w:r>
    </w:p>
    <w:p w14:paraId="7B78137C" w14:textId="77777777" w:rsidR="00B17E6C" w:rsidRDefault="00B17E6C" w:rsidP="009611A2">
      <w:pPr>
        <w:rPr>
          <w:rFonts w:eastAsia="Arial"/>
        </w:rPr>
      </w:pPr>
    </w:p>
    <w:p w14:paraId="7B78137D" w14:textId="77777777" w:rsidR="00B17E6C" w:rsidRDefault="00B17E6C" w:rsidP="009611A2">
      <w:pPr>
        <w:rPr>
          <w:rFonts w:eastAsia="Arial"/>
        </w:rPr>
      </w:pPr>
      <w:r>
        <w:rPr>
          <w:rFonts w:eastAsia="Arial"/>
        </w:rPr>
        <w:t>Each programme team is responsible for escalating non-compliance with reporting timelines to the programme manager.</w:t>
      </w:r>
    </w:p>
    <w:p w14:paraId="7B78137E" w14:textId="77777777" w:rsidR="00B17E6C" w:rsidRDefault="00B17E6C" w:rsidP="009611A2">
      <w:pPr>
        <w:rPr>
          <w:rFonts w:eastAsia="Arial"/>
        </w:rPr>
      </w:pPr>
    </w:p>
    <w:p w14:paraId="7B78137F" w14:textId="77777777" w:rsidR="00B17E6C" w:rsidRDefault="00B17E6C" w:rsidP="009611A2">
      <w:pPr>
        <w:rPr>
          <w:rFonts w:eastAsia="Arial"/>
        </w:rPr>
      </w:pPr>
      <w:r>
        <w:rPr>
          <w:rFonts w:eastAsia="Arial"/>
        </w:rPr>
        <w:t>The screening programme leaders are responsible for overseeing the audit programme outcomes, to identify common themes and introduce programme-wide improvements as required. The programme may consult with advisory groups on matters arising from audit.</w:t>
      </w:r>
    </w:p>
    <w:p w14:paraId="7B781380" w14:textId="77777777" w:rsidR="009611A2" w:rsidRPr="00BD7F08" w:rsidRDefault="009611A2" w:rsidP="009611A2">
      <w:pPr>
        <w:rPr>
          <w:rFonts w:eastAsia="Arial"/>
        </w:rPr>
      </w:pPr>
    </w:p>
    <w:p w14:paraId="7B781381" w14:textId="77777777" w:rsidR="00B17E6C" w:rsidRPr="008D0BFA" w:rsidRDefault="00B17E6C" w:rsidP="009611A2">
      <w:pPr>
        <w:pStyle w:val="Heading3-nonumber"/>
      </w:pPr>
      <w:r w:rsidRPr="008D0BFA">
        <w:t>Support to NSU teams</w:t>
      </w:r>
    </w:p>
    <w:p w14:paraId="7B781382" w14:textId="77777777" w:rsidR="00B17E6C" w:rsidRDefault="00B17E6C" w:rsidP="009611A2">
      <w:r>
        <w:t>The DAA Group will provide initial training, as required, to help NSU programme staff manage the corrective action process.</w:t>
      </w:r>
    </w:p>
    <w:p w14:paraId="7B781383" w14:textId="77777777" w:rsidR="00B17E6C" w:rsidRDefault="00B17E6C" w:rsidP="009611A2"/>
    <w:p w14:paraId="7B781384" w14:textId="77777777" w:rsidR="00E33EDB" w:rsidRDefault="00B17E6C" w:rsidP="009611A2">
      <w:r>
        <w:t>The DAA Group NSU client manager or lead auditor will provide telephone support to NSU staff, as required.</w:t>
      </w:r>
    </w:p>
    <w:p w14:paraId="7B781385" w14:textId="77777777" w:rsidR="00B17E6C" w:rsidRPr="003F6642" w:rsidRDefault="00B17E6C" w:rsidP="009611A2">
      <w:pPr>
        <w:rPr>
          <w:rFonts w:eastAsia="Arial"/>
        </w:rPr>
      </w:pPr>
    </w:p>
    <w:p w14:paraId="7B781386" w14:textId="77777777" w:rsidR="00B17E6C" w:rsidRPr="00DF3D18" w:rsidRDefault="00B17E6C" w:rsidP="009611A2">
      <w:pPr>
        <w:pStyle w:val="Heading1"/>
        <w:rPr>
          <w:rFonts w:eastAsia="Arial"/>
        </w:rPr>
      </w:pPr>
      <w:bookmarkStart w:id="205" w:name="_Toc371769462"/>
      <w:bookmarkStart w:id="206" w:name="_Toc414889645"/>
      <w:bookmarkStart w:id="207" w:name="_Toc485385921"/>
      <w:bookmarkStart w:id="208" w:name="_Ref6737874"/>
      <w:bookmarkStart w:id="209" w:name="_Toc68012593"/>
      <w:bookmarkStart w:id="210" w:name="_Ref71179495"/>
      <w:bookmarkStart w:id="211" w:name="_Toc90391864"/>
      <w:r w:rsidRPr="00DF3D18">
        <w:rPr>
          <w:rFonts w:eastAsia="Arial"/>
        </w:rPr>
        <w:lastRenderedPageBreak/>
        <w:t>Progress reporting</w:t>
      </w:r>
      <w:bookmarkEnd w:id="205"/>
      <w:bookmarkEnd w:id="206"/>
      <w:bookmarkEnd w:id="207"/>
      <w:bookmarkEnd w:id="208"/>
      <w:bookmarkEnd w:id="209"/>
      <w:bookmarkEnd w:id="210"/>
      <w:bookmarkEnd w:id="211"/>
    </w:p>
    <w:p w14:paraId="7B781387" w14:textId="77777777" w:rsidR="00B17E6C" w:rsidRDefault="00B17E6C" w:rsidP="009611A2">
      <w:r w:rsidRPr="003F6642">
        <w:t xml:space="preserve">Written progress reports apply to any provider whose </w:t>
      </w:r>
      <w:r>
        <w:rPr>
          <w:rFonts w:eastAsia="Arial"/>
        </w:rPr>
        <w:t>verification of conformance</w:t>
      </w:r>
      <w:r>
        <w:t xml:space="preserve"> letter </w:t>
      </w:r>
      <w:r w:rsidRPr="003F6642">
        <w:t>contains a condition for progress reporting or monitoring.</w:t>
      </w:r>
    </w:p>
    <w:p w14:paraId="7B781388" w14:textId="77777777" w:rsidR="00B17E6C" w:rsidRDefault="00B17E6C" w:rsidP="009611A2"/>
    <w:p w14:paraId="7B781389" w14:textId="77777777" w:rsidR="00B17E6C" w:rsidRPr="003F6642" w:rsidRDefault="00B17E6C" w:rsidP="009611A2">
      <w:r>
        <w:t xml:space="preserve">Each programme will prepare the audit reporting template, </w:t>
      </w:r>
      <w:proofErr w:type="gramStart"/>
      <w:r>
        <w:t>frequency</w:t>
      </w:r>
      <w:proofErr w:type="gramEnd"/>
      <w:r>
        <w:t xml:space="preserve"> and details necessary to effectively monitor progress with the corrective actions.</w:t>
      </w:r>
    </w:p>
    <w:p w14:paraId="7B78138A" w14:textId="77777777" w:rsidR="00B17E6C" w:rsidRDefault="00B17E6C" w:rsidP="009611A2">
      <w:pPr>
        <w:rPr>
          <w:rFonts w:eastAsia="Arial"/>
        </w:rPr>
      </w:pPr>
    </w:p>
    <w:p w14:paraId="7B78138B" w14:textId="77777777" w:rsidR="00E33EDB" w:rsidRDefault="00B17E6C" w:rsidP="009611A2">
      <w:pPr>
        <w:rPr>
          <w:rFonts w:eastAsia="Arial"/>
        </w:rPr>
      </w:pPr>
      <w:r w:rsidRPr="00F53704">
        <w:rPr>
          <w:rFonts w:eastAsia="Arial"/>
        </w:rPr>
        <w:t xml:space="preserve">Each NSU programme </w:t>
      </w:r>
      <w:r>
        <w:rPr>
          <w:rFonts w:eastAsia="Arial"/>
        </w:rPr>
        <w:t>lead is responsible for</w:t>
      </w:r>
      <w:r w:rsidRPr="00F53704">
        <w:rPr>
          <w:rFonts w:eastAsia="Arial"/>
        </w:rPr>
        <w:t xml:space="preserve"> monitoring the progress reporting.</w:t>
      </w:r>
    </w:p>
    <w:p w14:paraId="7B78138C" w14:textId="77777777" w:rsidR="00B17E6C" w:rsidRPr="003F6642" w:rsidRDefault="00B17E6C" w:rsidP="009611A2">
      <w:pPr>
        <w:rPr>
          <w:rFonts w:eastAsia="Arial"/>
        </w:rPr>
      </w:pPr>
    </w:p>
    <w:p w14:paraId="7B78138D" w14:textId="77777777" w:rsidR="00B17E6C" w:rsidRPr="00DF3D18" w:rsidRDefault="00B17E6C" w:rsidP="009611A2">
      <w:pPr>
        <w:pStyle w:val="Heading1-nonumber"/>
        <w:rPr>
          <w:rFonts w:eastAsia="Arial"/>
        </w:rPr>
      </w:pPr>
      <w:bookmarkStart w:id="212" w:name="_Toc47457618"/>
      <w:bookmarkStart w:id="213" w:name="_Toc47457648"/>
      <w:bookmarkStart w:id="214" w:name="_Toc47457649"/>
      <w:bookmarkStart w:id="215" w:name="_Toc47457650"/>
      <w:bookmarkStart w:id="216" w:name="_Toc47457651"/>
      <w:bookmarkStart w:id="217" w:name="_Toc47457652"/>
      <w:bookmarkStart w:id="218" w:name="_Toc47457653"/>
      <w:bookmarkStart w:id="219" w:name="_Toc47457654"/>
      <w:bookmarkStart w:id="220" w:name="_Toc47457655"/>
      <w:bookmarkStart w:id="221" w:name="_Toc47457656"/>
      <w:bookmarkStart w:id="222" w:name="_Toc47457657"/>
      <w:bookmarkStart w:id="223" w:name="_Toc47457658"/>
      <w:bookmarkStart w:id="224" w:name="_Toc47457659"/>
      <w:bookmarkStart w:id="225" w:name="_Toc47457660"/>
      <w:bookmarkStart w:id="226" w:name="_Toc47457661"/>
      <w:bookmarkStart w:id="227" w:name="_Toc47457662"/>
      <w:bookmarkStart w:id="228" w:name="_Toc47457663"/>
      <w:bookmarkStart w:id="229" w:name="_Toc47457664"/>
      <w:bookmarkStart w:id="230" w:name="_Toc47457665"/>
      <w:bookmarkStart w:id="231" w:name="_Toc47457666"/>
      <w:bookmarkStart w:id="232" w:name="_Toc47457667"/>
      <w:bookmarkStart w:id="233" w:name="_Toc47457668"/>
      <w:bookmarkStart w:id="234" w:name="_Toc47457669"/>
      <w:bookmarkStart w:id="235" w:name="_Toc47457670"/>
      <w:bookmarkStart w:id="236" w:name="_Toc47457671"/>
      <w:bookmarkStart w:id="237" w:name="_Toc47457672"/>
      <w:bookmarkStart w:id="238" w:name="_Toc47457673"/>
      <w:bookmarkStart w:id="239" w:name="_Toc47457674"/>
      <w:bookmarkStart w:id="240" w:name="_Toc47457675"/>
      <w:bookmarkStart w:id="241" w:name="_Toc47457676"/>
      <w:bookmarkStart w:id="242" w:name="_Toc47457677"/>
      <w:bookmarkStart w:id="243" w:name="_Toc47457678"/>
      <w:bookmarkStart w:id="244" w:name="_Toc47457679"/>
      <w:bookmarkStart w:id="245" w:name="_Toc47457680"/>
      <w:bookmarkStart w:id="246" w:name="_Toc47457681"/>
      <w:bookmarkStart w:id="247" w:name="_Toc47457682"/>
      <w:bookmarkStart w:id="248" w:name="_Toc47457683"/>
      <w:bookmarkStart w:id="249" w:name="_Toc47457684"/>
      <w:bookmarkStart w:id="250" w:name="_Toc47457685"/>
      <w:bookmarkStart w:id="251" w:name="_Toc47457686"/>
      <w:bookmarkStart w:id="252" w:name="_Toc47457687"/>
      <w:bookmarkStart w:id="253" w:name="_Toc47457688"/>
      <w:bookmarkStart w:id="254" w:name="_Toc47457689"/>
      <w:bookmarkStart w:id="255" w:name="_Toc47457690"/>
      <w:bookmarkStart w:id="256" w:name="_Toc47457691"/>
      <w:bookmarkStart w:id="257" w:name="_Toc47457692"/>
      <w:bookmarkStart w:id="258" w:name="_Toc47457693"/>
      <w:bookmarkStart w:id="259" w:name="_Toc47457694"/>
      <w:bookmarkStart w:id="260" w:name="_Toc47457695"/>
      <w:bookmarkStart w:id="261" w:name="_Toc47457696"/>
      <w:bookmarkStart w:id="262" w:name="_Toc47457697"/>
      <w:bookmarkStart w:id="263" w:name="_Toc47457698"/>
      <w:bookmarkStart w:id="264" w:name="_Toc47457699"/>
      <w:bookmarkStart w:id="265" w:name="_Toc47457700"/>
      <w:bookmarkStart w:id="266" w:name="_Toc47457701"/>
      <w:bookmarkStart w:id="267" w:name="_Toc47457702"/>
      <w:bookmarkStart w:id="268" w:name="_Toc47457703"/>
      <w:bookmarkStart w:id="269" w:name="_Toc47457704"/>
      <w:bookmarkStart w:id="270" w:name="_Toc47457705"/>
      <w:bookmarkStart w:id="271" w:name="_Toc47457706"/>
      <w:bookmarkStart w:id="272" w:name="_Toc47457707"/>
      <w:bookmarkStart w:id="273" w:name="_Toc47457708"/>
      <w:bookmarkStart w:id="274" w:name="_Toc47457709"/>
      <w:bookmarkStart w:id="275" w:name="_Toc47457710"/>
      <w:bookmarkStart w:id="276" w:name="_Toc47457711"/>
      <w:bookmarkStart w:id="277" w:name="_Toc47457712"/>
      <w:bookmarkStart w:id="278" w:name="_Toc47457713"/>
      <w:bookmarkStart w:id="279" w:name="_Toc47457714"/>
      <w:bookmarkStart w:id="280" w:name="_Toc47457715"/>
      <w:bookmarkStart w:id="281" w:name="_Toc47457716"/>
      <w:bookmarkStart w:id="282" w:name="_Toc47457717"/>
      <w:bookmarkStart w:id="283" w:name="_Toc47457718"/>
      <w:bookmarkStart w:id="284" w:name="_Toc47457719"/>
      <w:bookmarkStart w:id="285" w:name="_Toc47457720"/>
      <w:bookmarkStart w:id="286" w:name="_Toc47457721"/>
      <w:bookmarkStart w:id="287" w:name="_Toc47457722"/>
      <w:bookmarkStart w:id="288" w:name="_Toc47457723"/>
      <w:bookmarkStart w:id="289" w:name="_Toc47457760"/>
      <w:bookmarkStart w:id="290" w:name="_Toc47457761"/>
      <w:bookmarkStart w:id="291" w:name="_Toc47457762"/>
      <w:bookmarkStart w:id="292" w:name="_Toc47457763"/>
      <w:bookmarkStart w:id="293" w:name="_Toc47457764"/>
      <w:bookmarkStart w:id="294" w:name="_Toc47457765"/>
      <w:bookmarkStart w:id="295" w:name="_Toc47457766"/>
      <w:bookmarkStart w:id="296" w:name="_Toc47457767"/>
      <w:bookmarkStart w:id="297" w:name="_Toc47457768"/>
      <w:bookmarkStart w:id="298" w:name="_Toc47457769"/>
      <w:bookmarkStart w:id="299" w:name="_Toc47457770"/>
      <w:bookmarkStart w:id="300" w:name="_Toc47457771"/>
      <w:bookmarkStart w:id="301" w:name="_Toc47457772"/>
      <w:bookmarkStart w:id="302" w:name="_Toc47457773"/>
      <w:bookmarkStart w:id="303" w:name="_Toc47457774"/>
      <w:bookmarkStart w:id="304" w:name="_Toc47457775"/>
      <w:bookmarkStart w:id="305" w:name="_Toc47457776"/>
      <w:bookmarkStart w:id="306" w:name="_Toc47457777"/>
      <w:bookmarkStart w:id="307" w:name="_Toc47457778"/>
      <w:bookmarkStart w:id="308" w:name="_Toc47457779"/>
      <w:bookmarkStart w:id="309" w:name="_Toc47457780"/>
      <w:bookmarkStart w:id="310" w:name="_Toc47457781"/>
      <w:bookmarkStart w:id="311" w:name="_Toc47457782"/>
      <w:bookmarkStart w:id="312" w:name="_Toc47457783"/>
      <w:bookmarkStart w:id="313" w:name="_Toc47457784"/>
      <w:bookmarkStart w:id="314" w:name="_Toc47457785"/>
      <w:bookmarkStart w:id="315" w:name="_Toc47457786"/>
      <w:bookmarkStart w:id="316" w:name="_Toc47457787"/>
      <w:bookmarkStart w:id="317" w:name="_Toc47457788"/>
      <w:bookmarkStart w:id="318" w:name="_Toc47457789"/>
      <w:bookmarkStart w:id="319" w:name="_Toc47457790"/>
      <w:bookmarkStart w:id="320" w:name="_Toc47457791"/>
      <w:bookmarkStart w:id="321" w:name="_Toc47457792"/>
      <w:bookmarkStart w:id="322" w:name="_Toc47457793"/>
      <w:bookmarkStart w:id="323" w:name="_Toc47457794"/>
      <w:bookmarkStart w:id="324" w:name="_Toc47457795"/>
      <w:bookmarkStart w:id="325" w:name="_Toc47457796"/>
      <w:bookmarkStart w:id="326" w:name="_Toc47457797"/>
      <w:bookmarkStart w:id="327" w:name="_Toc47457798"/>
      <w:bookmarkStart w:id="328" w:name="_Toc47457799"/>
      <w:bookmarkStart w:id="329" w:name="_Toc47457800"/>
      <w:bookmarkStart w:id="330" w:name="_Toc47457801"/>
      <w:bookmarkStart w:id="331" w:name="_Toc47457802"/>
      <w:bookmarkStart w:id="332" w:name="_Toc47457803"/>
      <w:bookmarkStart w:id="333" w:name="_Toc47457804"/>
      <w:bookmarkStart w:id="334" w:name="_Toc47457805"/>
      <w:bookmarkStart w:id="335" w:name="_Toc47457806"/>
      <w:bookmarkStart w:id="336" w:name="_Toc47457807"/>
      <w:bookmarkStart w:id="337" w:name="_Toc47457808"/>
      <w:bookmarkStart w:id="338" w:name="_Toc47457809"/>
      <w:bookmarkStart w:id="339" w:name="_Toc47457810"/>
      <w:bookmarkStart w:id="340" w:name="_Toc47457811"/>
      <w:bookmarkStart w:id="341" w:name="_Toc47457812"/>
      <w:bookmarkStart w:id="342" w:name="_Toc47457813"/>
      <w:bookmarkStart w:id="343" w:name="_Toc47457814"/>
      <w:bookmarkStart w:id="344" w:name="_Toc47457815"/>
      <w:bookmarkStart w:id="345" w:name="_Toc47457816"/>
      <w:bookmarkStart w:id="346" w:name="_Toc47457817"/>
      <w:bookmarkStart w:id="347" w:name="_Toc47457818"/>
      <w:bookmarkStart w:id="348" w:name="_Toc47457819"/>
      <w:bookmarkStart w:id="349" w:name="_Toc47457820"/>
      <w:bookmarkStart w:id="350" w:name="_Toc47457821"/>
      <w:bookmarkStart w:id="351" w:name="_Toc47457822"/>
      <w:bookmarkStart w:id="352" w:name="_Toc47457823"/>
      <w:bookmarkStart w:id="353" w:name="_Toc47457824"/>
      <w:bookmarkStart w:id="354" w:name="_Toc47457825"/>
      <w:bookmarkStart w:id="355" w:name="_Toc47457826"/>
      <w:bookmarkStart w:id="356" w:name="_Toc47457827"/>
      <w:bookmarkStart w:id="357" w:name="_Toc47457828"/>
      <w:bookmarkStart w:id="358" w:name="_Toc47457829"/>
      <w:bookmarkStart w:id="359" w:name="_Toc47457830"/>
      <w:bookmarkStart w:id="360" w:name="_Toc47457831"/>
      <w:bookmarkStart w:id="361" w:name="_Toc47457832"/>
      <w:bookmarkStart w:id="362" w:name="_Toc47457833"/>
      <w:bookmarkStart w:id="363" w:name="_Toc47457834"/>
      <w:bookmarkStart w:id="364" w:name="_Toc47457835"/>
      <w:bookmarkStart w:id="365" w:name="_Toc47457836"/>
      <w:bookmarkStart w:id="366" w:name="_Toc47457837"/>
      <w:bookmarkStart w:id="367" w:name="_Toc47457838"/>
      <w:bookmarkStart w:id="368" w:name="_Toc47457839"/>
      <w:bookmarkStart w:id="369" w:name="_Toc47457840"/>
      <w:bookmarkStart w:id="370" w:name="_Toc47457841"/>
      <w:bookmarkStart w:id="371" w:name="_Toc47457842"/>
      <w:bookmarkStart w:id="372" w:name="_Toc47457843"/>
      <w:bookmarkStart w:id="373" w:name="_Toc47457844"/>
      <w:bookmarkStart w:id="374" w:name="_Toc47457845"/>
      <w:bookmarkStart w:id="375" w:name="_Toc47457846"/>
      <w:bookmarkStart w:id="376" w:name="_Toc47457847"/>
      <w:bookmarkStart w:id="377" w:name="_Toc47457848"/>
      <w:bookmarkStart w:id="378" w:name="_Toc47457849"/>
      <w:bookmarkStart w:id="379" w:name="_Toc47457850"/>
      <w:bookmarkStart w:id="380" w:name="_Toc47457851"/>
      <w:bookmarkStart w:id="381" w:name="_Toc47457852"/>
      <w:bookmarkStart w:id="382" w:name="_Toc47457853"/>
      <w:bookmarkStart w:id="383" w:name="_Toc47457854"/>
      <w:bookmarkStart w:id="384" w:name="_Toc68012594"/>
      <w:bookmarkStart w:id="385" w:name="_Toc9039186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eastAsia="Arial"/>
        </w:rPr>
        <w:lastRenderedPageBreak/>
        <w:t>References</w:t>
      </w:r>
      <w:bookmarkEnd w:id="384"/>
      <w:bookmarkEnd w:id="385"/>
    </w:p>
    <w:p w14:paraId="7B78138E" w14:textId="77777777" w:rsidR="00B17E6C" w:rsidRDefault="00B17E6C" w:rsidP="009938A8">
      <w:pPr>
        <w:pStyle w:val="References"/>
      </w:pPr>
      <w:r w:rsidRPr="003F6642">
        <w:rPr>
          <w:rFonts w:eastAsia="Arial"/>
        </w:rPr>
        <w:t>International Accreditation Forum</w:t>
      </w:r>
      <w:r>
        <w:rPr>
          <w:rFonts w:eastAsia="Arial"/>
        </w:rPr>
        <w:t xml:space="preserve">. 2009. </w:t>
      </w:r>
      <w:r w:rsidRPr="00C54191">
        <w:rPr>
          <w:rFonts w:eastAsia="Arial"/>
          <w:i/>
        </w:rPr>
        <w:t xml:space="preserve">Mandatory Document for Duration of </w:t>
      </w:r>
      <w:r>
        <w:rPr>
          <w:rFonts w:eastAsia="Arial"/>
          <w:i/>
        </w:rPr>
        <w:t>QMS</w:t>
      </w:r>
      <w:r w:rsidRPr="00C54191">
        <w:rPr>
          <w:rFonts w:eastAsia="Arial"/>
          <w:i/>
        </w:rPr>
        <w:t xml:space="preserve"> and E</w:t>
      </w:r>
      <w:r>
        <w:rPr>
          <w:rFonts w:eastAsia="Arial"/>
          <w:i/>
        </w:rPr>
        <w:t>MS</w:t>
      </w:r>
      <w:r w:rsidRPr="00C54191">
        <w:rPr>
          <w:rFonts w:eastAsia="Arial"/>
          <w:i/>
        </w:rPr>
        <w:t xml:space="preserve"> Audits</w:t>
      </w:r>
      <w:r>
        <w:rPr>
          <w:rFonts w:eastAsia="Arial"/>
          <w:i/>
        </w:rPr>
        <w:t>.</w:t>
      </w:r>
      <w:r w:rsidRPr="003F6642">
        <w:rPr>
          <w:rFonts w:eastAsia="Arial"/>
        </w:rPr>
        <w:t xml:space="preserve"> </w:t>
      </w:r>
      <w:r w:rsidRPr="003F6642">
        <w:t>IAF MD5</w:t>
      </w:r>
      <w:r>
        <w:t xml:space="preserve">. </w:t>
      </w:r>
      <w:r w:rsidRPr="003F6642">
        <w:rPr>
          <w:rFonts w:eastAsia="Arial"/>
        </w:rPr>
        <w:t>International Accreditation Forum</w:t>
      </w:r>
      <w:r>
        <w:rPr>
          <w:rFonts w:eastAsia="Arial"/>
        </w:rPr>
        <w:t>.</w:t>
      </w:r>
    </w:p>
    <w:p w14:paraId="7B78138F" w14:textId="77777777" w:rsidR="00B17E6C" w:rsidRDefault="00B17E6C" w:rsidP="009938A8">
      <w:pPr>
        <w:pStyle w:val="References"/>
      </w:pPr>
      <w:r w:rsidRPr="00134EE4">
        <w:t xml:space="preserve">Ministry of Health. 2019. </w:t>
      </w:r>
      <w:r w:rsidRPr="00134EE4">
        <w:rPr>
          <w:i/>
        </w:rPr>
        <w:t xml:space="preserve">Designated Auditing Agency Handbook: </w:t>
      </w:r>
      <w:r w:rsidRPr="00FB0D98">
        <w:rPr>
          <w:i/>
        </w:rPr>
        <w:t>Ministry of Health Auditor Handbook (revised 2019)</w:t>
      </w:r>
      <w:r>
        <w:t xml:space="preserve">. </w:t>
      </w:r>
      <w:r w:rsidRPr="00134EE4">
        <w:t>Wellington: Ministry of Health.</w:t>
      </w:r>
    </w:p>
    <w:p w14:paraId="7B781390" w14:textId="77777777" w:rsidR="00B17E6C" w:rsidRDefault="00B17E6C" w:rsidP="009938A8"/>
    <w:p w14:paraId="7B781391" w14:textId="77777777" w:rsidR="00B702AF" w:rsidRDefault="00B702AF" w:rsidP="008A117C">
      <w:pPr>
        <w:pStyle w:val="Sectionheading"/>
        <w:sectPr w:rsidR="00B702AF" w:rsidSect="00072FB2">
          <w:footerReference w:type="even" r:id="rId28"/>
          <w:pgSz w:w="11907" w:h="16834" w:code="9"/>
          <w:pgMar w:top="1418" w:right="1701" w:bottom="1134" w:left="1843" w:header="284" w:footer="425" w:gutter="284"/>
          <w:cols w:space="720"/>
          <w:docGrid w:linePitch="286"/>
        </w:sectPr>
      </w:pPr>
      <w:bookmarkStart w:id="386" w:name="_Toc49255593"/>
      <w:bookmarkStart w:id="387" w:name="_Toc68012595"/>
      <w:bookmarkStart w:id="388" w:name="_Ref71174916"/>
      <w:bookmarkStart w:id="389" w:name="_Toc371769465"/>
      <w:bookmarkStart w:id="390" w:name="_Toc414889648"/>
      <w:bookmarkStart w:id="391" w:name="_Toc485385924"/>
      <w:bookmarkStart w:id="392" w:name="_Toc371769493"/>
      <w:bookmarkStart w:id="393" w:name="_Toc414889687"/>
      <w:bookmarkStart w:id="394" w:name="_Toc485385970"/>
    </w:p>
    <w:p w14:paraId="7B781392" w14:textId="77777777" w:rsidR="00B702AF" w:rsidRDefault="008A117C" w:rsidP="00E21ACB">
      <w:pPr>
        <w:pStyle w:val="Sectionheading"/>
      </w:pPr>
      <w:bookmarkStart w:id="395" w:name="_Toc90391866"/>
      <w:r>
        <w:lastRenderedPageBreak/>
        <w:t>Appendice</w:t>
      </w:r>
      <w:r w:rsidR="00E21ACB">
        <w:t>s</w:t>
      </w:r>
      <w:bookmarkEnd w:id="395"/>
    </w:p>
    <w:p w14:paraId="7B781393" w14:textId="77777777" w:rsidR="00E21ACB" w:rsidRDefault="00E21ACB" w:rsidP="00E21ACB"/>
    <w:p w14:paraId="7B781394" w14:textId="77777777" w:rsidR="005117ED" w:rsidRDefault="005117ED" w:rsidP="00E21ACB">
      <w:pPr>
        <w:sectPr w:rsidR="005117ED" w:rsidSect="005117ED">
          <w:footerReference w:type="default" r:id="rId29"/>
          <w:pgSz w:w="11907" w:h="16834" w:code="9"/>
          <w:pgMar w:top="1418" w:right="1701" w:bottom="1134" w:left="1843" w:header="284" w:footer="425" w:gutter="284"/>
          <w:cols w:space="720"/>
          <w:vAlign w:val="center"/>
          <w:docGrid w:linePitch="286"/>
        </w:sectPr>
      </w:pPr>
    </w:p>
    <w:p w14:paraId="7B781395" w14:textId="77777777" w:rsidR="005117ED" w:rsidRPr="00B702AF" w:rsidRDefault="005117ED" w:rsidP="00E21ACB"/>
    <w:p w14:paraId="7B781396" w14:textId="77777777" w:rsidR="00EE42D3" w:rsidRDefault="00EE42D3" w:rsidP="00833E69">
      <w:pPr>
        <w:pStyle w:val="Heading1-appendices"/>
        <w:sectPr w:rsidR="00EE42D3" w:rsidSect="00072FB2">
          <w:footerReference w:type="even" r:id="rId30"/>
          <w:pgSz w:w="11907" w:h="16834" w:code="9"/>
          <w:pgMar w:top="1418" w:right="1701" w:bottom="1134" w:left="1843" w:header="284" w:footer="425" w:gutter="284"/>
          <w:cols w:space="720"/>
          <w:docGrid w:linePitch="286"/>
        </w:sectPr>
      </w:pPr>
    </w:p>
    <w:p w14:paraId="7B781397" w14:textId="77777777" w:rsidR="00B17E6C" w:rsidRPr="004614EF" w:rsidRDefault="00B17E6C" w:rsidP="00833E69">
      <w:pPr>
        <w:pStyle w:val="Heading1-appendices"/>
      </w:pPr>
      <w:bookmarkStart w:id="396" w:name="_Ref71180549"/>
      <w:bookmarkStart w:id="397" w:name="_Toc90391867"/>
      <w:r w:rsidRPr="004614EF">
        <w:lastRenderedPageBreak/>
        <w:t xml:space="preserve">: </w:t>
      </w:r>
      <w:bookmarkEnd w:id="386"/>
      <w:r w:rsidRPr="004614EF">
        <w:t xml:space="preserve">NSU </w:t>
      </w:r>
      <w:r>
        <w:t>m</w:t>
      </w:r>
      <w:r w:rsidRPr="004614EF">
        <w:t>onitoring and evaluation framework</w:t>
      </w:r>
      <w:bookmarkEnd w:id="387"/>
      <w:bookmarkEnd w:id="388"/>
      <w:bookmarkEnd w:id="396"/>
      <w:bookmarkEnd w:id="397"/>
    </w:p>
    <w:p w14:paraId="7B781398" w14:textId="77777777" w:rsidR="00B17E6C" w:rsidRDefault="00B17E6C" w:rsidP="00A466BA">
      <w:r w:rsidRPr="0042023D">
        <w:rPr>
          <w:noProof/>
          <w:lang w:eastAsia="en-NZ"/>
        </w:rPr>
        <mc:AlternateContent>
          <mc:Choice Requires="wps">
            <w:drawing>
              <wp:anchor distT="0" distB="0" distL="114300" distR="114300" simplePos="0" relativeHeight="251659264" behindDoc="0" locked="0" layoutInCell="1" allowOverlap="1" wp14:anchorId="7B7813BD" wp14:editId="7B710D76">
                <wp:simplePos x="0" y="0"/>
                <wp:positionH relativeFrom="column">
                  <wp:posOffset>4451985</wp:posOffset>
                </wp:positionH>
                <wp:positionV relativeFrom="paragraph">
                  <wp:posOffset>3632143</wp:posOffset>
                </wp:positionV>
                <wp:extent cx="1285875" cy="457200"/>
                <wp:effectExtent l="19050" t="19050" r="28575" b="19050"/>
                <wp:wrapNone/>
                <wp:docPr id="8"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85875" cy="45720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2A2C0" id="Oval 8" o:spid="_x0000_s1026" alt="&quot;&quot;" style="position:absolute;margin-left:350.55pt;margin-top:286pt;width:10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" filled="f" strokecolor="#c00000" strokeweight="3pt"/>
            </w:pict>
          </mc:Fallback>
        </mc:AlternateContent>
      </w:r>
      <w:r>
        <w:rPr>
          <w:noProof/>
          <w:lang w:eastAsia="en-NZ"/>
        </w:rPr>
        <w:drawing>
          <wp:inline distT="0" distB="0" distL="0" distR="0" wp14:anchorId="7B7813BF" wp14:editId="3B1E642D">
            <wp:extent cx="8835438" cy="4281055"/>
            <wp:effectExtent l="0" t="0" r="3810" b="571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31">
                      <a:extLst>
                        <a:ext uri="{28A0092B-C50C-407E-A947-70E740481C1C}">
                          <a14:useLocalDpi xmlns:a14="http://schemas.microsoft.com/office/drawing/2010/main" val="0"/>
                        </a:ext>
                      </a:extLst>
                    </a:blip>
                    <a:srcRect t="2206" b="3125"/>
                    <a:stretch/>
                  </pic:blipFill>
                  <pic:spPr bwMode="auto">
                    <a:xfrm>
                      <a:off x="0" y="0"/>
                      <a:ext cx="8839835" cy="4283186"/>
                    </a:xfrm>
                    <a:prstGeom prst="rect">
                      <a:avLst/>
                    </a:prstGeom>
                    <a:noFill/>
                    <a:ln>
                      <a:noFill/>
                    </a:ln>
                    <a:extLst>
                      <a:ext uri="{53640926-AAD7-44D8-BBD7-CCE9431645EC}">
                        <a14:shadowObscured xmlns:a14="http://schemas.microsoft.com/office/drawing/2010/main"/>
                      </a:ext>
                    </a:extLst>
                  </pic:spPr>
                </pic:pic>
              </a:graphicData>
            </a:graphic>
          </wp:inline>
        </w:drawing>
      </w:r>
    </w:p>
    <w:p w14:paraId="7B781399" w14:textId="77777777" w:rsidR="00B17E6C" w:rsidRDefault="00B17E6C" w:rsidP="00A466BA">
      <w:pPr>
        <w:pStyle w:val="Note"/>
      </w:pPr>
      <w:r>
        <w:t>Note: BSA = BreastScreen Aotearoa; DHBs = district health boards; KPIs = key performance indicators.</w:t>
      </w:r>
    </w:p>
    <w:p w14:paraId="7B78139A" w14:textId="77777777" w:rsidR="00B17E6C" w:rsidRPr="004614EF" w:rsidRDefault="00B17E6C" w:rsidP="00833E69">
      <w:pPr>
        <w:pStyle w:val="Heading1-appendices"/>
      </w:pPr>
      <w:bookmarkStart w:id="398" w:name="_Toc68012596"/>
      <w:bookmarkStart w:id="399" w:name="_Ref71174929"/>
      <w:bookmarkStart w:id="400" w:name="_Hlk55815262"/>
      <w:bookmarkStart w:id="401" w:name="_Toc90391868"/>
      <w:r w:rsidRPr="004614EF">
        <w:lastRenderedPageBreak/>
        <w:t>: NSU generic audit process</w:t>
      </w:r>
      <w:bookmarkEnd w:id="398"/>
      <w:bookmarkEnd w:id="399"/>
      <w:bookmarkEnd w:id="401"/>
    </w:p>
    <w:bookmarkEnd w:id="389"/>
    <w:bookmarkEnd w:id="390"/>
    <w:bookmarkEnd w:id="391"/>
    <w:bookmarkEnd w:id="392"/>
    <w:bookmarkEnd w:id="393"/>
    <w:bookmarkEnd w:id="394"/>
    <w:bookmarkEnd w:id="400"/>
    <w:p w14:paraId="7B78139B" w14:textId="77777777" w:rsidR="00B17E6C" w:rsidRDefault="00B17E6C" w:rsidP="00A466BA">
      <w:r w:rsidRPr="00D61777">
        <w:rPr>
          <w:noProof/>
          <w:lang w:eastAsia="en-NZ"/>
        </w:rPr>
        <w:drawing>
          <wp:inline distT="0" distB="0" distL="0" distR="0" wp14:anchorId="7B7813C1" wp14:editId="6CDDD8DF">
            <wp:extent cx="8454044" cy="4868022"/>
            <wp:effectExtent l="0" t="0" r="4445" b="8890"/>
            <wp:docPr id="4" name="Picture 4" descr="NSU generic audit cycle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U generic audit cycle process flo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96464" cy="4892448"/>
                    </a:xfrm>
                    <a:prstGeom prst="rect">
                      <a:avLst/>
                    </a:prstGeom>
                    <a:noFill/>
                    <a:ln>
                      <a:noFill/>
                    </a:ln>
                  </pic:spPr>
                </pic:pic>
              </a:graphicData>
            </a:graphic>
          </wp:inline>
        </w:drawing>
      </w:r>
    </w:p>
    <w:p w14:paraId="7B78139C" w14:textId="77777777" w:rsidR="00A466BA" w:rsidRPr="00A466BA" w:rsidRDefault="00B17E6C" w:rsidP="00A466BA">
      <w:pPr>
        <w:pStyle w:val="Note"/>
      </w:pPr>
      <w:r>
        <w:t>Note: CAR = corrective action request.</w:t>
      </w:r>
    </w:p>
    <w:p w14:paraId="7B78139D" w14:textId="77777777" w:rsidR="00EE42D3" w:rsidRDefault="00EE42D3" w:rsidP="00833E69">
      <w:pPr>
        <w:pStyle w:val="Heading1-appendices"/>
        <w:sectPr w:rsidR="00EE42D3" w:rsidSect="00EE42D3">
          <w:footerReference w:type="even" r:id="rId33"/>
          <w:footerReference w:type="default" r:id="rId34"/>
          <w:pgSz w:w="16834" w:h="11907" w:orient="landscape" w:code="9"/>
          <w:pgMar w:top="1134" w:right="1134" w:bottom="1134" w:left="1134" w:header="284" w:footer="425" w:gutter="0"/>
          <w:cols w:space="720"/>
          <w:docGrid w:linePitch="286"/>
        </w:sectPr>
      </w:pPr>
      <w:bookmarkStart w:id="402" w:name="_Toc68012597"/>
      <w:bookmarkStart w:id="403" w:name="_Ref71174950"/>
    </w:p>
    <w:p w14:paraId="7B78139E" w14:textId="77777777" w:rsidR="00B17E6C" w:rsidRPr="00FC56F3" w:rsidRDefault="00B17E6C" w:rsidP="00833E69">
      <w:pPr>
        <w:pStyle w:val="Heading1-appendices"/>
      </w:pPr>
      <w:bookmarkStart w:id="404" w:name="_Toc90391869"/>
      <w:r w:rsidRPr="00FC56F3">
        <w:lastRenderedPageBreak/>
        <w:t>: Readiness audit – the interview with the prospective provider</w:t>
      </w:r>
      <w:bookmarkEnd w:id="402"/>
      <w:bookmarkEnd w:id="403"/>
      <w:bookmarkEnd w:id="404"/>
    </w:p>
    <w:p w14:paraId="7B78139F" w14:textId="77777777" w:rsidR="00B17E6C" w:rsidRPr="005016A7" w:rsidRDefault="00B17E6C" w:rsidP="009938A8">
      <w:r w:rsidRPr="005016A7">
        <w:t>Whenever a screening service changes ownership, auditors undertake a</w:t>
      </w:r>
      <w:r>
        <w:t xml:space="preserve"> readiness</w:t>
      </w:r>
      <w:r w:rsidRPr="005016A7">
        <w:t xml:space="preserve"> audit. Through this process</w:t>
      </w:r>
      <w:r>
        <w:t>,</w:t>
      </w:r>
      <w:r w:rsidRPr="005016A7">
        <w:t xml:space="preserve"> they establish:</w:t>
      </w:r>
    </w:p>
    <w:p w14:paraId="7B7813A0" w14:textId="77777777" w:rsidR="00B17E6C" w:rsidRPr="005016A7" w:rsidRDefault="00B17E6C" w:rsidP="009938A8">
      <w:pPr>
        <w:pStyle w:val="Bullet"/>
      </w:pPr>
      <w:r>
        <w:t>h</w:t>
      </w:r>
      <w:r w:rsidRPr="005016A7">
        <w:t>ow</w:t>
      </w:r>
      <w:r w:rsidRPr="005016A7" w:rsidDel="00522E88">
        <w:t xml:space="preserve"> </w:t>
      </w:r>
      <w:r w:rsidRPr="005016A7">
        <w:t>well the prospective provider is</w:t>
      </w:r>
      <w:r w:rsidRPr="00FE4068">
        <w:t xml:space="preserve"> </w:t>
      </w:r>
      <w:r w:rsidRPr="005016A7">
        <w:t>prepared to provide a screening service</w:t>
      </w:r>
    </w:p>
    <w:p w14:paraId="7B7813A1" w14:textId="77777777" w:rsidR="00B17E6C" w:rsidRPr="005016A7" w:rsidRDefault="00B17E6C" w:rsidP="009938A8">
      <w:pPr>
        <w:pStyle w:val="Bullet"/>
      </w:pPr>
      <w:r>
        <w:t>that t</w:t>
      </w:r>
      <w:r w:rsidRPr="005016A7">
        <w:t xml:space="preserve">he prospective provider understands the </w:t>
      </w:r>
      <w:r>
        <w:t>screening service s</w:t>
      </w:r>
      <w:r w:rsidRPr="005016A7">
        <w:t>tandards</w:t>
      </w:r>
    </w:p>
    <w:p w14:paraId="7B7813A2" w14:textId="77777777" w:rsidR="00B17E6C" w:rsidRPr="009D27C1" w:rsidRDefault="00B17E6C" w:rsidP="009938A8">
      <w:pPr>
        <w:pStyle w:val="Bullet"/>
      </w:pPr>
      <w:r>
        <w:t>t</w:t>
      </w:r>
      <w:r w:rsidRPr="005016A7">
        <w:t>he extent to which the existing provider conformed to requirements before the service changed ownership.</w:t>
      </w:r>
    </w:p>
    <w:p w14:paraId="7B7813A3" w14:textId="77777777" w:rsidR="00B17E6C" w:rsidRPr="005016A7" w:rsidRDefault="00B17E6C" w:rsidP="009938A8"/>
    <w:p w14:paraId="7B7813A4" w14:textId="77777777" w:rsidR="00E33EDB" w:rsidRDefault="00B17E6C" w:rsidP="009938A8">
      <w:r w:rsidRPr="005016A7">
        <w:t xml:space="preserve">A necessary part of this process is to interview the prospective provider (or contact person). </w:t>
      </w:r>
      <w:r>
        <w:t>It is preferable this</w:t>
      </w:r>
      <w:r w:rsidRPr="005016A7">
        <w:t xml:space="preserve"> person is </w:t>
      </w:r>
      <w:r>
        <w:t>available for the on-site audit; if they are not, the</w:t>
      </w:r>
      <w:r w:rsidRPr="005016A7">
        <w:t>n an off-site interview is acceptable.</w:t>
      </w:r>
    </w:p>
    <w:p w14:paraId="7B7813A5" w14:textId="77777777" w:rsidR="00B17E6C" w:rsidRDefault="00B17E6C" w:rsidP="009938A8"/>
    <w:p w14:paraId="7B7813A6" w14:textId="77777777" w:rsidR="00B17E6C" w:rsidRPr="005016A7" w:rsidRDefault="00B17E6C" w:rsidP="009938A8">
      <w:r w:rsidRPr="005016A7">
        <w:t>During the interview, the auditor will determine whether the prospective provider meets all the following criteria</w:t>
      </w:r>
      <w:r>
        <w:t>.</w:t>
      </w:r>
    </w:p>
    <w:p w14:paraId="7B7813A7" w14:textId="77777777" w:rsidR="00B17E6C" w:rsidRPr="009D27C1" w:rsidRDefault="00B17E6C" w:rsidP="000B5D1A">
      <w:pPr>
        <w:pStyle w:val="Bullet"/>
        <w:spacing w:before="120"/>
      </w:pPr>
      <w:r w:rsidRPr="009D27C1">
        <w:t xml:space="preserve">The prospective provider knows and understands the consumer rights that it must </w:t>
      </w:r>
      <w:r>
        <w:t>uphold.</w:t>
      </w:r>
    </w:p>
    <w:p w14:paraId="7B7813A8" w14:textId="77777777" w:rsidR="00E33EDB" w:rsidRDefault="00B17E6C" w:rsidP="000B5D1A">
      <w:pPr>
        <w:pStyle w:val="Bullet"/>
        <w:spacing w:before="120"/>
      </w:pPr>
      <w:r w:rsidRPr="009D27C1">
        <w:t>The prospective provider has an established organisational structure (governance and management) and a predetermined lead-in time.</w:t>
      </w:r>
    </w:p>
    <w:p w14:paraId="7B7813A9" w14:textId="77777777" w:rsidR="00B17E6C" w:rsidRPr="009D27C1" w:rsidRDefault="00B17E6C" w:rsidP="000B5D1A">
      <w:pPr>
        <w:pStyle w:val="Bullet"/>
        <w:spacing w:before="120"/>
      </w:pPr>
      <w:r>
        <w:t xml:space="preserve">The prospective provider </w:t>
      </w:r>
      <w:r w:rsidRPr="009D27C1">
        <w:t xml:space="preserve">has identified any changes to key personnel (involving governance, organisational and financial management, clinical </w:t>
      </w:r>
      <w:proofErr w:type="gramStart"/>
      <w:r w:rsidRPr="009D27C1">
        <w:t>management</w:t>
      </w:r>
      <w:proofErr w:type="gramEnd"/>
      <w:r w:rsidRPr="009D27C1">
        <w:t xml:space="preserve"> and team leader level</w:t>
      </w:r>
      <w:r>
        <w:t>s</w:t>
      </w:r>
      <w:r w:rsidRPr="009D27C1">
        <w:t xml:space="preserve">) that will occur after taking ownership of the service and has confirmed management and </w:t>
      </w:r>
      <w:r>
        <w:t>workforce full-time equivalent (</w:t>
      </w:r>
      <w:r w:rsidRPr="009D27C1">
        <w:t>FTE)</w:t>
      </w:r>
      <w:r>
        <w:t xml:space="preserve"> at the time the service begins.</w:t>
      </w:r>
    </w:p>
    <w:p w14:paraId="7B7813AA" w14:textId="77777777" w:rsidR="00B17E6C" w:rsidRPr="009D27C1" w:rsidRDefault="00B17E6C" w:rsidP="000B5D1A">
      <w:pPr>
        <w:pStyle w:val="Bullet"/>
        <w:spacing w:before="120"/>
      </w:pPr>
      <w:r w:rsidRPr="009D27C1">
        <w:t xml:space="preserve">The prospective provider has developed a transition plan with timelines, if required, allowing </w:t>
      </w:r>
      <w:r>
        <w:t xml:space="preserve">a </w:t>
      </w:r>
      <w:r w:rsidRPr="009D27C1">
        <w:t>timeframe for implementation.</w:t>
      </w:r>
    </w:p>
    <w:p w14:paraId="7B7813AB" w14:textId="77777777" w:rsidR="00B17E6C" w:rsidRPr="009D27C1" w:rsidRDefault="00B17E6C" w:rsidP="000B5D1A">
      <w:pPr>
        <w:pStyle w:val="Bullet"/>
        <w:spacing w:before="120"/>
      </w:pPr>
      <w:r w:rsidRPr="009D27C1">
        <w:t>Where it is planning changes within the service that may affect the service</w:t>
      </w:r>
      <w:r w:rsidR="00E33EDB">
        <w:t>’</w:t>
      </w:r>
      <w:r w:rsidRPr="009D27C1">
        <w:t xml:space="preserve">s capacity to meet the requirements of the </w:t>
      </w:r>
      <w:r>
        <w:t>screening standards and h</w:t>
      </w:r>
      <w:r w:rsidRPr="009D27C1">
        <w:t xml:space="preserve">ealth and </w:t>
      </w:r>
      <w:r>
        <w:t>d</w:t>
      </w:r>
      <w:r w:rsidRPr="009D27C1">
        <w:t xml:space="preserve">isability </w:t>
      </w:r>
      <w:r>
        <w:t>s</w:t>
      </w:r>
      <w:r w:rsidRPr="009D27C1">
        <w:t xml:space="preserve">ervices </w:t>
      </w:r>
      <w:r>
        <w:t>s</w:t>
      </w:r>
      <w:r w:rsidRPr="009D27C1">
        <w:t>tandards, the prospective provider is aware of the issues and taking steps to ensure it will continue to meet those requirements.</w:t>
      </w:r>
    </w:p>
    <w:p w14:paraId="7B7813AC" w14:textId="77777777" w:rsidR="00B17E6C" w:rsidRPr="009D27C1" w:rsidRDefault="00B17E6C" w:rsidP="000B5D1A">
      <w:pPr>
        <w:pStyle w:val="Bullet"/>
        <w:spacing w:before="120"/>
      </w:pPr>
      <w:r w:rsidRPr="009D27C1">
        <w:t>Any plans for environmental changes to the service comply with legal requirements</w:t>
      </w:r>
      <w:r>
        <w:t>.</w:t>
      </w:r>
    </w:p>
    <w:p w14:paraId="7B7813AD" w14:textId="77777777" w:rsidR="00B17E6C" w:rsidRPr="009D27C1" w:rsidRDefault="00B17E6C" w:rsidP="000B5D1A">
      <w:pPr>
        <w:pStyle w:val="Bullet"/>
        <w:spacing w:before="120"/>
      </w:pPr>
      <w:r w:rsidRPr="009D27C1">
        <w:t xml:space="preserve">There are no legislative compliance issues (for example, concerning health and safety, </w:t>
      </w:r>
      <w:proofErr w:type="gramStart"/>
      <w:r w:rsidRPr="009D27C1">
        <w:t>employment</w:t>
      </w:r>
      <w:proofErr w:type="gramEnd"/>
      <w:r>
        <w:t xml:space="preserve"> or the</w:t>
      </w:r>
      <w:r w:rsidRPr="009D27C1">
        <w:t xml:space="preserve"> local body) that could affect the service</w:t>
      </w:r>
      <w:r>
        <w:t>.</w:t>
      </w:r>
    </w:p>
    <w:p w14:paraId="7B7813AE" w14:textId="77777777" w:rsidR="00B17E6C" w:rsidRPr="009D27C1" w:rsidRDefault="00B17E6C" w:rsidP="000B5D1A">
      <w:pPr>
        <w:pStyle w:val="Bullet"/>
        <w:spacing w:before="120"/>
      </w:pPr>
      <w:r w:rsidRPr="009D27C1">
        <w:t xml:space="preserve">The prospective provider will produce an annual quality plan and has established quality management systems including schedules for internal audit, </w:t>
      </w:r>
      <w:proofErr w:type="gramStart"/>
      <w:r w:rsidRPr="009D27C1">
        <w:t>changes</w:t>
      </w:r>
      <w:proofErr w:type="gramEnd"/>
      <w:r w:rsidRPr="009D27C1">
        <w:t xml:space="preserve"> and continuity</w:t>
      </w:r>
      <w:r>
        <w:t>.</w:t>
      </w:r>
    </w:p>
    <w:p w14:paraId="7B7813AF" w14:textId="77777777" w:rsidR="00B17E6C" w:rsidRPr="009D27C1" w:rsidRDefault="00B17E6C" w:rsidP="000B5D1A">
      <w:pPr>
        <w:pStyle w:val="Bullet"/>
        <w:spacing w:before="120"/>
      </w:pPr>
      <w:r w:rsidRPr="009D27C1">
        <w:lastRenderedPageBreak/>
        <w:t xml:space="preserve">The prospective provider has a policy </w:t>
      </w:r>
      <w:r>
        <w:t>on</w:t>
      </w:r>
      <w:r w:rsidRPr="009D27C1">
        <w:t xml:space="preserve"> staff skill mix, including contractual obligations and acuity of consumers within the service</w:t>
      </w:r>
      <w:r>
        <w:t>.</w:t>
      </w:r>
    </w:p>
    <w:p w14:paraId="7B7813B0" w14:textId="77777777" w:rsidR="00B17E6C" w:rsidRPr="009D27C1" w:rsidRDefault="00B17E6C" w:rsidP="000B5D1A">
      <w:pPr>
        <w:pStyle w:val="Bullet"/>
        <w:spacing w:before="120"/>
      </w:pPr>
      <w:r w:rsidRPr="009D27C1">
        <w:t>The prospective provider has established plans for service management, such as determining who will cover when rostered staff are absent and managing staff changes</w:t>
      </w:r>
      <w:r>
        <w:t>.</w:t>
      </w:r>
    </w:p>
    <w:p w14:paraId="7B7813B1" w14:textId="77777777" w:rsidR="00B17E6C" w:rsidRPr="005016A7" w:rsidRDefault="00B17E6C" w:rsidP="000B5D1A">
      <w:pPr>
        <w:pStyle w:val="Bullet"/>
        <w:spacing w:before="120"/>
      </w:pPr>
      <w:r w:rsidRPr="005016A7">
        <w:t xml:space="preserve">Where it is changing existing operational (management and clinical) policies or procedures, the prospective provider has ensured the changes will meet the requirements of the programme </w:t>
      </w:r>
      <w:r>
        <w:t>s</w:t>
      </w:r>
      <w:r w:rsidRPr="005016A7">
        <w:t>tandards</w:t>
      </w:r>
      <w:r>
        <w:t>.</w:t>
      </w:r>
    </w:p>
    <w:p w14:paraId="7B7813B2" w14:textId="77777777" w:rsidR="00B17E6C" w:rsidRPr="005016A7" w:rsidRDefault="00B17E6C" w:rsidP="009938A8"/>
    <w:p w14:paraId="7B7813B3" w14:textId="77777777" w:rsidR="00B17E6C" w:rsidRDefault="00B17E6C" w:rsidP="009938A8">
      <w:r w:rsidRPr="005016A7">
        <w:t xml:space="preserve">The </w:t>
      </w:r>
      <w:r>
        <w:t xml:space="preserve">readiness </w:t>
      </w:r>
      <w:r w:rsidRPr="005016A7">
        <w:t>audit report must include evidence of the prospective provider</w:t>
      </w:r>
      <w:r w:rsidR="00E33EDB">
        <w:t>’</w:t>
      </w:r>
      <w:r w:rsidRPr="005016A7">
        <w:t>s preparedness against each of the above criteria.</w:t>
      </w:r>
    </w:p>
    <w:p w14:paraId="7B7813B4" w14:textId="77777777" w:rsidR="009938A8" w:rsidRPr="00CB252E" w:rsidRDefault="009938A8" w:rsidP="009938A8"/>
    <w:p w14:paraId="7B7813B5" w14:textId="77777777" w:rsidR="00EE42D3" w:rsidRDefault="00EE42D3" w:rsidP="00833E69">
      <w:pPr>
        <w:pStyle w:val="Heading1-appendices"/>
        <w:sectPr w:rsidR="00EE42D3" w:rsidSect="00EE42D3">
          <w:footerReference w:type="default" r:id="rId35"/>
          <w:pgSz w:w="11907" w:h="16834" w:code="9"/>
          <w:pgMar w:top="1418" w:right="1701" w:bottom="1134" w:left="1843" w:header="284" w:footer="425" w:gutter="284"/>
          <w:cols w:space="720"/>
          <w:docGrid w:linePitch="286"/>
        </w:sectPr>
      </w:pPr>
      <w:bookmarkStart w:id="405" w:name="_Toc68012598"/>
      <w:bookmarkStart w:id="406" w:name="_Ref71174939"/>
    </w:p>
    <w:p w14:paraId="7B7813B6" w14:textId="77777777" w:rsidR="00B17E6C" w:rsidRPr="00FC56F3" w:rsidRDefault="00B17E6C" w:rsidP="000B5D1A">
      <w:pPr>
        <w:pStyle w:val="Heading1-appendices"/>
        <w:spacing w:after="240"/>
      </w:pPr>
      <w:bookmarkStart w:id="407" w:name="_Toc90391870"/>
      <w:r w:rsidRPr="00FC56F3">
        <w:lastRenderedPageBreak/>
        <w:t xml:space="preserve">: NSU </w:t>
      </w:r>
      <w:r>
        <w:t>c</w:t>
      </w:r>
      <w:r w:rsidRPr="00FC56F3">
        <w:t xml:space="preserve">orrective </w:t>
      </w:r>
      <w:r>
        <w:t>a</w:t>
      </w:r>
      <w:r w:rsidRPr="00FC56F3">
        <w:t xml:space="preserve">ction </w:t>
      </w:r>
      <w:r>
        <w:t>r</w:t>
      </w:r>
      <w:r w:rsidRPr="00FC56F3">
        <w:t xml:space="preserve">equest </w:t>
      </w:r>
      <w:r>
        <w:t>p</w:t>
      </w:r>
      <w:r w:rsidRPr="00FC56F3">
        <w:t>rocess</w:t>
      </w:r>
      <w:bookmarkEnd w:id="405"/>
      <w:bookmarkEnd w:id="406"/>
      <w:bookmarkEnd w:id="407"/>
    </w:p>
    <w:p w14:paraId="7B7813B7" w14:textId="77777777" w:rsidR="00B17E6C" w:rsidRDefault="00B17E6C" w:rsidP="000B5D1A">
      <w:r w:rsidRPr="00F17E03">
        <w:rPr>
          <w:noProof/>
          <w:lang w:eastAsia="en-NZ"/>
        </w:rPr>
        <w:drawing>
          <wp:inline distT="0" distB="0" distL="0" distR="0" wp14:anchorId="7B7813C3" wp14:editId="0FEB6065">
            <wp:extent cx="7257011" cy="4475308"/>
            <wp:effectExtent l="0" t="0" r="1270" b="1905"/>
            <wp:docPr id="1" name="Picture 1" descr="NSU audit report CAR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U audit report CAR proces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05523" cy="4505225"/>
                    </a:xfrm>
                    <a:prstGeom prst="rect">
                      <a:avLst/>
                    </a:prstGeom>
                    <a:noFill/>
                    <a:ln>
                      <a:noFill/>
                    </a:ln>
                  </pic:spPr>
                </pic:pic>
              </a:graphicData>
            </a:graphic>
          </wp:inline>
        </w:drawing>
      </w:r>
    </w:p>
    <w:p w14:paraId="7B7813B8" w14:textId="77777777" w:rsidR="000B5D1A" w:rsidRPr="000B5D1A" w:rsidRDefault="00B17E6C" w:rsidP="000B5D1A">
      <w:pPr>
        <w:pStyle w:val="Note"/>
      </w:pPr>
      <w:r>
        <w:t>Note: CAP = corrective action plan;</w:t>
      </w:r>
      <w:r w:rsidRPr="00AB3A8C">
        <w:t xml:space="preserve"> </w:t>
      </w:r>
      <w:r>
        <w:t>CAR = corrective action request.</w:t>
      </w:r>
    </w:p>
    <w:sectPr w:rsidR="000B5D1A" w:rsidRPr="000B5D1A" w:rsidSect="00EE42D3">
      <w:footerReference w:type="default" r:id="rId37"/>
      <w:pgSz w:w="16834" w:h="11907" w:orient="landscape" w:code="9"/>
      <w:pgMar w:top="1134" w:right="1134" w:bottom="1134" w:left="1134"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3015B" w14:textId="77777777" w:rsidR="003B5A1D" w:rsidRDefault="003B5A1D">
      <w:r>
        <w:separator/>
      </w:r>
    </w:p>
    <w:p w14:paraId="0467D7A7" w14:textId="77777777" w:rsidR="003B5A1D" w:rsidRDefault="003B5A1D"/>
  </w:endnote>
  <w:endnote w:type="continuationSeparator" w:id="0">
    <w:p w14:paraId="1B9707BE" w14:textId="77777777" w:rsidR="003B5A1D" w:rsidRDefault="003B5A1D">
      <w:r>
        <w:continuationSeparator/>
      </w:r>
    </w:p>
    <w:p w14:paraId="0C10C703" w14:textId="77777777" w:rsidR="003B5A1D" w:rsidRDefault="003B5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D0" w14:textId="77777777" w:rsidR="007F4D57" w:rsidRPr="00581136" w:rsidRDefault="007F4D57"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7B7813D1" w14:textId="77777777" w:rsidR="007F4D57" w:rsidRPr="005A79E5" w:rsidRDefault="007F4D57">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EB" w14:textId="77777777" w:rsidR="00B702AF" w:rsidRPr="00571223" w:rsidRDefault="00B702AF"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B702AF" w14:paraId="7B7813EE" w14:textId="77777777" w:rsidTr="006E2886">
      <w:trPr>
        <w:cantSplit/>
      </w:trPr>
      <w:tc>
        <w:tcPr>
          <w:tcW w:w="675" w:type="dxa"/>
          <w:vAlign w:val="center"/>
        </w:tcPr>
        <w:p w14:paraId="7B7813EC" w14:textId="77777777" w:rsidR="00B702AF" w:rsidRPr="00931466" w:rsidRDefault="00B702A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16</w:t>
          </w:r>
          <w:r w:rsidRPr="00931466">
            <w:rPr>
              <w:rStyle w:val="PageNumber"/>
            </w:rPr>
            <w:fldChar w:fldCharType="end"/>
          </w:r>
        </w:p>
      </w:tc>
      <w:tc>
        <w:tcPr>
          <w:tcW w:w="9072" w:type="dxa"/>
          <w:vAlign w:val="center"/>
        </w:tcPr>
        <w:p w14:paraId="7B7813ED" w14:textId="77777777" w:rsidR="00B702AF" w:rsidRDefault="00B702AF" w:rsidP="00FB0A5B">
          <w:pPr>
            <w:pStyle w:val="RectoFooter"/>
            <w:ind w:left="-108"/>
            <w:jc w:val="left"/>
          </w:pPr>
          <w:r>
            <w:t>NSU Auditing handbook Part One: General and audit programme requirements</w:t>
          </w:r>
        </w:p>
      </w:tc>
    </w:tr>
  </w:tbl>
  <w:p w14:paraId="7B7813EF" w14:textId="77777777" w:rsidR="00B702AF" w:rsidRPr="00571223" w:rsidRDefault="00B702AF"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F0" w14:textId="77777777" w:rsidR="00B702AF" w:rsidRPr="00571223" w:rsidRDefault="00B702AF"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B702AF" w14:paraId="7B7813F3" w14:textId="77777777" w:rsidTr="006E2886">
      <w:trPr>
        <w:cantSplit/>
      </w:trPr>
      <w:tc>
        <w:tcPr>
          <w:tcW w:w="675" w:type="dxa"/>
          <w:vAlign w:val="center"/>
        </w:tcPr>
        <w:p w14:paraId="7B7813F1" w14:textId="77777777" w:rsidR="00B702AF" w:rsidRPr="00931466" w:rsidRDefault="00B702A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50</w:t>
          </w:r>
          <w:r w:rsidRPr="00931466">
            <w:rPr>
              <w:rStyle w:val="PageNumber"/>
            </w:rPr>
            <w:fldChar w:fldCharType="end"/>
          </w:r>
        </w:p>
      </w:tc>
      <w:tc>
        <w:tcPr>
          <w:tcW w:w="9072" w:type="dxa"/>
          <w:vAlign w:val="center"/>
        </w:tcPr>
        <w:p w14:paraId="7B7813F2" w14:textId="77777777" w:rsidR="00B702AF" w:rsidRDefault="00B702AF" w:rsidP="00FB0A5B">
          <w:pPr>
            <w:pStyle w:val="RectoFooter"/>
            <w:ind w:left="-108"/>
            <w:jc w:val="left"/>
          </w:pPr>
          <w:r>
            <w:t>NSU Auditing handbook Part One: General and audit programme requirements</w:t>
          </w:r>
        </w:p>
      </w:tc>
    </w:tr>
  </w:tbl>
  <w:p w14:paraId="7B7813F4" w14:textId="77777777" w:rsidR="00B702AF" w:rsidRPr="00571223" w:rsidRDefault="00B702AF" w:rsidP="00571223">
    <w:pPr>
      <w:pStyle w:val="Verso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117ED" w14:paraId="7B7813F7" w14:textId="77777777" w:rsidTr="006E2886">
      <w:trPr>
        <w:cantSplit/>
      </w:trPr>
      <w:tc>
        <w:tcPr>
          <w:tcW w:w="8080" w:type="dxa"/>
          <w:vAlign w:val="center"/>
        </w:tcPr>
        <w:p w14:paraId="7B7813F5" w14:textId="77777777" w:rsidR="005117ED" w:rsidRDefault="005117ED" w:rsidP="00980E99">
          <w:pPr>
            <w:pStyle w:val="RectoFooter"/>
          </w:pPr>
          <w:r>
            <w:t>NSU Auditing handbook Part One: General and audit programme requirements</w:t>
          </w:r>
        </w:p>
      </w:tc>
      <w:tc>
        <w:tcPr>
          <w:tcW w:w="709" w:type="dxa"/>
          <w:vAlign w:val="center"/>
        </w:tcPr>
        <w:p w14:paraId="7B7813F6" w14:textId="77777777" w:rsidR="005117ED" w:rsidRPr="00931466" w:rsidRDefault="005117E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51</w:t>
          </w:r>
          <w:r w:rsidRPr="00931466">
            <w:rPr>
              <w:rStyle w:val="PageNumber"/>
            </w:rPr>
            <w:fldChar w:fldCharType="end"/>
          </w:r>
        </w:p>
      </w:tc>
    </w:tr>
  </w:tbl>
  <w:p w14:paraId="7B7813F8" w14:textId="77777777" w:rsidR="005117ED" w:rsidRPr="00581EB8" w:rsidRDefault="005117ED" w:rsidP="00581EB8">
    <w:pPr>
      <w:pStyle w:val="Foote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F9" w14:textId="77777777" w:rsidR="005117ED" w:rsidRPr="00571223" w:rsidRDefault="005117ED" w:rsidP="00571223">
    <w:pPr>
      <w:pStyle w:val="VersoFoote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5117ED" w14:paraId="7B7813FC" w14:textId="77777777" w:rsidTr="006E2886">
      <w:trPr>
        <w:cantSplit/>
      </w:trPr>
      <w:tc>
        <w:tcPr>
          <w:tcW w:w="675" w:type="dxa"/>
          <w:vAlign w:val="center"/>
        </w:tcPr>
        <w:p w14:paraId="7B7813FA" w14:textId="77777777" w:rsidR="005117ED" w:rsidRPr="00931466" w:rsidRDefault="005117E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56</w:t>
          </w:r>
          <w:r w:rsidRPr="00931466">
            <w:rPr>
              <w:rStyle w:val="PageNumber"/>
            </w:rPr>
            <w:fldChar w:fldCharType="end"/>
          </w:r>
        </w:p>
      </w:tc>
      <w:tc>
        <w:tcPr>
          <w:tcW w:w="9072" w:type="dxa"/>
          <w:vAlign w:val="center"/>
        </w:tcPr>
        <w:p w14:paraId="7B7813FB" w14:textId="77777777" w:rsidR="005117ED" w:rsidRDefault="005117ED" w:rsidP="00FB0A5B">
          <w:pPr>
            <w:pStyle w:val="RectoFooter"/>
            <w:ind w:left="-108"/>
            <w:jc w:val="left"/>
          </w:pPr>
          <w:r>
            <w:t>NSU Auditing handbook Part One: General and audit programme requirements</w:t>
          </w:r>
        </w:p>
      </w:tc>
    </w:tr>
  </w:tbl>
  <w:p w14:paraId="7B7813FD" w14:textId="77777777" w:rsidR="005117ED" w:rsidRPr="00571223" w:rsidRDefault="005117ED" w:rsidP="00571223">
    <w:pPr>
      <w:pStyle w:val="VersoFoote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43" w:type="dxa"/>
      <w:tblLayout w:type="fixed"/>
      <w:tblCellMar>
        <w:left w:w="0" w:type="dxa"/>
        <w:right w:w="0" w:type="dxa"/>
      </w:tblCellMar>
      <w:tblLook w:val="04A0" w:firstRow="1" w:lastRow="0" w:firstColumn="1" w:lastColumn="0" w:noHBand="0" w:noVBand="1"/>
    </w:tblPr>
    <w:tblGrid>
      <w:gridCol w:w="14034"/>
      <w:gridCol w:w="709"/>
    </w:tblGrid>
    <w:tr w:rsidR="00A466BA" w14:paraId="7B781400" w14:textId="77777777" w:rsidTr="00A466BA">
      <w:trPr>
        <w:cantSplit/>
      </w:trPr>
      <w:tc>
        <w:tcPr>
          <w:tcW w:w="14034" w:type="dxa"/>
          <w:vAlign w:val="center"/>
        </w:tcPr>
        <w:p w14:paraId="7B7813FE" w14:textId="77777777" w:rsidR="00A466BA" w:rsidRDefault="00A466BA" w:rsidP="00980E99">
          <w:pPr>
            <w:pStyle w:val="RectoFooter"/>
          </w:pPr>
          <w:r>
            <w:t>NSU Auditing handbook Part One: General and audit programme requirements</w:t>
          </w:r>
        </w:p>
      </w:tc>
      <w:tc>
        <w:tcPr>
          <w:tcW w:w="709" w:type="dxa"/>
          <w:vAlign w:val="center"/>
        </w:tcPr>
        <w:p w14:paraId="7B7813FF" w14:textId="77777777" w:rsidR="00A466BA" w:rsidRPr="00931466" w:rsidRDefault="00A466BA"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53</w:t>
          </w:r>
          <w:r w:rsidRPr="00931466">
            <w:rPr>
              <w:rStyle w:val="PageNumber"/>
            </w:rPr>
            <w:fldChar w:fldCharType="end"/>
          </w:r>
        </w:p>
      </w:tc>
    </w:tr>
  </w:tbl>
  <w:p w14:paraId="7B781401" w14:textId="77777777" w:rsidR="00A466BA" w:rsidRPr="00581EB8" w:rsidRDefault="00A466BA" w:rsidP="00581EB8">
    <w:pPr>
      <w:pStyle w:val="Foote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A466BA" w14:paraId="7B781404" w14:textId="77777777" w:rsidTr="006E2886">
      <w:trPr>
        <w:cantSplit/>
      </w:trPr>
      <w:tc>
        <w:tcPr>
          <w:tcW w:w="8080" w:type="dxa"/>
          <w:vAlign w:val="center"/>
        </w:tcPr>
        <w:p w14:paraId="7B781402" w14:textId="77777777" w:rsidR="00A466BA" w:rsidRDefault="00A466BA" w:rsidP="00980E99">
          <w:pPr>
            <w:pStyle w:val="RectoFooter"/>
          </w:pPr>
          <w:r>
            <w:t>NSU Auditing handbook Part One: General and audit programme requirements</w:t>
          </w:r>
        </w:p>
      </w:tc>
      <w:tc>
        <w:tcPr>
          <w:tcW w:w="709" w:type="dxa"/>
          <w:vAlign w:val="center"/>
        </w:tcPr>
        <w:p w14:paraId="7B781403" w14:textId="77777777" w:rsidR="00A466BA" w:rsidRPr="00931466" w:rsidRDefault="00A466BA"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55</w:t>
          </w:r>
          <w:r w:rsidRPr="00931466">
            <w:rPr>
              <w:rStyle w:val="PageNumber"/>
            </w:rPr>
            <w:fldChar w:fldCharType="end"/>
          </w:r>
        </w:p>
      </w:tc>
    </w:tr>
  </w:tbl>
  <w:p w14:paraId="7B781405" w14:textId="77777777" w:rsidR="00A466BA" w:rsidRPr="00581EB8" w:rsidRDefault="00A466BA" w:rsidP="00581EB8">
    <w:pPr>
      <w:pStyle w:val="Foote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59" w:type="dxa"/>
      <w:tblLayout w:type="fixed"/>
      <w:tblCellMar>
        <w:left w:w="0" w:type="dxa"/>
        <w:right w:w="0" w:type="dxa"/>
      </w:tblCellMar>
      <w:tblLook w:val="04A0" w:firstRow="1" w:lastRow="0" w:firstColumn="1" w:lastColumn="0" w:noHBand="0" w:noVBand="1"/>
    </w:tblPr>
    <w:tblGrid>
      <w:gridCol w:w="13750"/>
      <w:gridCol w:w="709"/>
    </w:tblGrid>
    <w:tr w:rsidR="000B5D1A" w14:paraId="7B781408" w14:textId="77777777" w:rsidTr="000B5D1A">
      <w:trPr>
        <w:cantSplit/>
      </w:trPr>
      <w:tc>
        <w:tcPr>
          <w:tcW w:w="13750" w:type="dxa"/>
          <w:vAlign w:val="center"/>
        </w:tcPr>
        <w:p w14:paraId="7B781406" w14:textId="77777777" w:rsidR="000B5D1A" w:rsidRDefault="000B5D1A" w:rsidP="00980E99">
          <w:pPr>
            <w:pStyle w:val="RectoFooter"/>
          </w:pPr>
          <w:r>
            <w:t>NSU Auditing handbook Part One: General and audit programme requirements</w:t>
          </w:r>
        </w:p>
      </w:tc>
      <w:tc>
        <w:tcPr>
          <w:tcW w:w="709" w:type="dxa"/>
          <w:vAlign w:val="center"/>
        </w:tcPr>
        <w:p w14:paraId="7B781407" w14:textId="77777777" w:rsidR="000B5D1A" w:rsidRPr="00931466" w:rsidRDefault="000B5D1A"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57</w:t>
          </w:r>
          <w:r w:rsidRPr="00931466">
            <w:rPr>
              <w:rStyle w:val="PageNumber"/>
            </w:rPr>
            <w:fldChar w:fldCharType="end"/>
          </w:r>
        </w:p>
      </w:tc>
    </w:tr>
  </w:tbl>
  <w:p w14:paraId="7B781409" w14:textId="77777777" w:rsidR="000B5D1A" w:rsidRPr="00581EB8" w:rsidRDefault="000B5D1A"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D2" w14:textId="77777777" w:rsidR="007F4D57" w:rsidRDefault="007F4D57"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D3" w14:textId="77777777" w:rsidR="007F4D57" w:rsidRDefault="007F4D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7F4D57" w14:paraId="7B7813D8" w14:textId="77777777" w:rsidTr="00D662F8">
      <w:trPr>
        <w:cantSplit/>
      </w:trPr>
      <w:tc>
        <w:tcPr>
          <w:tcW w:w="709" w:type="dxa"/>
          <w:vAlign w:val="center"/>
        </w:tcPr>
        <w:p w14:paraId="7B7813D6" w14:textId="77777777" w:rsidR="007F4D57" w:rsidRPr="00931466" w:rsidRDefault="007F4D57"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F677B">
            <w:rPr>
              <w:rStyle w:val="PageNumber"/>
              <w:noProof/>
            </w:rPr>
            <w:t>iv</w:t>
          </w:r>
          <w:r w:rsidRPr="00931466">
            <w:rPr>
              <w:rStyle w:val="PageNumber"/>
            </w:rPr>
            <w:fldChar w:fldCharType="end"/>
          </w:r>
        </w:p>
      </w:tc>
      <w:tc>
        <w:tcPr>
          <w:tcW w:w="8080" w:type="dxa"/>
          <w:vAlign w:val="center"/>
        </w:tcPr>
        <w:p w14:paraId="7B7813D7" w14:textId="77777777" w:rsidR="007F4D57" w:rsidRDefault="00033146" w:rsidP="00033146">
          <w:pPr>
            <w:pStyle w:val="RectoFooter"/>
            <w:jc w:val="left"/>
          </w:pPr>
          <w:r>
            <w:t>NSU Auditing handbook Part One: General and audit programme requirements</w:t>
          </w:r>
        </w:p>
      </w:tc>
    </w:tr>
  </w:tbl>
  <w:p w14:paraId="7B7813D9" w14:textId="77777777" w:rsidR="007F4D57" w:rsidRPr="00571223" w:rsidRDefault="007F4D57"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F4D57" w14:paraId="7B7813DC" w14:textId="77777777" w:rsidTr="006E2886">
      <w:trPr>
        <w:cantSplit/>
      </w:trPr>
      <w:tc>
        <w:tcPr>
          <w:tcW w:w="8080" w:type="dxa"/>
          <w:vAlign w:val="center"/>
        </w:tcPr>
        <w:p w14:paraId="7B7813DA" w14:textId="77777777" w:rsidR="007F4D57" w:rsidRDefault="007F4D57" w:rsidP="00980E99">
          <w:pPr>
            <w:pStyle w:val="RectoFooter"/>
          </w:pPr>
          <w:r>
            <w:t>NSU Auditing handbook Part One: General and audit programme requirements</w:t>
          </w:r>
        </w:p>
      </w:tc>
      <w:tc>
        <w:tcPr>
          <w:tcW w:w="709" w:type="dxa"/>
          <w:vAlign w:val="center"/>
        </w:tcPr>
        <w:p w14:paraId="7B7813DB" w14:textId="77777777" w:rsidR="007F4D57" w:rsidRPr="00931466" w:rsidRDefault="007F4D57"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F677B">
            <w:rPr>
              <w:rStyle w:val="PageNumber"/>
              <w:noProof/>
            </w:rPr>
            <w:t>iii</w:t>
          </w:r>
          <w:r w:rsidRPr="00931466">
            <w:rPr>
              <w:rStyle w:val="PageNumber"/>
            </w:rPr>
            <w:fldChar w:fldCharType="end"/>
          </w:r>
        </w:p>
      </w:tc>
    </w:tr>
  </w:tbl>
  <w:p w14:paraId="7B7813DD" w14:textId="77777777" w:rsidR="007F4D57" w:rsidRPr="00581EB8" w:rsidRDefault="007F4D57"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7F4D57" w14:paraId="7B7813E0" w14:textId="77777777" w:rsidTr="006E2886">
      <w:trPr>
        <w:cantSplit/>
      </w:trPr>
      <w:tc>
        <w:tcPr>
          <w:tcW w:w="675" w:type="dxa"/>
          <w:vAlign w:val="center"/>
        </w:tcPr>
        <w:p w14:paraId="7B7813DE" w14:textId="77777777" w:rsidR="007F4D57" w:rsidRPr="00931466" w:rsidRDefault="007F4D57"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4</w:t>
          </w:r>
          <w:r w:rsidRPr="00931466">
            <w:rPr>
              <w:rStyle w:val="PageNumber"/>
            </w:rPr>
            <w:fldChar w:fldCharType="end"/>
          </w:r>
        </w:p>
      </w:tc>
      <w:tc>
        <w:tcPr>
          <w:tcW w:w="9072" w:type="dxa"/>
          <w:vAlign w:val="center"/>
        </w:tcPr>
        <w:p w14:paraId="7B7813DF" w14:textId="77777777" w:rsidR="007F4D57" w:rsidRDefault="007F4D57" w:rsidP="00FB0A5B">
          <w:pPr>
            <w:pStyle w:val="RectoFooter"/>
            <w:ind w:left="-108"/>
            <w:jc w:val="left"/>
          </w:pPr>
          <w:r>
            <w:t>NSU Auditing handbook Part One: General and audit programme requirements</w:t>
          </w:r>
        </w:p>
      </w:tc>
    </w:tr>
  </w:tbl>
  <w:p w14:paraId="7B7813E1" w14:textId="77777777" w:rsidR="007F4D57" w:rsidRPr="00571223" w:rsidRDefault="007F4D57"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F4D57" w14:paraId="7B7813E4" w14:textId="77777777" w:rsidTr="006E2886">
      <w:trPr>
        <w:cantSplit/>
      </w:trPr>
      <w:tc>
        <w:tcPr>
          <w:tcW w:w="8080" w:type="dxa"/>
          <w:vAlign w:val="center"/>
        </w:tcPr>
        <w:p w14:paraId="7B7813E2" w14:textId="77777777" w:rsidR="007F4D57" w:rsidRDefault="007F4D57" w:rsidP="00980E99">
          <w:pPr>
            <w:pStyle w:val="RectoFooter"/>
          </w:pPr>
          <w:r>
            <w:t>NSU Auditing handbook Part One: General and audit programme requirements</w:t>
          </w:r>
        </w:p>
      </w:tc>
      <w:tc>
        <w:tcPr>
          <w:tcW w:w="709" w:type="dxa"/>
          <w:vAlign w:val="center"/>
        </w:tcPr>
        <w:p w14:paraId="7B7813E3" w14:textId="77777777" w:rsidR="007F4D57" w:rsidRPr="00931466" w:rsidRDefault="007F4D57"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D65D4">
            <w:rPr>
              <w:rStyle w:val="PageNumber"/>
              <w:noProof/>
            </w:rPr>
            <w:t>49</w:t>
          </w:r>
          <w:r w:rsidRPr="00931466">
            <w:rPr>
              <w:rStyle w:val="PageNumber"/>
            </w:rPr>
            <w:fldChar w:fldCharType="end"/>
          </w:r>
        </w:p>
      </w:tc>
    </w:tr>
  </w:tbl>
  <w:p w14:paraId="7B7813E5" w14:textId="77777777" w:rsidR="007F4D57" w:rsidRPr="00581EB8" w:rsidRDefault="007F4D57"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E6" w14:textId="77777777" w:rsidR="00072FB2" w:rsidRPr="00571223" w:rsidRDefault="00072FB2"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072FB2" w14:paraId="7B7813E9" w14:textId="77777777" w:rsidTr="006E2886">
      <w:trPr>
        <w:cantSplit/>
      </w:trPr>
      <w:tc>
        <w:tcPr>
          <w:tcW w:w="675" w:type="dxa"/>
          <w:vAlign w:val="center"/>
        </w:tcPr>
        <w:p w14:paraId="7B7813E7" w14:textId="77777777" w:rsidR="00072FB2" w:rsidRPr="00931466" w:rsidRDefault="00072FB2"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702AF">
            <w:rPr>
              <w:rStyle w:val="PageNumber"/>
              <w:noProof/>
            </w:rPr>
            <w:t>10</w:t>
          </w:r>
          <w:r w:rsidRPr="00931466">
            <w:rPr>
              <w:rStyle w:val="PageNumber"/>
            </w:rPr>
            <w:fldChar w:fldCharType="end"/>
          </w:r>
        </w:p>
      </w:tc>
      <w:tc>
        <w:tcPr>
          <w:tcW w:w="9072" w:type="dxa"/>
          <w:vAlign w:val="center"/>
        </w:tcPr>
        <w:p w14:paraId="7B7813E8" w14:textId="77777777" w:rsidR="00072FB2" w:rsidRDefault="00072FB2" w:rsidP="00FB0A5B">
          <w:pPr>
            <w:pStyle w:val="RectoFooter"/>
            <w:ind w:left="-108"/>
            <w:jc w:val="left"/>
          </w:pPr>
          <w:r>
            <w:t>NSU Auditing handbook Part One: General and audit programme requirements</w:t>
          </w:r>
        </w:p>
      </w:tc>
    </w:tr>
  </w:tbl>
  <w:p w14:paraId="7B7813EA" w14:textId="77777777" w:rsidR="00072FB2" w:rsidRPr="00571223" w:rsidRDefault="00072FB2"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94BCA" w14:textId="77777777" w:rsidR="003B5A1D" w:rsidRPr="00A26E6B" w:rsidRDefault="003B5A1D" w:rsidP="00A26E6B"/>
  </w:footnote>
  <w:footnote w:type="continuationSeparator" w:id="0">
    <w:p w14:paraId="21B24A66" w14:textId="77777777" w:rsidR="003B5A1D" w:rsidRDefault="003B5A1D">
      <w:r>
        <w:continuationSeparator/>
      </w:r>
    </w:p>
    <w:p w14:paraId="4FDCF768" w14:textId="77777777" w:rsidR="003B5A1D" w:rsidRDefault="003B5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7F4D57" w14:paraId="7B7813CE" w14:textId="77777777" w:rsidTr="005A79E5">
      <w:trPr>
        <w:cantSplit/>
      </w:trPr>
      <w:tc>
        <w:tcPr>
          <w:tcW w:w="5210" w:type="dxa"/>
        </w:tcPr>
        <w:p w14:paraId="7B7813CC" w14:textId="77777777" w:rsidR="007F4D57" w:rsidRDefault="007F4D57" w:rsidP="008814E8">
          <w:pPr>
            <w:pStyle w:val="Header"/>
          </w:pPr>
          <w:r>
            <w:rPr>
              <w:noProof/>
              <w:lang w:eastAsia="en-NZ"/>
            </w:rPr>
            <w:drawing>
              <wp:inline distT="0" distB="0" distL="0" distR="0" wp14:anchorId="7B78140A" wp14:editId="757F4902">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B7813CD" w14:textId="77777777" w:rsidR="007F4D57" w:rsidRDefault="007F4D57" w:rsidP="008814E8">
          <w:pPr>
            <w:pStyle w:val="Header"/>
            <w:jc w:val="right"/>
          </w:pPr>
          <w:r>
            <w:rPr>
              <w:noProof/>
              <w:lang w:eastAsia="en-NZ"/>
            </w:rPr>
            <w:drawing>
              <wp:inline distT="0" distB="0" distL="0" distR="0" wp14:anchorId="7B78140C" wp14:editId="592FCC3C">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B7813CF" w14:textId="77777777" w:rsidR="007F4D57" w:rsidRDefault="007F4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D4" w14:textId="77777777" w:rsidR="007F4D57" w:rsidRDefault="007F4D57"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13D5" w14:textId="77777777" w:rsidR="007F4D57" w:rsidRDefault="007F4D57"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4D5A0B04"/>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03D1E44"/>
    <w:multiLevelType w:val="multilevel"/>
    <w:tmpl w:val="74D8E8E4"/>
    <w:lvl w:ilvl="0">
      <w:start w:val="1"/>
      <w:numFmt w:val="cardinalText"/>
      <w:pStyle w:val="Heading1-appendices"/>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145AA0"/>
    <w:multiLevelType w:val="hybridMultilevel"/>
    <w:tmpl w:val="07407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957BAD"/>
    <w:multiLevelType w:val="hybridMultilevel"/>
    <w:tmpl w:val="FB081AA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A4E7EC6"/>
    <w:multiLevelType w:val="hybridMultilevel"/>
    <w:tmpl w:val="A9141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DA61BE"/>
    <w:multiLevelType w:val="multilevel"/>
    <w:tmpl w:val="9194887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665907"/>
    <w:multiLevelType w:val="hybridMultilevel"/>
    <w:tmpl w:val="5B60D1E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D7107A"/>
    <w:multiLevelType w:val="hybridMultilevel"/>
    <w:tmpl w:val="B356800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81C3061"/>
    <w:multiLevelType w:val="hybridMultilevel"/>
    <w:tmpl w:val="7A56BB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3050B1"/>
    <w:multiLevelType w:val="hybridMultilevel"/>
    <w:tmpl w:val="A992C54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F9A7F02"/>
    <w:multiLevelType w:val="hybridMultilevel"/>
    <w:tmpl w:val="9BA80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3A614C"/>
    <w:multiLevelType w:val="hybridMultilevel"/>
    <w:tmpl w:val="DC2E57E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C9D4F4E"/>
    <w:multiLevelType w:val="hybridMultilevel"/>
    <w:tmpl w:val="4C8ACB14"/>
    <w:lvl w:ilvl="0" w:tplc="14090005">
      <w:start w:val="1"/>
      <w:numFmt w:val="bullet"/>
      <w:lvlText w:val=""/>
      <w:lvlJc w:val="left"/>
      <w:pPr>
        <w:ind w:left="360" w:hanging="360"/>
      </w:pPr>
      <w:rPr>
        <w:rFonts w:ascii="Wingdings" w:hAnsi="Wingding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3B97204"/>
    <w:multiLevelType w:val="hybridMultilevel"/>
    <w:tmpl w:val="C1460ED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18" w15:restartNumberingAfterBreak="0">
    <w:nsid w:val="7E0E3C20"/>
    <w:multiLevelType w:val="hybridMultilevel"/>
    <w:tmpl w:val="A3AEFAD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9"/>
  </w:num>
  <w:num w:numId="4">
    <w:abstractNumId w:val="1"/>
  </w:num>
  <w:num w:numId="5">
    <w:abstractNumId w:val="0"/>
  </w:num>
  <w:num w:numId="6">
    <w:abstractNumId w:val="7"/>
  </w:num>
  <w:num w:numId="7">
    <w:abstractNumId w:val="4"/>
  </w:num>
  <w:num w:numId="8">
    <w:abstractNumId w:val="10"/>
  </w:num>
  <w:num w:numId="9">
    <w:abstractNumId w:val="18"/>
  </w:num>
  <w:num w:numId="10">
    <w:abstractNumId w:val="12"/>
  </w:num>
  <w:num w:numId="11">
    <w:abstractNumId w:val="14"/>
  </w:num>
  <w:num w:numId="12">
    <w:abstractNumId w:val="16"/>
  </w:num>
  <w:num w:numId="13">
    <w:abstractNumId w:val="15"/>
  </w:num>
  <w:num w:numId="14">
    <w:abstractNumId w:val="13"/>
  </w:num>
  <w:num w:numId="15">
    <w:abstractNumId w:val="11"/>
  </w:num>
  <w:num w:numId="16">
    <w:abstractNumId w:val="5"/>
  </w:num>
  <w:num w:numId="17">
    <w:abstractNumId w:val="3"/>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5CB0"/>
    <w:rsid w:val="0002618D"/>
    <w:rsid w:val="00030B26"/>
    <w:rsid w:val="00030E84"/>
    <w:rsid w:val="00032C0A"/>
    <w:rsid w:val="00033146"/>
    <w:rsid w:val="00035257"/>
    <w:rsid w:val="00035D68"/>
    <w:rsid w:val="00036027"/>
    <w:rsid w:val="00036460"/>
    <w:rsid w:val="000419A9"/>
    <w:rsid w:val="00045613"/>
    <w:rsid w:val="00047899"/>
    <w:rsid w:val="00053921"/>
    <w:rsid w:val="00054B44"/>
    <w:rsid w:val="0006006B"/>
    <w:rsid w:val="0006228D"/>
    <w:rsid w:val="000712FB"/>
    <w:rsid w:val="00072BD6"/>
    <w:rsid w:val="00072FB2"/>
    <w:rsid w:val="00075B78"/>
    <w:rsid w:val="000763E9"/>
    <w:rsid w:val="00082CD6"/>
    <w:rsid w:val="0008437D"/>
    <w:rsid w:val="00085AFE"/>
    <w:rsid w:val="00094800"/>
    <w:rsid w:val="000A0158"/>
    <w:rsid w:val="000A373D"/>
    <w:rsid w:val="000A41ED"/>
    <w:rsid w:val="000B0730"/>
    <w:rsid w:val="000B5D1A"/>
    <w:rsid w:val="000D19F4"/>
    <w:rsid w:val="000D58DD"/>
    <w:rsid w:val="000F1F42"/>
    <w:rsid w:val="000F2AE2"/>
    <w:rsid w:val="000F2BFF"/>
    <w:rsid w:val="00102063"/>
    <w:rsid w:val="00102FEA"/>
    <w:rsid w:val="0010541C"/>
    <w:rsid w:val="00105770"/>
    <w:rsid w:val="00106F93"/>
    <w:rsid w:val="00111D50"/>
    <w:rsid w:val="00113B8E"/>
    <w:rsid w:val="00117F59"/>
    <w:rsid w:val="0012053C"/>
    <w:rsid w:val="00122363"/>
    <w:rsid w:val="00125D45"/>
    <w:rsid w:val="00130B12"/>
    <w:rsid w:val="001324FD"/>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48E8"/>
    <w:rsid w:val="001E7386"/>
    <w:rsid w:val="001F45A7"/>
    <w:rsid w:val="001F5E27"/>
    <w:rsid w:val="001F677B"/>
    <w:rsid w:val="0020027C"/>
    <w:rsid w:val="00201A01"/>
    <w:rsid w:val="0020754B"/>
    <w:rsid w:val="002104D3"/>
    <w:rsid w:val="00212CFF"/>
    <w:rsid w:val="00213A33"/>
    <w:rsid w:val="0021763B"/>
    <w:rsid w:val="00217790"/>
    <w:rsid w:val="00232E9F"/>
    <w:rsid w:val="00245748"/>
    <w:rsid w:val="00246DB1"/>
    <w:rsid w:val="002476B5"/>
    <w:rsid w:val="002506FA"/>
    <w:rsid w:val="002520CC"/>
    <w:rsid w:val="00253ECF"/>
    <w:rsid w:val="00254044"/>
    <w:rsid w:val="002546A1"/>
    <w:rsid w:val="002575E8"/>
    <w:rsid w:val="00257EF1"/>
    <w:rsid w:val="002628F4"/>
    <w:rsid w:val="00263105"/>
    <w:rsid w:val="00275D08"/>
    <w:rsid w:val="002839AF"/>
    <w:rsid w:val="002858E3"/>
    <w:rsid w:val="002861DC"/>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2F4"/>
    <w:rsid w:val="00321381"/>
    <w:rsid w:val="003235C6"/>
    <w:rsid w:val="0032386F"/>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B5A1D"/>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274A5"/>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17ED"/>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A7A8D"/>
    <w:rsid w:val="005C6047"/>
    <w:rsid w:val="005D034C"/>
    <w:rsid w:val="005E1C5F"/>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50E2"/>
    <w:rsid w:val="00697E2E"/>
    <w:rsid w:val="006A25A2"/>
    <w:rsid w:val="006A3B87"/>
    <w:rsid w:val="006B0A88"/>
    <w:rsid w:val="006B0E73"/>
    <w:rsid w:val="006B1E3D"/>
    <w:rsid w:val="006B25A4"/>
    <w:rsid w:val="006B4A4D"/>
    <w:rsid w:val="006B5695"/>
    <w:rsid w:val="006B62E6"/>
    <w:rsid w:val="006B7B2E"/>
    <w:rsid w:val="006C78EB"/>
    <w:rsid w:val="006D1660"/>
    <w:rsid w:val="006D63E5"/>
    <w:rsid w:val="006D65D4"/>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39DC"/>
    <w:rsid w:val="0079566E"/>
    <w:rsid w:val="00795B34"/>
    <w:rsid w:val="007A067F"/>
    <w:rsid w:val="007B1770"/>
    <w:rsid w:val="007B4D3E"/>
    <w:rsid w:val="007B7C70"/>
    <w:rsid w:val="007B7DEB"/>
    <w:rsid w:val="007C0449"/>
    <w:rsid w:val="007C43B6"/>
    <w:rsid w:val="007D2151"/>
    <w:rsid w:val="007D28CF"/>
    <w:rsid w:val="007D3B90"/>
    <w:rsid w:val="007D42CC"/>
    <w:rsid w:val="007D5DE4"/>
    <w:rsid w:val="007D7C3A"/>
    <w:rsid w:val="007E0777"/>
    <w:rsid w:val="007E1341"/>
    <w:rsid w:val="007E1B41"/>
    <w:rsid w:val="007E1EC4"/>
    <w:rsid w:val="007E30B9"/>
    <w:rsid w:val="007E74F1"/>
    <w:rsid w:val="007F0F0C"/>
    <w:rsid w:val="007F1288"/>
    <w:rsid w:val="007F3E11"/>
    <w:rsid w:val="007F4D57"/>
    <w:rsid w:val="00800A8A"/>
    <w:rsid w:val="0080155C"/>
    <w:rsid w:val="008017B4"/>
    <w:rsid w:val="008052E1"/>
    <w:rsid w:val="00811EEB"/>
    <w:rsid w:val="0082081A"/>
    <w:rsid w:val="00822F2C"/>
    <w:rsid w:val="00823DEE"/>
    <w:rsid w:val="008305E8"/>
    <w:rsid w:val="00833687"/>
    <w:rsid w:val="00833E69"/>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117C"/>
    <w:rsid w:val="008A3755"/>
    <w:rsid w:val="008B19DC"/>
    <w:rsid w:val="008B264F"/>
    <w:rsid w:val="008B6F83"/>
    <w:rsid w:val="008B729A"/>
    <w:rsid w:val="008B7FD8"/>
    <w:rsid w:val="008C2973"/>
    <w:rsid w:val="008C6324"/>
    <w:rsid w:val="008C64C4"/>
    <w:rsid w:val="008D2CDD"/>
    <w:rsid w:val="008D44BE"/>
    <w:rsid w:val="008D74D5"/>
    <w:rsid w:val="008D7C9F"/>
    <w:rsid w:val="008E04BA"/>
    <w:rsid w:val="008E0ED1"/>
    <w:rsid w:val="008E2083"/>
    <w:rsid w:val="008E2AD5"/>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1678"/>
    <w:rsid w:val="0095565C"/>
    <w:rsid w:val="009611A2"/>
    <w:rsid w:val="00964AB6"/>
    <w:rsid w:val="00966F9A"/>
    <w:rsid w:val="009731E6"/>
    <w:rsid w:val="00975643"/>
    <w:rsid w:val="00977B8A"/>
    <w:rsid w:val="00980E99"/>
    <w:rsid w:val="00982971"/>
    <w:rsid w:val="009845AD"/>
    <w:rsid w:val="00984835"/>
    <w:rsid w:val="009933EF"/>
    <w:rsid w:val="009938A8"/>
    <w:rsid w:val="00995BA0"/>
    <w:rsid w:val="009A418B"/>
    <w:rsid w:val="009A426F"/>
    <w:rsid w:val="009A42D5"/>
    <w:rsid w:val="009A4473"/>
    <w:rsid w:val="009B05C9"/>
    <w:rsid w:val="009B286C"/>
    <w:rsid w:val="009C151C"/>
    <w:rsid w:val="009C3AC9"/>
    <w:rsid w:val="009C440A"/>
    <w:rsid w:val="009C4664"/>
    <w:rsid w:val="009D0987"/>
    <w:rsid w:val="009D5125"/>
    <w:rsid w:val="009D607F"/>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746D"/>
    <w:rsid w:val="00A41002"/>
    <w:rsid w:val="00A4201A"/>
    <w:rsid w:val="00A466BA"/>
    <w:rsid w:val="00A5465D"/>
    <w:rsid w:val="00A553CE"/>
    <w:rsid w:val="00A5677A"/>
    <w:rsid w:val="00A56DCC"/>
    <w:rsid w:val="00A625E8"/>
    <w:rsid w:val="00A63DFF"/>
    <w:rsid w:val="00A64496"/>
    <w:rsid w:val="00A6490D"/>
    <w:rsid w:val="00A67033"/>
    <w:rsid w:val="00A7415D"/>
    <w:rsid w:val="00A759B1"/>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17E6C"/>
    <w:rsid w:val="00B24EF2"/>
    <w:rsid w:val="00B253F6"/>
    <w:rsid w:val="00B26675"/>
    <w:rsid w:val="00B305DB"/>
    <w:rsid w:val="00B332F8"/>
    <w:rsid w:val="00B3492B"/>
    <w:rsid w:val="00B4646F"/>
    <w:rsid w:val="00B55C7D"/>
    <w:rsid w:val="00B63038"/>
    <w:rsid w:val="00B64BD8"/>
    <w:rsid w:val="00B701D1"/>
    <w:rsid w:val="00B702AF"/>
    <w:rsid w:val="00B73AF2"/>
    <w:rsid w:val="00B73D79"/>
    <w:rsid w:val="00B7551A"/>
    <w:rsid w:val="00B773F1"/>
    <w:rsid w:val="00B779DB"/>
    <w:rsid w:val="00B86AB1"/>
    <w:rsid w:val="00B87726"/>
    <w:rsid w:val="00B91B22"/>
    <w:rsid w:val="00B949EB"/>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91C47"/>
    <w:rsid w:val="00CA0D6F"/>
    <w:rsid w:val="00CA4C33"/>
    <w:rsid w:val="00CA6F4A"/>
    <w:rsid w:val="00CB3483"/>
    <w:rsid w:val="00CB6427"/>
    <w:rsid w:val="00CC0FBE"/>
    <w:rsid w:val="00CC60B1"/>
    <w:rsid w:val="00CD077C"/>
    <w:rsid w:val="00CD2119"/>
    <w:rsid w:val="00CD237A"/>
    <w:rsid w:val="00CD36AC"/>
    <w:rsid w:val="00CD665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46103"/>
    <w:rsid w:val="00D50573"/>
    <w:rsid w:val="00D54D50"/>
    <w:rsid w:val="00D560B4"/>
    <w:rsid w:val="00D662F8"/>
    <w:rsid w:val="00D66797"/>
    <w:rsid w:val="00D7087C"/>
    <w:rsid w:val="00D70C3C"/>
    <w:rsid w:val="00D71DF7"/>
    <w:rsid w:val="00D72BE5"/>
    <w:rsid w:val="00D81462"/>
    <w:rsid w:val="00D82431"/>
    <w:rsid w:val="00D82F26"/>
    <w:rsid w:val="00D83E2C"/>
    <w:rsid w:val="00D863D0"/>
    <w:rsid w:val="00D86B00"/>
    <w:rsid w:val="00D86FB9"/>
    <w:rsid w:val="00D87C87"/>
    <w:rsid w:val="00D90BB4"/>
    <w:rsid w:val="00D90E07"/>
    <w:rsid w:val="00D932C2"/>
    <w:rsid w:val="00D93675"/>
    <w:rsid w:val="00DA0232"/>
    <w:rsid w:val="00DA7F9E"/>
    <w:rsid w:val="00DB39CF"/>
    <w:rsid w:val="00DB7256"/>
    <w:rsid w:val="00DC0401"/>
    <w:rsid w:val="00DC20BD"/>
    <w:rsid w:val="00DD0BCD"/>
    <w:rsid w:val="00DD447A"/>
    <w:rsid w:val="00DD786E"/>
    <w:rsid w:val="00DE3B20"/>
    <w:rsid w:val="00DE6C94"/>
    <w:rsid w:val="00DE6FD7"/>
    <w:rsid w:val="00DF0C7C"/>
    <w:rsid w:val="00DF0FE3"/>
    <w:rsid w:val="00E10B18"/>
    <w:rsid w:val="00E21ACB"/>
    <w:rsid w:val="00E21E3D"/>
    <w:rsid w:val="00E23271"/>
    <w:rsid w:val="00E24F80"/>
    <w:rsid w:val="00E259F3"/>
    <w:rsid w:val="00E30985"/>
    <w:rsid w:val="00E33238"/>
    <w:rsid w:val="00E33934"/>
    <w:rsid w:val="00E33EDB"/>
    <w:rsid w:val="00E376B7"/>
    <w:rsid w:val="00E42F5D"/>
    <w:rsid w:val="00E4486C"/>
    <w:rsid w:val="00E460B6"/>
    <w:rsid w:val="00E511D5"/>
    <w:rsid w:val="00E53A9F"/>
    <w:rsid w:val="00E57349"/>
    <w:rsid w:val="00E60249"/>
    <w:rsid w:val="00E62238"/>
    <w:rsid w:val="00E65269"/>
    <w:rsid w:val="00E76D66"/>
    <w:rsid w:val="00E83C3D"/>
    <w:rsid w:val="00EA796A"/>
    <w:rsid w:val="00EB1856"/>
    <w:rsid w:val="00EB6669"/>
    <w:rsid w:val="00EC46E0"/>
    <w:rsid w:val="00EC50CE"/>
    <w:rsid w:val="00EC5B34"/>
    <w:rsid w:val="00ED021E"/>
    <w:rsid w:val="00ED323C"/>
    <w:rsid w:val="00EE2D5C"/>
    <w:rsid w:val="00EE42D3"/>
    <w:rsid w:val="00EE4ADE"/>
    <w:rsid w:val="00EE4DE8"/>
    <w:rsid w:val="00EE5409"/>
    <w:rsid w:val="00EE5CB7"/>
    <w:rsid w:val="00F000BF"/>
    <w:rsid w:val="00F024FE"/>
    <w:rsid w:val="00F05AD4"/>
    <w:rsid w:val="00F103BE"/>
    <w:rsid w:val="00F10EB6"/>
    <w:rsid w:val="00F12AE4"/>
    <w:rsid w:val="00F13F07"/>
    <w:rsid w:val="00F140B2"/>
    <w:rsid w:val="00F14BD8"/>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D616C"/>
    <w:rsid w:val="00FE022F"/>
    <w:rsid w:val="00FE6E13"/>
    <w:rsid w:val="00FE7D38"/>
    <w:rsid w:val="00FF15F6"/>
    <w:rsid w:val="00FF527C"/>
    <w:rsid w:val="00FF65CD"/>
    <w:rsid w:val="00FF7B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80F32"/>
  <w15:docId w15:val="{6A245D47-0878-45D7-8A10-61A3E4D2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B702AF"/>
    <w:pPr>
      <w:pageBreakBefore/>
      <w:numPr>
        <w:numId w:val="18"/>
      </w:numPr>
      <w:spacing w:after="360"/>
      <w:outlineLvl w:val="0"/>
    </w:pPr>
    <w:rPr>
      <w:b/>
      <w:color w:val="23305D"/>
      <w:spacing w:val="-10"/>
      <w:sz w:val="64"/>
    </w:rPr>
  </w:style>
  <w:style w:type="paragraph" w:styleId="Heading2">
    <w:name w:val="heading 2"/>
    <w:basedOn w:val="Normal"/>
    <w:next w:val="Normal"/>
    <w:link w:val="Heading2Char"/>
    <w:qFormat/>
    <w:rsid w:val="002575E8"/>
    <w:pPr>
      <w:keepNext/>
      <w:numPr>
        <w:ilvl w:val="1"/>
        <w:numId w:val="18"/>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18"/>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2AF"/>
    <w:rPr>
      <w:rFonts w:ascii="Segoe UI" w:hAnsi="Segoe UI"/>
      <w:b/>
      <w:color w:val="23305D"/>
      <w:spacing w:val="-10"/>
      <w:sz w:val="64"/>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8A117C"/>
    <w:pPr>
      <w:tabs>
        <w:tab w:val="right" w:pos="8080"/>
      </w:tabs>
      <w:spacing w:before="480"/>
      <w:ind w:left="567" w:right="567" w:hanging="567"/>
    </w:pPr>
    <w:rPr>
      <w:rFonts w:ascii="Segoe UI Semibold" w:hAnsi="Segoe UI Semibold"/>
      <w:i/>
      <w:sz w:val="26"/>
    </w:rPr>
  </w:style>
  <w:style w:type="paragraph" w:styleId="TOC2">
    <w:name w:val="toc 2"/>
    <w:basedOn w:val="Normal"/>
    <w:next w:val="Normal"/>
    <w:uiPriority w:val="39"/>
    <w:qFormat/>
    <w:rsid w:val="008A117C"/>
    <w:pPr>
      <w:tabs>
        <w:tab w:val="right" w:pos="8080"/>
      </w:tabs>
      <w:spacing w:before="300"/>
      <w:ind w:left="567" w:right="567" w:hanging="567"/>
    </w:pPr>
    <w:rPr>
      <w:rFonts w:ascii="Segoe UI Semibold" w:hAnsi="Segoe UI Semibold"/>
      <w:sz w:val="24"/>
    </w:rPr>
  </w:style>
  <w:style w:type="paragraph" w:styleId="TOC3">
    <w:name w:val="toc 3"/>
    <w:basedOn w:val="Normal"/>
    <w:next w:val="Normal"/>
    <w:uiPriority w:val="39"/>
    <w:rsid w:val="00B949EB"/>
    <w:pPr>
      <w:tabs>
        <w:tab w:val="right" w:pos="8080"/>
      </w:tabs>
      <w:spacing w:before="60"/>
      <w:ind w:left="1134" w:right="567" w:hanging="567"/>
    </w:pPr>
  </w:style>
  <w:style w:type="paragraph" w:customStyle="1" w:styleId="Bullet">
    <w:name w:val="Bullet"/>
    <w:basedOn w:val="Normal"/>
    <w:link w:val="BulletChar"/>
    <w:qFormat/>
    <w:rsid w:val="007F4D57"/>
    <w:pPr>
      <w:numPr>
        <w:numId w:val="1"/>
      </w:numPr>
      <w:tabs>
        <w:tab w:val="clear" w:pos="284"/>
      </w:tabs>
      <w:spacing w:before="90"/>
    </w:pPr>
  </w:style>
  <w:style w:type="character" w:customStyle="1" w:styleId="BulletChar">
    <w:name w:val="Bullet Char"/>
    <w:link w:val="Bullet"/>
    <w:locked/>
    <w:rsid w:val="007F4D57"/>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CC60B1"/>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EE5409"/>
    <w:pPr>
      <w:numPr>
        <w:ilvl w:val="3"/>
        <w:numId w:val="18"/>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Sectionheading">
    <w:name w:val="Section heading"/>
    <w:basedOn w:val="Heading1"/>
    <w:next w:val="Normal"/>
    <w:qFormat/>
    <w:rsid w:val="00B702AF"/>
    <w:pPr>
      <w:numPr>
        <w:numId w:val="0"/>
      </w:numPr>
      <w:spacing w:after="4000"/>
    </w:pPr>
    <w:rPr>
      <w:i/>
      <w:sz w:val="96"/>
    </w:rPr>
  </w:style>
  <w:style w:type="table" w:styleId="TableGrid">
    <w:name w:val="Table Grid"/>
    <w:basedOn w:val="TableNormal"/>
    <w:uiPriority w:val="39"/>
    <w:rsid w:val="00B17E6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B17E6C"/>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B17E6C"/>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Heading1-nonumber">
    <w:name w:val="Heading 1 - no number"/>
    <w:basedOn w:val="Heading1"/>
    <w:next w:val="Normal"/>
    <w:qFormat/>
    <w:rsid w:val="009611A2"/>
    <w:pPr>
      <w:numPr>
        <w:numId w:val="0"/>
      </w:numPr>
    </w:pPr>
  </w:style>
  <w:style w:type="paragraph" w:customStyle="1" w:styleId="Heading2-nonumber">
    <w:name w:val="Heading 2 - no number"/>
    <w:basedOn w:val="Heading2"/>
    <w:next w:val="Normal"/>
    <w:qFormat/>
    <w:rsid w:val="00B17E6C"/>
  </w:style>
  <w:style w:type="paragraph" w:customStyle="1" w:styleId="Heading3-nonumber">
    <w:name w:val="Heading 3 - no number"/>
    <w:basedOn w:val="Heading3"/>
    <w:qFormat/>
    <w:rsid w:val="00B17E6C"/>
    <w:pPr>
      <w:numPr>
        <w:ilvl w:val="0"/>
        <w:numId w:val="0"/>
      </w:numPr>
    </w:pPr>
    <w:rPr>
      <w:rFonts w:eastAsia="Arial"/>
    </w:rPr>
  </w:style>
  <w:style w:type="paragraph" w:customStyle="1" w:styleId="Heading1-appendices">
    <w:name w:val="Heading 1 - appendices"/>
    <w:basedOn w:val="Heading1-nonumber"/>
    <w:next w:val="Normal"/>
    <w:qFormat/>
    <w:rsid w:val="000B5D1A"/>
    <w:pPr>
      <w:numPr>
        <w:numId w:val="20"/>
      </w:numPr>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file:///\\xitfs02\DaaGroupData$\Client%20Files\National%20Screening%20Unit\Project%202020\Handbook\Designated%20Audit%20Agency%20Handbook:%20MoH%20Auditor%20Handbook" TargetMode="External"/><Relationship Id="rId33" Type="http://schemas.openxmlformats.org/officeDocument/2006/relationships/footer" Target="foot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footer" Target="footer10.xml"/><Relationship Id="rId32" Type="http://schemas.openxmlformats.org/officeDocument/2006/relationships/image" Target="media/image6.emf"/><Relationship Id="rId37"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yperlink" Target="https://www.nsu.govt.nz"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8.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E318-ABAD-4181-A094-96413275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13</TotalTime>
  <Pages>61</Pages>
  <Words>13312</Words>
  <Characters>75880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Auditing Handbook Part One: General and audit programme requirements</dc:title>
  <dc:creator>Ministry of Health</dc:creator>
  <cp:lastModifiedBy>Ministry of Health</cp:lastModifiedBy>
  <cp:revision>8</cp:revision>
  <cp:lastPrinted>2021-12-14T03:45:00Z</cp:lastPrinted>
  <dcterms:created xsi:type="dcterms:W3CDTF">2021-12-14T03:30:00Z</dcterms:created>
  <dcterms:modified xsi:type="dcterms:W3CDTF">2021-12-14T03:45:00Z</dcterms:modified>
</cp:coreProperties>
</file>