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D6C2E" w:rsidRPr="00BD6C2E">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BD6C2E" w:rsidP="00115CAE">
      <w:pPr>
        <w:spacing w:line="264" w:lineRule="auto"/>
        <w:ind w:right="424"/>
        <w:rPr>
          <w:rFonts w:cs="Times New Roman"/>
          <w:sz w:val="56"/>
        </w:rPr>
      </w:pPr>
      <w:r w:rsidRPr="00BD6C2E">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D6C2E" w:rsidRPr="00BD6C2E">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D6C2E" w:rsidRPr="00BD6C2E">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D6C2E" w:rsidRPr="00BD6C2E">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BD6C2E" w:rsidP="00115CAE">
      <w:pPr>
        <w:spacing w:after="240" w:line="264" w:lineRule="auto"/>
        <w:jc w:val="center"/>
        <w:rPr>
          <w:rFonts w:cs="Times New Roman"/>
        </w:rPr>
      </w:pPr>
      <w:r w:rsidRPr="00BD6C2E">
        <w:rPr>
          <w:rFonts w:cs="Times New Roman"/>
        </w:rPr>
        <w:t>2422-</w:t>
      </w:r>
      <w:proofErr w:type="gramStart"/>
      <w:r w:rsidRPr="00BD6C2E">
        <w:rPr>
          <w:rFonts w:cs="Times New Roman"/>
        </w:rPr>
        <w:t xml:space="preserve">9520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58743A">
      <w:pPr>
        <w:pStyle w:val="Contentsheading"/>
        <w:spacing w:after="120"/>
        <w:rPr>
          <w:noProof/>
        </w:rPr>
      </w:pPr>
      <w:r>
        <w:rPr>
          <w:noProof/>
        </w:rPr>
        <w:lastRenderedPageBreak/>
        <w:t>Contents</w:t>
      </w:r>
    </w:p>
    <w:p w:rsidR="0058743A" w:rsidRPr="0058743A" w:rsidRDefault="00115CAE" w:rsidP="0058743A">
      <w:pPr>
        <w:pStyle w:val="TOC1"/>
        <w:tabs>
          <w:tab w:val="right" w:leader="dot" w:pos="9345"/>
        </w:tabs>
        <w:spacing w:before="0" w:after="120"/>
        <w:rPr>
          <w:rFonts w:asciiTheme="minorHAnsi" w:hAnsiTheme="minorHAnsi"/>
          <w:noProof/>
          <w:sz w:val="20"/>
          <w:szCs w:val="20"/>
        </w:rPr>
      </w:pPr>
      <w:r w:rsidRPr="0058743A">
        <w:rPr>
          <w:noProof/>
          <w:sz w:val="20"/>
          <w:szCs w:val="20"/>
        </w:rPr>
        <w:fldChar w:fldCharType="begin"/>
      </w:r>
      <w:r w:rsidRPr="0058743A">
        <w:rPr>
          <w:noProof/>
          <w:sz w:val="20"/>
          <w:szCs w:val="20"/>
        </w:rPr>
        <w:instrText xml:space="preserve"> TOC \o "2-2" \t "Heading 1,1" </w:instrText>
      </w:r>
      <w:r w:rsidRPr="0058743A">
        <w:rPr>
          <w:noProof/>
          <w:sz w:val="20"/>
          <w:szCs w:val="20"/>
        </w:rPr>
        <w:fldChar w:fldCharType="separate"/>
      </w:r>
      <w:r w:rsidR="0058743A" w:rsidRPr="0058743A">
        <w:rPr>
          <w:noProof/>
          <w:sz w:val="20"/>
          <w:szCs w:val="20"/>
        </w:rPr>
        <w:t>Introduction</w:t>
      </w:r>
      <w:r w:rsidR="0058743A" w:rsidRPr="0058743A">
        <w:rPr>
          <w:noProof/>
          <w:sz w:val="20"/>
          <w:szCs w:val="20"/>
        </w:rPr>
        <w:tab/>
      </w:r>
      <w:r w:rsidR="0058743A" w:rsidRPr="0058743A">
        <w:rPr>
          <w:noProof/>
          <w:sz w:val="20"/>
          <w:szCs w:val="20"/>
        </w:rPr>
        <w:fldChar w:fldCharType="begin"/>
      </w:r>
      <w:r w:rsidR="0058743A" w:rsidRPr="0058743A">
        <w:rPr>
          <w:noProof/>
          <w:sz w:val="20"/>
          <w:szCs w:val="20"/>
        </w:rPr>
        <w:instrText xml:space="preserve"> PAGEREF _Toc527554793 \h </w:instrText>
      </w:r>
      <w:r w:rsidR="0058743A" w:rsidRPr="0058743A">
        <w:rPr>
          <w:noProof/>
          <w:sz w:val="20"/>
          <w:szCs w:val="20"/>
        </w:rPr>
      </w:r>
      <w:r w:rsidR="0058743A" w:rsidRPr="0058743A">
        <w:rPr>
          <w:noProof/>
          <w:sz w:val="20"/>
          <w:szCs w:val="20"/>
        </w:rPr>
        <w:fldChar w:fldCharType="separate"/>
      </w:r>
      <w:r w:rsidR="00953013">
        <w:rPr>
          <w:noProof/>
          <w:sz w:val="20"/>
          <w:szCs w:val="20"/>
        </w:rPr>
        <w:t>2</w:t>
      </w:r>
      <w:r w:rsidR="0058743A" w:rsidRPr="0058743A">
        <w:rPr>
          <w:noProof/>
          <w:sz w:val="20"/>
          <w:szCs w:val="20"/>
        </w:rPr>
        <w:fldChar w:fldCharType="end"/>
      </w:r>
    </w:p>
    <w:p w:rsidR="0058743A" w:rsidRPr="0058743A" w:rsidRDefault="0058743A" w:rsidP="0058743A">
      <w:pPr>
        <w:pStyle w:val="TOC1"/>
        <w:tabs>
          <w:tab w:val="right" w:leader="dot" w:pos="9345"/>
        </w:tabs>
        <w:spacing w:before="0" w:after="120"/>
        <w:rPr>
          <w:rFonts w:asciiTheme="minorHAnsi" w:hAnsiTheme="minorHAnsi"/>
          <w:noProof/>
          <w:sz w:val="20"/>
          <w:szCs w:val="20"/>
        </w:rPr>
      </w:pPr>
      <w:r w:rsidRPr="0058743A">
        <w:rPr>
          <w:noProof/>
          <w:sz w:val="20"/>
          <w:szCs w:val="20"/>
        </w:rPr>
        <w:t>Technical notes</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_Toc527554794 \h </w:instrText>
      </w:r>
      <w:r w:rsidRPr="0058743A">
        <w:rPr>
          <w:noProof/>
          <w:sz w:val="20"/>
          <w:szCs w:val="20"/>
        </w:rPr>
      </w:r>
      <w:r w:rsidRPr="0058743A">
        <w:rPr>
          <w:noProof/>
          <w:sz w:val="20"/>
          <w:szCs w:val="20"/>
        </w:rPr>
        <w:fldChar w:fldCharType="separate"/>
      </w:r>
      <w:r w:rsidR="00953013">
        <w:rPr>
          <w:noProof/>
          <w:sz w:val="20"/>
          <w:szCs w:val="20"/>
        </w:rPr>
        <w:t>4</w:t>
      </w:r>
      <w:r w:rsidRPr="0058743A">
        <w:rPr>
          <w:noProof/>
          <w:sz w:val="20"/>
          <w:szCs w:val="20"/>
        </w:rPr>
        <w:fldChar w:fldCharType="end"/>
      </w:r>
    </w:p>
    <w:p w:rsidR="0058743A" w:rsidRPr="0058743A" w:rsidRDefault="0058743A" w:rsidP="0058743A">
      <w:pPr>
        <w:pStyle w:val="TOC1"/>
        <w:tabs>
          <w:tab w:val="right" w:leader="dot" w:pos="9345"/>
        </w:tabs>
        <w:spacing w:before="0" w:after="120"/>
        <w:rPr>
          <w:rFonts w:asciiTheme="minorHAnsi" w:hAnsiTheme="minorHAnsi"/>
          <w:noProof/>
          <w:sz w:val="20"/>
          <w:szCs w:val="20"/>
        </w:rPr>
      </w:pPr>
      <w:r w:rsidRPr="0058743A">
        <w:rPr>
          <w:noProof/>
          <w:sz w:val="20"/>
          <w:szCs w:val="20"/>
        </w:rPr>
        <w:t>Canterbury coverage</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_Toc527554795 \h </w:instrText>
      </w:r>
      <w:r w:rsidRPr="0058743A">
        <w:rPr>
          <w:noProof/>
          <w:sz w:val="20"/>
          <w:szCs w:val="20"/>
        </w:rPr>
      </w:r>
      <w:r w:rsidRPr="0058743A">
        <w:rPr>
          <w:noProof/>
          <w:sz w:val="20"/>
          <w:szCs w:val="20"/>
        </w:rPr>
        <w:fldChar w:fldCharType="separate"/>
      </w:r>
      <w:r w:rsidR="00953013">
        <w:rPr>
          <w:noProof/>
          <w:sz w:val="20"/>
          <w:szCs w:val="20"/>
        </w:rPr>
        <w:t>5</w:t>
      </w:r>
      <w:r w:rsidRPr="0058743A">
        <w:rPr>
          <w:noProof/>
          <w:sz w:val="20"/>
          <w:szCs w:val="20"/>
        </w:rPr>
        <w:fldChar w:fldCharType="end"/>
      </w:r>
    </w:p>
    <w:p w:rsidR="0058743A" w:rsidRPr="0058743A" w:rsidRDefault="0058743A" w:rsidP="0058743A">
      <w:pPr>
        <w:pStyle w:val="TOC2"/>
        <w:tabs>
          <w:tab w:val="right" w:leader="dot" w:pos="9345"/>
        </w:tabs>
        <w:spacing w:before="0" w:after="120"/>
        <w:rPr>
          <w:rFonts w:asciiTheme="minorHAnsi" w:hAnsiTheme="minorHAnsi"/>
          <w:noProof/>
          <w:sz w:val="20"/>
          <w:szCs w:val="20"/>
        </w:rPr>
      </w:pPr>
      <w:r w:rsidRPr="0058743A">
        <w:rPr>
          <w:noProof/>
          <w:sz w:val="20"/>
          <w:szCs w:val="20"/>
        </w:rPr>
        <w:t>Canterbury coverage by ethnicity in the two years ending 30 September 2018</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_Toc527554796 \h </w:instrText>
      </w:r>
      <w:r w:rsidRPr="0058743A">
        <w:rPr>
          <w:noProof/>
          <w:sz w:val="20"/>
          <w:szCs w:val="20"/>
        </w:rPr>
      </w:r>
      <w:r w:rsidRPr="0058743A">
        <w:rPr>
          <w:noProof/>
          <w:sz w:val="20"/>
          <w:szCs w:val="20"/>
        </w:rPr>
        <w:fldChar w:fldCharType="separate"/>
      </w:r>
      <w:r w:rsidR="00953013">
        <w:rPr>
          <w:noProof/>
          <w:sz w:val="20"/>
          <w:szCs w:val="20"/>
        </w:rPr>
        <w:t>5</w:t>
      </w:r>
      <w:r w:rsidRPr="0058743A">
        <w:rPr>
          <w:noProof/>
          <w:sz w:val="20"/>
          <w:szCs w:val="20"/>
        </w:rPr>
        <w:fldChar w:fldCharType="end"/>
      </w:r>
    </w:p>
    <w:p w:rsidR="0058743A" w:rsidRPr="0058743A" w:rsidRDefault="0058743A" w:rsidP="0058743A">
      <w:pPr>
        <w:pStyle w:val="TOC2"/>
        <w:tabs>
          <w:tab w:val="right" w:leader="dot" w:pos="9345"/>
        </w:tabs>
        <w:spacing w:before="0" w:after="120"/>
        <w:rPr>
          <w:rFonts w:asciiTheme="minorHAnsi" w:hAnsiTheme="minorHAnsi"/>
          <w:noProof/>
          <w:sz w:val="20"/>
          <w:szCs w:val="20"/>
        </w:rPr>
      </w:pPr>
      <w:r w:rsidRPr="0058743A">
        <w:rPr>
          <w:noProof/>
          <w:sz w:val="20"/>
          <w:szCs w:val="20"/>
        </w:rPr>
        <w:t>Canterbury coverage trends by ethnicity</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_Toc527554797 \h </w:instrText>
      </w:r>
      <w:r w:rsidRPr="0058743A">
        <w:rPr>
          <w:noProof/>
          <w:sz w:val="20"/>
          <w:szCs w:val="20"/>
        </w:rPr>
      </w:r>
      <w:r w:rsidRPr="0058743A">
        <w:rPr>
          <w:noProof/>
          <w:sz w:val="20"/>
          <w:szCs w:val="20"/>
        </w:rPr>
        <w:fldChar w:fldCharType="separate"/>
      </w:r>
      <w:r w:rsidR="00953013">
        <w:rPr>
          <w:noProof/>
          <w:sz w:val="20"/>
          <w:szCs w:val="20"/>
        </w:rPr>
        <w:t>6</w:t>
      </w:r>
      <w:r w:rsidRPr="0058743A">
        <w:rPr>
          <w:noProof/>
          <w:sz w:val="20"/>
          <w:szCs w:val="20"/>
        </w:rPr>
        <w:fldChar w:fldCharType="end"/>
      </w:r>
    </w:p>
    <w:p w:rsidR="0058743A" w:rsidRPr="0058743A" w:rsidRDefault="0058743A" w:rsidP="0058743A">
      <w:pPr>
        <w:pStyle w:val="TOC2"/>
        <w:tabs>
          <w:tab w:val="right" w:leader="dot" w:pos="9345"/>
        </w:tabs>
        <w:spacing w:before="0" w:after="120"/>
        <w:rPr>
          <w:rFonts w:asciiTheme="minorHAnsi" w:hAnsiTheme="minorHAnsi"/>
          <w:noProof/>
          <w:sz w:val="20"/>
          <w:szCs w:val="20"/>
        </w:rPr>
      </w:pPr>
      <w:r w:rsidRPr="0058743A">
        <w:rPr>
          <w:noProof/>
          <w:sz w:val="20"/>
          <w:szCs w:val="20"/>
        </w:rPr>
        <w:t>Number of Initial Rescreens by Ethnicity</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_Toc527554798 \h </w:instrText>
      </w:r>
      <w:r w:rsidRPr="0058743A">
        <w:rPr>
          <w:noProof/>
          <w:sz w:val="20"/>
          <w:szCs w:val="20"/>
        </w:rPr>
      </w:r>
      <w:r w:rsidRPr="0058743A">
        <w:rPr>
          <w:noProof/>
          <w:sz w:val="20"/>
          <w:szCs w:val="20"/>
        </w:rPr>
        <w:fldChar w:fldCharType="separate"/>
      </w:r>
      <w:r w:rsidR="00953013">
        <w:rPr>
          <w:noProof/>
          <w:sz w:val="20"/>
          <w:szCs w:val="20"/>
        </w:rPr>
        <w:t>7</w:t>
      </w:r>
      <w:r w:rsidRPr="0058743A">
        <w:rPr>
          <w:noProof/>
          <w:sz w:val="20"/>
          <w:szCs w:val="20"/>
        </w:rPr>
        <w:fldChar w:fldCharType="end"/>
      </w:r>
    </w:p>
    <w:p w:rsidR="0058743A" w:rsidRPr="0058743A" w:rsidRDefault="0058743A" w:rsidP="0058743A">
      <w:pPr>
        <w:pStyle w:val="TOC1"/>
        <w:tabs>
          <w:tab w:val="right" w:leader="dot" w:pos="9345"/>
        </w:tabs>
        <w:spacing w:before="0" w:after="120"/>
        <w:rPr>
          <w:rFonts w:asciiTheme="minorHAnsi" w:hAnsiTheme="minorHAnsi"/>
          <w:noProof/>
          <w:sz w:val="20"/>
          <w:szCs w:val="20"/>
        </w:rPr>
      </w:pPr>
      <w:r w:rsidRPr="0058743A">
        <w:rPr>
          <w:noProof/>
          <w:sz w:val="20"/>
          <w:szCs w:val="20"/>
        </w:rPr>
        <w:t>DHB coverage comparisons</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_Toc527554799 \h </w:instrText>
      </w:r>
      <w:r w:rsidRPr="0058743A">
        <w:rPr>
          <w:noProof/>
          <w:sz w:val="20"/>
          <w:szCs w:val="20"/>
        </w:rPr>
      </w:r>
      <w:r w:rsidRPr="0058743A">
        <w:rPr>
          <w:noProof/>
          <w:sz w:val="20"/>
          <w:szCs w:val="20"/>
        </w:rPr>
        <w:fldChar w:fldCharType="separate"/>
      </w:r>
      <w:r w:rsidR="00953013">
        <w:rPr>
          <w:noProof/>
          <w:sz w:val="20"/>
          <w:szCs w:val="20"/>
        </w:rPr>
        <w:t>8</w:t>
      </w:r>
      <w:r w:rsidRPr="0058743A">
        <w:rPr>
          <w:noProof/>
          <w:sz w:val="20"/>
          <w:szCs w:val="20"/>
        </w:rPr>
        <w:fldChar w:fldCharType="end"/>
      </w:r>
    </w:p>
    <w:p w:rsidR="0058743A" w:rsidRPr="0058743A" w:rsidRDefault="0058743A" w:rsidP="0058743A">
      <w:pPr>
        <w:pStyle w:val="TOC2"/>
        <w:tabs>
          <w:tab w:val="right" w:leader="dot" w:pos="9345"/>
        </w:tabs>
        <w:spacing w:before="0" w:after="120"/>
        <w:rPr>
          <w:rFonts w:asciiTheme="minorHAnsi" w:hAnsiTheme="minorHAnsi"/>
          <w:noProof/>
          <w:sz w:val="20"/>
          <w:szCs w:val="20"/>
        </w:rPr>
      </w:pPr>
      <w:r w:rsidRPr="0058743A">
        <w:rPr>
          <w:noProof/>
          <w:sz w:val="20"/>
          <w:szCs w:val="20"/>
        </w:rPr>
        <w:t>DHB coverage by ethnicity in the two years ending 30 September 2018</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_Toc527554800 \h </w:instrText>
      </w:r>
      <w:r w:rsidRPr="0058743A">
        <w:rPr>
          <w:noProof/>
          <w:sz w:val="20"/>
          <w:szCs w:val="20"/>
        </w:rPr>
      </w:r>
      <w:r w:rsidRPr="0058743A">
        <w:rPr>
          <w:noProof/>
          <w:sz w:val="20"/>
          <w:szCs w:val="20"/>
        </w:rPr>
        <w:fldChar w:fldCharType="separate"/>
      </w:r>
      <w:r w:rsidR="00953013">
        <w:rPr>
          <w:noProof/>
          <w:sz w:val="20"/>
          <w:szCs w:val="20"/>
        </w:rPr>
        <w:t>8</w:t>
      </w:r>
      <w:r w:rsidRPr="0058743A">
        <w:rPr>
          <w:noProof/>
          <w:sz w:val="20"/>
          <w:szCs w:val="20"/>
        </w:rPr>
        <w:fldChar w:fldCharType="end"/>
      </w:r>
    </w:p>
    <w:p w:rsidR="0058743A" w:rsidRPr="0058743A" w:rsidRDefault="0058743A" w:rsidP="0058743A">
      <w:pPr>
        <w:pStyle w:val="TOC2"/>
        <w:tabs>
          <w:tab w:val="right" w:leader="dot" w:pos="9345"/>
        </w:tabs>
        <w:spacing w:before="0" w:after="120"/>
        <w:rPr>
          <w:rFonts w:asciiTheme="minorHAnsi" w:hAnsiTheme="minorHAnsi"/>
          <w:noProof/>
          <w:sz w:val="20"/>
          <w:szCs w:val="20"/>
        </w:rPr>
      </w:pPr>
      <w:r w:rsidRPr="0058743A">
        <w:rPr>
          <w:noProof/>
          <w:sz w:val="20"/>
          <w:szCs w:val="20"/>
        </w:rPr>
        <w:t>DHB coverage comparison trends by ethnicity</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_Toc527554801 \h </w:instrText>
      </w:r>
      <w:r w:rsidRPr="0058743A">
        <w:rPr>
          <w:noProof/>
          <w:sz w:val="20"/>
          <w:szCs w:val="20"/>
        </w:rPr>
      </w:r>
      <w:r w:rsidRPr="0058743A">
        <w:rPr>
          <w:noProof/>
          <w:sz w:val="20"/>
          <w:szCs w:val="20"/>
        </w:rPr>
        <w:fldChar w:fldCharType="separate"/>
      </w:r>
      <w:r w:rsidR="00953013">
        <w:rPr>
          <w:noProof/>
          <w:sz w:val="20"/>
          <w:szCs w:val="20"/>
        </w:rPr>
        <w:t>14</w:t>
      </w:r>
      <w:r w:rsidRPr="0058743A">
        <w:rPr>
          <w:noProof/>
          <w:sz w:val="20"/>
          <w:szCs w:val="20"/>
        </w:rPr>
        <w:fldChar w:fldCharType="end"/>
      </w:r>
    </w:p>
    <w:p w:rsidR="00115CAE" w:rsidRPr="0058743A" w:rsidRDefault="00115CAE" w:rsidP="0058743A">
      <w:pPr>
        <w:spacing w:after="120"/>
        <w:rPr>
          <w:b/>
          <w:noProof/>
          <w:sz w:val="20"/>
          <w:szCs w:val="20"/>
        </w:rPr>
      </w:pPr>
      <w:r w:rsidRPr="0058743A">
        <w:rPr>
          <w:noProof/>
          <w:sz w:val="20"/>
          <w:szCs w:val="20"/>
        </w:rPr>
        <w:fldChar w:fldCharType="end"/>
      </w:r>
      <w:r w:rsidRPr="0058743A">
        <w:rPr>
          <w:b/>
          <w:noProof/>
          <w:sz w:val="20"/>
          <w:szCs w:val="20"/>
        </w:rPr>
        <w:t>List of tables</w:t>
      </w:r>
    </w:p>
    <w:p w:rsidR="0058743A" w:rsidRPr="0058743A" w:rsidRDefault="00115CAE">
      <w:pPr>
        <w:pStyle w:val="TOC3"/>
        <w:tabs>
          <w:tab w:val="right" w:leader="dot" w:pos="9345"/>
        </w:tabs>
        <w:rPr>
          <w:rFonts w:asciiTheme="minorHAnsi" w:hAnsiTheme="minorHAnsi"/>
          <w:noProof/>
          <w:sz w:val="20"/>
          <w:szCs w:val="20"/>
        </w:rPr>
      </w:pPr>
      <w:r w:rsidRPr="0058743A">
        <w:rPr>
          <w:noProof/>
          <w:sz w:val="20"/>
          <w:szCs w:val="20"/>
        </w:rPr>
        <w:fldChar w:fldCharType="begin"/>
      </w:r>
      <w:r w:rsidRPr="0058743A">
        <w:rPr>
          <w:noProof/>
          <w:sz w:val="20"/>
          <w:szCs w:val="20"/>
        </w:rPr>
        <w:instrText xml:space="preserve"> TOC \t "Table,3" </w:instrText>
      </w:r>
      <w:r w:rsidRPr="0058743A">
        <w:rPr>
          <w:noProof/>
          <w:sz w:val="20"/>
          <w:szCs w:val="20"/>
        </w:rPr>
        <w:fldChar w:fldCharType="separate"/>
      </w:r>
      <w:r w:rsidR="0058743A" w:rsidRPr="0058743A">
        <w:rPr>
          <w:noProof/>
          <w:sz w:val="20"/>
          <w:szCs w:val="20"/>
        </w:rPr>
        <w:t>Table 1: BSA coverage (%) in the two years ending 30 September 2018 by ethnicity, women aged 50–69 years, Total Coverage</w:t>
      </w:r>
      <w:r w:rsidR="0058743A" w:rsidRPr="0058743A">
        <w:rPr>
          <w:noProof/>
          <w:sz w:val="20"/>
          <w:szCs w:val="20"/>
        </w:rPr>
        <w:tab/>
      </w:r>
      <w:r w:rsidR="0058743A" w:rsidRPr="0058743A">
        <w:rPr>
          <w:noProof/>
          <w:sz w:val="20"/>
          <w:szCs w:val="20"/>
        </w:rPr>
        <w:fldChar w:fldCharType="begin"/>
      </w:r>
      <w:r w:rsidR="0058743A" w:rsidRPr="0058743A">
        <w:rPr>
          <w:noProof/>
          <w:sz w:val="20"/>
          <w:szCs w:val="20"/>
        </w:rPr>
        <w:instrText xml:space="preserve"> PAGEREF _Toc527554737 \h </w:instrText>
      </w:r>
      <w:r w:rsidR="0058743A" w:rsidRPr="0058743A">
        <w:rPr>
          <w:noProof/>
          <w:sz w:val="20"/>
          <w:szCs w:val="20"/>
        </w:rPr>
      </w:r>
      <w:r w:rsidR="0058743A" w:rsidRPr="0058743A">
        <w:rPr>
          <w:noProof/>
          <w:sz w:val="20"/>
          <w:szCs w:val="20"/>
        </w:rPr>
        <w:fldChar w:fldCharType="separate"/>
      </w:r>
      <w:r w:rsidR="00953013">
        <w:rPr>
          <w:noProof/>
          <w:sz w:val="20"/>
          <w:szCs w:val="20"/>
        </w:rPr>
        <w:t>5</w:t>
      </w:r>
      <w:r w:rsidR="0058743A"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Table 2: BSA number of screens in women aged 50–69 years by ethnicity and quarter, Quarter 3 2017 –Quarter 3 2018</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_Toc527554738 \h </w:instrText>
      </w:r>
      <w:r w:rsidRPr="0058743A">
        <w:rPr>
          <w:noProof/>
          <w:sz w:val="20"/>
          <w:szCs w:val="20"/>
        </w:rPr>
      </w:r>
      <w:r w:rsidRPr="0058743A">
        <w:rPr>
          <w:noProof/>
          <w:sz w:val="20"/>
          <w:szCs w:val="20"/>
        </w:rPr>
        <w:fldChar w:fldCharType="separate"/>
      </w:r>
      <w:r w:rsidR="00953013">
        <w:rPr>
          <w:noProof/>
          <w:sz w:val="20"/>
          <w:szCs w:val="20"/>
        </w:rPr>
        <w:t>6</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Table 3: BSA number of eligible screens and initial rescreens for women aged 50–67 years by ethnicity for the rescreen period 1 July 2016 to 30 September 2018 (eligible period 1 July 2014 to 30 June 2016)</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_Toc527554739 \h </w:instrText>
      </w:r>
      <w:r w:rsidRPr="0058743A">
        <w:rPr>
          <w:noProof/>
          <w:sz w:val="20"/>
          <w:szCs w:val="20"/>
        </w:rPr>
      </w:r>
      <w:r w:rsidRPr="0058743A">
        <w:rPr>
          <w:noProof/>
          <w:sz w:val="20"/>
          <w:szCs w:val="20"/>
        </w:rPr>
        <w:fldChar w:fldCharType="separate"/>
      </w:r>
      <w:r w:rsidR="00953013">
        <w:rPr>
          <w:noProof/>
          <w:sz w:val="20"/>
          <w:szCs w:val="20"/>
        </w:rPr>
        <w:t>7</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Table 4: BSA number of screens and coverage (%) in women aged 50–69 years in the two years ending 30 September 2018 by District Health Board</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_Toc527554740 \h </w:instrText>
      </w:r>
      <w:r w:rsidRPr="0058743A">
        <w:rPr>
          <w:noProof/>
          <w:sz w:val="20"/>
          <w:szCs w:val="20"/>
        </w:rPr>
      </w:r>
      <w:r w:rsidRPr="0058743A">
        <w:rPr>
          <w:noProof/>
          <w:sz w:val="20"/>
          <w:szCs w:val="20"/>
        </w:rPr>
        <w:fldChar w:fldCharType="separate"/>
      </w:r>
      <w:r w:rsidR="00953013">
        <w:rPr>
          <w:noProof/>
          <w:sz w:val="20"/>
          <w:szCs w:val="20"/>
        </w:rPr>
        <w:t>13</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Table 5: BSA coverage (%) of women aged 50–69 years in the two years ending 30 September, 2016, 2017, 2018, by ethnicity and District Health Board</w:t>
      </w:r>
      <w:r w:rsidRPr="0058743A">
        <w:rPr>
          <w:noProof/>
          <w:sz w:val="20"/>
          <w:szCs w:val="20"/>
        </w:rPr>
        <w:tab/>
      </w:r>
      <w:r w:rsidRPr="0058743A">
        <w:rPr>
          <w:noProof/>
          <w:sz w:val="20"/>
          <w:szCs w:val="20"/>
        </w:rPr>
        <w:fldChar w:fldCharType="begin"/>
      </w:r>
      <w:r w:rsidRPr="0058743A">
        <w:rPr>
          <w:noProof/>
          <w:sz w:val="20"/>
          <w:szCs w:val="20"/>
        </w:rPr>
        <w:instrText xml:space="preserve"> PAGEREF _Toc527554741 \h </w:instrText>
      </w:r>
      <w:r w:rsidRPr="0058743A">
        <w:rPr>
          <w:noProof/>
          <w:sz w:val="20"/>
          <w:szCs w:val="20"/>
        </w:rPr>
      </w:r>
      <w:r w:rsidRPr="0058743A">
        <w:rPr>
          <w:noProof/>
          <w:sz w:val="20"/>
          <w:szCs w:val="20"/>
        </w:rPr>
        <w:fldChar w:fldCharType="separate"/>
      </w:r>
      <w:r w:rsidR="00953013">
        <w:rPr>
          <w:noProof/>
          <w:sz w:val="20"/>
          <w:szCs w:val="20"/>
        </w:rPr>
        <w:t>14</w:t>
      </w:r>
      <w:r w:rsidRPr="0058743A">
        <w:rPr>
          <w:noProof/>
          <w:sz w:val="20"/>
          <w:szCs w:val="20"/>
        </w:rPr>
        <w:fldChar w:fldCharType="end"/>
      </w:r>
    </w:p>
    <w:p w:rsidR="00115CAE" w:rsidRPr="0058743A" w:rsidRDefault="00115CAE" w:rsidP="00BF27D3">
      <w:pPr>
        <w:spacing w:before="120"/>
        <w:rPr>
          <w:b/>
          <w:noProof/>
          <w:sz w:val="20"/>
          <w:szCs w:val="20"/>
        </w:rPr>
      </w:pPr>
      <w:r w:rsidRPr="0058743A">
        <w:rPr>
          <w:noProof/>
          <w:sz w:val="20"/>
          <w:szCs w:val="20"/>
        </w:rPr>
        <w:fldChar w:fldCharType="end"/>
      </w:r>
      <w:r w:rsidRPr="0058743A">
        <w:rPr>
          <w:b/>
          <w:noProof/>
          <w:sz w:val="20"/>
          <w:szCs w:val="20"/>
        </w:rPr>
        <w:t>List of figures</w:t>
      </w:r>
    </w:p>
    <w:p w:rsidR="0058743A" w:rsidRPr="0058743A" w:rsidRDefault="00115CAE">
      <w:pPr>
        <w:pStyle w:val="TOC3"/>
        <w:tabs>
          <w:tab w:val="right" w:leader="dot" w:pos="9345"/>
        </w:tabs>
        <w:rPr>
          <w:rFonts w:asciiTheme="minorHAnsi" w:hAnsiTheme="minorHAnsi"/>
          <w:noProof/>
          <w:sz w:val="20"/>
          <w:szCs w:val="20"/>
        </w:rPr>
      </w:pPr>
      <w:r w:rsidRPr="0058743A">
        <w:rPr>
          <w:noProof/>
          <w:sz w:val="20"/>
          <w:szCs w:val="20"/>
        </w:rPr>
        <w:fldChar w:fldCharType="begin"/>
      </w:r>
      <w:r w:rsidRPr="0058743A">
        <w:rPr>
          <w:noProof/>
          <w:sz w:val="20"/>
          <w:szCs w:val="20"/>
        </w:rPr>
        <w:instrText xml:space="preserve"> TOC \t "Figure,3" </w:instrText>
      </w:r>
      <w:r w:rsidRPr="0058743A">
        <w:rPr>
          <w:noProof/>
          <w:sz w:val="20"/>
          <w:szCs w:val="20"/>
        </w:rPr>
        <w:fldChar w:fldCharType="separate"/>
      </w:r>
      <w:r w:rsidR="0058743A" w:rsidRPr="0058743A">
        <w:rPr>
          <w:noProof/>
          <w:sz w:val="20"/>
          <w:szCs w:val="20"/>
        </w:rPr>
        <w:t>Figure 1: BSA coverage (%) in the two years ending 30 September 2018 by ethnicity, women aged 50–69 years, Total Coverage</w:t>
      </w:r>
      <w:r w:rsidR="0058743A" w:rsidRPr="0058743A">
        <w:rPr>
          <w:noProof/>
          <w:sz w:val="20"/>
          <w:szCs w:val="20"/>
        </w:rPr>
        <w:tab/>
      </w:r>
      <w:r w:rsidR="0058743A" w:rsidRPr="0058743A">
        <w:rPr>
          <w:noProof/>
          <w:sz w:val="20"/>
          <w:szCs w:val="20"/>
        </w:rPr>
        <w:fldChar w:fldCharType="begin"/>
      </w:r>
      <w:r w:rsidR="0058743A" w:rsidRPr="0058743A">
        <w:rPr>
          <w:noProof/>
          <w:sz w:val="20"/>
          <w:szCs w:val="20"/>
        </w:rPr>
        <w:instrText xml:space="preserve"> PAGEREF _Toc527554812 \h </w:instrText>
      </w:r>
      <w:r w:rsidR="0058743A" w:rsidRPr="0058743A">
        <w:rPr>
          <w:noProof/>
          <w:sz w:val="20"/>
          <w:szCs w:val="20"/>
        </w:rPr>
      </w:r>
      <w:r w:rsidR="0058743A" w:rsidRPr="0058743A">
        <w:rPr>
          <w:noProof/>
          <w:sz w:val="20"/>
          <w:szCs w:val="20"/>
        </w:rPr>
        <w:fldChar w:fldCharType="separate"/>
      </w:r>
      <w:r w:rsidR="00953013">
        <w:rPr>
          <w:noProof/>
          <w:sz w:val="20"/>
          <w:szCs w:val="20"/>
        </w:rPr>
        <w:t>5</w:t>
      </w:r>
      <w:r w:rsidR="0058743A"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2: BSA coverage (%) of women aged 50–69 years in the two years ending 30 September 2018 by ethnicity, Total Coverage</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_Toc527554813 \h </w:instrText>
      </w:r>
      <w:r w:rsidRPr="0058743A">
        <w:rPr>
          <w:noProof/>
          <w:sz w:val="20"/>
          <w:szCs w:val="20"/>
        </w:rPr>
      </w:r>
      <w:r w:rsidRPr="0058743A">
        <w:rPr>
          <w:noProof/>
          <w:sz w:val="20"/>
          <w:szCs w:val="20"/>
        </w:rPr>
        <w:fldChar w:fldCharType="separate"/>
      </w:r>
      <w:r w:rsidR="00953013">
        <w:rPr>
          <w:noProof/>
          <w:sz w:val="20"/>
          <w:szCs w:val="20"/>
        </w:rPr>
        <w:t>6</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3: BSA number of initial eligible rescreens by ethnicity</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_Toc527554814 \h </w:instrText>
      </w:r>
      <w:r w:rsidRPr="0058743A">
        <w:rPr>
          <w:noProof/>
          <w:sz w:val="20"/>
          <w:szCs w:val="20"/>
        </w:rPr>
      </w:r>
      <w:r w:rsidRPr="0058743A">
        <w:rPr>
          <w:noProof/>
          <w:sz w:val="20"/>
          <w:szCs w:val="20"/>
        </w:rPr>
        <w:fldChar w:fldCharType="separate"/>
      </w:r>
      <w:r w:rsidR="00953013">
        <w:rPr>
          <w:noProof/>
          <w:sz w:val="20"/>
          <w:szCs w:val="20"/>
        </w:rPr>
        <w:t>7</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4: BSA coverage (%) of Māori women aged 50–69 years in the two years ending 30 September 2018 by District Health Board</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_Toc527554815 \h </w:instrText>
      </w:r>
      <w:r w:rsidRPr="0058743A">
        <w:rPr>
          <w:noProof/>
          <w:sz w:val="20"/>
          <w:szCs w:val="20"/>
        </w:rPr>
      </w:r>
      <w:r w:rsidRPr="0058743A">
        <w:rPr>
          <w:noProof/>
          <w:sz w:val="20"/>
          <w:szCs w:val="20"/>
        </w:rPr>
        <w:fldChar w:fldCharType="separate"/>
      </w:r>
      <w:r w:rsidR="00953013">
        <w:rPr>
          <w:noProof/>
          <w:sz w:val="20"/>
          <w:szCs w:val="20"/>
        </w:rPr>
        <w:t>8</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5: BSA coverage (%) of Pacific women aged 50–69 years in the two years ending 30 September 2018 by District Health Board</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_Toc527554816 \h </w:instrText>
      </w:r>
      <w:r w:rsidRPr="0058743A">
        <w:rPr>
          <w:noProof/>
          <w:sz w:val="20"/>
          <w:szCs w:val="20"/>
        </w:rPr>
      </w:r>
      <w:r w:rsidRPr="0058743A">
        <w:rPr>
          <w:noProof/>
          <w:sz w:val="20"/>
          <w:szCs w:val="20"/>
        </w:rPr>
        <w:fldChar w:fldCharType="separate"/>
      </w:r>
      <w:r w:rsidR="00953013">
        <w:rPr>
          <w:noProof/>
          <w:sz w:val="20"/>
          <w:szCs w:val="20"/>
        </w:rPr>
        <w:t>8</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6: Overall BSA coverage (%) of women aged 50–69 years in the two years ending 30 September 2018 by District Health Board</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_Toc527554817 \h </w:instrText>
      </w:r>
      <w:r w:rsidRPr="0058743A">
        <w:rPr>
          <w:noProof/>
          <w:sz w:val="20"/>
          <w:szCs w:val="20"/>
        </w:rPr>
      </w:r>
      <w:r w:rsidRPr="0058743A">
        <w:rPr>
          <w:noProof/>
          <w:sz w:val="20"/>
          <w:szCs w:val="20"/>
        </w:rPr>
        <w:fldChar w:fldCharType="separate"/>
      </w:r>
      <w:r w:rsidR="00953013">
        <w:rPr>
          <w:noProof/>
          <w:sz w:val="20"/>
          <w:szCs w:val="20"/>
        </w:rPr>
        <w:t>9</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7: BSA coverage (%) of Māori women aged 50–69 years in the two years ending 30 September 2018</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_Toc527554818 \h </w:instrText>
      </w:r>
      <w:r w:rsidRPr="0058743A">
        <w:rPr>
          <w:noProof/>
          <w:sz w:val="20"/>
          <w:szCs w:val="20"/>
        </w:rPr>
      </w:r>
      <w:r w:rsidRPr="0058743A">
        <w:rPr>
          <w:noProof/>
          <w:sz w:val="20"/>
          <w:szCs w:val="20"/>
        </w:rPr>
        <w:fldChar w:fldCharType="separate"/>
      </w:r>
      <w:r w:rsidR="00953013">
        <w:rPr>
          <w:noProof/>
          <w:sz w:val="20"/>
          <w:szCs w:val="20"/>
        </w:rPr>
        <w:t>10</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8: BSA coverage (%) of Pacific women aged 50–69 years in the two years ending 30 September 2018</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_Toc527554819 \h </w:instrText>
      </w:r>
      <w:r w:rsidRPr="0058743A">
        <w:rPr>
          <w:noProof/>
          <w:sz w:val="20"/>
          <w:szCs w:val="20"/>
        </w:rPr>
      </w:r>
      <w:r w:rsidRPr="0058743A">
        <w:rPr>
          <w:noProof/>
          <w:sz w:val="20"/>
          <w:szCs w:val="20"/>
        </w:rPr>
        <w:fldChar w:fldCharType="separate"/>
      </w:r>
      <w:r w:rsidR="00953013">
        <w:rPr>
          <w:noProof/>
          <w:sz w:val="20"/>
          <w:szCs w:val="20"/>
        </w:rPr>
        <w:t>11</w:t>
      </w:r>
      <w:r w:rsidRPr="0058743A">
        <w:rPr>
          <w:noProof/>
          <w:sz w:val="20"/>
          <w:szCs w:val="20"/>
        </w:rPr>
        <w:fldChar w:fldCharType="end"/>
      </w:r>
    </w:p>
    <w:p w:rsidR="0058743A" w:rsidRPr="0058743A" w:rsidRDefault="0058743A">
      <w:pPr>
        <w:pStyle w:val="TOC3"/>
        <w:tabs>
          <w:tab w:val="right" w:leader="dot" w:pos="9345"/>
        </w:tabs>
        <w:rPr>
          <w:rFonts w:asciiTheme="minorHAnsi" w:hAnsiTheme="minorHAnsi"/>
          <w:noProof/>
          <w:sz w:val="20"/>
          <w:szCs w:val="20"/>
        </w:rPr>
      </w:pPr>
      <w:r w:rsidRPr="0058743A">
        <w:rPr>
          <w:noProof/>
          <w:sz w:val="20"/>
          <w:szCs w:val="20"/>
        </w:rPr>
        <w:t>Figure 9: Overall BSA coverage (%) of women aged 50–69 years in the two years ending 30 September 2018 by District Health Board</w:t>
      </w:r>
      <w:r w:rsidRPr="0058743A">
        <w:rPr>
          <w:noProof/>
          <w:sz w:val="20"/>
          <w:szCs w:val="20"/>
        </w:rPr>
        <w:tab/>
      </w:r>
      <w:r w:rsidRPr="0058743A">
        <w:rPr>
          <w:noProof/>
          <w:sz w:val="20"/>
          <w:szCs w:val="20"/>
        </w:rPr>
        <w:fldChar w:fldCharType="begin"/>
      </w:r>
      <w:r w:rsidRPr="0058743A">
        <w:rPr>
          <w:noProof/>
          <w:sz w:val="20"/>
          <w:szCs w:val="20"/>
        </w:rPr>
        <w:instrText xml:space="preserve"> PAGEREF _Toc527554820 \h </w:instrText>
      </w:r>
      <w:r w:rsidRPr="0058743A">
        <w:rPr>
          <w:noProof/>
          <w:sz w:val="20"/>
          <w:szCs w:val="20"/>
        </w:rPr>
      </w:r>
      <w:r w:rsidRPr="0058743A">
        <w:rPr>
          <w:noProof/>
          <w:sz w:val="20"/>
          <w:szCs w:val="20"/>
        </w:rPr>
        <w:fldChar w:fldCharType="separate"/>
      </w:r>
      <w:r w:rsidR="00953013">
        <w:rPr>
          <w:noProof/>
          <w:sz w:val="20"/>
          <w:szCs w:val="20"/>
        </w:rPr>
        <w:t>12</w:t>
      </w:r>
      <w:r w:rsidRPr="0058743A">
        <w:rPr>
          <w:noProof/>
          <w:sz w:val="20"/>
          <w:szCs w:val="20"/>
        </w:rPr>
        <w:fldChar w:fldCharType="end"/>
      </w:r>
    </w:p>
    <w:p w:rsidR="00115CAE" w:rsidRPr="004149AB" w:rsidRDefault="00115CAE" w:rsidP="00F66603">
      <w:pPr>
        <w:pStyle w:val="Heading1"/>
        <w:rPr>
          <w:noProof/>
        </w:rPr>
      </w:pPr>
      <w:r w:rsidRPr="0058743A">
        <w:rPr>
          <w:noProof/>
          <w:sz w:val="20"/>
          <w:szCs w:val="20"/>
        </w:rPr>
        <w:lastRenderedPageBreak/>
        <w:fldChar w:fldCharType="end"/>
      </w:r>
      <w:bookmarkStart w:id="0" w:name="_Toc399921850"/>
      <w:bookmarkStart w:id="1" w:name="_Toc527554793"/>
      <w:r w:rsidRPr="004149AB">
        <w:rPr>
          <w:noProof/>
        </w:rPr>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EE451E" w:rsidRDefault="00EE451E" w:rsidP="00EE451E">
      <w:r w:rsidRPr="00A97460">
        <w:lastRenderedPageBreak/>
        <w:t xml:space="preserve">Numerator: Women screened in the 24 month period preceding the report end date and who are eligible for rescreening and returned for a rescreen within 20-27 months. </w:t>
      </w:r>
    </w:p>
    <w:p w:rsidR="00EE451E" w:rsidRPr="00A97460" w:rsidRDefault="00EE451E" w:rsidP="00EE451E">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EE451E" w:rsidRPr="00A97460" w:rsidRDefault="00EE451E" w:rsidP="00EE451E"/>
    <w:p w:rsidR="00EE451E" w:rsidRPr="007E28E8" w:rsidRDefault="00EE451E" w:rsidP="00EE451E">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554794"/>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BD6C2E" w:rsidRPr="00BD6C2E">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BD6C2E" w:rsidRPr="00BD6C2E">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BD6C2E" w:rsidRPr="00BD6C2E">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BD6C2E" w:rsidP="00115CAE">
      <w:pPr>
        <w:pStyle w:val="Heading1"/>
      </w:pPr>
      <w:bookmarkStart w:id="5" w:name="_Toc399921852"/>
      <w:bookmarkStart w:id="6" w:name="_Toc527554795"/>
      <w:r w:rsidRPr="00BD6C2E">
        <w:lastRenderedPageBreak/>
        <w:t>Canterbury</w:t>
      </w:r>
      <w:r w:rsidR="00C75BA8">
        <w:t xml:space="preserve"> </w:t>
      </w:r>
      <w:r w:rsidR="00115CAE">
        <w:t>c</w:t>
      </w:r>
      <w:r w:rsidR="00115CAE" w:rsidRPr="004149AB">
        <w:t>overage</w:t>
      </w:r>
      <w:bookmarkEnd w:id="4"/>
      <w:bookmarkEnd w:id="5"/>
      <w:bookmarkEnd w:id="6"/>
    </w:p>
    <w:p w:rsidR="00115CAE" w:rsidRPr="00F7148E" w:rsidRDefault="00BD6C2E" w:rsidP="00115CAE">
      <w:pPr>
        <w:pStyle w:val="Heading2"/>
      </w:pPr>
      <w:bookmarkStart w:id="7" w:name="_Toc399146164"/>
      <w:bookmarkStart w:id="8" w:name="_Toc399921853"/>
      <w:bookmarkStart w:id="9" w:name="_Toc527554796"/>
      <w:r w:rsidRPr="00BD6C2E">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BD6C2E">
        <w:t>30 September 2018</w:t>
      </w:r>
      <w:bookmarkEnd w:id="9"/>
    </w:p>
    <w:p w:rsidR="00115CAE" w:rsidRDefault="00BD3841" w:rsidP="00BD3841">
      <w:pPr>
        <w:pStyle w:val="Figure"/>
      </w:pPr>
      <w:bookmarkStart w:id="10" w:name="_Toc399497921"/>
      <w:bookmarkStart w:id="11" w:name="_Toc527554812"/>
      <w:r>
        <w:t xml:space="preserve">Figure </w:t>
      </w:r>
      <w:r w:rsidR="00B053BC">
        <w:fldChar w:fldCharType="begin"/>
      </w:r>
      <w:r w:rsidR="00B053BC">
        <w:instrText xml:space="preserve"> SEQ Figure \* ARABIC </w:instrText>
      </w:r>
      <w:r w:rsidR="00B053BC">
        <w:fldChar w:fldCharType="separate"/>
      </w:r>
      <w:r w:rsidR="00953013">
        <w:rPr>
          <w:noProof/>
        </w:rPr>
        <w:t>1</w:t>
      </w:r>
      <w:r w:rsidR="00B053BC">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D6C2E" w:rsidRPr="00BD6C2E">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BD6C2E" w:rsidP="002D25D6">
      <w:bookmarkStart w:id="12" w:name="figure_1"/>
      <w:bookmarkEnd w:id="12"/>
      <w:r>
        <w:rPr>
          <w:noProof/>
        </w:rPr>
        <w:drawing>
          <wp:inline distT="0" distB="0" distL="0" distR="0" wp14:anchorId="33771A72" wp14:editId="3F71B06F">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554737"/>
      <w:r w:rsidRPr="004F701C">
        <w:t xml:space="preserve">Table </w:t>
      </w:r>
      <w:r w:rsidR="00B053BC">
        <w:fldChar w:fldCharType="begin"/>
      </w:r>
      <w:r w:rsidR="00B053BC">
        <w:instrText xml:space="preserve"> SEQ Table \* ARABIC </w:instrText>
      </w:r>
      <w:r w:rsidR="00B053BC">
        <w:fldChar w:fldCharType="separate"/>
      </w:r>
      <w:r w:rsidR="00953013">
        <w:rPr>
          <w:noProof/>
        </w:rPr>
        <w:t>1</w:t>
      </w:r>
      <w:r w:rsidR="00B053BC">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BD6C2E" w:rsidRPr="00BD6C2E">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2A3A00" w:rsidP="00E646CB">
      <w:bookmarkStart w:id="15" w:name="table_1"/>
      <w:bookmarkEnd w:id="15"/>
      <w:r w:rsidRPr="002A3A00">
        <w:rPr>
          <w:noProof/>
        </w:rPr>
        <w:drawing>
          <wp:inline distT="0" distB="0" distL="0" distR="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BD6C2E" w:rsidP="00115CAE">
      <w:pPr>
        <w:pStyle w:val="Heading2"/>
      </w:pPr>
      <w:bookmarkStart w:id="16" w:name="_Toc399921854"/>
      <w:bookmarkStart w:id="17" w:name="_Toc527554797"/>
      <w:r w:rsidRPr="00BD6C2E">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554813"/>
      <w:r>
        <w:t xml:space="preserve">Figure </w:t>
      </w:r>
      <w:r w:rsidR="00B053BC">
        <w:fldChar w:fldCharType="begin"/>
      </w:r>
      <w:r w:rsidR="00B053BC">
        <w:instrText xml:space="preserve"> SEQ Figure \* ARABIC </w:instrText>
      </w:r>
      <w:r w:rsidR="00B053BC">
        <w:fldChar w:fldCharType="separate"/>
      </w:r>
      <w:r w:rsidR="00953013">
        <w:rPr>
          <w:noProof/>
        </w:rPr>
        <w:t>2</w:t>
      </w:r>
      <w:r w:rsidR="00B053BC">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D6C2E" w:rsidRPr="00BD6C2E">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BD6C2E" w:rsidP="00A206FE">
      <w:bookmarkStart w:id="20" w:name="figure_2"/>
      <w:bookmarkStart w:id="21" w:name="_Toc399921855"/>
      <w:bookmarkEnd w:id="20"/>
      <w:r>
        <w:rPr>
          <w:noProof/>
        </w:rPr>
        <w:drawing>
          <wp:inline distT="0" distB="0" distL="0" distR="0" wp14:anchorId="1F007CA5" wp14:editId="3F9C8F57">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E300BA" w:rsidRDefault="00E300BA" w:rsidP="00E300BA">
      <w:pPr>
        <w:pStyle w:val="Table"/>
        <w:rPr>
          <w:i/>
          <w:iCs/>
        </w:rPr>
      </w:pPr>
      <w:bookmarkStart w:id="22" w:name="_Toc527554738"/>
      <w:r>
        <w:t xml:space="preserve">Table </w:t>
      </w:r>
      <w:fldSimple w:instr=" SEQ Table \* ARABIC ">
        <w:r w:rsidR="00953013">
          <w:rPr>
            <w:noProof/>
          </w:rPr>
          <w:t>2</w:t>
        </w:r>
      </w:fldSimple>
      <w:r>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E73DC6"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82683A" w:rsidTr="00352161">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2683A" w:rsidRDefault="0082683A" w:rsidP="0082683A">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82683A" w:rsidRDefault="0082683A" w:rsidP="0082683A">
            <w:pPr>
              <w:jc w:val="right"/>
              <w:rPr>
                <w:rFonts w:ascii="Arial" w:eastAsia="Times New Roman" w:hAnsi="Arial" w:cs="Arial"/>
                <w:sz w:val="18"/>
                <w:szCs w:val="18"/>
              </w:rPr>
            </w:pPr>
            <w:r>
              <w:rPr>
                <w:rFonts w:ascii="Arial" w:hAnsi="Arial" w:cs="Arial"/>
                <w:sz w:val="18"/>
                <w:szCs w:val="18"/>
              </w:rPr>
              <w:t>298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305</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277</w:t>
            </w:r>
          </w:p>
        </w:tc>
        <w:tc>
          <w:tcPr>
            <w:tcW w:w="1504" w:type="dxa"/>
            <w:tcBorders>
              <w:top w:val="single" w:sz="8" w:space="0" w:color="auto"/>
              <w:left w:val="nil"/>
              <w:bottom w:val="single" w:sz="4" w:space="0" w:color="D9D9D9"/>
              <w:right w:val="single" w:sz="8"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405</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82683A" w:rsidRDefault="0082683A" w:rsidP="0082683A">
            <w:pPr>
              <w:jc w:val="right"/>
              <w:rPr>
                <w:rFonts w:ascii="Arial" w:hAnsi="Arial" w:cs="Arial"/>
                <w:sz w:val="18"/>
                <w:szCs w:val="18"/>
              </w:rPr>
            </w:pPr>
            <w:r>
              <w:rPr>
                <w:rFonts w:ascii="Arial" w:hAnsi="Arial" w:cs="Arial"/>
                <w:sz w:val="18"/>
                <w:szCs w:val="18"/>
              </w:rPr>
              <w:t>336</w:t>
            </w:r>
          </w:p>
        </w:tc>
      </w:tr>
      <w:tr w:rsidR="0082683A" w:rsidTr="00352161">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2683A" w:rsidRDefault="0082683A" w:rsidP="0082683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80</w:t>
            </w:r>
          </w:p>
        </w:tc>
        <w:tc>
          <w:tcPr>
            <w:tcW w:w="1504" w:type="dxa"/>
            <w:tcBorders>
              <w:top w:val="nil"/>
              <w:left w:val="nil"/>
              <w:bottom w:val="single" w:sz="4" w:space="0" w:color="D9D9D9"/>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71</w:t>
            </w:r>
          </w:p>
        </w:tc>
        <w:tc>
          <w:tcPr>
            <w:tcW w:w="1503" w:type="dxa"/>
            <w:tcBorders>
              <w:top w:val="nil"/>
              <w:left w:val="nil"/>
              <w:bottom w:val="single" w:sz="4" w:space="0" w:color="D9D9D9"/>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52</w:t>
            </w:r>
          </w:p>
        </w:tc>
        <w:tc>
          <w:tcPr>
            <w:tcW w:w="1504" w:type="dxa"/>
            <w:tcBorders>
              <w:top w:val="nil"/>
              <w:left w:val="nil"/>
              <w:bottom w:val="single" w:sz="4" w:space="0" w:color="D9D9D9"/>
              <w:right w:val="single" w:sz="8"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93</w:t>
            </w:r>
          </w:p>
        </w:tc>
        <w:tc>
          <w:tcPr>
            <w:tcW w:w="1504" w:type="dxa"/>
            <w:tcBorders>
              <w:top w:val="nil"/>
              <w:left w:val="single" w:sz="4" w:space="0" w:color="auto"/>
              <w:bottom w:val="single" w:sz="4" w:space="0" w:color="D9D9D9"/>
              <w:right w:val="single" w:sz="8" w:space="0" w:color="auto"/>
            </w:tcBorders>
            <w:shd w:val="clear" w:color="auto" w:fill="auto"/>
            <w:vAlign w:val="center"/>
          </w:tcPr>
          <w:p w:rsidR="0082683A" w:rsidRDefault="0082683A" w:rsidP="0082683A">
            <w:pPr>
              <w:jc w:val="right"/>
              <w:rPr>
                <w:rFonts w:ascii="Arial" w:hAnsi="Arial" w:cs="Arial"/>
                <w:sz w:val="18"/>
                <w:szCs w:val="18"/>
              </w:rPr>
            </w:pPr>
            <w:r>
              <w:rPr>
                <w:rFonts w:ascii="Arial" w:hAnsi="Arial" w:cs="Arial"/>
                <w:sz w:val="18"/>
                <w:szCs w:val="18"/>
              </w:rPr>
              <w:t>93</w:t>
            </w:r>
          </w:p>
        </w:tc>
      </w:tr>
      <w:tr w:rsidR="0082683A" w:rsidTr="00352161">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2683A" w:rsidRDefault="0082683A" w:rsidP="0082683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8,135</w:t>
            </w:r>
          </w:p>
        </w:tc>
        <w:tc>
          <w:tcPr>
            <w:tcW w:w="1504" w:type="dxa"/>
            <w:tcBorders>
              <w:top w:val="nil"/>
              <w:left w:val="nil"/>
              <w:bottom w:val="nil"/>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5,138</w:t>
            </w:r>
          </w:p>
        </w:tc>
        <w:tc>
          <w:tcPr>
            <w:tcW w:w="1503" w:type="dxa"/>
            <w:tcBorders>
              <w:top w:val="nil"/>
              <w:left w:val="nil"/>
              <w:bottom w:val="nil"/>
              <w:right w:val="single" w:sz="4"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5,683</w:t>
            </w:r>
          </w:p>
        </w:tc>
        <w:tc>
          <w:tcPr>
            <w:tcW w:w="1504" w:type="dxa"/>
            <w:tcBorders>
              <w:top w:val="nil"/>
              <w:left w:val="nil"/>
              <w:bottom w:val="nil"/>
              <w:right w:val="single" w:sz="8" w:space="0" w:color="auto"/>
            </w:tcBorders>
            <w:shd w:val="clear" w:color="auto" w:fill="auto"/>
            <w:noWrap/>
            <w:vAlign w:val="center"/>
          </w:tcPr>
          <w:p w:rsidR="0082683A" w:rsidRDefault="0082683A" w:rsidP="0082683A">
            <w:pPr>
              <w:jc w:val="right"/>
              <w:rPr>
                <w:rFonts w:ascii="Arial" w:hAnsi="Arial" w:cs="Arial"/>
                <w:sz w:val="18"/>
                <w:szCs w:val="18"/>
              </w:rPr>
            </w:pPr>
            <w:r>
              <w:rPr>
                <w:rFonts w:ascii="Arial" w:hAnsi="Arial" w:cs="Arial"/>
                <w:sz w:val="18"/>
                <w:szCs w:val="18"/>
              </w:rPr>
              <w:t>5,865</w:t>
            </w:r>
          </w:p>
        </w:tc>
        <w:tc>
          <w:tcPr>
            <w:tcW w:w="1504" w:type="dxa"/>
            <w:tcBorders>
              <w:top w:val="nil"/>
              <w:left w:val="single" w:sz="4" w:space="0" w:color="auto"/>
              <w:bottom w:val="nil"/>
              <w:right w:val="single" w:sz="8" w:space="0" w:color="auto"/>
            </w:tcBorders>
            <w:shd w:val="clear" w:color="auto" w:fill="auto"/>
            <w:vAlign w:val="center"/>
          </w:tcPr>
          <w:p w:rsidR="0082683A" w:rsidRDefault="0082683A" w:rsidP="0082683A">
            <w:pPr>
              <w:jc w:val="right"/>
              <w:rPr>
                <w:rFonts w:ascii="Arial" w:hAnsi="Arial" w:cs="Arial"/>
                <w:sz w:val="18"/>
                <w:szCs w:val="18"/>
              </w:rPr>
            </w:pPr>
            <w:r>
              <w:rPr>
                <w:rFonts w:ascii="Arial" w:hAnsi="Arial" w:cs="Arial"/>
                <w:sz w:val="18"/>
                <w:szCs w:val="18"/>
              </w:rPr>
              <w:t>7,653</w:t>
            </w:r>
          </w:p>
        </w:tc>
      </w:tr>
      <w:tr w:rsidR="0082683A" w:rsidTr="00352161">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2683A" w:rsidRDefault="0082683A" w:rsidP="0082683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2683A" w:rsidRDefault="0082683A" w:rsidP="0082683A">
            <w:pPr>
              <w:jc w:val="right"/>
              <w:rPr>
                <w:rFonts w:ascii="Arial" w:hAnsi="Arial" w:cs="Arial"/>
                <w:b/>
                <w:bCs/>
                <w:sz w:val="18"/>
                <w:szCs w:val="18"/>
              </w:rPr>
            </w:pPr>
            <w:r>
              <w:rPr>
                <w:rFonts w:ascii="Arial" w:hAnsi="Arial" w:cs="Arial"/>
                <w:b/>
                <w:bCs/>
                <w:sz w:val="18"/>
                <w:szCs w:val="18"/>
              </w:rPr>
              <w:t>8,513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2683A" w:rsidRDefault="0082683A" w:rsidP="0082683A">
            <w:pPr>
              <w:jc w:val="right"/>
              <w:rPr>
                <w:rFonts w:ascii="Arial" w:hAnsi="Arial" w:cs="Arial"/>
                <w:b/>
                <w:bCs/>
                <w:sz w:val="18"/>
                <w:szCs w:val="18"/>
              </w:rPr>
            </w:pPr>
            <w:r>
              <w:rPr>
                <w:rFonts w:ascii="Arial" w:hAnsi="Arial" w:cs="Arial"/>
                <w:b/>
                <w:bCs/>
                <w:sz w:val="18"/>
                <w:szCs w:val="18"/>
              </w:rPr>
              <w:t>5,514</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82683A" w:rsidRDefault="0082683A" w:rsidP="0082683A">
            <w:pPr>
              <w:jc w:val="right"/>
              <w:rPr>
                <w:rFonts w:ascii="Arial" w:hAnsi="Arial" w:cs="Arial"/>
                <w:b/>
                <w:bCs/>
                <w:sz w:val="18"/>
                <w:szCs w:val="18"/>
              </w:rPr>
            </w:pPr>
            <w:r>
              <w:rPr>
                <w:rFonts w:ascii="Arial" w:hAnsi="Arial" w:cs="Arial"/>
                <w:b/>
                <w:bCs/>
                <w:sz w:val="18"/>
                <w:szCs w:val="18"/>
              </w:rPr>
              <w:t>6,012</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82683A" w:rsidRDefault="0082683A" w:rsidP="0082683A">
            <w:pPr>
              <w:jc w:val="right"/>
              <w:rPr>
                <w:rFonts w:ascii="Arial" w:hAnsi="Arial" w:cs="Arial"/>
                <w:b/>
                <w:bCs/>
                <w:sz w:val="18"/>
                <w:szCs w:val="18"/>
              </w:rPr>
            </w:pPr>
            <w:r>
              <w:rPr>
                <w:rFonts w:ascii="Arial" w:hAnsi="Arial" w:cs="Arial"/>
                <w:b/>
                <w:bCs/>
                <w:sz w:val="18"/>
                <w:szCs w:val="18"/>
              </w:rPr>
              <w:t>6,363</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82683A" w:rsidRDefault="0082683A" w:rsidP="0082683A">
            <w:pPr>
              <w:jc w:val="right"/>
              <w:rPr>
                <w:rFonts w:ascii="Arial" w:hAnsi="Arial" w:cs="Arial"/>
                <w:b/>
                <w:bCs/>
                <w:sz w:val="18"/>
                <w:szCs w:val="18"/>
              </w:rPr>
            </w:pPr>
            <w:r>
              <w:rPr>
                <w:rFonts w:ascii="Arial" w:hAnsi="Arial" w:cs="Arial"/>
                <w:b/>
                <w:bCs/>
                <w:sz w:val="18"/>
                <w:szCs w:val="18"/>
              </w:rPr>
              <w:t>8,082</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554798"/>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554739"/>
      <w:r>
        <w:t xml:space="preserve">Table </w:t>
      </w:r>
      <w:r w:rsidR="00B053BC">
        <w:fldChar w:fldCharType="begin"/>
      </w:r>
      <w:r w:rsidR="00B053BC">
        <w:instrText xml:space="preserve"> SEQ Table \* ARABIC </w:instrText>
      </w:r>
      <w:r w:rsidR="00B053BC">
        <w:fldChar w:fldCharType="separate"/>
      </w:r>
      <w:r w:rsidR="00953013">
        <w:rPr>
          <w:noProof/>
        </w:rPr>
        <w:t>3</w:t>
      </w:r>
      <w:r w:rsidR="00B053BC">
        <w:rPr>
          <w:noProof/>
        </w:rPr>
        <w:fldChar w:fldCharType="end"/>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82683A" w:rsidRPr="00B54E4D" w:rsidTr="009D5608">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82683A" w:rsidRPr="00B54E4D" w:rsidRDefault="0082683A" w:rsidP="0082683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82683A" w:rsidRDefault="0082683A" w:rsidP="0082683A">
            <w:pPr>
              <w:jc w:val="right"/>
              <w:rPr>
                <w:rFonts w:ascii="Arial" w:eastAsia="Times New Roman" w:hAnsi="Arial" w:cs="Arial"/>
                <w:color w:val="000000"/>
                <w:sz w:val="20"/>
                <w:szCs w:val="20"/>
              </w:rPr>
            </w:pPr>
            <w:r>
              <w:rPr>
                <w:rFonts w:ascii="Arial" w:hAnsi="Arial" w:cs="Arial"/>
                <w:color w:val="000000"/>
                <w:sz w:val="20"/>
                <w:szCs w:val="20"/>
              </w:rPr>
              <w:t>73</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44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60.3%</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(48.1, 71.5)</w:t>
            </w:r>
          </w:p>
        </w:tc>
      </w:tr>
      <w:tr w:rsidR="0082683A" w:rsidRPr="00B54E4D" w:rsidTr="009D560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2683A" w:rsidRPr="00B54E4D" w:rsidRDefault="0082683A" w:rsidP="0082683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24</w:t>
            </w:r>
          </w:p>
        </w:tc>
        <w:tc>
          <w:tcPr>
            <w:tcW w:w="1835" w:type="dxa"/>
            <w:tcBorders>
              <w:top w:val="nil"/>
              <w:left w:val="nil"/>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9</w:t>
            </w:r>
          </w:p>
        </w:tc>
        <w:tc>
          <w:tcPr>
            <w:tcW w:w="1835" w:type="dxa"/>
            <w:tcBorders>
              <w:top w:val="nil"/>
              <w:left w:val="nil"/>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37.5%</w:t>
            </w:r>
          </w:p>
        </w:tc>
        <w:tc>
          <w:tcPr>
            <w:tcW w:w="1835" w:type="dxa"/>
            <w:tcBorders>
              <w:top w:val="nil"/>
              <w:left w:val="nil"/>
              <w:bottom w:val="single" w:sz="4" w:space="0" w:color="D9D9D9"/>
              <w:right w:val="single" w:sz="8" w:space="0" w:color="auto"/>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(18.8, 59.4)</w:t>
            </w:r>
          </w:p>
        </w:tc>
      </w:tr>
      <w:tr w:rsidR="0082683A" w:rsidRPr="00B54E4D" w:rsidTr="009D560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2683A" w:rsidRPr="00B54E4D" w:rsidRDefault="0082683A" w:rsidP="0082683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1,062</w:t>
            </w:r>
          </w:p>
        </w:tc>
        <w:tc>
          <w:tcPr>
            <w:tcW w:w="1835" w:type="dxa"/>
            <w:tcBorders>
              <w:top w:val="nil"/>
              <w:left w:val="nil"/>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718</w:t>
            </w:r>
          </w:p>
        </w:tc>
        <w:tc>
          <w:tcPr>
            <w:tcW w:w="1835" w:type="dxa"/>
            <w:tcBorders>
              <w:top w:val="nil"/>
              <w:left w:val="nil"/>
              <w:bottom w:val="single" w:sz="4" w:space="0" w:color="D9D9D9"/>
              <w:right w:val="single" w:sz="4" w:space="0" w:color="D9D9D9"/>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67.6%</w:t>
            </w:r>
          </w:p>
        </w:tc>
        <w:tc>
          <w:tcPr>
            <w:tcW w:w="1835" w:type="dxa"/>
            <w:tcBorders>
              <w:top w:val="nil"/>
              <w:left w:val="nil"/>
              <w:bottom w:val="single" w:sz="4" w:space="0" w:color="D9D9D9"/>
              <w:right w:val="single" w:sz="8" w:space="0" w:color="auto"/>
            </w:tcBorders>
            <w:shd w:val="clear" w:color="auto" w:fill="auto"/>
            <w:noWrap/>
            <w:vAlign w:val="center"/>
          </w:tcPr>
          <w:p w:rsidR="0082683A" w:rsidRDefault="0082683A" w:rsidP="0082683A">
            <w:pPr>
              <w:jc w:val="right"/>
              <w:rPr>
                <w:rFonts w:ascii="Arial" w:hAnsi="Arial" w:cs="Arial"/>
                <w:color w:val="000000"/>
                <w:sz w:val="20"/>
                <w:szCs w:val="20"/>
              </w:rPr>
            </w:pPr>
            <w:r>
              <w:rPr>
                <w:rFonts w:ascii="Arial" w:hAnsi="Arial" w:cs="Arial"/>
                <w:color w:val="000000"/>
                <w:sz w:val="20"/>
                <w:szCs w:val="20"/>
              </w:rPr>
              <w:t>(64.7, 70.4)</w:t>
            </w:r>
          </w:p>
        </w:tc>
      </w:tr>
      <w:tr w:rsidR="0082683A" w:rsidRPr="00B54E4D" w:rsidTr="009D5608">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82683A" w:rsidRPr="00B54E4D" w:rsidRDefault="0082683A" w:rsidP="0082683A">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82683A" w:rsidRDefault="0082683A" w:rsidP="0082683A">
            <w:pPr>
              <w:jc w:val="right"/>
              <w:rPr>
                <w:rFonts w:ascii="Arial" w:hAnsi="Arial" w:cs="Arial"/>
                <w:b/>
                <w:bCs/>
                <w:color w:val="000000"/>
                <w:sz w:val="20"/>
                <w:szCs w:val="20"/>
              </w:rPr>
            </w:pPr>
            <w:r>
              <w:rPr>
                <w:rFonts w:ascii="Arial" w:hAnsi="Arial" w:cs="Arial"/>
                <w:b/>
                <w:bCs/>
                <w:color w:val="000000"/>
                <w:sz w:val="20"/>
                <w:szCs w:val="20"/>
              </w:rPr>
              <w:t>1,159</w:t>
            </w:r>
          </w:p>
        </w:tc>
        <w:tc>
          <w:tcPr>
            <w:tcW w:w="1835" w:type="dxa"/>
            <w:tcBorders>
              <w:top w:val="nil"/>
              <w:left w:val="nil"/>
              <w:bottom w:val="single" w:sz="8" w:space="0" w:color="auto"/>
              <w:right w:val="single" w:sz="4" w:space="0" w:color="D9D9D9"/>
            </w:tcBorders>
            <w:shd w:val="clear" w:color="000000" w:fill="F2F2F2"/>
            <w:noWrap/>
            <w:vAlign w:val="center"/>
          </w:tcPr>
          <w:p w:rsidR="0082683A" w:rsidRDefault="0082683A" w:rsidP="0082683A">
            <w:pPr>
              <w:jc w:val="right"/>
              <w:rPr>
                <w:rFonts w:ascii="Arial" w:hAnsi="Arial" w:cs="Arial"/>
                <w:b/>
                <w:bCs/>
                <w:color w:val="000000"/>
                <w:sz w:val="20"/>
                <w:szCs w:val="20"/>
              </w:rPr>
            </w:pPr>
            <w:r>
              <w:rPr>
                <w:rFonts w:ascii="Arial" w:hAnsi="Arial" w:cs="Arial"/>
                <w:b/>
                <w:bCs/>
                <w:color w:val="000000"/>
                <w:sz w:val="20"/>
                <w:szCs w:val="20"/>
              </w:rPr>
              <w:t>771</w:t>
            </w:r>
          </w:p>
        </w:tc>
        <w:tc>
          <w:tcPr>
            <w:tcW w:w="1835" w:type="dxa"/>
            <w:tcBorders>
              <w:top w:val="nil"/>
              <w:left w:val="nil"/>
              <w:bottom w:val="single" w:sz="8" w:space="0" w:color="auto"/>
              <w:right w:val="single" w:sz="4" w:space="0" w:color="D9D9D9"/>
            </w:tcBorders>
            <w:shd w:val="clear" w:color="000000" w:fill="F2F2F2"/>
            <w:noWrap/>
            <w:vAlign w:val="center"/>
          </w:tcPr>
          <w:p w:rsidR="0082683A" w:rsidRDefault="0082683A" w:rsidP="0082683A">
            <w:pPr>
              <w:jc w:val="right"/>
              <w:rPr>
                <w:rFonts w:ascii="Arial" w:hAnsi="Arial" w:cs="Arial"/>
                <w:b/>
                <w:bCs/>
                <w:color w:val="000000"/>
                <w:sz w:val="20"/>
                <w:szCs w:val="20"/>
              </w:rPr>
            </w:pPr>
            <w:r>
              <w:rPr>
                <w:rFonts w:ascii="Arial" w:hAnsi="Arial" w:cs="Arial"/>
                <w:b/>
                <w:bCs/>
                <w:color w:val="000000"/>
                <w:sz w:val="20"/>
                <w:szCs w:val="20"/>
              </w:rPr>
              <w:t>66.5%</w:t>
            </w:r>
          </w:p>
        </w:tc>
        <w:tc>
          <w:tcPr>
            <w:tcW w:w="1835" w:type="dxa"/>
            <w:tcBorders>
              <w:top w:val="nil"/>
              <w:left w:val="nil"/>
              <w:bottom w:val="single" w:sz="8" w:space="0" w:color="auto"/>
              <w:right w:val="single" w:sz="8" w:space="0" w:color="auto"/>
            </w:tcBorders>
            <w:shd w:val="clear" w:color="000000" w:fill="F2F2F2"/>
            <w:noWrap/>
            <w:vAlign w:val="center"/>
          </w:tcPr>
          <w:p w:rsidR="0082683A" w:rsidRDefault="0082683A" w:rsidP="0082683A">
            <w:pPr>
              <w:jc w:val="right"/>
              <w:rPr>
                <w:rFonts w:ascii="Arial" w:hAnsi="Arial" w:cs="Arial"/>
                <w:b/>
                <w:bCs/>
                <w:color w:val="000000"/>
                <w:sz w:val="20"/>
                <w:szCs w:val="20"/>
              </w:rPr>
            </w:pPr>
            <w:r>
              <w:rPr>
                <w:rFonts w:ascii="Arial" w:hAnsi="Arial" w:cs="Arial"/>
                <w:b/>
                <w:bCs/>
                <w:color w:val="000000"/>
                <w:sz w:val="20"/>
                <w:szCs w:val="20"/>
              </w:rPr>
              <w:t>(63.7, 69.2)</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554814"/>
      <w:r w:rsidRPr="00514C92">
        <w:t xml:space="preserve">Figure </w:t>
      </w:r>
      <w:r w:rsidR="00B053BC">
        <w:fldChar w:fldCharType="begin"/>
      </w:r>
      <w:r w:rsidR="00B053BC">
        <w:instrText xml:space="preserve"> SEQ Figure \* ARABIC </w:instrText>
      </w:r>
      <w:r w:rsidR="00B053BC">
        <w:fldChar w:fldCharType="separate"/>
      </w:r>
      <w:r w:rsidR="00953013">
        <w:rPr>
          <w:noProof/>
        </w:rPr>
        <w:t>3</w:t>
      </w:r>
      <w:r w:rsidR="00B053BC">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82683A" w:rsidP="00B54E4D">
      <w:r>
        <w:rPr>
          <w:noProof/>
        </w:rPr>
        <w:drawing>
          <wp:inline distT="0" distB="0" distL="0" distR="0" wp14:anchorId="3C2EB06A" wp14:editId="58DAED6E">
            <wp:extent cx="4954773" cy="2955851"/>
            <wp:effectExtent l="0" t="0" r="17780"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6AC5" w:rsidRDefault="004F6AC5" w:rsidP="004F6AC5"/>
    <w:p w:rsidR="0082683A" w:rsidRDefault="0082683A">
      <w:pPr>
        <w:spacing w:after="200"/>
        <w:rPr>
          <w:rFonts w:eastAsiaTheme="majorEastAsia" w:cstheme="majorBidi"/>
          <w:b/>
          <w:bCs/>
          <w:sz w:val="36"/>
          <w:szCs w:val="28"/>
        </w:rPr>
      </w:pPr>
      <w:r>
        <w:br w:type="page"/>
      </w:r>
    </w:p>
    <w:p w:rsidR="00F66CD2" w:rsidRDefault="00115CAE" w:rsidP="00F66CD2">
      <w:pPr>
        <w:pStyle w:val="Heading1"/>
      </w:pPr>
      <w:bookmarkStart w:id="33" w:name="_Toc527554799"/>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55480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D6C2E" w:rsidRPr="00BD6C2E">
        <w:t>30 September 2018</w:t>
      </w:r>
      <w:bookmarkEnd w:id="36"/>
    </w:p>
    <w:p w:rsidR="00F66CD2" w:rsidRDefault="00FE0172" w:rsidP="002B0ED8">
      <w:pPr>
        <w:pStyle w:val="Figure"/>
      </w:pPr>
      <w:bookmarkStart w:id="37" w:name="_Toc399497923"/>
      <w:bookmarkStart w:id="38" w:name="_Toc527554815"/>
      <w:r>
        <w:t xml:space="preserve">Figure </w:t>
      </w:r>
      <w:r w:rsidR="00B053BC">
        <w:fldChar w:fldCharType="begin"/>
      </w:r>
      <w:r w:rsidR="00B053BC">
        <w:instrText xml:space="preserve"> SEQ Figure \* ARABIC </w:instrText>
      </w:r>
      <w:r w:rsidR="00B053BC">
        <w:fldChar w:fldCharType="separate"/>
      </w:r>
      <w:r w:rsidR="00953013">
        <w:rPr>
          <w:noProof/>
        </w:rPr>
        <w:t>4</w:t>
      </w:r>
      <w:r w:rsidR="00B053BC">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D6C2E" w:rsidRPr="00BD6C2E">
        <w:t>30 September 2018</w:t>
      </w:r>
      <w:r w:rsidR="00F66CD2">
        <w:t xml:space="preserve"> </w:t>
      </w:r>
      <w:r w:rsidR="00F66CD2" w:rsidRPr="00F17732">
        <w:t xml:space="preserve">by </w:t>
      </w:r>
      <w:r w:rsidR="00F66CD2">
        <w:t>District Health Board</w:t>
      </w:r>
      <w:bookmarkEnd w:id="37"/>
      <w:bookmarkEnd w:id="38"/>
    </w:p>
    <w:p w:rsidR="00D83F91" w:rsidRPr="00D83F91" w:rsidRDefault="00DE061E" w:rsidP="00D83F91">
      <w:bookmarkStart w:id="39" w:name="figure_3"/>
      <w:bookmarkEnd w:id="34"/>
      <w:bookmarkEnd w:id="35"/>
      <w:bookmarkEnd w:id="39"/>
      <w:r>
        <w:rPr>
          <w:noProof/>
        </w:rPr>
        <w:drawing>
          <wp:inline distT="0" distB="0" distL="0" distR="0" wp14:anchorId="3B361287">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554816"/>
      <w:r>
        <w:t xml:space="preserve">Figure </w:t>
      </w:r>
      <w:r w:rsidR="00B053BC">
        <w:fldChar w:fldCharType="begin"/>
      </w:r>
      <w:r w:rsidR="00B053BC">
        <w:instrText xml:space="preserve"> SEQ Figure \* ARABIC </w:instrText>
      </w:r>
      <w:r w:rsidR="00B053BC">
        <w:fldChar w:fldCharType="separate"/>
      </w:r>
      <w:r w:rsidR="00953013">
        <w:rPr>
          <w:noProof/>
        </w:rPr>
        <w:t>5</w:t>
      </w:r>
      <w:r w:rsidR="00B053BC">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D6C2E" w:rsidRPr="00BD6C2E">
        <w:t>30 September 2018</w:t>
      </w:r>
      <w:r w:rsidR="00115CAE" w:rsidRPr="002171C9">
        <w:t xml:space="preserve"> by </w:t>
      </w:r>
      <w:r w:rsidR="00B718BD">
        <w:t>District Health Board</w:t>
      </w:r>
      <w:bookmarkEnd w:id="40"/>
      <w:bookmarkEnd w:id="41"/>
    </w:p>
    <w:p w:rsidR="00115CAE" w:rsidRDefault="00DE061E" w:rsidP="00115CAE">
      <w:bookmarkStart w:id="42" w:name="figure_4"/>
      <w:bookmarkEnd w:id="42"/>
      <w:r>
        <w:rPr>
          <w:noProof/>
        </w:rPr>
        <w:drawing>
          <wp:inline distT="0" distB="0" distL="0" distR="0" wp14:anchorId="4F17F79A">
            <wp:extent cx="4651375" cy="3243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554817"/>
      <w:r>
        <w:lastRenderedPageBreak/>
        <w:t xml:space="preserve">Figure </w:t>
      </w:r>
      <w:r w:rsidR="00B053BC">
        <w:fldChar w:fldCharType="begin"/>
      </w:r>
      <w:r w:rsidR="00B053BC">
        <w:instrText xml:space="preserve"> SEQ Figure \* ARABIC </w:instrText>
      </w:r>
      <w:r w:rsidR="00B053BC">
        <w:fldChar w:fldCharType="separate"/>
      </w:r>
      <w:r w:rsidR="00953013">
        <w:rPr>
          <w:noProof/>
        </w:rPr>
        <w:t>6</w:t>
      </w:r>
      <w:r w:rsidR="00B053BC">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D6C2E" w:rsidRPr="00BD6C2E">
        <w:t>30 September 2018</w:t>
      </w:r>
      <w:r w:rsidR="00115CAE" w:rsidRPr="002171C9">
        <w:t xml:space="preserve"> by </w:t>
      </w:r>
      <w:r w:rsidR="00B718BD">
        <w:t>District Health Board</w:t>
      </w:r>
      <w:bookmarkEnd w:id="44"/>
      <w:bookmarkEnd w:id="45"/>
    </w:p>
    <w:p w:rsidR="009376F1" w:rsidRPr="00C9547D" w:rsidRDefault="00B053BC" w:rsidP="009376F1">
      <w:bookmarkStart w:id="46" w:name="figure_6"/>
      <w:bookmarkStart w:id="47" w:name="_GoBack"/>
      <w:bookmarkEnd w:id="46"/>
      <w:bookmarkEnd w:id="47"/>
      <w:r>
        <w:rPr>
          <w:noProof/>
        </w:rPr>
        <w:drawing>
          <wp:inline distT="0" distB="0" distL="0" distR="0" wp14:anchorId="0FBC58FC">
            <wp:extent cx="4651375" cy="3243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554818"/>
      <w:r>
        <w:lastRenderedPageBreak/>
        <w:t xml:space="preserve">Figure </w:t>
      </w:r>
      <w:r w:rsidR="00B053BC">
        <w:fldChar w:fldCharType="begin"/>
      </w:r>
      <w:r w:rsidR="00B053BC">
        <w:instrText xml:space="preserve"> SEQ Figure \* ARABIC </w:instrText>
      </w:r>
      <w:r w:rsidR="00B053BC">
        <w:fldChar w:fldCharType="separate"/>
      </w:r>
      <w:r w:rsidR="00953013">
        <w:rPr>
          <w:noProof/>
        </w:rPr>
        <w:t>7</w:t>
      </w:r>
      <w:r w:rsidR="00B053BC">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D6C2E" w:rsidRPr="00BD6C2E">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554819"/>
      <w:r>
        <w:lastRenderedPageBreak/>
        <w:t xml:space="preserve">Figure </w:t>
      </w:r>
      <w:r w:rsidR="00B053BC">
        <w:fldChar w:fldCharType="begin"/>
      </w:r>
      <w:r w:rsidR="00B053BC">
        <w:instrText xml:space="preserve"> SEQ Figure \* ARABIC </w:instrText>
      </w:r>
      <w:r w:rsidR="00B053BC">
        <w:fldChar w:fldCharType="separate"/>
      </w:r>
      <w:r w:rsidR="00953013">
        <w:rPr>
          <w:noProof/>
        </w:rPr>
        <w:t>8</w:t>
      </w:r>
      <w:r w:rsidR="00B053BC">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D6C2E" w:rsidRPr="00BD6C2E">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554820"/>
      <w:r>
        <w:t xml:space="preserve">Figure </w:t>
      </w:r>
      <w:r w:rsidR="00B053BC">
        <w:fldChar w:fldCharType="begin"/>
      </w:r>
      <w:r w:rsidR="00B053BC">
        <w:instrText xml:space="preserve"> SEQ Figure \* ARABIC </w:instrText>
      </w:r>
      <w:r w:rsidR="00B053BC">
        <w:fldChar w:fldCharType="separate"/>
      </w:r>
      <w:r w:rsidR="00953013">
        <w:rPr>
          <w:noProof/>
        </w:rPr>
        <w:t>9</w:t>
      </w:r>
      <w:r w:rsidR="00B053BC">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D6C2E" w:rsidRPr="00BD6C2E">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554740"/>
      <w:r w:rsidRPr="004F701C">
        <w:lastRenderedPageBreak/>
        <w:t xml:space="preserve">Table </w:t>
      </w:r>
      <w:r w:rsidR="00E300BA">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BD6C2E" w:rsidRPr="00BD6C2E">
        <w:t>30 September 2018</w:t>
      </w:r>
      <w:r w:rsidR="00115CAE" w:rsidRPr="004F701C">
        <w:t xml:space="preserve"> by </w:t>
      </w:r>
      <w:r w:rsidR="00B718BD" w:rsidRPr="004F701C">
        <w:t>District Health Board</w:t>
      </w:r>
      <w:bookmarkEnd w:id="51"/>
      <w:bookmarkEnd w:id="52"/>
    </w:p>
    <w:p w:rsidR="00CE24C5" w:rsidRPr="00CE24C5" w:rsidRDefault="002A3A00" w:rsidP="00CE24C5">
      <w:bookmarkStart w:id="53" w:name="table_2"/>
      <w:bookmarkEnd w:id="53"/>
      <w:r w:rsidRPr="002A3A00">
        <w:rPr>
          <w:noProof/>
        </w:rPr>
        <w:drawing>
          <wp:inline distT="0" distB="0" distL="0" distR="0">
            <wp:extent cx="9253220" cy="452177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554801"/>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554741"/>
      <w:r w:rsidRPr="004F701C">
        <w:t xml:space="preserve">Table </w:t>
      </w:r>
      <w:r w:rsidR="00E300BA">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BD6C2E" w:rsidRPr="00BD6C2E">
        <w:t>30 September, 2016, 2017, 2018</w:t>
      </w:r>
      <w:r w:rsidR="00115CAE" w:rsidRPr="004F701C">
        <w:t xml:space="preserve">, by ethnicity and </w:t>
      </w:r>
      <w:r w:rsidR="00B718BD" w:rsidRPr="004F701C">
        <w:t>District Health Board</w:t>
      </w:r>
      <w:bookmarkEnd w:id="56"/>
      <w:bookmarkEnd w:id="57"/>
    </w:p>
    <w:p w:rsidR="006B45AA" w:rsidRPr="006B45AA" w:rsidRDefault="00E300BA" w:rsidP="006B45AA">
      <w:bookmarkStart w:id="58" w:name="table_3"/>
      <w:bookmarkEnd w:id="58"/>
      <w:r w:rsidRPr="00E300BA">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B053BC">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B053BC">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3A00"/>
    <w:rsid w:val="002A5770"/>
    <w:rsid w:val="002B0ED8"/>
    <w:rsid w:val="002B1E5A"/>
    <w:rsid w:val="002B6CFE"/>
    <w:rsid w:val="002D06D3"/>
    <w:rsid w:val="002D25D6"/>
    <w:rsid w:val="002F1217"/>
    <w:rsid w:val="002F360A"/>
    <w:rsid w:val="00303A87"/>
    <w:rsid w:val="003074B1"/>
    <w:rsid w:val="00312010"/>
    <w:rsid w:val="0031619E"/>
    <w:rsid w:val="00317252"/>
    <w:rsid w:val="00326223"/>
    <w:rsid w:val="00327229"/>
    <w:rsid w:val="00340577"/>
    <w:rsid w:val="003557B2"/>
    <w:rsid w:val="00357686"/>
    <w:rsid w:val="00363C24"/>
    <w:rsid w:val="0036623D"/>
    <w:rsid w:val="003669D4"/>
    <w:rsid w:val="00372639"/>
    <w:rsid w:val="00376CBF"/>
    <w:rsid w:val="00393D33"/>
    <w:rsid w:val="003B3A4B"/>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10C"/>
    <w:rsid w:val="0050463E"/>
    <w:rsid w:val="0050510D"/>
    <w:rsid w:val="00532664"/>
    <w:rsid w:val="0056042A"/>
    <w:rsid w:val="005631A2"/>
    <w:rsid w:val="005649ED"/>
    <w:rsid w:val="00565780"/>
    <w:rsid w:val="0056684C"/>
    <w:rsid w:val="00576B92"/>
    <w:rsid w:val="005834E2"/>
    <w:rsid w:val="00585B52"/>
    <w:rsid w:val="0058743A"/>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3D51"/>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2683A"/>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3013"/>
    <w:rsid w:val="009559B1"/>
    <w:rsid w:val="009866FE"/>
    <w:rsid w:val="00990ADC"/>
    <w:rsid w:val="00990D29"/>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87852"/>
    <w:rsid w:val="00A97460"/>
    <w:rsid w:val="00AA7E28"/>
    <w:rsid w:val="00AB1B08"/>
    <w:rsid w:val="00AE1525"/>
    <w:rsid w:val="00AE623F"/>
    <w:rsid w:val="00AF3065"/>
    <w:rsid w:val="00B053BC"/>
    <w:rsid w:val="00B053F8"/>
    <w:rsid w:val="00B12EFD"/>
    <w:rsid w:val="00B16269"/>
    <w:rsid w:val="00B2412A"/>
    <w:rsid w:val="00B41599"/>
    <w:rsid w:val="00B52C33"/>
    <w:rsid w:val="00B5410F"/>
    <w:rsid w:val="00B54E4D"/>
    <w:rsid w:val="00B718BD"/>
    <w:rsid w:val="00B72A22"/>
    <w:rsid w:val="00BB087C"/>
    <w:rsid w:val="00BD3841"/>
    <w:rsid w:val="00BD6C2E"/>
    <w:rsid w:val="00BE4ED8"/>
    <w:rsid w:val="00BE654A"/>
    <w:rsid w:val="00BE7A83"/>
    <w:rsid w:val="00BF27D3"/>
    <w:rsid w:val="00BF51B0"/>
    <w:rsid w:val="00BF5453"/>
    <w:rsid w:val="00C168F9"/>
    <w:rsid w:val="00C45A14"/>
    <w:rsid w:val="00C5691B"/>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E061E"/>
    <w:rsid w:val="00DF44E7"/>
    <w:rsid w:val="00E07458"/>
    <w:rsid w:val="00E232C7"/>
    <w:rsid w:val="00E2647B"/>
    <w:rsid w:val="00E300BA"/>
    <w:rsid w:val="00E37AF5"/>
    <w:rsid w:val="00E37EDA"/>
    <w:rsid w:val="00E41C5C"/>
    <w:rsid w:val="00E52682"/>
    <w:rsid w:val="00E62F7A"/>
    <w:rsid w:val="00E646CB"/>
    <w:rsid w:val="00E73DC6"/>
    <w:rsid w:val="00E83519"/>
    <w:rsid w:val="00E928E1"/>
    <w:rsid w:val="00EB1948"/>
    <w:rsid w:val="00EB4088"/>
    <w:rsid w:val="00ED52A0"/>
    <w:rsid w:val="00ED66A0"/>
    <w:rsid w:val="00EE282A"/>
    <w:rsid w:val="00EE451E"/>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hyperlink" Target="http://www.nsu.govt.n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oleObject" Target="file:///\\wxchfpd1\NSUSecure\Analysis\30%20Breast\Programme%20analysis\BSA%20DHB%20Reports\19%20September%202018\4%20Rescreening%20numbers\BSA%20rescreening_to%20September%202018%20v.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69.599999999999994</c:v>
                </c:pt>
                <c:pt idx="1">
                  <c:v>63.6</c:v>
                </c:pt>
                <c:pt idx="2">
                  <c:v>75.8</c:v>
                </c:pt>
                <c:pt idx="3">
                  <c:v>75.400000000000006</c:v>
                </c:pt>
              </c:numCache>
            </c:numRef>
          </c:val>
        </c:ser>
        <c:dLbls>
          <c:showLegendKey val="0"/>
          <c:showVal val="0"/>
          <c:showCatName val="0"/>
          <c:showSerName val="0"/>
          <c:showPercent val="0"/>
          <c:showBubbleSize val="0"/>
        </c:dLbls>
        <c:gapWidth val="50"/>
        <c:axId val="328326792"/>
        <c:axId val="3283291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8326792"/>
        <c:axId val="328329144"/>
      </c:lineChart>
      <c:catAx>
        <c:axId val="3283267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29144"/>
        <c:crosses val="autoZero"/>
        <c:auto val="1"/>
        <c:lblAlgn val="ctr"/>
        <c:lblOffset val="100"/>
        <c:tickLblSkip val="1"/>
        <c:noMultiLvlLbl val="0"/>
      </c:catAx>
      <c:valAx>
        <c:axId val="328329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267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69.8</c:v>
                </c:pt>
                <c:pt idx="1">
                  <c:v>64.099999999999994</c:v>
                </c:pt>
                <c:pt idx="2">
                  <c:v>77.8</c:v>
                </c:pt>
                <c:pt idx="3">
                  <c:v>77.3</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c:v>
                </c:pt>
                <c:pt idx="1">
                  <c:v>63.6</c:v>
                </c:pt>
                <c:pt idx="2">
                  <c:v>75.5</c:v>
                </c:pt>
                <c:pt idx="3">
                  <c:v>75.2</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69.599999999999994</c:v>
                </c:pt>
                <c:pt idx="1">
                  <c:v>63.6</c:v>
                </c:pt>
                <c:pt idx="2">
                  <c:v>75.8</c:v>
                </c:pt>
                <c:pt idx="3">
                  <c:v>75.400000000000006</c:v>
                </c:pt>
              </c:numCache>
            </c:numRef>
          </c:val>
        </c:ser>
        <c:dLbls>
          <c:showLegendKey val="0"/>
          <c:showVal val="0"/>
          <c:showCatName val="0"/>
          <c:showSerName val="0"/>
          <c:showPercent val="0"/>
          <c:showBubbleSize val="0"/>
        </c:dLbls>
        <c:gapWidth val="150"/>
        <c:axId val="328325616"/>
        <c:axId val="32832953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8325616"/>
        <c:axId val="328329536"/>
      </c:lineChart>
      <c:catAx>
        <c:axId val="3283256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29536"/>
        <c:crosses val="autoZero"/>
        <c:auto val="1"/>
        <c:lblAlgn val="ctr"/>
        <c:lblOffset val="100"/>
        <c:noMultiLvlLbl val="0"/>
      </c:catAx>
      <c:valAx>
        <c:axId val="328329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256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NZ" b="1" i="0">
                <a:solidFill>
                  <a:schemeClr val="tx1"/>
                </a:solidFill>
              </a:rPr>
              <a:t>% Rescreened by ethnicity</a:t>
            </a:r>
            <a:r>
              <a:rPr lang="en-NZ" b="1" i="0" baseline="0">
                <a:solidFill>
                  <a:schemeClr val="tx1"/>
                </a:solidFill>
              </a:rPr>
              <a:t> (50-67)</a:t>
            </a:r>
            <a:endParaRPr lang="en-NZ" b="1" i="0">
              <a:solidFill>
                <a:schemeClr val="tx1"/>
              </a:solidFill>
            </a:endParaRPr>
          </a:p>
        </c:rich>
      </c:tx>
      <c:layout>
        <c:manualLayout>
          <c:xMode val="edge"/>
          <c:yMode val="edge"/>
          <c:x val="0.36618828561618938"/>
          <c:y val="3.090691414169865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247594050743664E-2"/>
          <c:y val="0.13425925925925927"/>
          <c:w val="0.86795011819689094"/>
          <c:h val="0.63727302024185561"/>
        </c:manualLayout>
      </c:layout>
      <c:barChart>
        <c:barDir val="col"/>
        <c:grouping val="clustered"/>
        <c:varyColors val="0"/>
        <c:ser>
          <c:idx val="1"/>
          <c:order val="0"/>
          <c:tx>
            <c:strRef>
              <c:f>'Pivot &amp; graph initial '!$I$6</c:f>
              <c:strCache>
                <c:ptCount val="1"/>
                <c:pt idx="0">
                  <c:v>% Initial rescreen (Māori)</c:v>
                </c:pt>
              </c:strCache>
            </c:strRef>
          </c:tx>
          <c:spPr>
            <a:solidFill>
              <a:schemeClr val="dk1">
                <a:tint val="550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'!$I$7:$I$9</c:f>
              <c:numCache>
                <c:formatCode>0.0</c:formatCode>
                <c:ptCount val="3"/>
                <c:pt idx="0">
                  <c:v>58.571428571428577</c:v>
                </c:pt>
                <c:pt idx="1">
                  <c:v>62.666666666666671</c:v>
                </c:pt>
                <c:pt idx="2">
                  <c:v>60.273972602739725</c:v>
                </c:pt>
              </c:numCache>
            </c:numRef>
          </c:val>
        </c:ser>
        <c:ser>
          <c:idx val="3"/>
          <c:order val="1"/>
          <c:tx>
            <c:strRef>
              <c:f>'Pivot &amp; graph initial '!$L$6</c:f>
              <c:strCache>
                <c:ptCount val="1"/>
                <c:pt idx="0">
                  <c:v>% Initial rescreen (Pacific)</c:v>
                </c:pt>
              </c:strCache>
            </c:strRef>
          </c:tx>
          <c:spPr>
            <a:solidFill>
              <a:schemeClr val="dk1">
                <a:tint val="985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'!$L$7:$L$9</c:f>
              <c:numCache>
                <c:formatCode>0.0</c:formatCode>
                <c:ptCount val="3"/>
                <c:pt idx="0">
                  <c:v>60.975609756097562</c:v>
                </c:pt>
                <c:pt idx="1">
                  <c:v>60.606060606060609</c:v>
                </c:pt>
                <c:pt idx="2">
                  <c:v>37.5</c:v>
                </c:pt>
              </c:numCache>
            </c:numRef>
          </c:val>
        </c:ser>
        <c:ser>
          <c:idx val="2"/>
          <c:order val="2"/>
          <c:tx>
            <c:strRef>
              <c:f>'Pivot &amp; graph initial '!$O$6</c:f>
              <c:strCache>
                <c:ptCount val="1"/>
                <c:pt idx="0">
                  <c:v>% Initial rescreen (Other')</c:v>
                </c:pt>
              </c:strCache>
            </c:strRef>
          </c:tx>
          <c:spPr>
            <a:solidFill>
              <a:schemeClr val="dk1">
                <a:tint val="750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'!$O$7:$O$9</c:f>
              <c:numCache>
                <c:formatCode>0.0</c:formatCode>
                <c:ptCount val="3"/>
                <c:pt idx="0">
                  <c:v>73.297002724795647</c:v>
                </c:pt>
                <c:pt idx="1">
                  <c:v>70.063694267515913</c:v>
                </c:pt>
                <c:pt idx="2">
                  <c:v>67.608286252354048</c:v>
                </c:pt>
              </c:numCache>
            </c:numRef>
          </c:val>
        </c:ser>
        <c:ser>
          <c:idx val="0"/>
          <c:order val="3"/>
          <c:tx>
            <c:strRef>
              <c:f>'Pivot &amp; graph initial '!$R$6</c:f>
              <c:strCache>
                <c:ptCount val="1"/>
                <c:pt idx="0">
                  <c:v>% Initial rescreen (Total)</c:v>
                </c:pt>
              </c:strCache>
            </c:strRef>
          </c:tx>
          <c:spPr>
            <a:solidFill>
              <a:schemeClr val="dk1">
                <a:tint val="885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'!$R$7:$R$9</c:f>
              <c:numCache>
                <c:formatCode>0.0</c:formatCode>
                <c:ptCount val="3"/>
                <c:pt idx="0">
                  <c:v>72.029702970297024</c:v>
                </c:pt>
                <c:pt idx="1">
                  <c:v>69.345484672742344</c:v>
                </c:pt>
                <c:pt idx="2">
                  <c:v>66.522864538395169</c:v>
                </c:pt>
              </c:numCache>
            </c:numRef>
          </c:val>
        </c:ser>
        <c:dLbls>
          <c:showLegendKey val="0"/>
          <c:showVal val="0"/>
          <c:showCatName val="0"/>
          <c:showSerName val="0"/>
          <c:showPercent val="0"/>
          <c:showBubbleSize val="0"/>
        </c:dLbls>
        <c:gapWidth val="150"/>
        <c:axId val="328330320"/>
        <c:axId val="328285048"/>
      </c:barChart>
      <c:lineChart>
        <c:grouping val="standard"/>
        <c:varyColors val="0"/>
        <c:ser>
          <c:idx val="4"/>
          <c:order val="4"/>
          <c:tx>
            <c:strRef>
              <c:f>'Pivot &amp; graph initial '!$S$6</c:f>
              <c:strCache>
                <c:ptCount val="1"/>
                <c:pt idx="0">
                  <c:v>% Initial rescreen target</c:v>
                </c:pt>
              </c:strCache>
            </c:strRef>
          </c:tx>
          <c:spPr>
            <a:ln w="28575" cap="rnd">
              <a:solidFill>
                <a:schemeClr val="dk1">
                  <a:tint val="30000"/>
                </a:schemeClr>
              </a:solidFill>
              <a:round/>
            </a:ln>
            <a:effectLst/>
          </c:spPr>
          <c:marker>
            <c:symbol val="none"/>
          </c:marker>
          <c:cat>
            <c:numRef>
              <c:f>'Pivot &amp; graph initial '!$F$7:$F$9</c:f>
              <c:numCache>
                <c:formatCode>mmm\ yyyy</c:formatCode>
                <c:ptCount val="3"/>
                <c:pt idx="0">
                  <c:v>42614</c:v>
                </c:pt>
                <c:pt idx="1">
                  <c:v>42979</c:v>
                </c:pt>
                <c:pt idx="2">
                  <c:v>43344</c:v>
                </c:pt>
              </c:numCache>
            </c:numRef>
          </c:cat>
          <c:val>
            <c:numRef>
              <c:f>'Pivot &amp; graph initial '!$S$7:$S$10</c:f>
              <c:numCache>
                <c:formatCode>0.0</c:formatCode>
                <c:ptCount val="4"/>
                <c:pt idx="0">
                  <c:v>75</c:v>
                </c:pt>
                <c:pt idx="1">
                  <c:v>75</c:v>
                </c:pt>
                <c:pt idx="2">
                  <c:v>75</c:v>
                </c:pt>
              </c:numCache>
            </c:numRef>
          </c:val>
          <c:smooth val="0"/>
        </c:ser>
        <c:dLbls>
          <c:showLegendKey val="0"/>
          <c:showVal val="0"/>
          <c:showCatName val="0"/>
          <c:showSerName val="0"/>
          <c:showPercent val="0"/>
          <c:showBubbleSize val="0"/>
        </c:dLbls>
        <c:marker val="1"/>
        <c:smooth val="0"/>
        <c:axId val="328330320"/>
        <c:axId val="328285048"/>
      </c:lineChart>
      <c:catAx>
        <c:axId val="328330320"/>
        <c:scaling>
          <c:orientation val="minMax"/>
          <c:max val="3"/>
          <c:min val="1"/>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28285048"/>
        <c:crosses val="autoZero"/>
        <c:auto val="0"/>
        <c:lblAlgn val="ctr"/>
        <c:lblOffset val="100"/>
        <c:noMultiLvlLbl val="0"/>
      </c:catAx>
      <c:valAx>
        <c:axId val="32828504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28330320"/>
        <c:crosses val="autoZero"/>
        <c:crossBetween val="between"/>
      </c:valAx>
      <c:spPr>
        <a:noFill/>
        <a:ln>
          <a:noFill/>
        </a:ln>
        <a:effectLst/>
      </c:spPr>
    </c:plotArea>
    <c:legend>
      <c:legendPos val="b"/>
      <c:layout>
        <c:manualLayout>
          <c:xMode val="edge"/>
          <c:yMode val="edge"/>
          <c:x val="2.6963912067468995E-2"/>
          <c:y val="0.86369152705114915"/>
          <c:w val="0.75106534090909094"/>
          <c:h val="0.10781790220791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0.01389</cdr:y>
    </cdr:from>
    <cdr:to>
      <cdr:x>0.21105</cdr:x>
      <cdr:y>0.12418</cdr:y>
    </cdr:to>
    <cdr:sp macro="" textlink="">
      <cdr:nvSpPr>
        <cdr:cNvPr id="2" name="TextBox 1"/>
        <cdr:cNvSpPr txBox="1"/>
      </cdr:nvSpPr>
      <cdr:spPr>
        <a:xfrm xmlns:a="http://schemas.openxmlformats.org/drawingml/2006/main">
          <a:off x="0" y="52454"/>
          <a:ext cx="963856" cy="4164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Percentage rescreened</a:t>
          </a:r>
        </a:p>
      </cdr:txBody>
    </cdr:sp>
  </cdr:relSizeAnchor>
  <cdr:relSizeAnchor xmlns:cdr="http://schemas.openxmlformats.org/drawingml/2006/chartDrawing">
    <cdr:from>
      <cdr:x>0.35174</cdr:x>
      <cdr:y>0.20944</cdr:y>
    </cdr:from>
    <cdr:to>
      <cdr:x>0.49706</cdr:x>
      <cdr:y>0.25074</cdr:y>
    </cdr:to>
    <cdr:sp macro="" textlink="">
      <cdr:nvSpPr>
        <cdr:cNvPr id="3" name="TextBox 2"/>
        <cdr:cNvSpPr txBox="1"/>
      </cdr:nvSpPr>
      <cdr:spPr>
        <a:xfrm xmlns:a="http://schemas.openxmlformats.org/drawingml/2006/main">
          <a:off x="2213163" y="795618"/>
          <a:ext cx="914400" cy="1568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0.51033</cdr:x>
      <cdr:y>0.20649</cdr:y>
    </cdr:from>
    <cdr:to>
      <cdr:x>0.65565</cdr:x>
      <cdr:y>0.27434</cdr:y>
    </cdr:to>
    <cdr:sp macro="" textlink="">
      <cdr:nvSpPr>
        <cdr:cNvPr id="4" name="TextBox 3"/>
        <cdr:cNvSpPr txBox="1"/>
      </cdr:nvSpPr>
      <cdr:spPr>
        <a:xfrm xmlns:a="http://schemas.openxmlformats.org/drawingml/2006/main">
          <a:off x="3217602" y="816137"/>
          <a:ext cx="916230" cy="2681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000">
              <a:latin typeface="Arial" panose="020B0604020202020204" pitchFamily="34" charset="0"/>
              <a:cs typeface="Arial" panose="020B0604020202020204" pitchFamily="34" charset="0"/>
            </a:rPr>
            <a:t>75% Target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DF764-6A1C-48CA-AE49-15FAA61CE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300E5060</Template>
  <TotalTime>3</TotalTime>
  <Pages>16</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2018-11-22T22:31:00Z</cp:lastPrinted>
  <dcterms:created xsi:type="dcterms:W3CDTF">2018-11-22T22:31:00Z</dcterms:created>
  <dcterms:modified xsi:type="dcterms:W3CDTF">2018-11-22T22:34:00Z</dcterms:modified>
</cp:coreProperties>
</file>