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420BD" w:rsidRPr="009420BD">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420BD" w:rsidP="00115CAE">
      <w:pPr>
        <w:spacing w:line="264" w:lineRule="auto"/>
        <w:ind w:right="424"/>
        <w:rPr>
          <w:rFonts w:cs="Times New Roman"/>
          <w:sz w:val="56"/>
        </w:rPr>
      </w:pPr>
      <w:r w:rsidRPr="009420BD">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420BD" w:rsidRPr="009420BD">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420BD" w:rsidRPr="009420BD">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420BD" w:rsidRPr="009420BD">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420BD" w:rsidP="00115CAE">
      <w:pPr>
        <w:spacing w:after="240" w:line="264" w:lineRule="auto"/>
        <w:jc w:val="center"/>
        <w:rPr>
          <w:rFonts w:cs="Times New Roman"/>
        </w:rPr>
      </w:pPr>
      <w:r w:rsidRPr="009420BD">
        <w:rPr>
          <w:rFonts w:cs="Times New Roman"/>
        </w:rPr>
        <w:t xml:space="preserve">2422-9377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450A80">
      <w:pPr>
        <w:pStyle w:val="Contentsheading"/>
        <w:spacing w:after="120"/>
        <w:rPr>
          <w:noProof/>
        </w:rPr>
      </w:pPr>
      <w:r>
        <w:rPr>
          <w:noProof/>
        </w:rPr>
        <w:lastRenderedPageBreak/>
        <w:t>Contents</w:t>
      </w:r>
    </w:p>
    <w:p w:rsidR="00450A80" w:rsidRPr="00450A80" w:rsidRDefault="00115CAE" w:rsidP="00450A80">
      <w:pPr>
        <w:pStyle w:val="TOC1"/>
        <w:tabs>
          <w:tab w:val="right" w:leader="dot" w:pos="9345"/>
        </w:tabs>
        <w:spacing w:before="0" w:after="120"/>
        <w:rPr>
          <w:rFonts w:asciiTheme="minorHAnsi" w:hAnsiTheme="minorHAnsi"/>
          <w:noProof/>
          <w:sz w:val="20"/>
          <w:szCs w:val="20"/>
        </w:rPr>
      </w:pPr>
      <w:r w:rsidRPr="00450A80">
        <w:rPr>
          <w:noProof/>
          <w:sz w:val="20"/>
          <w:szCs w:val="20"/>
        </w:rPr>
        <w:fldChar w:fldCharType="begin"/>
      </w:r>
      <w:r w:rsidRPr="00450A80">
        <w:rPr>
          <w:noProof/>
          <w:sz w:val="20"/>
          <w:szCs w:val="20"/>
        </w:rPr>
        <w:instrText xml:space="preserve"> TOC \o "2-2" \t "Heading 1,1" </w:instrText>
      </w:r>
      <w:r w:rsidRPr="00450A80">
        <w:rPr>
          <w:noProof/>
          <w:sz w:val="20"/>
          <w:szCs w:val="20"/>
        </w:rPr>
        <w:fldChar w:fldCharType="separate"/>
      </w:r>
      <w:r w:rsidR="00450A80" w:rsidRPr="00450A80">
        <w:rPr>
          <w:noProof/>
          <w:sz w:val="20"/>
          <w:szCs w:val="20"/>
        </w:rPr>
        <w:t>Introduction</w:t>
      </w:r>
      <w:r w:rsidR="00450A80" w:rsidRPr="00450A80">
        <w:rPr>
          <w:noProof/>
          <w:sz w:val="20"/>
          <w:szCs w:val="20"/>
        </w:rPr>
        <w:tab/>
      </w:r>
      <w:r w:rsidR="00450A80" w:rsidRPr="00450A80">
        <w:rPr>
          <w:noProof/>
          <w:sz w:val="20"/>
          <w:szCs w:val="20"/>
        </w:rPr>
        <w:fldChar w:fldCharType="begin"/>
      </w:r>
      <w:r w:rsidR="00450A80" w:rsidRPr="00450A80">
        <w:rPr>
          <w:noProof/>
          <w:sz w:val="20"/>
          <w:szCs w:val="20"/>
        </w:rPr>
        <w:instrText xml:space="preserve"> PAGEREF _Toc527553927 \h </w:instrText>
      </w:r>
      <w:r w:rsidR="00450A80" w:rsidRPr="00450A80">
        <w:rPr>
          <w:noProof/>
          <w:sz w:val="20"/>
          <w:szCs w:val="20"/>
        </w:rPr>
      </w:r>
      <w:r w:rsidR="00450A80" w:rsidRPr="00450A80">
        <w:rPr>
          <w:noProof/>
          <w:sz w:val="20"/>
          <w:szCs w:val="20"/>
        </w:rPr>
        <w:fldChar w:fldCharType="separate"/>
      </w:r>
      <w:r w:rsidR="00A65E5A">
        <w:rPr>
          <w:noProof/>
          <w:sz w:val="20"/>
          <w:szCs w:val="20"/>
        </w:rPr>
        <w:t>2</w:t>
      </w:r>
      <w:r w:rsidR="00450A80" w:rsidRPr="00450A80">
        <w:rPr>
          <w:noProof/>
          <w:sz w:val="20"/>
          <w:szCs w:val="20"/>
        </w:rPr>
        <w:fldChar w:fldCharType="end"/>
      </w:r>
    </w:p>
    <w:p w:rsidR="00450A80" w:rsidRPr="00450A80" w:rsidRDefault="00450A80" w:rsidP="00450A80">
      <w:pPr>
        <w:pStyle w:val="TOC1"/>
        <w:tabs>
          <w:tab w:val="right" w:leader="dot" w:pos="9345"/>
        </w:tabs>
        <w:spacing w:before="0" w:after="120"/>
        <w:rPr>
          <w:rFonts w:asciiTheme="minorHAnsi" w:hAnsiTheme="minorHAnsi"/>
          <w:noProof/>
          <w:sz w:val="20"/>
          <w:szCs w:val="20"/>
        </w:rPr>
      </w:pPr>
      <w:r w:rsidRPr="00450A80">
        <w:rPr>
          <w:noProof/>
          <w:sz w:val="20"/>
          <w:szCs w:val="20"/>
        </w:rPr>
        <w:t>Technical notes</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_Toc527553928 \h </w:instrText>
      </w:r>
      <w:r w:rsidRPr="00450A80">
        <w:rPr>
          <w:noProof/>
          <w:sz w:val="20"/>
          <w:szCs w:val="20"/>
        </w:rPr>
      </w:r>
      <w:r w:rsidRPr="00450A80">
        <w:rPr>
          <w:noProof/>
          <w:sz w:val="20"/>
          <w:szCs w:val="20"/>
        </w:rPr>
        <w:fldChar w:fldCharType="separate"/>
      </w:r>
      <w:r w:rsidR="00A65E5A">
        <w:rPr>
          <w:noProof/>
          <w:sz w:val="20"/>
          <w:szCs w:val="20"/>
        </w:rPr>
        <w:t>4</w:t>
      </w:r>
      <w:r w:rsidRPr="00450A80">
        <w:rPr>
          <w:noProof/>
          <w:sz w:val="20"/>
          <w:szCs w:val="20"/>
        </w:rPr>
        <w:fldChar w:fldCharType="end"/>
      </w:r>
    </w:p>
    <w:p w:rsidR="00450A80" w:rsidRPr="00450A80" w:rsidRDefault="00450A80" w:rsidP="00450A80">
      <w:pPr>
        <w:pStyle w:val="TOC1"/>
        <w:tabs>
          <w:tab w:val="right" w:leader="dot" w:pos="9345"/>
        </w:tabs>
        <w:spacing w:before="0" w:after="120"/>
        <w:rPr>
          <w:rFonts w:asciiTheme="minorHAnsi" w:hAnsiTheme="minorHAnsi"/>
          <w:noProof/>
          <w:sz w:val="20"/>
          <w:szCs w:val="20"/>
        </w:rPr>
      </w:pPr>
      <w:r w:rsidRPr="00450A80">
        <w:rPr>
          <w:noProof/>
          <w:sz w:val="20"/>
          <w:szCs w:val="20"/>
        </w:rPr>
        <w:t>Auckland coverage</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_Toc527553929 \h </w:instrText>
      </w:r>
      <w:r w:rsidRPr="00450A80">
        <w:rPr>
          <w:noProof/>
          <w:sz w:val="20"/>
          <w:szCs w:val="20"/>
        </w:rPr>
      </w:r>
      <w:r w:rsidRPr="00450A80">
        <w:rPr>
          <w:noProof/>
          <w:sz w:val="20"/>
          <w:szCs w:val="20"/>
        </w:rPr>
        <w:fldChar w:fldCharType="separate"/>
      </w:r>
      <w:r w:rsidR="00A65E5A">
        <w:rPr>
          <w:noProof/>
          <w:sz w:val="20"/>
          <w:szCs w:val="20"/>
        </w:rPr>
        <w:t>5</w:t>
      </w:r>
      <w:r w:rsidRPr="00450A80">
        <w:rPr>
          <w:noProof/>
          <w:sz w:val="20"/>
          <w:szCs w:val="20"/>
        </w:rPr>
        <w:fldChar w:fldCharType="end"/>
      </w:r>
    </w:p>
    <w:p w:rsidR="00450A80" w:rsidRPr="00450A80" w:rsidRDefault="00450A80" w:rsidP="00450A80">
      <w:pPr>
        <w:pStyle w:val="TOC2"/>
        <w:tabs>
          <w:tab w:val="right" w:leader="dot" w:pos="9345"/>
        </w:tabs>
        <w:spacing w:before="0" w:after="120"/>
        <w:rPr>
          <w:rFonts w:asciiTheme="minorHAnsi" w:hAnsiTheme="minorHAnsi"/>
          <w:noProof/>
          <w:sz w:val="20"/>
          <w:szCs w:val="20"/>
        </w:rPr>
      </w:pPr>
      <w:r w:rsidRPr="00450A80">
        <w:rPr>
          <w:noProof/>
          <w:sz w:val="20"/>
          <w:szCs w:val="20"/>
        </w:rPr>
        <w:t>Auckland coverage by ethnicity in the two years ending 30 September 2018</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_Toc527553930 \h </w:instrText>
      </w:r>
      <w:r w:rsidRPr="00450A80">
        <w:rPr>
          <w:noProof/>
          <w:sz w:val="20"/>
          <w:szCs w:val="20"/>
        </w:rPr>
      </w:r>
      <w:r w:rsidRPr="00450A80">
        <w:rPr>
          <w:noProof/>
          <w:sz w:val="20"/>
          <w:szCs w:val="20"/>
        </w:rPr>
        <w:fldChar w:fldCharType="separate"/>
      </w:r>
      <w:r w:rsidR="00A65E5A">
        <w:rPr>
          <w:noProof/>
          <w:sz w:val="20"/>
          <w:szCs w:val="20"/>
        </w:rPr>
        <w:t>5</w:t>
      </w:r>
      <w:r w:rsidRPr="00450A80">
        <w:rPr>
          <w:noProof/>
          <w:sz w:val="20"/>
          <w:szCs w:val="20"/>
        </w:rPr>
        <w:fldChar w:fldCharType="end"/>
      </w:r>
    </w:p>
    <w:p w:rsidR="00450A80" w:rsidRPr="00450A80" w:rsidRDefault="00450A80" w:rsidP="00450A80">
      <w:pPr>
        <w:pStyle w:val="TOC2"/>
        <w:tabs>
          <w:tab w:val="right" w:leader="dot" w:pos="9345"/>
        </w:tabs>
        <w:spacing w:before="0" w:after="120"/>
        <w:rPr>
          <w:rFonts w:asciiTheme="minorHAnsi" w:hAnsiTheme="minorHAnsi"/>
          <w:noProof/>
          <w:sz w:val="20"/>
          <w:szCs w:val="20"/>
        </w:rPr>
      </w:pPr>
      <w:r w:rsidRPr="00450A80">
        <w:rPr>
          <w:noProof/>
          <w:sz w:val="20"/>
          <w:szCs w:val="20"/>
        </w:rPr>
        <w:t>Auckland coverage trends by ethnicity</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_Toc527553931 \h </w:instrText>
      </w:r>
      <w:r w:rsidRPr="00450A80">
        <w:rPr>
          <w:noProof/>
          <w:sz w:val="20"/>
          <w:szCs w:val="20"/>
        </w:rPr>
      </w:r>
      <w:r w:rsidRPr="00450A80">
        <w:rPr>
          <w:noProof/>
          <w:sz w:val="20"/>
          <w:szCs w:val="20"/>
        </w:rPr>
        <w:fldChar w:fldCharType="separate"/>
      </w:r>
      <w:r w:rsidR="00A65E5A">
        <w:rPr>
          <w:noProof/>
          <w:sz w:val="20"/>
          <w:szCs w:val="20"/>
        </w:rPr>
        <w:t>6</w:t>
      </w:r>
      <w:r w:rsidRPr="00450A80">
        <w:rPr>
          <w:noProof/>
          <w:sz w:val="20"/>
          <w:szCs w:val="20"/>
        </w:rPr>
        <w:fldChar w:fldCharType="end"/>
      </w:r>
    </w:p>
    <w:p w:rsidR="00450A80" w:rsidRPr="00450A80" w:rsidRDefault="00450A80" w:rsidP="00450A80">
      <w:pPr>
        <w:pStyle w:val="TOC2"/>
        <w:tabs>
          <w:tab w:val="right" w:leader="dot" w:pos="9345"/>
        </w:tabs>
        <w:spacing w:before="0" w:after="120"/>
        <w:rPr>
          <w:rFonts w:asciiTheme="minorHAnsi" w:hAnsiTheme="minorHAnsi"/>
          <w:noProof/>
          <w:sz w:val="20"/>
          <w:szCs w:val="20"/>
        </w:rPr>
      </w:pPr>
      <w:r w:rsidRPr="00450A80">
        <w:rPr>
          <w:noProof/>
          <w:sz w:val="20"/>
          <w:szCs w:val="20"/>
        </w:rPr>
        <w:t>Number of Initial Rescreens by Ethnicity</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_Toc527553932 \h </w:instrText>
      </w:r>
      <w:r w:rsidRPr="00450A80">
        <w:rPr>
          <w:noProof/>
          <w:sz w:val="20"/>
          <w:szCs w:val="20"/>
        </w:rPr>
      </w:r>
      <w:r w:rsidRPr="00450A80">
        <w:rPr>
          <w:noProof/>
          <w:sz w:val="20"/>
          <w:szCs w:val="20"/>
        </w:rPr>
        <w:fldChar w:fldCharType="separate"/>
      </w:r>
      <w:r w:rsidR="00A65E5A">
        <w:rPr>
          <w:noProof/>
          <w:sz w:val="20"/>
          <w:szCs w:val="20"/>
        </w:rPr>
        <w:t>7</w:t>
      </w:r>
      <w:r w:rsidRPr="00450A80">
        <w:rPr>
          <w:noProof/>
          <w:sz w:val="20"/>
          <w:szCs w:val="20"/>
        </w:rPr>
        <w:fldChar w:fldCharType="end"/>
      </w:r>
    </w:p>
    <w:p w:rsidR="00450A80" w:rsidRPr="00450A80" w:rsidRDefault="00450A80" w:rsidP="00450A80">
      <w:pPr>
        <w:pStyle w:val="TOC1"/>
        <w:tabs>
          <w:tab w:val="right" w:leader="dot" w:pos="9345"/>
        </w:tabs>
        <w:spacing w:before="0" w:after="120"/>
        <w:rPr>
          <w:rFonts w:asciiTheme="minorHAnsi" w:hAnsiTheme="minorHAnsi"/>
          <w:noProof/>
          <w:sz w:val="20"/>
          <w:szCs w:val="20"/>
        </w:rPr>
      </w:pPr>
      <w:r w:rsidRPr="00450A80">
        <w:rPr>
          <w:noProof/>
          <w:sz w:val="20"/>
          <w:szCs w:val="20"/>
        </w:rPr>
        <w:t>DHB coverage comparisons</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_Toc527553933 \h </w:instrText>
      </w:r>
      <w:r w:rsidRPr="00450A80">
        <w:rPr>
          <w:noProof/>
          <w:sz w:val="20"/>
          <w:szCs w:val="20"/>
        </w:rPr>
      </w:r>
      <w:r w:rsidRPr="00450A80">
        <w:rPr>
          <w:noProof/>
          <w:sz w:val="20"/>
          <w:szCs w:val="20"/>
        </w:rPr>
        <w:fldChar w:fldCharType="separate"/>
      </w:r>
      <w:r w:rsidR="00A65E5A">
        <w:rPr>
          <w:noProof/>
          <w:sz w:val="20"/>
          <w:szCs w:val="20"/>
        </w:rPr>
        <w:t>8</w:t>
      </w:r>
      <w:r w:rsidRPr="00450A80">
        <w:rPr>
          <w:noProof/>
          <w:sz w:val="20"/>
          <w:szCs w:val="20"/>
        </w:rPr>
        <w:fldChar w:fldCharType="end"/>
      </w:r>
    </w:p>
    <w:p w:rsidR="00450A80" w:rsidRPr="00450A80" w:rsidRDefault="00450A80" w:rsidP="00450A80">
      <w:pPr>
        <w:pStyle w:val="TOC2"/>
        <w:tabs>
          <w:tab w:val="right" w:leader="dot" w:pos="9345"/>
        </w:tabs>
        <w:spacing w:before="0" w:after="120"/>
        <w:rPr>
          <w:rFonts w:asciiTheme="minorHAnsi" w:hAnsiTheme="minorHAnsi"/>
          <w:noProof/>
          <w:sz w:val="20"/>
          <w:szCs w:val="20"/>
        </w:rPr>
      </w:pPr>
      <w:r w:rsidRPr="00450A80">
        <w:rPr>
          <w:noProof/>
          <w:sz w:val="20"/>
          <w:szCs w:val="20"/>
        </w:rPr>
        <w:t>DHB coverage by ethnicity in the two years ending 30 September 2018</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_Toc527553934 \h </w:instrText>
      </w:r>
      <w:r w:rsidRPr="00450A80">
        <w:rPr>
          <w:noProof/>
          <w:sz w:val="20"/>
          <w:szCs w:val="20"/>
        </w:rPr>
      </w:r>
      <w:r w:rsidRPr="00450A80">
        <w:rPr>
          <w:noProof/>
          <w:sz w:val="20"/>
          <w:szCs w:val="20"/>
        </w:rPr>
        <w:fldChar w:fldCharType="separate"/>
      </w:r>
      <w:r w:rsidR="00A65E5A">
        <w:rPr>
          <w:noProof/>
          <w:sz w:val="20"/>
          <w:szCs w:val="20"/>
        </w:rPr>
        <w:t>8</w:t>
      </w:r>
      <w:r w:rsidRPr="00450A80">
        <w:rPr>
          <w:noProof/>
          <w:sz w:val="20"/>
          <w:szCs w:val="20"/>
        </w:rPr>
        <w:fldChar w:fldCharType="end"/>
      </w:r>
    </w:p>
    <w:p w:rsidR="00450A80" w:rsidRPr="00450A80" w:rsidRDefault="00450A80" w:rsidP="00450A80">
      <w:pPr>
        <w:pStyle w:val="TOC2"/>
        <w:tabs>
          <w:tab w:val="right" w:leader="dot" w:pos="9345"/>
        </w:tabs>
        <w:spacing w:before="0" w:after="120"/>
        <w:rPr>
          <w:rFonts w:asciiTheme="minorHAnsi" w:hAnsiTheme="minorHAnsi"/>
          <w:noProof/>
          <w:sz w:val="20"/>
          <w:szCs w:val="20"/>
        </w:rPr>
      </w:pPr>
      <w:r w:rsidRPr="00450A80">
        <w:rPr>
          <w:noProof/>
          <w:sz w:val="20"/>
          <w:szCs w:val="20"/>
        </w:rPr>
        <w:t>DHB coverage comparison trends by ethnicity</w:t>
      </w:r>
      <w:r w:rsidRPr="00450A80">
        <w:rPr>
          <w:noProof/>
          <w:sz w:val="20"/>
          <w:szCs w:val="20"/>
        </w:rPr>
        <w:tab/>
      </w:r>
      <w:r w:rsidRPr="00450A80">
        <w:rPr>
          <w:noProof/>
          <w:sz w:val="20"/>
          <w:szCs w:val="20"/>
        </w:rPr>
        <w:fldChar w:fldCharType="begin"/>
      </w:r>
      <w:r w:rsidRPr="00450A80">
        <w:rPr>
          <w:noProof/>
          <w:sz w:val="20"/>
          <w:szCs w:val="20"/>
        </w:rPr>
        <w:instrText xml:space="preserve"> PAGEREF _Toc527553935 \h </w:instrText>
      </w:r>
      <w:r w:rsidRPr="00450A80">
        <w:rPr>
          <w:noProof/>
          <w:sz w:val="20"/>
          <w:szCs w:val="20"/>
        </w:rPr>
      </w:r>
      <w:r w:rsidRPr="00450A80">
        <w:rPr>
          <w:noProof/>
          <w:sz w:val="20"/>
          <w:szCs w:val="20"/>
        </w:rPr>
        <w:fldChar w:fldCharType="separate"/>
      </w:r>
      <w:r w:rsidR="00A65E5A">
        <w:rPr>
          <w:noProof/>
          <w:sz w:val="20"/>
          <w:szCs w:val="20"/>
        </w:rPr>
        <w:t>14</w:t>
      </w:r>
      <w:r w:rsidRPr="00450A80">
        <w:rPr>
          <w:noProof/>
          <w:sz w:val="20"/>
          <w:szCs w:val="20"/>
        </w:rPr>
        <w:fldChar w:fldCharType="end"/>
      </w:r>
    </w:p>
    <w:p w:rsidR="00115CAE" w:rsidRPr="00450A80" w:rsidRDefault="00115CAE" w:rsidP="00450A80">
      <w:pPr>
        <w:spacing w:after="120"/>
        <w:rPr>
          <w:b/>
          <w:noProof/>
          <w:sz w:val="20"/>
          <w:szCs w:val="20"/>
        </w:rPr>
      </w:pPr>
      <w:r w:rsidRPr="00450A80">
        <w:rPr>
          <w:noProof/>
          <w:sz w:val="20"/>
          <w:szCs w:val="20"/>
        </w:rPr>
        <w:fldChar w:fldCharType="end"/>
      </w:r>
      <w:r w:rsidRPr="00450A80">
        <w:rPr>
          <w:b/>
          <w:noProof/>
          <w:sz w:val="20"/>
          <w:szCs w:val="20"/>
        </w:rPr>
        <w:t>List of tables</w:t>
      </w:r>
    </w:p>
    <w:p w:rsidR="003856B8" w:rsidRPr="003856B8" w:rsidRDefault="00115CAE">
      <w:pPr>
        <w:pStyle w:val="TOC3"/>
        <w:tabs>
          <w:tab w:val="right" w:leader="dot" w:pos="9345"/>
        </w:tabs>
        <w:rPr>
          <w:rFonts w:asciiTheme="minorHAnsi" w:hAnsiTheme="minorHAnsi"/>
          <w:noProof/>
          <w:sz w:val="20"/>
          <w:szCs w:val="20"/>
        </w:rPr>
      </w:pPr>
      <w:r w:rsidRPr="00A766FC">
        <w:rPr>
          <w:noProof/>
          <w:sz w:val="20"/>
          <w:szCs w:val="20"/>
        </w:rPr>
        <w:fldChar w:fldCharType="begin"/>
      </w:r>
      <w:r w:rsidRPr="00A766FC">
        <w:rPr>
          <w:noProof/>
          <w:sz w:val="20"/>
          <w:szCs w:val="20"/>
        </w:rPr>
        <w:instrText xml:space="preserve"> TOC \t "Table,3" </w:instrText>
      </w:r>
      <w:r w:rsidRPr="00A766FC">
        <w:rPr>
          <w:noProof/>
          <w:sz w:val="20"/>
          <w:szCs w:val="20"/>
        </w:rPr>
        <w:fldChar w:fldCharType="separate"/>
      </w:r>
      <w:r w:rsidR="003856B8" w:rsidRPr="003856B8">
        <w:rPr>
          <w:noProof/>
          <w:sz w:val="20"/>
          <w:szCs w:val="20"/>
        </w:rPr>
        <w:t>Table 1: BSA coverage (%) in the two years ending 30 September 2018 by ethnicity, women aged 50–69 years, Total Coverage</w:t>
      </w:r>
      <w:r w:rsidR="003856B8" w:rsidRPr="003856B8">
        <w:rPr>
          <w:noProof/>
          <w:sz w:val="20"/>
          <w:szCs w:val="20"/>
        </w:rPr>
        <w:tab/>
      </w:r>
      <w:r w:rsidR="003856B8" w:rsidRPr="003856B8">
        <w:rPr>
          <w:noProof/>
          <w:sz w:val="20"/>
          <w:szCs w:val="20"/>
        </w:rPr>
        <w:fldChar w:fldCharType="begin"/>
      </w:r>
      <w:r w:rsidR="003856B8" w:rsidRPr="003856B8">
        <w:rPr>
          <w:noProof/>
          <w:sz w:val="20"/>
          <w:szCs w:val="20"/>
        </w:rPr>
        <w:instrText xml:space="preserve"> PAGEREF _Toc527555076 \h </w:instrText>
      </w:r>
      <w:r w:rsidR="003856B8" w:rsidRPr="003856B8">
        <w:rPr>
          <w:noProof/>
          <w:sz w:val="20"/>
          <w:szCs w:val="20"/>
        </w:rPr>
      </w:r>
      <w:r w:rsidR="003856B8" w:rsidRPr="003856B8">
        <w:rPr>
          <w:noProof/>
          <w:sz w:val="20"/>
          <w:szCs w:val="20"/>
        </w:rPr>
        <w:fldChar w:fldCharType="separate"/>
      </w:r>
      <w:r w:rsidR="00A65E5A">
        <w:rPr>
          <w:noProof/>
          <w:sz w:val="20"/>
          <w:szCs w:val="20"/>
        </w:rPr>
        <w:t>5</w:t>
      </w:r>
      <w:r w:rsidR="003856B8" w:rsidRPr="003856B8">
        <w:rPr>
          <w:noProof/>
          <w:sz w:val="20"/>
          <w:szCs w:val="20"/>
        </w:rPr>
        <w:fldChar w:fldCharType="end"/>
      </w:r>
    </w:p>
    <w:p w:rsidR="003856B8" w:rsidRPr="003856B8" w:rsidRDefault="003856B8">
      <w:pPr>
        <w:pStyle w:val="TOC3"/>
        <w:tabs>
          <w:tab w:val="right" w:leader="dot" w:pos="9345"/>
        </w:tabs>
        <w:rPr>
          <w:rFonts w:asciiTheme="minorHAnsi" w:hAnsiTheme="minorHAnsi"/>
          <w:noProof/>
          <w:sz w:val="20"/>
          <w:szCs w:val="20"/>
        </w:rPr>
      </w:pPr>
      <w:r w:rsidRPr="003856B8">
        <w:rPr>
          <w:noProof/>
          <w:sz w:val="20"/>
          <w:szCs w:val="20"/>
        </w:rPr>
        <w:t>Table 2: BSA number of screens in women aged 50–69 years by ethnicity and quarter, Quarter 3 2017 –Quarter 3 2018</w:t>
      </w:r>
      <w:r w:rsidRPr="003856B8">
        <w:rPr>
          <w:noProof/>
          <w:sz w:val="20"/>
          <w:szCs w:val="20"/>
        </w:rPr>
        <w:tab/>
      </w:r>
      <w:r w:rsidRPr="003856B8">
        <w:rPr>
          <w:noProof/>
          <w:sz w:val="20"/>
          <w:szCs w:val="20"/>
        </w:rPr>
        <w:fldChar w:fldCharType="begin"/>
      </w:r>
      <w:r w:rsidRPr="003856B8">
        <w:rPr>
          <w:noProof/>
          <w:sz w:val="20"/>
          <w:szCs w:val="20"/>
        </w:rPr>
        <w:instrText xml:space="preserve"> PAGEREF _Toc527555077 \h </w:instrText>
      </w:r>
      <w:r w:rsidRPr="003856B8">
        <w:rPr>
          <w:noProof/>
          <w:sz w:val="20"/>
          <w:szCs w:val="20"/>
        </w:rPr>
      </w:r>
      <w:r w:rsidRPr="003856B8">
        <w:rPr>
          <w:noProof/>
          <w:sz w:val="20"/>
          <w:szCs w:val="20"/>
        </w:rPr>
        <w:fldChar w:fldCharType="separate"/>
      </w:r>
      <w:r w:rsidR="00A65E5A">
        <w:rPr>
          <w:noProof/>
          <w:sz w:val="20"/>
          <w:szCs w:val="20"/>
        </w:rPr>
        <w:t>6</w:t>
      </w:r>
      <w:r w:rsidRPr="003856B8">
        <w:rPr>
          <w:noProof/>
          <w:sz w:val="20"/>
          <w:szCs w:val="20"/>
        </w:rPr>
        <w:fldChar w:fldCharType="end"/>
      </w:r>
    </w:p>
    <w:p w:rsidR="003856B8" w:rsidRPr="003856B8" w:rsidRDefault="003856B8">
      <w:pPr>
        <w:pStyle w:val="TOC3"/>
        <w:tabs>
          <w:tab w:val="right" w:leader="dot" w:pos="9345"/>
        </w:tabs>
        <w:rPr>
          <w:rFonts w:asciiTheme="minorHAnsi" w:hAnsiTheme="minorHAnsi"/>
          <w:noProof/>
          <w:sz w:val="20"/>
          <w:szCs w:val="20"/>
        </w:rPr>
      </w:pPr>
      <w:r w:rsidRPr="003856B8">
        <w:rPr>
          <w:noProof/>
          <w:sz w:val="20"/>
          <w:szCs w:val="20"/>
        </w:rPr>
        <w:t>Table 3: BSA number of eligible screens and initial rescreens for women aged 50–67 years by ethnicity for the rescreen period 1 July 2016 to 30 September 2018 (eligible period 1 July 2014 to 30 June 2016)</w:t>
      </w:r>
      <w:r w:rsidRPr="003856B8">
        <w:rPr>
          <w:noProof/>
          <w:sz w:val="20"/>
          <w:szCs w:val="20"/>
        </w:rPr>
        <w:tab/>
      </w:r>
      <w:r w:rsidRPr="003856B8">
        <w:rPr>
          <w:noProof/>
          <w:sz w:val="20"/>
          <w:szCs w:val="20"/>
        </w:rPr>
        <w:fldChar w:fldCharType="begin"/>
      </w:r>
      <w:r w:rsidRPr="003856B8">
        <w:rPr>
          <w:noProof/>
          <w:sz w:val="20"/>
          <w:szCs w:val="20"/>
        </w:rPr>
        <w:instrText xml:space="preserve"> PAGEREF _Toc527555078 \h </w:instrText>
      </w:r>
      <w:r w:rsidRPr="003856B8">
        <w:rPr>
          <w:noProof/>
          <w:sz w:val="20"/>
          <w:szCs w:val="20"/>
        </w:rPr>
      </w:r>
      <w:r w:rsidRPr="003856B8">
        <w:rPr>
          <w:noProof/>
          <w:sz w:val="20"/>
          <w:szCs w:val="20"/>
        </w:rPr>
        <w:fldChar w:fldCharType="separate"/>
      </w:r>
      <w:r w:rsidR="00A65E5A">
        <w:rPr>
          <w:noProof/>
          <w:sz w:val="20"/>
          <w:szCs w:val="20"/>
        </w:rPr>
        <w:t>7</w:t>
      </w:r>
      <w:r w:rsidRPr="003856B8">
        <w:rPr>
          <w:noProof/>
          <w:sz w:val="20"/>
          <w:szCs w:val="20"/>
        </w:rPr>
        <w:fldChar w:fldCharType="end"/>
      </w:r>
    </w:p>
    <w:p w:rsidR="003856B8" w:rsidRPr="003856B8" w:rsidRDefault="003856B8">
      <w:pPr>
        <w:pStyle w:val="TOC3"/>
        <w:tabs>
          <w:tab w:val="right" w:leader="dot" w:pos="9345"/>
        </w:tabs>
        <w:rPr>
          <w:rFonts w:asciiTheme="minorHAnsi" w:hAnsiTheme="minorHAnsi"/>
          <w:noProof/>
          <w:sz w:val="20"/>
          <w:szCs w:val="20"/>
        </w:rPr>
      </w:pPr>
      <w:r w:rsidRPr="003856B8">
        <w:rPr>
          <w:noProof/>
          <w:sz w:val="20"/>
          <w:szCs w:val="20"/>
        </w:rPr>
        <w:t>Table 4: BSA number of screens and coverage (%) in women aged 50–69 years in the two years ending 30 September 2018 by District Health Board</w:t>
      </w:r>
      <w:r w:rsidRPr="003856B8">
        <w:rPr>
          <w:noProof/>
          <w:sz w:val="20"/>
          <w:szCs w:val="20"/>
        </w:rPr>
        <w:tab/>
      </w:r>
      <w:r w:rsidRPr="003856B8">
        <w:rPr>
          <w:noProof/>
          <w:sz w:val="20"/>
          <w:szCs w:val="20"/>
        </w:rPr>
        <w:fldChar w:fldCharType="begin"/>
      </w:r>
      <w:r w:rsidRPr="003856B8">
        <w:rPr>
          <w:noProof/>
          <w:sz w:val="20"/>
          <w:szCs w:val="20"/>
        </w:rPr>
        <w:instrText xml:space="preserve"> PAGEREF _Toc527555079 \h </w:instrText>
      </w:r>
      <w:r w:rsidRPr="003856B8">
        <w:rPr>
          <w:noProof/>
          <w:sz w:val="20"/>
          <w:szCs w:val="20"/>
        </w:rPr>
      </w:r>
      <w:r w:rsidRPr="003856B8">
        <w:rPr>
          <w:noProof/>
          <w:sz w:val="20"/>
          <w:szCs w:val="20"/>
        </w:rPr>
        <w:fldChar w:fldCharType="separate"/>
      </w:r>
      <w:r w:rsidR="00A65E5A">
        <w:rPr>
          <w:noProof/>
          <w:sz w:val="20"/>
          <w:szCs w:val="20"/>
        </w:rPr>
        <w:t>13</w:t>
      </w:r>
      <w:r w:rsidRPr="003856B8">
        <w:rPr>
          <w:noProof/>
          <w:sz w:val="20"/>
          <w:szCs w:val="20"/>
        </w:rPr>
        <w:fldChar w:fldCharType="end"/>
      </w:r>
    </w:p>
    <w:p w:rsidR="003856B8" w:rsidRDefault="003856B8">
      <w:pPr>
        <w:pStyle w:val="TOC3"/>
        <w:tabs>
          <w:tab w:val="right" w:leader="dot" w:pos="9345"/>
        </w:tabs>
        <w:rPr>
          <w:rFonts w:asciiTheme="minorHAnsi" w:hAnsiTheme="minorHAnsi"/>
          <w:noProof/>
        </w:rPr>
      </w:pPr>
      <w:r w:rsidRPr="003856B8">
        <w:rPr>
          <w:noProof/>
          <w:sz w:val="20"/>
          <w:szCs w:val="20"/>
        </w:rPr>
        <w:t>Table 5: BSA coverage (%) of women aged 50–69 years in the two years ending 30 September, 2016, 2017, 2018, by ethnicity and District Health Board</w:t>
      </w:r>
      <w:r w:rsidRPr="003856B8">
        <w:rPr>
          <w:noProof/>
          <w:sz w:val="20"/>
          <w:szCs w:val="20"/>
        </w:rPr>
        <w:tab/>
      </w:r>
      <w:r w:rsidRPr="003856B8">
        <w:rPr>
          <w:noProof/>
          <w:sz w:val="20"/>
          <w:szCs w:val="20"/>
        </w:rPr>
        <w:fldChar w:fldCharType="begin"/>
      </w:r>
      <w:r w:rsidRPr="003856B8">
        <w:rPr>
          <w:noProof/>
          <w:sz w:val="20"/>
          <w:szCs w:val="20"/>
        </w:rPr>
        <w:instrText xml:space="preserve"> PAGEREF _Toc527555080 \h </w:instrText>
      </w:r>
      <w:r w:rsidRPr="003856B8">
        <w:rPr>
          <w:noProof/>
          <w:sz w:val="20"/>
          <w:szCs w:val="20"/>
        </w:rPr>
      </w:r>
      <w:r w:rsidRPr="003856B8">
        <w:rPr>
          <w:noProof/>
          <w:sz w:val="20"/>
          <w:szCs w:val="20"/>
        </w:rPr>
        <w:fldChar w:fldCharType="separate"/>
      </w:r>
      <w:r w:rsidR="00A65E5A">
        <w:rPr>
          <w:noProof/>
          <w:sz w:val="20"/>
          <w:szCs w:val="20"/>
        </w:rPr>
        <w:t>14</w:t>
      </w:r>
      <w:r w:rsidRPr="003856B8">
        <w:rPr>
          <w:noProof/>
          <w:sz w:val="20"/>
          <w:szCs w:val="20"/>
        </w:rPr>
        <w:fldChar w:fldCharType="end"/>
      </w:r>
    </w:p>
    <w:p w:rsidR="00115CAE" w:rsidRPr="00A766FC" w:rsidRDefault="00115CAE" w:rsidP="00BF27D3">
      <w:pPr>
        <w:spacing w:before="120"/>
        <w:rPr>
          <w:b/>
          <w:noProof/>
          <w:sz w:val="20"/>
          <w:szCs w:val="20"/>
        </w:rPr>
      </w:pPr>
      <w:r w:rsidRPr="00A766FC">
        <w:rPr>
          <w:noProof/>
          <w:sz w:val="20"/>
          <w:szCs w:val="20"/>
        </w:rPr>
        <w:fldChar w:fldCharType="end"/>
      </w:r>
      <w:r w:rsidRPr="00A766FC">
        <w:rPr>
          <w:b/>
          <w:noProof/>
          <w:sz w:val="20"/>
          <w:szCs w:val="20"/>
        </w:rPr>
        <w:t>List of figures</w:t>
      </w:r>
    </w:p>
    <w:p w:rsidR="00A766FC" w:rsidRPr="00A766FC" w:rsidRDefault="00115CAE">
      <w:pPr>
        <w:pStyle w:val="TOC3"/>
        <w:tabs>
          <w:tab w:val="right" w:leader="dot" w:pos="9345"/>
        </w:tabs>
        <w:rPr>
          <w:rFonts w:asciiTheme="minorHAnsi" w:hAnsiTheme="minorHAnsi"/>
          <w:noProof/>
          <w:sz w:val="20"/>
          <w:szCs w:val="20"/>
        </w:rPr>
      </w:pPr>
      <w:r w:rsidRPr="00A766FC">
        <w:rPr>
          <w:noProof/>
          <w:sz w:val="20"/>
          <w:szCs w:val="20"/>
        </w:rPr>
        <w:fldChar w:fldCharType="begin"/>
      </w:r>
      <w:r w:rsidRPr="00A766FC">
        <w:rPr>
          <w:noProof/>
          <w:sz w:val="20"/>
          <w:szCs w:val="20"/>
        </w:rPr>
        <w:instrText xml:space="preserve"> TOC \t "Figure,3" </w:instrText>
      </w:r>
      <w:r w:rsidRPr="00A766FC">
        <w:rPr>
          <w:noProof/>
          <w:sz w:val="20"/>
          <w:szCs w:val="20"/>
        </w:rPr>
        <w:fldChar w:fldCharType="separate"/>
      </w:r>
      <w:r w:rsidR="00A766FC" w:rsidRPr="00A766FC">
        <w:rPr>
          <w:noProof/>
          <w:sz w:val="20"/>
          <w:szCs w:val="20"/>
        </w:rPr>
        <w:t>Figure 1: BSA coverage (%) in the two years ending 30 September 2018 by ethnicity, women aged 50–69 years, Total Coverage</w:t>
      </w:r>
      <w:r w:rsidR="00A766FC" w:rsidRPr="00A766FC">
        <w:rPr>
          <w:noProof/>
          <w:sz w:val="20"/>
          <w:szCs w:val="20"/>
        </w:rPr>
        <w:tab/>
      </w:r>
      <w:r w:rsidR="00A766FC" w:rsidRPr="00A766FC">
        <w:rPr>
          <w:noProof/>
          <w:sz w:val="20"/>
          <w:szCs w:val="20"/>
        </w:rPr>
        <w:fldChar w:fldCharType="begin"/>
      </w:r>
      <w:r w:rsidR="00A766FC" w:rsidRPr="00A766FC">
        <w:rPr>
          <w:noProof/>
          <w:sz w:val="20"/>
          <w:szCs w:val="20"/>
        </w:rPr>
        <w:instrText xml:space="preserve"> PAGEREF _Toc527554043 \h </w:instrText>
      </w:r>
      <w:r w:rsidR="00A766FC" w:rsidRPr="00A766FC">
        <w:rPr>
          <w:noProof/>
          <w:sz w:val="20"/>
          <w:szCs w:val="20"/>
        </w:rPr>
      </w:r>
      <w:r w:rsidR="00A766FC" w:rsidRPr="00A766FC">
        <w:rPr>
          <w:noProof/>
          <w:sz w:val="20"/>
          <w:szCs w:val="20"/>
        </w:rPr>
        <w:fldChar w:fldCharType="separate"/>
      </w:r>
      <w:r w:rsidR="00A65E5A">
        <w:rPr>
          <w:noProof/>
          <w:sz w:val="20"/>
          <w:szCs w:val="20"/>
        </w:rPr>
        <w:t>5</w:t>
      </w:r>
      <w:r w:rsidR="00A766FC"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2: BSA coverage (%) of women aged 50–69 years in the two years ending 30 September 2018 by ethnicity, Total Coverage</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_Toc527554044 \h </w:instrText>
      </w:r>
      <w:r w:rsidRPr="00A766FC">
        <w:rPr>
          <w:noProof/>
          <w:sz w:val="20"/>
          <w:szCs w:val="20"/>
        </w:rPr>
      </w:r>
      <w:r w:rsidRPr="00A766FC">
        <w:rPr>
          <w:noProof/>
          <w:sz w:val="20"/>
          <w:szCs w:val="20"/>
        </w:rPr>
        <w:fldChar w:fldCharType="separate"/>
      </w:r>
      <w:r w:rsidR="00A65E5A">
        <w:rPr>
          <w:noProof/>
          <w:sz w:val="20"/>
          <w:szCs w:val="20"/>
        </w:rPr>
        <w:t>6</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3: BSA number of initial eligible rescreens by ethnicity</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_Toc527554045 \h </w:instrText>
      </w:r>
      <w:r w:rsidRPr="00A766FC">
        <w:rPr>
          <w:noProof/>
          <w:sz w:val="20"/>
          <w:szCs w:val="20"/>
        </w:rPr>
      </w:r>
      <w:r w:rsidRPr="00A766FC">
        <w:rPr>
          <w:noProof/>
          <w:sz w:val="20"/>
          <w:szCs w:val="20"/>
        </w:rPr>
        <w:fldChar w:fldCharType="separate"/>
      </w:r>
      <w:r w:rsidR="00A65E5A">
        <w:rPr>
          <w:noProof/>
          <w:sz w:val="20"/>
          <w:szCs w:val="20"/>
        </w:rPr>
        <w:t>7</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4: BSA coverage (%) of Māori women aged 50–69 years in the two years ending 30 September 2018 by District Health Board</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_Toc527554046 \h </w:instrText>
      </w:r>
      <w:r w:rsidRPr="00A766FC">
        <w:rPr>
          <w:noProof/>
          <w:sz w:val="20"/>
          <w:szCs w:val="20"/>
        </w:rPr>
      </w:r>
      <w:r w:rsidRPr="00A766FC">
        <w:rPr>
          <w:noProof/>
          <w:sz w:val="20"/>
          <w:szCs w:val="20"/>
        </w:rPr>
        <w:fldChar w:fldCharType="separate"/>
      </w:r>
      <w:r w:rsidR="00A65E5A">
        <w:rPr>
          <w:noProof/>
          <w:sz w:val="20"/>
          <w:szCs w:val="20"/>
        </w:rPr>
        <w:t>8</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5: BSA coverage (%) of Pacific women aged 50–69 years in the two years ending 30 September 2018 by District Health Board</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_Toc527554047 \h </w:instrText>
      </w:r>
      <w:r w:rsidRPr="00A766FC">
        <w:rPr>
          <w:noProof/>
          <w:sz w:val="20"/>
          <w:szCs w:val="20"/>
        </w:rPr>
      </w:r>
      <w:r w:rsidRPr="00A766FC">
        <w:rPr>
          <w:noProof/>
          <w:sz w:val="20"/>
          <w:szCs w:val="20"/>
        </w:rPr>
        <w:fldChar w:fldCharType="separate"/>
      </w:r>
      <w:r w:rsidR="00A65E5A">
        <w:rPr>
          <w:noProof/>
          <w:sz w:val="20"/>
          <w:szCs w:val="20"/>
        </w:rPr>
        <w:t>8</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6: Overall BSA coverage (%) of women aged 50–69 years in the two years ending 30 September 2018 by District Health Board</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_Toc527554048 \h </w:instrText>
      </w:r>
      <w:r w:rsidRPr="00A766FC">
        <w:rPr>
          <w:noProof/>
          <w:sz w:val="20"/>
          <w:szCs w:val="20"/>
        </w:rPr>
      </w:r>
      <w:r w:rsidRPr="00A766FC">
        <w:rPr>
          <w:noProof/>
          <w:sz w:val="20"/>
          <w:szCs w:val="20"/>
        </w:rPr>
        <w:fldChar w:fldCharType="separate"/>
      </w:r>
      <w:r w:rsidR="00A65E5A">
        <w:rPr>
          <w:noProof/>
          <w:sz w:val="20"/>
          <w:szCs w:val="20"/>
        </w:rPr>
        <w:t>9</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7: BSA coverage (%) of Māori women aged 50–69 years in the two years ending 30 September 2018</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_Toc527554049 \h </w:instrText>
      </w:r>
      <w:r w:rsidRPr="00A766FC">
        <w:rPr>
          <w:noProof/>
          <w:sz w:val="20"/>
          <w:szCs w:val="20"/>
        </w:rPr>
      </w:r>
      <w:r w:rsidRPr="00A766FC">
        <w:rPr>
          <w:noProof/>
          <w:sz w:val="20"/>
          <w:szCs w:val="20"/>
        </w:rPr>
        <w:fldChar w:fldCharType="separate"/>
      </w:r>
      <w:r w:rsidR="00A65E5A">
        <w:rPr>
          <w:noProof/>
          <w:sz w:val="20"/>
          <w:szCs w:val="20"/>
        </w:rPr>
        <w:t>10</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8: BSA coverage (%) of Pacific women aged 50–69 years in the two years ending 30 September 2018</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_Toc527554050 \h </w:instrText>
      </w:r>
      <w:r w:rsidRPr="00A766FC">
        <w:rPr>
          <w:noProof/>
          <w:sz w:val="20"/>
          <w:szCs w:val="20"/>
        </w:rPr>
      </w:r>
      <w:r w:rsidRPr="00A766FC">
        <w:rPr>
          <w:noProof/>
          <w:sz w:val="20"/>
          <w:szCs w:val="20"/>
        </w:rPr>
        <w:fldChar w:fldCharType="separate"/>
      </w:r>
      <w:r w:rsidR="00A65E5A">
        <w:rPr>
          <w:noProof/>
          <w:sz w:val="20"/>
          <w:szCs w:val="20"/>
        </w:rPr>
        <w:t>11</w:t>
      </w:r>
      <w:r w:rsidRPr="00A766FC">
        <w:rPr>
          <w:noProof/>
          <w:sz w:val="20"/>
          <w:szCs w:val="20"/>
        </w:rPr>
        <w:fldChar w:fldCharType="end"/>
      </w:r>
    </w:p>
    <w:p w:rsidR="00A766FC" w:rsidRPr="00A766FC" w:rsidRDefault="00A766FC">
      <w:pPr>
        <w:pStyle w:val="TOC3"/>
        <w:tabs>
          <w:tab w:val="right" w:leader="dot" w:pos="9345"/>
        </w:tabs>
        <w:rPr>
          <w:rFonts w:asciiTheme="minorHAnsi" w:hAnsiTheme="minorHAnsi"/>
          <w:noProof/>
          <w:sz w:val="20"/>
          <w:szCs w:val="20"/>
        </w:rPr>
      </w:pPr>
      <w:r w:rsidRPr="00A766FC">
        <w:rPr>
          <w:noProof/>
          <w:sz w:val="20"/>
          <w:szCs w:val="20"/>
        </w:rPr>
        <w:t>Figure 9: Overall BSA coverage (%) of women aged 50–69 years in the two years ending 30 September 2018 by District Health Board</w:t>
      </w:r>
      <w:r w:rsidRPr="00A766FC">
        <w:rPr>
          <w:noProof/>
          <w:sz w:val="20"/>
          <w:szCs w:val="20"/>
        </w:rPr>
        <w:tab/>
      </w:r>
      <w:r w:rsidRPr="00A766FC">
        <w:rPr>
          <w:noProof/>
          <w:sz w:val="20"/>
          <w:szCs w:val="20"/>
        </w:rPr>
        <w:fldChar w:fldCharType="begin"/>
      </w:r>
      <w:r w:rsidRPr="00A766FC">
        <w:rPr>
          <w:noProof/>
          <w:sz w:val="20"/>
          <w:szCs w:val="20"/>
        </w:rPr>
        <w:instrText xml:space="preserve"> PAGEREF _Toc527554051 \h </w:instrText>
      </w:r>
      <w:r w:rsidRPr="00A766FC">
        <w:rPr>
          <w:noProof/>
          <w:sz w:val="20"/>
          <w:szCs w:val="20"/>
        </w:rPr>
      </w:r>
      <w:r w:rsidRPr="00A766FC">
        <w:rPr>
          <w:noProof/>
          <w:sz w:val="20"/>
          <w:szCs w:val="20"/>
        </w:rPr>
        <w:fldChar w:fldCharType="separate"/>
      </w:r>
      <w:r w:rsidR="00A65E5A">
        <w:rPr>
          <w:noProof/>
          <w:sz w:val="20"/>
          <w:szCs w:val="20"/>
        </w:rPr>
        <w:t>12</w:t>
      </w:r>
      <w:r w:rsidRPr="00A766FC">
        <w:rPr>
          <w:noProof/>
          <w:sz w:val="20"/>
          <w:szCs w:val="20"/>
        </w:rPr>
        <w:fldChar w:fldCharType="end"/>
      </w:r>
    </w:p>
    <w:p w:rsidR="00115CAE" w:rsidRPr="004149AB" w:rsidRDefault="00115CAE" w:rsidP="00F66603">
      <w:pPr>
        <w:pStyle w:val="Heading1"/>
        <w:rPr>
          <w:noProof/>
        </w:rPr>
      </w:pPr>
      <w:r w:rsidRPr="00A766FC">
        <w:rPr>
          <w:noProof/>
          <w:sz w:val="20"/>
          <w:szCs w:val="20"/>
        </w:rPr>
        <w:lastRenderedPageBreak/>
        <w:fldChar w:fldCharType="end"/>
      </w:r>
      <w:bookmarkStart w:id="0" w:name="_Toc399921850"/>
      <w:bookmarkStart w:id="1" w:name="_Toc527553927"/>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6B5886" w:rsidRDefault="006B5886" w:rsidP="006B5886">
      <w:r w:rsidRPr="00A97460">
        <w:lastRenderedPageBreak/>
        <w:t xml:space="preserve">Numerator: Women screened in the 24 month period preceding the report end date and who are eligible for rescreening and returned for a rescreen within 20-27 months. </w:t>
      </w:r>
    </w:p>
    <w:p w:rsidR="006B5886" w:rsidRPr="00A97460" w:rsidRDefault="006B5886" w:rsidP="006B5886">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6B5886" w:rsidRPr="00A97460" w:rsidRDefault="006B5886" w:rsidP="006B5886"/>
    <w:p w:rsidR="006B5886" w:rsidRPr="007E28E8" w:rsidRDefault="006B5886" w:rsidP="006B5886">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55392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420BD" w:rsidRPr="009420BD">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9420BD" w:rsidRPr="009420BD">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9420BD" w:rsidRPr="009420BD">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9420BD" w:rsidP="00115CAE">
      <w:pPr>
        <w:pStyle w:val="Heading1"/>
      </w:pPr>
      <w:bookmarkStart w:id="5" w:name="_Toc399921852"/>
      <w:bookmarkStart w:id="6" w:name="_Toc527553929"/>
      <w:r w:rsidRPr="009420BD">
        <w:lastRenderedPageBreak/>
        <w:t>Auckland</w:t>
      </w:r>
      <w:r w:rsidR="00C75BA8">
        <w:t xml:space="preserve"> </w:t>
      </w:r>
      <w:r w:rsidR="00115CAE">
        <w:t>c</w:t>
      </w:r>
      <w:r w:rsidR="00115CAE" w:rsidRPr="004149AB">
        <w:t>overage</w:t>
      </w:r>
      <w:bookmarkEnd w:id="4"/>
      <w:bookmarkEnd w:id="5"/>
      <w:bookmarkEnd w:id="6"/>
    </w:p>
    <w:p w:rsidR="00115CAE" w:rsidRPr="00F7148E" w:rsidRDefault="009420BD" w:rsidP="00115CAE">
      <w:pPr>
        <w:pStyle w:val="Heading2"/>
      </w:pPr>
      <w:bookmarkStart w:id="7" w:name="_Toc399146164"/>
      <w:bookmarkStart w:id="8" w:name="_Toc399921853"/>
      <w:bookmarkStart w:id="9" w:name="_Toc527553930"/>
      <w:r w:rsidRPr="009420BD">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420BD">
        <w:t>30 September 2018</w:t>
      </w:r>
      <w:bookmarkEnd w:id="9"/>
    </w:p>
    <w:p w:rsidR="00115CAE" w:rsidRDefault="00BD3841" w:rsidP="00BD3841">
      <w:pPr>
        <w:pStyle w:val="Figure"/>
      </w:pPr>
      <w:bookmarkStart w:id="10" w:name="_Toc399497921"/>
      <w:bookmarkStart w:id="11" w:name="_Toc527554043"/>
      <w:r>
        <w:t xml:space="preserve">Figure </w:t>
      </w:r>
      <w:r w:rsidR="00A65E5A">
        <w:fldChar w:fldCharType="begin"/>
      </w:r>
      <w:r w:rsidR="00A65E5A">
        <w:instrText xml:space="preserve"> SEQ Figure \* ARABIC </w:instrText>
      </w:r>
      <w:r w:rsidR="00A65E5A">
        <w:fldChar w:fldCharType="separate"/>
      </w:r>
      <w:r w:rsidR="00A65E5A">
        <w:rPr>
          <w:noProof/>
        </w:rPr>
        <w:t>1</w:t>
      </w:r>
      <w:r w:rsidR="00A65E5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420BD" w:rsidRPr="009420BD">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9420BD" w:rsidP="002D25D6">
      <w:bookmarkStart w:id="12" w:name="figure_1"/>
      <w:bookmarkEnd w:id="12"/>
      <w:r>
        <w:rPr>
          <w:noProof/>
        </w:rPr>
        <w:drawing>
          <wp:inline distT="0" distB="0" distL="0" distR="0" wp14:anchorId="081C56E6" wp14:editId="7F249D07">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555076"/>
      <w:r w:rsidRPr="004F701C">
        <w:t xml:space="preserve">Table </w:t>
      </w:r>
      <w:r w:rsidR="00A65E5A">
        <w:fldChar w:fldCharType="begin"/>
      </w:r>
      <w:r w:rsidR="00A65E5A">
        <w:instrText xml:space="preserve"> SEQ Table \* ARABIC </w:instrText>
      </w:r>
      <w:r w:rsidR="00A65E5A">
        <w:fldChar w:fldCharType="separate"/>
      </w:r>
      <w:r w:rsidR="00A65E5A">
        <w:rPr>
          <w:noProof/>
        </w:rPr>
        <w:t>1</w:t>
      </w:r>
      <w:r w:rsidR="00A65E5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9420BD" w:rsidRPr="009420BD">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1D5D4D" w:rsidP="00E646CB">
      <w:bookmarkStart w:id="15" w:name="table_1"/>
      <w:bookmarkEnd w:id="15"/>
      <w:r w:rsidRPr="001D5D4D">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420BD" w:rsidP="00115CAE">
      <w:pPr>
        <w:pStyle w:val="Heading2"/>
      </w:pPr>
      <w:bookmarkStart w:id="16" w:name="_Toc399921854"/>
      <w:bookmarkStart w:id="17" w:name="_Toc527553931"/>
      <w:r w:rsidRPr="009420BD">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554044"/>
      <w:r>
        <w:t xml:space="preserve">Figure </w:t>
      </w:r>
      <w:r w:rsidR="00A65E5A">
        <w:fldChar w:fldCharType="begin"/>
      </w:r>
      <w:r w:rsidR="00A65E5A">
        <w:instrText xml:space="preserve"> SEQ Figure \* ARABIC </w:instrText>
      </w:r>
      <w:r w:rsidR="00A65E5A">
        <w:fldChar w:fldCharType="separate"/>
      </w:r>
      <w:r w:rsidR="00A65E5A">
        <w:rPr>
          <w:noProof/>
        </w:rPr>
        <w:t>2</w:t>
      </w:r>
      <w:r w:rsidR="00A65E5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420BD" w:rsidRPr="009420BD">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9420BD" w:rsidP="00A206FE">
      <w:bookmarkStart w:id="20" w:name="figure_2"/>
      <w:bookmarkStart w:id="21" w:name="_Toc399921855"/>
      <w:bookmarkEnd w:id="20"/>
      <w:r>
        <w:rPr>
          <w:noProof/>
        </w:rPr>
        <w:drawing>
          <wp:inline distT="0" distB="0" distL="0" distR="0" wp14:anchorId="4ED8FEF6" wp14:editId="79A13E07">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032045" w:rsidP="00032045">
      <w:pPr>
        <w:pStyle w:val="Table"/>
        <w:rPr>
          <w:i/>
          <w:iCs/>
        </w:rPr>
      </w:pPr>
      <w:bookmarkStart w:id="22" w:name="_Toc527555077"/>
      <w:r>
        <w:t xml:space="preserve">Table </w:t>
      </w:r>
      <w:r w:rsidR="00A65E5A">
        <w:fldChar w:fldCharType="begin"/>
      </w:r>
      <w:r w:rsidR="00A65E5A">
        <w:instrText xml:space="preserve"> SEQ Table \* ARABIC </w:instrText>
      </w:r>
      <w:r w:rsidR="00A65E5A">
        <w:fldChar w:fldCharType="separate"/>
      </w:r>
      <w:r w:rsidR="00A65E5A">
        <w:rPr>
          <w:noProof/>
        </w:rPr>
        <w:t>2</w:t>
      </w:r>
      <w:r w:rsidR="00A65E5A">
        <w:rPr>
          <w:noProof/>
        </w:rPr>
        <w:fldChar w:fldCharType="end"/>
      </w:r>
      <w:r w:rsidR="004F701C"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CA6F04">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723DF7"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9456BA" w:rsidTr="00CA6F04">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456BA" w:rsidRDefault="009456BA" w:rsidP="009456BA">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9456BA" w:rsidRDefault="009456BA" w:rsidP="009456BA">
            <w:pPr>
              <w:jc w:val="right"/>
              <w:rPr>
                <w:rFonts w:ascii="Arial" w:eastAsia="Times New Roman" w:hAnsi="Arial" w:cs="Arial"/>
                <w:sz w:val="18"/>
                <w:szCs w:val="18"/>
              </w:rPr>
            </w:pPr>
            <w:r>
              <w:rPr>
                <w:rFonts w:ascii="Arial" w:hAnsi="Arial" w:cs="Arial"/>
                <w:sz w:val="18"/>
                <w:szCs w:val="18"/>
              </w:rPr>
              <w:t>309</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245</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275</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299</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9456BA" w:rsidRDefault="009456BA" w:rsidP="009456BA">
            <w:pPr>
              <w:jc w:val="right"/>
              <w:rPr>
                <w:rFonts w:ascii="Arial" w:hAnsi="Arial" w:cs="Arial"/>
                <w:sz w:val="18"/>
                <w:szCs w:val="18"/>
              </w:rPr>
            </w:pPr>
            <w:r>
              <w:rPr>
                <w:rFonts w:ascii="Arial" w:hAnsi="Arial" w:cs="Arial"/>
                <w:sz w:val="18"/>
                <w:szCs w:val="18"/>
              </w:rPr>
              <w:t>302</w:t>
            </w:r>
          </w:p>
        </w:tc>
      </w:tr>
      <w:tr w:rsidR="009456BA" w:rsidTr="00CA6F04">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456BA" w:rsidRDefault="009456BA" w:rsidP="009456B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426</w:t>
            </w:r>
          </w:p>
        </w:tc>
        <w:tc>
          <w:tcPr>
            <w:tcW w:w="1504" w:type="dxa"/>
            <w:tcBorders>
              <w:top w:val="nil"/>
              <w:left w:val="nil"/>
              <w:bottom w:val="single" w:sz="4" w:space="0" w:color="D9D9D9"/>
              <w:right w:val="single" w:sz="4"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430</w:t>
            </w:r>
          </w:p>
        </w:tc>
        <w:tc>
          <w:tcPr>
            <w:tcW w:w="1503" w:type="dxa"/>
            <w:tcBorders>
              <w:top w:val="nil"/>
              <w:left w:val="nil"/>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377</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508</w:t>
            </w:r>
          </w:p>
        </w:tc>
        <w:tc>
          <w:tcPr>
            <w:tcW w:w="1504" w:type="dxa"/>
            <w:tcBorders>
              <w:top w:val="nil"/>
              <w:left w:val="single" w:sz="4" w:space="0" w:color="auto"/>
              <w:bottom w:val="single" w:sz="4" w:space="0" w:color="D9D9D9"/>
              <w:right w:val="single" w:sz="8" w:space="0" w:color="auto"/>
            </w:tcBorders>
            <w:shd w:val="clear" w:color="auto" w:fill="auto"/>
            <w:vAlign w:val="center"/>
          </w:tcPr>
          <w:p w:rsidR="009456BA" w:rsidRDefault="009456BA" w:rsidP="009456BA">
            <w:pPr>
              <w:jc w:val="right"/>
              <w:rPr>
                <w:rFonts w:ascii="Arial" w:hAnsi="Arial" w:cs="Arial"/>
                <w:sz w:val="18"/>
                <w:szCs w:val="18"/>
              </w:rPr>
            </w:pPr>
            <w:r>
              <w:rPr>
                <w:rFonts w:ascii="Arial" w:hAnsi="Arial" w:cs="Arial"/>
                <w:sz w:val="18"/>
                <w:szCs w:val="18"/>
              </w:rPr>
              <w:t>449</w:t>
            </w:r>
          </w:p>
        </w:tc>
      </w:tr>
      <w:tr w:rsidR="009456BA" w:rsidTr="00CA6F04">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456BA" w:rsidRDefault="009456BA" w:rsidP="009456B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4,233</w:t>
            </w:r>
          </w:p>
        </w:tc>
        <w:tc>
          <w:tcPr>
            <w:tcW w:w="1504" w:type="dxa"/>
            <w:tcBorders>
              <w:top w:val="nil"/>
              <w:left w:val="nil"/>
              <w:bottom w:val="nil"/>
              <w:right w:val="single" w:sz="4"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3,209</w:t>
            </w:r>
          </w:p>
        </w:tc>
        <w:tc>
          <w:tcPr>
            <w:tcW w:w="1503" w:type="dxa"/>
            <w:tcBorders>
              <w:top w:val="nil"/>
              <w:left w:val="nil"/>
              <w:bottom w:val="nil"/>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3,541</w:t>
            </w:r>
          </w:p>
        </w:tc>
        <w:tc>
          <w:tcPr>
            <w:tcW w:w="1504" w:type="dxa"/>
            <w:tcBorders>
              <w:top w:val="nil"/>
              <w:left w:val="single" w:sz="4" w:space="0" w:color="auto"/>
              <w:bottom w:val="nil"/>
              <w:right w:val="single" w:sz="8" w:space="0" w:color="auto"/>
            </w:tcBorders>
            <w:shd w:val="clear" w:color="auto" w:fill="auto"/>
            <w:noWrap/>
            <w:vAlign w:val="center"/>
          </w:tcPr>
          <w:p w:rsidR="009456BA" w:rsidRDefault="009456BA" w:rsidP="009456BA">
            <w:pPr>
              <w:jc w:val="right"/>
              <w:rPr>
                <w:rFonts w:ascii="Arial" w:hAnsi="Arial" w:cs="Arial"/>
                <w:sz w:val="18"/>
                <w:szCs w:val="18"/>
              </w:rPr>
            </w:pPr>
            <w:r>
              <w:rPr>
                <w:rFonts w:ascii="Arial" w:hAnsi="Arial" w:cs="Arial"/>
                <w:sz w:val="18"/>
                <w:szCs w:val="18"/>
              </w:rPr>
              <w:t>3,577</w:t>
            </w:r>
          </w:p>
        </w:tc>
        <w:tc>
          <w:tcPr>
            <w:tcW w:w="1504" w:type="dxa"/>
            <w:tcBorders>
              <w:top w:val="nil"/>
              <w:left w:val="single" w:sz="4" w:space="0" w:color="auto"/>
              <w:bottom w:val="nil"/>
              <w:right w:val="single" w:sz="8" w:space="0" w:color="auto"/>
            </w:tcBorders>
            <w:shd w:val="clear" w:color="auto" w:fill="auto"/>
            <w:vAlign w:val="center"/>
          </w:tcPr>
          <w:p w:rsidR="009456BA" w:rsidRDefault="009456BA" w:rsidP="009456BA">
            <w:pPr>
              <w:jc w:val="right"/>
              <w:rPr>
                <w:rFonts w:ascii="Arial" w:hAnsi="Arial" w:cs="Arial"/>
                <w:sz w:val="18"/>
                <w:szCs w:val="18"/>
              </w:rPr>
            </w:pPr>
            <w:r>
              <w:rPr>
                <w:rFonts w:ascii="Arial" w:hAnsi="Arial" w:cs="Arial"/>
                <w:sz w:val="18"/>
                <w:szCs w:val="18"/>
              </w:rPr>
              <w:t>4,262</w:t>
            </w:r>
          </w:p>
        </w:tc>
      </w:tr>
      <w:tr w:rsidR="009456BA" w:rsidTr="00CA6F04">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9456BA" w:rsidRDefault="009456BA" w:rsidP="009456B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9456BA" w:rsidRDefault="009456BA" w:rsidP="009456BA">
            <w:pPr>
              <w:jc w:val="right"/>
              <w:rPr>
                <w:rFonts w:ascii="Arial" w:hAnsi="Arial" w:cs="Arial"/>
                <w:b/>
                <w:bCs/>
                <w:sz w:val="18"/>
                <w:szCs w:val="18"/>
              </w:rPr>
            </w:pPr>
            <w:r>
              <w:rPr>
                <w:rFonts w:ascii="Arial" w:hAnsi="Arial" w:cs="Arial"/>
                <w:b/>
                <w:bCs/>
                <w:sz w:val="18"/>
                <w:szCs w:val="18"/>
              </w:rPr>
              <w:t>4,968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456BA" w:rsidRDefault="009456BA" w:rsidP="009456BA">
            <w:pPr>
              <w:jc w:val="right"/>
              <w:rPr>
                <w:rFonts w:ascii="Arial" w:hAnsi="Arial" w:cs="Arial"/>
                <w:b/>
                <w:bCs/>
                <w:sz w:val="18"/>
                <w:szCs w:val="18"/>
              </w:rPr>
            </w:pPr>
            <w:r>
              <w:rPr>
                <w:rFonts w:ascii="Arial" w:hAnsi="Arial" w:cs="Arial"/>
                <w:b/>
                <w:bCs/>
                <w:sz w:val="18"/>
                <w:szCs w:val="18"/>
              </w:rPr>
              <w:t>3,884</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9456BA" w:rsidRDefault="009456BA" w:rsidP="009456BA">
            <w:pPr>
              <w:jc w:val="right"/>
              <w:rPr>
                <w:rFonts w:ascii="Arial" w:hAnsi="Arial" w:cs="Arial"/>
                <w:b/>
                <w:bCs/>
                <w:sz w:val="18"/>
                <w:szCs w:val="18"/>
              </w:rPr>
            </w:pPr>
            <w:r>
              <w:rPr>
                <w:rFonts w:ascii="Arial" w:hAnsi="Arial" w:cs="Arial"/>
                <w:b/>
                <w:bCs/>
                <w:sz w:val="18"/>
                <w:szCs w:val="18"/>
              </w:rPr>
              <w:t>4,193</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9456BA" w:rsidRDefault="009456BA" w:rsidP="009456BA">
            <w:pPr>
              <w:jc w:val="right"/>
              <w:rPr>
                <w:rFonts w:ascii="Arial" w:hAnsi="Arial" w:cs="Arial"/>
                <w:b/>
                <w:bCs/>
                <w:sz w:val="18"/>
                <w:szCs w:val="18"/>
              </w:rPr>
            </w:pPr>
            <w:r>
              <w:rPr>
                <w:rFonts w:ascii="Arial" w:hAnsi="Arial" w:cs="Arial"/>
                <w:b/>
                <w:bCs/>
                <w:sz w:val="18"/>
                <w:szCs w:val="18"/>
              </w:rPr>
              <w:t>4,384</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9456BA" w:rsidRDefault="009456BA" w:rsidP="009456BA">
            <w:pPr>
              <w:jc w:val="right"/>
              <w:rPr>
                <w:rFonts w:ascii="Arial" w:hAnsi="Arial" w:cs="Arial"/>
                <w:b/>
                <w:bCs/>
                <w:sz w:val="18"/>
                <w:szCs w:val="18"/>
              </w:rPr>
            </w:pPr>
            <w:r>
              <w:rPr>
                <w:rFonts w:ascii="Arial" w:hAnsi="Arial" w:cs="Arial"/>
                <w:b/>
                <w:bCs/>
                <w:sz w:val="18"/>
                <w:szCs w:val="18"/>
              </w:rPr>
              <w:t>5,013</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553932"/>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555078"/>
      <w:r>
        <w:t xml:space="preserve">Table </w:t>
      </w:r>
      <w:r w:rsidR="00A65E5A">
        <w:fldChar w:fldCharType="begin"/>
      </w:r>
      <w:r w:rsidR="00A65E5A">
        <w:instrText xml:space="preserve"> SEQ Table \* ARABIC </w:instrText>
      </w:r>
      <w:r w:rsidR="00A65E5A">
        <w:fldChar w:fldCharType="separate"/>
      </w:r>
      <w:r w:rsidR="00A65E5A">
        <w:rPr>
          <w:noProof/>
        </w:rPr>
        <w:t>3</w:t>
      </w:r>
      <w:r w:rsidR="00A65E5A">
        <w:rPr>
          <w:noProof/>
        </w:rPr>
        <w:fldChar w:fldCharType="end"/>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9456BA" w:rsidRPr="00B54E4D" w:rsidTr="00CA6F04">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9456BA" w:rsidRPr="00B54E4D" w:rsidRDefault="009456BA" w:rsidP="009456B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9456BA" w:rsidRDefault="009456BA" w:rsidP="009456BA">
            <w:pPr>
              <w:jc w:val="right"/>
              <w:rPr>
                <w:rFonts w:ascii="Arial" w:eastAsia="Times New Roman" w:hAnsi="Arial" w:cs="Arial"/>
                <w:color w:val="000000"/>
                <w:sz w:val="20"/>
                <w:szCs w:val="20"/>
              </w:rPr>
            </w:pPr>
            <w:r>
              <w:rPr>
                <w:rFonts w:ascii="Arial" w:hAnsi="Arial" w:cs="Arial"/>
                <w:color w:val="000000"/>
                <w:sz w:val="20"/>
                <w:szCs w:val="20"/>
              </w:rPr>
              <w:t>105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47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44.8%</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(35.0, 54.8)</w:t>
            </w:r>
          </w:p>
        </w:tc>
      </w:tr>
      <w:tr w:rsidR="009456BA" w:rsidRPr="00B54E4D" w:rsidTr="00CA6F0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9456BA" w:rsidRPr="00B54E4D" w:rsidRDefault="009456BA" w:rsidP="009456B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157</w:t>
            </w:r>
          </w:p>
        </w:tc>
        <w:tc>
          <w:tcPr>
            <w:tcW w:w="1835" w:type="dxa"/>
            <w:tcBorders>
              <w:top w:val="nil"/>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77</w:t>
            </w:r>
          </w:p>
        </w:tc>
        <w:tc>
          <w:tcPr>
            <w:tcW w:w="1835" w:type="dxa"/>
            <w:tcBorders>
              <w:top w:val="nil"/>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49.0%</w:t>
            </w:r>
          </w:p>
        </w:tc>
        <w:tc>
          <w:tcPr>
            <w:tcW w:w="1835" w:type="dxa"/>
            <w:tcBorders>
              <w:top w:val="nil"/>
              <w:left w:val="nil"/>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(41.0, 57.1)</w:t>
            </w:r>
          </w:p>
        </w:tc>
      </w:tr>
      <w:tr w:rsidR="009456BA" w:rsidRPr="00B54E4D" w:rsidTr="00CA6F0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9456BA" w:rsidRPr="00B54E4D" w:rsidRDefault="009456BA" w:rsidP="009456B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1,427</w:t>
            </w:r>
          </w:p>
        </w:tc>
        <w:tc>
          <w:tcPr>
            <w:tcW w:w="1835" w:type="dxa"/>
            <w:tcBorders>
              <w:top w:val="nil"/>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950</w:t>
            </w:r>
          </w:p>
        </w:tc>
        <w:tc>
          <w:tcPr>
            <w:tcW w:w="1835" w:type="dxa"/>
            <w:tcBorders>
              <w:top w:val="nil"/>
              <w:left w:val="nil"/>
              <w:bottom w:val="single" w:sz="4" w:space="0" w:color="D9D9D9"/>
              <w:right w:val="single" w:sz="4" w:space="0" w:color="D9D9D9"/>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66.6%</w:t>
            </w:r>
          </w:p>
        </w:tc>
        <w:tc>
          <w:tcPr>
            <w:tcW w:w="1835" w:type="dxa"/>
            <w:tcBorders>
              <w:top w:val="nil"/>
              <w:left w:val="nil"/>
              <w:bottom w:val="single" w:sz="4" w:space="0" w:color="D9D9D9"/>
              <w:right w:val="single" w:sz="8" w:space="0" w:color="auto"/>
            </w:tcBorders>
            <w:shd w:val="clear" w:color="auto" w:fill="auto"/>
            <w:noWrap/>
            <w:vAlign w:val="center"/>
          </w:tcPr>
          <w:p w:rsidR="009456BA" w:rsidRDefault="009456BA" w:rsidP="009456BA">
            <w:pPr>
              <w:jc w:val="right"/>
              <w:rPr>
                <w:rFonts w:ascii="Arial" w:hAnsi="Arial" w:cs="Arial"/>
                <w:color w:val="000000"/>
                <w:sz w:val="20"/>
                <w:szCs w:val="20"/>
              </w:rPr>
            </w:pPr>
            <w:r>
              <w:rPr>
                <w:rFonts w:ascii="Arial" w:hAnsi="Arial" w:cs="Arial"/>
                <w:color w:val="000000"/>
                <w:sz w:val="20"/>
                <w:szCs w:val="20"/>
              </w:rPr>
              <w:t>(64.1, 69.0)</w:t>
            </w:r>
          </w:p>
        </w:tc>
      </w:tr>
      <w:tr w:rsidR="009456BA" w:rsidRPr="00B54E4D" w:rsidTr="00CA6F04">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9456BA" w:rsidRPr="00B54E4D" w:rsidRDefault="009456BA" w:rsidP="009456BA">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9456BA" w:rsidRDefault="009456BA" w:rsidP="009456BA">
            <w:pPr>
              <w:jc w:val="right"/>
              <w:rPr>
                <w:rFonts w:ascii="Arial" w:hAnsi="Arial" w:cs="Arial"/>
                <w:b/>
                <w:bCs/>
                <w:color w:val="000000"/>
                <w:sz w:val="20"/>
                <w:szCs w:val="20"/>
              </w:rPr>
            </w:pPr>
            <w:r>
              <w:rPr>
                <w:rFonts w:ascii="Arial" w:hAnsi="Arial" w:cs="Arial"/>
                <w:b/>
                <w:bCs/>
                <w:color w:val="000000"/>
                <w:sz w:val="20"/>
                <w:szCs w:val="20"/>
              </w:rPr>
              <w:t>1,689</w:t>
            </w:r>
          </w:p>
        </w:tc>
        <w:tc>
          <w:tcPr>
            <w:tcW w:w="1835" w:type="dxa"/>
            <w:tcBorders>
              <w:top w:val="nil"/>
              <w:left w:val="nil"/>
              <w:bottom w:val="single" w:sz="8" w:space="0" w:color="auto"/>
              <w:right w:val="single" w:sz="4" w:space="0" w:color="D9D9D9"/>
            </w:tcBorders>
            <w:shd w:val="clear" w:color="000000" w:fill="F2F2F2"/>
            <w:noWrap/>
            <w:vAlign w:val="center"/>
          </w:tcPr>
          <w:p w:rsidR="009456BA" w:rsidRDefault="009456BA" w:rsidP="009456BA">
            <w:pPr>
              <w:jc w:val="right"/>
              <w:rPr>
                <w:rFonts w:ascii="Arial" w:hAnsi="Arial" w:cs="Arial"/>
                <w:b/>
                <w:bCs/>
                <w:color w:val="000000"/>
                <w:sz w:val="20"/>
                <w:szCs w:val="20"/>
              </w:rPr>
            </w:pPr>
            <w:r>
              <w:rPr>
                <w:rFonts w:ascii="Arial" w:hAnsi="Arial" w:cs="Arial"/>
                <w:b/>
                <w:bCs/>
                <w:color w:val="000000"/>
                <w:sz w:val="20"/>
                <w:szCs w:val="20"/>
              </w:rPr>
              <w:t>1,074</w:t>
            </w:r>
          </w:p>
        </w:tc>
        <w:tc>
          <w:tcPr>
            <w:tcW w:w="1835" w:type="dxa"/>
            <w:tcBorders>
              <w:top w:val="nil"/>
              <w:left w:val="nil"/>
              <w:bottom w:val="single" w:sz="8" w:space="0" w:color="auto"/>
              <w:right w:val="single" w:sz="4" w:space="0" w:color="D9D9D9"/>
            </w:tcBorders>
            <w:shd w:val="clear" w:color="000000" w:fill="F2F2F2"/>
            <w:noWrap/>
            <w:vAlign w:val="center"/>
          </w:tcPr>
          <w:p w:rsidR="009456BA" w:rsidRDefault="009456BA" w:rsidP="009456BA">
            <w:pPr>
              <w:jc w:val="right"/>
              <w:rPr>
                <w:rFonts w:ascii="Arial" w:hAnsi="Arial" w:cs="Arial"/>
                <w:b/>
                <w:bCs/>
                <w:color w:val="000000"/>
                <w:sz w:val="20"/>
                <w:szCs w:val="20"/>
              </w:rPr>
            </w:pPr>
            <w:r>
              <w:rPr>
                <w:rFonts w:ascii="Arial" w:hAnsi="Arial" w:cs="Arial"/>
                <w:b/>
                <w:bCs/>
                <w:color w:val="000000"/>
                <w:sz w:val="20"/>
                <w:szCs w:val="20"/>
              </w:rPr>
              <w:t>63.6%</w:t>
            </w:r>
          </w:p>
        </w:tc>
        <w:tc>
          <w:tcPr>
            <w:tcW w:w="1835" w:type="dxa"/>
            <w:tcBorders>
              <w:top w:val="nil"/>
              <w:left w:val="nil"/>
              <w:bottom w:val="single" w:sz="8" w:space="0" w:color="auto"/>
              <w:right w:val="single" w:sz="8" w:space="0" w:color="auto"/>
            </w:tcBorders>
            <w:shd w:val="clear" w:color="000000" w:fill="F2F2F2"/>
            <w:noWrap/>
            <w:vAlign w:val="center"/>
          </w:tcPr>
          <w:p w:rsidR="009456BA" w:rsidRDefault="009456BA" w:rsidP="009456BA">
            <w:pPr>
              <w:jc w:val="right"/>
              <w:rPr>
                <w:rFonts w:ascii="Arial" w:hAnsi="Arial" w:cs="Arial"/>
                <w:b/>
                <w:bCs/>
                <w:color w:val="000000"/>
                <w:sz w:val="20"/>
                <w:szCs w:val="20"/>
              </w:rPr>
            </w:pPr>
            <w:r>
              <w:rPr>
                <w:rFonts w:ascii="Arial" w:hAnsi="Arial" w:cs="Arial"/>
                <w:b/>
                <w:bCs/>
                <w:color w:val="000000"/>
                <w:sz w:val="20"/>
                <w:szCs w:val="20"/>
              </w:rPr>
              <w:t>(61.2, 65.9)</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554045"/>
      <w:r w:rsidRPr="00514C92">
        <w:t xml:space="preserve">Figure </w:t>
      </w:r>
      <w:r w:rsidR="00A65E5A">
        <w:fldChar w:fldCharType="begin"/>
      </w:r>
      <w:r w:rsidR="00A65E5A">
        <w:instrText xml:space="preserve"> SEQ Figure \* ARABIC </w:instrText>
      </w:r>
      <w:r w:rsidR="00A65E5A">
        <w:fldChar w:fldCharType="separate"/>
      </w:r>
      <w:r w:rsidR="00A65E5A">
        <w:rPr>
          <w:noProof/>
        </w:rPr>
        <w:t>3</w:t>
      </w:r>
      <w:r w:rsidR="00A65E5A">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4C2BBE" w:rsidP="00B54E4D">
      <w:r>
        <w:rPr>
          <w:noProof/>
        </w:rPr>
        <w:drawing>
          <wp:inline distT="0" distB="0" distL="0" distR="0" wp14:anchorId="03A52EA2" wp14:editId="3D29CD47">
            <wp:extent cx="5940425" cy="3724275"/>
            <wp:effectExtent l="0" t="0" r="317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6AC5" w:rsidRDefault="004F6AC5" w:rsidP="004F6AC5"/>
    <w:p w:rsidR="009456BA" w:rsidRDefault="009456BA">
      <w:pPr>
        <w:spacing w:after="200"/>
        <w:rPr>
          <w:rFonts w:eastAsiaTheme="majorEastAsia" w:cstheme="majorBidi"/>
          <w:b/>
          <w:bCs/>
          <w:sz w:val="36"/>
          <w:szCs w:val="28"/>
        </w:rPr>
      </w:pPr>
      <w:r>
        <w:br w:type="page"/>
      </w:r>
    </w:p>
    <w:p w:rsidR="00F66CD2" w:rsidRDefault="00115CAE" w:rsidP="00F66CD2">
      <w:pPr>
        <w:pStyle w:val="Heading1"/>
      </w:pPr>
      <w:bookmarkStart w:id="33" w:name="_Toc527553933"/>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55393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420BD" w:rsidRPr="009420BD">
        <w:t>30 September 2018</w:t>
      </w:r>
      <w:bookmarkEnd w:id="36"/>
    </w:p>
    <w:p w:rsidR="00F66CD2" w:rsidRDefault="00FE0172" w:rsidP="002B0ED8">
      <w:pPr>
        <w:pStyle w:val="Figure"/>
      </w:pPr>
      <w:bookmarkStart w:id="37" w:name="_Toc399497923"/>
      <w:bookmarkStart w:id="38" w:name="_Toc527554046"/>
      <w:r>
        <w:t xml:space="preserve">Figure </w:t>
      </w:r>
      <w:r w:rsidR="00A65E5A">
        <w:fldChar w:fldCharType="begin"/>
      </w:r>
      <w:r w:rsidR="00A65E5A">
        <w:instrText xml:space="preserve"> SEQ Figure \* ARABIC </w:instrText>
      </w:r>
      <w:r w:rsidR="00A65E5A">
        <w:fldChar w:fldCharType="separate"/>
      </w:r>
      <w:r w:rsidR="00A65E5A">
        <w:rPr>
          <w:noProof/>
        </w:rPr>
        <w:t>4</w:t>
      </w:r>
      <w:r w:rsidR="00A65E5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420BD" w:rsidRPr="009420BD">
        <w:t>30 September 2018</w:t>
      </w:r>
      <w:r w:rsidR="00F66CD2">
        <w:t xml:space="preserve"> </w:t>
      </w:r>
      <w:r w:rsidR="00F66CD2" w:rsidRPr="00F17732">
        <w:t xml:space="preserve">by </w:t>
      </w:r>
      <w:r w:rsidR="00F66CD2">
        <w:t>District Health Board</w:t>
      </w:r>
      <w:bookmarkEnd w:id="37"/>
      <w:bookmarkEnd w:id="38"/>
    </w:p>
    <w:p w:rsidR="00D83F91" w:rsidRPr="00D83F91" w:rsidRDefault="00196FA4" w:rsidP="00D83F91">
      <w:bookmarkStart w:id="39" w:name="figure_3"/>
      <w:bookmarkEnd w:id="34"/>
      <w:bookmarkEnd w:id="35"/>
      <w:bookmarkEnd w:id="39"/>
      <w:r>
        <w:rPr>
          <w:noProof/>
        </w:rPr>
        <w:drawing>
          <wp:inline distT="0" distB="0" distL="0" distR="0" wp14:anchorId="5C7FB443">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554047"/>
      <w:r>
        <w:t xml:space="preserve">Figure </w:t>
      </w:r>
      <w:r w:rsidR="00A65E5A">
        <w:fldChar w:fldCharType="begin"/>
      </w:r>
      <w:r w:rsidR="00A65E5A">
        <w:instrText xml:space="preserve"> SEQ Figure \* ARABIC </w:instrText>
      </w:r>
      <w:r w:rsidR="00A65E5A">
        <w:fldChar w:fldCharType="separate"/>
      </w:r>
      <w:r w:rsidR="00A65E5A">
        <w:rPr>
          <w:noProof/>
        </w:rPr>
        <w:t>5</w:t>
      </w:r>
      <w:r w:rsidR="00A65E5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420BD" w:rsidRPr="009420BD">
        <w:t>30 September 2018</w:t>
      </w:r>
      <w:r w:rsidR="00115CAE" w:rsidRPr="002171C9">
        <w:t xml:space="preserve"> by </w:t>
      </w:r>
      <w:r w:rsidR="00B718BD">
        <w:t>District Health Board</w:t>
      </w:r>
      <w:bookmarkEnd w:id="40"/>
      <w:bookmarkEnd w:id="41"/>
    </w:p>
    <w:p w:rsidR="00115CAE" w:rsidRDefault="00196FA4" w:rsidP="00115CAE">
      <w:bookmarkStart w:id="42" w:name="figure_4"/>
      <w:bookmarkEnd w:id="42"/>
      <w:r>
        <w:rPr>
          <w:noProof/>
        </w:rPr>
        <w:drawing>
          <wp:inline distT="0" distB="0" distL="0" distR="0" wp14:anchorId="4F7692DE">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Start w:id="43" w:name="_GoBack"/>
      <w:bookmarkEnd w:id="43"/>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554048"/>
      <w:r>
        <w:lastRenderedPageBreak/>
        <w:t xml:space="preserve">Figure </w:t>
      </w:r>
      <w:r w:rsidR="00A65E5A">
        <w:fldChar w:fldCharType="begin"/>
      </w:r>
      <w:r w:rsidR="00A65E5A">
        <w:instrText xml:space="preserve"> SEQ Figure \* ARABIC </w:instrText>
      </w:r>
      <w:r w:rsidR="00A65E5A">
        <w:fldChar w:fldCharType="separate"/>
      </w:r>
      <w:r w:rsidR="00A65E5A">
        <w:rPr>
          <w:noProof/>
        </w:rPr>
        <w:t>6</w:t>
      </w:r>
      <w:r w:rsidR="00A65E5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420BD" w:rsidRPr="009420BD">
        <w:t>30 September 2018</w:t>
      </w:r>
      <w:r w:rsidR="00115CAE" w:rsidRPr="002171C9">
        <w:t xml:space="preserve"> by </w:t>
      </w:r>
      <w:r w:rsidR="00B718BD">
        <w:t>District Health Board</w:t>
      </w:r>
      <w:bookmarkEnd w:id="45"/>
      <w:bookmarkEnd w:id="46"/>
    </w:p>
    <w:p w:rsidR="009376F1" w:rsidRPr="00C9547D" w:rsidRDefault="00196FA4" w:rsidP="009376F1">
      <w:bookmarkStart w:id="47" w:name="figure_6"/>
      <w:bookmarkEnd w:id="47"/>
      <w:r>
        <w:rPr>
          <w:noProof/>
        </w:rPr>
        <w:drawing>
          <wp:inline distT="0" distB="0" distL="0" distR="0" wp14:anchorId="294A8267">
            <wp:extent cx="4651375" cy="3243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554049"/>
      <w:r>
        <w:lastRenderedPageBreak/>
        <w:t xml:space="preserve">Figure </w:t>
      </w:r>
      <w:r w:rsidR="00A65E5A">
        <w:fldChar w:fldCharType="begin"/>
      </w:r>
      <w:r w:rsidR="00A65E5A">
        <w:instrText xml:space="preserve"> SEQ Figure \* ARABIC </w:instrText>
      </w:r>
      <w:r w:rsidR="00A65E5A">
        <w:fldChar w:fldCharType="separate"/>
      </w:r>
      <w:r w:rsidR="00A65E5A">
        <w:rPr>
          <w:noProof/>
        </w:rPr>
        <w:t>7</w:t>
      </w:r>
      <w:r w:rsidR="00A65E5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420BD" w:rsidRPr="009420BD">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554050"/>
      <w:r>
        <w:lastRenderedPageBreak/>
        <w:t xml:space="preserve">Figure </w:t>
      </w:r>
      <w:r w:rsidR="00A65E5A">
        <w:fldChar w:fldCharType="begin"/>
      </w:r>
      <w:r w:rsidR="00A65E5A">
        <w:instrText xml:space="preserve"> SEQ Figure \* ARABIC </w:instrText>
      </w:r>
      <w:r w:rsidR="00A65E5A">
        <w:fldChar w:fldCharType="separate"/>
      </w:r>
      <w:r w:rsidR="00A65E5A">
        <w:rPr>
          <w:noProof/>
        </w:rPr>
        <w:t>8</w:t>
      </w:r>
      <w:r w:rsidR="00A65E5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420BD" w:rsidRPr="009420BD">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554051"/>
      <w:r>
        <w:t xml:space="preserve">Figure </w:t>
      </w:r>
      <w:r w:rsidR="00A65E5A">
        <w:fldChar w:fldCharType="begin"/>
      </w:r>
      <w:r w:rsidR="00A65E5A">
        <w:instrText xml:space="preserve"> SEQ Figure \* ARABIC </w:instrText>
      </w:r>
      <w:r w:rsidR="00A65E5A">
        <w:fldChar w:fldCharType="separate"/>
      </w:r>
      <w:r w:rsidR="00A65E5A">
        <w:rPr>
          <w:noProof/>
        </w:rPr>
        <w:t>9</w:t>
      </w:r>
      <w:r w:rsidR="00A65E5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420BD" w:rsidRPr="009420BD">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555079"/>
      <w:r w:rsidRPr="004F701C">
        <w:lastRenderedPageBreak/>
        <w:t xml:space="preserve">Table </w:t>
      </w:r>
      <w:r w:rsidR="007C47BD">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9420BD" w:rsidRPr="009420BD">
        <w:t>30 September 2018</w:t>
      </w:r>
      <w:r w:rsidR="00115CAE" w:rsidRPr="004F701C">
        <w:t xml:space="preserve"> by </w:t>
      </w:r>
      <w:r w:rsidR="00B718BD" w:rsidRPr="004F701C">
        <w:t>District Health Board</w:t>
      </w:r>
      <w:bookmarkEnd w:id="51"/>
      <w:bookmarkEnd w:id="52"/>
    </w:p>
    <w:p w:rsidR="00CE24C5" w:rsidRPr="00CE24C5" w:rsidRDefault="001D5D4D" w:rsidP="00CE24C5">
      <w:bookmarkStart w:id="53" w:name="table_2"/>
      <w:bookmarkEnd w:id="53"/>
      <w:r w:rsidRPr="001D5D4D">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553935"/>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555080"/>
      <w:r w:rsidRPr="004F701C">
        <w:t xml:space="preserve">Table </w:t>
      </w:r>
      <w:r w:rsidR="007C47BD">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9420BD" w:rsidRPr="009420BD">
        <w:t>30 September, 2016, 2017, 2018</w:t>
      </w:r>
      <w:r w:rsidR="00115CAE" w:rsidRPr="004F701C">
        <w:t xml:space="preserve">, by ethnicity and </w:t>
      </w:r>
      <w:r w:rsidR="00B718BD" w:rsidRPr="004F701C">
        <w:t>District Health Board</w:t>
      </w:r>
      <w:bookmarkEnd w:id="56"/>
      <w:bookmarkEnd w:id="57"/>
    </w:p>
    <w:p w:rsidR="006B45AA" w:rsidRPr="006B45AA" w:rsidRDefault="009456BA" w:rsidP="006B45AA">
      <w:bookmarkStart w:id="58" w:name="table_3"/>
      <w:bookmarkEnd w:id="58"/>
      <w:r w:rsidRPr="009456BA">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F04" w:rsidRDefault="00CA6F04">
      <w:pPr>
        <w:spacing w:line="240" w:lineRule="auto"/>
      </w:pPr>
      <w:r>
        <w:separator/>
      </w:r>
    </w:p>
  </w:endnote>
  <w:endnote w:type="continuationSeparator" w:id="0">
    <w:p w:rsidR="00CA6F04" w:rsidRDefault="00CA6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CA6F04" w:rsidRDefault="00CA6F0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CA6F04" w:rsidRPr="00497068" w:rsidRDefault="00CA6F04"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CA6F04" w:rsidRDefault="00CA6F04">
        <w:pPr>
          <w:pStyle w:val="Footer"/>
          <w:jc w:val="center"/>
        </w:pPr>
        <w:r>
          <w:fldChar w:fldCharType="begin"/>
        </w:r>
        <w:r>
          <w:instrText xml:space="preserve"> PAGE   \* MERGEFORMAT </w:instrText>
        </w:r>
        <w:r>
          <w:fldChar w:fldCharType="separate"/>
        </w:r>
        <w:r w:rsidR="00A65E5A">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CA6F04" w:rsidRDefault="00CA6F04">
        <w:pPr>
          <w:pStyle w:val="Footer"/>
          <w:jc w:val="center"/>
        </w:pPr>
        <w:r>
          <w:fldChar w:fldCharType="begin"/>
        </w:r>
        <w:r>
          <w:instrText xml:space="preserve"> PAGE   \* MERGEFORMAT </w:instrText>
        </w:r>
        <w:r>
          <w:fldChar w:fldCharType="separate"/>
        </w:r>
        <w:r w:rsidR="00A65E5A">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F04" w:rsidRDefault="00CA6F04">
      <w:pPr>
        <w:spacing w:line="240" w:lineRule="auto"/>
      </w:pPr>
      <w:r>
        <w:separator/>
      </w:r>
    </w:p>
  </w:footnote>
  <w:footnote w:type="continuationSeparator" w:id="0">
    <w:p w:rsidR="00CA6F04" w:rsidRDefault="00CA6F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04" w:rsidRDefault="00CA6F04">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CA6F04" w:rsidRDefault="00CA6F04"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04" w:rsidRDefault="00CA6F04">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04" w:rsidRDefault="00CA6F04">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CA6F04" w:rsidRDefault="00CA6F04"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04" w:rsidRDefault="00CA6F04">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A79"/>
    <w:rsid w:val="00002BA2"/>
    <w:rsid w:val="000139DD"/>
    <w:rsid w:val="00017347"/>
    <w:rsid w:val="00032045"/>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6FA4"/>
    <w:rsid w:val="001979C8"/>
    <w:rsid w:val="001A1F18"/>
    <w:rsid w:val="001A76B0"/>
    <w:rsid w:val="001B2D4A"/>
    <w:rsid w:val="001B7D1A"/>
    <w:rsid w:val="001D2534"/>
    <w:rsid w:val="001D5D4D"/>
    <w:rsid w:val="001E5470"/>
    <w:rsid w:val="001F29EC"/>
    <w:rsid w:val="00202796"/>
    <w:rsid w:val="00206DBB"/>
    <w:rsid w:val="00223993"/>
    <w:rsid w:val="0023374D"/>
    <w:rsid w:val="0023529A"/>
    <w:rsid w:val="00236495"/>
    <w:rsid w:val="0024296D"/>
    <w:rsid w:val="00243292"/>
    <w:rsid w:val="00251991"/>
    <w:rsid w:val="002669FF"/>
    <w:rsid w:val="00284E09"/>
    <w:rsid w:val="002904C4"/>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856B8"/>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0A80"/>
    <w:rsid w:val="00451AE5"/>
    <w:rsid w:val="00454136"/>
    <w:rsid w:val="00460FDC"/>
    <w:rsid w:val="0048478E"/>
    <w:rsid w:val="004A0172"/>
    <w:rsid w:val="004B1400"/>
    <w:rsid w:val="004B6FD0"/>
    <w:rsid w:val="004C1F44"/>
    <w:rsid w:val="004C2BBE"/>
    <w:rsid w:val="004C3D85"/>
    <w:rsid w:val="004D0E6D"/>
    <w:rsid w:val="004E531D"/>
    <w:rsid w:val="004F5B05"/>
    <w:rsid w:val="004F6AC5"/>
    <w:rsid w:val="004F701C"/>
    <w:rsid w:val="0050463E"/>
    <w:rsid w:val="0050510D"/>
    <w:rsid w:val="00532664"/>
    <w:rsid w:val="00535BD7"/>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5886"/>
    <w:rsid w:val="006B6452"/>
    <w:rsid w:val="006C1638"/>
    <w:rsid w:val="006C485F"/>
    <w:rsid w:val="006C6A34"/>
    <w:rsid w:val="006C79D1"/>
    <w:rsid w:val="006E3EE5"/>
    <w:rsid w:val="006F61D0"/>
    <w:rsid w:val="00703834"/>
    <w:rsid w:val="00704BD6"/>
    <w:rsid w:val="007210B9"/>
    <w:rsid w:val="0072251B"/>
    <w:rsid w:val="00723DF7"/>
    <w:rsid w:val="00730C20"/>
    <w:rsid w:val="00742F05"/>
    <w:rsid w:val="00744D58"/>
    <w:rsid w:val="00746D25"/>
    <w:rsid w:val="00751E09"/>
    <w:rsid w:val="00764DB3"/>
    <w:rsid w:val="007675BD"/>
    <w:rsid w:val="00792804"/>
    <w:rsid w:val="00792AE5"/>
    <w:rsid w:val="007A234C"/>
    <w:rsid w:val="007C1A71"/>
    <w:rsid w:val="007C2628"/>
    <w:rsid w:val="007C47BD"/>
    <w:rsid w:val="007D619E"/>
    <w:rsid w:val="007E2785"/>
    <w:rsid w:val="007E30DE"/>
    <w:rsid w:val="007E67E2"/>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20BD"/>
    <w:rsid w:val="009456BA"/>
    <w:rsid w:val="00946A2C"/>
    <w:rsid w:val="009559B1"/>
    <w:rsid w:val="009866FE"/>
    <w:rsid w:val="00990ADC"/>
    <w:rsid w:val="009A31ED"/>
    <w:rsid w:val="009A6502"/>
    <w:rsid w:val="009C0B6F"/>
    <w:rsid w:val="009C497C"/>
    <w:rsid w:val="009C51AD"/>
    <w:rsid w:val="009D46BE"/>
    <w:rsid w:val="009E6986"/>
    <w:rsid w:val="009F15B3"/>
    <w:rsid w:val="009F208B"/>
    <w:rsid w:val="00A01B9B"/>
    <w:rsid w:val="00A02987"/>
    <w:rsid w:val="00A034E9"/>
    <w:rsid w:val="00A17EB9"/>
    <w:rsid w:val="00A206FE"/>
    <w:rsid w:val="00A23897"/>
    <w:rsid w:val="00A31792"/>
    <w:rsid w:val="00A35BB8"/>
    <w:rsid w:val="00A40E41"/>
    <w:rsid w:val="00A43F46"/>
    <w:rsid w:val="00A522BF"/>
    <w:rsid w:val="00A57A34"/>
    <w:rsid w:val="00A65E5A"/>
    <w:rsid w:val="00A70FA0"/>
    <w:rsid w:val="00A7535C"/>
    <w:rsid w:val="00A766F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7F3"/>
    <w:rsid w:val="00B72A22"/>
    <w:rsid w:val="00BB087C"/>
    <w:rsid w:val="00BC0EDE"/>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6F04"/>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hyperlink" Target="http://www.nsu.govt.n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oleObject" Target="file:///\\wxchfpd1\NSUSecure\Analysis\30%20Breast\Programme%20analysis\BSA%20DHB%20Reports\19%20September%202018\4%20Rescreening%20numbers\BSA%20rescreening_to%20September%202018%20v.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58.9</c:v>
                </c:pt>
                <c:pt idx="1">
                  <c:v>69.2</c:v>
                </c:pt>
                <c:pt idx="2">
                  <c:v>62.8</c:v>
                </c:pt>
                <c:pt idx="3">
                  <c:v>63.3</c:v>
                </c:pt>
              </c:numCache>
            </c:numRef>
          </c:val>
        </c:ser>
        <c:dLbls>
          <c:showLegendKey val="0"/>
          <c:showVal val="0"/>
          <c:showCatName val="0"/>
          <c:showSerName val="0"/>
          <c:showPercent val="0"/>
          <c:showBubbleSize val="0"/>
        </c:dLbls>
        <c:gapWidth val="50"/>
        <c:axId val="494672776"/>
        <c:axId val="49467316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672776"/>
        <c:axId val="494673168"/>
      </c:lineChart>
      <c:catAx>
        <c:axId val="494672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73168"/>
        <c:crosses val="autoZero"/>
        <c:auto val="1"/>
        <c:lblAlgn val="ctr"/>
        <c:lblOffset val="100"/>
        <c:tickLblSkip val="1"/>
        <c:noMultiLvlLbl val="0"/>
      </c:catAx>
      <c:valAx>
        <c:axId val="494673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72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57.9</c:v>
                </c:pt>
                <c:pt idx="1">
                  <c:v>71.5</c:v>
                </c:pt>
                <c:pt idx="2">
                  <c:v>64.099999999999994</c:v>
                </c:pt>
                <c:pt idx="3">
                  <c:v>64.5</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57.8</c:v>
                </c:pt>
                <c:pt idx="1">
                  <c:v>67.900000000000006</c:v>
                </c:pt>
                <c:pt idx="2">
                  <c:v>62.9</c:v>
                </c:pt>
                <c:pt idx="3">
                  <c:v>63.2</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58.9</c:v>
                </c:pt>
                <c:pt idx="1">
                  <c:v>69.2</c:v>
                </c:pt>
                <c:pt idx="2">
                  <c:v>62.8</c:v>
                </c:pt>
                <c:pt idx="3">
                  <c:v>63.3</c:v>
                </c:pt>
              </c:numCache>
            </c:numRef>
          </c:val>
        </c:ser>
        <c:dLbls>
          <c:showLegendKey val="0"/>
          <c:showVal val="0"/>
          <c:showCatName val="0"/>
          <c:showSerName val="0"/>
          <c:showPercent val="0"/>
          <c:showBubbleSize val="0"/>
        </c:dLbls>
        <c:gapWidth val="150"/>
        <c:axId val="494675520"/>
        <c:axId val="49782209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675520"/>
        <c:axId val="497822096"/>
      </c:lineChart>
      <c:catAx>
        <c:axId val="4946755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7822096"/>
        <c:crosses val="autoZero"/>
        <c:auto val="1"/>
        <c:lblAlgn val="ctr"/>
        <c:lblOffset val="100"/>
        <c:noMultiLvlLbl val="0"/>
      </c:catAx>
      <c:valAx>
        <c:axId val="497822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755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NZ" b="1" i="0">
                <a:solidFill>
                  <a:schemeClr val="tx1"/>
                </a:solidFill>
              </a:rPr>
              <a:t>% Rescreened by ethnicity</a:t>
            </a:r>
            <a:r>
              <a:rPr lang="en-NZ" b="1" i="0" baseline="0">
                <a:solidFill>
                  <a:schemeClr val="tx1"/>
                </a:solidFill>
              </a:rPr>
              <a:t> (50-67)</a:t>
            </a:r>
            <a:endParaRPr lang="en-NZ" b="1" i="0">
              <a:solidFill>
                <a:schemeClr val="tx1"/>
              </a:solidFill>
            </a:endParaRPr>
          </a:p>
        </c:rich>
      </c:tx>
      <c:layout>
        <c:manualLayout>
          <c:xMode val="edge"/>
          <c:yMode val="edge"/>
          <c:x val="0.36618828561618938"/>
          <c:y val="3.09069141416986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247594050743664E-2"/>
          <c:y val="0.13425925925925927"/>
          <c:w val="0.86795011819689094"/>
          <c:h val="0.63727302024185561"/>
        </c:manualLayout>
      </c:layout>
      <c:barChart>
        <c:barDir val="col"/>
        <c:grouping val="clustered"/>
        <c:varyColors val="0"/>
        <c:ser>
          <c:idx val="1"/>
          <c:order val="0"/>
          <c:tx>
            <c:strRef>
              <c:f>'Pivot &amp; graph initial '!$I$6</c:f>
              <c:strCache>
                <c:ptCount val="1"/>
                <c:pt idx="0">
                  <c:v>% Initial rescreen (Māori)</c:v>
                </c:pt>
              </c:strCache>
            </c:strRef>
          </c:tx>
          <c:spPr>
            <a:solidFill>
              <a:schemeClr val="dk1">
                <a:tint val="5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'!$I$7:$I$9</c:f>
              <c:numCache>
                <c:formatCode>0.0</c:formatCode>
                <c:ptCount val="3"/>
                <c:pt idx="0">
                  <c:v>49.681528662420384</c:v>
                </c:pt>
                <c:pt idx="1">
                  <c:v>42.477876106194692</c:v>
                </c:pt>
                <c:pt idx="2">
                  <c:v>44.761904761904766</c:v>
                </c:pt>
              </c:numCache>
            </c:numRef>
          </c:val>
        </c:ser>
        <c:ser>
          <c:idx val="3"/>
          <c:order val="1"/>
          <c:tx>
            <c:strRef>
              <c:f>'Pivot &amp; graph initial '!$L$6</c:f>
              <c:strCache>
                <c:ptCount val="1"/>
                <c:pt idx="0">
                  <c:v>% Initial rescreen (Pacific)</c:v>
                </c:pt>
              </c:strCache>
            </c:strRef>
          </c:tx>
          <c:spPr>
            <a:solidFill>
              <a:schemeClr val="dk1">
                <a:tint val="9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'!$L$7:$L$9</c:f>
              <c:numCache>
                <c:formatCode>0.0</c:formatCode>
                <c:ptCount val="3"/>
                <c:pt idx="0">
                  <c:v>46.258503401360542</c:v>
                </c:pt>
                <c:pt idx="1">
                  <c:v>43.850267379679138</c:v>
                </c:pt>
                <c:pt idx="2">
                  <c:v>49.044585987261144</c:v>
                </c:pt>
              </c:numCache>
            </c:numRef>
          </c:val>
        </c:ser>
        <c:ser>
          <c:idx val="2"/>
          <c:order val="2"/>
          <c:tx>
            <c:strRef>
              <c:f>'Pivot &amp; graph initial '!$O$6</c:f>
              <c:strCache>
                <c:ptCount val="1"/>
                <c:pt idx="0">
                  <c:v>% Initial rescreen (Other')</c:v>
                </c:pt>
              </c:strCache>
            </c:strRef>
          </c:tx>
          <c:spPr>
            <a:solidFill>
              <a:schemeClr val="dk1">
                <a:tint val="7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'!$O$7:$O$9</c:f>
              <c:numCache>
                <c:formatCode>0.0</c:formatCode>
                <c:ptCount val="3"/>
                <c:pt idx="0">
                  <c:v>67.250213492741253</c:v>
                </c:pt>
                <c:pt idx="1">
                  <c:v>66.592920353982294</c:v>
                </c:pt>
                <c:pt idx="2">
                  <c:v>66.57323055360898</c:v>
                </c:pt>
              </c:numCache>
            </c:numRef>
          </c:val>
        </c:ser>
        <c:ser>
          <c:idx val="0"/>
          <c:order val="3"/>
          <c:tx>
            <c:strRef>
              <c:f>'Pivot &amp; graph initial '!$R$6</c:f>
              <c:strCache>
                <c:ptCount val="1"/>
                <c:pt idx="0">
                  <c:v>% Initial rescreen (Total)</c:v>
                </c:pt>
              </c:strCache>
            </c:strRef>
          </c:tx>
          <c:spPr>
            <a:solidFill>
              <a:schemeClr val="dk1">
                <a:tint val="8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'!$R$7:$R$9</c:f>
              <c:numCache>
                <c:formatCode>0.0</c:formatCode>
                <c:ptCount val="3"/>
                <c:pt idx="0">
                  <c:v>64.052989616899396</c:v>
                </c:pt>
                <c:pt idx="1">
                  <c:v>63.282732447817835</c:v>
                </c:pt>
                <c:pt idx="2">
                  <c:v>63.587921847246889</c:v>
                </c:pt>
              </c:numCache>
            </c:numRef>
          </c:val>
        </c:ser>
        <c:dLbls>
          <c:showLegendKey val="0"/>
          <c:showVal val="0"/>
          <c:showCatName val="0"/>
          <c:showSerName val="0"/>
          <c:showPercent val="0"/>
          <c:showBubbleSize val="0"/>
        </c:dLbls>
        <c:gapWidth val="150"/>
        <c:axId val="486236832"/>
        <c:axId val="486236440"/>
      </c:barChart>
      <c:lineChart>
        <c:grouping val="standard"/>
        <c:varyColors val="0"/>
        <c:ser>
          <c:idx val="4"/>
          <c:order val="4"/>
          <c:tx>
            <c:strRef>
              <c:f>'Pivot &amp; graph initial '!$S$6</c:f>
              <c:strCache>
                <c:ptCount val="1"/>
                <c:pt idx="0">
                  <c:v>% Initial rescreen target</c:v>
                </c:pt>
              </c:strCache>
            </c:strRef>
          </c:tx>
          <c:spPr>
            <a:ln w="28575" cap="rnd">
              <a:solidFill>
                <a:schemeClr val="dk1">
                  <a:tint val="30000"/>
                </a:schemeClr>
              </a:solidFill>
              <a:round/>
            </a:ln>
            <a:effectLst/>
          </c:spPr>
          <c:marker>
            <c:symbol val="none"/>
          </c:marker>
          <c:cat>
            <c:numRef>
              <c:f>'Pivot &amp; graph initial '!$F$7:$F$9</c:f>
              <c:numCache>
                <c:formatCode>mmm\ yyyy</c:formatCode>
                <c:ptCount val="3"/>
                <c:pt idx="0">
                  <c:v>42614</c:v>
                </c:pt>
                <c:pt idx="1">
                  <c:v>42979</c:v>
                </c:pt>
                <c:pt idx="2">
                  <c:v>43344</c:v>
                </c:pt>
              </c:numCache>
            </c:numRef>
          </c:cat>
          <c:val>
            <c:numRef>
              <c:f>'Pivot &amp; graph initial '!$S$7:$S$10</c:f>
              <c:numCache>
                <c:formatCode>0.0</c:formatCode>
                <c:ptCount val="4"/>
                <c:pt idx="0">
                  <c:v>75</c:v>
                </c:pt>
                <c:pt idx="1">
                  <c:v>75</c:v>
                </c:pt>
                <c:pt idx="2">
                  <c:v>75</c:v>
                </c:pt>
              </c:numCache>
            </c:numRef>
          </c:val>
          <c:smooth val="0"/>
        </c:ser>
        <c:dLbls>
          <c:showLegendKey val="0"/>
          <c:showVal val="0"/>
          <c:showCatName val="0"/>
          <c:showSerName val="0"/>
          <c:showPercent val="0"/>
          <c:showBubbleSize val="0"/>
        </c:dLbls>
        <c:marker val="1"/>
        <c:smooth val="0"/>
        <c:axId val="486236832"/>
        <c:axId val="486236440"/>
      </c:lineChart>
      <c:catAx>
        <c:axId val="486236832"/>
        <c:scaling>
          <c:orientation val="minMax"/>
          <c:max val="3"/>
          <c:min val="1"/>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6236440"/>
        <c:crosses val="autoZero"/>
        <c:auto val="0"/>
        <c:lblAlgn val="ctr"/>
        <c:lblOffset val="100"/>
        <c:noMultiLvlLbl val="0"/>
      </c:catAx>
      <c:valAx>
        <c:axId val="4862364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86236832"/>
        <c:crosses val="autoZero"/>
        <c:crossBetween val="between"/>
      </c:valAx>
      <c:spPr>
        <a:noFill/>
        <a:ln>
          <a:noFill/>
        </a:ln>
        <a:effectLst/>
      </c:spPr>
    </c:plotArea>
    <c:legend>
      <c:legendPos val="b"/>
      <c:layout>
        <c:manualLayout>
          <c:xMode val="edge"/>
          <c:yMode val="edge"/>
          <c:x val="2.6963912067468995E-2"/>
          <c:y val="0.86369152705114915"/>
          <c:w val="0.75106534090909094"/>
          <c:h val="0.10781790220791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0.01389</cdr:y>
    </cdr:from>
    <cdr:to>
      <cdr:x>0.21105</cdr:x>
      <cdr:y>0.12418</cdr:y>
    </cdr:to>
    <cdr:sp macro="" textlink="">
      <cdr:nvSpPr>
        <cdr:cNvPr id="2" name="TextBox 1"/>
        <cdr:cNvSpPr txBox="1"/>
      </cdr:nvSpPr>
      <cdr:spPr>
        <a:xfrm xmlns:a="http://schemas.openxmlformats.org/drawingml/2006/main">
          <a:off x="0" y="52454"/>
          <a:ext cx="963856" cy="416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Percentage rescreened</a:t>
          </a:r>
        </a:p>
      </cdr:txBody>
    </cdr:sp>
  </cdr:relSizeAnchor>
  <cdr:relSizeAnchor xmlns:cdr="http://schemas.openxmlformats.org/drawingml/2006/chartDrawing">
    <cdr:from>
      <cdr:x>0.35174</cdr:x>
      <cdr:y>0.20944</cdr:y>
    </cdr:from>
    <cdr:to>
      <cdr:x>0.49706</cdr:x>
      <cdr:y>0.25074</cdr:y>
    </cdr:to>
    <cdr:sp macro="" textlink="">
      <cdr:nvSpPr>
        <cdr:cNvPr id="3" name="TextBox 2"/>
        <cdr:cNvSpPr txBox="1"/>
      </cdr:nvSpPr>
      <cdr:spPr>
        <a:xfrm xmlns:a="http://schemas.openxmlformats.org/drawingml/2006/main">
          <a:off x="2213163" y="795618"/>
          <a:ext cx="914400" cy="1568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0.32257</cdr:x>
      <cdr:y>0.1996</cdr:y>
    </cdr:from>
    <cdr:to>
      <cdr:x>0.46789</cdr:x>
      <cdr:y>0.26745</cdr:y>
    </cdr:to>
    <cdr:sp macro="" textlink="">
      <cdr:nvSpPr>
        <cdr:cNvPr id="4" name="TextBox 3"/>
        <cdr:cNvSpPr txBox="1"/>
      </cdr:nvSpPr>
      <cdr:spPr>
        <a:xfrm xmlns:a="http://schemas.openxmlformats.org/drawingml/2006/main">
          <a:off x="2033763" y="788933"/>
          <a:ext cx="916229" cy="268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000">
              <a:latin typeface="Arial" panose="020B0604020202020204" pitchFamily="34" charset="0"/>
              <a:cs typeface="Arial" panose="020B0604020202020204" pitchFamily="34" charset="0"/>
            </a:rPr>
            <a:t>75% Target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56E79-DA01-4C46-90D0-2FDEC5EB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3A251D4A</Template>
  <TotalTime>4</TotalTime>
  <Pages>16</Pages>
  <Words>1802</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4</cp:revision>
  <cp:lastPrinted>2018-11-22T22:24:00Z</cp:lastPrinted>
  <dcterms:created xsi:type="dcterms:W3CDTF">2018-11-22T22:19:00Z</dcterms:created>
  <dcterms:modified xsi:type="dcterms:W3CDTF">2018-11-22T22:24:00Z</dcterms:modified>
</cp:coreProperties>
</file>