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FCC2D"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DB6736" w:rsidRPr="00DB6736">
        <w:rPr>
          <w:rFonts w:cs="Times New Roman"/>
          <w:b/>
          <w:sz w:val="72"/>
        </w:rPr>
        <w:t>Hawke’s Bay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49D8905F"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42764EE" w14:textId="77777777" w:rsidR="00115CAE" w:rsidRPr="001414CF" w:rsidRDefault="00DB6736" w:rsidP="00115CAE">
      <w:pPr>
        <w:spacing w:line="264" w:lineRule="auto"/>
        <w:ind w:right="424"/>
        <w:rPr>
          <w:rFonts w:cs="Times New Roman"/>
          <w:sz w:val="56"/>
        </w:rPr>
      </w:pPr>
      <w:r w:rsidRPr="00DB6736">
        <w:rPr>
          <w:rFonts w:cs="Times New Roman"/>
          <w:sz w:val="56"/>
        </w:rPr>
        <w:t>31 March 2017</w:t>
      </w:r>
    </w:p>
    <w:p w14:paraId="4657BED3"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2F407F9E"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B6736" w:rsidRPr="00DB6736">
        <w:rPr>
          <w:rFonts w:cs="Times New Roman"/>
        </w:rPr>
        <w:t>May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B6736" w:rsidRPr="00DB6736">
        <w:rPr>
          <w:rFonts w:cs="Times New Roman"/>
          <w:i/>
        </w:rPr>
        <w:t>31 March 2017</w:t>
      </w:r>
      <w:r w:rsidRPr="00982FA0">
        <w:rPr>
          <w:rFonts w:cs="Times New Roman"/>
        </w:rPr>
        <w:t>. Wellington: Ministry of Health.</w:t>
      </w:r>
    </w:p>
    <w:p w14:paraId="586C9781"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B6736" w:rsidRPr="00DB6736">
        <w:rPr>
          <w:rFonts w:cs="Times New Roman"/>
        </w:rPr>
        <w:t>May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8FD182A" w14:textId="77777777" w:rsidR="00115CAE" w:rsidRPr="00982FA0" w:rsidRDefault="00DB6736" w:rsidP="00115CAE">
      <w:pPr>
        <w:spacing w:after="240" w:line="264" w:lineRule="auto"/>
        <w:jc w:val="center"/>
        <w:rPr>
          <w:rFonts w:cs="Times New Roman"/>
        </w:rPr>
      </w:pPr>
      <w:r w:rsidRPr="00DB6736">
        <w:rPr>
          <w:rFonts w:cs="Times New Roman"/>
        </w:rPr>
        <w:t xml:space="preserve">2422-9237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0094D71B"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690CE419" w14:textId="77777777" w:rsidR="00115CAE" w:rsidRPr="00F079BE" w:rsidRDefault="00115CAE" w:rsidP="00115CAE"/>
    <w:p w14:paraId="2E978341"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05931056" w14:textId="77777777" w:rsidR="00115CAE" w:rsidRDefault="00115CAE" w:rsidP="00115CAE">
      <w:pPr>
        <w:pStyle w:val="Contentsheading"/>
        <w:rPr>
          <w:noProof/>
        </w:rPr>
      </w:pPr>
      <w:r>
        <w:rPr>
          <w:noProof/>
        </w:rPr>
        <w:lastRenderedPageBreak/>
        <w:t>Contents</w:t>
      </w:r>
    </w:p>
    <w:p w14:paraId="75E65DCC" w14:textId="77777777" w:rsidR="009A38AD"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9A38AD">
        <w:rPr>
          <w:noProof/>
        </w:rPr>
        <w:t>Introduction</w:t>
      </w:r>
      <w:r w:rsidR="009A38AD">
        <w:rPr>
          <w:noProof/>
        </w:rPr>
        <w:tab/>
      </w:r>
      <w:r w:rsidR="009A38AD">
        <w:rPr>
          <w:noProof/>
        </w:rPr>
        <w:fldChar w:fldCharType="begin"/>
      </w:r>
      <w:r w:rsidR="009A38AD">
        <w:rPr>
          <w:noProof/>
        </w:rPr>
        <w:instrText xml:space="preserve"> PAGEREF _Toc482366173 \h </w:instrText>
      </w:r>
      <w:r w:rsidR="009A38AD">
        <w:rPr>
          <w:noProof/>
        </w:rPr>
      </w:r>
      <w:r w:rsidR="009A38AD">
        <w:rPr>
          <w:noProof/>
        </w:rPr>
        <w:fldChar w:fldCharType="separate"/>
      </w:r>
      <w:r w:rsidR="006A60CC">
        <w:rPr>
          <w:noProof/>
        </w:rPr>
        <w:t>2</w:t>
      </w:r>
      <w:r w:rsidR="009A38AD">
        <w:rPr>
          <w:noProof/>
        </w:rPr>
        <w:fldChar w:fldCharType="end"/>
      </w:r>
    </w:p>
    <w:p w14:paraId="21A961E8" w14:textId="77777777" w:rsidR="009A38AD" w:rsidRDefault="009A38AD">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_Toc482366174 \h </w:instrText>
      </w:r>
      <w:r>
        <w:rPr>
          <w:noProof/>
        </w:rPr>
      </w:r>
      <w:r>
        <w:rPr>
          <w:noProof/>
        </w:rPr>
        <w:fldChar w:fldCharType="separate"/>
      </w:r>
      <w:r w:rsidR="006A60CC">
        <w:rPr>
          <w:noProof/>
        </w:rPr>
        <w:t>3</w:t>
      </w:r>
      <w:r>
        <w:rPr>
          <w:noProof/>
        </w:rPr>
        <w:fldChar w:fldCharType="end"/>
      </w:r>
    </w:p>
    <w:p w14:paraId="7A1DD26D" w14:textId="77777777" w:rsidR="009A38AD" w:rsidRDefault="009A38AD">
      <w:pPr>
        <w:pStyle w:val="TOC1"/>
        <w:tabs>
          <w:tab w:val="right" w:leader="dot" w:pos="9345"/>
        </w:tabs>
        <w:rPr>
          <w:rFonts w:asciiTheme="minorHAnsi" w:hAnsiTheme="minorHAnsi"/>
          <w:noProof/>
          <w:sz w:val="22"/>
        </w:rPr>
      </w:pPr>
      <w:r>
        <w:rPr>
          <w:noProof/>
        </w:rPr>
        <w:t>Hawke’s Bay coverage</w:t>
      </w:r>
      <w:r>
        <w:rPr>
          <w:noProof/>
        </w:rPr>
        <w:tab/>
      </w:r>
      <w:r>
        <w:rPr>
          <w:noProof/>
        </w:rPr>
        <w:fldChar w:fldCharType="begin"/>
      </w:r>
      <w:r>
        <w:rPr>
          <w:noProof/>
        </w:rPr>
        <w:instrText xml:space="preserve"> PAGEREF _Toc482366175 \h </w:instrText>
      </w:r>
      <w:r>
        <w:rPr>
          <w:noProof/>
        </w:rPr>
      </w:r>
      <w:r>
        <w:rPr>
          <w:noProof/>
        </w:rPr>
        <w:fldChar w:fldCharType="separate"/>
      </w:r>
      <w:r w:rsidR="006A60CC">
        <w:rPr>
          <w:noProof/>
        </w:rPr>
        <w:t>4</w:t>
      </w:r>
      <w:r>
        <w:rPr>
          <w:noProof/>
        </w:rPr>
        <w:fldChar w:fldCharType="end"/>
      </w:r>
    </w:p>
    <w:p w14:paraId="651E94EF" w14:textId="77777777" w:rsidR="009A38AD" w:rsidRDefault="009A38AD">
      <w:pPr>
        <w:pStyle w:val="TOC2"/>
        <w:tabs>
          <w:tab w:val="right" w:leader="dot" w:pos="9345"/>
        </w:tabs>
        <w:rPr>
          <w:rFonts w:asciiTheme="minorHAnsi" w:hAnsiTheme="minorHAnsi"/>
          <w:noProof/>
        </w:rPr>
      </w:pPr>
      <w:r>
        <w:rPr>
          <w:noProof/>
        </w:rPr>
        <w:t>Hawke’s Bay coverage by ethnicity in the two years ending 31 March 2017</w:t>
      </w:r>
      <w:r>
        <w:rPr>
          <w:noProof/>
        </w:rPr>
        <w:tab/>
      </w:r>
      <w:r>
        <w:rPr>
          <w:noProof/>
        </w:rPr>
        <w:fldChar w:fldCharType="begin"/>
      </w:r>
      <w:r>
        <w:rPr>
          <w:noProof/>
        </w:rPr>
        <w:instrText xml:space="preserve"> PAGEREF _Toc482366176 \h </w:instrText>
      </w:r>
      <w:r>
        <w:rPr>
          <w:noProof/>
        </w:rPr>
      </w:r>
      <w:r>
        <w:rPr>
          <w:noProof/>
        </w:rPr>
        <w:fldChar w:fldCharType="separate"/>
      </w:r>
      <w:r w:rsidR="006A60CC">
        <w:rPr>
          <w:noProof/>
        </w:rPr>
        <w:t>4</w:t>
      </w:r>
      <w:r>
        <w:rPr>
          <w:noProof/>
        </w:rPr>
        <w:fldChar w:fldCharType="end"/>
      </w:r>
    </w:p>
    <w:p w14:paraId="6144800B" w14:textId="77777777" w:rsidR="009A38AD" w:rsidRDefault="009A38AD">
      <w:pPr>
        <w:pStyle w:val="TOC2"/>
        <w:tabs>
          <w:tab w:val="right" w:leader="dot" w:pos="9345"/>
        </w:tabs>
        <w:rPr>
          <w:rFonts w:asciiTheme="minorHAnsi" w:hAnsiTheme="minorHAnsi"/>
          <w:noProof/>
        </w:rPr>
      </w:pPr>
      <w:r>
        <w:rPr>
          <w:noProof/>
        </w:rPr>
        <w:t>Hawke’s Bay coverage trends by ethnicity</w:t>
      </w:r>
      <w:r>
        <w:rPr>
          <w:noProof/>
        </w:rPr>
        <w:tab/>
      </w:r>
      <w:r>
        <w:rPr>
          <w:noProof/>
        </w:rPr>
        <w:fldChar w:fldCharType="begin"/>
      </w:r>
      <w:r>
        <w:rPr>
          <w:noProof/>
        </w:rPr>
        <w:instrText xml:space="preserve"> PAGEREF _Toc482366177 \h </w:instrText>
      </w:r>
      <w:r>
        <w:rPr>
          <w:noProof/>
        </w:rPr>
      </w:r>
      <w:r>
        <w:rPr>
          <w:noProof/>
        </w:rPr>
        <w:fldChar w:fldCharType="separate"/>
      </w:r>
      <w:r w:rsidR="006A60CC">
        <w:rPr>
          <w:noProof/>
        </w:rPr>
        <w:t>5</w:t>
      </w:r>
      <w:r>
        <w:rPr>
          <w:noProof/>
        </w:rPr>
        <w:fldChar w:fldCharType="end"/>
      </w:r>
    </w:p>
    <w:p w14:paraId="1BF1236E" w14:textId="77777777" w:rsidR="009A38AD" w:rsidRDefault="009A38AD">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_Toc482366178 \h </w:instrText>
      </w:r>
      <w:r>
        <w:rPr>
          <w:noProof/>
        </w:rPr>
      </w:r>
      <w:r>
        <w:rPr>
          <w:noProof/>
        </w:rPr>
        <w:fldChar w:fldCharType="separate"/>
      </w:r>
      <w:r w:rsidR="006A60CC">
        <w:rPr>
          <w:noProof/>
        </w:rPr>
        <w:t>6</w:t>
      </w:r>
      <w:r>
        <w:rPr>
          <w:noProof/>
        </w:rPr>
        <w:fldChar w:fldCharType="end"/>
      </w:r>
    </w:p>
    <w:p w14:paraId="0CE8E8FD" w14:textId="77777777" w:rsidR="009A38AD" w:rsidRDefault="009A38AD">
      <w:pPr>
        <w:pStyle w:val="TOC2"/>
        <w:tabs>
          <w:tab w:val="right" w:leader="dot" w:pos="9345"/>
        </w:tabs>
        <w:rPr>
          <w:rFonts w:asciiTheme="minorHAnsi" w:hAnsiTheme="minorHAnsi"/>
          <w:noProof/>
        </w:rPr>
      </w:pPr>
      <w:r>
        <w:rPr>
          <w:noProof/>
        </w:rPr>
        <w:t>DHB coverage by ethnicity in the two years ending 31 March 2017</w:t>
      </w:r>
      <w:r>
        <w:rPr>
          <w:noProof/>
        </w:rPr>
        <w:tab/>
      </w:r>
      <w:r>
        <w:rPr>
          <w:noProof/>
        </w:rPr>
        <w:fldChar w:fldCharType="begin"/>
      </w:r>
      <w:r>
        <w:rPr>
          <w:noProof/>
        </w:rPr>
        <w:instrText xml:space="preserve"> PAGEREF _Toc482366179 \h </w:instrText>
      </w:r>
      <w:r>
        <w:rPr>
          <w:noProof/>
        </w:rPr>
      </w:r>
      <w:r>
        <w:rPr>
          <w:noProof/>
        </w:rPr>
        <w:fldChar w:fldCharType="separate"/>
      </w:r>
      <w:r w:rsidR="006A60CC">
        <w:rPr>
          <w:noProof/>
        </w:rPr>
        <w:t>6</w:t>
      </w:r>
      <w:r>
        <w:rPr>
          <w:noProof/>
        </w:rPr>
        <w:fldChar w:fldCharType="end"/>
      </w:r>
    </w:p>
    <w:p w14:paraId="5E3EE3F6" w14:textId="77777777" w:rsidR="009A38AD" w:rsidRDefault="009A38AD">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_Toc482366180 \h </w:instrText>
      </w:r>
      <w:r>
        <w:rPr>
          <w:noProof/>
        </w:rPr>
      </w:r>
      <w:r>
        <w:rPr>
          <w:noProof/>
        </w:rPr>
        <w:fldChar w:fldCharType="separate"/>
      </w:r>
      <w:r w:rsidR="006A60CC">
        <w:rPr>
          <w:noProof/>
        </w:rPr>
        <w:t>12</w:t>
      </w:r>
      <w:r>
        <w:rPr>
          <w:noProof/>
        </w:rPr>
        <w:fldChar w:fldCharType="end"/>
      </w:r>
    </w:p>
    <w:p w14:paraId="2DBC3B18"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2933E2AF" w14:textId="77777777" w:rsidR="009A38AD"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9A38AD">
        <w:rPr>
          <w:noProof/>
        </w:rPr>
        <w:t>Table 1: BSA coverage (%) in the two years ending 31 March 2017 by ethnicity, women aged 50–69 years, Hawke’s Bay Coverage</w:t>
      </w:r>
      <w:r w:rsidR="009A38AD">
        <w:rPr>
          <w:noProof/>
        </w:rPr>
        <w:tab/>
      </w:r>
      <w:r w:rsidR="009A38AD">
        <w:rPr>
          <w:noProof/>
        </w:rPr>
        <w:fldChar w:fldCharType="begin"/>
      </w:r>
      <w:r w:rsidR="009A38AD">
        <w:rPr>
          <w:noProof/>
        </w:rPr>
        <w:instrText xml:space="preserve"> PAGEREF _Toc482366181 \h </w:instrText>
      </w:r>
      <w:r w:rsidR="009A38AD">
        <w:rPr>
          <w:noProof/>
        </w:rPr>
      </w:r>
      <w:r w:rsidR="009A38AD">
        <w:rPr>
          <w:noProof/>
        </w:rPr>
        <w:fldChar w:fldCharType="separate"/>
      </w:r>
      <w:r w:rsidR="006A60CC">
        <w:rPr>
          <w:noProof/>
        </w:rPr>
        <w:t>4</w:t>
      </w:r>
      <w:r w:rsidR="009A38AD">
        <w:rPr>
          <w:noProof/>
        </w:rPr>
        <w:fldChar w:fldCharType="end"/>
      </w:r>
    </w:p>
    <w:p w14:paraId="468C1AAE" w14:textId="77777777" w:rsidR="009A38AD" w:rsidRDefault="009A38AD">
      <w:pPr>
        <w:pStyle w:val="TOC3"/>
        <w:tabs>
          <w:tab w:val="right" w:leader="dot" w:pos="9345"/>
        </w:tabs>
        <w:rPr>
          <w:rFonts w:asciiTheme="minorHAnsi" w:hAnsiTheme="minorHAnsi"/>
          <w:noProof/>
        </w:rPr>
      </w:pPr>
      <w:r>
        <w:rPr>
          <w:noProof/>
        </w:rPr>
        <w:t>Table 2: BSA number of screens in women aged 50–69 years by ethnicity and quarter, Quarter 1 2016 –Quarter 1 2017</w:t>
      </w:r>
      <w:r>
        <w:rPr>
          <w:noProof/>
        </w:rPr>
        <w:tab/>
      </w:r>
      <w:r>
        <w:rPr>
          <w:noProof/>
        </w:rPr>
        <w:fldChar w:fldCharType="begin"/>
      </w:r>
      <w:r>
        <w:rPr>
          <w:noProof/>
        </w:rPr>
        <w:instrText xml:space="preserve"> PAGEREF _Toc482366182 \h </w:instrText>
      </w:r>
      <w:r>
        <w:rPr>
          <w:noProof/>
        </w:rPr>
      </w:r>
      <w:r>
        <w:rPr>
          <w:noProof/>
        </w:rPr>
        <w:fldChar w:fldCharType="separate"/>
      </w:r>
      <w:r w:rsidR="006A60CC">
        <w:rPr>
          <w:noProof/>
        </w:rPr>
        <w:t>5</w:t>
      </w:r>
      <w:r>
        <w:rPr>
          <w:noProof/>
        </w:rPr>
        <w:fldChar w:fldCharType="end"/>
      </w:r>
    </w:p>
    <w:p w14:paraId="07E86D84" w14:textId="77777777" w:rsidR="009A38AD" w:rsidRDefault="009A38AD">
      <w:pPr>
        <w:pStyle w:val="TOC3"/>
        <w:tabs>
          <w:tab w:val="right" w:leader="dot" w:pos="9345"/>
        </w:tabs>
        <w:rPr>
          <w:rFonts w:asciiTheme="minorHAnsi" w:hAnsiTheme="minorHAnsi"/>
          <w:noProof/>
        </w:rPr>
      </w:pPr>
      <w:r>
        <w:rPr>
          <w:noProof/>
        </w:rPr>
        <w:t>Table 3: BSA number of screens and coverage (%) in women aged 50–69 years in the two years ending 31 March 2017 by District Health Board</w:t>
      </w:r>
      <w:r>
        <w:rPr>
          <w:noProof/>
        </w:rPr>
        <w:tab/>
      </w:r>
      <w:r>
        <w:rPr>
          <w:noProof/>
        </w:rPr>
        <w:fldChar w:fldCharType="begin"/>
      </w:r>
      <w:r>
        <w:rPr>
          <w:noProof/>
        </w:rPr>
        <w:instrText xml:space="preserve"> PAGEREF _Toc482366183 \h </w:instrText>
      </w:r>
      <w:r>
        <w:rPr>
          <w:noProof/>
        </w:rPr>
      </w:r>
      <w:r>
        <w:rPr>
          <w:noProof/>
        </w:rPr>
        <w:fldChar w:fldCharType="separate"/>
      </w:r>
      <w:r w:rsidR="006A60CC">
        <w:rPr>
          <w:noProof/>
        </w:rPr>
        <w:t>11</w:t>
      </w:r>
      <w:r>
        <w:rPr>
          <w:noProof/>
        </w:rPr>
        <w:fldChar w:fldCharType="end"/>
      </w:r>
    </w:p>
    <w:p w14:paraId="7ABE0E6E" w14:textId="77777777" w:rsidR="009A38AD" w:rsidRDefault="009A38AD">
      <w:pPr>
        <w:pStyle w:val="TOC3"/>
        <w:tabs>
          <w:tab w:val="right" w:leader="dot" w:pos="9345"/>
        </w:tabs>
        <w:rPr>
          <w:rFonts w:asciiTheme="minorHAnsi" w:hAnsiTheme="minorHAnsi"/>
          <w:noProof/>
        </w:rPr>
      </w:pPr>
      <w:r>
        <w:rPr>
          <w:noProof/>
        </w:rPr>
        <w:t>Table 4: BSA coverage (%) of women aged 50–69 years in the two years ending 31 March, 2015, 2016, 2017, by ethnicity and District Health Board</w:t>
      </w:r>
      <w:r>
        <w:rPr>
          <w:noProof/>
        </w:rPr>
        <w:tab/>
      </w:r>
      <w:r>
        <w:rPr>
          <w:noProof/>
        </w:rPr>
        <w:fldChar w:fldCharType="begin"/>
      </w:r>
      <w:r>
        <w:rPr>
          <w:noProof/>
        </w:rPr>
        <w:instrText xml:space="preserve"> PAGEREF _Toc482366184 \h </w:instrText>
      </w:r>
      <w:r>
        <w:rPr>
          <w:noProof/>
        </w:rPr>
      </w:r>
      <w:r>
        <w:rPr>
          <w:noProof/>
        </w:rPr>
        <w:fldChar w:fldCharType="separate"/>
      </w:r>
      <w:r w:rsidR="006A60CC">
        <w:rPr>
          <w:noProof/>
        </w:rPr>
        <w:t>12</w:t>
      </w:r>
      <w:r>
        <w:rPr>
          <w:noProof/>
        </w:rPr>
        <w:fldChar w:fldCharType="end"/>
      </w:r>
    </w:p>
    <w:p w14:paraId="683C9BF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7838B622" w14:textId="77777777" w:rsidR="009A38AD"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9A38AD">
        <w:rPr>
          <w:noProof/>
        </w:rPr>
        <w:t>Figure 1: BSA coverage (%) in the two years ending 31 March 2017 by ethnicity, women aged 50–69 years, Hawke’s Bay Coverage</w:t>
      </w:r>
      <w:r w:rsidR="009A38AD">
        <w:rPr>
          <w:noProof/>
        </w:rPr>
        <w:tab/>
      </w:r>
      <w:r w:rsidR="009A38AD">
        <w:rPr>
          <w:noProof/>
        </w:rPr>
        <w:fldChar w:fldCharType="begin"/>
      </w:r>
      <w:r w:rsidR="009A38AD">
        <w:rPr>
          <w:noProof/>
        </w:rPr>
        <w:instrText xml:space="preserve"> PAGEREF _Toc482366185 \h </w:instrText>
      </w:r>
      <w:r w:rsidR="009A38AD">
        <w:rPr>
          <w:noProof/>
        </w:rPr>
      </w:r>
      <w:r w:rsidR="009A38AD">
        <w:rPr>
          <w:noProof/>
        </w:rPr>
        <w:fldChar w:fldCharType="separate"/>
      </w:r>
      <w:r w:rsidR="006A60CC">
        <w:rPr>
          <w:noProof/>
        </w:rPr>
        <w:t>4</w:t>
      </w:r>
      <w:r w:rsidR="009A38AD">
        <w:rPr>
          <w:noProof/>
        </w:rPr>
        <w:fldChar w:fldCharType="end"/>
      </w:r>
    </w:p>
    <w:p w14:paraId="32B04145" w14:textId="77777777" w:rsidR="009A38AD" w:rsidRDefault="009A38AD">
      <w:pPr>
        <w:pStyle w:val="TOC3"/>
        <w:tabs>
          <w:tab w:val="right" w:leader="dot" w:pos="9345"/>
        </w:tabs>
        <w:rPr>
          <w:rFonts w:asciiTheme="minorHAnsi" w:hAnsiTheme="minorHAnsi"/>
          <w:noProof/>
        </w:rPr>
      </w:pPr>
      <w:r>
        <w:rPr>
          <w:noProof/>
        </w:rPr>
        <w:t>Figure 2: BSA coverage (%) of women aged 50–69 years in the two years ending 31 March 2017 by ethnicity, Hawke’s Bay Coverage</w:t>
      </w:r>
      <w:r>
        <w:rPr>
          <w:noProof/>
        </w:rPr>
        <w:tab/>
      </w:r>
      <w:r>
        <w:rPr>
          <w:noProof/>
        </w:rPr>
        <w:fldChar w:fldCharType="begin"/>
      </w:r>
      <w:r>
        <w:rPr>
          <w:noProof/>
        </w:rPr>
        <w:instrText xml:space="preserve"> PAGEREF _Toc482366186 \h </w:instrText>
      </w:r>
      <w:r>
        <w:rPr>
          <w:noProof/>
        </w:rPr>
      </w:r>
      <w:r>
        <w:rPr>
          <w:noProof/>
        </w:rPr>
        <w:fldChar w:fldCharType="separate"/>
      </w:r>
      <w:r w:rsidR="006A60CC">
        <w:rPr>
          <w:noProof/>
        </w:rPr>
        <w:t>5</w:t>
      </w:r>
      <w:r>
        <w:rPr>
          <w:noProof/>
        </w:rPr>
        <w:fldChar w:fldCharType="end"/>
      </w:r>
    </w:p>
    <w:p w14:paraId="2EC4C4EA" w14:textId="77777777" w:rsidR="009A38AD" w:rsidRDefault="009A38AD">
      <w:pPr>
        <w:pStyle w:val="TOC3"/>
        <w:tabs>
          <w:tab w:val="right" w:leader="dot" w:pos="9345"/>
        </w:tabs>
        <w:rPr>
          <w:rFonts w:asciiTheme="minorHAnsi" w:hAnsiTheme="minorHAnsi"/>
          <w:noProof/>
        </w:rPr>
      </w:pPr>
      <w:r>
        <w:rPr>
          <w:noProof/>
        </w:rPr>
        <w:t>Figure 3: BSA coverage (%) of Māori women aged 50–69 years in the two years ending 31 March 2017 by District Health Board</w:t>
      </w:r>
      <w:r>
        <w:rPr>
          <w:noProof/>
        </w:rPr>
        <w:tab/>
      </w:r>
      <w:r>
        <w:rPr>
          <w:noProof/>
        </w:rPr>
        <w:fldChar w:fldCharType="begin"/>
      </w:r>
      <w:r>
        <w:rPr>
          <w:noProof/>
        </w:rPr>
        <w:instrText xml:space="preserve"> PAGEREF _Toc482366187 \h </w:instrText>
      </w:r>
      <w:r>
        <w:rPr>
          <w:noProof/>
        </w:rPr>
      </w:r>
      <w:r>
        <w:rPr>
          <w:noProof/>
        </w:rPr>
        <w:fldChar w:fldCharType="separate"/>
      </w:r>
      <w:r w:rsidR="006A60CC">
        <w:rPr>
          <w:noProof/>
        </w:rPr>
        <w:t>6</w:t>
      </w:r>
      <w:r>
        <w:rPr>
          <w:noProof/>
        </w:rPr>
        <w:fldChar w:fldCharType="end"/>
      </w:r>
    </w:p>
    <w:p w14:paraId="4DC31E79" w14:textId="77777777" w:rsidR="009A38AD" w:rsidRDefault="009A38AD">
      <w:pPr>
        <w:pStyle w:val="TOC3"/>
        <w:tabs>
          <w:tab w:val="right" w:leader="dot" w:pos="9345"/>
        </w:tabs>
        <w:rPr>
          <w:rFonts w:asciiTheme="minorHAnsi" w:hAnsiTheme="minorHAnsi"/>
          <w:noProof/>
        </w:rPr>
      </w:pPr>
      <w:r>
        <w:rPr>
          <w:noProof/>
        </w:rPr>
        <w:t>Figure 4: BSA coverage (%) of Pacific women aged 50–69 years in the two years ending 31 March 2017 by District Health Board</w:t>
      </w:r>
      <w:r>
        <w:rPr>
          <w:noProof/>
        </w:rPr>
        <w:tab/>
      </w:r>
      <w:r>
        <w:rPr>
          <w:noProof/>
        </w:rPr>
        <w:fldChar w:fldCharType="begin"/>
      </w:r>
      <w:r>
        <w:rPr>
          <w:noProof/>
        </w:rPr>
        <w:instrText xml:space="preserve"> PAGEREF _Toc482366188 \h </w:instrText>
      </w:r>
      <w:r>
        <w:rPr>
          <w:noProof/>
        </w:rPr>
      </w:r>
      <w:r>
        <w:rPr>
          <w:noProof/>
        </w:rPr>
        <w:fldChar w:fldCharType="separate"/>
      </w:r>
      <w:r w:rsidR="006A60CC">
        <w:rPr>
          <w:noProof/>
        </w:rPr>
        <w:t>6</w:t>
      </w:r>
      <w:r>
        <w:rPr>
          <w:noProof/>
        </w:rPr>
        <w:fldChar w:fldCharType="end"/>
      </w:r>
    </w:p>
    <w:p w14:paraId="5174DD26" w14:textId="77777777" w:rsidR="009A38AD" w:rsidRDefault="009A38AD">
      <w:pPr>
        <w:pStyle w:val="TOC3"/>
        <w:tabs>
          <w:tab w:val="right" w:leader="dot" w:pos="9345"/>
        </w:tabs>
        <w:rPr>
          <w:rFonts w:asciiTheme="minorHAnsi" w:hAnsiTheme="minorHAnsi"/>
          <w:noProof/>
        </w:rPr>
      </w:pPr>
      <w:r>
        <w:rPr>
          <w:noProof/>
        </w:rPr>
        <w:t>Figure 5: Overall BSA coverage (%) of women aged 50–69 years in the two years ending 31 March 2017 by District Health Board</w:t>
      </w:r>
      <w:r>
        <w:rPr>
          <w:noProof/>
        </w:rPr>
        <w:tab/>
      </w:r>
      <w:r>
        <w:rPr>
          <w:noProof/>
        </w:rPr>
        <w:fldChar w:fldCharType="begin"/>
      </w:r>
      <w:r>
        <w:rPr>
          <w:noProof/>
        </w:rPr>
        <w:instrText xml:space="preserve"> PAGEREF _Toc482366189 \h </w:instrText>
      </w:r>
      <w:r>
        <w:rPr>
          <w:noProof/>
        </w:rPr>
      </w:r>
      <w:r>
        <w:rPr>
          <w:noProof/>
        </w:rPr>
        <w:fldChar w:fldCharType="separate"/>
      </w:r>
      <w:r w:rsidR="006A60CC">
        <w:rPr>
          <w:noProof/>
        </w:rPr>
        <w:t>7</w:t>
      </w:r>
      <w:r>
        <w:rPr>
          <w:noProof/>
        </w:rPr>
        <w:fldChar w:fldCharType="end"/>
      </w:r>
    </w:p>
    <w:p w14:paraId="0B54E8CE" w14:textId="77777777" w:rsidR="009A38AD" w:rsidRDefault="009A38AD">
      <w:pPr>
        <w:pStyle w:val="TOC3"/>
        <w:tabs>
          <w:tab w:val="right" w:leader="dot" w:pos="9345"/>
        </w:tabs>
        <w:rPr>
          <w:rFonts w:asciiTheme="minorHAnsi" w:hAnsiTheme="minorHAnsi"/>
          <w:noProof/>
        </w:rPr>
      </w:pPr>
      <w:r>
        <w:rPr>
          <w:noProof/>
        </w:rPr>
        <w:t>Figure 6: BSA coverage (%) of Māori women aged 50–69 years in the two years ending 31 March 2017</w:t>
      </w:r>
      <w:r>
        <w:rPr>
          <w:noProof/>
        </w:rPr>
        <w:tab/>
      </w:r>
      <w:r>
        <w:rPr>
          <w:noProof/>
        </w:rPr>
        <w:fldChar w:fldCharType="begin"/>
      </w:r>
      <w:r>
        <w:rPr>
          <w:noProof/>
        </w:rPr>
        <w:instrText xml:space="preserve"> PAGEREF _Toc482366190 \h </w:instrText>
      </w:r>
      <w:r>
        <w:rPr>
          <w:noProof/>
        </w:rPr>
      </w:r>
      <w:r>
        <w:rPr>
          <w:noProof/>
        </w:rPr>
        <w:fldChar w:fldCharType="separate"/>
      </w:r>
      <w:r w:rsidR="006A60CC">
        <w:rPr>
          <w:noProof/>
        </w:rPr>
        <w:t>8</w:t>
      </w:r>
      <w:r>
        <w:rPr>
          <w:noProof/>
        </w:rPr>
        <w:fldChar w:fldCharType="end"/>
      </w:r>
    </w:p>
    <w:p w14:paraId="5373CCD3" w14:textId="77777777" w:rsidR="009A38AD" w:rsidRDefault="009A38AD">
      <w:pPr>
        <w:pStyle w:val="TOC3"/>
        <w:tabs>
          <w:tab w:val="right" w:leader="dot" w:pos="9345"/>
        </w:tabs>
        <w:rPr>
          <w:rFonts w:asciiTheme="minorHAnsi" w:hAnsiTheme="minorHAnsi"/>
          <w:noProof/>
        </w:rPr>
      </w:pPr>
      <w:r>
        <w:rPr>
          <w:noProof/>
        </w:rPr>
        <w:t>Figure 7: BSA coverage (%) of Pacific women aged 50–69 years in the two years ending 31 March 2017</w:t>
      </w:r>
      <w:r>
        <w:rPr>
          <w:noProof/>
        </w:rPr>
        <w:tab/>
      </w:r>
      <w:r>
        <w:rPr>
          <w:noProof/>
        </w:rPr>
        <w:fldChar w:fldCharType="begin"/>
      </w:r>
      <w:r>
        <w:rPr>
          <w:noProof/>
        </w:rPr>
        <w:instrText xml:space="preserve"> PAGEREF _Toc482366191 \h </w:instrText>
      </w:r>
      <w:r>
        <w:rPr>
          <w:noProof/>
        </w:rPr>
      </w:r>
      <w:r>
        <w:rPr>
          <w:noProof/>
        </w:rPr>
        <w:fldChar w:fldCharType="separate"/>
      </w:r>
      <w:r w:rsidR="006A60CC">
        <w:rPr>
          <w:noProof/>
        </w:rPr>
        <w:t>9</w:t>
      </w:r>
      <w:r>
        <w:rPr>
          <w:noProof/>
        </w:rPr>
        <w:fldChar w:fldCharType="end"/>
      </w:r>
    </w:p>
    <w:p w14:paraId="1C859804" w14:textId="77777777" w:rsidR="009A38AD" w:rsidRDefault="009A38AD">
      <w:pPr>
        <w:pStyle w:val="TOC3"/>
        <w:tabs>
          <w:tab w:val="right" w:leader="dot" w:pos="9345"/>
        </w:tabs>
        <w:rPr>
          <w:rFonts w:asciiTheme="minorHAnsi" w:hAnsiTheme="minorHAnsi"/>
          <w:noProof/>
        </w:rPr>
      </w:pPr>
      <w:r>
        <w:rPr>
          <w:noProof/>
        </w:rPr>
        <w:t>Figure 8: Overall BSA coverage (%) of women aged 50–69 years in the two years ending 31 March 2017 by District Health Board</w:t>
      </w:r>
      <w:r>
        <w:rPr>
          <w:noProof/>
        </w:rPr>
        <w:tab/>
      </w:r>
      <w:r>
        <w:rPr>
          <w:noProof/>
        </w:rPr>
        <w:fldChar w:fldCharType="begin"/>
      </w:r>
      <w:r>
        <w:rPr>
          <w:noProof/>
        </w:rPr>
        <w:instrText xml:space="preserve"> PAGEREF _Toc482366192 \h </w:instrText>
      </w:r>
      <w:r>
        <w:rPr>
          <w:noProof/>
        </w:rPr>
      </w:r>
      <w:r>
        <w:rPr>
          <w:noProof/>
        </w:rPr>
        <w:fldChar w:fldCharType="separate"/>
      </w:r>
      <w:r w:rsidR="006A60CC">
        <w:rPr>
          <w:noProof/>
        </w:rPr>
        <w:t>10</w:t>
      </w:r>
      <w:r>
        <w:rPr>
          <w:noProof/>
        </w:rPr>
        <w:fldChar w:fldCharType="end"/>
      </w:r>
    </w:p>
    <w:p w14:paraId="4C25915E" w14:textId="77777777" w:rsidR="00115CAE" w:rsidRDefault="00115CAE" w:rsidP="00115CAE">
      <w:pPr>
        <w:rPr>
          <w:noProof/>
        </w:rPr>
      </w:pPr>
      <w:r w:rsidRPr="00236495">
        <w:rPr>
          <w:noProof/>
          <w:sz w:val="20"/>
          <w:szCs w:val="20"/>
        </w:rPr>
        <w:fldChar w:fldCharType="end"/>
      </w:r>
    </w:p>
    <w:p w14:paraId="58469AAA" w14:textId="77777777" w:rsidR="00115CAE" w:rsidRDefault="00115CAE" w:rsidP="00115CAE">
      <w:pPr>
        <w:rPr>
          <w:noProof/>
        </w:rPr>
      </w:pPr>
    </w:p>
    <w:p w14:paraId="27A84B98" w14:textId="77777777" w:rsidR="00115CAE" w:rsidRPr="004149AB" w:rsidRDefault="00115CAE" w:rsidP="00115CAE">
      <w:pPr>
        <w:pStyle w:val="Heading1"/>
        <w:rPr>
          <w:noProof/>
          <w:szCs w:val="36"/>
        </w:rPr>
      </w:pPr>
      <w:bookmarkStart w:id="0" w:name="_Toc399921850"/>
      <w:bookmarkStart w:id="1" w:name="_Toc482366173"/>
      <w:r w:rsidRPr="004149AB">
        <w:rPr>
          <w:noProof/>
          <w:szCs w:val="36"/>
        </w:rPr>
        <w:t>Introduction</w:t>
      </w:r>
      <w:bookmarkEnd w:id="0"/>
      <w:bookmarkEnd w:id="1"/>
    </w:p>
    <w:p w14:paraId="7E68C5E8"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147D3E42" w14:textId="77777777" w:rsidR="00B72A22" w:rsidRDefault="00B72A22" w:rsidP="00B72A22"/>
    <w:p w14:paraId="23CA2FE3"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1E9BDD00" w14:textId="77777777" w:rsidR="00B72A22" w:rsidRDefault="00B72A22" w:rsidP="00B72A22"/>
    <w:p w14:paraId="5C7A120E"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21380BF" w14:textId="77777777" w:rsidR="00B72A22" w:rsidRDefault="00B72A22" w:rsidP="00B72A22"/>
    <w:p w14:paraId="513EFB2C"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7836B460" w14:textId="77777777" w:rsidR="00B72A22" w:rsidRPr="00D828ED" w:rsidRDefault="00B72A22" w:rsidP="00B72A22"/>
    <w:p w14:paraId="65B2CE91" w14:textId="77777777" w:rsidR="00B72A22" w:rsidRDefault="00B72A22" w:rsidP="00B72A22">
      <w:r>
        <w:t>The purpose of this quarterly report is to demonstrate by DHB if the programme coverage targets are being met for the region.</w:t>
      </w:r>
    </w:p>
    <w:p w14:paraId="17AB8F15" w14:textId="77777777" w:rsidR="00B72A22" w:rsidRPr="00F73803" w:rsidRDefault="00B72A22" w:rsidP="00B72A22">
      <w:pPr>
        <w:rPr>
          <w:rFonts w:eastAsiaTheme="minorHAnsi"/>
          <w:lang w:eastAsia="en-US"/>
        </w:rPr>
      </w:pPr>
    </w:p>
    <w:p w14:paraId="2B9CDC84" w14:textId="77777777" w:rsidR="00115CAE" w:rsidRDefault="00115CAE" w:rsidP="00115CAE">
      <w:pPr>
        <w:rPr>
          <w:rFonts w:eastAsiaTheme="majorEastAsia"/>
        </w:rPr>
      </w:pPr>
      <w:r>
        <w:br w:type="page"/>
      </w:r>
    </w:p>
    <w:p w14:paraId="3BC47D29" w14:textId="77777777" w:rsidR="00115CAE" w:rsidRPr="004149AB" w:rsidRDefault="00115CAE" w:rsidP="00115CAE">
      <w:pPr>
        <w:pStyle w:val="Heading1"/>
      </w:pPr>
      <w:bookmarkStart w:id="3" w:name="_Toc482366174"/>
      <w:r w:rsidRPr="004149AB">
        <w:lastRenderedPageBreak/>
        <w:t xml:space="preserve">Technical </w:t>
      </w:r>
      <w:r>
        <w:t>n</w:t>
      </w:r>
      <w:r w:rsidRPr="004149AB">
        <w:t>otes</w:t>
      </w:r>
      <w:bookmarkEnd w:id="2"/>
      <w:bookmarkEnd w:id="3"/>
    </w:p>
    <w:p w14:paraId="7C025320"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DB6736" w:rsidRPr="00DB6736">
        <w:rPr>
          <w:rFonts w:eastAsiaTheme="minorHAnsi"/>
          <w:lang w:eastAsia="en-US"/>
        </w:rPr>
        <w:t>31 March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DB6736" w:rsidRPr="00DB6736">
        <w:rPr>
          <w:rFonts w:eastAsiaTheme="minorHAnsi"/>
          <w:lang w:eastAsia="en-US"/>
        </w:rPr>
        <w:t>20 April 2017</w:t>
      </w:r>
      <w:r w:rsidR="000E7690">
        <w:rPr>
          <w:rFonts w:eastAsiaTheme="minorHAnsi"/>
          <w:lang w:eastAsia="en-US"/>
        </w:rPr>
        <w:t>.</w:t>
      </w:r>
      <w:r w:rsidR="00B41599">
        <w:rPr>
          <w:rFonts w:eastAsiaTheme="minorHAnsi"/>
          <w:lang w:eastAsia="en-US"/>
        </w:rPr>
        <w:t xml:space="preserve"> </w:t>
      </w:r>
    </w:p>
    <w:p w14:paraId="003BEC8A" w14:textId="77777777" w:rsidR="00115CAE" w:rsidRDefault="00115CAE" w:rsidP="00115CAE">
      <w:pPr>
        <w:rPr>
          <w:rFonts w:eastAsiaTheme="minorHAnsi"/>
          <w:lang w:eastAsia="en-US"/>
        </w:rPr>
      </w:pPr>
    </w:p>
    <w:p w14:paraId="15EE0BA1"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6840DA62" w14:textId="77777777" w:rsidR="000C2B3F" w:rsidRPr="005767BE" w:rsidRDefault="000C2B3F" w:rsidP="000C2B3F"/>
    <w:p w14:paraId="1B06C0F8"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6D25AE33" w14:textId="77777777" w:rsidR="000C2B3F" w:rsidRPr="005767BE" w:rsidRDefault="000C2B3F" w:rsidP="000C2B3F"/>
    <w:p w14:paraId="5998DF00" w14:textId="77777777" w:rsidR="00210ECF" w:rsidRPr="005767BE" w:rsidRDefault="00210ECF" w:rsidP="00210EC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31 </w:t>
      </w:r>
      <w:r>
        <w:rPr>
          <w:rFonts w:eastAsiaTheme="minorHAnsi" w:cs="Georgia"/>
          <w:color w:val="000000"/>
          <w:szCs w:val="24"/>
          <w:lang w:eastAsia="en-US"/>
        </w:rPr>
        <w:t>March 2015</w:t>
      </w:r>
      <w:r w:rsidRPr="005767BE">
        <w:rPr>
          <w:rFonts w:eastAsiaTheme="minorHAnsi" w:cs="Georgia"/>
          <w:color w:val="000000"/>
          <w:szCs w:val="24"/>
          <w:lang w:eastAsia="en-US"/>
        </w:rPr>
        <w:t xml:space="preserve">, 31 </w:t>
      </w:r>
      <w:r>
        <w:rPr>
          <w:rFonts w:eastAsiaTheme="minorHAnsi" w:cs="Georgia"/>
          <w:color w:val="000000"/>
          <w:szCs w:val="24"/>
          <w:lang w:eastAsia="en-US"/>
        </w:rPr>
        <w:t xml:space="preserve">March 2016 </w:t>
      </w:r>
      <w:r w:rsidRPr="005767BE">
        <w:rPr>
          <w:rFonts w:eastAsiaTheme="minorHAnsi" w:cs="Georgia"/>
          <w:color w:val="000000"/>
          <w:szCs w:val="24"/>
          <w:lang w:eastAsia="en-US"/>
        </w:rPr>
        <w:t xml:space="preserve">and 31 </w:t>
      </w:r>
      <w:r>
        <w:rPr>
          <w:rFonts w:eastAsiaTheme="minorHAnsi" w:cs="Georgia"/>
          <w:color w:val="000000"/>
          <w:szCs w:val="24"/>
          <w:lang w:eastAsia="en-US"/>
        </w:rPr>
        <w:t>March 2017</w:t>
      </w:r>
      <w:r w:rsidRPr="005767BE">
        <w:rPr>
          <w:rFonts w:eastAsiaTheme="minorHAnsi" w:cs="Georgia"/>
          <w:color w:val="000000"/>
          <w:szCs w:val="24"/>
          <w:lang w:eastAsia="en-US"/>
        </w:rPr>
        <w:t xml:space="preserve"> are derived from Statistics New Zealand’s District Health Board (DHB) population projections </w:t>
      </w:r>
      <w:r w:rsidRPr="00716D30">
        <w:t xml:space="preserve">30 June 2015 </w:t>
      </w:r>
      <w:r w:rsidRPr="005767BE">
        <w:rPr>
          <w:rFonts w:eastAsiaTheme="minorHAnsi" w:cs="Georgia"/>
          <w:color w:val="000000"/>
          <w:szCs w:val="24"/>
          <w:lang w:eastAsia="en-US"/>
        </w:rPr>
        <w:t xml:space="preserve"> update, based on the 2013 Census.</w:t>
      </w:r>
    </w:p>
    <w:p w14:paraId="58AFE23C"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E86EC77"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begins reporting using the latest 2013 domicile codes and daily data loading process, compared to previous reports which used a monthly data loading process and were based on 2006 domicile codes.  This may result in variances across time series.</w:t>
      </w:r>
      <w:r w:rsidRPr="005767BE">
        <w:rPr>
          <w:rFonts w:ascii="Times New Roman" w:eastAsia="Times New Roman" w:hAnsi="Times New Roman" w:cs="Times New Roman"/>
          <w:szCs w:val="24"/>
        </w:rPr>
        <w:t> </w:t>
      </w:r>
    </w:p>
    <w:p w14:paraId="492A74C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CD0127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55618DA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A848734"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6943A49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630D1DE0"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Pr="005767BE">
        <w:rPr>
          <w:rFonts w:eastAsiaTheme="minorHAnsi" w:cs="Georgia"/>
          <w:color w:val="000000"/>
          <w:szCs w:val="24"/>
          <w:lang w:eastAsia="en-US"/>
        </w:rPr>
        <w:t xml:space="preserve">, the denominator is the population estimate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093FF3FE"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7580140A" w14:textId="77777777" w:rsidR="000C2B3F" w:rsidRPr="005767BE" w:rsidRDefault="000C2B3F" w:rsidP="000C2B3F">
      <w:pPr>
        <w:numPr>
          <w:ilvl w:val="0"/>
          <w:numId w:val="7"/>
        </w:num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Pr="005767BE">
        <w:rPr>
          <w:rFonts w:eastAsiaTheme="minorHAnsi" w:cs="Georgia"/>
          <w:color w:val="000000"/>
          <w:szCs w:val="24"/>
          <w:lang w:eastAsia="en-US"/>
        </w:rPr>
        <w:t xml:space="preserve">, the denominator is the projected population for 31 </w:t>
      </w:r>
      <w:r w:rsidR="009559B1">
        <w:rPr>
          <w:rFonts w:eastAsiaTheme="minorHAnsi" w:cs="Georgia"/>
          <w:color w:val="000000"/>
          <w:szCs w:val="24"/>
          <w:lang w:eastAsia="en-US"/>
        </w:rPr>
        <w:t>March</w:t>
      </w:r>
      <w:r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4D8DA963"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4EA80837"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1F500A3D" w14:textId="77777777" w:rsidR="000C2B3F" w:rsidRPr="005767BE" w:rsidRDefault="000C2B3F" w:rsidP="000C2B3F"/>
    <w:p w14:paraId="5CA57AFC"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536BF18F" w14:textId="77777777" w:rsidR="00115CAE" w:rsidRPr="00F73803" w:rsidRDefault="00115CAE" w:rsidP="00115CAE">
      <w:pPr>
        <w:rPr>
          <w:rFonts w:eastAsiaTheme="minorHAnsi"/>
          <w:lang w:eastAsia="en-US"/>
        </w:rPr>
      </w:pPr>
    </w:p>
    <w:p w14:paraId="6F1ED6E2" w14:textId="77777777" w:rsidR="00115CAE" w:rsidRDefault="00115CAE" w:rsidP="00115CAE">
      <w:pPr>
        <w:rPr>
          <w:rFonts w:eastAsiaTheme="majorEastAsia"/>
        </w:rPr>
      </w:pPr>
      <w:bookmarkStart w:id="4" w:name="_Toc399146163"/>
      <w:r>
        <w:br w:type="page"/>
      </w:r>
    </w:p>
    <w:p w14:paraId="0D269770" w14:textId="77777777" w:rsidR="00115CAE" w:rsidRPr="004149AB" w:rsidRDefault="00DB6736" w:rsidP="00115CAE">
      <w:pPr>
        <w:pStyle w:val="Heading1"/>
      </w:pPr>
      <w:bookmarkStart w:id="5" w:name="_Toc399921852"/>
      <w:bookmarkStart w:id="6" w:name="_Toc482366175"/>
      <w:r w:rsidRPr="00DB6736">
        <w:lastRenderedPageBreak/>
        <w:t>Hawke’s Bay</w:t>
      </w:r>
      <w:r w:rsidR="00C75BA8">
        <w:t xml:space="preserve"> </w:t>
      </w:r>
      <w:r w:rsidR="00115CAE">
        <w:t>c</w:t>
      </w:r>
      <w:r w:rsidR="00115CAE" w:rsidRPr="004149AB">
        <w:t>overage</w:t>
      </w:r>
      <w:bookmarkEnd w:id="4"/>
      <w:bookmarkEnd w:id="5"/>
      <w:bookmarkEnd w:id="6"/>
    </w:p>
    <w:p w14:paraId="1C8C5691" w14:textId="77777777" w:rsidR="00115CAE" w:rsidRPr="00F7148E" w:rsidRDefault="00DB6736" w:rsidP="00115CAE">
      <w:pPr>
        <w:pStyle w:val="Heading2"/>
      </w:pPr>
      <w:bookmarkStart w:id="7" w:name="_Toc399146164"/>
      <w:bookmarkStart w:id="8" w:name="_Toc399921853"/>
      <w:bookmarkStart w:id="9" w:name="_Toc482366176"/>
      <w:r w:rsidRPr="00DB6736">
        <w:t>Hawke’s Bay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DB6736">
        <w:t>31 March 2017</w:t>
      </w:r>
      <w:bookmarkEnd w:id="9"/>
    </w:p>
    <w:p w14:paraId="4EE1B8F7" w14:textId="77777777" w:rsidR="00115CAE" w:rsidRDefault="00BD3841" w:rsidP="00BD3841">
      <w:pPr>
        <w:pStyle w:val="Figure"/>
      </w:pPr>
      <w:bookmarkStart w:id="10" w:name="_Toc399497921"/>
      <w:bookmarkStart w:id="11" w:name="_Toc482366185"/>
      <w:r>
        <w:t xml:space="preserve">Figure </w:t>
      </w:r>
      <w:r w:rsidR="004E0B43">
        <w:fldChar w:fldCharType="begin"/>
      </w:r>
      <w:r w:rsidR="004E0B43">
        <w:instrText xml:space="preserve"> SEQ Figure \* ARABIC </w:instrText>
      </w:r>
      <w:r w:rsidR="004E0B43">
        <w:fldChar w:fldCharType="separate"/>
      </w:r>
      <w:r w:rsidR="006A60CC">
        <w:rPr>
          <w:noProof/>
        </w:rPr>
        <w:t>1</w:t>
      </w:r>
      <w:r w:rsidR="004E0B43">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B6736" w:rsidRPr="00DB6736">
        <w:t>31 March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9A38AD" w:rsidRPr="00DB6736">
        <w:t>Hawke’s Bay</w:t>
      </w:r>
      <w:r w:rsidR="00C75BA8">
        <w:t xml:space="preserve"> Coverage</w:t>
      </w:r>
      <w:bookmarkEnd w:id="11"/>
    </w:p>
    <w:p w14:paraId="4481AFBA" w14:textId="77777777" w:rsidR="002D25D6" w:rsidRPr="002D25D6" w:rsidRDefault="00DB6736" w:rsidP="002D25D6">
      <w:bookmarkStart w:id="12" w:name="figure_1"/>
      <w:bookmarkEnd w:id="12"/>
      <w:r>
        <w:rPr>
          <w:noProof/>
        </w:rPr>
        <w:drawing>
          <wp:inline distT="0" distB="0" distL="0" distR="0" wp14:anchorId="4490CFCF" wp14:editId="028103E2">
            <wp:extent cx="4173538" cy="2663825"/>
            <wp:effectExtent l="0" t="0" r="17780" b="31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3F3DCC" w14:textId="77777777" w:rsidR="00576B92" w:rsidRDefault="00576B92" w:rsidP="00F27C51">
      <w:bookmarkStart w:id="13" w:name="_Toc400365296"/>
    </w:p>
    <w:p w14:paraId="1B32A30A" w14:textId="77777777" w:rsidR="00115CAE" w:rsidRDefault="00115CAE" w:rsidP="00115CAE">
      <w:pPr>
        <w:pStyle w:val="Table"/>
      </w:pPr>
      <w:bookmarkStart w:id="14" w:name="_Toc482366181"/>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DB6736" w:rsidRPr="00DB6736">
        <w:t>31 March 2017</w:t>
      </w:r>
      <w:r w:rsidRPr="00420327">
        <w:t xml:space="preserve"> by ethnicity, women aged </w:t>
      </w:r>
      <w:r w:rsidR="004B6FD0">
        <w:t>50</w:t>
      </w:r>
      <w:r>
        <w:t>–</w:t>
      </w:r>
      <w:r w:rsidRPr="00420327">
        <w:t xml:space="preserve">69 years, </w:t>
      </w:r>
      <w:bookmarkEnd w:id="13"/>
      <w:r w:rsidR="009A38AD" w:rsidRPr="00DB6736">
        <w:t>Hawke’s Bay</w:t>
      </w:r>
      <w:r w:rsidR="00C75BA8">
        <w:t xml:space="preserve"> Coverage</w:t>
      </w:r>
      <w:bookmarkEnd w:id="14"/>
    </w:p>
    <w:p w14:paraId="00A567A4" w14:textId="77777777" w:rsidR="00E646CB" w:rsidRPr="00E646CB" w:rsidRDefault="00DB6736" w:rsidP="00E646CB">
      <w:bookmarkStart w:id="15" w:name="table_1"/>
      <w:bookmarkEnd w:id="15"/>
      <w:r w:rsidRPr="00DB6736">
        <w:rPr>
          <w:noProof/>
        </w:rPr>
        <w:drawing>
          <wp:inline distT="0" distB="0" distL="0" distR="0" wp14:anchorId="2A7E93C0" wp14:editId="54F6EB64">
            <wp:extent cx="5817870" cy="12890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7870" cy="1289050"/>
                    </a:xfrm>
                    <a:prstGeom prst="rect">
                      <a:avLst/>
                    </a:prstGeom>
                    <a:noFill/>
                    <a:ln>
                      <a:noFill/>
                    </a:ln>
                  </pic:spPr>
                </pic:pic>
              </a:graphicData>
            </a:graphic>
          </wp:inline>
        </w:drawing>
      </w:r>
    </w:p>
    <w:p w14:paraId="6485AA1C"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76DBE277" w14:textId="77777777" w:rsidR="00115CAE" w:rsidRDefault="00115CAE" w:rsidP="00115CAE">
      <w:pPr>
        <w:rPr>
          <w:sz w:val="16"/>
          <w:szCs w:val="16"/>
        </w:rPr>
      </w:pPr>
    </w:p>
    <w:p w14:paraId="6C8BE2EB" w14:textId="77777777" w:rsidR="00BD3841" w:rsidRDefault="00BD3841">
      <w:pPr>
        <w:spacing w:after="200"/>
        <w:rPr>
          <w:rFonts w:cs="Times New Roman"/>
          <w:b/>
          <w:sz w:val="22"/>
        </w:rPr>
      </w:pPr>
      <w:r>
        <w:br w:type="page"/>
      </w:r>
    </w:p>
    <w:p w14:paraId="4D8D3C98" w14:textId="77777777" w:rsidR="00115CAE" w:rsidRDefault="00DB6736" w:rsidP="00115CAE">
      <w:pPr>
        <w:pStyle w:val="Heading2"/>
      </w:pPr>
      <w:bookmarkStart w:id="16" w:name="_Toc399921854"/>
      <w:bookmarkStart w:id="17" w:name="_Toc482366177"/>
      <w:r w:rsidRPr="00DB6736">
        <w:lastRenderedPageBreak/>
        <w:t>Hawke’s Bay</w:t>
      </w:r>
      <w:r w:rsidR="00F53E27" w:rsidRPr="00F53E27">
        <w:t xml:space="preserve"> </w:t>
      </w:r>
      <w:r w:rsidR="00115CAE">
        <w:t>coverage t</w:t>
      </w:r>
      <w:r w:rsidR="00115CAE" w:rsidRPr="001A7BE5">
        <w:t>rends</w:t>
      </w:r>
      <w:r w:rsidR="00115CAE">
        <w:t xml:space="preserve"> by ethnicity</w:t>
      </w:r>
      <w:bookmarkEnd w:id="16"/>
      <w:bookmarkEnd w:id="17"/>
    </w:p>
    <w:p w14:paraId="3E5A6A5C" w14:textId="77777777" w:rsidR="00115CAE" w:rsidRPr="00BD3841" w:rsidRDefault="00BD3841" w:rsidP="00BD3841">
      <w:pPr>
        <w:pStyle w:val="Figure"/>
      </w:pPr>
      <w:bookmarkStart w:id="18" w:name="_Toc399497922"/>
      <w:bookmarkStart w:id="19" w:name="_Toc482366186"/>
      <w:r>
        <w:t xml:space="preserve">Figure </w:t>
      </w:r>
      <w:r w:rsidR="004E0B43">
        <w:fldChar w:fldCharType="begin"/>
      </w:r>
      <w:r w:rsidR="004E0B43">
        <w:instrText xml:space="preserve"> SEQ Figure \* ARABIC </w:instrText>
      </w:r>
      <w:r w:rsidR="004E0B43">
        <w:fldChar w:fldCharType="separate"/>
      </w:r>
      <w:r w:rsidR="006A60CC">
        <w:rPr>
          <w:noProof/>
        </w:rPr>
        <w:t>2</w:t>
      </w:r>
      <w:r w:rsidR="004E0B43">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DB6736" w:rsidRPr="00DB6736">
        <w:t>31 March 2017</w:t>
      </w:r>
      <w:r w:rsidR="00115CAE" w:rsidRPr="00F17732">
        <w:t xml:space="preserve"> by </w:t>
      </w:r>
      <w:r w:rsidR="00070AAE">
        <w:t>e</w:t>
      </w:r>
      <w:r w:rsidR="00115CAE" w:rsidRPr="00F17732">
        <w:t>thnicity</w:t>
      </w:r>
      <w:r w:rsidR="00115CAE">
        <w:t xml:space="preserve">, </w:t>
      </w:r>
      <w:bookmarkEnd w:id="18"/>
      <w:r w:rsidR="009A38AD" w:rsidRPr="009A38AD">
        <w:t xml:space="preserve">Hawke’s Bay </w:t>
      </w:r>
      <w:r w:rsidR="00C75BA8">
        <w:t>Coverage</w:t>
      </w:r>
      <w:bookmarkEnd w:id="19"/>
    </w:p>
    <w:p w14:paraId="2DAF2EC7" w14:textId="77777777" w:rsidR="005A05B2" w:rsidRDefault="00DB6736" w:rsidP="002E1783">
      <w:pPr>
        <w:rPr>
          <w:b/>
          <w:bCs/>
        </w:rPr>
      </w:pPr>
      <w:bookmarkStart w:id="20" w:name="figure_2"/>
      <w:bookmarkStart w:id="21" w:name="_Toc399921855"/>
      <w:bookmarkEnd w:id="20"/>
      <w:r>
        <w:rPr>
          <w:noProof/>
        </w:rPr>
        <w:drawing>
          <wp:inline distT="0" distB="0" distL="0" distR="0" wp14:anchorId="1FB1467A" wp14:editId="6EE9866B">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A25C97" w14:textId="77777777" w:rsidR="002E1783" w:rsidRDefault="002E1783" w:rsidP="002E1783">
      <w:pPr>
        <w:pStyle w:val="Table"/>
      </w:pPr>
      <w:bookmarkStart w:id="22" w:name="_Toc482362873"/>
      <w:bookmarkStart w:id="23" w:name="_Toc482366182"/>
      <w:r>
        <w:t xml:space="preserve">Table 2: </w:t>
      </w:r>
      <w:r w:rsidRPr="00C77FF1">
        <w:t>BSA number of sc</w:t>
      </w:r>
      <w:r w:rsidRPr="002E1783">
        <w:t>r</w:t>
      </w:r>
      <w:r w:rsidRPr="00C77FF1">
        <w:t xml:space="preserve">eens in women aged 50–69 years by ethnicity and quarter, Quarter </w:t>
      </w:r>
      <w:r>
        <w:t>1</w:t>
      </w:r>
      <w:r w:rsidRPr="00C77FF1">
        <w:t xml:space="preserve"> 201</w:t>
      </w:r>
      <w:r>
        <w:t>6</w:t>
      </w:r>
      <w:r w:rsidRPr="00C77FF1">
        <w:t xml:space="preserve"> –</w:t>
      </w:r>
      <w:r w:rsidRPr="002E1783">
        <w:t>Quarter</w:t>
      </w:r>
      <w:r w:rsidRPr="00C77FF1">
        <w:t xml:space="preserve"> </w:t>
      </w:r>
      <w:r>
        <w:t>1</w:t>
      </w:r>
      <w:r w:rsidRPr="00C77FF1">
        <w:t xml:space="preserve"> 201</w:t>
      </w:r>
      <w:r>
        <w:t>7</w:t>
      </w:r>
      <w:bookmarkEnd w:id="22"/>
      <w:bookmarkEnd w:id="23"/>
    </w:p>
    <w:tbl>
      <w:tblPr>
        <w:tblW w:w="9360" w:type="dxa"/>
        <w:tblInd w:w="85" w:type="dxa"/>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2E1783" w14:paraId="3FFA8743" w14:textId="77777777" w:rsidTr="00D45E82">
        <w:trPr>
          <w:cantSpli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3C6CD98" w14:textId="77777777" w:rsidR="002E1783" w:rsidRDefault="002E1783" w:rsidP="00D45E82">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0CCA17AA" w14:textId="77777777" w:rsidR="002E1783" w:rsidRDefault="002E1783" w:rsidP="00D45E82">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2E1783" w:rsidRPr="00240509" w14:paraId="53BC1654" w14:textId="77777777" w:rsidTr="00D45E82">
        <w:trPr>
          <w:cantSpli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923D927" w14:textId="77777777" w:rsidR="002E1783" w:rsidRDefault="002E1783" w:rsidP="002E1783">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14:paraId="3F4E6F68" w14:textId="77777777" w:rsidR="002E1783" w:rsidRDefault="002E1783" w:rsidP="002E1783">
            <w:pPr>
              <w:jc w:val="right"/>
              <w:rPr>
                <w:rFonts w:ascii="Arial" w:eastAsia="Times New Roman" w:hAnsi="Arial" w:cs="Arial"/>
                <w:b/>
                <w:bCs/>
                <w:color w:val="000000"/>
                <w:sz w:val="18"/>
                <w:szCs w:val="18"/>
              </w:rPr>
            </w:pPr>
            <w:r>
              <w:rPr>
                <w:rFonts w:ascii="Arial" w:hAnsi="Arial" w:cs="Arial"/>
                <w:b/>
                <w:bCs/>
                <w:color w:val="000000"/>
                <w:sz w:val="18"/>
                <w:szCs w:val="18"/>
              </w:rPr>
              <w:t>Q1 (Jan-Mar)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F14B223" w14:textId="77777777" w:rsidR="002E1783" w:rsidRDefault="002E1783" w:rsidP="002E1783">
            <w:pPr>
              <w:jc w:val="right"/>
              <w:rPr>
                <w:rFonts w:ascii="Arial" w:hAnsi="Arial" w:cs="Arial"/>
                <w:b/>
                <w:bCs/>
                <w:color w:val="000000"/>
                <w:sz w:val="18"/>
                <w:szCs w:val="18"/>
              </w:rPr>
            </w:pPr>
            <w:r>
              <w:rPr>
                <w:rFonts w:ascii="Arial" w:hAnsi="Arial" w:cs="Arial"/>
                <w:b/>
                <w:bCs/>
                <w:color w:val="000000"/>
                <w:sz w:val="18"/>
                <w:szCs w:val="18"/>
              </w:rPr>
              <w:t>Q 2 (Apr - Jun)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1802BBE3" w14:textId="77777777" w:rsidR="002E1783" w:rsidRDefault="002E1783" w:rsidP="002E1783">
            <w:pPr>
              <w:jc w:val="right"/>
              <w:rPr>
                <w:rFonts w:ascii="Arial" w:hAnsi="Arial" w:cs="Arial"/>
                <w:b/>
                <w:bCs/>
                <w:color w:val="000000"/>
                <w:sz w:val="18"/>
                <w:szCs w:val="18"/>
              </w:rPr>
            </w:pPr>
            <w:r>
              <w:rPr>
                <w:rFonts w:ascii="Arial" w:hAnsi="Arial" w:cs="Arial"/>
                <w:b/>
                <w:bCs/>
                <w:color w:val="000000"/>
                <w:sz w:val="18"/>
                <w:szCs w:val="18"/>
              </w:rPr>
              <w:t>Q3 (Jul-Sep)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BEEBEC5" w14:textId="77777777" w:rsidR="002E1783" w:rsidRDefault="002E1783" w:rsidP="002E1783">
            <w:pPr>
              <w:jc w:val="right"/>
              <w:rPr>
                <w:rFonts w:ascii="Arial" w:hAnsi="Arial" w:cs="Arial"/>
                <w:b/>
                <w:bCs/>
                <w:color w:val="000000"/>
                <w:sz w:val="18"/>
                <w:szCs w:val="18"/>
              </w:rPr>
            </w:pPr>
            <w:r>
              <w:rPr>
                <w:rFonts w:ascii="Arial" w:hAnsi="Arial" w:cs="Arial"/>
                <w:b/>
                <w:bCs/>
                <w:color w:val="000000"/>
                <w:sz w:val="18"/>
                <w:szCs w:val="18"/>
              </w:rPr>
              <w:t>Q4 (Oct-Dec)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51195419" w14:textId="77777777" w:rsidR="002E1783" w:rsidRDefault="002E1783" w:rsidP="002E1783">
            <w:pPr>
              <w:jc w:val="right"/>
              <w:rPr>
                <w:rFonts w:ascii="Arial" w:hAnsi="Arial" w:cs="Arial"/>
                <w:b/>
                <w:bCs/>
                <w:color w:val="000000"/>
                <w:sz w:val="18"/>
                <w:szCs w:val="18"/>
              </w:rPr>
            </w:pPr>
            <w:r>
              <w:rPr>
                <w:rFonts w:ascii="Arial" w:hAnsi="Arial" w:cs="Arial"/>
                <w:b/>
                <w:bCs/>
                <w:color w:val="000000"/>
                <w:sz w:val="18"/>
                <w:szCs w:val="18"/>
              </w:rPr>
              <w:t>Q1 (Jan-Mar) 2017</w:t>
            </w:r>
          </w:p>
        </w:tc>
      </w:tr>
      <w:tr w:rsidR="002E1783" w14:paraId="4088C6E7" w14:textId="77777777" w:rsidTr="00D45E82">
        <w:trPr>
          <w:cantSpli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71B166C9" w14:textId="77777777" w:rsidR="002E1783" w:rsidRDefault="002E1783" w:rsidP="002E1783">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3DC117CB" w14:textId="77777777" w:rsidR="002E1783" w:rsidRDefault="002E1783" w:rsidP="002E1783">
            <w:pPr>
              <w:jc w:val="right"/>
              <w:rPr>
                <w:rFonts w:ascii="Arial" w:hAnsi="Arial" w:cs="Arial"/>
                <w:sz w:val="18"/>
                <w:szCs w:val="18"/>
              </w:rPr>
            </w:pPr>
            <w:r>
              <w:rPr>
                <w:rFonts w:ascii="Arial" w:hAnsi="Arial" w:cs="Arial"/>
                <w:sz w:val="18"/>
                <w:szCs w:val="18"/>
              </w:rPr>
              <w:t>347</w:t>
            </w:r>
          </w:p>
        </w:tc>
        <w:tc>
          <w:tcPr>
            <w:tcW w:w="1504" w:type="dxa"/>
            <w:tcBorders>
              <w:top w:val="nil"/>
              <w:left w:val="nil"/>
              <w:bottom w:val="single" w:sz="4" w:space="0" w:color="D9D9D9"/>
              <w:right w:val="single" w:sz="4" w:space="0" w:color="auto"/>
            </w:tcBorders>
            <w:shd w:val="clear" w:color="auto" w:fill="auto"/>
            <w:noWrap/>
            <w:vAlign w:val="center"/>
          </w:tcPr>
          <w:p w14:paraId="33BA9A71" w14:textId="77777777" w:rsidR="002E1783" w:rsidRDefault="002E1783" w:rsidP="002E1783">
            <w:pPr>
              <w:jc w:val="right"/>
              <w:rPr>
                <w:rFonts w:ascii="Arial" w:hAnsi="Arial" w:cs="Arial"/>
                <w:sz w:val="18"/>
                <w:szCs w:val="18"/>
              </w:rPr>
            </w:pPr>
            <w:r>
              <w:rPr>
                <w:rFonts w:ascii="Arial" w:hAnsi="Arial" w:cs="Arial"/>
                <w:sz w:val="18"/>
                <w:szCs w:val="18"/>
              </w:rPr>
              <w:t>324</w:t>
            </w:r>
          </w:p>
        </w:tc>
        <w:tc>
          <w:tcPr>
            <w:tcW w:w="1503" w:type="dxa"/>
            <w:tcBorders>
              <w:top w:val="nil"/>
              <w:left w:val="nil"/>
              <w:bottom w:val="single" w:sz="4" w:space="0" w:color="D9D9D9"/>
              <w:right w:val="single" w:sz="4" w:space="0" w:color="auto"/>
            </w:tcBorders>
            <w:shd w:val="clear" w:color="auto" w:fill="auto"/>
            <w:noWrap/>
            <w:vAlign w:val="center"/>
          </w:tcPr>
          <w:p w14:paraId="18C3B6C5" w14:textId="77777777" w:rsidR="002E1783" w:rsidRDefault="002E1783" w:rsidP="002E1783">
            <w:pPr>
              <w:jc w:val="right"/>
              <w:rPr>
                <w:rFonts w:ascii="Arial" w:hAnsi="Arial" w:cs="Arial"/>
                <w:sz w:val="18"/>
                <w:szCs w:val="18"/>
              </w:rPr>
            </w:pPr>
            <w:r>
              <w:rPr>
                <w:rFonts w:ascii="Arial" w:hAnsi="Arial" w:cs="Arial"/>
                <w:sz w:val="18"/>
                <w:szCs w:val="18"/>
              </w:rPr>
              <w:t>275</w:t>
            </w:r>
          </w:p>
        </w:tc>
        <w:tc>
          <w:tcPr>
            <w:tcW w:w="1504" w:type="dxa"/>
            <w:tcBorders>
              <w:top w:val="nil"/>
              <w:left w:val="nil"/>
              <w:bottom w:val="single" w:sz="4" w:space="0" w:color="D9D9D9"/>
              <w:right w:val="single" w:sz="4" w:space="0" w:color="auto"/>
            </w:tcBorders>
            <w:shd w:val="clear" w:color="auto" w:fill="auto"/>
            <w:noWrap/>
            <w:vAlign w:val="center"/>
          </w:tcPr>
          <w:p w14:paraId="2747759D" w14:textId="77777777" w:rsidR="002E1783" w:rsidRDefault="002E1783" w:rsidP="002E1783">
            <w:pPr>
              <w:jc w:val="right"/>
              <w:rPr>
                <w:rFonts w:ascii="Arial" w:hAnsi="Arial" w:cs="Arial"/>
                <w:sz w:val="18"/>
                <w:szCs w:val="18"/>
              </w:rPr>
            </w:pPr>
            <w:r>
              <w:rPr>
                <w:rFonts w:ascii="Arial" w:hAnsi="Arial" w:cs="Arial"/>
                <w:sz w:val="18"/>
                <w:szCs w:val="18"/>
              </w:rPr>
              <w:t>256</w:t>
            </w:r>
          </w:p>
        </w:tc>
        <w:tc>
          <w:tcPr>
            <w:tcW w:w="1504" w:type="dxa"/>
            <w:tcBorders>
              <w:top w:val="nil"/>
              <w:left w:val="nil"/>
              <w:bottom w:val="single" w:sz="4" w:space="0" w:color="D9D9D9"/>
              <w:right w:val="single" w:sz="4" w:space="0" w:color="auto"/>
            </w:tcBorders>
            <w:shd w:val="clear" w:color="auto" w:fill="auto"/>
            <w:vAlign w:val="center"/>
          </w:tcPr>
          <w:p w14:paraId="7B77DDE6" w14:textId="77777777" w:rsidR="002E1783" w:rsidRDefault="002E1783" w:rsidP="002E1783">
            <w:pPr>
              <w:jc w:val="right"/>
              <w:rPr>
                <w:rFonts w:ascii="Arial" w:hAnsi="Arial" w:cs="Arial"/>
                <w:sz w:val="18"/>
                <w:szCs w:val="18"/>
              </w:rPr>
            </w:pPr>
            <w:r>
              <w:rPr>
                <w:rFonts w:ascii="Arial" w:hAnsi="Arial" w:cs="Arial"/>
                <w:sz w:val="18"/>
                <w:szCs w:val="18"/>
              </w:rPr>
              <w:t>376</w:t>
            </w:r>
          </w:p>
        </w:tc>
      </w:tr>
      <w:tr w:rsidR="002E1783" w14:paraId="51BDFF2B" w14:textId="77777777" w:rsidTr="00D45E82">
        <w:trPr>
          <w:cantSpli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5A43599E" w14:textId="77777777" w:rsidR="002E1783" w:rsidRDefault="002E1783" w:rsidP="002E1783">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64D1EA19" w14:textId="77777777" w:rsidR="002E1783" w:rsidRDefault="002E1783" w:rsidP="002E1783">
            <w:pPr>
              <w:jc w:val="right"/>
              <w:rPr>
                <w:rFonts w:ascii="Arial" w:hAnsi="Arial" w:cs="Arial"/>
                <w:sz w:val="18"/>
                <w:szCs w:val="18"/>
              </w:rPr>
            </w:pPr>
            <w:r>
              <w:rPr>
                <w:rFonts w:ascii="Arial" w:hAnsi="Arial" w:cs="Arial"/>
                <w:sz w:val="18"/>
                <w:szCs w:val="18"/>
              </w:rPr>
              <w:t>25</w:t>
            </w:r>
          </w:p>
        </w:tc>
        <w:tc>
          <w:tcPr>
            <w:tcW w:w="1504" w:type="dxa"/>
            <w:tcBorders>
              <w:top w:val="nil"/>
              <w:left w:val="nil"/>
              <w:bottom w:val="single" w:sz="4" w:space="0" w:color="D9D9D9"/>
              <w:right w:val="single" w:sz="4" w:space="0" w:color="auto"/>
            </w:tcBorders>
            <w:shd w:val="clear" w:color="auto" w:fill="auto"/>
            <w:noWrap/>
            <w:vAlign w:val="center"/>
          </w:tcPr>
          <w:p w14:paraId="640EA9E8" w14:textId="77777777" w:rsidR="002E1783" w:rsidRDefault="002E1783" w:rsidP="002E1783">
            <w:pPr>
              <w:jc w:val="right"/>
              <w:rPr>
                <w:rFonts w:ascii="Arial" w:hAnsi="Arial" w:cs="Arial"/>
                <w:sz w:val="18"/>
                <w:szCs w:val="18"/>
              </w:rPr>
            </w:pPr>
            <w:r>
              <w:rPr>
                <w:rFonts w:ascii="Arial" w:hAnsi="Arial" w:cs="Arial"/>
                <w:sz w:val="18"/>
                <w:szCs w:val="18"/>
              </w:rPr>
              <w:t>36</w:t>
            </w:r>
          </w:p>
        </w:tc>
        <w:tc>
          <w:tcPr>
            <w:tcW w:w="1503" w:type="dxa"/>
            <w:tcBorders>
              <w:top w:val="nil"/>
              <w:left w:val="nil"/>
              <w:bottom w:val="single" w:sz="4" w:space="0" w:color="D9D9D9"/>
              <w:right w:val="single" w:sz="4" w:space="0" w:color="auto"/>
            </w:tcBorders>
            <w:shd w:val="clear" w:color="auto" w:fill="auto"/>
            <w:noWrap/>
            <w:vAlign w:val="center"/>
          </w:tcPr>
          <w:p w14:paraId="2199078B" w14:textId="77777777" w:rsidR="002E1783" w:rsidRDefault="002E1783" w:rsidP="002E1783">
            <w:pPr>
              <w:jc w:val="right"/>
              <w:rPr>
                <w:rFonts w:ascii="Arial" w:hAnsi="Arial" w:cs="Arial"/>
                <w:sz w:val="18"/>
                <w:szCs w:val="18"/>
              </w:rPr>
            </w:pPr>
            <w:r>
              <w:rPr>
                <w:rFonts w:ascii="Arial" w:hAnsi="Arial" w:cs="Arial"/>
                <w:sz w:val="18"/>
                <w:szCs w:val="18"/>
              </w:rPr>
              <w:t>56</w:t>
            </w:r>
          </w:p>
        </w:tc>
        <w:tc>
          <w:tcPr>
            <w:tcW w:w="1504" w:type="dxa"/>
            <w:tcBorders>
              <w:top w:val="nil"/>
              <w:left w:val="nil"/>
              <w:bottom w:val="single" w:sz="4" w:space="0" w:color="D9D9D9"/>
              <w:right w:val="single" w:sz="4" w:space="0" w:color="auto"/>
            </w:tcBorders>
            <w:shd w:val="clear" w:color="auto" w:fill="auto"/>
            <w:noWrap/>
            <w:vAlign w:val="center"/>
          </w:tcPr>
          <w:p w14:paraId="06C3264F" w14:textId="77777777" w:rsidR="002E1783" w:rsidRDefault="002E1783" w:rsidP="002E1783">
            <w:pPr>
              <w:jc w:val="right"/>
              <w:rPr>
                <w:rFonts w:ascii="Arial" w:hAnsi="Arial" w:cs="Arial"/>
                <w:sz w:val="18"/>
                <w:szCs w:val="18"/>
              </w:rPr>
            </w:pPr>
            <w:r>
              <w:rPr>
                <w:rFonts w:ascii="Arial" w:hAnsi="Arial" w:cs="Arial"/>
                <w:sz w:val="18"/>
                <w:szCs w:val="18"/>
              </w:rPr>
              <w:t>34</w:t>
            </w:r>
          </w:p>
        </w:tc>
        <w:tc>
          <w:tcPr>
            <w:tcW w:w="1504" w:type="dxa"/>
            <w:tcBorders>
              <w:top w:val="nil"/>
              <w:left w:val="nil"/>
              <w:bottom w:val="single" w:sz="4" w:space="0" w:color="D9D9D9"/>
              <w:right w:val="single" w:sz="4" w:space="0" w:color="auto"/>
            </w:tcBorders>
            <w:shd w:val="clear" w:color="auto" w:fill="auto"/>
            <w:vAlign w:val="center"/>
          </w:tcPr>
          <w:p w14:paraId="07A14AC4" w14:textId="77777777" w:rsidR="002E1783" w:rsidRDefault="002E1783" w:rsidP="002E1783">
            <w:pPr>
              <w:jc w:val="right"/>
              <w:rPr>
                <w:rFonts w:ascii="Arial" w:hAnsi="Arial" w:cs="Arial"/>
                <w:sz w:val="18"/>
                <w:szCs w:val="18"/>
              </w:rPr>
            </w:pPr>
            <w:r>
              <w:rPr>
                <w:rFonts w:ascii="Arial" w:hAnsi="Arial" w:cs="Arial"/>
                <w:sz w:val="18"/>
                <w:szCs w:val="18"/>
              </w:rPr>
              <w:t>25</w:t>
            </w:r>
          </w:p>
        </w:tc>
      </w:tr>
      <w:tr w:rsidR="002E1783" w14:paraId="51634002" w14:textId="77777777" w:rsidTr="00D45E82">
        <w:trPr>
          <w:cantSpli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00F2F6C8" w14:textId="77777777" w:rsidR="002E1783" w:rsidRDefault="002E1783" w:rsidP="002E1783">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03F20830" w14:textId="77777777" w:rsidR="002E1783" w:rsidRDefault="002E1783" w:rsidP="002E1783">
            <w:pPr>
              <w:jc w:val="right"/>
              <w:rPr>
                <w:rFonts w:ascii="Arial" w:hAnsi="Arial" w:cs="Arial"/>
                <w:sz w:val="18"/>
                <w:szCs w:val="18"/>
              </w:rPr>
            </w:pPr>
            <w:r>
              <w:rPr>
                <w:rFonts w:ascii="Arial" w:hAnsi="Arial" w:cs="Arial"/>
                <w:sz w:val="18"/>
                <w:szCs w:val="18"/>
              </w:rPr>
              <w:t>1,844</w:t>
            </w:r>
          </w:p>
        </w:tc>
        <w:tc>
          <w:tcPr>
            <w:tcW w:w="1504" w:type="dxa"/>
            <w:tcBorders>
              <w:top w:val="nil"/>
              <w:left w:val="nil"/>
              <w:bottom w:val="nil"/>
              <w:right w:val="single" w:sz="4" w:space="0" w:color="auto"/>
            </w:tcBorders>
            <w:shd w:val="clear" w:color="auto" w:fill="auto"/>
            <w:noWrap/>
            <w:vAlign w:val="center"/>
          </w:tcPr>
          <w:p w14:paraId="7730CF62" w14:textId="77777777" w:rsidR="002E1783" w:rsidRDefault="002E1783" w:rsidP="002E1783">
            <w:pPr>
              <w:jc w:val="right"/>
              <w:rPr>
                <w:rFonts w:ascii="Arial" w:hAnsi="Arial" w:cs="Arial"/>
                <w:sz w:val="18"/>
                <w:szCs w:val="18"/>
              </w:rPr>
            </w:pPr>
            <w:r>
              <w:rPr>
                <w:rFonts w:ascii="Arial" w:hAnsi="Arial" w:cs="Arial"/>
                <w:sz w:val="18"/>
                <w:szCs w:val="18"/>
              </w:rPr>
              <w:t>2,097</w:t>
            </w:r>
          </w:p>
        </w:tc>
        <w:tc>
          <w:tcPr>
            <w:tcW w:w="1503" w:type="dxa"/>
            <w:tcBorders>
              <w:top w:val="nil"/>
              <w:left w:val="nil"/>
              <w:bottom w:val="nil"/>
              <w:right w:val="single" w:sz="4" w:space="0" w:color="auto"/>
            </w:tcBorders>
            <w:shd w:val="clear" w:color="auto" w:fill="auto"/>
            <w:noWrap/>
            <w:vAlign w:val="center"/>
          </w:tcPr>
          <w:p w14:paraId="2690E5E9" w14:textId="77777777" w:rsidR="002E1783" w:rsidRDefault="002E1783" w:rsidP="002E1783">
            <w:pPr>
              <w:jc w:val="right"/>
              <w:rPr>
                <w:rFonts w:ascii="Arial" w:hAnsi="Arial" w:cs="Arial"/>
                <w:sz w:val="18"/>
                <w:szCs w:val="18"/>
              </w:rPr>
            </w:pPr>
            <w:r>
              <w:rPr>
                <w:rFonts w:ascii="Arial" w:hAnsi="Arial" w:cs="Arial"/>
                <w:sz w:val="18"/>
                <w:szCs w:val="18"/>
              </w:rPr>
              <w:t>1,426</w:t>
            </w:r>
          </w:p>
        </w:tc>
        <w:tc>
          <w:tcPr>
            <w:tcW w:w="1504" w:type="dxa"/>
            <w:tcBorders>
              <w:top w:val="nil"/>
              <w:left w:val="nil"/>
              <w:bottom w:val="nil"/>
              <w:right w:val="single" w:sz="4" w:space="0" w:color="auto"/>
            </w:tcBorders>
            <w:shd w:val="clear" w:color="auto" w:fill="auto"/>
            <w:noWrap/>
            <w:vAlign w:val="center"/>
          </w:tcPr>
          <w:p w14:paraId="1FD0E740" w14:textId="77777777" w:rsidR="002E1783" w:rsidRDefault="002E1783" w:rsidP="002E1783">
            <w:pPr>
              <w:jc w:val="right"/>
              <w:rPr>
                <w:rFonts w:ascii="Arial" w:hAnsi="Arial" w:cs="Arial"/>
                <w:sz w:val="18"/>
                <w:szCs w:val="18"/>
              </w:rPr>
            </w:pPr>
            <w:r>
              <w:rPr>
                <w:rFonts w:ascii="Arial" w:hAnsi="Arial" w:cs="Arial"/>
                <w:sz w:val="18"/>
                <w:szCs w:val="18"/>
              </w:rPr>
              <w:t>1,690</w:t>
            </w:r>
          </w:p>
        </w:tc>
        <w:tc>
          <w:tcPr>
            <w:tcW w:w="1504" w:type="dxa"/>
            <w:tcBorders>
              <w:top w:val="nil"/>
              <w:left w:val="nil"/>
              <w:bottom w:val="nil"/>
              <w:right w:val="single" w:sz="4" w:space="0" w:color="auto"/>
            </w:tcBorders>
            <w:shd w:val="clear" w:color="auto" w:fill="auto"/>
            <w:vAlign w:val="center"/>
          </w:tcPr>
          <w:p w14:paraId="2C44404B" w14:textId="77777777" w:rsidR="002E1783" w:rsidRDefault="002E1783" w:rsidP="002E1783">
            <w:pPr>
              <w:jc w:val="right"/>
              <w:rPr>
                <w:rFonts w:ascii="Arial" w:hAnsi="Arial" w:cs="Arial"/>
                <w:sz w:val="18"/>
                <w:szCs w:val="18"/>
              </w:rPr>
            </w:pPr>
            <w:r>
              <w:rPr>
                <w:rFonts w:ascii="Arial" w:hAnsi="Arial" w:cs="Arial"/>
                <w:sz w:val="18"/>
                <w:szCs w:val="18"/>
              </w:rPr>
              <w:t>1,872</w:t>
            </w:r>
          </w:p>
        </w:tc>
      </w:tr>
      <w:tr w:rsidR="002E1783" w14:paraId="711A0FE4" w14:textId="77777777" w:rsidTr="00D45E82">
        <w:trPr>
          <w:cantSplit/>
        </w:trPr>
        <w:tc>
          <w:tcPr>
            <w:tcW w:w="1843" w:type="dxa"/>
            <w:tcBorders>
              <w:top w:val="single" w:sz="4" w:space="0" w:color="auto"/>
              <w:left w:val="single" w:sz="4" w:space="0" w:color="auto"/>
              <w:bottom w:val="single" w:sz="4" w:space="0" w:color="auto"/>
              <w:right w:val="single" w:sz="4" w:space="0" w:color="auto"/>
            </w:tcBorders>
            <w:noWrap/>
            <w:hideMark/>
          </w:tcPr>
          <w:p w14:paraId="679B607F" w14:textId="77777777" w:rsidR="002E1783" w:rsidRDefault="002E1783" w:rsidP="002E1783">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1C4D3" w14:textId="77777777" w:rsidR="002E1783" w:rsidRDefault="002E1783" w:rsidP="002E1783">
            <w:pPr>
              <w:jc w:val="right"/>
              <w:rPr>
                <w:rFonts w:ascii="Arial" w:hAnsi="Arial" w:cs="Arial"/>
                <w:b/>
                <w:bCs/>
                <w:sz w:val="18"/>
                <w:szCs w:val="18"/>
              </w:rPr>
            </w:pPr>
            <w:r>
              <w:rPr>
                <w:rFonts w:ascii="Arial" w:hAnsi="Arial" w:cs="Arial"/>
                <w:b/>
                <w:bCs/>
                <w:sz w:val="18"/>
                <w:szCs w:val="18"/>
              </w:rPr>
              <w:t>2,216</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6078A093" w14:textId="77777777" w:rsidR="002E1783" w:rsidRDefault="002E1783" w:rsidP="002E1783">
            <w:pPr>
              <w:jc w:val="right"/>
              <w:rPr>
                <w:rFonts w:ascii="Arial" w:hAnsi="Arial" w:cs="Arial"/>
                <w:b/>
                <w:bCs/>
                <w:sz w:val="18"/>
                <w:szCs w:val="18"/>
              </w:rPr>
            </w:pPr>
            <w:r>
              <w:rPr>
                <w:rFonts w:ascii="Arial" w:hAnsi="Arial" w:cs="Arial"/>
                <w:b/>
                <w:bCs/>
                <w:sz w:val="18"/>
                <w:szCs w:val="18"/>
              </w:rPr>
              <w:t>2,457</w:t>
            </w:r>
          </w:p>
        </w:tc>
        <w:tc>
          <w:tcPr>
            <w:tcW w:w="1503" w:type="dxa"/>
            <w:tcBorders>
              <w:top w:val="single" w:sz="4" w:space="0" w:color="auto"/>
              <w:left w:val="nil"/>
              <w:bottom w:val="single" w:sz="4" w:space="0" w:color="auto"/>
              <w:right w:val="single" w:sz="4" w:space="0" w:color="auto"/>
            </w:tcBorders>
            <w:shd w:val="clear" w:color="auto" w:fill="auto"/>
            <w:noWrap/>
            <w:vAlign w:val="center"/>
          </w:tcPr>
          <w:p w14:paraId="0EB52403" w14:textId="77777777" w:rsidR="002E1783" w:rsidRDefault="002E1783" w:rsidP="002E1783">
            <w:pPr>
              <w:jc w:val="right"/>
              <w:rPr>
                <w:rFonts w:ascii="Arial" w:hAnsi="Arial" w:cs="Arial"/>
                <w:b/>
                <w:bCs/>
                <w:sz w:val="18"/>
                <w:szCs w:val="18"/>
              </w:rPr>
            </w:pPr>
            <w:r>
              <w:rPr>
                <w:rFonts w:ascii="Arial" w:hAnsi="Arial" w:cs="Arial"/>
                <w:b/>
                <w:bCs/>
                <w:sz w:val="18"/>
                <w:szCs w:val="18"/>
              </w:rPr>
              <w:t>1,757</w:t>
            </w:r>
          </w:p>
        </w:tc>
        <w:tc>
          <w:tcPr>
            <w:tcW w:w="1504" w:type="dxa"/>
            <w:tcBorders>
              <w:top w:val="single" w:sz="4" w:space="0" w:color="auto"/>
              <w:left w:val="nil"/>
              <w:bottom w:val="single" w:sz="4" w:space="0" w:color="auto"/>
              <w:right w:val="single" w:sz="4" w:space="0" w:color="auto"/>
            </w:tcBorders>
            <w:shd w:val="clear" w:color="auto" w:fill="auto"/>
            <w:noWrap/>
            <w:vAlign w:val="center"/>
          </w:tcPr>
          <w:p w14:paraId="56333D30" w14:textId="77777777" w:rsidR="002E1783" w:rsidRDefault="002E1783" w:rsidP="002E1783">
            <w:pPr>
              <w:jc w:val="right"/>
              <w:rPr>
                <w:rFonts w:ascii="Arial" w:hAnsi="Arial" w:cs="Arial"/>
                <w:b/>
                <w:bCs/>
                <w:sz w:val="18"/>
                <w:szCs w:val="18"/>
              </w:rPr>
            </w:pPr>
            <w:r>
              <w:rPr>
                <w:rFonts w:ascii="Arial" w:hAnsi="Arial" w:cs="Arial"/>
                <w:b/>
                <w:bCs/>
                <w:sz w:val="18"/>
                <w:szCs w:val="18"/>
              </w:rPr>
              <w:t>1,980</w:t>
            </w:r>
          </w:p>
        </w:tc>
        <w:tc>
          <w:tcPr>
            <w:tcW w:w="1504" w:type="dxa"/>
            <w:tcBorders>
              <w:top w:val="single" w:sz="4" w:space="0" w:color="auto"/>
              <w:left w:val="nil"/>
              <w:bottom w:val="single" w:sz="4" w:space="0" w:color="auto"/>
              <w:right w:val="single" w:sz="4" w:space="0" w:color="auto"/>
            </w:tcBorders>
            <w:shd w:val="clear" w:color="auto" w:fill="auto"/>
            <w:vAlign w:val="center"/>
          </w:tcPr>
          <w:p w14:paraId="06BF39D3" w14:textId="77777777" w:rsidR="002E1783" w:rsidRDefault="002E1783" w:rsidP="002E1783">
            <w:pPr>
              <w:jc w:val="right"/>
              <w:rPr>
                <w:rFonts w:ascii="Arial" w:hAnsi="Arial" w:cs="Arial"/>
                <w:b/>
                <w:bCs/>
                <w:sz w:val="18"/>
                <w:szCs w:val="18"/>
              </w:rPr>
            </w:pPr>
            <w:r>
              <w:rPr>
                <w:rFonts w:ascii="Arial" w:hAnsi="Arial" w:cs="Arial"/>
                <w:b/>
                <w:bCs/>
                <w:sz w:val="18"/>
                <w:szCs w:val="18"/>
              </w:rPr>
              <w:t>2,273</w:t>
            </w:r>
          </w:p>
        </w:tc>
      </w:tr>
    </w:tbl>
    <w:p w14:paraId="0FE09F88" w14:textId="77777777" w:rsidR="002E1783" w:rsidRDefault="002E1783" w:rsidP="002E1783"/>
    <w:p w14:paraId="3754E811" w14:textId="77777777" w:rsidR="002E1783" w:rsidRDefault="002E1783" w:rsidP="00F66CD2">
      <w:pPr>
        <w:pStyle w:val="Heading1"/>
      </w:pPr>
    </w:p>
    <w:p w14:paraId="4F57AED7" w14:textId="77777777" w:rsidR="002E1783" w:rsidRDefault="002E1783">
      <w:pPr>
        <w:spacing w:after="200"/>
        <w:rPr>
          <w:rFonts w:eastAsiaTheme="majorEastAsia" w:cstheme="majorBidi"/>
          <w:b/>
          <w:bCs/>
          <w:sz w:val="36"/>
          <w:szCs w:val="28"/>
        </w:rPr>
      </w:pPr>
      <w:r>
        <w:br w:type="page"/>
      </w:r>
    </w:p>
    <w:p w14:paraId="71DB3FB3" w14:textId="77777777" w:rsidR="00F66CD2" w:rsidRDefault="00115CAE" w:rsidP="00F66CD2">
      <w:pPr>
        <w:pStyle w:val="Heading1"/>
      </w:pPr>
      <w:bookmarkStart w:id="24" w:name="_Toc482366178"/>
      <w:r w:rsidRPr="00C90A46">
        <w:lastRenderedPageBreak/>
        <w:t>DHB coverage comparisons</w:t>
      </w:r>
      <w:bookmarkStart w:id="25" w:name="_Toc399850104"/>
      <w:bookmarkStart w:id="26" w:name="_Toc399921856"/>
      <w:bookmarkEnd w:id="21"/>
      <w:bookmarkEnd w:id="24"/>
    </w:p>
    <w:p w14:paraId="0327AED1" w14:textId="77777777" w:rsidR="00F66CD2" w:rsidRDefault="00F66CD2" w:rsidP="00F66CD2">
      <w:pPr>
        <w:pStyle w:val="Heading2"/>
      </w:pPr>
      <w:bookmarkStart w:id="27" w:name="_Toc482366179"/>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B6736" w:rsidRPr="00DB6736">
        <w:t>31 March 2017</w:t>
      </w:r>
      <w:bookmarkEnd w:id="27"/>
    </w:p>
    <w:p w14:paraId="246A33E9" w14:textId="77777777" w:rsidR="00F66CD2" w:rsidRDefault="00FE0172" w:rsidP="002B0ED8">
      <w:pPr>
        <w:pStyle w:val="Figure"/>
      </w:pPr>
      <w:bookmarkStart w:id="28" w:name="_Toc399497923"/>
      <w:bookmarkStart w:id="29" w:name="_Toc482366187"/>
      <w:r>
        <w:t xml:space="preserve">Figure </w:t>
      </w:r>
      <w:r w:rsidR="004E0B43">
        <w:fldChar w:fldCharType="begin"/>
      </w:r>
      <w:r w:rsidR="004E0B43">
        <w:instrText xml:space="preserve"> SEQ Figure \* ARABIC </w:instrText>
      </w:r>
      <w:r w:rsidR="004E0B43">
        <w:fldChar w:fldCharType="separate"/>
      </w:r>
      <w:r w:rsidR="006A60CC">
        <w:rPr>
          <w:noProof/>
        </w:rPr>
        <w:t>3</w:t>
      </w:r>
      <w:r w:rsidR="004E0B43">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B6736" w:rsidRPr="00DB6736">
        <w:t>31 March 2017</w:t>
      </w:r>
      <w:r w:rsidR="00F66CD2">
        <w:t xml:space="preserve"> </w:t>
      </w:r>
      <w:r w:rsidR="00F66CD2" w:rsidRPr="00F17732">
        <w:t xml:space="preserve">by </w:t>
      </w:r>
      <w:r w:rsidR="00F66CD2">
        <w:t>District Health Board</w:t>
      </w:r>
      <w:bookmarkEnd w:id="28"/>
      <w:bookmarkEnd w:id="29"/>
    </w:p>
    <w:p w14:paraId="19563D07" w14:textId="77777777" w:rsidR="00D83F91" w:rsidRPr="00D83F91" w:rsidRDefault="00DB6736" w:rsidP="00D83F91">
      <w:bookmarkStart w:id="30" w:name="figure_3"/>
      <w:bookmarkEnd w:id="25"/>
      <w:bookmarkEnd w:id="26"/>
      <w:bookmarkEnd w:id="30"/>
      <w:r>
        <w:rPr>
          <w:noProof/>
        </w:rPr>
        <w:drawing>
          <wp:inline distT="0" distB="0" distL="0" distR="0" wp14:anchorId="0FD69762" wp14:editId="367A3C48">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6FF5AF" w14:textId="77777777" w:rsidR="00115CAE" w:rsidRDefault="00FA21EF" w:rsidP="00BF27D3">
      <w:pPr>
        <w:pStyle w:val="Figure"/>
      </w:pPr>
      <w:bookmarkStart w:id="31" w:name="_Toc399497924"/>
      <w:bookmarkStart w:id="32" w:name="_Toc482366188"/>
      <w:r>
        <w:t xml:space="preserve">Figure </w:t>
      </w:r>
      <w:r w:rsidR="004E0B43">
        <w:fldChar w:fldCharType="begin"/>
      </w:r>
      <w:r w:rsidR="004E0B43">
        <w:instrText xml:space="preserve"> SEQ Figure \* ARABIC </w:instrText>
      </w:r>
      <w:r w:rsidR="004E0B43">
        <w:fldChar w:fldCharType="separate"/>
      </w:r>
      <w:r w:rsidR="006A60CC">
        <w:rPr>
          <w:noProof/>
        </w:rPr>
        <w:t>4</w:t>
      </w:r>
      <w:r w:rsidR="004E0B43">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B6736" w:rsidRPr="00DB6736">
        <w:t>31 March 2017</w:t>
      </w:r>
      <w:r w:rsidR="00115CAE" w:rsidRPr="002171C9">
        <w:t xml:space="preserve"> by </w:t>
      </w:r>
      <w:r w:rsidR="00B718BD">
        <w:t>District Health Board</w:t>
      </w:r>
      <w:bookmarkEnd w:id="31"/>
      <w:bookmarkEnd w:id="32"/>
    </w:p>
    <w:p w14:paraId="0E3100A3" w14:textId="77777777" w:rsidR="00115CAE" w:rsidRDefault="00DB6736" w:rsidP="00115CAE">
      <w:bookmarkStart w:id="33" w:name="figure_4"/>
      <w:bookmarkEnd w:id="33"/>
      <w:r>
        <w:rPr>
          <w:noProof/>
        </w:rPr>
        <w:drawing>
          <wp:inline distT="0" distB="0" distL="0" distR="0" wp14:anchorId="0A675A0B" wp14:editId="39F6213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F21A53" w14:textId="77777777" w:rsidR="00C9547D" w:rsidRPr="00C9547D" w:rsidRDefault="00C9547D" w:rsidP="00C9547D">
      <w:bookmarkStart w:id="34" w:name="figure_5"/>
      <w:bookmarkEnd w:id="34"/>
    </w:p>
    <w:p w14:paraId="4AE8A2F7" w14:textId="77777777" w:rsidR="00115CAE" w:rsidRDefault="00FA21EF" w:rsidP="00BF27D3">
      <w:pPr>
        <w:pStyle w:val="Figure"/>
      </w:pPr>
      <w:bookmarkStart w:id="35" w:name="_Toc399497926"/>
      <w:bookmarkStart w:id="36" w:name="_Toc482366189"/>
      <w:r>
        <w:lastRenderedPageBreak/>
        <w:t xml:space="preserve">Figure </w:t>
      </w:r>
      <w:r w:rsidR="004E0B43">
        <w:fldChar w:fldCharType="begin"/>
      </w:r>
      <w:r w:rsidR="004E0B43">
        <w:instrText xml:space="preserve"> SEQ Figure \* ARABIC </w:instrText>
      </w:r>
      <w:r w:rsidR="004E0B43">
        <w:fldChar w:fldCharType="separate"/>
      </w:r>
      <w:r w:rsidR="006A60CC">
        <w:rPr>
          <w:noProof/>
        </w:rPr>
        <w:t>5</w:t>
      </w:r>
      <w:r w:rsidR="004E0B43">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B6736" w:rsidRPr="00DB6736">
        <w:t>31 March 2017</w:t>
      </w:r>
      <w:r w:rsidR="00115CAE" w:rsidRPr="002171C9">
        <w:t xml:space="preserve"> by </w:t>
      </w:r>
      <w:r w:rsidR="00B718BD">
        <w:t>District Health Board</w:t>
      </w:r>
      <w:bookmarkEnd w:id="35"/>
      <w:bookmarkEnd w:id="36"/>
    </w:p>
    <w:p w14:paraId="59C0BC24" w14:textId="77777777" w:rsidR="009376F1" w:rsidRPr="00C9547D" w:rsidRDefault="00DB6736" w:rsidP="009376F1">
      <w:bookmarkStart w:id="37" w:name="figure_6"/>
      <w:bookmarkEnd w:id="37"/>
      <w:r>
        <w:rPr>
          <w:noProof/>
        </w:rPr>
        <w:drawing>
          <wp:inline distT="0" distB="0" distL="0" distR="0" wp14:anchorId="32648D20" wp14:editId="5686D82B">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FE85D2" w14:textId="77777777" w:rsidR="00D80FAE" w:rsidRPr="00D80FAE" w:rsidRDefault="00D80FAE" w:rsidP="00D80FAE"/>
    <w:p w14:paraId="2C60B3D7" w14:textId="77777777" w:rsidR="00C9547D" w:rsidRPr="00C9547D" w:rsidRDefault="00C9547D" w:rsidP="00C9547D"/>
    <w:p w14:paraId="14DFFDD3" w14:textId="77777777" w:rsidR="00115CAE" w:rsidRDefault="00115CAE" w:rsidP="00115CAE"/>
    <w:p w14:paraId="70193C66" w14:textId="77777777" w:rsidR="00115CAE" w:rsidRDefault="00115CAE" w:rsidP="00115CAE"/>
    <w:p w14:paraId="132F1077" w14:textId="77777777" w:rsidR="00115CAE" w:rsidRPr="00F17732" w:rsidRDefault="00115CAE" w:rsidP="00115CAE"/>
    <w:p w14:paraId="0F975F01" w14:textId="77777777" w:rsidR="00115CAE" w:rsidRDefault="00115CAE" w:rsidP="00115CAE">
      <w:pPr>
        <w:rPr>
          <w:caps/>
        </w:rPr>
      </w:pPr>
    </w:p>
    <w:p w14:paraId="3D245E90" w14:textId="77777777" w:rsidR="00AE1525" w:rsidRDefault="00AE1525" w:rsidP="00115CAE">
      <w:pPr>
        <w:rPr>
          <w:caps/>
        </w:rPr>
      </w:pPr>
    </w:p>
    <w:p w14:paraId="374C92CE" w14:textId="77777777" w:rsidR="00AE1525" w:rsidRDefault="00AE1525" w:rsidP="00115CAE">
      <w:pPr>
        <w:rPr>
          <w:caps/>
        </w:rPr>
      </w:pPr>
    </w:p>
    <w:p w14:paraId="0FA8B02C" w14:textId="77777777" w:rsidR="00AE1525" w:rsidRDefault="00AE1525" w:rsidP="00115CAE">
      <w:pPr>
        <w:rPr>
          <w:caps/>
        </w:rPr>
      </w:pPr>
    </w:p>
    <w:p w14:paraId="557B3876" w14:textId="77777777" w:rsidR="00AE1525" w:rsidRDefault="00AE1525" w:rsidP="00115CAE">
      <w:pPr>
        <w:rPr>
          <w:caps/>
        </w:rPr>
      </w:pPr>
    </w:p>
    <w:p w14:paraId="7331F4B6" w14:textId="77777777" w:rsidR="00AE1525" w:rsidRDefault="00AE1525" w:rsidP="00115CAE">
      <w:pPr>
        <w:rPr>
          <w:caps/>
        </w:rPr>
      </w:pPr>
    </w:p>
    <w:p w14:paraId="5E85CEE5" w14:textId="77777777" w:rsidR="00AE1525" w:rsidRDefault="00AE1525" w:rsidP="00115CAE">
      <w:pPr>
        <w:rPr>
          <w:caps/>
        </w:rPr>
      </w:pPr>
    </w:p>
    <w:p w14:paraId="4E5F0CDE" w14:textId="77777777" w:rsidR="00AE1525" w:rsidRDefault="00AE1525" w:rsidP="00115CAE">
      <w:pPr>
        <w:rPr>
          <w:caps/>
        </w:rPr>
      </w:pPr>
    </w:p>
    <w:p w14:paraId="2F7D8D25" w14:textId="77777777" w:rsidR="00AE1525" w:rsidRDefault="00AE1525" w:rsidP="00115CAE">
      <w:pPr>
        <w:rPr>
          <w:caps/>
        </w:rPr>
      </w:pPr>
    </w:p>
    <w:p w14:paraId="7E9C9EE0" w14:textId="77777777" w:rsidR="00AE1525" w:rsidRDefault="00AE1525" w:rsidP="00115CAE">
      <w:pPr>
        <w:rPr>
          <w:caps/>
        </w:rPr>
      </w:pPr>
    </w:p>
    <w:p w14:paraId="598800CB" w14:textId="77777777" w:rsidR="00AE1525" w:rsidRDefault="00AE1525" w:rsidP="00115CAE">
      <w:pPr>
        <w:rPr>
          <w:caps/>
        </w:rPr>
      </w:pPr>
    </w:p>
    <w:p w14:paraId="51934AAE" w14:textId="77777777" w:rsidR="00AE1525" w:rsidRDefault="00AE1525" w:rsidP="00115CAE">
      <w:pPr>
        <w:rPr>
          <w:caps/>
        </w:rPr>
      </w:pPr>
    </w:p>
    <w:p w14:paraId="1AA4D45F" w14:textId="77777777" w:rsidR="009376F1" w:rsidRDefault="009376F1" w:rsidP="009376F1">
      <w:pPr>
        <w:pStyle w:val="Figure"/>
      </w:pPr>
      <w:bookmarkStart w:id="38" w:name="_Toc482366190"/>
      <w:r>
        <w:lastRenderedPageBreak/>
        <w:t xml:space="preserve">Figure </w:t>
      </w:r>
      <w:fldSimple w:instr=" SEQ Figure \* ARABIC ">
        <w:r w:rsidR="006A60CC">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B6736" w:rsidRPr="00DB6736">
        <w:t>31 March 2017</w:t>
      </w:r>
      <w:bookmarkEnd w:id="38"/>
    </w:p>
    <w:p w14:paraId="40740E36" w14:textId="77777777" w:rsidR="00EB1948" w:rsidRPr="00D83F91" w:rsidRDefault="00372639" w:rsidP="00AE1525">
      <w:r w:rsidRPr="00CA006A">
        <w:rPr>
          <w:noProof/>
        </w:rPr>
        <w:drawing>
          <wp:inline distT="0" distB="0" distL="0" distR="0" wp14:anchorId="0E1FD7C5" wp14:editId="76A5547D">
            <wp:extent cx="5940425" cy="8401685"/>
            <wp:effectExtent l="0" t="0" r="3175" b="0"/>
            <wp:docPr id="2" name="Picture 2" descr="R:\Data Extracts\Cancer Screening\01 Breast\BSA DHB Reports\11 December 2016\ArcGIS December 2016 Coverage Maps\BSA_Māori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Data Extracts\Cancer Screening\01 Breast\BSA DHB Reports\11 December 2016\ArcGIS December 2016 Coverage Maps\BSA_Māori FINAL  December 2016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14:paraId="3F521551" w14:textId="77777777" w:rsidR="00AE1525" w:rsidRDefault="009376F1" w:rsidP="009376F1">
      <w:pPr>
        <w:pStyle w:val="Figure"/>
      </w:pPr>
      <w:bookmarkStart w:id="39" w:name="_Toc482366191"/>
      <w:r>
        <w:lastRenderedPageBreak/>
        <w:t xml:space="preserve">Figure </w:t>
      </w:r>
      <w:fldSimple w:instr=" SEQ Figure \* ARABIC ">
        <w:r w:rsidR="006A60CC">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B6736" w:rsidRPr="00DB6736">
        <w:t>31 March 2017</w:t>
      </w:r>
      <w:bookmarkEnd w:id="39"/>
    </w:p>
    <w:p w14:paraId="4B08AD40" w14:textId="77777777" w:rsidR="00A43F46" w:rsidRPr="00A43F46" w:rsidRDefault="00372639" w:rsidP="00A43F46">
      <w:r w:rsidRPr="00CA006A">
        <w:rPr>
          <w:noProof/>
        </w:rPr>
        <w:drawing>
          <wp:inline distT="0" distB="0" distL="0" distR="0" wp14:anchorId="3FA73AE4" wp14:editId="0D8B23DC">
            <wp:extent cx="5734050" cy="8109998"/>
            <wp:effectExtent l="0" t="0" r="0" b="5715"/>
            <wp:docPr id="8" name="Picture 8" descr="R:\Data Extracts\Cancer Screening\01 Breast\BSA DHB Reports\11 December 2016\ArcGIS December 2016 Coverage Maps\BSA_Pacific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Data Extracts\Cancer Screening\01 Breast\BSA DHB Reports\11 December 2016\ArcGIS December 2016 Coverage Maps\BSA_Pacific FINAL December 2016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5007" cy="8111351"/>
                    </a:xfrm>
                    <a:prstGeom prst="rect">
                      <a:avLst/>
                    </a:prstGeom>
                    <a:noFill/>
                    <a:ln>
                      <a:noFill/>
                    </a:ln>
                  </pic:spPr>
                </pic:pic>
              </a:graphicData>
            </a:graphic>
          </wp:inline>
        </w:drawing>
      </w:r>
    </w:p>
    <w:p w14:paraId="26EB4E83" w14:textId="77777777" w:rsidR="00AE1525" w:rsidRPr="00C9547D" w:rsidRDefault="00AE1525" w:rsidP="00AE1525"/>
    <w:p w14:paraId="2C2FBE66" w14:textId="77777777" w:rsidR="009376F1" w:rsidRDefault="009376F1" w:rsidP="009376F1">
      <w:pPr>
        <w:pStyle w:val="Figure"/>
      </w:pPr>
      <w:bookmarkStart w:id="40" w:name="_Toc482366192"/>
      <w:r>
        <w:lastRenderedPageBreak/>
        <w:t xml:space="preserve">Figure </w:t>
      </w:r>
      <w:fldSimple w:instr=" SEQ Figure \* ARABIC ">
        <w:r w:rsidR="006A60CC">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B6736" w:rsidRPr="00DB6736">
        <w:t>31 March 2017</w:t>
      </w:r>
      <w:r w:rsidRPr="002171C9">
        <w:t xml:space="preserve"> by </w:t>
      </w:r>
      <w:r>
        <w:t>District Health Board</w:t>
      </w:r>
      <w:bookmarkEnd w:id="40"/>
    </w:p>
    <w:p w14:paraId="3EA81B7B" w14:textId="77777777" w:rsidR="00137AB6" w:rsidRDefault="00137AB6" w:rsidP="00137AB6">
      <w:pPr>
        <w:rPr>
          <w:caps/>
        </w:rPr>
      </w:pPr>
    </w:p>
    <w:p w14:paraId="52332203" w14:textId="77777777" w:rsidR="00137AB6" w:rsidRPr="00137AB6" w:rsidRDefault="00372639"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CA006A">
        <w:rPr>
          <w:noProof/>
        </w:rPr>
        <w:drawing>
          <wp:inline distT="0" distB="0" distL="0" distR="0" wp14:anchorId="2DEB5908" wp14:editId="38C364E5">
            <wp:extent cx="5530708" cy="7822399"/>
            <wp:effectExtent l="0" t="0" r="0" b="7620"/>
            <wp:docPr id="9" name="Picture 9" descr="R:\Data Extracts\Cancer Screening\01 Breast\BSA DHB Reports\11 December 2016\ArcGIS December 2016 Coverage Maps\BSA_National FINAL December 2016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Data Extracts\Cancer Screening\01 Breast\BSA DHB Reports\11 December 2016\ArcGIS December 2016 Coverage Maps\BSA_National FINAL December 2016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31725" cy="7823838"/>
                    </a:xfrm>
                    <a:prstGeom prst="rect">
                      <a:avLst/>
                    </a:prstGeom>
                    <a:noFill/>
                    <a:ln>
                      <a:noFill/>
                    </a:ln>
                  </pic:spPr>
                </pic:pic>
              </a:graphicData>
            </a:graphic>
          </wp:inline>
        </w:drawing>
      </w:r>
    </w:p>
    <w:p w14:paraId="0EACAF40" w14:textId="77777777" w:rsidR="00D52B13" w:rsidRDefault="00115CAE" w:rsidP="00CE24C5">
      <w:pPr>
        <w:pStyle w:val="Table"/>
        <w:spacing w:before="0"/>
        <w:ind w:left="-284"/>
      </w:pPr>
      <w:bookmarkStart w:id="41" w:name="_Toc400365297"/>
      <w:bookmarkStart w:id="42" w:name="_Toc482366183"/>
      <w:r w:rsidRPr="00F17732">
        <w:lastRenderedPageBreak/>
        <w:t xml:space="preserve">Table </w:t>
      </w:r>
      <w:r w:rsidR="009A38AD">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DB6736" w:rsidRPr="00DB6736">
        <w:t>31 March 2017</w:t>
      </w:r>
      <w:r w:rsidRPr="00F17732">
        <w:t xml:space="preserve"> </w:t>
      </w:r>
      <w:r>
        <w:t xml:space="preserve">by </w:t>
      </w:r>
      <w:r w:rsidR="00B718BD">
        <w:t>District Health Board</w:t>
      </w:r>
      <w:bookmarkEnd w:id="41"/>
      <w:bookmarkEnd w:id="42"/>
    </w:p>
    <w:p w14:paraId="11CBDBC8" w14:textId="77777777" w:rsidR="00CE24C5" w:rsidRPr="00CE24C5" w:rsidRDefault="009A38AD" w:rsidP="00CE24C5">
      <w:bookmarkStart w:id="43" w:name="table_2"/>
      <w:bookmarkEnd w:id="43"/>
      <w:r w:rsidRPr="00222E06">
        <w:rPr>
          <w:noProof/>
        </w:rPr>
        <w:drawing>
          <wp:inline distT="0" distB="0" distL="0" distR="0" wp14:anchorId="3B0268A1" wp14:editId="6674AE3F">
            <wp:extent cx="8798560" cy="4521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98560" cy="4521835"/>
                    </a:xfrm>
                    <a:prstGeom prst="rect">
                      <a:avLst/>
                    </a:prstGeom>
                    <a:noFill/>
                    <a:ln>
                      <a:noFill/>
                    </a:ln>
                  </pic:spPr>
                </pic:pic>
              </a:graphicData>
            </a:graphic>
          </wp:inline>
        </w:drawing>
      </w:r>
    </w:p>
    <w:p w14:paraId="54BB3D9B" w14:textId="77777777" w:rsidR="00115CAE" w:rsidRDefault="00115CAE" w:rsidP="00115CAE"/>
    <w:p w14:paraId="2E3734C2" w14:textId="77777777" w:rsidR="00CE24C5" w:rsidRDefault="00CE24C5">
      <w:pPr>
        <w:spacing w:after="200"/>
        <w:rPr>
          <w:rFonts w:eastAsiaTheme="majorEastAsia" w:cstheme="majorBidi"/>
          <w:b/>
          <w:bCs/>
          <w:sz w:val="28"/>
          <w:szCs w:val="26"/>
        </w:rPr>
      </w:pPr>
      <w:bookmarkStart w:id="44" w:name="_Toc399921857"/>
      <w:r>
        <w:br w:type="page"/>
      </w:r>
    </w:p>
    <w:p w14:paraId="16EFBAF7" w14:textId="77777777" w:rsidR="00115CAE" w:rsidRDefault="00115CAE" w:rsidP="00C75BA8">
      <w:pPr>
        <w:pStyle w:val="Heading2"/>
        <w:spacing w:before="0"/>
        <w:ind w:left="-284"/>
      </w:pPr>
      <w:bookmarkStart w:id="45" w:name="_Toc482366180"/>
      <w:r>
        <w:lastRenderedPageBreak/>
        <w:t>DHB coverage comparison trends by ethnicity</w:t>
      </w:r>
      <w:bookmarkEnd w:id="44"/>
      <w:bookmarkEnd w:id="45"/>
    </w:p>
    <w:p w14:paraId="05E449F6" w14:textId="77777777" w:rsidR="00115CAE" w:rsidRDefault="00115CAE" w:rsidP="003669D4">
      <w:pPr>
        <w:pStyle w:val="Table"/>
        <w:ind w:left="-284"/>
      </w:pPr>
      <w:bookmarkStart w:id="46" w:name="_Toc400365298"/>
      <w:bookmarkStart w:id="47" w:name="_Toc482366184"/>
      <w:r w:rsidRPr="00F17732">
        <w:t>Table</w:t>
      </w:r>
      <w:r>
        <w:t xml:space="preserve"> </w:t>
      </w:r>
      <w:r w:rsidR="009A38AD">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DB6736" w:rsidRPr="00DB6736">
        <w:t>31 March, 2015, 2016, 2017</w:t>
      </w:r>
      <w:r>
        <w:t xml:space="preserve">, by ethnicity and </w:t>
      </w:r>
      <w:r w:rsidR="00B718BD">
        <w:t>District Health Board</w:t>
      </w:r>
      <w:bookmarkEnd w:id="46"/>
      <w:bookmarkEnd w:id="47"/>
    </w:p>
    <w:p w14:paraId="21F606A2" w14:textId="77777777" w:rsidR="006B45AA" w:rsidRPr="006B45AA" w:rsidRDefault="00DB6736" w:rsidP="006B45AA">
      <w:bookmarkStart w:id="48" w:name="table_3"/>
      <w:bookmarkEnd w:id="48"/>
      <w:r w:rsidRPr="00DB6736">
        <w:rPr>
          <w:noProof/>
        </w:rPr>
        <w:drawing>
          <wp:inline distT="0" distB="0" distL="0" distR="0" wp14:anchorId="254D84D9" wp14:editId="29EE4A22">
            <wp:extent cx="7675245" cy="452183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75245" cy="4521835"/>
                    </a:xfrm>
                    <a:prstGeom prst="rect">
                      <a:avLst/>
                    </a:prstGeom>
                    <a:noFill/>
                    <a:ln>
                      <a:noFill/>
                    </a:ln>
                  </pic:spPr>
                </pic:pic>
              </a:graphicData>
            </a:graphic>
          </wp:inline>
        </w:drawing>
      </w:r>
    </w:p>
    <w:p w14:paraId="76694B64" w14:textId="77777777" w:rsidR="003669D4" w:rsidRPr="003669D4" w:rsidRDefault="003669D4" w:rsidP="003669D4">
      <w:pPr>
        <w:ind w:left="-284"/>
      </w:pPr>
    </w:p>
    <w:p w14:paraId="407E33AA"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A4E97" w14:textId="77777777" w:rsidR="004E0B43" w:rsidRDefault="004E0B43">
      <w:pPr>
        <w:spacing w:line="240" w:lineRule="auto"/>
      </w:pPr>
      <w:r>
        <w:separator/>
      </w:r>
    </w:p>
  </w:endnote>
  <w:endnote w:type="continuationSeparator" w:id="0">
    <w:p w14:paraId="57DA4EC8" w14:textId="77777777" w:rsidR="004E0B43" w:rsidRDefault="004E0B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0B15C478" w14:textId="77777777"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D1ED4AF" w14:textId="77777777" w:rsidR="002A2801" w:rsidRPr="00497068" w:rsidRDefault="002A2801"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194DD8E6" w14:textId="77777777" w:rsidR="002A2801" w:rsidRDefault="002A2801">
        <w:pPr>
          <w:pStyle w:val="Footer"/>
          <w:jc w:val="center"/>
        </w:pPr>
        <w:r>
          <w:fldChar w:fldCharType="begin"/>
        </w:r>
        <w:r>
          <w:instrText xml:space="preserve"> PAGE   \* MERGEFORMAT </w:instrText>
        </w:r>
        <w:r>
          <w:fldChar w:fldCharType="separate"/>
        </w:r>
        <w:r w:rsidR="006A60CC">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3173CE71" w14:textId="77777777" w:rsidR="002A2801" w:rsidRDefault="002A2801">
        <w:pPr>
          <w:pStyle w:val="Footer"/>
          <w:jc w:val="center"/>
        </w:pPr>
        <w:r>
          <w:fldChar w:fldCharType="begin"/>
        </w:r>
        <w:r>
          <w:instrText xml:space="preserve"> PAGE   \* MERGEFORMAT </w:instrText>
        </w:r>
        <w:r>
          <w:fldChar w:fldCharType="separate"/>
        </w:r>
        <w:r w:rsidR="006A60CC">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4F9F6" w14:textId="77777777" w:rsidR="004E0B43" w:rsidRDefault="004E0B43">
      <w:pPr>
        <w:spacing w:line="240" w:lineRule="auto"/>
      </w:pPr>
      <w:r>
        <w:separator/>
      </w:r>
    </w:p>
  </w:footnote>
  <w:footnote w:type="continuationSeparator" w:id="0">
    <w:p w14:paraId="1CADC952" w14:textId="77777777" w:rsidR="004E0B43" w:rsidRDefault="004E0B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500" w14:textId="77777777" w:rsidR="002A2801" w:rsidRDefault="002A2801">
    <w:pPr>
      <w:pStyle w:val="Header"/>
    </w:pPr>
    <w:r>
      <w:rPr>
        <w:noProof/>
      </w:rPr>
      <w:drawing>
        <wp:inline distT="0" distB="0" distL="0" distR="0" wp14:anchorId="55D244E0" wp14:editId="7EA9352A">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4FC79406" w14:textId="77777777" w:rsidR="002A2801" w:rsidRDefault="00751E09" w:rsidP="00E52682">
    <w:pPr>
      <w:pStyle w:val="Header"/>
      <w:ind w:right="-425"/>
      <w:jc w:val="right"/>
    </w:pPr>
    <w:r w:rsidRPr="00532FD3">
      <w:rPr>
        <w:noProof/>
      </w:rPr>
      <w:drawing>
        <wp:inline distT="0" distB="0" distL="0" distR="0" wp14:anchorId="3C698CC3" wp14:editId="3849DC19">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AEED" w14:textId="77777777" w:rsidR="002A2801" w:rsidRDefault="002A2801">
    <w:pPr>
      <w:pStyle w:val="Header"/>
    </w:pPr>
    <w:r>
      <w:rPr>
        <w:noProof/>
      </w:rPr>
      <w:drawing>
        <wp:inline distT="0" distB="0" distL="0" distR="0" wp14:anchorId="048D7AF6" wp14:editId="42B2D49B">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4C576" w14:textId="77777777" w:rsidR="002A2801" w:rsidRDefault="002A2801">
    <w:pPr>
      <w:pStyle w:val="Header"/>
    </w:pPr>
    <w:r>
      <w:rPr>
        <w:noProof/>
      </w:rPr>
      <w:drawing>
        <wp:inline distT="0" distB="0" distL="0" distR="0" wp14:anchorId="619322B6" wp14:editId="64A7893D">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43E83175" w14:textId="77777777" w:rsidR="002A2801" w:rsidRDefault="002A2801" w:rsidP="00E52682">
    <w:pPr>
      <w:pStyle w:val="Header"/>
      <w:ind w:right="-425"/>
      <w:jc w:val="right"/>
    </w:pPr>
    <w:r w:rsidRPr="001A7BE5">
      <w:rPr>
        <w:noProof/>
        <w:color w:val="000000"/>
        <w:sz w:val="19"/>
        <w:szCs w:val="19"/>
      </w:rPr>
      <w:drawing>
        <wp:inline distT="0" distB="0" distL="0" distR="0" wp14:anchorId="0A48E34C" wp14:editId="294490EF">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77C54" w14:textId="77777777" w:rsidR="002A2801" w:rsidRDefault="002A2801">
    <w:pPr>
      <w:pStyle w:val="Header"/>
    </w:pPr>
    <w:r>
      <w:rPr>
        <w:noProof/>
      </w:rPr>
      <w:drawing>
        <wp:inline distT="0" distB="0" distL="0" distR="0" wp14:anchorId="4678EEC0" wp14:editId="286C11FF">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09FE"/>
    <w:rsid w:val="0000029B"/>
    <w:rsid w:val="00002BA2"/>
    <w:rsid w:val="000139DD"/>
    <w:rsid w:val="00037096"/>
    <w:rsid w:val="00070AAE"/>
    <w:rsid w:val="00070D14"/>
    <w:rsid w:val="00082E02"/>
    <w:rsid w:val="000933E9"/>
    <w:rsid w:val="000A74EA"/>
    <w:rsid w:val="000C2B3F"/>
    <w:rsid w:val="000C5714"/>
    <w:rsid w:val="000D1A06"/>
    <w:rsid w:val="000E7690"/>
    <w:rsid w:val="000F768D"/>
    <w:rsid w:val="00115CAE"/>
    <w:rsid w:val="00131DDF"/>
    <w:rsid w:val="00137AB6"/>
    <w:rsid w:val="00137BE4"/>
    <w:rsid w:val="00141C89"/>
    <w:rsid w:val="00164D88"/>
    <w:rsid w:val="00183C71"/>
    <w:rsid w:val="00193694"/>
    <w:rsid w:val="001A76B0"/>
    <w:rsid w:val="001B2D4A"/>
    <w:rsid w:val="001B7D1A"/>
    <w:rsid w:val="001D2534"/>
    <w:rsid w:val="001E5470"/>
    <w:rsid w:val="001F29EC"/>
    <w:rsid w:val="00202796"/>
    <w:rsid w:val="00210ECF"/>
    <w:rsid w:val="00223993"/>
    <w:rsid w:val="0023374D"/>
    <w:rsid w:val="00236495"/>
    <w:rsid w:val="0024296D"/>
    <w:rsid w:val="00243292"/>
    <w:rsid w:val="002669FF"/>
    <w:rsid w:val="00284E09"/>
    <w:rsid w:val="002A2801"/>
    <w:rsid w:val="002B0ED8"/>
    <w:rsid w:val="002B1E5A"/>
    <w:rsid w:val="002B6CFE"/>
    <w:rsid w:val="002D06D3"/>
    <w:rsid w:val="002D25D6"/>
    <w:rsid w:val="002E1783"/>
    <w:rsid w:val="002F360A"/>
    <w:rsid w:val="003074B1"/>
    <w:rsid w:val="00312010"/>
    <w:rsid w:val="00327229"/>
    <w:rsid w:val="003557B2"/>
    <w:rsid w:val="00363C24"/>
    <w:rsid w:val="0036623D"/>
    <w:rsid w:val="003669D4"/>
    <w:rsid w:val="00372639"/>
    <w:rsid w:val="00394023"/>
    <w:rsid w:val="003B681D"/>
    <w:rsid w:val="003D1C1E"/>
    <w:rsid w:val="003E5CF3"/>
    <w:rsid w:val="003F0618"/>
    <w:rsid w:val="003F1A49"/>
    <w:rsid w:val="00401D58"/>
    <w:rsid w:val="00403081"/>
    <w:rsid w:val="00407AD1"/>
    <w:rsid w:val="00423FE9"/>
    <w:rsid w:val="004435B3"/>
    <w:rsid w:val="00451AE5"/>
    <w:rsid w:val="00454136"/>
    <w:rsid w:val="00460FDC"/>
    <w:rsid w:val="0048478E"/>
    <w:rsid w:val="004B1400"/>
    <w:rsid w:val="004B6FD0"/>
    <w:rsid w:val="004C3D85"/>
    <w:rsid w:val="004D0E6D"/>
    <w:rsid w:val="004E0B43"/>
    <w:rsid w:val="004E531D"/>
    <w:rsid w:val="004F5B05"/>
    <w:rsid w:val="0050463E"/>
    <w:rsid w:val="0050510D"/>
    <w:rsid w:val="00532664"/>
    <w:rsid w:val="0056042A"/>
    <w:rsid w:val="005631A2"/>
    <w:rsid w:val="00565780"/>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0CC"/>
    <w:rsid w:val="006A64A9"/>
    <w:rsid w:val="006B45AA"/>
    <w:rsid w:val="006B6452"/>
    <w:rsid w:val="006C1638"/>
    <w:rsid w:val="006C6A34"/>
    <w:rsid w:val="006E3EE5"/>
    <w:rsid w:val="006F61D0"/>
    <w:rsid w:val="00703834"/>
    <w:rsid w:val="00704BD6"/>
    <w:rsid w:val="007210B9"/>
    <w:rsid w:val="0072251B"/>
    <w:rsid w:val="00742F05"/>
    <w:rsid w:val="00744D58"/>
    <w:rsid w:val="00746D25"/>
    <w:rsid w:val="00751E09"/>
    <w:rsid w:val="007675BD"/>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138C8"/>
    <w:rsid w:val="00915385"/>
    <w:rsid w:val="00930D20"/>
    <w:rsid w:val="009376F1"/>
    <w:rsid w:val="009559B1"/>
    <w:rsid w:val="009866FE"/>
    <w:rsid w:val="00990ADC"/>
    <w:rsid w:val="009A38AD"/>
    <w:rsid w:val="009A6502"/>
    <w:rsid w:val="009C0B6F"/>
    <w:rsid w:val="009C497C"/>
    <w:rsid w:val="009C51AD"/>
    <w:rsid w:val="009D46BE"/>
    <w:rsid w:val="009E6986"/>
    <w:rsid w:val="009F208B"/>
    <w:rsid w:val="00A01B9B"/>
    <w:rsid w:val="00A02987"/>
    <w:rsid w:val="00A034E9"/>
    <w:rsid w:val="00A17EB9"/>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D3841"/>
    <w:rsid w:val="00BE4ED8"/>
    <w:rsid w:val="00BE654A"/>
    <w:rsid w:val="00BE7A83"/>
    <w:rsid w:val="00BF27D3"/>
    <w:rsid w:val="00BF51B0"/>
    <w:rsid w:val="00BF5453"/>
    <w:rsid w:val="00C168F9"/>
    <w:rsid w:val="00C45A14"/>
    <w:rsid w:val="00C64CB1"/>
    <w:rsid w:val="00C75BA8"/>
    <w:rsid w:val="00C84549"/>
    <w:rsid w:val="00C9547D"/>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6736"/>
    <w:rsid w:val="00DD69A8"/>
    <w:rsid w:val="00E07458"/>
    <w:rsid w:val="00E232C7"/>
    <w:rsid w:val="00E2647B"/>
    <w:rsid w:val="00E37AF5"/>
    <w:rsid w:val="00E37EDA"/>
    <w:rsid w:val="00E52682"/>
    <w:rsid w:val="00E62F7A"/>
    <w:rsid w:val="00E646CB"/>
    <w:rsid w:val="00E83519"/>
    <w:rsid w:val="00EB1948"/>
    <w:rsid w:val="00EB4088"/>
    <w:rsid w:val="00ED52A0"/>
    <w:rsid w:val="00ED66A0"/>
    <w:rsid w:val="00F12613"/>
    <w:rsid w:val="00F14827"/>
    <w:rsid w:val="00F209FE"/>
    <w:rsid w:val="00F26B9D"/>
    <w:rsid w:val="00F279F6"/>
    <w:rsid w:val="00F27C51"/>
    <w:rsid w:val="00F30026"/>
    <w:rsid w:val="00F53E27"/>
    <w:rsid w:val="00F64CE4"/>
    <w:rsid w:val="00F66CD2"/>
    <w:rsid w:val="00F849E6"/>
    <w:rsid w:val="00F853D6"/>
    <w:rsid w:val="00F91B75"/>
    <w:rsid w:val="00F9403C"/>
    <w:rsid w:val="00F9568B"/>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8C7884"/>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10%20Archive\Data%20Extracts\Cancer%20Screening\01%20Breast\BSA%20DHB%20Reports\12%20March%202017\05%20Peer%20Review%20reports\2017%2005%2012\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66.2</c:v>
                </c:pt>
                <c:pt idx="1">
                  <c:v>66.099999999999994</c:v>
                </c:pt>
                <c:pt idx="2">
                  <c:v>74.900000000000006</c:v>
                </c:pt>
                <c:pt idx="3">
                  <c:v>73.400000000000006</c:v>
                </c:pt>
              </c:numCache>
            </c:numRef>
          </c:val>
          <c:extLst>
            <c:ext xmlns:c16="http://schemas.microsoft.com/office/drawing/2014/chart" uri="{C3380CC4-5D6E-409C-BE32-E72D297353CC}">
              <c16:uniqueId val="{00000000-325A-4AD9-8BD8-E6A02136FC5A}"/>
            </c:ext>
          </c:extLst>
        </c:ser>
        <c:dLbls>
          <c:showLegendKey val="0"/>
          <c:showVal val="0"/>
          <c:showCatName val="0"/>
          <c:showSerName val="0"/>
          <c:showPercent val="0"/>
          <c:showBubbleSize val="0"/>
        </c:dLbls>
        <c:gapWidth val="50"/>
        <c:axId val="758140464"/>
        <c:axId val="75814203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325A-4AD9-8BD8-E6A02136FC5A}"/>
            </c:ext>
          </c:extLst>
        </c:ser>
        <c:dLbls>
          <c:showLegendKey val="0"/>
          <c:showVal val="0"/>
          <c:showCatName val="0"/>
          <c:showSerName val="0"/>
          <c:showPercent val="0"/>
          <c:showBubbleSize val="0"/>
        </c:dLbls>
        <c:marker val="1"/>
        <c:smooth val="0"/>
        <c:axId val="758140464"/>
        <c:axId val="758142032"/>
      </c:lineChart>
      <c:catAx>
        <c:axId val="75814046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8142032"/>
        <c:crosses val="autoZero"/>
        <c:auto val="1"/>
        <c:lblAlgn val="ctr"/>
        <c:lblOffset val="100"/>
        <c:tickLblSkip val="1"/>
        <c:noMultiLvlLbl val="0"/>
      </c:catAx>
      <c:valAx>
        <c:axId val="75814203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814046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Mar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64.599999999999994</c:v>
                </c:pt>
                <c:pt idx="1">
                  <c:v>67.3</c:v>
                </c:pt>
                <c:pt idx="2">
                  <c:v>73.599999999999994</c:v>
                </c:pt>
                <c:pt idx="3">
                  <c:v>72.099999999999994</c:v>
                </c:pt>
              </c:numCache>
            </c:numRef>
          </c:val>
          <c:extLst>
            <c:ext xmlns:c16="http://schemas.microsoft.com/office/drawing/2014/chart" uri="{C3380CC4-5D6E-409C-BE32-E72D297353CC}">
              <c16:uniqueId val="{00000000-D95D-4E97-A79F-01920027F8F7}"/>
            </c:ext>
          </c:extLst>
        </c:ser>
        <c:ser>
          <c:idx val="0"/>
          <c:order val="1"/>
          <c:tx>
            <c:strRef>
              <c:f>Report!$H$40</c:f>
              <c:strCache>
                <c:ptCount val="1"/>
                <c:pt idx="0">
                  <c:v>Mar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67.400000000000006</c:v>
                </c:pt>
                <c:pt idx="1">
                  <c:v>65.900000000000006</c:v>
                </c:pt>
                <c:pt idx="2">
                  <c:v>74.2</c:v>
                </c:pt>
                <c:pt idx="3">
                  <c:v>73</c:v>
                </c:pt>
              </c:numCache>
            </c:numRef>
          </c:val>
          <c:extLst>
            <c:ext xmlns:c16="http://schemas.microsoft.com/office/drawing/2014/chart" uri="{C3380CC4-5D6E-409C-BE32-E72D297353CC}">
              <c16:uniqueId val="{00000001-D95D-4E97-A79F-01920027F8F7}"/>
            </c:ext>
          </c:extLst>
        </c:ser>
        <c:ser>
          <c:idx val="1"/>
          <c:order val="2"/>
          <c:tx>
            <c:strRef>
              <c:f>Report!$H$41</c:f>
              <c:strCache>
                <c:ptCount val="1"/>
                <c:pt idx="0">
                  <c:v>Mar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66.2</c:v>
                </c:pt>
                <c:pt idx="1">
                  <c:v>66.099999999999994</c:v>
                </c:pt>
                <c:pt idx="2">
                  <c:v>74.900000000000006</c:v>
                </c:pt>
                <c:pt idx="3">
                  <c:v>73.400000000000006</c:v>
                </c:pt>
              </c:numCache>
            </c:numRef>
          </c:val>
          <c:extLst>
            <c:ext xmlns:c16="http://schemas.microsoft.com/office/drawing/2014/chart" uri="{C3380CC4-5D6E-409C-BE32-E72D297353CC}">
              <c16:uniqueId val="{00000002-D95D-4E97-A79F-01920027F8F7}"/>
            </c:ext>
          </c:extLst>
        </c:ser>
        <c:dLbls>
          <c:showLegendKey val="0"/>
          <c:showVal val="0"/>
          <c:showCatName val="0"/>
          <c:showSerName val="0"/>
          <c:showPercent val="0"/>
          <c:showBubbleSize val="0"/>
        </c:dLbls>
        <c:gapWidth val="150"/>
        <c:axId val="758145560"/>
        <c:axId val="75814281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D95D-4E97-A79F-01920027F8F7}"/>
            </c:ext>
          </c:extLst>
        </c:ser>
        <c:dLbls>
          <c:showLegendKey val="0"/>
          <c:showVal val="0"/>
          <c:showCatName val="0"/>
          <c:showSerName val="0"/>
          <c:showPercent val="0"/>
          <c:showBubbleSize val="0"/>
        </c:dLbls>
        <c:marker val="1"/>
        <c:smooth val="0"/>
        <c:axId val="758145560"/>
        <c:axId val="758142816"/>
      </c:lineChart>
      <c:catAx>
        <c:axId val="7581455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8142816"/>
        <c:crosses val="autoZero"/>
        <c:auto val="1"/>
        <c:lblAlgn val="ctr"/>
        <c:lblOffset val="100"/>
        <c:noMultiLvlLbl val="0"/>
      </c:catAx>
      <c:valAx>
        <c:axId val="7581428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75814556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70.3</c:v>
                </c:pt>
                <c:pt idx="1">
                  <c:v>63.6</c:v>
                </c:pt>
                <c:pt idx="2">
                  <c:v>57.6</c:v>
                </c:pt>
                <c:pt idx="3">
                  <c:v>62.8</c:v>
                </c:pt>
                <c:pt idx="4">
                  <c:v>57.8</c:v>
                </c:pt>
                <c:pt idx="5">
                  <c:v>62</c:v>
                </c:pt>
                <c:pt idx="6">
                  <c:v>59.7</c:v>
                </c:pt>
                <c:pt idx="7">
                  <c:v>69.3</c:v>
                </c:pt>
                <c:pt idx="8">
                  <c:v>61.1</c:v>
                </c:pt>
                <c:pt idx="9">
                  <c:v>66.2</c:v>
                </c:pt>
                <c:pt idx="10">
                  <c:v>71.400000000000006</c:v>
                </c:pt>
                <c:pt idx="11">
                  <c:v>65.2</c:v>
                </c:pt>
                <c:pt idx="12">
                  <c:v>67.5</c:v>
                </c:pt>
                <c:pt idx="13">
                  <c:v>66.900000000000006</c:v>
                </c:pt>
                <c:pt idx="14">
                  <c:v>69.099999999999994</c:v>
                </c:pt>
                <c:pt idx="15">
                  <c:v>77.3</c:v>
                </c:pt>
                <c:pt idx="16">
                  <c:v>67.7</c:v>
                </c:pt>
                <c:pt idx="17">
                  <c:v>69.2</c:v>
                </c:pt>
                <c:pt idx="18">
                  <c:v>70.900000000000006</c:v>
                </c:pt>
                <c:pt idx="19">
                  <c:v>64.8</c:v>
                </c:pt>
                <c:pt idx="20">
                  <c:v>64.5</c:v>
                </c:pt>
              </c:numCache>
            </c:numRef>
          </c:val>
          <c:extLst>
            <c:ext xmlns:c16="http://schemas.microsoft.com/office/drawing/2014/chart" uri="{C3380CC4-5D6E-409C-BE32-E72D297353CC}">
              <c16:uniqueId val="{00000000-BB16-41DB-9120-8065A5492AC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66.2</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BB16-41DB-9120-8065A5492ACE}"/>
            </c:ext>
          </c:extLst>
        </c:ser>
        <c:dLbls>
          <c:showLegendKey val="0"/>
          <c:showVal val="0"/>
          <c:showCatName val="0"/>
          <c:showSerName val="0"/>
          <c:showPercent val="0"/>
          <c:showBubbleSize val="0"/>
        </c:dLbls>
        <c:gapWidth val="50"/>
        <c:overlap val="100"/>
        <c:axId val="758144384"/>
        <c:axId val="7581447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BB16-41DB-9120-8065A5492ACE}"/>
            </c:ext>
          </c:extLst>
        </c:ser>
        <c:dLbls>
          <c:showLegendKey val="0"/>
          <c:showVal val="0"/>
          <c:showCatName val="0"/>
          <c:showSerName val="0"/>
          <c:showPercent val="0"/>
          <c:showBubbleSize val="0"/>
        </c:dLbls>
        <c:marker val="1"/>
        <c:smooth val="0"/>
        <c:axId val="758144384"/>
        <c:axId val="758144776"/>
      </c:lineChart>
      <c:catAx>
        <c:axId val="758144384"/>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144776"/>
        <c:crosses val="autoZero"/>
        <c:auto val="1"/>
        <c:lblAlgn val="ctr"/>
        <c:lblOffset val="100"/>
        <c:tickLblSkip val="1"/>
        <c:noMultiLvlLbl val="0"/>
      </c:catAx>
      <c:valAx>
        <c:axId val="7581447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75814438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68.3</c:v>
                </c:pt>
                <c:pt idx="1">
                  <c:v>74.099999999999994</c:v>
                </c:pt>
                <c:pt idx="2">
                  <c:v>72.7</c:v>
                </c:pt>
                <c:pt idx="3">
                  <c:v>75.099999999999994</c:v>
                </c:pt>
                <c:pt idx="4">
                  <c:v>58.5</c:v>
                </c:pt>
                <c:pt idx="5">
                  <c:v>64.400000000000006</c:v>
                </c:pt>
                <c:pt idx="6">
                  <c:v>65.3</c:v>
                </c:pt>
                <c:pt idx="7">
                  <c:v>64.400000000000006</c:v>
                </c:pt>
                <c:pt idx="8">
                  <c:v>62.4</c:v>
                </c:pt>
                <c:pt idx="9">
                  <c:v>66.099999999999994</c:v>
                </c:pt>
                <c:pt idx="10">
                  <c:v>70.5</c:v>
                </c:pt>
                <c:pt idx="11">
                  <c:v>66.3</c:v>
                </c:pt>
                <c:pt idx="12">
                  <c:v>68.8</c:v>
                </c:pt>
                <c:pt idx="13">
                  <c:v>69.2</c:v>
                </c:pt>
                <c:pt idx="14">
                  <c:v>71.900000000000006</c:v>
                </c:pt>
                <c:pt idx="15">
                  <c:v>68.099999999999994</c:v>
                </c:pt>
                <c:pt idx="16">
                  <c:v>30</c:v>
                </c:pt>
                <c:pt idx="17">
                  <c:v>64</c:v>
                </c:pt>
                <c:pt idx="18">
                  <c:v>52.9</c:v>
                </c:pt>
                <c:pt idx="19">
                  <c:v>62.3</c:v>
                </c:pt>
                <c:pt idx="20">
                  <c:v>71.900000000000006</c:v>
                </c:pt>
              </c:numCache>
            </c:numRef>
          </c:val>
          <c:extLst>
            <c:ext xmlns:c16="http://schemas.microsoft.com/office/drawing/2014/chart" uri="{C3380CC4-5D6E-409C-BE32-E72D297353CC}">
              <c16:uniqueId val="{00000000-E569-4595-890E-AA97DF70616E}"/>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66.099999999999994</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E569-4595-890E-AA97DF70616E}"/>
            </c:ext>
          </c:extLst>
        </c:ser>
        <c:dLbls>
          <c:showLegendKey val="0"/>
          <c:showVal val="0"/>
          <c:showCatName val="0"/>
          <c:showSerName val="0"/>
          <c:showPercent val="0"/>
          <c:showBubbleSize val="0"/>
        </c:dLbls>
        <c:gapWidth val="50"/>
        <c:overlap val="100"/>
        <c:axId val="987538392"/>
        <c:axId val="9875427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E569-4595-890E-AA97DF70616E}"/>
            </c:ext>
          </c:extLst>
        </c:ser>
        <c:dLbls>
          <c:showLegendKey val="0"/>
          <c:showVal val="0"/>
          <c:showCatName val="0"/>
          <c:showSerName val="0"/>
          <c:showPercent val="0"/>
          <c:showBubbleSize val="0"/>
        </c:dLbls>
        <c:marker val="1"/>
        <c:smooth val="0"/>
        <c:axId val="987538392"/>
        <c:axId val="987542704"/>
      </c:lineChart>
      <c:catAx>
        <c:axId val="9875383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42704"/>
        <c:crosses val="autoZero"/>
        <c:auto val="1"/>
        <c:lblAlgn val="ctr"/>
        <c:lblOffset val="100"/>
        <c:tickLblSkip val="1"/>
        <c:noMultiLvlLbl val="0"/>
      </c:catAx>
      <c:valAx>
        <c:axId val="9875427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383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66.599999999999994</c:v>
                </c:pt>
                <c:pt idx="2">
                  <c:v>63.8</c:v>
                </c:pt>
                <c:pt idx="3">
                  <c:v>67.900000000000006</c:v>
                </c:pt>
                <c:pt idx="4">
                  <c:v>66.900000000000006</c:v>
                </c:pt>
                <c:pt idx="5">
                  <c:v>68.400000000000006</c:v>
                </c:pt>
                <c:pt idx="6">
                  <c:v>68.400000000000006</c:v>
                </c:pt>
                <c:pt idx="7">
                  <c:v>71.2</c:v>
                </c:pt>
                <c:pt idx="8">
                  <c:v>73.900000000000006</c:v>
                </c:pt>
                <c:pt idx="9">
                  <c:v>73.400000000000006</c:v>
                </c:pt>
                <c:pt idx="10">
                  <c:v>77.7</c:v>
                </c:pt>
                <c:pt idx="11">
                  <c:v>76</c:v>
                </c:pt>
                <c:pt idx="12">
                  <c:v>75.099999999999994</c:v>
                </c:pt>
                <c:pt idx="13">
                  <c:v>72.7</c:v>
                </c:pt>
                <c:pt idx="14">
                  <c:v>75.599999999999994</c:v>
                </c:pt>
                <c:pt idx="15">
                  <c:v>80.400000000000006</c:v>
                </c:pt>
                <c:pt idx="16">
                  <c:v>76.099999999999994</c:v>
                </c:pt>
                <c:pt idx="17">
                  <c:v>75.599999999999994</c:v>
                </c:pt>
                <c:pt idx="18">
                  <c:v>77.599999999999994</c:v>
                </c:pt>
                <c:pt idx="19">
                  <c:v>74.400000000000006</c:v>
                </c:pt>
                <c:pt idx="20">
                  <c:v>71.2</c:v>
                </c:pt>
              </c:numCache>
            </c:numRef>
          </c:val>
          <c:extLst>
            <c:ext xmlns:c16="http://schemas.microsoft.com/office/drawing/2014/chart" uri="{C3380CC4-5D6E-409C-BE32-E72D297353CC}">
              <c16:uniqueId val="{00000000-A95A-4B93-8F40-FFCAC28E9C6B}"/>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73.400000000000006</c:v>
                </c:pt>
                <c:pt idx="10">
                  <c:v>#N/A</c:v>
                </c:pt>
                <c:pt idx="11">
                  <c:v>#N/A</c:v>
                </c:pt>
                <c:pt idx="12">
                  <c:v>#N/A</c:v>
                </c:pt>
                <c:pt idx="13">
                  <c:v>#N/A</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A95A-4B93-8F40-FFCAC28E9C6B}"/>
            </c:ext>
          </c:extLst>
        </c:ser>
        <c:dLbls>
          <c:showLegendKey val="0"/>
          <c:showVal val="0"/>
          <c:showCatName val="0"/>
          <c:showSerName val="0"/>
          <c:showPercent val="0"/>
          <c:showBubbleSize val="0"/>
        </c:dLbls>
        <c:gapWidth val="50"/>
        <c:overlap val="100"/>
        <c:axId val="987539960"/>
        <c:axId val="98754035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A95A-4B93-8F40-FFCAC28E9C6B}"/>
            </c:ext>
          </c:extLst>
        </c:ser>
        <c:dLbls>
          <c:showLegendKey val="0"/>
          <c:showVal val="0"/>
          <c:showCatName val="0"/>
          <c:showSerName val="0"/>
          <c:showPercent val="0"/>
          <c:showBubbleSize val="0"/>
        </c:dLbls>
        <c:marker val="1"/>
        <c:smooth val="0"/>
        <c:axId val="987539960"/>
        <c:axId val="987540352"/>
      </c:lineChart>
      <c:catAx>
        <c:axId val="98753996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40352"/>
        <c:crosses val="autoZero"/>
        <c:auto val="1"/>
        <c:lblAlgn val="ctr"/>
        <c:lblOffset val="100"/>
        <c:tickLblSkip val="1"/>
        <c:noMultiLvlLbl val="0"/>
      </c:catAx>
      <c:valAx>
        <c:axId val="9875403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9875399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A54BC-AE08-4FBE-B768-5B446FA9D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1377</Words>
  <Characters>7852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2017-05-12T03:28:00Z</cp:lastPrinted>
  <dcterms:created xsi:type="dcterms:W3CDTF">2023-07-18T00:00:00Z</dcterms:created>
  <dcterms:modified xsi:type="dcterms:W3CDTF">2023-07-18T00:00:00Z</dcterms:modified>
</cp:coreProperties>
</file>