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D092"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874340" w:rsidRPr="00874340">
        <w:rPr>
          <w:rFonts w:cs="Times New Roman"/>
          <w:b/>
          <w:sz w:val="72"/>
        </w:rPr>
        <w:t>Canterbury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EFB5C6A"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C150D25" w14:textId="77777777" w:rsidR="00115CAE" w:rsidRPr="001414CF" w:rsidRDefault="00874340" w:rsidP="00115CAE">
      <w:pPr>
        <w:spacing w:line="264" w:lineRule="auto"/>
        <w:ind w:right="424"/>
        <w:rPr>
          <w:rFonts w:cs="Times New Roman"/>
          <w:sz w:val="56"/>
        </w:rPr>
      </w:pPr>
      <w:r w:rsidRPr="00874340">
        <w:rPr>
          <w:rFonts w:cs="Times New Roman"/>
          <w:sz w:val="56"/>
        </w:rPr>
        <w:t>30 June 2019</w:t>
      </w:r>
    </w:p>
    <w:p w14:paraId="2EA63EF3"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AC9C971"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874340" w:rsidRPr="00874340">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874340" w:rsidRPr="00874340">
        <w:rPr>
          <w:rFonts w:cs="Times New Roman"/>
          <w:i/>
        </w:rPr>
        <w:t>30 June 2019</w:t>
      </w:r>
      <w:r w:rsidRPr="00982FA0">
        <w:rPr>
          <w:rFonts w:cs="Times New Roman"/>
        </w:rPr>
        <w:t>. Wellington: Ministry of Health.</w:t>
      </w:r>
    </w:p>
    <w:p w14:paraId="6A41D3BB"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874340" w:rsidRPr="00874340">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A64AB69" w14:textId="77777777" w:rsidR="00115CAE" w:rsidRPr="00982FA0" w:rsidRDefault="00874340" w:rsidP="00115CAE">
      <w:pPr>
        <w:spacing w:after="240" w:line="264" w:lineRule="auto"/>
        <w:jc w:val="center"/>
        <w:rPr>
          <w:rFonts w:cs="Times New Roman"/>
        </w:rPr>
      </w:pPr>
      <w:r w:rsidRPr="00874340">
        <w:rPr>
          <w:rFonts w:cs="Times New Roman"/>
        </w:rPr>
        <w:t>2422-</w:t>
      </w:r>
      <w:proofErr w:type="gramStart"/>
      <w:r w:rsidRPr="00874340">
        <w:rPr>
          <w:rFonts w:cs="Times New Roman"/>
        </w:rPr>
        <w:t xml:space="preserve">9520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0310CC5D"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367CD0F2" w14:textId="77777777" w:rsidR="00115CAE" w:rsidRPr="00F079BE" w:rsidRDefault="00115CAE" w:rsidP="00115CAE"/>
    <w:p w14:paraId="6D68A07E"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61E1E4AD" w14:textId="77777777" w:rsidR="00115CAE" w:rsidRPr="006A6C59" w:rsidRDefault="00115CAE" w:rsidP="00F66603">
      <w:pPr>
        <w:pStyle w:val="Contentsheading"/>
        <w:spacing w:before="120" w:after="240"/>
        <w:rPr>
          <w:noProof/>
          <w:sz w:val="32"/>
          <w:szCs w:val="32"/>
        </w:rPr>
      </w:pPr>
      <w:r w:rsidRPr="006A6C59">
        <w:rPr>
          <w:noProof/>
          <w:sz w:val="32"/>
          <w:szCs w:val="32"/>
        </w:rPr>
        <w:lastRenderedPageBreak/>
        <w:t>Contents</w:t>
      </w:r>
    </w:p>
    <w:p w14:paraId="320EB80F" w14:textId="77777777" w:rsidR="006A6C59" w:rsidRPr="006A6C59" w:rsidRDefault="00115CAE" w:rsidP="006A6C59">
      <w:pPr>
        <w:pStyle w:val="TOC1"/>
        <w:tabs>
          <w:tab w:val="right" w:leader="dot" w:pos="9345"/>
        </w:tabs>
        <w:spacing w:before="0" w:after="120"/>
        <w:rPr>
          <w:rFonts w:asciiTheme="minorHAnsi" w:hAnsiTheme="minorHAnsi"/>
          <w:noProof/>
          <w:sz w:val="20"/>
          <w:szCs w:val="20"/>
        </w:rPr>
      </w:pPr>
      <w:r w:rsidRPr="006A6C59">
        <w:rPr>
          <w:noProof/>
          <w:sz w:val="20"/>
          <w:szCs w:val="20"/>
        </w:rPr>
        <w:fldChar w:fldCharType="begin"/>
      </w:r>
      <w:r w:rsidRPr="006A6C59">
        <w:rPr>
          <w:noProof/>
          <w:sz w:val="20"/>
          <w:szCs w:val="20"/>
        </w:rPr>
        <w:instrText xml:space="preserve"> TOC \o "2-2" \t "Heading 1,1" </w:instrText>
      </w:r>
      <w:r w:rsidRPr="006A6C59">
        <w:rPr>
          <w:noProof/>
          <w:sz w:val="20"/>
          <w:szCs w:val="20"/>
        </w:rPr>
        <w:fldChar w:fldCharType="separate"/>
      </w:r>
      <w:r w:rsidR="006A6C59" w:rsidRPr="006A6C59">
        <w:rPr>
          <w:noProof/>
          <w:sz w:val="20"/>
          <w:szCs w:val="20"/>
        </w:rPr>
        <w:t>Introduction</w:t>
      </w:r>
      <w:r w:rsidR="006A6C59" w:rsidRPr="006A6C59">
        <w:rPr>
          <w:noProof/>
          <w:sz w:val="20"/>
          <w:szCs w:val="20"/>
        </w:rPr>
        <w:tab/>
      </w:r>
      <w:r w:rsidR="006A6C59" w:rsidRPr="006A6C59">
        <w:rPr>
          <w:noProof/>
          <w:sz w:val="20"/>
          <w:szCs w:val="20"/>
        </w:rPr>
        <w:fldChar w:fldCharType="begin"/>
      </w:r>
      <w:r w:rsidR="006A6C59" w:rsidRPr="006A6C59">
        <w:rPr>
          <w:noProof/>
          <w:sz w:val="20"/>
          <w:szCs w:val="20"/>
        </w:rPr>
        <w:instrText xml:space="preserve"> PAGEREF _Toc14266215 \h </w:instrText>
      </w:r>
      <w:r w:rsidR="006A6C59" w:rsidRPr="006A6C59">
        <w:rPr>
          <w:noProof/>
          <w:sz w:val="20"/>
          <w:szCs w:val="20"/>
        </w:rPr>
      </w:r>
      <w:r w:rsidR="006A6C59" w:rsidRPr="006A6C59">
        <w:rPr>
          <w:noProof/>
          <w:sz w:val="20"/>
          <w:szCs w:val="20"/>
        </w:rPr>
        <w:fldChar w:fldCharType="separate"/>
      </w:r>
      <w:r w:rsidR="002F0FEB">
        <w:rPr>
          <w:noProof/>
          <w:sz w:val="20"/>
          <w:szCs w:val="20"/>
        </w:rPr>
        <w:t>2</w:t>
      </w:r>
      <w:r w:rsidR="006A6C59" w:rsidRPr="006A6C59">
        <w:rPr>
          <w:noProof/>
          <w:sz w:val="20"/>
          <w:szCs w:val="20"/>
        </w:rPr>
        <w:fldChar w:fldCharType="end"/>
      </w:r>
    </w:p>
    <w:p w14:paraId="79B7F0E9" w14:textId="77777777" w:rsidR="006A6C59" w:rsidRPr="006A6C59" w:rsidRDefault="006A6C59" w:rsidP="006A6C59">
      <w:pPr>
        <w:pStyle w:val="TOC1"/>
        <w:tabs>
          <w:tab w:val="right" w:leader="dot" w:pos="9345"/>
        </w:tabs>
        <w:spacing w:before="0" w:after="120"/>
        <w:rPr>
          <w:rFonts w:asciiTheme="minorHAnsi" w:hAnsiTheme="minorHAnsi"/>
          <w:noProof/>
          <w:sz w:val="20"/>
          <w:szCs w:val="20"/>
        </w:rPr>
      </w:pPr>
      <w:r w:rsidRPr="006A6C59">
        <w:rPr>
          <w:noProof/>
          <w:sz w:val="20"/>
          <w:szCs w:val="20"/>
        </w:rPr>
        <w:t>Technical notes</w:t>
      </w:r>
      <w:r w:rsidRPr="006A6C59">
        <w:rPr>
          <w:noProof/>
          <w:sz w:val="20"/>
          <w:szCs w:val="20"/>
        </w:rPr>
        <w:tab/>
      </w:r>
      <w:r w:rsidRPr="006A6C59">
        <w:rPr>
          <w:noProof/>
          <w:sz w:val="20"/>
          <w:szCs w:val="20"/>
        </w:rPr>
        <w:fldChar w:fldCharType="begin"/>
      </w:r>
      <w:r w:rsidRPr="006A6C59">
        <w:rPr>
          <w:noProof/>
          <w:sz w:val="20"/>
          <w:szCs w:val="20"/>
        </w:rPr>
        <w:instrText xml:space="preserve"> PAGEREF _Toc14266216 \h </w:instrText>
      </w:r>
      <w:r w:rsidRPr="006A6C59">
        <w:rPr>
          <w:noProof/>
          <w:sz w:val="20"/>
          <w:szCs w:val="20"/>
        </w:rPr>
      </w:r>
      <w:r w:rsidRPr="006A6C59">
        <w:rPr>
          <w:noProof/>
          <w:sz w:val="20"/>
          <w:szCs w:val="20"/>
        </w:rPr>
        <w:fldChar w:fldCharType="separate"/>
      </w:r>
      <w:r w:rsidR="002F0FEB">
        <w:rPr>
          <w:noProof/>
          <w:sz w:val="20"/>
          <w:szCs w:val="20"/>
        </w:rPr>
        <w:t>4</w:t>
      </w:r>
      <w:r w:rsidRPr="006A6C59">
        <w:rPr>
          <w:noProof/>
          <w:sz w:val="20"/>
          <w:szCs w:val="20"/>
        </w:rPr>
        <w:fldChar w:fldCharType="end"/>
      </w:r>
    </w:p>
    <w:p w14:paraId="20A21634" w14:textId="77777777" w:rsidR="006A6C59" w:rsidRPr="006A6C59" w:rsidRDefault="006A6C59" w:rsidP="006A6C59">
      <w:pPr>
        <w:pStyle w:val="TOC1"/>
        <w:tabs>
          <w:tab w:val="right" w:leader="dot" w:pos="9345"/>
        </w:tabs>
        <w:spacing w:before="0" w:after="120"/>
        <w:rPr>
          <w:rFonts w:asciiTheme="minorHAnsi" w:hAnsiTheme="minorHAnsi"/>
          <w:noProof/>
          <w:sz w:val="20"/>
          <w:szCs w:val="20"/>
        </w:rPr>
      </w:pPr>
      <w:r w:rsidRPr="006A6C59">
        <w:rPr>
          <w:noProof/>
          <w:sz w:val="20"/>
          <w:szCs w:val="20"/>
        </w:rPr>
        <w:t>Canterbury coverage</w:t>
      </w:r>
      <w:r w:rsidRPr="006A6C59">
        <w:rPr>
          <w:noProof/>
          <w:sz w:val="20"/>
          <w:szCs w:val="20"/>
        </w:rPr>
        <w:tab/>
      </w:r>
      <w:r w:rsidRPr="006A6C59">
        <w:rPr>
          <w:noProof/>
          <w:sz w:val="20"/>
          <w:szCs w:val="20"/>
        </w:rPr>
        <w:fldChar w:fldCharType="begin"/>
      </w:r>
      <w:r w:rsidRPr="006A6C59">
        <w:rPr>
          <w:noProof/>
          <w:sz w:val="20"/>
          <w:szCs w:val="20"/>
        </w:rPr>
        <w:instrText xml:space="preserve"> PAGEREF _Toc14266217 \h </w:instrText>
      </w:r>
      <w:r w:rsidRPr="006A6C59">
        <w:rPr>
          <w:noProof/>
          <w:sz w:val="20"/>
          <w:szCs w:val="20"/>
        </w:rPr>
      </w:r>
      <w:r w:rsidRPr="006A6C59">
        <w:rPr>
          <w:noProof/>
          <w:sz w:val="20"/>
          <w:szCs w:val="20"/>
        </w:rPr>
        <w:fldChar w:fldCharType="separate"/>
      </w:r>
      <w:r w:rsidR="002F0FEB">
        <w:rPr>
          <w:noProof/>
          <w:sz w:val="20"/>
          <w:szCs w:val="20"/>
        </w:rPr>
        <w:t>5</w:t>
      </w:r>
      <w:r w:rsidRPr="006A6C59">
        <w:rPr>
          <w:noProof/>
          <w:sz w:val="20"/>
          <w:szCs w:val="20"/>
        </w:rPr>
        <w:fldChar w:fldCharType="end"/>
      </w:r>
    </w:p>
    <w:p w14:paraId="053A909A" w14:textId="77777777" w:rsidR="006A6C59" w:rsidRPr="006A6C59" w:rsidRDefault="006A6C59" w:rsidP="006A6C59">
      <w:pPr>
        <w:pStyle w:val="TOC2"/>
        <w:tabs>
          <w:tab w:val="right" w:leader="dot" w:pos="9345"/>
        </w:tabs>
        <w:spacing w:before="0" w:after="120"/>
        <w:rPr>
          <w:rFonts w:asciiTheme="minorHAnsi" w:hAnsiTheme="minorHAnsi"/>
          <w:noProof/>
          <w:sz w:val="20"/>
          <w:szCs w:val="20"/>
        </w:rPr>
      </w:pPr>
      <w:r w:rsidRPr="006A6C59">
        <w:rPr>
          <w:noProof/>
          <w:sz w:val="20"/>
          <w:szCs w:val="20"/>
        </w:rPr>
        <w:t>Canterbury coverage by ethnicity in the two years ending 30 June 2019</w:t>
      </w:r>
      <w:r w:rsidRPr="006A6C59">
        <w:rPr>
          <w:noProof/>
          <w:sz w:val="20"/>
          <w:szCs w:val="20"/>
        </w:rPr>
        <w:tab/>
      </w:r>
      <w:r w:rsidRPr="006A6C59">
        <w:rPr>
          <w:noProof/>
          <w:sz w:val="20"/>
          <w:szCs w:val="20"/>
        </w:rPr>
        <w:fldChar w:fldCharType="begin"/>
      </w:r>
      <w:r w:rsidRPr="006A6C59">
        <w:rPr>
          <w:noProof/>
          <w:sz w:val="20"/>
          <w:szCs w:val="20"/>
        </w:rPr>
        <w:instrText xml:space="preserve"> PAGEREF _Toc14266218 \h </w:instrText>
      </w:r>
      <w:r w:rsidRPr="006A6C59">
        <w:rPr>
          <w:noProof/>
          <w:sz w:val="20"/>
          <w:szCs w:val="20"/>
        </w:rPr>
      </w:r>
      <w:r w:rsidRPr="006A6C59">
        <w:rPr>
          <w:noProof/>
          <w:sz w:val="20"/>
          <w:szCs w:val="20"/>
        </w:rPr>
        <w:fldChar w:fldCharType="separate"/>
      </w:r>
      <w:r w:rsidR="002F0FEB">
        <w:rPr>
          <w:noProof/>
          <w:sz w:val="20"/>
          <w:szCs w:val="20"/>
        </w:rPr>
        <w:t>5</w:t>
      </w:r>
      <w:r w:rsidRPr="006A6C59">
        <w:rPr>
          <w:noProof/>
          <w:sz w:val="20"/>
          <w:szCs w:val="20"/>
        </w:rPr>
        <w:fldChar w:fldCharType="end"/>
      </w:r>
    </w:p>
    <w:p w14:paraId="32CA10E7" w14:textId="77777777" w:rsidR="006A6C59" w:rsidRPr="006A6C59" w:rsidRDefault="006A6C59" w:rsidP="006A6C59">
      <w:pPr>
        <w:pStyle w:val="TOC2"/>
        <w:tabs>
          <w:tab w:val="right" w:leader="dot" w:pos="9345"/>
        </w:tabs>
        <w:spacing w:before="0" w:after="120"/>
        <w:rPr>
          <w:rFonts w:asciiTheme="minorHAnsi" w:hAnsiTheme="minorHAnsi"/>
          <w:noProof/>
          <w:sz w:val="20"/>
          <w:szCs w:val="20"/>
        </w:rPr>
      </w:pPr>
      <w:r w:rsidRPr="006A6C59">
        <w:rPr>
          <w:noProof/>
          <w:sz w:val="20"/>
          <w:szCs w:val="20"/>
        </w:rPr>
        <w:t>Canterbury coverage trends by ethnicity</w:t>
      </w:r>
      <w:r w:rsidRPr="006A6C59">
        <w:rPr>
          <w:noProof/>
          <w:sz w:val="20"/>
          <w:szCs w:val="20"/>
        </w:rPr>
        <w:tab/>
      </w:r>
      <w:r w:rsidRPr="006A6C59">
        <w:rPr>
          <w:noProof/>
          <w:sz w:val="20"/>
          <w:szCs w:val="20"/>
        </w:rPr>
        <w:fldChar w:fldCharType="begin"/>
      </w:r>
      <w:r w:rsidRPr="006A6C59">
        <w:rPr>
          <w:noProof/>
          <w:sz w:val="20"/>
          <w:szCs w:val="20"/>
        </w:rPr>
        <w:instrText xml:space="preserve"> PAGEREF _Toc14266219 \h </w:instrText>
      </w:r>
      <w:r w:rsidRPr="006A6C59">
        <w:rPr>
          <w:noProof/>
          <w:sz w:val="20"/>
          <w:szCs w:val="20"/>
        </w:rPr>
      </w:r>
      <w:r w:rsidRPr="006A6C59">
        <w:rPr>
          <w:noProof/>
          <w:sz w:val="20"/>
          <w:szCs w:val="20"/>
        </w:rPr>
        <w:fldChar w:fldCharType="separate"/>
      </w:r>
      <w:r w:rsidR="002F0FEB">
        <w:rPr>
          <w:noProof/>
          <w:sz w:val="20"/>
          <w:szCs w:val="20"/>
        </w:rPr>
        <w:t>6</w:t>
      </w:r>
      <w:r w:rsidRPr="006A6C59">
        <w:rPr>
          <w:noProof/>
          <w:sz w:val="20"/>
          <w:szCs w:val="20"/>
        </w:rPr>
        <w:fldChar w:fldCharType="end"/>
      </w:r>
    </w:p>
    <w:p w14:paraId="0CF74729" w14:textId="77777777" w:rsidR="006A6C59" w:rsidRPr="006A6C59" w:rsidRDefault="006A6C59" w:rsidP="006A6C59">
      <w:pPr>
        <w:pStyle w:val="TOC2"/>
        <w:tabs>
          <w:tab w:val="right" w:leader="dot" w:pos="9345"/>
        </w:tabs>
        <w:spacing w:before="0" w:after="120"/>
        <w:rPr>
          <w:rFonts w:asciiTheme="minorHAnsi" w:hAnsiTheme="minorHAnsi"/>
          <w:noProof/>
          <w:sz w:val="20"/>
          <w:szCs w:val="20"/>
        </w:rPr>
      </w:pPr>
      <w:r w:rsidRPr="006A6C59">
        <w:rPr>
          <w:noProof/>
          <w:sz w:val="20"/>
          <w:szCs w:val="20"/>
        </w:rPr>
        <w:t>Number of Initial Rescreens by Ethnicity</w:t>
      </w:r>
      <w:r w:rsidRPr="006A6C59">
        <w:rPr>
          <w:noProof/>
          <w:sz w:val="20"/>
          <w:szCs w:val="20"/>
        </w:rPr>
        <w:tab/>
      </w:r>
      <w:r w:rsidRPr="006A6C59">
        <w:rPr>
          <w:noProof/>
          <w:sz w:val="20"/>
          <w:szCs w:val="20"/>
        </w:rPr>
        <w:fldChar w:fldCharType="begin"/>
      </w:r>
      <w:r w:rsidRPr="006A6C59">
        <w:rPr>
          <w:noProof/>
          <w:sz w:val="20"/>
          <w:szCs w:val="20"/>
        </w:rPr>
        <w:instrText xml:space="preserve"> PAGEREF _Toc14266220 \h </w:instrText>
      </w:r>
      <w:r w:rsidRPr="006A6C59">
        <w:rPr>
          <w:noProof/>
          <w:sz w:val="20"/>
          <w:szCs w:val="20"/>
        </w:rPr>
      </w:r>
      <w:r w:rsidRPr="006A6C59">
        <w:rPr>
          <w:noProof/>
          <w:sz w:val="20"/>
          <w:szCs w:val="20"/>
        </w:rPr>
        <w:fldChar w:fldCharType="separate"/>
      </w:r>
      <w:r w:rsidR="002F0FEB">
        <w:rPr>
          <w:noProof/>
          <w:sz w:val="20"/>
          <w:szCs w:val="20"/>
        </w:rPr>
        <w:t>7</w:t>
      </w:r>
      <w:r w:rsidRPr="006A6C59">
        <w:rPr>
          <w:noProof/>
          <w:sz w:val="20"/>
          <w:szCs w:val="20"/>
        </w:rPr>
        <w:fldChar w:fldCharType="end"/>
      </w:r>
    </w:p>
    <w:p w14:paraId="0571B030" w14:textId="77777777" w:rsidR="006A6C59" w:rsidRPr="006A6C59" w:rsidRDefault="006A6C59" w:rsidP="006A6C59">
      <w:pPr>
        <w:pStyle w:val="TOC1"/>
        <w:tabs>
          <w:tab w:val="right" w:leader="dot" w:pos="9345"/>
        </w:tabs>
        <w:spacing w:before="0" w:after="120"/>
        <w:rPr>
          <w:rFonts w:asciiTheme="minorHAnsi" w:hAnsiTheme="minorHAnsi"/>
          <w:noProof/>
          <w:sz w:val="20"/>
          <w:szCs w:val="20"/>
        </w:rPr>
      </w:pPr>
      <w:r w:rsidRPr="006A6C59">
        <w:rPr>
          <w:noProof/>
          <w:sz w:val="20"/>
          <w:szCs w:val="20"/>
        </w:rPr>
        <w:t>DHB coverage comparisons</w:t>
      </w:r>
      <w:r w:rsidRPr="006A6C59">
        <w:rPr>
          <w:noProof/>
          <w:sz w:val="20"/>
          <w:szCs w:val="20"/>
        </w:rPr>
        <w:tab/>
      </w:r>
      <w:r w:rsidRPr="006A6C59">
        <w:rPr>
          <w:noProof/>
          <w:sz w:val="20"/>
          <w:szCs w:val="20"/>
        </w:rPr>
        <w:fldChar w:fldCharType="begin"/>
      </w:r>
      <w:r w:rsidRPr="006A6C59">
        <w:rPr>
          <w:noProof/>
          <w:sz w:val="20"/>
          <w:szCs w:val="20"/>
        </w:rPr>
        <w:instrText xml:space="preserve"> PAGEREF _Toc14266221 \h </w:instrText>
      </w:r>
      <w:r w:rsidRPr="006A6C59">
        <w:rPr>
          <w:noProof/>
          <w:sz w:val="20"/>
          <w:szCs w:val="20"/>
        </w:rPr>
      </w:r>
      <w:r w:rsidRPr="006A6C59">
        <w:rPr>
          <w:noProof/>
          <w:sz w:val="20"/>
          <w:szCs w:val="20"/>
        </w:rPr>
        <w:fldChar w:fldCharType="separate"/>
      </w:r>
      <w:r w:rsidR="002F0FEB">
        <w:rPr>
          <w:noProof/>
          <w:sz w:val="20"/>
          <w:szCs w:val="20"/>
        </w:rPr>
        <w:t>8</w:t>
      </w:r>
      <w:r w:rsidRPr="006A6C59">
        <w:rPr>
          <w:noProof/>
          <w:sz w:val="20"/>
          <w:szCs w:val="20"/>
        </w:rPr>
        <w:fldChar w:fldCharType="end"/>
      </w:r>
    </w:p>
    <w:p w14:paraId="7580CF11" w14:textId="77777777" w:rsidR="006A6C59" w:rsidRPr="006A6C59" w:rsidRDefault="006A6C59" w:rsidP="006A6C59">
      <w:pPr>
        <w:pStyle w:val="TOC2"/>
        <w:tabs>
          <w:tab w:val="right" w:leader="dot" w:pos="9345"/>
        </w:tabs>
        <w:spacing w:before="0" w:after="120"/>
        <w:rPr>
          <w:rFonts w:asciiTheme="minorHAnsi" w:hAnsiTheme="minorHAnsi"/>
          <w:noProof/>
          <w:sz w:val="20"/>
          <w:szCs w:val="20"/>
        </w:rPr>
      </w:pPr>
      <w:r w:rsidRPr="006A6C59">
        <w:rPr>
          <w:noProof/>
          <w:sz w:val="20"/>
          <w:szCs w:val="20"/>
        </w:rPr>
        <w:t>DHB coverage by ethnicity in the two years ending 30 June 2019</w:t>
      </w:r>
      <w:r w:rsidRPr="006A6C59">
        <w:rPr>
          <w:noProof/>
          <w:sz w:val="20"/>
          <w:szCs w:val="20"/>
        </w:rPr>
        <w:tab/>
      </w:r>
      <w:r w:rsidRPr="006A6C59">
        <w:rPr>
          <w:noProof/>
          <w:sz w:val="20"/>
          <w:szCs w:val="20"/>
        </w:rPr>
        <w:fldChar w:fldCharType="begin"/>
      </w:r>
      <w:r w:rsidRPr="006A6C59">
        <w:rPr>
          <w:noProof/>
          <w:sz w:val="20"/>
          <w:szCs w:val="20"/>
        </w:rPr>
        <w:instrText xml:space="preserve"> PAGEREF _Toc14266222 \h </w:instrText>
      </w:r>
      <w:r w:rsidRPr="006A6C59">
        <w:rPr>
          <w:noProof/>
          <w:sz w:val="20"/>
          <w:szCs w:val="20"/>
        </w:rPr>
      </w:r>
      <w:r w:rsidRPr="006A6C59">
        <w:rPr>
          <w:noProof/>
          <w:sz w:val="20"/>
          <w:szCs w:val="20"/>
        </w:rPr>
        <w:fldChar w:fldCharType="separate"/>
      </w:r>
      <w:r w:rsidR="002F0FEB">
        <w:rPr>
          <w:noProof/>
          <w:sz w:val="20"/>
          <w:szCs w:val="20"/>
        </w:rPr>
        <w:t>8</w:t>
      </w:r>
      <w:r w:rsidRPr="006A6C59">
        <w:rPr>
          <w:noProof/>
          <w:sz w:val="20"/>
          <w:szCs w:val="20"/>
        </w:rPr>
        <w:fldChar w:fldCharType="end"/>
      </w:r>
    </w:p>
    <w:p w14:paraId="6994B0C4" w14:textId="77777777" w:rsidR="006A6C59" w:rsidRPr="006A6C59" w:rsidRDefault="006A6C59" w:rsidP="006A6C59">
      <w:pPr>
        <w:pStyle w:val="TOC2"/>
        <w:tabs>
          <w:tab w:val="right" w:leader="dot" w:pos="9345"/>
        </w:tabs>
        <w:spacing w:before="0" w:after="120"/>
        <w:rPr>
          <w:rFonts w:asciiTheme="minorHAnsi" w:hAnsiTheme="minorHAnsi"/>
          <w:noProof/>
          <w:sz w:val="20"/>
          <w:szCs w:val="20"/>
        </w:rPr>
      </w:pPr>
      <w:r w:rsidRPr="006A6C59">
        <w:rPr>
          <w:noProof/>
          <w:sz w:val="20"/>
          <w:szCs w:val="20"/>
        </w:rPr>
        <w:t>DHB coverage comparison trends by ethnicity</w:t>
      </w:r>
      <w:r w:rsidRPr="006A6C59">
        <w:rPr>
          <w:noProof/>
          <w:sz w:val="20"/>
          <w:szCs w:val="20"/>
        </w:rPr>
        <w:tab/>
      </w:r>
      <w:r w:rsidRPr="006A6C59">
        <w:rPr>
          <w:noProof/>
          <w:sz w:val="20"/>
          <w:szCs w:val="20"/>
        </w:rPr>
        <w:fldChar w:fldCharType="begin"/>
      </w:r>
      <w:r w:rsidRPr="006A6C59">
        <w:rPr>
          <w:noProof/>
          <w:sz w:val="20"/>
          <w:szCs w:val="20"/>
        </w:rPr>
        <w:instrText xml:space="preserve"> PAGEREF _Toc14266223 \h </w:instrText>
      </w:r>
      <w:r w:rsidRPr="006A6C59">
        <w:rPr>
          <w:noProof/>
          <w:sz w:val="20"/>
          <w:szCs w:val="20"/>
        </w:rPr>
      </w:r>
      <w:r w:rsidRPr="006A6C59">
        <w:rPr>
          <w:noProof/>
          <w:sz w:val="20"/>
          <w:szCs w:val="20"/>
        </w:rPr>
        <w:fldChar w:fldCharType="separate"/>
      </w:r>
      <w:r w:rsidR="002F0FEB">
        <w:rPr>
          <w:noProof/>
          <w:sz w:val="20"/>
          <w:szCs w:val="20"/>
        </w:rPr>
        <w:t>14</w:t>
      </w:r>
      <w:r w:rsidRPr="006A6C59">
        <w:rPr>
          <w:noProof/>
          <w:sz w:val="20"/>
          <w:szCs w:val="20"/>
        </w:rPr>
        <w:fldChar w:fldCharType="end"/>
      </w:r>
    </w:p>
    <w:p w14:paraId="084E3722" w14:textId="77777777" w:rsidR="00115CAE" w:rsidRPr="006A6C59" w:rsidRDefault="00115CAE" w:rsidP="006A6C59">
      <w:pPr>
        <w:spacing w:after="120"/>
        <w:rPr>
          <w:b/>
          <w:noProof/>
          <w:sz w:val="20"/>
          <w:szCs w:val="20"/>
        </w:rPr>
      </w:pPr>
      <w:r w:rsidRPr="006A6C59">
        <w:rPr>
          <w:noProof/>
          <w:sz w:val="20"/>
          <w:szCs w:val="20"/>
        </w:rPr>
        <w:fldChar w:fldCharType="end"/>
      </w:r>
      <w:r w:rsidRPr="006A6C59">
        <w:rPr>
          <w:b/>
          <w:noProof/>
          <w:sz w:val="20"/>
          <w:szCs w:val="20"/>
        </w:rPr>
        <w:t>List of tables</w:t>
      </w:r>
    </w:p>
    <w:p w14:paraId="3BA5C45B" w14:textId="77777777" w:rsidR="006A6C59" w:rsidRPr="006A6C59" w:rsidRDefault="00115CAE">
      <w:pPr>
        <w:pStyle w:val="TOC3"/>
        <w:tabs>
          <w:tab w:val="right" w:leader="dot" w:pos="9345"/>
        </w:tabs>
        <w:rPr>
          <w:rFonts w:asciiTheme="minorHAnsi" w:hAnsiTheme="minorHAnsi"/>
          <w:noProof/>
          <w:sz w:val="20"/>
          <w:szCs w:val="20"/>
        </w:rPr>
      </w:pPr>
      <w:r w:rsidRPr="006A6C59">
        <w:rPr>
          <w:noProof/>
          <w:sz w:val="20"/>
          <w:szCs w:val="20"/>
        </w:rPr>
        <w:fldChar w:fldCharType="begin"/>
      </w:r>
      <w:r w:rsidRPr="006A6C59">
        <w:rPr>
          <w:noProof/>
          <w:sz w:val="20"/>
          <w:szCs w:val="20"/>
        </w:rPr>
        <w:instrText xml:space="preserve"> TOC \t "Table,3" </w:instrText>
      </w:r>
      <w:r w:rsidRPr="006A6C59">
        <w:rPr>
          <w:noProof/>
          <w:sz w:val="20"/>
          <w:szCs w:val="20"/>
        </w:rPr>
        <w:fldChar w:fldCharType="separate"/>
      </w:r>
      <w:r w:rsidR="006A6C59" w:rsidRPr="006A6C59">
        <w:rPr>
          <w:noProof/>
          <w:sz w:val="20"/>
          <w:szCs w:val="20"/>
        </w:rPr>
        <w:t>Table 1: BSA coverage (%) in the two years ending 30 June 2019 by ethnicity, women aged 50–69 years, Total Coverage</w:t>
      </w:r>
      <w:r w:rsidR="006A6C59" w:rsidRPr="006A6C59">
        <w:rPr>
          <w:noProof/>
          <w:sz w:val="20"/>
          <w:szCs w:val="20"/>
        </w:rPr>
        <w:tab/>
      </w:r>
      <w:r w:rsidR="006A6C59" w:rsidRPr="006A6C59">
        <w:rPr>
          <w:noProof/>
          <w:sz w:val="20"/>
          <w:szCs w:val="20"/>
        </w:rPr>
        <w:fldChar w:fldCharType="begin"/>
      </w:r>
      <w:r w:rsidR="006A6C59" w:rsidRPr="006A6C59">
        <w:rPr>
          <w:noProof/>
          <w:sz w:val="20"/>
          <w:szCs w:val="20"/>
        </w:rPr>
        <w:instrText xml:space="preserve"> PAGEREF _Toc14266224 \h </w:instrText>
      </w:r>
      <w:r w:rsidR="006A6C59" w:rsidRPr="006A6C59">
        <w:rPr>
          <w:noProof/>
          <w:sz w:val="20"/>
          <w:szCs w:val="20"/>
        </w:rPr>
      </w:r>
      <w:r w:rsidR="006A6C59" w:rsidRPr="006A6C59">
        <w:rPr>
          <w:noProof/>
          <w:sz w:val="20"/>
          <w:szCs w:val="20"/>
        </w:rPr>
        <w:fldChar w:fldCharType="separate"/>
      </w:r>
      <w:r w:rsidR="002F0FEB">
        <w:rPr>
          <w:noProof/>
          <w:sz w:val="20"/>
          <w:szCs w:val="20"/>
        </w:rPr>
        <w:t>5</w:t>
      </w:r>
      <w:r w:rsidR="006A6C59" w:rsidRPr="006A6C59">
        <w:rPr>
          <w:noProof/>
          <w:sz w:val="20"/>
          <w:szCs w:val="20"/>
        </w:rPr>
        <w:fldChar w:fldCharType="end"/>
      </w:r>
    </w:p>
    <w:p w14:paraId="616AA8F4" w14:textId="77777777" w:rsidR="006A6C59" w:rsidRPr="006A6C59" w:rsidRDefault="006A6C59">
      <w:pPr>
        <w:pStyle w:val="TOC3"/>
        <w:tabs>
          <w:tab w:val="right" w:leader="dot" w:pos="9345"/>
        </w:tabs>
        <w:rPr>
          <w:rFonts w:asciiTheme="minorHAnsi" w:hAnsiTheme="minorHAnsi"/>
          <w:noProof/>
          <w:sz w:val="20"/>
          <w:szCs w:val="20"/>
        </w:rPr>
      </w:pPr>
      <w:r w:rsidRPr="006A6C59">
        <w:rPr>
          <w:noProof/>
          <w:sz w:val="20"/>
          <w:szCs w:val="20"/>
        </w:rPr>
        <w:t>Table 2: BSA number of screens in women aged 50–69 years by ethnicity and quarter, Quarter 2 2017 –Quarter 2 2019</w:t>
      </w:r>
      <w:r w:rsidRPr="006A6C59">
        <w:rPr>
          <w:noProof/>
          <w:sz w:val="20"/>
          <w:szCs w:val="20"/>
        </w:rPr>
        <w:tab/>
      </w:r>
      <w:r w:rsidRPr="006A6C59">
        <w:rPr>
          <w:noProof/>
          <w:sz w:val="20"/>
          <w:szCs w:val="20"/>
        </w:rPr>
        <w:fldChar w:fldCharType="begin"/>
      </w:r>
      <w:r w:rsidRPr="006A6C59">
        <w:rPr>
          <w:noProof/>
          <w:sz w:val="20"/>
          <w:szCs w:val="20"/>
        </w:rPr>
        <w:instrText xml:space="preserve"> PAGEREF _Toc14266225 \h </w:instrText>
      </w:r>
      <w:r w:rsidRPr="006A6C59">
        <w:rPr>
          <w:noProof/>
          <w:sz w:val="20"/>
          <w:szCs w:val="20"/>
        </w:rPr>
      </w:r>
      <w:r w:rsidRPr="006A6C59">
        <w:rPr>
          <w:noProof/>
          <w:sz w:val="20"/>
          <w:szCs w:val="20"/>
        </w:rPr>
        <w:fldChar w:fldCharType="separate"/>
      </w:r>
      <w:r w:rsidR="002F0FEB">
        <w:rPr>
          <w:noProof/>
          <w:sz w:val="20"/>
          <w:szCs w:val="20"/>
        </w:rPr>
        <w:t>6</w:t>
      </w:r>
      <w:r w:rsidRPr="006A6C59">
        <w:rPr>
          <w:noProof/>
          <w:sz w:val="20"/>
          <w:szCs w:val="20"/>
        </w:rPr>
        <w:fldChar w:fldCharType="end"/>
      </w:r>
    </w:p>
    <w:p w14:paraId="53E086EF" w14:textId="77777777" w:rsidR="006A6C59" w:rsidRPr="006A6C59" w:rsidRDefault="006A6C59">
      <w:pPr>
        <w:pStyle w:val="TOC3"/>
        <w:tabs>
          <w:tab w:val="right" w:leader="dot" w:pos="9345"/>
        </w:tabs>
        <w:rPr>
          <w:rFonts w:asciiTheme="minorHAnsi" w:hAnsiTheme="minorHAnsi"/>
          <w:noProof/>
          <w:sz w:val="20"/>
          <w:szCs w:val="20"/>
        </w:rPr>
      </w:pPr>
      <w:r w:rsidRPr="006A6C59">
        <w:rPr>
          <w:noProof/>
          <w:sz w:val="20"/>
          <w:szCs w:val="20"/>
        </w:rPr>
        <w:t>Table 3: BSA number of eligible screens and initial rescreens for women aged 50–67 years by ethnicity for the rescreen period 1 April 2017 to 30 June 2019 (eligible period 1 April 2015 to 30 June 2017)</w:t>
      </w:r>
      <w:r w:rsidRPr="006A6C59">
        <w:rPr>
          <w:noProof/>
          <w:sz w:val="20"/>
          <w:szCs w:val="20"/>
        </w:rPr>
        <w:tab/>
      </w:r>
      <w:r w:rsidRPr="006A6C59">
        <w:rPr>
          <w:noProof/>
          <w:sz w:val="20"/>
          <w:szCs w:val="20"/>
        </w:rPr>
        <w:fldChar w:fldCharType="begin"/>
      </w:r>
      <w:r w:rsidRPr="006A6C59">
        <w:rPr>
          <w:noProof/>
          <w:sz w:val="20"/>
          <w:szCs w:val="20"/>
        </w:rPr>
        <w:instrText xml:space="preserve"> PAGEREF _Toc14266226 \h </w:instrText>
      </w:r>
      <w:r w:rsidRPr="006A6C59">
        <w:rPr>
          <w:noProof/>
          <w:sz w:val="20"/>
          <w:szCs w:val="20"/>
        </w:rPr>
      </w:r>
      <w:r w:rsidRPr="006A6C59">
        <w:rPr>
          <w:noProof/>
          <w:sz w:val="20"/>
          <w:szCs w:val="20"/>
        </w:rPr>
        <w:fldChar w:fldCharType="separate"/>
      </w:r>
      <w:r w:rsidR="002F0FEB">
        <w:rPr>
          <w:noProof/>
          <w:sz w:val="20"/>
          <w:szCs w:val="20"/>
        </w:rPr>
        <w:t>7</w:t>
      </w:r>
      <w:r w:rsidRPr="006A6C59">
        <w:rPr>
          <w:noProof/>
          <w:sz w:val="20"/>
          <w:szCs w:val="20"/>
        </w:rPr>
        <w:fldChar w:fldCharType="end"/>
      </w:r>
    </w:p>
    <w:p w14:paraId="67A5670C" w14:textId="77777777" w:rsidR="006A6C59" w:rsidRPr="006A6C59" w:rsidRDefault="006A6C59">
      <w:pPr>
        <w:pStyle w:val="TOC3"/>
        <w:tabs>
          <w:tab w:val="right" w:leader="dot" w:pos="9345"/>
        </w:tabs>
        <w:rPr>
          <w:rFonts w:asciiTheme="minorHAnsi" w:hAnsiTheme="minorHAnsi"/>
          <w:noProof/>
          <w:sz w:val="20"/>
          <w:szCs w:val="20"/>
        </w:rPr>
      </w:pPr>
      <w:r w:rsidRPr="006A6C59">
        <w:rPr>
          <w:noProof/>
          <w:sz w:val="20"/>
          <w:szCs w:val="20"/>
        </w:rPr>
        <w:t>Table 4: BSA number of screens and coverage (%) in women aged 50–69 years in the two years ending 30 June 2019 by District Health Board</w:t>
      </w:r>
      <w:r w:rsidRPr="006A6C59">
        <w:rPr>
          <w:noProof/>
          <w:sz w:val="20"/>
          <w:szCs w:val="20"/>
        </w:rPr>
        <w:tab/>
      </w:r>
      <w:r w:rsidRPr="006A6C59">
        <w:rPr>
          <w:noProof/>
          <w:sz w:val="20"/>
          <w:szCs w:val="20"/>
        </w:rPr>
        <w:fldChar w:fldCharType="begin"/>
      </w:r>
      <w:r w:rsidRPr="006A6C59">
        <w:rPr>
          <w:noProof/>
          <w:sz w:val="20"/>
          <w:szCs w:val="20"/>
        </w:rPr>
        <w:instrText xml:space="preserve"> PAGEREF _Toc14266227 \h </w:instrText>
      </w:r>
      <w:r w:rsidRPr="006A6C59">
        <w:rPr>
          <w:noProof/>
          <w:sz w:val="20"/>
          <w:szCs w:val="20"/>
        </w:rPr>
      </w:r>
      <w:r w:rsidRPr="006A6C59">
        <w:rPr>
          <w:noProof/>
          <w:sz w:val="20"/>
          <w:szCs w:val="20"/>
        </w:rPr>
        <w:fldChar w:fldCharType="separate"/>
      </w:r>
      <w:r w:rsidR="002F0FEB">
        <w:rPr>
          <w:noProof/>
          <w:sz w:val="20"/>
          <w:szCs w:val="20"/>
        </w:rPr>
        <w:t>13</w:t>
      </w:r>
      <w:r w:rsidRPr="006A6C59">
        <w:rPr>
          <w:noProof/>
          <w:sz w:val="20"/>
          <w:szCs w:val="20"/>
        </w:rPr>
        <w:fldChar w:fldCharType="end"/>
      </w:r>
    </w:p>
    <w:p w14:paraId="4F6F2A99" w14:textId="77777777" w:rsidR="006A6C59" w:rsidRPr="006A6C59" w:rsidRDefault="006A6C59">
      <w:pPr>
        <w:pStyle w:val="TOC3"/>
        <w:tabs>
          <w:tab w:val="right" w:leader="dot" w:pos="9345"/>
        </w:tabs>
        <w:rPr>
          <w:rFonts w:asciiTheme="minorHAnsi" w:hAnsiTheme="minorHAnsi"/>
          <w:noProof/>
          <w:sz w:val="20"/>
          <w:szCs w:val="20"/>
        </w:rPr>
      </w:pPr>
      <w:r w:rsidRPr="006A6C59">
        <w:rPr>
          <w:noProof/>
          <w:sz w:val="20"/>
          <w:szCs w:val="20"/>
        </w:rPr>
        <w:t>Table 5: BSA coverage (%) of women aged 50–69 years in the two years ending 30 June, 2017, 2018, 2019, by ethnicity and District Health Board</w:t>
      </w:r>
      <w:r w:rsidRPr="006A6C59">
        <w:rPr>
          <w:noProof/>
          <w:sz w:val="20"/>
          <w:szCs w:val="20"/>
        </w:rPr>
        <w:tab/>
      </w:r>
      <w:r w:rsidRPr="006A6C59">
        <w:rPr>
          <w:noProof/>
          <w:sz w:val="20"/>
          <w:szCs w:val="20"/>
        </w:rPr>
        <w:fldChar w:fldCharType="begin"/>
      </w:r>
      <w:r w:rsidRPr="006A6C59">
        <w:rPr>
          <w:noProof/>
          <w:sz w:val="20"/>
          <w:szCs w:val="20"/>
        </w:rPr>
        <w:instrText xml:space="preserve"> PAGEREF _Toc14266228 \h </w:instrText>
      </w:r>
      <w:r w:rsidRPr="006A6C59">
        <w:rPr>
          <w:noProof/>
          <w:sz w:val="20"/>
          <w:szCs w:val="20"/>
        </w:rPr>
      </w:r>
      <w:r w:rsidRPr="006A6C59">
        <w:rPr>
          <w:noProof/>
          <w:sz w:val="20"/>
          <w:szCs w:val="20"/>
        </w:rPr>
        <w:fldChar w:fldCharType="separate"/>
      </w:r>
      <w:r w:rsidR="002F0FEB">
        <w:rPr>
          <w:noProof/>
          <w:sz w:val="20"/>
          <w:szCs w:val="20"/>
        </w:rPr>
        <w:t>14</w:t>
      </w:r>
      <w:r w:rsidRPr="006A6C59">
        <w:rPr>
          <w:noProof/>
          <w:sz w:val="20"/>
          <w:szCs w:val="20"/>
        </w:rPr>
        <w:fldChar w:fldCharType="end"/>
      </w:r>
    </w:p>
    <w:p w14:paraId="76C2175B" w14:textId="77777777" w:rsidR="00115CAE" w:rsidRPr="006A6C59" w:rsidRDefault="00115CAE" w:rsidP="00BF27D3">
      <w:pPr>
        <w:spacing w:before="120"/>
        <w:rPr>
          <w:b/>
          <w:noProof/>
          <w:sz w:val="20"/>
          <w:szCs w:val="20"/>
        </w:rPr>
      </w:pPr>
      <w:r w:rsidRPr="006A6C59">
        <w:rPr>
          <w:noProof/>
          <w:sz w:val="20"/>
          <w:szCs w:val="20"/>
        </w:rPr>
        <w:fldChar w:fldCharType="end"/>
      </w:r>
      <w:r w:rsidRPr="006A6C59">
        <w:rPr>
          <w:b/>
          <w:noProof/>
          <w:sz w:val="20"/>
          <w:szCs w:val="20"/>
        </w:rPr>
        <w:t>List of figures</w:t>
      </w:r>
    </w:p>
    <w:p w14:paraId="0F06EDDB" w14:textId="77777777" w:rsidR="00ED045E" w:rsidRPr="00ED045E" w:rsidRDefault="00115CAE">
      <w:pPr>
        <w:pStyle w:val="TOC3"/>
        <w:tabs>
          <w:tab w:val="right" w:leader="dot" w:pos="9345"/>
        </w:tabs>
        <w:rPr>
          <w:rFonts w:asciiTheme="minorHAnsi" w:hAnsiTheme="minorHAnsi"/>
          <w:noProof/>
          <w:sz w:val="20"/>
          <w:szCs w:val="20"/>
        </w:rPr>
      </w:pPr>
      <w:r w:rsidRPr="00ED045E">
        <w:rPr>
          <w:noProof/>
          <w:sz w:val="20"/>
          <w:szCs w:val="20"/>
        </w:rPr>
        <w:fldChar w:fldCharType="begin"/>
      </w:r>
      <w:r w:rsidRPr="00ED045E">
        <w:rPr>
          <w:noProof/>
          <w:sz w:val="20"/>
          <w:szCs w:val="20"/>
        </w:rPr>
        <w:instrText xml:space="preserve"> TOC \t "Figure,3" </w:instrText>
      </w:r>
      <w:r w:rsidRPr="00ED045E">
        <w:rPr>
          <w:noProof/>
          <w:sz w:val="20"/>
          <w:szCs w:val="20"/>
        </w:rPr>
        <w:fldChar w:fldCharType="separate"/>
      </w:r>
      <w:r w:rsidR="00ED045E" w:rsidRPr="00ED045E">
        <w:rPr>
          <w:noProof/>
          <w:sz w:val="20"/>
          <w:szCs w:val="20"/>
        </w:rPr>
        <w:t>Figure 1: BSA coverage (%) in the two years ending 30 June 2019 by ethnicity, women aged 50–69 years, Total Coverage</w:t>
      </w:r>
      <w:r w:rsidR="00ED045E" w:rsidRPr="00ED045E">
        <w:rPr>
          <w:noProof/>
          <w:sz w:val="20"/>
          <w:szCs w:val="20"/>
        </w:rPr>
        <w:tab/>
      </w:r>
      <w:r w:rsidR="00ED045E" w:rsidRPr="00ED045E">
        <w:rPr>
          <w:noProof/>
          <w:sz w:val="20"/>
          <w:szCs w:val="20"/>
        </w:rPr>
        <w:fldChar w:fldCharType="begin"/>
      </w:r>
      <w:r w:rsidR="00ED045E" w:rsidRPr="00ED045E">
        <w:rPr>
          <w:noProof/>
          <w:sz w:val="20"/>
          <w:szCs w:val="20"/>
        </w:rPr>
        <w:instrText xml:space="preserve"> PAGEREF _Toc14339403 \h </w:instrText>
      </w:r>
      <w:r w:rsidR="00ED045E" w:rsidRPr="00ED045E">
        <w:rPr>
          <w:noProof/>
          <w:sz w:val="20"/>
          <w:szCs w:val="20"/>
        </w:rPr>
      </w:r>
      <w:r w:rsidR="00ED045E" w:rsidRPr="00ED045E">
        <w:rPr>
          <w:noProof/>
          <w:sz w:val="20"/>
          <w:szCs w:val="20"/>
        </w:rPr>
        <w:fldChar w:fldCharType="separate"/>
      </w:r>
      <w:r w:rsidR="002F0FEB">
        <w:rPr>
          <w:noProof/>
          <w:sz w:val="20"/>
          <w:szCs w:val="20"/>
        </w:rPr>
        <w:t>5</w:t>
      </w:r>
      <w:r w:rsidR="00ED045E" w:rsidRPr="00ED045E">
        <w:rPr>
          <w:noProof/>
          <w:sz w:val="20"/>
          <w:szCs w:val="20"/>
        </w:rPr>
        <w:fldChar w:fldCharType="end"/>
      </w:r>
    </w:p>
    <w:p w14:paraId="17DF9E56" w14:textId="77777777" w:rsidR="00ED045E" w:rsidRPr="00ED045E" w:rsidRDefault="00ED045E">
      <w:pPr>
        <w:pStyle w:val="TOC3"/>
        <w:tabs>
          <w:tab w:val="right" w:leader="dot" w:pos="9345"/>
        </w:tabs>
        <w:rPr>
          <w:rFonts w:asciiTheme="minorHAnsi" w:hAnsiTheme="minorHAnsi"/>
          <w:noProof/>
          <w:sz w:val="20"/>
          <w:szCs w:val="20"/>
        </w:rPr>
      </w:pPr>
      <w:r w:rsidRPr="00ED045E">
        <w:rPr>
          <w:noProof/>
          <w:sz w:val="20"/>
          <w:szCs w:val="20"/>
        </w:rPr>
        <w:t>Figure 2: BSA coverage (%) of women aged 50–69 years in the two years ending June 2017, June 2018 and June 2019 by ethnicity, Total Coverage</w:t>
      </w:r>
      <w:r w:rsidRPr="00ED045E">
        <w:rPr>
          <w:noProof/>
          <w:sz w:val="20"/>
          <w:szCs w:val="20"/>
        </w:rPr>
        <w:tab/>
      </w:r>
      <w:r w:rsidRPr="00ED045E">
        <w:rPr>
          <w:noProof/>
          <w:sz w:val="20"/>
          <w:szCs w:val="20"/>
        </w:rPr>
        <w:fldChar w:fldCharType="begin"/>
      </w:r>
      <w:r w:rsidRPr="00ED045E">
        <w:rPr>
          <w:noProof/>
          <w:sz w:val="20"/>
          <w:szCs w:val="20"/>
        </w:rPr>
        <w:instrText xml:space="preserve"> PAGEREF _Toc14339404 \h </w:instrText>
      </w:r>
      <w:r w:rsidRPr="00ED045E">
        <w:rPr>
          <w:noProof/>
          <w:sz w:val="20"/>
          <w:szCs w:val="20"/>
        </w:rPr>
      </w:r>
      <w:r w:rsidRPr="00ED045E">
        <w:rPr>
          <w:noProof/>
          <w:sz w:val="20"/>
          <w:szCs w:val="20"/>
        </w:rPr>
        <w:fldChar w:fldCharType="separate"/>
      </w:r>
      <w:r w:rsidR="002F0FEB">
        <w:rPr>
          <w:noProof/>
          <w:sz w:val="20"/>
          <w:szCs w:val="20"/>
        </w:rPr>
        <w:t>6</w:t>
      </w:r>
      <w:r w:rsidRPr="00ED045E">
        <w:rPr>
          <w:noProof/>
          <w:sz w:val="20"/>
          <w:szCs w:val="20"/>
        </w:rPr>
        <w:fldChar w:fldCharType="end"/>
      </w:r>
    </w:p>
    <w:p w14:paraId="78CA106C" w14:textId="77777777" w:rsidR="00ED045E" w:rsidRPr="00ED045E" w:rsidRDefault="00ED045E">
      <w:pPr>
        <w:pStyle w:val="TOC3"/>
        <w:tabs>
          <w:tab w:val="right" w:leader="dot" w:pos="9345"/>
        </w:tabs>
        <w:rPr>
          <w:rFonts w:asciiTheme="minorHAnsi" w:hAnsiTheme="minorHAnsi"/>
          <w:noProof/>
          <w:sz w:val="20"/>
          <w:szCs w:val="20"/>
        </w:rPr>
      </w:pPr>
      <w:r w:rsidRPr="00ED045E">
        <w:rPr>
          <w:noProof/>
          <w:sz w:val="20"/>
          <w:szCs w:val="20"/>
        </w:rPr>
        <w:t>Figure 3: BSA number of initial eligible rescreens by ethnicity</w:t>
      </w:r>
      <w:r w:rsidRPr="00ED045E">
        <w:rPr>
          <w:noProof/>
          <w:sz w:val="20"/>
          <w:szCs w:val="20"/>
        </w:rPr>
        <w:tab/>
      </w:r>
      <w:r w:rsidRPr="00ED045E">
        <w:rPr>
          <w:noProof/>
          <w:sz w:val="20"/>
          <w:szCs w:val="20"/>
        </w:rPr>
        <w:fldChar w:fldCharType="begin"/>
      </w:r>
      <w:r w:rsidRPr="00ED045E">
        <w:rPr>
          <w:noProof/>
          <w:sz w:val="20"/>
          <w:szCs w:val="20"/>
        </w:rPr>
        <w:instrText xml:space="preserve"> PAGEREF _Toc14339405 \h </w:instrText>
      </w:r>
      <w:r w:rsidRPr="00ED045E">
        <w:rPr>
          <w:noProof/>
          <w:sz w:val="20"/>
          <w:szCs w:val="20"/>
        </w:rPr>
      </w:r>
      <w:r w:rsidRPr="00ED045E">
        <w:rPr>
          <w:noProof/>
          <w:sz w:val="20"/>
          <w:szCs w:val="20"/>
        </w:rPr>
        <w:fldChar w:fldCharType="separate"/>
      </w:r>
      <w:r w:rsidR="002F0FEB">
        <w:rPr>
          <w:noProof/>
          <w:sz w:val="20"/>
          <w:szCs w:val="20"/>
        </w:rPr>
        <w:t>7</w:t>
      </w:r>
      <w:r w:rsidRPr="00ED045E">
        <w:rPr>
          <w:noProof/>
          <w:sz w:val="20"/>
          <w:szCs w:val="20"/>
        </w:rPr>
        <w:fldChar w:fldCharType="end"/>
      </w:r>
    </w:p>
    <w:p w14:paraId="7AE4EE80" w14:textId="77777777" w:rsidR="00ED045E" w:rsidRPr="00ED045E" w:rsidRDefault="00ED045E">
      <w:pPr>
        <w:pStyle w:val="TOC3"/>
        <w:tabs>
          <w:tab w:val="right" w:leader="dot" w:pos="9345"/>
        </w:tabs>
        <w:rPr>
          <w:rFonts w:asciiTheme="minorHAnsi" w:hAnsiTheme="minorHAnsi"/>
          <w:noProof/>
          <w:sz w:val="20"/>
          <w:szCs w:val="20"/>
        </w:rPr>
      </w:pPr>
      <w:r w:rsidRPr="00ED045E">
        <w:rPr>
          <w:noProof/>
          <w:sz w:val="20"/>
          <w:szCs w:val="20"/>
        </w:rPr>
        <w:t>Figure 4: BSA coverage (%) of Māori women aged 50–69 years in the two years ending 30 June 2019 by District Health Board</w:t>
      </w:r>
      <w:r w:rsidRPr="00ED045E">
        <w:rPr>
          <w:noProof/>
          <w:sz w:val="20"/>
          <w:szCs w:val="20"/>
        </w:rPr>
        <w:tab/>
      </w:r>
      <w:r w:rsidRPr="00ED045E">
        <w:rPr>
          <w:noProof/>
          <w:sz w:val="20"/>
          <w:szCs w:val="20"/>
        </w:rPr>
        <w:fldChar w:fldCharType="begin"/>
      </w:r>
      <w:r w:rsidRPr="00ED045E">
        <w:rPr>
          <w:noProof/>
          <w:sz w:val="20"/>
          <w:szCs w:val="20"/>
        </w:rPr>
        <w:instrText xml:space="preserve"> PAGEREF _Toc14339406 \h </w:instrText>
      </w:r>
      <w:r w:rsidRPr="00ED045E">
        <w:rPr>
          <w:noProof/>
          <w:sz w:val="20"/>
          <w:szCs w:val="20"/>
        </w:rPr>
      </w:r>
      <w:r w:rsidRPr="00ED045E">
        <w:rPr>
          <w:noProof/>
          <w:sz w:val="20"/>
          <w:szCs w:val="20"/>
        </w:rPr>
        <w:fldChar w:fldCharType="separate"/>
      </w:r>
      <w:r w:rsidR="002F0FEB">
        <w:rPr>
          <w:noProof/>
          <w:sz w:val="20"/>
          <w:szCs w:val="20"/>
        </w:rPr>
        <w:t>8</w:t>
      </w:r>
      <w:r w:rsidRPr="00ED045E">
        <w:rPr>
          <w:noProof/>
          <w:sz w:val="20"/>
          <w:szCs w:val="20"/>
        </w:rPr>
        <w:fldChar w:fldCharType="end"/>
      </w:r>
    </w:p>
    <w:p w14:paraId="3B9E9AAA" w14:textId="77777777" w:rsidR="00ED045E" w:rsidRPr="00ED045E" w:rsidRDefault="00ED045E">
      <w:pPr>
        <w:pStyle w:val="TOC3"/>
        <w:tabs>
          <w:tab w:val="right" w:leader="dot" w:pos="9345"/>
        </w:tabs>
        <w:rPr>
          <w:rFonts w:asciiTheme="minorHAnsi" w:hAnsiTheme="minorHAnsi"/>
          <w:noProof/>
          <w:sz w:val="20"/>
          <w:szCs w:val="20"/>
        </w:rPr>
      </w:pPr>
      <w:r w:rsidRPr="00ED045E">
        <w:rPr>
          <w:noProof/>
          <w:sz w:val="20"/>
          <w:szCs w:val="20"/>
        </w:rPr>
        <w:t>Figure 5: BSA coverage (%) of Pacific women aged 50–69 years in the two years ending 30 June 2019 by District Health Board</w:t>
      </w:r>
      <w:r w:rsidRPr="00ED045E">
        <w:rPr>
          <w:noProof/>
          <w:sz w:val="20"/>
          <w:szCs w:val="20"/>
        </w:rPr>
        <w:tab/>
      </w:r>
      <w:r w:rsidRPr="00ED045E">
        <w:rPr>
          <w:noProof/>
          <w:sz w:val="20"/>
          <w:szCs w:val="20"/>
        </w:rPr>
        <w:fldChar w:fldCharType="begin"/>
      </w:r>
      <w:r w:rsidRPr="00ED045E">
        <w:rPr>
          <w:noProof/>
          <w:sz w:val="20"/>
          <w:szCs w:val="20"/>
        </w:rPr>
        <w:instrText xml:space="preserve"> PAGEREF _Toc14339407 \h </w:instrText>
      </w:r>
      <w:r w:rsidRPr="00ED045E">
        <w:rPr>
          <w:noProof/>
          <w:sz w:val="20"/>
          <w:szCs w:val="20"/>
        </w:rPr>
      </w:r>
      <w:r w:rsidRPr="00ED045E">
        <w:rPr>
          <w:noProof/>
          <w:sz w:val="20"/>
          <w:szCs w:val="20"/>
        </w:rPr>
        <w:fldChar w:fldCharType="separate"/>
      </w:r>
      <w:r w:rsidR="002F0FEB">
        <w:rPr>
          <w:noProof/>
          <w:sz w:val="20"/>
          <w:szCs w:val="20"/>
        </w:rPr>
        <w:t>8</w:t>
      </w:r>
      <w:r w:rsidRPr="00ED045E">
        <w:rPr>
          <w:noProof/>
          <w:sz w:val="20"/>
          <w:szCs w:val="20"/>
        </w:rPr>
        <w:fldChar w:fldCharType="end"/>
      </w:r>
    </w:p>
    <w:p w14:paraId="4EA03077" w14:textId="77777777" w:rsidR="00ED045E" w:rsidRPr="00ED045E" w:rsidRDefault="00ED045E">
      <w:pPr>
        <w:pStyle w:val="TOC3"/>
        <w:tabs>
          <w:tab w:val="right" w:leader="dot" w:pos="9345"/>
        </w:tabs>
        <w:rPr>
          <w:rFonts w:asciiTheme="minorHAnsi" w:hAnsiTheme="minorHAnsi"/>
          <w:noProof/>
          <w:sz w:val="20"/>
          <w:szCs w:val="20"/>
        </w:rPr>
      </w:pPr>
      <w:r w:rsidRPr="00ED045E">
        <w:rPr>
          <w:noProof/>
          <w:sz w:val="20"/>
          <w:szCs w:val="20"/>
        </w:rPr>
        <w:t>Figure 6: Overall BSA coverage (%) of women aged 50–69 years in the two years ending 30 June 2019 by District Health Board</w:t>
      </w:r>
      <w:r w:rsidRPr="00ED045E">
        <w:rPr>
          <w:noProof/>
          <w:sz w:val="20"/>
          <w:szCs w:val="20"/>
        </w:rPr>
        <w:tab/>
      </w:r>
      <w:r w:rsidRPr="00ED045E">
        <w:rPr>
          <w:noProof/>
          <w:sz w:val="20"/>
          <w:szCs w:val="20"/>
        </w:rPr>
        <w:fldChar w:fldCharType="begin"/>
      </w:r>
      <w:r w:rsidRPr="00ED045E">
        <w:rPr>
          <w:noProof/>
          <w:sz w:val="20"/>
          <w:szCs w:val="20"/>
        </w:rPr>
        <w:instrText xml:space="preserve"> PAGEREF _Toc14339408 \h </w:instrText>
      </w:r>
      <w:r w:rsidRPr="00ED045E">
        <w:rPr>
          <w:noProof/>
          <w:sz w:val="20"/>
          <w:szCs w:val="20"/>
        </w:rPr>
      </w:r>
      <w:r w:rsidRPr="00ED045E">
        <w:rPr>
          <w:noProof/>
          <w:sz w:val="20"/>
          <w:szCs w:val="20"/>
        </w:rPr>
        <w:fldChar w:fldCharType="separate"/>
      </w:r>
      <w:r w:rsidR="002F0FEB">
        <w:rPr>
          <w:noProof/>
          <w:sz w:val="20"/>
          <w:szCs w:val="20"/>
        </w:rPr>
        <w:t>9</w:t>
      </w:r>
      <w:r w:rsidRPr="00ED045E">
        <w:rPr>
          <w:noProof/>
          <w:sz w:val="20"/>
          <w:szCs w:val="20"/>
        </w:rPr>
        <w:fldChar w:fldCharType="end"/>
      </w:r>
    </w:p>
    <w:p w14:paraId="727034B9" w14:textId="77777777" w:rsidR="00ED045E" w:rsidRPr="00ED045E" w:rsidRDefault="00ED045E">
      <w:pPr>
        <w:pStyle w:val="TOC3"/>
        <w:tabs>
          <w:tab w:val="right" w:leader="dot" w:pos="9345"/>
        </w:tabs>
        <w:rPr>
          <w:rFonts w:asciiTheme="minorHAnsi" w:hAnsiTheme="minorHAnsi"/>
          <w:noProof/>
          <w:sz w:val="20"/>
          <w:szCs w:val="20"/>
        </w:rPr>
      </w:pPr>
      <w:r w:rsidRPr="00ED045E">
        <w:rPr>
          <w:noProof/>
          <w:sz w:val="20"/>
          <w:szCs w:val="20"/>
        </w:rPr>
        <w:t>Figure 7: BSA coverage (%) of Māori women aged 50–69 years in the two years ending 30 June 2019</w:t>
      </w:r>
      <w:r w:rsidRPr="00ED045E">
        <w:rPr>
          <w:noProof/>
          <w:sz w:val="20"/>
          <w:szCs w:val="20"/>
        </w:rPr>
        <w:tab/>
      </w:r>
      <w:r w:rsidRPr="00ED045E">
        <w:rPr>
          <w:noProof/>
          <w:sz w:val="20"/>
          <w:szCs w:val="20"/>
        </w:rPr>
        <w:fldChar w:fldCharType="begin"/>
      </w:r>
      <w:r w:rsidRPr="00ED045E">
        <w:rPr>
          <w:noProof/>
          <w:sz w:val="20"/>
          <w:szCs w:val="20"/>
        </w:rPr>
        <w:instrText xml:space="preserve"> PAGEREF _Toc14339409 \h </w:instrText>
      </w:r>
      <w:r w:rsidRPr="00ED045E">
        <w:rPr>
          <w:noProof/>
          <w:sz w:val="20"/>
          <w:szCs w:val="20"/>
        </w:rPr>
      </w:r>
      <w:r w:rsidRPr="00ED045E">
        <w:rPr>
          <w:noProof/>
          <w:sz w:val="20"/>
          <w:szCs w:val="20"/>
        </w:rPr>
        <w:fldChar w:fldCharType="separate"/>
      </w:r>
      <w:r w:rsidR="002F0FEB">
        <w:rPr>
          <w:noProof/>
          <w:sz w:val="20"/>
          <w:szCs w:val="20"/>
        </w:rPr>
        <w:t>10</w:t>
      </w:r>
      <w:r w:rsidRPr="00ED045E">
        <w:rPr>
          <w:noProof/>
          <w:sz w:val="20"/>
          <w:szCs w:val="20"/>
        </w:rPr>
        <w:fldChar w:fldCharType="end"/>
      </w:r>
    </w:p>
    <w:p w14:paraId="55A381D6" w14:textId="77777777" w:rsidR="00ED045E" w:rsidRPr="00ED045E" w:rsidRDefault="00ED045E">
      <w:pPr>
        <w:pStyle w:val="TOC3"/>
        <w:tabs>
          <w:tab w:val="right" w:leader="dot" w:pos="9345"/>
        </w:tabs>
        <w:rPr>
          <w:rFonts w:asciiTheme="minorHAnsi" w:hAnsiTheme="minorHAnsi"/>
          <w:noProof/>
          <w:sz w:val="20"/>
          <w:szCs w:val="20"/>
        </w:rPr>
      </w:pPr>
      <w:r w:rsidRPr="00ED045E">
        <w:rPr>
          <w:noProof/>
          <w:sz w:val="20"/>
          <w:szCs w:val="20"/>
        </w:rPr>
        <w:t>Figure 8: BSA coverage (%) of Pacific women aged 50–69 years in the two years ending 30 June 2019</w:t>
      </w:r>
      <w:r w:rsidRPr="00ED045E">
        <w:rPr>
          <w:noProof/>
          <w:sz w:val="20"/>
          <w:szCs w:val="20"/>
        </w:rPr>
        <w:tab/>
      </w:r>
      <w:r w:rsidRPr="00ED045E">
        <w:rPr>
          <w:noProof/>
          <w:sz w:val="20"/>
          <w:szCs w:val="20"/>
        </w:rPr>
        <w:fldChar w:fldCharType="begin"/>
      </w:r>
      <w:r w:rsidRPr="00ED045E">
        <w:rPr>
          <w:noProof/>
          <w:sz w:val="20"/>
          <w:szCs w:val="20"/>
        </w:rPr>
        <w:instrText xml:space="preserve"> PAGEREF _Toc14339410 \h </w:instrText>
      </w:r>
      <w:r w:rsidRPr="00ED045E">
        <w:rPr>
          <w:noProof/>
          <w:sz w:val="20"/>
          <w:szCs w:val="20"/>
        </w:rPr>
      </w:r>
      <w:r w:rsidRPr="00ED045E">
        <w:rPr>
          <w:noProof/>
          <w:sz w:val="20"/>
          <w:szCs w:val="20"/>
        </w:rPr>
        <w:fldChar w:fldCharType="separate"/>
      </w:r>
      <w:r w:rsidR="002F0FEB">
        <w:rPr>
          <w:noProof/>
          <w:sz w:val="20"/>
          <w:szCs w:val="20"/>
        </w:rPr>
        <w:t>11</w:t>
      </w:r>
      <w:r w:rsidRPr="00ED045E">
        <w:rPr>
          <w:noProof/>
          <w:sz w:val="20"/>
          <w:szCs w:val="20"/>
        </w:rPr>
        <w:fldChar w:fldCharType="end"/>
      </w:r>
    </w:p>
    <w:p w14:paraId="7CB8C67B" w14:textId="77777777" w:rsidR="00ED045E" w:rsidRPr="00ED045E" w:rsidRDefault="00ED045E">
      <w:pPr>
        <w:pStyle w:val="TOC3"/>
        <w:tabs>
          <w:tab w:val="right" w:leader="dot" w:pos="9345"/>
        </w:tabs>
        <w:rPr>
          <w:rFonts w:asciiTheme="minorHAnsi" w:hAnsiTheme="minorHAnsi"/>
          <w:noProof/>
          <w:sz w:val="20"/>
          <w:szCs w:val="20"/>
        </w:rPr>
      </w:pPr>
      <w:r w:rsidRPr="00ED045E">
        <w:rPr>
          <w:noProof/>
          <w:sz w:val="20"/>
          <w:szCs w:val="20"/>
        </w:rPr>
        <w:t>Figure 9: Overall BSA coverage (%) of women aged 50–69 years in the two years ending 30 June 2019 by District Health Board</w:t>
      </w:r>
      <w:r w:rsidRPr="00ED045E">
        <w:rPr>
          <w:noProof/>
          <w:sz w:val="20"/>
          <w:szCs w:val="20"/>
        </w:rPr>
        <w:tab/>
      </w:r>
      <w:r w:rsidRPr="00ED045E">
        <w:rPr>
          <w:noProof/>
          <w:sz w:val="20"/>
          <w:szCs w:val="20"/>
        </w:rPr>
        <w:fldChar w:fldCharType="begin"/>
      </w:r>
      <w:r w:rsidRPr="00ED045E">
        <w:rPr>
          <w:noProof/>
          <w:sz w:val="20"/>
          <w:szCs w:val="20"/>
        </w:rPr>
        <w:instrText xml:space="preserve"> PAGEREF _Toc14339411 \h </w:instrText>
      </w:r>
      <w:r w:rsidRPr="00ED045E">
        <w:rPr>
          <w:noProof/>
          <w:sz w:val="20"/>
          <w:szCs w:val="20"/>
        </w:rPr>
      </w:r>
      <w:r w:rsidRPr="00ED045E">
        <w:rPr>
          <w:noProof/>
          <w:sz w:val="20"/>
          <w:szCs w:val="20"/>
        </w:rPr>
        <w:fldChar w:fldCharType="separate"/>
      </w:r>
      <w:r w:rsidR="002F0FEB">
        <w:rPr>
          <w:noProof/>
          <w:sz w:val="20"/>
          <w:szCs w:val="20"/>
        </w:rPr>
        <w:t>12</w:t>
      </w:r>
      <w:r w:rsidRPr="00ED045E">
        <w:rPr>
          <w:noProof/>
          <w:sz w:val="20"/>
          <w:szCs w:val="20"/>
        </w:rPr>
        <w:fldChar w:fldCharType="end"/>
      </w:r>
    </w:p>
    <w:p w14:paraId="57A3516C" w14:textId="77777777" w:rsidR="00115CAE" w:rsidRPr="004149AB" w:rsidRDefault="00115CAE" w:rsidP="00F66603">
      <w:pPr>
        <w:pStyle w:val="Heading1"/>
        <w:rPr>
          <w:noProof/>
        </w:rPr>
      </w:pPr>
      <w:r w:rsidRPr="00ED045E">
        <w:rPr>
          <w:noProof/>
          <w:sz w:val="20"/>
          <w:szCs w:val="20"/>
        </w:rPr>
        <w:lastRenderedPageBreak/>
        <w:fldChar w:fldCharType="end"/>
      </w:r>
      <w:bookmarkStart w:id="0" w:name="_Toc399921850"/>
      <w:bookmarkStart w:id="1" w:name="_Toc14266215"/>
      <w:r w:rsidRPr="004149AB">
        <w:rPr>
          <w:noProof/>
        </w:rPr>
        <w:t>Introduction</w:t>
      </w:r>
      <w:bookmarkEnd w:id="0"/>
      <w:bookmarkEnd w:id="1"/>
    </w:p>
    <w:p w14:paraId="2F777613"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14F98894" w14:textId="77777777" w:rsidR="00F66603" w:rsidRDefault="00F66603" w:rsidP="00F66603"/>
    <w:p w14:paraId="43F948CB" w14:textId="77777777" w:rsidR="001C7803" w:rsidRDefault="00F66603" w:rsidP="00F66603">
      <w:r>
        <w:t xml:space="preserve">BSA’s target is to screen 70 percent of eligible women aged 50–69 every two years. </w:t>
      </w:r>
    </w:p>
    <w:p w14:paraId="4D6A61F9" w14:textId="77777777" w:rsidR="001C7803" w:rsidRDefault="001C7803" w:rsidP="00F66603"/>
    <w:p w14:paraId="053D5937"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D943899" w14:textId="77777777" w:rsidR="00F66603" w:rsidRDefault="00F66603" w:rsidP="00F66603"/>
    <w:p w14:paraId="5A4C001A"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0ACB9F7" w14:textId="77777777" w:rsidR="00F66603" w:rsidRDefault="00F66603" w:rsidP="00F66603"/>
    <w:p w14:paraId="6D670E5F"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59F43F5"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69FEC1C7" w14:textId="77777777" w:rsidR="00956572" w:rsidRDefault="00956572">
      <w:pPr>
        <w:spacing w:after="200"/>
      </w:pPr>
      <w:r>
        <w:br w:type="page"/>
      </w:r>
    </w:p>
    <w:p w14:paraId="6D5CDCD6" w14:textId="77777777"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1E90ED03" w14:textId="77777777" w:rsidR="00956572" w:rsidRDefault="00956572" w:rsidP="00F66603"/>
    <w:p w14:paraId="38E15BE4" w14:textId="77777777" w:rsidR="00EC17D4" w:rsidRDefault="00F66603" w:rsidP="00F66603">
      <w:r w:rsidRPr="00A97460">
        <w:t xml:space="preserve">Numerator: Women screened in the 24 month period preceding the report end date and who are eligible for rescreening and returned for a rescreen within 20-27 months. </w:t>
      </w:r>
    </w:p>
    <w:p w14:paraId="388EFE77" w14:textId="77777777"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14:paraId="60C4DD64" w14:textId="77777777" w:rsidR="00F66603" w:rsidRPr="00A97460" w:rsidRDefault="00F66603" w:rsidP="00F66603"/>
    <w:p w14:paraId="7B6E2E13" w14:textId="77777777" w:rsidR="00F66603" w:rsidRPr="007E28E8" w:rsidRDefault="00F66603" w:rsidP="00F66603">
      <w:r w:rsidRPr="007E28E8">
        <w:t>The purpose of this quarterly report is to demonstrate by DHB if the programme coverage and rescreening targets are being met for the region.</w:t>
      </w:r>
    </w:p>
    <w:p w14:paraId="4CEA8C8E" w14:textId="77777777" w:rsidR="00115CAE" w:rsidRDefault="00115CAE" w:rsidP="00115CAE">
      <w:pPr>
        <w:rPr>
          <w:rFonts w:eastAsiaTheme="majorEastAsia"/>
        </w:rPr>
      </w:pPr>
    </w:p>
    <w:p w14:paraId="5D1F14F3" w14:textId="77777777" w:rsidR="00A97460" w:rsidRDefault="00A97460">
      <w:pPr>
        <w:spacing w:after="200"/>
        <w:rPr>
          <w:rFonts w:eastAsiaTheme="majorEastAsia" w:cstheme="majorBidi"/>
          <w:b/>
          <w:bCs/>
          <w:sz w:val="36"/>
          <w:szCs w:val="28"/>
        </w:rPr>
      </w:pPr>
      <w:r>
        <w:br w:type="page"/>
      </w:r>
    </w:p>
    <w:p w14:paraId="0C73A7AA" w14:textId="77777777" w:rsidR="00115CAE" w:rsidRPr="004149AB" w:rsidRDefault="00115CAE" w:rsidP="00115CAE">
      <w:pPr>
        <w:pStyle w:val="Heading1"/>
      </w:pPr>
      <w:bookmarkStart w:id="3" w:name="_Toc14266216"/>
      <w:r w:rsidRPr="004149AB">
        <w:lastRenderedPageBreak/>
        <w:t xml:space="preserve">Technical </w:t>
      </w:r>
      <w:r>
        <w:t>n</w:t>
      </w:r>
      <w:r w:rsidRPr="004149AB">
        <w:t>otes</w:t>
      </w:r>
      <w:bookmarkEnd w:id="2"/>
      <w:bookmarkEnd w:id="3"/>
    </w:p>
    <w:p w14:paraId="4BF3E220"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874340" w:rsidRPr="00874340">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874340" w:rsidRPr="00874340">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14:paraId="6636B665" w14:textId="77777777" w:rsidR="00115CAE" w:rsidRDefault="00115CAE" w:rsidP="00115CAE">
      <w:pPr>
        <w:rPr>
          <w:rFonts w:eastAsiaTheme="minorHAnsi"/>
          <w:lang w:eastAsia="en-US"/>
        </w:rPr>
      </w:pPr>
    </w:p>
    <w:p w14:paraId="5C00398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FACAF8A" w14:textId="77777777" w:rsidR="000C2B3F" w:rsidRPr="005767BE" w:rsidRDefault="000C2B3F" w:rsidP="000C2B3F"/>
    <w:p w14:paraId="6ED70863"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4A69B434" w14:textId="77777777" w:rsidR="000C2B3F" w:rsidRPr="005767BE" w:rsidRDefault="000C2B3F" w:rsidP="000C2B3F"/>
    <w:p w14:paraId="5432FAA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874340" w:rsidRPr="00874340">
        <w:t>30 June 2018</w:t>
      </w:r>
      <w:r w:rsidRPr="005767BE">
        <w:rPr>
          <w:rFonts w:eastAsiaTheme="minorHAnsi" w:cs="Georgia"/>
          <w:color w:val="000000"/>
          <w:szCs w:val="24"/>
          <w:lang w:eastAsia="en-US"/>
        </w:rPr>
        <w:t xml:space="preserve"> update, based on the 2013 Census.</w:t>
      </w:r>
    </w:p>
    <w:p w14:paraId="42C657E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4E27B341"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414992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543830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A053BB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05D0B57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2CE9C3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3B4B480A"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5217769B"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692E0361"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5448FBC"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524ADD90" w14:textId="77777777" w:rsidR="000C2B3F" w:rsidRPr="005767BE" w:rsidRDefault="000C2B3F" w:rsidP="000C2B3F"/>
    <w:p w14:paraId="1D22B4FB"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785C897" w14:textId="77777777" w:rsidR="00115CAE" w:rsidRPr="00F73803" w:rsidRDefault="00115CAE" w:rsidP="00115CAE">
      <w:pPr>
        <w:rPr>
          <w:rFonts w:eastAsiaTheme="minorHAnsi"/>
          <w:lang w:eastAsia="en-US"/>
        </w:rPr>
      </w:pPr>
    </w:p>
    <w:p w14:paraId="426D26AA" w14:textId="77777777" w:rsidR="00115CAE" w:rsidRDefault="00115CAE" w:rsidP="00115CAE">
      <w:pPr>
        <w:rPr>
          <w:rFonts w:eastAsiaTheme="majorEastAsia"/>
        </w:rPr>
      </w:pPr>
      <w:bookmarkStart w:id="4" w:name="_Toc399146163"/>
    </w:p>
    <w:p w14:paraId="7071317B" w14:textId="77777777" w:rsidR="00B769D9" w:rsidRDefault="00B769D9">
      <w:pPr>
        <w:spacing w:after="200"/>
        <w:rPr>
          <w:rFonts w:eastAsiaTheme="majorEastAsia" w:cstheme="majorBidi"/>
          <w:b/>
          <w:bCs/>
          <w:sz w:val="36"/>
          <w:szCs w:val="28"/>
        </w:rPr>
      </w:pPr>
      <w:bookmarkStart w:id="5" w:name="_Toc399921852"/>
      <w:r>
        <w:br w:type="page"/>
      </w:r>
    </w:p>
    <w:p w14:paraId="418420D6" w14:textId="77777777" w:rsidR="00115CAE" w:rsidRPr="004149AB" w:rsidRDefault="00874340" w:rsidP="00115CAE">
      <w:pPr>
        <w:pStyle w:val="Heading1"/>
      </w:pPr>
      <w:bookmarkStart w:id="6" w:name="_Toc14266217"/>
      <w:r w:rsidRPr="00874340">
        <w:lastRenderedPageBreak/>
        <w:t>Canterbury</w:t>
      </w:r>
      <w:r w:rsidR="00C75BA8">
        <w:t xml:space="preserve"> </w:t>
      </w:r>
      <w:r w:rsidR="00115CAE">
        <w:t>c</w:t>
      </w:r>
      <w:r w:rsidR="00115CAE" w:rsidRPr="004149AB">
        <w:t>overage</w:t>
      </w:r>
      <w:bookmarkEnd w:id="4"/>
      <w:bookmarkEnd w:id="5"/>
      <w:bookmarkEnd w:id="6"/>
    </w:p>
    <w:p w14:paraId="04EC93FA" w14:textId="77777777" w:rsidR="00115CAE" w:rsidRPr="00F7148E" w:rsidRDefault="00874340" w:rsidP="00115CAE">
      <w:pPr>
        <w:pStyle w:val="Heading2"/>
      </w:pPr>
      <w:bookmarkStart w:id="7" w:name="_Toc399146164"/>
      <w:bookmarkStart w:id="8" w:name="_Toc399921853"/>
      <w:bookmarkStart w:id="9" w:name="_Toc14266218"/>
      <w:r w:rsidRPr="00874340">
        <w:t>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874340">
        <w:t>30 June 2019</w:t>
      </w:r>
      <w:bookmarkEnd w:id="9"/>
    </w:p>
    <w:p w14:paraId="02F59652" w14:textId="77777777" w:rsidR="00115CAE" w:rsidRDefault="00BD3841" w:rsidP="00BD3841">
      <w:pPr>
        <w:pStyle w:val="Figure"/>
      </w:pPr>
      <w:bookmarkStart w:id="10" w:name="_Toc399497921"/>
      <w:bookmarkStart w:id="11" w:name="_Toc1433940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0FEB">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874340" w:rsidRPr="00874340">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2294799E" w14:textId="77777777" w:rsidR="002D25D6" w:rsidRPr="002D25D6" w:rsidRDefault="00874340" w:rsidP="002D25D6">
      <w:bookmarkStart w:id="12" w:name="figure_1"/>
      <w:bookmarkEnd w:id="12"/>
      <w:r>
        <w:rPr>
          <w:noProof/>
        </w:rPr>
        <w:drawing>
          <wp:inline distT="0" distB="0" distL="0" distR="0" wp14:anchorId="577CD1CA" wp14:editId="6A89259F">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0A7439" w14:textId="77777777" w:rsidR="00576B92" w:rsidRDefault="00576B92" w:rsidP="00F27C51">
      <w:bookmarkStart w:id="13" w:name="_Toc400365296"/>
    </w:p>
    <w:p w14:paraId="6D1986AC" w14:textId="77777777" w:rsidR="00115CAE" w:rsidRPr="004F701C" w:rsidRDefault="004F701C" w:rsidP="001802FB">
      <w:pPr>
        <w:pStyle w:val="Table"/>
        <w:rPr>
          <w:i/>
          <w:iCs/>
        </w:rPr>
      </w:pPr>
      <w:bookmarkStart w:id="14" w:name="_Toc14266224"/>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2F0FEB">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874340" w:rsidRPr="00874340">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075057C5" w14:textId="77777777" w:rsidR="00E646CB" w:rsidRPr="00E646CB" w:rsidRDefault="00874340" w:rsidP="00E646CB">
      <w:bookmarkStart w:id="15" w:name="table_1"/>
      <w:bookmarkEnd w:id="15"/>
      <w:r w:rsidRPr="00874340">
        <w:rPr>
          <w:noProof/>
        </w:rPr>
        <w:drawing>
          <wp:inline distT="0" distB="0" distL="0" distR="0" wp14:anchorId="2A752C8A" wp14:editId="6C3A738F">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043C79B"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34D5123" w14:textId="77777777" w:rsidR="00115CAE" w:rsidRDefault="00115CAE" w:rsidP="00115CAE">
      <w:pPr>
        <w:rPr>
          <w:sz w:val="16"/>
          <w:szCs w:val="16"/>
        </w:rPr>
      </w:pPr>
    </w:p>
    <w:p w14:paraId="382E7EA9" w14:textId="77777777" w:rsidR="00BD3841" w:rsidRDefault="00BD3841">
      <w:pPr>
        <w:spacing w:after="200"/>
        <w:rPr>
          <w:rFonts w:cs="Times New Roman"/>
          <w:b/>
          <w:sz w:val="22"/>
        </w:rPr>
      </w:pPr>
      <w:r>
        <w:br w:type="page"/>
      </w:r>
    </w:p>
    <w:p w14:paraId="6ABDF627" w14:textId="77777777" w:rsidR="00115CAE" w:rsidRDefault="00874340" w:rsidP="00115CAE">
      <w:pPr>
        <w:pStyle w:val="Heading2"/>
      </w:pPr>
      <w:bookmarkStart w:id="16" w:name="_Toc399921854"/>
      <w:bookmarkStart w:id="17" w:name="_Toc14266219"/>
      <w:r w:rsidRPr="00874340">
        <w:lastRenderedPageBreak/>
        <w:t>Canterbury</w:t>
      </w:r>
      <w:r w:rsidR="00F53E27" w:rsidRPr="00F53E27">
        <w:t xml:space="preserve"> </w:t>
      </w:r>
      <w:r w:rsidR="00115CAE">
        <w:t>coverage t</w:t>
      </w:r>
      <w:r w:rsidR="00115CAE" w:rsidRPr="001A7BE5">
        <w:t>rends</w:t>
      </w:r>
      <w:r w:rsidR="00115CAE">
        <w:t xml:space="preserve"> by ethnicity</w:t>
      </w:r>
      <w:bookmarkEnd w:id="16"/>
      <w:bookmarkEnd w:id="17"/>
    </w:p>
    <w:p w14:paraId="1499316E" w14:textId="77777777" w:rsidR="00115CAE" w:rsidRPr="00BD3841" w:rsidRDefault="00BD3841" w:rsidP="00BD3841">
      <w:pPr>
        <w:pStyle w:val="Figure"/>
      </w:pPr>
      <w:bookmarkStart w:id="18" w:name="_Toc399497922"/>
      <w:bookmarkStart w:id="19" w:name="_Toc1433940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0FEB">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ED045E">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14:paraId="5409F4B8" w14:textId="77777777" w:rsidR="005A05B2" w:rsidRDefault="00874340" w:rsidP="00A206FE">
      <w:bookmarkStart w:id="20" w:name="figure_2"/>
      <w:bookmarkStart w:id="21" w:name="_Toc399921855"/>
      <w:bookmarkEnd w:id="20"/>
      <w:r>
        <w:rPr>
          <w:noProof/>
        </w:rPr>
        <w:drawing>
          <wp:inline distT="0" distB="0" distL="0" distR="0" wp14:anchorId="19703574" wp14:editId="00BF6A67">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FE13AF" w14:textId="77777777" w:rsidR="00A206FE" w:rsidRPr="004F701C" w:rsidRDefault="004E7D97" w:rsidP="004E7D97">
      <w:pPr>
        <w:pStyle w:val="Table"/>
        <w:rPr>
          <w:i/>
          <w:iCs/>
        </w:rPr>
      </w:pPr>
      <w:bookmarkStart w:id="22" w:name="_Toc14266225"/>
      <w:r>
        <w:t xml:space="preserve">Table </w:t>
      </w:r>
      <w:r w:rsidR="00B6134D">
        <w:rPr>
          <w:noProof/>
        </w:rPr>
        <w:fldChar w:fldCharType="begin"/>
      </w:r>
      <w:r w:rsidR="00B6134D">
        <w:rPr>
          <w:noProof/>
        </w:rPr>
        <w:instrText xml:space="preserve"> SEQ Table \* ARABIC </w:instrText>
      </w:r>
      <w:r w:rsidR="00B6134D">
        <w:rPr>
          <w:noProof/>
        </w:rPr>
        <w:fldChar w:fldCharType="separate"/>
      </w:r>
      <w:r w:rsidR="002F0FEB">
        <w:rPr>
          <w:noProof/>
        </w:rPr>
        <w:t>2</w:t>
      </w:r>
      <w:r w:rsidR="00B6134D">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5C55CF21"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5D612"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443264E7"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14:paraId="0B9C27DD"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2F7FD54" w14:textId="77777777"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5EBE5F46" w14:textId="77777777"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859DF83"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14:paraId="3AE091B0"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5441D265" w14:textId="77777777"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C315523" w14:textId="77777777"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A73611" w14:paraId="1C4699B6" w14:textId="77777777" w:rsidTr="00B14547">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0B1FE6A" w14:textId="77777777" w:rsidR="00A73611" w:rsidRDefault="00A73611" w:rsidP="00A73611">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779D3AB" w14:textId="77777777" w:rsidR="00A73611" w:rsidRDefault="00A73611" w:rsidP="00A73611">
            <w:pPr>
              <w:jc w:val="right"/>
              <w:rPr>
                <w:rFonts w:ascii="Arial" w:eastAsia="Times New Roman" w:hAnsi="Arial" w:cs="Arial"/>
                <w:sz w:val="18"/>
                <w:szCs w:val="18"/>
              </w:rPr>
            </w:pPr>
            <w:r>
              <w:rPr>
                <w:rFonts w:ascii="Arial" w:hAnsi="Arial" w:cs="Arial"/>
                <w:sz w:val="18"/>
                <w:szCs w:val="18"/>
              </w:rPr>
              <w:t>405</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7BA1294" w14:textId="77777777" w:rsidR="00A73611" w:rsidRDefault="00A73611" w:rsidP="00A73611">
            <w:pPr>
              <w:jc w:val="right"/>
              <w:rPr>
                <w:rFonts w:ascii="Arial" w:hAnsi="Arial" w:cs="Arial"/>
                <w:sz w:val="18"/>
                <w:szCs w:val="18"/>
              </w:rPr>
            </w:pPr>
            <w:r>
              <w:rPr>
                <w:rFonts w:ascii="Arial" w:hAnsi="Arial" w:cs="Arial"/>
                <w:sz w:val="18"/>
                <w:szCs w:val="18"/>
              </w:rPr>
              <w:t>336</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8677356" w14:textId="77777777" w:rsidR="00A73611" w:rsidRDefault="00A73611" w:rsidP="00A73611">
            <w:pPr>
              <w:jc w:val="right"/>
              <w:rPr>
                <w:rFonts w:ascii="Arial" w:hAnsi="Arial" w:cs="Arial"/>
                <w:sz w:val="18"/>
                <w:szCs w:val="18"/>
              </w:rPr>
            </w:pPr>
            <w:r>
              <w:rPr>
                <w:rFonts w:ascii="Arial" w:hAnsi="Arial" w:cs="Arial"/>
                <w:sz w:val="18"/>
                <w:szCs w:val="18"/>
              </w:rPr>
              <w:t>382</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3C06D3B" w14:textId="77777777" w:rsidR="00A73611" w:rsidRDefault="00A73611" w:rsidP="00A73611">
            <w:pPr>
              <w:jc w:val="right"/>
              <w:rPr>
                <w:rFonts w:ascii="Arial" w:hAnsi="Arial" w:cs="Arial"/>
                <w:sz w:val="18"/>
                <w:szCs w:val="18"/>
              </w:rPr>
            </w:pPr>
            <w:r>
              <w:rPr>
                <w:rFonts w:ascii="Arial" w:hAnsi="Arial" w:cs="Arial"/>
                <w:sz w:val="18"/>
                <w:szCs w:val="18"/>
              </w:rPr>
              <w:t>308</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282B32BF" w14:textId="77777777" w:rsidR="00A73611" w:rsidRDefault="00A73611" w:rsidP="00A73611">
            <w:pPr>
              <w:jc w:val="right"/>
              <w:rPr>
                <w:rFonts w:ascii="Arial" w:hAnsi="Arial" w:cs="Arial"/>
                <w:sz w:val="18"/>
                <w:szCs w:val="18"/>
              </w:rPr>
            </w:pPr>
            <w:r>
              <w:rPr>
                <w:rFonts w:ascii="Arial" w:hAnsi="Arial" w:cs="Arial"/>
                <w:sz w:val="18"/>
                <w:szCs w:val="18"/>
              </w:rPr>
              <w:t>408</w:t>
            </w:r>
          </w:p>
        </w:tc>
      </w:tr>
      <w:tr w:rsidR="00A73611" w14:paraId="2253ADEF" w14:textId="77777777" w:rsidTr="00B14547">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B83AA2A" w14:textId="77777777" w:rsidR="00A73611" w:rsidRDefault="00A73611" w:rsidP="00A73611">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6523FF4C" w14:textId="77777777" w:rsidR="00A73611" w:rsidRDefault="00A73611" w:rsidP="00A73611">
            <w:pPr>
              <w:jc w:val="right"/>
              <w:rPr>
                <w:rFonts w:ascii="Arial" w:hAnsi="Arial" w:cs="Arial"/>
                <w:sz w:val="18"/>
                <w:szCs w:val="18"/>
              </w:rPr>
            </w:pPr>
            <w:r>
              <w:rPr>
                <w:rFonts w:ascii="Arial" w:hAnsi="Arial" w:cs="Arial"/>
                <w:sz w:val="18"/>
                <w:szCs w:val="18"/>
              </w:rPr>
              <w:t>93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3105F1FC" w14:textId="77777777" w:rsidR="00A73611" w:rsidRDefault="00A73611" w:rsidP="00A73611">
            <w:pPr>
              <w:jc w:val="right"/>
              <w:rPr>
                <w:rFonts w:ascii="Arial" w:hAnsi="Arial" w:cs="Arial"/>
                <w:sz w:val="18"/>
                <w:szCs w:val="18"/>
              </w:rPr>
            </w:pPr>
            <w:r>
              <w:rPr>
                <w:rFonts w:ascii="Arial" w:hAnsi="Arial" w:cs="Arial"/>
                <w:sz w:val="18"/>
                <w:szCs w:val="18"/>
              </w:rPr>
              <w:t>93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4C210F30" w14:textId="77777777" w:rsidR="00A73611" w:rsidRDefault="00A73611" w:rsidP="00A73611">
            <w:pPr>
              <w:jc w:val="right"/>
              <w:rPr>
                <w:rFonts w:ascii="Arial" w:hAnsi="Arial" w:cs="Arial"/>
                <w:sz w:val="18"/>
                <w:szCs w:val="18"/>
              </w:rPr>
            </w:pPr>
            <w:r>
              <w:rPr>
                <w:rFonts w:ascii="Arial" w:hAnsi="Arial" w:cs="Arial"/>
                <w:sz w:val="18"/>
                <w:szCs w:val="18"/>
              </w:rPr>
              <w:t>77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2B507895" w14:textId="77777777" w:rsidR="00A73611" w:rsidRDefault="00A73611" w:rsidP="00A73611">
            <w:pPr>
              <w:jc w:val="right"/>
              <w:rPr>
                <w:rFonts w:ascii="Arial" w:hAnsi="Arial" w:cs="Arial"/>
                <w:sz w:val="18"/>
                <w:szCs w:val="18"/>
              </w:rPr>
            </w:pPr>
            <w:r>
              <w:rPr>
                <w:rFonts w:ascii="Arial" w:hAnsi="Arial" w:cs="Arial"/>
                <w:sz w:val="18"/>
                <w:szCs w:val="18"/>
              </w:rPr>
              <w:t>58</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492EC54B" w14:textId="77777777" w:rsidR="00A73611" w:rsidRDefault="00A73611" w:rsidP="00A73611">
            <w:pPr>
              <w:jc w:val="right"/>
              <w:rPr>
                <w:rFonts w:ascii="Arial" w:hAnsi="Arial" w:cs="Arial"/>
                <w:sz w:val="18"/>
                <w:szCs w:val="18"/>
              </w:rPr>
            </w:pPr>
            <w:r>
              <w:rPr>
                <w:rFonts w:ascii="Arial" w:hAnsi="Arial" w:cs="Arial"/>
                <w:sz w:val="18"/>
                <w:szCs w:val="18"/>
              </w:rPr>
              <w:t>113</w:t>
            </w:r>
          </w:p>
        </w:tc>
      </w:tr>
      <w:tr w:rsidR="00A73611" w14:paraId="63A8E28B" w14:textId="77777777" w:rsidTr="00B14547">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7F445B93" w14:textId="77777777" w:rsidR="00A73611" w:rsidRDefault="00A73611" w:rsidP="00A73611">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7C7A079E" w14:textId="77777777" w:rsidR="00A73611" w:rsidRDefault="00A73611" w:rsidP="00A73611">
            <w:pPr>
              <w:jc w:val="right"/>
              <w:rPr>
                <w:rFonts w:ascii="Arial" w:hAnsi="Arial" w:cs="Arial"/>
                <w:sz w:val="18"/>
                <w:szCs w:val="18"/>
              </w:rPr>
            </w:pPr>
            <w:r>
              <w:rPr>
                <w:rFonts w:ascii="Arial" w:hAnsi="Arial" w:cs="Arial"/>
                <w:sz w:val="18"/>
                <w:szCs w:val="18"/>
              </w:rPr>
              <w:t>5,865</w:t>
            </w:r>
          </w:p>
        </w:tc>
        <w:tc>
          <w:tcPr>
            <w:tcW w:w="1504" w:type="dxa"/>
            <w:tcBorders>
              <w:top w:val="nil"/>
              <w:left w:val="single" w:sz="4" w:space="0" w:color="auto"/>
              <w:bottom w:val="nil"/>
              <w:right w:val="single" w:sz="8" w:space="0" w:color="auto"/>
            </w:tcBorders>
            <w:shd w:val="clear" w:color="auto" w:fill="auto"/>
            <w:noWrap/>
            <w:vAlign w:val="center"/>
          </w:tcPr>
          <w:p w14:paraId="708323EB" w14:textId="77777777" w:rsidR="00A73611" w:rsidRDefault="00A73611" w:rsidP="00A73611">
            <w:pPr>
              <w:jc w:val="right"/>
              <w:rPr>
                <w:rFonts w:ascii="Arial" w:hAnsi="Arial" w:cs="Arial"/>
                <w:sz w:val="18"/>
                <w:szCs w:val="18"/>
              </w:rPr>
            </w:pPr>
            <w:r>
              <w:rPr>
                <w:rFonts w:ascii="Arial" w:hAnsi="Arial" w:cs="Arial"/>
                <w:sz w:val="18"/>
                <w:szCs w:val="18"/>
              </w:rPr>
              <w:t>7,653</w:t>
            </w:r>
          </w:p>
        </w:tc>
        <w:tc>
          <w:tcPr>
            <w:tcW w:w="1503" w:type="dxa"/>
            <w:tcBorders>
              <w:top w:val="nil"/>
              <w:left w:val="single" w:sz="4" w:space="0" w:color="auto"/>
              <w:bottom w:val="nil"/>
              <w:right w:val="single" w:sz="8" w:space="0" w:color="auto"/>
            </w:tcBorders>
            <w:shd w:val="clear" w:color="auto" w:fill="auto"/>
            <w:noWrap/>
            <w:vAlign w:val="center"/>
          </w:tcPr>
          <w:p w14:paraId="7205E162" w14:textId="77777777" w:rsidR="00A73611" w:rsidRDefault="00A73611" w:rsidP="00A73611">
            <w:pPr>
              <w:jc w:val="right"/>
              <w:rPr>
                <w:rFonts w:ascii="Arial" w:hAnsi="Arial" w:cs="Arial"/>
                <w:sz w:val="18"/>
                <w:szCs w:val="18"/>
              </w:rPr>
            </w:pPr>
            <w:r>
              <w:rPr>
                <w:rFonts w:ascii="Arial" w:hAnsi="Arial" w:cs="Arial"/>
                <w:sz w:val="18"/>
                <w:szCs w:val="18"/>
              </w:rPr>
              <w:t>5,954</w:t>
            </w:r>
          </w:p>
        </w:tc>
        <w:tc>
          <w:tcPr>
            <w:tcW w:w="1504" w:type="dxa"/>
            <w:tcBorders>
              <w:top w:val="nil"/>
              <w:left w:val="single" w:sz="4" w:space="0" w:color="auto"/>
              <w:bottom w:val="nil"/>
              <w:right w:val="single" w:sz="8" w:space="0" w:color="auto"/>
            </w:tcBorders>
            <w:shd w:val="clear" w:color="auto" w:fill="auto"/>
            <w:noWrap/>
            <w:vAlign w:val="center"/>
          </w:tcPr>
          <w:p w14:paraId="66A465E9" w14:textId="77777777" w:rsidR="00A73611" w:rsidRDefault="00A73611" w:rsidP="00A73611">
            <w:pPr>
              <w:jc w:val="right"/>
              <w:rPr>
                <w:rFonts w:ascii="Arial" w:hAnsi="Arial" w:cs="Arial"/>
                <w:sz w:val="18"/>
                <w:szCs w:val="18"/>
              </w:rPr>
            </w:pPr>
            <w:r>
              <w:rPr>
                <w:rFonts w:ascii="Arial" w:hAnsi="Arial" w:cs="Arial"/>
                <w:sz w:val="18"/>
                <w:szCs w:val="18"/>
              </w:rPr>
              <w:t>6,010</w:t>
            </w:r>
          </w:p>
        </w:tc>
        <w:tc>
          <w:tcPr>
            <w:tcW w:w="1504" w:type="dxa"/>
            <w:tcBorders>
              <w:top w:val="nil"/>
              <w:left w:val="single" w:sz="4" w:space="0" w:color="auto"/>
              <w:bottom w:val="nil"/>
              <w:right w:val="single" w:sz="8" w:space="0" w:color="auto"/>
            </w:tcBorders>
            <w:shd w:val="clear" w:color="auto" w:fill="auto"/>
            <w:vAlign w:val="center"/>
          </w:tcPr>
          <w:p w14:paraId="4BE6787B" w14:textId="77777777" w:rsidR="00A73611" w:rsidRDefault="00A73611" w:rsidP="00A73611">
            <w:pPr>
              <w:jc w:val="right"/>
              <w:rPr>
                <w:rFonts w:ascii="Arial" w:hAnsi="Arial" w:cs="Arial"/>
                <w:sz w:val="18"/>
                <w:szCs w:val="18"/>
              </w:rPr>
            </w:pPr>
            <w:r>
              <w:rPr>
                <w:rFonts w:ascii="Arial" w:hAnsi="Arial" w:cs="Arial"/>
                <w:sz w:val="18"/>
                <w:szCs w:val="18"/>
              </w:rPr>
              <w:t>6,489</w:t>
            </w:r>
          </w:p>
        </w:tc>
      </w:tr>
      <w:tr w:rsidR="00A73611" w14:paraId="47BB2F52" w14:textId="77777777" w:rsidTr="00B14547">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6107E2DC" w14:textId="77777777" w:rsidR="00A73611" w:rsidRDefault="00A73611" w:rsidP="00A73611">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696EF23" w14:textId="77777777" w:rsidR="00A73611" w:rsidRDefault="00A73611" w:rsidP="00A73611">
            <w:pPr>
              <w:jc w:val="right"/>
              <w:rPr>
                <w:rFonts w:ascii="Arial" w:hAnsi="Arial" w:cs="Arial"/>
                <w:b/>
                <w:bCs/>
                <w:sz w:val="18"/>
                <w:szCs w:val="18"/>
              </w:rPr>
            </w:pPr>
            <w:r>
              <w:rPr>
                <w:rFonts w:ascii="Arial" w:hAnsi="Arial" w:cs="Arial"/>
                <w:b/>
                <w:bCs/>
                <w:sz w:val="18"/>
                <w:szCs w:val="18"/>
              </w:rPr>
              <w:t>6,363</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760C3B1" w14:textId="77777777" w:rsidR="00A73611" w:rsidRDefault="00A73611" w:rsidP="00A73611">
            <w:pPr>
              <w:jc w:val="right"/>
              <w:rPr>
                <w:rFonts w:ascii="Arial" w:hAnsi="Arial" w:cs="Arial"/>
                <w:b/>
                <w:bCs/>
                <w:sz w:val="18"/>
                <w:szCs w:val="18"/>
              </w:rPr>
            </w:pPr>
            <w:r>
              <w:rPr>
                <w:rFonts w:ascii="Arial" w:hAnsi="Arial" w:cs="Arial"/>
                <w:b/>
                <w:bCs/>
                <w:sz w:val="18"/>
                <w:szCs w:val="18"/>
              </w:rPr>
              <w:t>8,082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6403D10" w14:textId="77777777" w:rsidR="00A73611" w:rsidRDefault="00A73611" w:rsidP="00A73611">
            <w:pPr>
              <w:jc w:val="right"/>
              <w:rPr>
                <w:rFonts w:ascii="Arial" w:hAnsi="Arial" w:cs="Arial"/>
                <w:b/>
                <w:bCs/>
                <w:sz w:val="18"/>
                <w:szCs w:val="18"/>
              </w:rPr>
            </w:pPr>
            <w:r>
              <w:rPr>
                <w:rFonts w:ascii="Arial" w:hAnsi="Arial" w:cs="Arial"/>
                <w:b/>
                <w:bCs/>
                <w:sz w:val="18"/>
                <w:szCs w:val="18"/>
              </w:rPr>
              <w:t>6,413</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9734788" w14:textId="77777777" w:rsidR="00A73611" w:rsidRDefault="00A73611" w:rsidP="00A73611">
            <w:pPr>
              <w:jc w:val="right"/>
              <w:rPr>
                <w:rFonts w:ascii="Arial" w:hAnsi="Arial" w:cs="Arial"/>
                <w:b/>
                <w:bCs/>
                <w:sz w:val="18"/>
                <w:szCs w:val="18"/>
              </w:rPr>
            </w:pPr>
            <w:r>
              <w:rPr>
                <w:rFonts w:ascii="Arial" w:hAnsi="Arial" w:cs="Arial"/>
                <w:b/>
                <w:bCs/>
                <w:sz w:val="18"/>
                <w:szCs w:val="18"/>
              </w:rPr>
              <w:t>6,376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068C1981" w14:textId="77777777" w:rsidR="00A73611" w:rsidRDefault="00A73611" w:rsidP="00A73611">
            <w:pPr>
              <w:jc w:val="right"/>
              <w:rPr>
                <w:rFonts w:ascii="Arial" w:hAnsi="Arial" w:cs="Arial"/>
                <w:b/>
                <w:bCs/>
                <w:sz w:val="18"/>
                <w:szCs w:val="18"/>
              </w:rPr>
            </w:pPr>
            <w:r>
              <w:rPr>
                <w:rFonts w:ascii="Arial" w:hAnsi="Arial" w:cs="Arial"/>
                <w:b/>
                <w:bCs/>
                <w:sz w:val="18"/>
                <w:szCs w:val="18"/>
              </w:rPr>
              <w:t>7,010</w:t>
            </w:r>
          </w:p>
        </w:tc>
      </w:tr>
    </w:tbl>
    <w:p w14:paraId="7313453C" w14:textId="77777777" w:rsidR="00EE282A" w:rsidRPr="00EE282A" w:rsidRDefault="00EE282A" w:rsidP="00EE282A"/>
    <w:p w14:paraId="455416F1" w14:textId="77777777" w:rsidR="004F6AC5" w:rsidRDefault="004F6AC5">
      <w:pPr>
        <w:spacing w:after="200"/>
        <w:rPr>
          <w:b/>
          <w:sz w:val="22"/>
        </w:rPr>
      </w:pPr>
      <w:bookmarkStart w:id="23" w:name="_Toc495656587"/>
      <w:r>
        <w:br w:type="page"/>
      </w:r>
    </w:p>
    <w:p w14:paraId="4600F70A" w14:textId="77777777" w:rsidR="004F6AC5" w:rsidRPr="00B24ED3" w:rsidRDefault="004F6AC5" w:rsidP="004F6AC5">
      <w:pPr>
        <w:pStyle w:val="Heading2"/>
      </w:pPr>
      <w:bookmarkStart w:id="24" w:name="_Toc519847444"/>
      <w:bookmarkStart w:id="25" w:name="_Toc14266220"/>
      <w:bookmarkEnd w:id="23"/>
      <w:r w:rsidRPr="00B24ED3">
        <w:lastRenderedPageBreak/>
        <w:t>Number of Initial Rescreens by Ethnicity</w:t>
      </w:r>
      <w:bookmarkEnd w:id="24"/>
      <w:bookmarkEnd w:id="25"/>
    </w:p>
    <w:p w14:paraId="2E120C28" w14:textId="77777777" w:rsidR="004F6AC5" w:rsidRDefault="004F6AC5" w:rsidP="004F6AC5">
      <w:pPr>
        <w:pStyle w:val="Table"/>
      </w:pPr>
      <w:bookmarkStart w:id="26" w:name="_Toc495656664"/>
      <w:bookmarkStart w:id="27" w:name="_Toc519676502"/>
      <w:bookmarkStart w:id="28" w:name="_Toc519847428"/>
      <w:bookmarkStart w:id="29" w:name="_Toc14266226"/>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2F0FEB">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0D1706EC"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056925FD"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DE30B0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A2A637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736528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0A08C26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6B77EC" w:rsidRPr="00B54E4D" w14:paraId="212D852B" w14:textId="77777777" w:rsidTr="00004FFD">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477137DE" w14:textId="77777777" w:rsidR="006B77EC" w:rsidRPr="00B54E4D" w:rsidRDefault="006B77EC" w:rsidP="006B77E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D7918F6" w14:textId="77777777" w:rsidR="006B77EC" w:rsidRDefault="006B77EC" w:rsidP="006B77EC">
            <w:pPr>
              <w:jc w:val="right"/>
              <w:rPr>
                <w:rFonts w:ascii="Arial" w:eastAsia="Times New Roman" w:hAnsi="Arial" w:cs="Arial"/>
                <w:color w:val="000000"/>
                <w:sz w:val="18"/>
                <w:szCs w:val="18"/>
              </w:rPr>
            </w:pPr>
            <w:r>
              <w:rPr>
                <w:rFonts w:ascii="Arial" w:hAnsi="Arial" w:cs="Arial"/>
                <w:color w:val="000000"/>
                <w:sz w:val="18"/>
                <w:szCs w:val="18"/>
              </w:rPr>
              <w:t>71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9BF82FE" w14:textId="77777777" w:rsidR="006B77EC" w:rsidRDefault="006B77EC" w:rsidP="006B77EC">
            <w:pPr>
              <w:jc w:val="right"/>
              <w:rPr>
                <w:rFonts w:ascii="Arial" w:hAnsi="Arial" w:cs="Arial"/>
                <w:color w:val="000000"/>
                <w:sz w:val="18"/>
                <w:szCs w:val="18"/>
              </w:rPr>
            </w:pPr>
            <w:r>
              <w:rPr>
                <w:rFonts w:ascii="Arial" w:hAnsi="Arial" w:cs="Arial"/>
                <w:color w:val="000000"/>
                <w:sz w:val="18"/>
                <w:szCs w:val="18"/>
              </w:rPr>
              <w:t>43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310F3C9" w14:textId="77777777" w:rsidR="006B77EC" w:rsidRDefault="006B77EC" w:rsidP="006B77EC">
            <w:pPr>
              <w:jc w:val="right"/>
              <w:rPr>
                <w:rFonts w:ascii="Arial" w:hAnsi="Arial" w:cs="Arial"/>
                <w:color w:val="000000"/>
                <w:sz w:val="18"/>
                <w:szCs w:val="18"/>
              </w:rPr>
            </w:pPr>
            <w:r>
              <w:rPr>
                <w:rFonts w:ascii="Arial" w:hAnsi="Arial" w:cs="Arial"/>
                <w:color w:val="000000"/>
                <w:sz w:val="18"/>
                <w:szCs w:val="18"/>
              </w:rPr>
              <w:t>60.6%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C6531A0" w14:textId="77777777" w:rsidR="006B77EC" w:rsidRDefault="006B77EC" w:rsidP="006B77EC">
            <w:pPr>
              <w:jc w:val="right"/>
              <w:rPr>
                <w:rFonts w:ascii="Arial" w:hAnsi="Arial" w:cs="Arial"/>
                <w:color w:val="000000"/>
                <w:sz w:val="18"/>
                <w:szCs w:val="18"/>
              </w:rPr>
            </w:pPr>
            <w:r>
              <w:rPr>
                <w:rFonts w:ascii="Arial" w:hAnsi="Arial" w:cs="Arial"/>
                <w:color w:val="000000"/>
                <w:sz w:val="18"/>
                <w:szCs w:val="18"/>
              </w:rPr>
              <w:t>(48.3, 72.0)</w:t>
            </w:r>
          </w:p>
        </w:tc>
      </w:tr>
      <w:tr w:rsidR="006B77EC" w:rsidRPr="00B54E4D" w14:paraId="1150F711" w14:textId="77777777" w:rsidTr="00004FF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A5A8561" w14:textId="77777777" w:rsidR="006B77EC" w:rsidRPr="00B54E4D" w:rsidRDefault="006B77EC" w:rsidP="006B77E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DBBD45F" w14:textId="77777777" w:rsidR="006B77EC" w:rsidRDefault="006B77EC" w:rsidP="006B77EC">
            <w:pPr>
              <w:jc w:val="right"/>
              <w:rPr>
                <w:rFonts w:ascii="Arial" w:hAnsi="Arial" w:cs="Arial"/>
                <w:color w:val="000000"/>
                <w:sz w:val="18"/>
                <w:szCs w:val="18"/>
              </w:rPr>
            </w:pPr>
            <w:r>
              <w:rPr>
                <w:rFonts w:ascii="Arial" w:hAnsi="Arial" w:cs="Arial"/>
                <w:color w:val="000000"/>
                <w:sz w:val="18"/>
                <w:szCs w:val="18"/>
              </w:rPr>
              <w:t>29</w:t>
            </w:r>
          </w:p>
        </w:tc>
        <w:tc>
          <w:tcPr>
            <w:tcW w:w="1835" w:type="dxa"/>
            <w:tcBorders>
              <w:top w:val="nil"/>
              <w:left w:val="nil"/>
              <w:bottom w:val="single" w:sz="4" w:space="0" w:color="D9D9D9"/>
              <w:right w:val="single" w:sz="4" w:space="0" w:color="D9D9D9"/>
            </w:tcBorders>
            <w:shd w:val="clear" w:color="auto" w:fill="auto"/>
            <w:noWrap/>
            <w:vAlign w:val="center"/>
          </w:tcPr>
          <w:p w14:paraId="19CF1D33" w14:textId="77777777" w:rsidR="006B77EC" w:rsidRDefault="006B77EC" w:rsidP="006B77EC">
            <w:pPr>
              <w:jc w:val="right"/>
              <w:rPr>
                <w:rFonts w:ascii="Arial" w:hAnsi="Arial" w:cs="Arial"/>
                <w:color w:val="000000"/>
                <w:sz w:val="18"/>
                <w:szCs w:val="18"/>
              </w:rPr>
            </w:pPr>
            <w:r>
              <w:rPr>
                <w:rFonts w:ascii="Arial" w:hAnsi="Arial" w:cs="Arial"/>
                <w:color w:val="000000"/>
                <w:sz w:val="18"/>
                <w:szCs w:val="18"/>
              </w:rPr>
              <w:t>10</w:t>
            </w:r>
          </w:p>
        </w:tc>
        <w:tc>
          <w:tcPr>
            <w:tcW w:w="1835" w:type="dxa"/>
            <w:tcBorders>
              <w:top w:val="nil"/>
              <w:left w:val="nil"/>
              <w:bottom w:val="single" w:sz="4" w:space="0" w:color="D9D9D9"/>
              <w:right w:val="single" w:sz="4" w:space="0" w:color="D9D9D9"/>
            </w:tcBorders>
            <w:shd w:val="clear" w:color="auto" w:fill="auto"/>
            <w:noWrap/>
            <w:vAlign w:val="center"/>
          </w:tcPr>
          <w:p w14:paraId="399FFB74" w14:textId="77777777" w:rsidR="006B77EC" w:rsidRDefault="006B77EC" w:rsidP="006B77EC">
            <w:pPr>
              <w:jc w:val="right"/>
              <w:rPr>
                <w:rFonts w:ascii="Arial" w:hAnsi="Arial" w:cs="Arial"/>
                <w:color w:val="000000"/>
                <w:sz w:val="18"/>
                <w:szCs w:val="18"/>
              </w:rPr>
            </w:pPr>
            <w:r>
              <w:rPr>
                <w:rFonts w:ascii="Arial" w:hAnsi="Arial" w:cs="Arial"/>
                <w:color w:val="000000"/>
                <w:sz w:val="18"/>
                <w:szCs w:val="18"/>
              </w:rPr>
              <w:t>34.5%</w:t>
            </w:r>
          </w:p>
        </w:tc>
        <w:tc>
          <w:tcPr>
            <w:tcW w:w="1835" w:type="dxa"/>
            <w:tcBorders>
              <w:top w:val="nil"/>
              <w:left w:val="nil"/>
              <w:bottom w:val="single" w:sz="4" w:space="0" w:color="D9D9D9"/>
              <w:right w:val="single" w:sz="8" w:space="0" w:color="auto"/>
            </w:tcBorders>
            <w:shd w:val="clear" w:color="auto" w:fill="auto"/>
            <w:noWrap/>
            <w:vAlign w:val="center"/>
          </w:tcPr>
          <w:p w14:paraId="497E6762" w14:textId="77777777" w:rsidR="006B77EC" w:rsidRDefault="006B77EC" w:rsidP="006B77EC">
            <w:pPr>
              <w:jc w:val="right"/>
              <w:rPr>
                <w:rFonts w:ascii="Arial" w:hAnsi="Arial" w:cs="Arial"/>
                <w:color w:val="000000"/>
                <w:sz w:val="18"/>
                <w:szCs w:val="18"/>
              </w:rPr>
            </w:pPr>
            <w:r>
              <w:rPr>
                <w:rFonts w:ascii="Arial" w:hAnsi="Arial" w:cs="Arial"/>
                <w:color w:val="000000"/>
                <w:sz w:val="18"/>
                <w:szCs w:val="18"/>
              </w:rPr>
              <w:t>(17.9, 54.3)</w:t>
            </w:r>
          </w:p>
        </w:tc>
      </w:tr>
      <w:tr w:rsidR="006B77EC" w:rsidRPr="00B54E4D" w14:paraId="01E1FCB1" w14:textId="77777777" w:rsidTr="00004FF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A230032" w14:textId="77777777" w:rsidR="006B77EC" w:rsidRPr="00B54E4D" w:rsidRDefault="006B77EC" w:rsidP="006B77EC">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BCB60C5" w14:textId="77777777" w:rsidR="006B77EC" w:rsidRDefault="006B77EC" w:rsidP="006B77EC">
            <w:pPr>
              <w:jc w:val="right"/>
              <w:rPr>
                <w:rFonts w:ascii="Arial" w:hAnsi="Arial" w:cs="Arial"/>
                <w:color w:val="000000"/>
                <w:sz w:val="18"/>
                <w:szCs w:val="18"/>
              </w:rPr>
            </w:pPr>
            <w:r>
              <w:rPr>
                <w:rFonts w:ascii="Arial" w:hAnsi="Arial" w:cs="Arial"/>
                <w:color w:val="000000"/>
                <w:sz w:val="18"/>
                <w:szCs w:val="18"/>
              </w:rPr>
              <w:t>1,041</w:t>
            </w:r>
          </w:p>
        </w:tc>
        <w:tc>
          <w:tcPr>
            <w:tcW w:w="1835" w:type="dxa"/>
            <w:tcBorders>
              <w:top w:val="nil"/>
              <w:left w:val="nil"/>
              <w:bottom w:val="single" w:sz="4" w:space="0" w:color="D9D9D9"/>
              <w:right w:val="single" w:sz="4" w:space="0" w:color="D9D9D9"/>
            </w:tcBorders>
            <w:shd w:val="clear" w:color="auto" w:fill="auto"/>
            <w:noWrap/>
            <w:vAlign w:val="center"/>
          </w:tcPr>
          <w:p w14:paraId="244C40E8" w14:textId="77777777" w:rsidR="006B77EC" w:rsidRDefault="006B77EC" w:rsidP="006B77EC">
            <w:pPr>
              <w:jc w:val="right"/>
              <w:rPr>
                <w:rFonts w:ascii="Arial" w:hAnsi="Arial" w:cs="Arial"/>
                <w:color w:val="000000"/>
                <w:sz w:val="18"/>
                <w:szCs w:val="18"/>
              </w:rPr>
            </w:pPr>
            <w:r>
              <w:rPr>
                <w:rFonts w:ascii="Arial" w:hAnsi="Arial" w:cs="Arial"/>
                <w:color w:val="000000"/>
                <w:sz w:val="18"/>
                <w:szCs w:val="18"/>
              </w:rPr>
              <w:t>720</w:t>
            </w:r>
          </w:p>
        </w:tc>
        <w:tc>
          <w:tcPr>
            <w:tcW w:w="1835" w:type="dxa"/>
            <w:tcBorders>
              <w:top w:val="nil"/>
              <w:left w:val="nil"/>
              <w:bottom w:val="single" w:sz="4" w:space="0" w:color="D9D9D9"/>
              <w:right w:val="single" w:sz="4" w:space="0" w:color="D9D9D9"/>
            </w:tcBorders>
            <w:shd w:val="clear" w:color="auto" w:fill="auto"/>
            <w:noWrap/>
            <w:vAlign w:val="center"/>
          </w:tcPr>
          <w:p w14:paraId="1C62C7DE" w14:textId="77777777" w:rsidR="006B77EC" w:rsidRDefault="006B77EC" w:rsidP="006B77EC">
            <w:pPr>
              <w:jc w:val="right"/>
              <w:rPr>
                <w:rFonts w:ascii="Arial" w:hAnsi="Arial" w:cs="Arial"/>
                <w:color w:val="000000"/>
                <w:sz w:val="18"/>
                <w:szCs w:val="18"/>
              </w:rPr>
            </w:pPr>
            <w:r>
              <w:rPr>
                <w:rFonts w:ascii="Arial" w:hAnsi="Arial" w:cs="Arial"/>
                <w:color w:val="000000"/>
                <w:sz w:val="18"/>
                <w:szCs w:val="18"/>
              </w:rPr>
              <w:t>69.2%</w:t>
            </w:r>
          </w:p>
        </w:tc>
        <w:tc>
          <w:tcPr>
            <w:tcW w:w="1835" w:type="dxa"/>
            <w:tcBorders>
              <w:top w:val="nil"/>
              <w:left w:val="nil"/>
              <w:bottom w:val="single" w:sz="4" w:space="0" w:color="D9D9D9"/>
              <w:right w:val="single" w:sz="8" w:space="0" w:color="auto"/>
            </w:tcBorders>
            <w:shd w:val="clear" w:color="auto" w:fill="auto"/>
            <w:noWrap/>
            <w:vAlign w:val="center"/>
          </w:tcPr>
          <w:p w14:paraId="149A6359" w14:textId="77777777" w:rsidR="006B77EC" w:rsidRDefault="006B77EC" w:rsidP="006B77EC">
            <w:pPr>
              <w:jc w:val="right"/>
              <w:rPr>
                <w:rFonts w:ascii="Arial" w:hAnsi="Arial" w:cs="Arial"/>
                <w:color w:val="000000"/>
                <w:sz w:val="18"/>
                <w:szCs w:val="18"/>
              </w:rPr>
            </w:pPr>
            <w:r>
              <w:rPr>
                <w:rFonts w:ascii="Arial" w:hAnsi="Arial" w:cs="Arial"/>
                <w:color w:val="000000"/>
                <w:sz w:val="18"/>
                <w:szCs w:val="18"/>
              </w:rPr>
              <w:t>(66.3, 72.0)</w:t>
            </w:r>
          </w:p>
        </w:tc>
      </w:tr>
      <w:tr w:rsidR="006B77EC" w:rsidRPr="00B54E4D" w14:paraId="5E273237" w14:textId="77777777" w:rsidTr="00004FFD">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55A7BDFC" w14:textId="77777777" w:rsidR="006B77EC" w:rsidRPr="00B54E4D" w:rsidRDefault="006B77EC" w:rsidP="006B77EC">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1F30426B" w14:textId="77777777" w:rsidR="006B77EC" w:rsidRDefault="006B77EC" w:rsidP="006B77EC">
            <w:pPr>
              <w:jc w:val="right"/>
              <w:rPr>
                <w:rFonts w:ascii="Arial" w:hAnsi="Arial" w:cs="Arial"/>
                <w:b/>
                <w:bCs/>
                <w:color w:val="000000"/>
                <w:sz w:val="18"/>
                <w:szCs w:val="18"/>
              </w:rPr>
            </w:pPr>
            <w:r>
              <w:rPr>
                <w:rFonts w:ascii="Arial" w:hAnsi="Arial" w:cs="Arial"/>
                <w:b/>
                <w:bCs/>
                <w:color w:val="000000"/>
                <w:sz w:val="18"/>
                <w:szCs w:val="18"/>
              </w:rPr>
              <w:t>1,141</w:t>
            </w:r>
          </w:p>
        </w:tc>
        <w:tc>
          <w:tcPr>
            <w:tcW w:w="1835" w:type="dxa"/>
            <w:tcBorders>
              <w:top w:val="nil"/>
              <w:left w:val="nil"/>
              <w:bottom w:val="single" w:sz="8" w:space="0" w:color="auto"/>
              <w:right w:val="single" w:sz="4" w:space="0" w:color="D9D9D9"/>
            </w:tcBorders>
            <w:shd w:val="clear" w:color="000000" w:fill="F2F2F2"/>
            <w:noWrap/>
            <w:vAlign w:val="center"/>
          </w:tcPr>
          <w:p w14:paraId="1970D37F" w14:textId="77777777" w:rsidR="006B77EC" w:rsidRDefault="006B77EC" w:rsidP="006B77EC">
            <w:pPr>
              <w:jc w:val="right"/>
              <w:rPr>
                <w:rFonts w:ascii="Arial" w:hAnsi="Arial" w:cs="Arial"/>
                <w:b/>
                <w:bCs/>
                <w:color w:val="000000"/>
                <w:sz w:val="18"/>
                <w:szCs w:val="18"/>
              </w:rPr>
            </w:pPr>
            <w:r>
              <w:rPr>
                <w:rFonts w:ascii="Arial" w:hAnsi="Arial" w:cs="Arial"/>
                <w:b/>
                <w:bCs/>
                <w:color w:val="000000"/>
                <w:sz w:val="18"/>
                <w:szCs w:val="18"/>
              </w:rPr>
              <w:t>773</w:t>
            </w:r>
          </w:p>
        </w:tc>
        <w:tc>
          <w:tcPr>
            <w:tcW w:w="1835" w:type="dxa"/>
            <w:tcBorders>
              <w:top w:val="nil"/>
              <w:left w:val="nil"/>
              <w:bottom w:val="single" w:sz="8" w:space="0" w:color="auto"/>
              <w:right w:val="single" w:sz="4" w:space="0" w:color="D9D9D9"/>
            </w:tcBorders>
            <w:shd w:val="clear" w:color="000000" w:fill="F2F2F2"/>
            <w:noWrap/>
            <w:vAlign w:val="center"/>
          </w:tcPr>
          <w:p w14:paraId="186E73B3" w14:textId="77777777" w:rsidR="006B77EC" w:rsidRDefault="006B77EC" w:rsidP="006B77EC">
            <w:pPr>
              <w:jc w:val="right"/>
              <w:rPr>
                <w:rFonts w:ascii="Arial" w:hAnsi="Arial" w:cs="Arial"/>
                <w:b/>
                <w:bCs/>
                <w:color w:val="000000"/>
                <w:sz w:val="18"/>
                <w:szCs w:val="18"/>
              </w:rPr>
            </w:pPr>
            <w:r>
              <w:rPr>
                <w:rFonts w:ascii="Arial" w:hAnsi="Arial" w:cs="Arial"/>
                <w:b/>
                <w:bCs/>
                <w:color w:val="000000"/>
                <w:sz w:val="18"/>
                <w:szCs w:val="18"/>
              </w:rPr>
              <w:t>67.7%</w:t>
            </w:r>
          </w:p>
        </w:tc>
        <w:tc>
          <w:tcPr>
            <w:tcW w:w="1835" w:type="dxa"/>
            <w:tcBorders>
              <w:top w:val="nil"/>
              <w:left w:val="nil"/>
              <w:bottom w:val="single" w:sz="8" w:space="0" w:color="auto"/>
              <w:right w:val="single" w:sz="8" w:space="0" w:color="auto"/>
            </w:tcBorders>
            <w:shd w:val="clear" w:color="000000" w:fill="F2F2F2"/>
            <w:noWrap/>
            <w:vAlign w:val="center"/>
          </w:tcPr>
          <w:p w14:paraId="60595538" w14:textId="77777777" w:rsidR="006B77EC" w:rsidRDefault="006B77EC" w:rsidP="006B77EC">
            <w:pPr>
              <w:jc w:val="right"/>
              <w:rPr>
                <w:rFonts w:ascii="Arial" w:hAnsi="Arial" w:cs="Arial"/>
                <w:b/>
                <w:bCs/>
                <w:color w:val="000000"/>
                <w:sz w:val="18"/>
                <w:szCs w:val="18"/>
              </w:rPr>
            </w:pPr>
            <w:r>
              <w:rPr>
                <w:rFonts w:ascii="Arial" w:hAnsi="Arial" w:cs="Arial"/>
                <w:b/>
                <w:bCs/>
                <w:color w:val="000000"/>
                <w:sz w:val="18"/>
                <w:szCs w:val="18"/>
              </w:rPr>
              <w:t>(64.9, 70.5)</w:t>
            </w:r>
          </w:p>
        </w:tc>
      </w:tr>
    </w:tbl>
    <w:p w14:paraId="20BE3EE6" w14:textId="77777777" w:rsidR="00B54E4D" w:rsidRPr="00B54E4D" w:rsidRDefault="00B54E4D" w:rsidP="00B54E4D"/>
    <w:p w14:paraId="3D7FCC01" w14:textId="77777777" w:rsidR="004F6AC5" w:rsidRDefault="004F6AC5" w:rsidP="004F6AC5">
      <w:pPr>
        <w:pStyle w:val="Figure"/>
      </w:pPr>
      <w:bookmarkStart w:id="30" w:name="_Toc519676508"/>
      <w:bookmarkStart w:id="31" w:name="_Toc519847310"/>
      <w:bookmarkStart w:id="32" w:name="_Toc1433940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0FEB">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14:paraId="6AC22305" w14:textId="77777777" w:rsidR="00B54E4D" w:rsidRPr="00B54E4D" w:rsidRDefault="006B77EC" w:rsidP="00B54E4D">
      <w:r>
        <w:rPr>
          <w:noProof/>
        </w:rPr>
        <w:drawing>
          <wp:inline distT="0" distB="0" distL="0" distR="0" wp14:anchorId="4A619AEE" wp14:editId="1D816811">
            <wp:extent cx="5019675" cy="31435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7901" cy="3148730"/>
                    </a:xfrm>
                    <a:prstGeom prst="rect">
                      <a:avLst/>
                    </a:prstGeom>
                    <a:noFill/>
                  </pic:spPr>
                </pic:pic>
              </a:graphicData>
            </a:graphic>
          </wp:inline>
        </w:drawing>
      </w:r>
    </w:p>
    <w:p w14:paraId="34C65CCB" w14:textId="77777777" w:rsidR="004F6AC5" w:rsidRDefault="004F6AC5" w:rsidP="004F6AC5"/>
    <w:p w14:paraId="38E2B9C1" w14:textId="77777777" w:rsidR="006B77EC" w:rsidRDefault="006B77EC">
      <w:pPr>
        <w:spacing w:after="200"/>
        <w:rPr>
          <w:rFonts w:eastAsiaTheme="majorEastAsia" w:cstheme="majorBidi"/>
          <w:b/>
          <w:bCs/>
          <w:sz w:val="36"/>
          <w:szCs w:val="28"/>
        </w:rPr>
      </w:pPr>
      <w:r>
        <w:br w:type="page"/>
      </w:r>
    </w:p>
    <w:p w14:paraId="6CFCEB11" w14:textId="77777777" w:rsidR="00F66CD2" w:rsidRDefault="00115CAE" w:rsidP="00F66CD2">
      <w:pPr>
        <w:pStyle w:val="Heading1"/>
      </w:pPr>
      <w:bookmarkStart w:id="33" w:name="_Toc14266221"/>
      <w:r w:rsidRPr="00C90A46">
        <w:lastRenderedPageBreak/>
        <w:t>DHB coverage comparisons</w:t>
      </w:r>
      <w:bookmarkStart w:id="34" w:name="_Toc399850104"/>
      <w:bookmarkStart w:id="35" w:name="_Toc399921856"/>
      <w:bookmarkEnd w:id="21"/>
      <w:bookmarkEnd w:id="33"/>
    </w:p>
    <w:p w14:paraId="3DD2CFBB" w14:textId="77777777" w:rsidR="00F66CD2" w:rsidRDefault="00F66CD2" w:rsidP="00F66CD2">
      <w:pPr>
        <w:pStyle w:val="Heading2"/>
      </w:pPr>
      <w:bookmarkStart w:id="36" w:name="_Toc1426622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874340" w:rsidRPr="00874340">
        <w:t>30 June 2019</w:t>
      </w:r>
      <w:bookmarkEnd w:id="36"/>
    </w:p>
    <w:p w14:paraId="5B7809C8" w14:textId="77777777" w:rsidR="00F66CD2" w:rsidRDefault="00FE0172" w:rsidP="002B0ED8">
      <w:pPr>
        <w:pStyle w:val="Figure"/>
      </w:pPr>
      <w:bookmarkStart w:id="37" w:name="_Toc399497923"/>
      <w:bookmarkStart w:id="38" w:name="_Toc1433940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0FEB">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874340" w:rsidRPr="00874340">
        <w:t>30 June 2019</w:t>
      </w:r>
      <w:r w:rsidR="00F66CD2">
        <w:t xml:space="preserve"> </w:t>
      </w:r>
      <w:r w:rsidR="00F66CD2" w:rsidRPr="00F17732">
        <w:t xml:space="preserve">by </w:t>
      </w:r>
      <w:r w:rsidR="00F66CD2">
        <w:t>District Health Board</w:t>
      </w:r>
      <w:bookmarkEnd w:id="37"/>
      <w:bookmarkEnd w:id="38"/>
    </w:p>
    <w:p w14:paraId="271C171F" w14:textId="77777777" w:rsidR="00D83F91" w:rsidRPr="00D83F91" w:rsidRDefault="00874340" w:rsidP="00D83F91">
      <w:bookmarkStart w:id="39" w:name="figure_3"/>
      <w:bookmarkEnd w:id="34"/>
      <w:bookmarkEnd w:id="35"/>
      <w:bookmarkEnd w:id="39"/>
      <w:r>
        <w:rPr>
          <w:noProof/>
        </w:rPr>
        <w:drawing>
          <wp:inline distT="0" distB="0" distL="0" distR="0" wp14:anchorId="08821DAF" wp14:editId="02B97D52">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AFD574" w14:textId="77777777" w:rsidR="00115CAE" w:rsidRDefault="00FA21EF" w:rsidP="00BF27D3">
      <w:pPr>
        <w:pStyle w:val="Figure"/>
      </w:pPr>
      <w:bookmarkStart w:id="40" w:name="_Toc399497924"/>
      <w:bookmarkStart w:id="41" w:name="_Toc1433940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0FEB">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874340" w:rsidRPr="00874340">
        <w:t>30 June 2019</w:t>
      </w:r>
      <w:r w:rsidR="00115CAE" w:rsidRPr="002171C9">
        <w:t xml:space="preserve"> by </w:t>
      </w:r>
      <w:r w:rsidR="00B718BD">
        <w:t>District Health Board</w:t>
      </w:r>
      <w:bookmarkEnd w:id="40"/>
      <w:bookmarkEnd w:id="41"/>
    </w:p>
    <w:p w14:paraId="239CB123" w14:textId="77777777" w:rsidR="00115CAE" w:rsidRDefault="00874340" w:rsidP="00115CAE">
      <w:bookmarkStart w:id="42" w:name="figure_4"/>
      <w:bookmarkEnd w:id="42"/>
      <w:r>
        <w:rPr>
          <w:noProof/>
        </w:rPr>
        <w:drawing>
          <wp:inline distT="0" distB="0" distL="0" distR="0" wp14:anchorId="210975DA" wp14:editId="02FAF57B">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445811" w14:textId="77777777" w:rsidR="00C9547D" w:rsidRPr="00C9547D" w:rsidRDefault="00C9547D" w:rsidP="00C9547D">
      <w:bookmarkStart w:id="43" w:name="figure_5"/>
      <w:bookmarkEnd w:id="43"/>
    </w:p>
    <w:p w14:paraId="51F36189" w14:textId="77777777" w:rsidR="00115CAE" w:rsidRDefault="00FA21EF" w:rsidP="00BF27D3">
      <w:pPr>
        <w:pStyle w:val="Figure"/>
      </w:pPr>
      <w:bookmarkStart w:id="44" w:name="_Toc399497926"/>
      <w:bookmarkStart w:id="45" w:name="_Toc1433940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0FEB">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874340" w:rsidRPr="00874340">
        <w:t>30 June 2019</w:t>
      </w:r>
      <w:r w:rsidR="00115CAE" w:rsidRPr="002171C9">
        <w:t xml:space="preserve"> by </w:t>
      </w:r>
      <w:r w:rsidR="00B718BD">
        <w:t>District Health Board</w:t>
      </w:r>
      <w:bookmarkEnd w:id="44"/>
      <w:bookmarkEnd w:id="45"/>
    </w:p>
    <w:p w14:paraId="00F1AB0D" w14:textId="77777777" w:rsidR="009376F1" w:rsidRPr="00C9547D" w:rsidRDefault="00874340" w:rsidP="009376F1">
      <w:bookmarkStart w:id="46" w:name="figure_6"/>
      <w:bookmarkEnd w:id="46"/>
      <w:r>
        <w:rPr>
          <w:noProof/>
        </w:rPr>
        <w:drawing>
          <wp:inline distT="0" distB="0" distL="0" distR="0" wp14:anchorId="70A82C86" wp14:editId="7EC0FD66">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3BC2E0" w14:textId="77777777" w:rsidR="00115CAE" w:rsidRDefault="00115CAE" w:rsidP="00115CAE"/>
    <w:p w14:paraId="59AFEB35" w14:textId="77777777" w:rsidR="00115CAE" w:rsidRDefault="00115CAE" w:rsidP="00115CAE"/>
    <w:p w14:paraId="4CDF41C5" w14:textId="77777777" w:rsidR="00115CAE" w:rsidRPr="00F17732" w:rsidRDefault="00115CAE" w:rsidP="00115CAE"/>
    <w:p w14:paraId="2BEB0386" w14:textId="77777777" w:rsidR="00115CAE" w:rsidRDefault="00115CAE" w:rsidP="00115CAE">
      <w:pPr>
        <w:rPr>
          <w:caps/>
        </w:rPr>
      </w:pPr>
    </w:p>
    <w:p w14:paraId="71F3072A" w14:textId="77777777" w:rsidR="00AE1525" w:rsidRDefault="00AE1525" w:rsidP="00115CAE">
      <w:pPr>
        <w:rPr>
          <w:caps/>
        </w:rPr>
      </w:pPr>
    </w:p>
    <w:p w14:paraId="1366CE25" w14:textId="77777777" w:rsidR="009376F1" w:rsidRDefault="009376F1" w:rsidP="009376F1">
      <w:pPr>
        <w:pStyle w:val="Figure"/>
      </w:pPr>
      <w:bookmarkStart w:id="47" w:name="_Toc1433940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0FEB">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874340" w:rsidRPr="00874340">
        <w:t>30 June 2019</w:t>
      </w:r>
      <w:bookmarkEnd w:id="47"/>
    </w:p>
    <w:p w14:paraId="69FF2CE4" w14:textId="77777777" w:rsidR="00EB1948" w:rsidRPr="00D83F91" w:rsidRDefault="00105497" w:rsidP="00AE1525">
      <w:r w:rsidRPr="00105497">
        <w:rPr>
          <w:noProof/>
        </w:rPr>
        <w:drawing>
          <wp:inline distT="0" distB="0" distL="0" distR="0" wp14:anchorId="4CC63867" wp14:editId="6B6E951E">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14:paraId="7D6A23A8" w14:textId="77777777" w:rsidR="00AE1525" w:rsidRDefault="009376F1" w:rsidP="009376F1">
      <w:pPr>
        <w:pStyle w:val="Figure"/>
      </w:pPr>
      <w:bookmarkStart w:id="48" w:name="_Toc1433941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0FEB">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874340" w:rsidRPr="00874340">
        <w:t>30 June 2019</w:t>
      </w:r>
      <w:bookmarkEnd w:id="48"/>
    </w:p>
    <w:p w14:paraId="6BE6D565" w14:textId="77777777" w:rsidR="00A43F46" w:rsidRPr="00A43F46" w:rsidRDefault="00806FED" w:rsidP="00A43F46">
      <w:r w:rsidRPr="00806FED">
        <w:rPr>
          <w:noProof/>
        </w:rPr>
        <w:drawing>
          <wp:inline distT="0" distB="0" distL="0" distR="0" wp14:anchorId="0C5B879A" wp14:editId="2E6DE168">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11957D27" w14:textId="77777777" w:rsidR="009376F1" w:rsidRDefault="009376F1" w:rsidP="009376F1">
      <w:pPr>
        <w:pStyle w:val="Figure"/>
      </w:pPr>
      <w:bookmarkStart w:id="49" w:name="_Toc1433941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F0FEB">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874340" w:rsidRPr="00874340">
        <w:t>30 June 2019</w:t>
      </w:r>
      <w:r w:rsidRPr="002171C9">
        <w:t xml:space="preserve"> by </w:t>
      </w:r>
      <w:r>
        <w:t>District Health Board</w:t>
      </w:r>
      <w:bookmarkEnd w:id="49"/>
    </w:p>
    <w:p w14:paraId="2EEF0594" w14:textId="77777777" w:rsidR="00137AB6" w:rsidRDefault="00137AB6" w:rsidP="00137AB6">
      <w:pPr>
        <w:tabs>
          <w:tab w:val="left" w:pos="810"/>
        </w:tabs>
      </w:pPr>
    </w:p>
    <w:p w14:paraId="22B5D263" w14:textId="77777777"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14:anchorId="486D310A" wp14:editId="1FFF39CE">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14:paraId="3454EEB7" w14:textId="77777777" w:rsidR="006B77EC" w:rsidRPr="004F701C" w:rsidRDefault="006B77EC" w:rsidP="006B77EC">
      <w:pPr>
        <w:pStyle w:val="Table"/>
        <w:rPr>
          <w:i/>
          <w:iCs/>
        </w:rPr>
      </w:pPr>
      <w:bookmarkStart w:id="50" w:name="_Toc14266227"/>
      <w:bookmarkStart w:id="51" w:name="_Toc400365297"/>
      <w:r>
        <w:lastRenderedPageBreak/>
        <w:t xml:space="preserve">Table </w:t>
      </w:r>
      <w:r w:rsidR="00B6134D">
        <w:rPr>
          <w:noProof/>
        </w:rPr>
        <w:fldChar w:fldCharType="begin"/>
      </w:r>
      <w:r w:rsidR="00B6134D">
        <w:rPr>
          <w:noProof/>
        </w:rPr>
        <w:instrText xml:space="preserve"> SEQ Table \* ARABIC </w:instrText>
      </w:r>
      <w:r w:rsidR="00B6134D">
        <w:rPr>
          <w:noProof/>
        </w:rPr>
        <w:fldChar w:fldCharType="separate"/>
      </w:r>
      <w:r w:rsidR="002F0FEB">
        <w:rPr>
          <w:noProof/>
        </w:rPr>
        <w:t>4</w:t>
      </w:r>
      <w:r w:rsidR="00B6134D">
        <w:rPr>
          <w:noProof/>
        </w:rPr>
        <w:fldChar w:fldCharType="end"/>
      </w:r>
      <w:r>
        <w:t xml:space="preserve">: </w:t>
      </w:r>
      <w:r w:rsidRPr="004F701C">
        <w:t xml:space="preserve">BSA number of screens and coverage (%) in women aged 50–69 years in the two years ending </w:t>
      </w:r>
      <w:r w:rsidRPr="00874340">
        <w:t>30 June 2019</w:t>
      </w:r>
      <w:r w:rsidRPr="004F701C">
        <w:t xml:space="preserve"> by District Health Board</w:t>
      </w:r>
      <w:bookmarkEnd w:id="50"/>
    </w:p>
    <w:p w14:paraId="3956B8A6" w14:textId="77777777" w:rsidR="00CE24C5" w:rsidRPr="00CE24C5" w:rsidRDefault="008C7CEB" w:rsidP="00CE24C5">
      <w:bookmarkStart w:id="52" w:name="table_2"/>
      <w:bookmarkEnd w:id="51"/>
      <w:bookmarkEnd w:id="52"/>
      <w:r w:rsidRPr="008C7CEB">
        <w:rPr>
          <w:noProof/>
        </w:rPr>
        <w:drawing>
          <wp:inline distT="0" distB="0" distL="0" distR="0" wp14:anchorId="1D596044" wp14:editId="08CECEAC">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4EF68DCC" w14:textId="77777777" w:rsidR="00115CAE" w:rsidRDefault="00115CAE" w:rsidP="00115CAE"/>
    <w:p w14:paraId="63AAAE9D" w14:textId="77777777" w:rsidR="00CE24C5" w:rsidRDefault="00CE24C5">
      <w:pPr>
        <w:spacing w:after="200"/>
        <w:rPr>
          <w:rFonts w:eastAsiaTheme="majorEastAsia" w:cstheme="majorBidi"/>
          <w:b/>
          <w:bCs/>
          <w:sz w:val="28"/>
          <w:szCs w:val="26"/>
        </w:rPr>
      </w:pPr>
      <w:bookmarkStart w:id="53" w:name="_Toc399921857"/>
      <w:r>
        <w:br w:type="page"/>
      </w:r>
    </w:p>
    <w:p w14:paraId="25F99F45" w14:textId="77777777" w:rsidR="00115CAE" w:rsidRDefault="00115CAE" w:rsidP="00C75BA8">
      <w:pPr>
        <w:pStyle w:val="Heading2"/>
        <w:spacing w:before="0"/>
        <w:ind w:left="-284"/>
      </w:pPr>
      <w:bookmarkStart w:id="54" w:name="_Toc14266223"/>
      <w:r>
        <w:lastRenderedPageBreak/>
        <w:t>DHB coverage comparison trends by ethnicity</w:t>
      </w:r>
      <w:bookmarkEnd w:id="53"/>
      <w:bookmarkEnd w:id="54"/>
    </w:p>
    <w:p w14:paraId="745FD28F" w14:textId="77777777" w:rsidR="008C7CEB" w:rsidRDefault="008C7CEB" w:rsidP="008C7CEB">
      <w:pPr>
        <w:pStyle w:val="Table"/>
      </w:pPr>
      <w:bookmarkStart w:id="55" w:name="_Toc14266228"/>
      <w:bookmarkStart w:id="56" w:name="_Toc400365298"/>
      <w:r>
        <w:t xml:space="preserve">Table </w:t>
      </w:r>
      <w:r w:rsidR="00B6134D">
        <w:rPr>
          <w:noProof/>
        </w:rPr>
        <w:fldChar w:fldCharType="begin"/>
      </w:r>
      <w:r w:rsidR="00B6134D">
        <w:rPr>
          <w:noProof/>
        </w:rPr>
        <w:instrText xml:space="preserve"> SEQ Table \* ARABIC </w:instrText>
      </w:r>
      <w:r w:rsidR="00B6134D">
        <w:rPr>
          <w:noProof/>
        </w:rPr>
        <w:fldChar w:fldCharType="separate"/>
      </w:r>
      <w:r w:rsidR="002F0FEB">
        <w:rPr>
          <w:noProof/>
        </w:rPr>
        <w:t>5</w:t>
      </w:r>
      <w:r w:rsidR="00B6134D">
        <w:rPr>
          <w:noProof/>
        </w:rPr>
        <w:fldChar w:fldCharType="end"/>
      </w:r>
      <w:r>
        <w:t xml:space="preserve">: </w:t>
      </w:r>
      <w:r w:rsidRPr="004F701C">
        <w:t xml:space="preserve">BSA coverage (%) of women aged 50–69 years in the two years ending </w:t>
      </w:r>
      <w:r w:rsidRPr="00874340">
        <w:t>30 June, 2017, 2018, 2019</w:t>
      </w:r>
      <w:r w:rsidRPr="004F701C">
        <w:t>, by ethnicity and District Health Board</w:t>
      </w:r>
      <w:bookmarkEnd w:id="55"/>
    </w:p>
    <w:p w14:paraId="1B1DB681" w14:textId="77777777" w:rsidR="006B45AA" w:rsidRPr="006B45AA" w:rsidRDefault="00882A12" w:rsidP="006B45AA">
      <w:bookmarkStart w:id="57" w:name="table_3"/>
      <w:bookmarkEnd w:id="56"/>
      <w:bookmarkEnd w:id="57"/>
      <w:r w:rsidRPr="00882A12">
        <w:rPr>
          <w:noProof/>
        </w:rPr>
        <w:drawing>
          <wp:inline distT="0" distB="0" distL="0" distR="0" wp14:anchorId="00DB5848" wp14:editId="79D673AE">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5DEF44C2" w14:textId="77777777" w:rsidR="003669D4" w:rsidRPr="003669D4" w:rsidRDefault="003669D4" w:rsidP="003669D4">
      <w:pPr>
        <w:ind w:left="-284"/>
      </w:pPr>
    </w:p>
    <w:p w14:paraId="3F2DB4C5"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E125" w14:textId="77777777" w:rsidR="00EC17CC" w:rsidRDefault="00EC17CC">
      <w:pPr>
        <w:spacing w:line="240" w:lineRule="auto"/>
      </w:pPr>
      <w:r>
        <w:separator/>
      </w:r>
    </w:p>
  </w:endnote>
  <w:endnote w:type="continuationSeparator" w:id="0">
    <w:p w14:paraId="7F165010" w14:textId="77777777" w:rsidR="00EC17CC" w:rsidRDefault="00EC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64E024F2"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5F63E32"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346D5C5D" w14:textId="77777777" w:rsidR="00A6248B" w:rsidRDefault="00A6248B">
        <w:pPr>
          <w:pStyle w:val="Footer"/>
          <w:jc w:val="center"/>
        </w:pPr>
        <w:r>
          <w:fldChar w:fldCharType="begin"/>
        </w:r>
        <w:r>
          <w:instrText xml:space="preserve"> PAGE   \* MERGEFORMAT </w:instrText>
        </w:r>
        <w:r>
          <w:fldChar w:fldCharType="separate"/>
        </w:r>
        <w:r w:rsidR="002F0FEB">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6E74C7D" w14:textId="77777777" w:rsidR="00A6248B" w:rsidRDefault="00A6248B">
        <w:pPr>
          <w:pStyle w:val="Footer"/>
          <w:jc w:val="center"/>
        </w:pPr>
        <w:r>
          <w:fldChar w:fldCharType="begin"/>
        </w:r>
        <w:r>
          <w:instrText xml:space="preserve"> PAGE   \* MERGEFORMAT </w:instrText>
        </w:r>
        <w:r>
          <w:fldChar w:fldCharType="separate"/>
        </w:r>
        <w:r w:rsidR="002F0FEB">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ADA5" w14:textId="77777777" w:rsidR="00EC17CC" w:rsidRDefault="00EC17CC">
      <w:pPr>
        <w:spacing w:line="240" w:lineRule="auto"/>
      </w:pPr>
      <w:r>
        <w:separator/>
      </w:r>
    </w:p>
  </w:footnote>
  <w:footnote w:type="continuationSeparator" w:id="0">
    <w:p w14:paraId="665F5723" w14:textId="77777777" w:rsidR="00EC17CC" w:rsidRDefault="00EC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C443" w14:textId="77777777" w:rsidR="00A6248B" w:rsidRDefault="00A6248B">
    <w:pPr>
      <w:pStyle w:val="Header"/>
    </w:pPr>
    <w:r>
      <w:rPr>
        <w:noProof/>
      </w:rPr>
      <w:drawing>
        <wp:inline distT="0" distB="0" distL="0" distR="0" wp14:anchorId="5190C291" wp14:editId="39850AFE">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C69FE07" w14:textId="77777777" w:rsidR="00A6248B" w:rsidRDefault="00A6248B" w:rsidP="00E52682">
    <w:pPr>
      <w:pStyle w:val="Header"/>
      <w:ind w:right="-425"/>
      <w:jc w:val="right"/>
    </w:pPr>
    <w:r>
      <w:rPr>
        <w:noProof/>
      </w:rPr>
      <w:drawing>
        <wp:inline distT="0" distB="0" distL="0" distR="0" wp14:anchorId="400395B4" wp14:editId="6492F5A7">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2339" w14:textId="77777777" w:rsidR="00A6248B" w:rsidRDefault="00A6248B">
    <w:pPr>
      <w:pStyle w:val="Header"/>
    </w:pPr>
    <w:r>
      <w:rPr>
        <w:noProof/>
      </w:rPr>
      <w:drawing>
        <wp:inline distT="0" distB="0" distL="0" distR="0" wp14:anchorId="74E6EAA5" wp14:editId="59C4BA1F">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A633" w14:textId="77777777" w:rsidR="00A6248B" w:rsidRDefault="00A6248B">
    <w:pPr>
      <w:pStyle w:val="Header"/>
    </w:pPr>
    <w:r>
      <w:rPr>
        <w:noProof/>
      </w:rPr>
      <w:drawing>
        <wp:inline distT="0" distB="0" distL="0" distR="0" wp14:anchorId="6B250C9A" wp14:editId="07616BE1">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521DFEC" w14:textId="77777777" w:rsidR="00A6248B" w:rsidRDefault="00A6248B" w:rsidP="00E52682">
    <w:pPr>
      <w:pStyle w:val="Header"/>
      <w:ind w:right="-425"/>
      <w:jc w:val="right"/>
    </w:pPr>
    <w:r w:rsidRPr="001A7BE5">
      <w:rPr>
        <w:noProof/>
        <w:color w:val="000000"/>
        <w:sz w:val="19"/>
        <w:szCs w:val="19"/>
      </w:rPr>
      <w:drawing>
        <wp:inline distT="0" distB="0" distL="0" distR="0" wp14:anchorId="3F745B00" wp14:editId="6DD3D4AE">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5E24" w14:textId="77777777" w:rsidR="00A6248B" w:rsidRDefault="00A6248B">
    <w:pPr>
      <w:pStyle w:val="Header"/>
    </w:pPr>
    <w:r>
      <w:rPr>
        <w:noProof/>
      </w:rPr>
      <w:drawing>
        <wp:inline distT="0" distB="0" distL="0" distR="0" wp14:anchorId="72931490" wp14:editId="0F88D42C">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3BA9"/>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0FEB"/>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B7726"/>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84FF9"/>
    <w:rsid w:val="004A0172"/>
    <w:rsid w:val="004B1400"/>
    <w:rsid w:val="004B6FD0"/>
    <w:rsid w:val="004C1F44"/>
    <w:rsid w:val="004C3D85"/>
    <w:rsid w:val="004D0E6D"/>
    <w:rsid w:val="004E531D"/>
    <w:rsid w:val="004E7D97"/>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A6C59"/>
    <w:rsid w:val="006B45AA"/>
    <w:rsid w:val="006B6452"/>
    <w:rsid w:val="006B77EC"/>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B71CA"/>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74340"/>
    <w:rsid w:val="00882A12"/>
    <w:rsid w:val="00885547"/>
    <w:rsid w:val="0089397C"/>
    <w:rsid w:val="008A050B"/>
    <w:rsid w:val="008B210D"/>
    <w:rsid w:val="008B47D7"/>
    <w:rsid w:val="008B757C"/>
    <w:rsid w:val="008B7F14"/>
    <w:rsid w:val="008C1B05"/>
    <w:rsid w:val="008C7CEB"/>
    <w:rsid w:val="008D07F7"/>
    <w:rsid w:val="008D5DF5"/>
    <w:rsid w:val="008E5439"/>
    <w:rsid w:val="00901F2A"/>
    <w:rsid w:val="009138C8"/>
    <w:rsid w:val="00915385"/>
    <w:rsid w:val="009159F5"/>
    <w:rsid w:val="00917365"/>
    <w:rsid w:val="00930D20"/>
    <w:rsid w:val="009376F1"/>
    <w:rsid w:val="00946A2C"/>
    <w:rsid w:val="009518B9"/>
    <w:rsid w:val="009559B1"/>
    <w:rsid w:val="00956572"/>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3611"/>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6134D"/>
    <w:rsid w:val="00B718BD"/>
    <w:rsid w:val="00B72A22"/>
    <w:rsid w:val="00B769D9"/>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E6BA1"/>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531E"/>
    <w:rsid w:val="00EB6289"/>
    <w:rsid w:val="00EC17CC"/>
    <w:rsid w:val="00EC17D4"/>
    <w:rsid w:val="00ED045E"/>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82F1B"/>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68.2</c:v>
                </c:pt>
                <c:pt idx="1">
                  <c:v>62.9</c:v>
                </c:pt>
                <c:pt idx="2">
                  <c:v>76</c:v>
                </c:pt>
                <c:pt idx="3">
                  <c:v>75.5</c:v>
                </c:pt>
              </c:numCache>
            </c:numRef>
          </c:val>
          <c:extLst>
            <c:ext xmlns:c16="http://schemas.microsoft.com/office/drawing/2014/chart" uri="{C3380CC4-5D6E-409C-BE32-E72D297353CC}">
              <c16:uniqueId val="{00000000-3FD6-4954-976C-6D2DA4436FDC}"/>
            </c:ext>
          </c:extLst>
        </c:ser>
        <c:dLbls>
          <c:showLegendKey val="0"/>
          <c:showVal val="0"/>
          <c:showCatName val="0"/>
          <c:showSerName val="0"/>
          <c:showPercent val="0"/>
          <c:showBubbleSize val="0"/>
        </c:dLbls>
        <c:gapWidth val="50"/>
        <c:axId val="327719632"/>
        <c:axId val="32771532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FD6-4954-976C-6D2DA4436FDC}"/>
            </c:ext>
          </c:extLst>
        </c:ser>
        <c:dLbls>
          <c:showLegendKey val="0"/>
          <c:showVal val="0"/>
          <c:showCatName val="0"/>
          <c:showSerName val="0"/>
          <c:showPercent val="0"/>
          <c:showBubbleSize val="0"/>
        </c:dLbls>
        <c:marker val="1"/>
        <c:smooth val="0"/>
        <c:axId val="327719632"/>
        <c:axId val="327715320"/>
      </c:lineChart>
      <c:catAx>
        <c:axId val="32771963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715320"/>
        <c:crosses val="autoZero"/>
        <c:auto val="1"/>
        <c:lblAlgn val="ctr"/>
        <c:lblOffset val="100"/>
        <c:tickLblSkip val="1"/>
        <c:noMultiLvlLbl val="0"/>
      </c:catAx>
      <c:valAx>
        <c:axId val="3277153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719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71.2</c:v>
                </c:pt>
                <c:pt idx="1">
                  <c:v>63.9</c:v>
                </c:pt>
                <c:pt idx="2">
                  <c:v>76.8</c:v>
                </c:pt>
                <c:pt idx="3">
                  <c:v>76.400000000000006</c:v>
                </c:pt>
              </c:numCache>
            </c:numRef>
          </c:val>
          <c:extLst>
            <c:ext xmlns:c16="http://schemas.microsoft.com/office/drawing/2014/chart" uri="{C3380CC4-5D6E-409C-BE32-E72D297353CC}">
              <c16:uniqueId val="{00000000-9345-4130-9805-B762B4B1CE25}"/>
            </c:ext>
          </c:extLst>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68.8</c:v>
                </c:pt>
                <c:pt idx="1">
                  <c:v>64</c:v>
                </c:pt>
                <c:pt idx="2">
                  <c:v>76.099999999999994</c:v>
                </c:pt>
                <c:pt idx="3">
                  <c:v>75.599999999999994</c:v>
                </c:pt>
              </c:numCache>
            </c:numRef>
          </c:val>
          <c:extLst>
            <c:ext xmlns:c16="http://schemas.microsoft.com/office/drawing/2014/chart" uri="{C3380CC4-5D6E-409C-BE32-E72D297353CC}">
              <c16:uniqueId val="{00000001-9345-4130-9805-B762B4B1CE25}"/>
            </c:ext>
          </c:extLst>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68.2</c:v>
                </c:pt>
                <c:pt idx="1">
                  <c:v>62.9</c:v>
                </c:pt>
                <c:pt idx="2">
                  <c:v>76</c:v>
                </c:pt>
                <c:pt idx="3">
                  <c:v>75.5</c:v>
                </c:pt>
              </c:numCache>
            </c:numRef>
          </c:val>
          <c:extLst>
            <c:ext xmlns:c16="http://schemas.microsoft.com/office/drawing/2014/chart" uri="{C3380CC4-5D6E-409C-BE32-E72D297353CC}">
              <c16:uniqueId val="{00000002-9345-4130-9805-B762B4B1CE25}"/>
            </c:ext>
          </c:extLst>
        </c:ser>
        <c:dLbls>
          <c:showLegendKey val="0"/>
          <c:showVal val="0"/>
          <c:showCatName val="0"/>
          <c:showSerName val="0"/>
          <c:showPercent val="0"/>
          <c:showBubbleSize val="0"/>
        </c:dLbls>
        <c:gapWidth val="150"/>
        <c:axId val="327713360"/>
        <c:axId val="32771375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9345-4130-9805-B762B4B1CE25}"/>
            </c:ext>
          </c:extLst>
        </c:ser>
        <c:dLbls>
          <c:showLegendKey val="0"/>
          <c:showVal val="0"/>
          <c:showCatName val="0"/>
          <c:showSerName val="0"/>
          <c:showPercent val="0"/>
          <c:showBubbleSize val="0"/>
        </c:dLbls>
        <c:marker val="1"/>
        <c:smooth val="0"/>
        <c:axId val="327713360"/>
        <c:axId val="327713752"/>
      </c:lineChart>
      <c:catAx>
        <c:axId val="327713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713752"/>
        <c:crosses val="autoZero"/>
        <c:auto val="1"/>
        <c:lblAlgn val="ctr"/>
        <c:lblOffset val="100"/>
        <c:noMultiLvlLbl val="0"/>
      </c:catAx>
      <c:valAx>
        <c:axId val="3277137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7713360"/>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75A-4BA2-AEED-8801BBFD762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ext xmlns:c16="http://schemas.microsoft.com/office/drawing/2014/chart" uri="{C3380CC4-5D6E-409C-BE32-E72D297353CC}">
              <c16:uniqueId val="{00000001-A75A-4BA2-AEED-8801BBFD762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68.2</c:v>
                </c:pt>
                <c:pt idx="18">
                  <c:v>#N/A</c:v>
                </c:pt>
                <c:pt idx="19">
                  <c:v>#N/A</c:v>
                </c:pt>
                <c:pt idx="20">
                  <c:v>#N/A</c:v>
                </c:pt>
              </c:numCache>
              <c:extLst/>
            </c:numRef>
          </c:val>
          <c:extLst>
            <c:ext xmlns:c16="http://schemas.microsoft.com/office/drawing/2014/chart" uri="{C3380CC4-5D6E-409C-BE32-E72D297353CC}">
              <c16:uniqueId val="{00000002-A75A-4BA2-AEED-8801BBFD762A}"/>
            </c:ext>
          </c:extLst>
        </c:ser>
        <c:dLbls>
          <c:showLegendKey val="0"/>
          <c:showVal val="0"/>
          <c:showCatName val="0"/>
          <c:showSerName val="0"/>
          <c:showPercent val="0"/>
          <c:showBubbleSize val="0"/>
        </c:dLbls>
        <c:gapWidth val="50"/>
        <c:overlap val="100"/>
        <c:axId val="327715712"/>
        <c:axId val="3277168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75A-4BA2-AEED-8801BBFD762A}"/>
            </c:ext>
          </c:extLst>
        </c:ser>
        <c:dLbls>
          <c:showLegendKey val="0"/>
          <c:showVal val="0"/>
          <c:showCatName val="0"/>
          <c:showSerName val="0"/>
          <c:showPercent val="0"/>
          <c:showBubbleSize val="0"/>
        </c:dLbls>
        <c:marker val="1"/>
        <c:smooth val="0"/>
        <c:axId val="327715712"/>
        <c:axId val="327716888"/>
      </c:lineChart>
      <c:catAx>
        <c:axId val="32771571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716888"/>
        <c:crosses val="autoZero"/>
        <c:auto val="1"/>
        <c:lblAlgn val="ctr"/>
        <c:lblOffset val="100"/>
        <c:tickLblSkip val="1"/>
        <c:noMultiLvlLbl val="0"/>
      </c:catAx>
      <c:valAx>
        <c:axId val="327716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77157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215-4EA5-88EA-F82627A665EA}"/>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ext xmlns:c16="http://schemas.microsoft.com/office/drawing/2014/chart" uri="{C3380CC4-5D6E-409C-BE32-E72D297353CC}">
              <c16:uniqueId val="{00000001-5215-4EA5-88EA-F82627A665EA}"/>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62.9</c:v>
                </c:pt>
                <c:pt idx="18">
                  <c:v>#N/A</c:v>
                </c:pt>
                <c:pt idx="19">
                  <c:v>#N/A</c:v>
                </c:pt>
                <c:pt idx="20">
                  <c:v>#N/A</c:v>
                </c:pt>
              </c:numCache>
              <c:extLst/>
            </c:numRef>
          </c:val>
          <c:extLst>
            <c:ext xmlns:c16="http://schemas.microsoft.com/office/drawing/2014/chart" uri="{C3380CC4-5D6E-409C-BE32-E72D297353CC}">
              <c16:uniqueId val="{00000002-5215-4EA5-88EA-F82627A665EA}"/>
            </c:ext>
          </c:extLst>
        </c:ser>
        <c:dLbls>
          <c:showLegendKey val="0"/>
          <c:showVal val="0"/>
          <c:showCatName val="0"/>
          <c:showSerName val="0"/>
          <c:showPercent val="0"/>
          <c:showBubbleSize val="0"/>
        </c:dLbls>
        <c:gapWidth val="50"/>
        <c:overlap val="100"/>
        <c:axId val="329642032"/>
        <c:axId val="3296436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215-4EA5-88EA-F82627A665EA}"/>
            </c:ext>
          </c:extLst>
        </c:ser>
        <c:dLbls>
          <c:showLegendKey val="0"/>
          <c:showVal val="0"/>
          <c:showCatName val="0"/>
          <c:showSerName val="0"/>
          <c:showPercent val="0"/>
          <c:showBubbleSize val="0"/>
        </c:dLbls>
        <c:marker val="1"/>
        <c:smooth val="0"/>
        <c:axId val="329642032"/>
        <c:axId val="329643600"/>
      </c:lineChart>
      <c:catAx>
        <c:axId val="3296420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643600"/>
        <c:crosses val="autoZero"/>
        <c:auto val="1"/>
        <c:lblAlgn val="ctr"/>
        <c:lblOffset val="100"/>
        <c:tickLblSkip val="1"/>
        <c:noMultiLvlLbl val="0"/>
      </c:catAx>
      <c:valAx>
        <c:axId val="3296436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6420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7962-44BC-BEE6-FB9F0D8778B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ext xmlns:c16="http://schemas.microsoft.com/office/drawing/2014/chart" uri="{C3380CC4-5D6E-409C-BE32-E72D297353CC}">
              <c16:uniqueId val="{00000001-7962-44BC-BEE6-FB9F0D8778B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75.5</c:v>
                </c:pt>
                <c:pt idx="18">
                  <c:v>#N/A</c:v>
                </c:pt>
                <c:pt idx="19">
                  <c:v>#N/A</c:v>
                </c:pt>
                <c:pt idx="20">
                  <c:v>#N/A</c:v>
                </c:pt>
              </c:numCache>
              <c:extLst/>
            </c:numRef>
          </c:val>
          <c:extLst>
            <c:ext xmlns:c16="http://schemas.microsoft.com/office/drawing/2014/chart" uri="{C3380CC4-5D6E-409C-BE32-E72D297353CC}">
              <c16:uniqueId val="{00000002-7962-44BC-BEE6-FB9F0D8778B3}"/>
            </c:ext>
          </c:extLst>
        </c:ser>
        <c:dLbls>
          <c:showLegendKey val="0"/>
          <c:showVal val="0"/>
          <c:showCatName val="0"/>
          <c:showSerName val="0"/>
          <c:showPercent val="0"/>
          <c:showBubbleSize val="0"/>
        </c:dLbls>
        <c:gapWidth val="50"/>
        <c:overlap val="100"/>
        <c:axId val="329638504"/>
        <c:axId val="3296447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7962-44BC-BEE6-FB9F0D8778B3}"/>
            </c:ext>
          </c:extLst>
        </c:ser>
        <c:dLbls>
          <c:showLegendKey val="0"/>
          <c:showVal val="0"/>
          <c:showCatName val="0"/>
          <c:showSerName val="0"/>
          <c:showPercent val="0"/>
          <c:showBubbleSize val="0"/>
        </c:dLbls>
        <c:marker val="1"/>
        <c:smooth val="0"/>
        <c:axId val="329638504"/>
        <c:axId val="329644776"/>
      </c:lineChart>
      <c:catAx>
        <c:axId val="32963850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644776"/>
        <c:crosses val="autoZero"/>
        <c:auto val="1"/>
        <c:lblAlgn val="ctr"/>
        <c:lblOffset val="100"/>
        <c:tickLblSkip val="1"/>
        <c:noMultiLvlLbl val="0"/>
      </c:catAx>
      <c:valAx>
        <c:axId val="3296447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296385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BA1B-E9F7-402D-ADDE-6284C513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2019-07-25T20:57:00Z</cp:lastPrinted>
  <dcterms:created xsi:type="dcterms:W3CDTF">2023-07-17T03:20:00Z</dcterms:created>
  <dcterms:modified xsi:type="dcterms:W3CDTF">2023-07-17T03:20:00Z</dcterms:modified>
</cp:coreProperties>
</file>