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FD755"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701816" w:rsidRPr="00701816">
        <w:rPr>
          <w:rFonts w:cs="Times New Roman"/>
          <w:b/>
          <w:sz w:val="72"/>
        </w:rPr>
        <w:t>Counties Manukau</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20349A31"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1D0C1A20" w14:textId="77777777" w:rsidR="00115CAE" w:rsidRPr="001414CF" w:rsidRDefault="00701816" w:rsidP="00115CAE">
      <w:pPr>
        <w:spacing w:line="264" w:lineRule="auto"/>
        <w:ind w:right="424"/>
        <w:rPr>
          <w:rFonts w:cs="Times New Roman"/>
          <w:sz w:val="56"/>
        </w:rPr>
      </w:pPr>
      <w:r w:rsidRPr="00701816">
        <w:rPr>
          <w:rFonts w:cs="Times New Roman"/>
          <w:sz w:val="56"/>
        </w:rPr>
        <w:t>30 June 2017</w:t>
      </w:r>
    </w:p>
    <w:p w14:paraId="74530CAC"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311A1487"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701816" w:rsidRPr="00701816">
        <w:rPr>
          <w:rFonts w:cs="Times New Roman"/>
        </w:rPr>
        <w:t>July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701816" w:rsidRPr="00701816">
        <w:rPr>
          <w:rFonts w:cs="Times New Roman"/>
          <w:i/>
        </w:rPr>
        <w:t>30 June 2017</w:t>
      </w:r>
      <w:r w:rsidRPr="00982FA0">
        <w:rPr>
          <w:rFonts w:cs="Times New Roman"/>
        </w:rPr>
        <w:t>. Wellington: Ministry of Health.</w:t>
      </w:r>
    </w:p>
    <w:p w14:paraId="50924433"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701816" w:rsidRPr="00701816">
        <w:rPr>
          <w:rFonts w:cs="Times New Roman"/>
        </w:rPr>
        <w:t>July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164F4B78" w14:textId="77777777" w:rsidR="00115CAE" w:rsidRPr="00982FA0" w:rsidRDefault="00701816" w:rsidP="00115CAE">
      <w:pPr>
        <w:spacing w:after="240" w:line="264" w:lineRule="auto"/>
        <w:jc w:val="center"/>
        <w:rPr>
          <w:rFonts w:cs="Times New Roman"/>
        </w:rPr>
      </w:pPr>
      <w:r w:rsidRPr="00701816">
        <w:rPr>
          <w:rFonts w:cs="Times New Roman"/>
        </w:rPr>
        <w:t>2422-</w:t>
      </w:r>
      <w:proofErr w:type="gramStart"/>
      <w:r w:rsidRPr="00701816">
        <w:rPr>
          <w:rFonts w:cs="Times New Roman"/>
        </w:rPr>
        <w:t xml:space="preserve">9172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14:paraId="7B0F067E"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0A79100E" w14:textId="77777777" w:rsidR="00115CAE" w:rsidRPr="00F079BE" w:rsidRDefault="00115CAE" w:rsidP="00115CAE"/>
    <w:p w14:paraId="61699B5C"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2B7A140E" w14:textId="77777777" w:rsidR="00115CAE" w:rsidRDefault="00115CAE" w:rsidP="00115CAE">
      <w:pPr>
        <w:pStyle w:val="Contentsheading"/>
        <w:rPr>
          <w:noProof/>
        </w:rPr>
      </w:pPr>
      <w:r>
        <w:rPr>
          <w:noProof/>
        </w:rPr>
        <w:lastRenderedPageBreak/>
        <w:t>Contents</w:t>
      </w:r>
    </w:p>
    <w:p w14:paraId="05602BB1" w14:textId="77777777" w:rsidR="00322E36" w:rsidRPr="00322E36" w:rsidRDefault="00115CAE">
      <w:pPr>
        <w:pStyle w:val="TOC1"/>
        <w:tabs>
          <w:tab w:val="right" w:leader="dot" w:pos="9345"/>
        </w:tabs>
        <w:rPr>
          <w:rFonts w:asciiTheme="minorHAnsi" w:hAnsiTheme="minorHAnsi"/>
          <w:noProof/>
          <w:sz w:val="22"/>
        </w:rPr>
      </w:pPr>
      <w:r w:rsidRPr="00322E36">
        <w:rPr>
          <w:noProof/>
          <w:sz w:val="22"/>
        </w:rPr>
        <w:fldChar w:fldCharType="begin"/>
      </w:r>
      <w:r w:rsidRPr="00322E36">
        <w:rPr>
          <w:noProof/>
          <w:sz w:val="22"/>
        </w:rPr>
        <w:instrText xml:space="preserve"> TOC \o "2-2" \t "Heading 1,1" </w:instrText>
      </w:r>
      <w:r w:rsidRPr="00322E36">
        <w:rPr>
          <w:noProof/>
          <w:sz w:val="22"/>
        </w:rPr>
        <w:fldChar w:fldCharType="separate"/>
      </w:r>
      <w:r w:rsidR="00322E36" w:rsidRPr="00322E36">
        <w:rPr>
          <w:noProof/>
          <w:sz w:val="22"/>
        </w:rPr>
        <w:t>Introduction</w:t>
      </w:r>
      <w:r w:rsidR="00322E36" w:rsidRPr="00322E36">
        <w:rPr>
          <w:noProof/>
          <w:sz w:val="22"/>
        </w:rPr>
        <w:tab/>
      </w:r>
      <w:r w:rsidR="00322E36" w:rsidRPr="00322E36">
        <w:rPr>
          <w:noProof/>
          <w:sz w:val="22"/>
        </w:rPr>
        <w:fldChar w:fldCharType="begin"/>
      </w:r>
      <w:r w:rsidR="00322E36" w:rsidRPr="00322E36">
        <w:rPr>
          <w:noProof/>
          <w:sz w:val="22"/>
        </w:rPr>
        <w:instrText xml:space="preserve"> PAGEREF _Toc488255827 \h </w:instrText>
      </w:r>
      <w:r w:rsidR="00322E36" w:rsidRPr="00322E36">
        <w:rPr>
          <w:noProof/>
          <w:sz w:val="22"/>
        </w:rPr>
      </w:r>
      <w:r w:rsidR="00322E36" w:rsidRPr="00322E36">
        <w:rPr>
          <w:noProof/>
          <w:sz w:val="22"/>
        </w:rPr>
        <w:fldChar w:fldCharType="separate"/>
      </w:r>
      <w:r w:rsidR="00363F9D">
        <w:rPr>
          <w:noProof/>
          <w:sz w:val="22"/>
        </w:rPr>
        <w:t>2</w:t>
      </w:r>
      <w:r w:rsidR="00322E36" w:rsidRPr="00322E36">
        <w:rPr>
          <w:noProof/>
          <w:sz w:val="22"/>
        </w:rPr>
        <w:fldChar w:fldCharType="end"/>
      </w:r>
    </w:p>
    <w:p w14:paraId="5578C72B" w14:textId="77777777" w:rsidR="00322E36" w:rsidRPr="00322E36" w:rsidRDefault="00322E36">
      <w:pPr>
        <w:pStyle w:val="TOC1"/>
        <w:tabs>
          <w:tab w:val="right" w:leader="dot" w:pos="9345"/>
        </w:tabs>
        <w:rPr>
          <w:rFonts w:asciiTheme="minorHAnsi" w:hAnsiTheme="minorHAnsi"/>
          <w:noProof/>
          <w:sz w:val="22"/>
        </w:rPr>
      </w:pPr>
      <w:r w:rsidRPr="00322E36">
        <w:rPr>
          <w:noProof/>
          <w:sz w:val="22"/>
        </w:rPr>
        <w:t>Technical notes</w:t>
      </w:r>
      <w:r w:rsidRPr="00322E36">
        <w:rPr>
          <w:noProof/>
          <w:sz w:val="22"/>
        </w:rPr>
        <w:tab/>
      </w:r>
      <w:r w:rsidRPr="00322E36">
        <w:rPr>
          <w:noProof/>
          <w:sz w:val="22"/>
        </w:rPr>
        <w:fldChar w:fldCharType="begin"/>
      </w:r>
      <w:r w:rsidRPr="00322E36">
        <w:rPr>
          <w:noProof/>
          <w:sz w:val="22"/>
        </w:rPr>
        <w:instrText xml:space="preserve"> PAGEREF _Toc488255828 \h </w:instrText>
      </w:r>
      <w:r w:rsidRPr="00322E36">
        <w:rPr>
          <w:noProof/>
          <w:sz w:val="22"/>
        </w:rPr>
      </w:r>
      <w:r w:rsidRPr="00322E36">
        <w:rPr>
          <w:noProof/>
          <w:sz w:val="22"/>
        </w:rPr>
        <w:fldChar w:fldCharType="separate"/>
      </w:r>
      <w:r w:rsidR="00363F9D">
        <w:rPr>
          <w:noProof/>
          <w:sz w:val="22"/>
        </w:rPr>
        <w:t>3</w:t>
      </w:r>
      <w:r w:rsidRPr="00322E36">
        <w:rPr>
          <w:noProof/>
          <w:sz w:val="22"/>
        </w:rPr>
        <w:fldChar w:fldCharType="end"/>
      </w:r>
    </w:p>
    <w:p w14:paraId="157D9A5C" w14:textId="77777777" w:rsidR="00322E36" w:rsidRPr="00322E36" w:rsidRDefault="00322E36">
      <w:pPr>
        <w:pStyle w:val="TOC1"/>
        <w:tabs>
          <w:tab w:val="right" w:leader="dot" w:pos="9345"/>
        </w:tabs>
        <w:rPr>
          <w:rFonts w:asciiTheme="minorHAnsi" w:hAnsiTheme="minorHAnsi"/>
          <w:noProof/>
          <w:sz w:val="22"/>
        </w:rPr>
      </w:pPr>
      <w:r w:rsidRPr="00322E36">
        <w:rPr>
          <w:noProof/>
          <w:sz w:val="22"/>
        </w:rPr>
        <w:t>Counties Manukau coverage</w:t>
      </w:r>
      <w:r w:rsidRPr="00322E36">
        <w:rPr>
          <w:noProof/>
          <w:sz w:val="22"/>
        </w:rPr>
        <w:tab/>
      </w:r>
      <w:r w:rsidRPr="00322E36">
        <w:rPr>
          <w:noProof/>
          <w:sz w:val="22"/>
        </w:rPr>
        <w:fldChar w:fldCharType="begin"/>
      </w:r>
      <w:r w:rsidRPr="00322E36">
        <w:rPr>
          <w:noProof/>
          <w:sz w:val="22"/>
        </w:rPr>
        <w:instrText xml:space="preserve"> PAGEREF _Toc488255829 \h </w:instrText>
      </w:r>
      <w:r w:rsidRPr="00322E36">
        <w:rPr>
          <w:noProof/>
          <w:sz w:val="22"/>
        </w:rPr>
      </w:r>
      <w:r w:rsidRPr="00322E36">
        <w:rPr>
          <w:noProof/>
          <w:sz w:val="22"/>
        </w:rPr>
        <w:fldChar w:fldCharType="separate"/>
      </w:r>
      <w:r w:rsidR="00363F9D">
        <w:rPr>
          <w:noProof/>
          <w:sz w:val="22"/>
        </w:rPr>
        <w:t>4</w:t>
      </w:r>
      <w:r w:rsidRPr="00322E36">
        <w:rPr>
          <w:noProof/>
          <w:sz w:val="22"/>
        </w:rPr>
        <w:fldChar w:fldCharType="end"/>
      </w:r>
    </w:p>
    <w:p w14:paraId="0E9777D1" w14:textId="77777777" w:rsidR="00322E36" w:rsidRPr="00322E36" w:rsidRDefault="00322E36">
      <w:pPr>
        <w:pStyle w:val="TOC2"/>
        <w:tabs>
          <w:tab w:val="right" w:leader="dot" w:pos="9345"/>
        </w:tabs>
        <w:rPr>
          <w:rFonts w:asciiTheme="minorHAnsi" w:hAnsiTheme="minorHAnsi"/>
          <w:noProof/>
        </w:rPr>
      </w:pPr>
      <w:r w:rsidRPr="00322E36">
        <w:rPr>
          <w:noProof/>
        </w:rPr>
        <w:t>Counties Manukau coverage by ethnicity in the two years ending 30 June 2017</w:t>
      </w:r>
      <w:r w:rsidRPr="00322E36">
        <w:rPr>
          <w:noProof/>
        </w:rPr>
        <w:tab/>
      </w:r>
      <w:r w:rsidRPr="00322E36">
        <w:rPr>
          <w:noProof/>
        </w:rPr>
        <w:fldChar w:fldCharType="begin"/>
      </w:r>
      <w:r w:rsidRPr="00322E36">
        <w:rPr>
          <w:noProof/>
        </w:rPr>
        <w:instrText xml:space="preserve"> PAGEREF _Toc488255830 \h </w:instrText>
      </w:r>
      <w:r w:rsidRPr="00322E36">
        <w:rPr>
          <w:noProof/>
        </w:rPr>
      </w:r>
      <w:r w:rsidRPr="00322E36">
        <w:rPr>
          <w:noProof/>
        </w:rPr>
        <w:fldChar w:fldCharType="separate"/>
      </w:r>
      <w:r w:rsidR="00363F9D">
        <w:rPr>
          <w:noProof/>
        </w:rPr>
        <w:t>4</w:t>
      </w:r>
      <w:r w:rsidRPr="00322E36">
        <w:rPr>
          <w:noProof/>
        </w:rPr>
        <w:fldChar w:fldCharType="end"/>
      </w:r>
    </w:p>
    <w:p w14:paraId="63DC4FD6" w14:textId="77777777" w:rsidR="00322E36" w:rsidRPr="00322E36" w:rsidRDefault="00322E36">
      <w:pPr>
        <w:pStyle w:val="TOC2"/>
        <w:tabs>
          <w:tab w:val="right" w:leader="dot" w:pos="9345"/>
        </w:tabs>
        <w:rPr>
          <w:rFonts w:asciiTheme="minorHAnsi" w:hAnsiTheme="minorHAnsi"/>
          <w:noProof/>
        </w:rPr>
      </w:pPr>
      <w:r w:rsidRPr="00322E36">
        <w:rPr>
          <w:noProof/>
        </w:rPr>
        <w:t>Counties Manukau coverage trends by ethnicity</w:t>
      </w:r>
      <w:r w:rsidRPr="00322E36">
        <w:rPr>
          <w:noProof/>
        </w:rPr>
        <w:tab/>
      </w:r>
      <w:r w:rsidRPr="00322E36">
        <w:rPr>
          <w:noProof/>
        </w:rPr>
        <w:fldChar w:fldCharType="begin"/>
      </w:r>
      <w:r w:rsidRPr="00322E36">
        <w:rPr>
          <w:noProof/>
        </w:rPr>
        <w:instrText xml:space="preserve"> PAGEREF _Toc488255831 \h </w:instrText>
      </w:r>
      <w:r w:rsidRPr="00322E36">
        <w:rPr>
          <w:noProof/>
        </w:rPr>
      </w:r>
      <w:r w:rsidRPr="00322E36">
        <w:rPr>
          <w:noProof/>
        </w:rPr>
        <w:fldChar w:fldCharType="separate"/>
      </w:r>
      <w:r w:rsidR="00363F9D">
        <w:rPr>
          <w:noProof/>
        </w:rPr>
        <w:t>5</w:t>
      </w:r>
      <w:r w:rsidRPr="00322E36">
        <w:rPr>
          <w:noProof/>
        </w:rPr>
        <w:fldChar w:fldCharType="end"/>
      </w:r>
    </w:p>
    <w:p w14:paraId="15EFA674" w14:textId="77777777" w:rsidR="00322E36" w:rsidRPr="00322E36" w:rsidRDefault="00322E36">
      <w:pPr>
        <w:pStyle w:val="TOC1"/>
        <w:tabs>
          <w:tab w:val="right" w:leader="dot" w:pos="9345"/>
        </w:tabs>
        <w:rPr>
          <w:rFonts w:asciiTheme="minorHAnsi" w:hAnsiTheme="minorHAnsi"/>
          <w:noProof/>
          <w:sz w:val="22"/>
        </w:rPr>
      </w:pPr>
      <w:r w:rsidRPr="00322E36">
        <w:rPr>
          <w:noProof/>
          <w:sz w:val="22"/>
        </w:rPr>
        <w:t>DHB coverage comparisons</w:t>
      </w:r>
      <w:r w:rsidRPr="00322E36">
        <w:rPr>
          <w:noProof/>
          <w:sz w:val="22"/>
        </w:rPr>
        <w:tab/>
      </w:r>
      <w:r w:rsidRPr="00322E36">
        <w:rPr>
          <w:noProof/>
          <w:sz w:val="22"/>
        </w:rPr>
        <w:fldChar w:fldCharType="begin"/>
      </w:r>
      <w:r w:rsidRPr="00322E36">
        <w:rPr>
          <w:noProof/>
          <w:sz w:val="22"/>
        </w:rPr>
        <w:instrText xml:space="preserve"> PAGEREF _Toc488255832 \h </w:instrText>
      </w:r>
      <w:r w:rsidRPr="00322E36">
        <w:rPr>
          <w:noProof/>
          <w:sz w:val="22"/>
        </w:rPr>
      </w:r>
      <w:r w:rsidRPr="00322E36">
        <w:rPr>
          <w:noProof/>
          <w:sz w:val="22"/>
        </w:rPr>
        <w:fldChar w:fldCharType="separate"/>
      </w:r>
      <w:r w:rsidR="00363F9D">
        <w:rPr>
          <w:noProof/>
          <w:sz w:val="22"/>
        </w:rPr>
        <w:t>6</w:t>
      </w:r>
      <w:r w:rsidRPr="00322E36">
        <w:rPr>
          <w:noProof/>
          <w:sz w:val="22"/>
        </w:rPr>
        <w:fldChar w:fldCharType="end"/>
      </w:r>
    </w:p>
    <w:p w14:paraId="25D15E39" w14:textId="77777777" w:rsidR="00322E36" w:rsidRPr="00322E36" w:rsidRDefault="00322E36">
      <w:pPr>
        <w:pStyle w:val="TOC2"/>
        <w:tabs>
          <w:tab w:val="right" w:leader="dot" w:pos="9345"/>
        </w:tabs>
        <w:rPr>
          <w:rFonts w:asciiTheme="minorHAnsi" w:hAnsiTheme="minorHAnsi"/>
          <w:noProof/>
        </w:rPr>
      </w:pPr>
      <w:r w:rsidRPr="00322E36">
        <w:rPr>
          <w:noProof/>
        </w:rPr>
        <w:t>DHB coverage by ethnicity in the two years ending 30 June 2017</w:t>
      </w:r>
      <w:r w:rsidRPr="00322E36">
        <w:rPr>
          <w:noProof/>
        </w:rPr>
        <w:tab/>
      </w:r>
      <w:r w:rsidRPr="00322E36">
        <w:rPr>
          <w:noProof/>
        </w:rPr>
        <w:fldChar w:fldCharType="begin"/>
      </w:r>
      <w:r w:rsidRPr="00322E36">
        <w:rPr>
          <w:noProof/>
        </w:rPr>
        <w:instrText xml:space="preserve"> PAGEREF _Toc488255833 \h </w:instrText>
      </w:r>
      <w:r w:rsidRPr="00322E36">
        <w:rPr>
          <w:noProof/>
        </w:rPr>
      </w:r>
      <w:r w:rsidRPr="00322E36">
        <w:rPr>
          <w:noProof/>
        </w:rPr>
        <w:fldChar w:fldCharType="separate"/>
      </w:r>
      <w:r w:rsidR="00363F9D">
        <w:rPr>
          <w:noProof/>
        </w:rPr>
        <w:t>6</w:t>
      </w:r>
      <w:r w:rsidRPr="00322E36">
        <w:rPr>
          <w:noProof/>
        </w:rPr>
        <w:fldChar w:fldCharType="end"/>
      </w:r>
    </w:p>
    <w:p w14:paraId="6C187F61" w14:textId="77777777" w:rsidR="00322E36" w:rsidRPr="00322E36" w:rsidRDefault="00322E36">
      <w:pPr>
        <w:pStyle w:val="TOC2"/>
        <w:tabs>
          <w:tab w:val="right" w:leader="dot" w:pos="9345"/>
        </w:tabs>
        <w:rPr>
          <w:rFonts w:asciiTheme="minorHAnsi" w:hAnsiTheme="minorHAnsi"/>
          <w:noProof/>
        </w:rPr>
      </w:pPr>
      <w:r w:rsidRPr="00322E36">
        <w:rPr>
          <w:noProof/>
        </w:rPr>
        <w:t>DHB coverage comparison trends by ethnicity</w:t>
      </w:r>
      <w:r w:rsidRPr="00322E36">
        <w:rPr>
          <w:noProof/>
        </w:rPr>
        <w:tab/>
      </w:r>
      <w:r w:rsidRPr="00322E36">
        <w:rPr>
          <w:noProof/>
        </w:rPr>
        <w:fldChar w:fldCharType="begin"/>
      </w:r>
      <w:r w:rsidRPr="00322E36">
        <w:rPr>
          <w:noProof/>
        </w:rPr>
        <w:instrText xml:space="preserve"> PAGEREF _Toc488255834 \h </w:instrText>
      </w:r>
      <w:r w:rsidRPr="00322E36">
        <w:rPr>
          <w:noProof/>
        </w:rPr>
      </w:r>
      <w:r w:rsidRPr="00322E36">
        <w:rPr>
          <w:noProof/>
        </w:rPr>
        <w:fldChar w:fldCharType="separate"/>
      </w:r>
      <w:r w:rsidR="00363F9D">
        <w:rPr>
          <w:noProof/>
        </w:rPr>
        <w:t>12</w:t>
      </w:r>
      <w:r w:rsidRPr="00322E36">
        <w:rPr>
          <w:noProof/>
        </w:rPr>
        <w:fldChar w:fldCharType="end"/>
      </w:r>
    </w:p>
    <w:p w14:paraId="02DBA1CE" w14:textId="77777777" w:rsidR="00115CAE" w:rsidRPr="00322E36" w:rsidRDefault="00115CAE" w:rsidP="00BF27D3">
      <w:pPr>
        <w:spacing w:before="120"/>
        <w:rPr>
          <w:b/>
          <w:noProof/>
          <w:sz w:val="22"/>
        </w:rPr>
      </w:pPr>
      <w:r w:rsidRPr="00322E36">
        <w:rPr>
          <w:noProof/>
          <w:sz w:val="22"/>
        </w:rPr>
        <w:fldChar w:fldCharType="end"/>
      </w:r>
      <w:r w:rsidRPr="00322E36">
        <w:rPr>
          <w:b/>
          <w:noProof/>
          <w:sz w:val="22"/>
        </w:rPr>
        <w:t>List of tables</w:t>
      </w:r>
    </w:p>
    <w:p w14:paraId="3EDB0F2A" w14:textId="77777777" w:rsidR="00D8713D" w:rsidRDefault="00115CAE">
      <w:pPr>
        <w:pStyle w:val="TOC3"/>
        <w:tabs>
          <w:tab w:val="right" w:leader="dot" w:pos="9345"/>
        </w:tabs>
        <w:rPr>
          <w:rFonts w:asciiTheme="minorHAnsi" w:hAnsiTheme="minorHAnsi"/>
          <w:noProof/>
        </w:rPr>
      </w:pPr>
      <w:r w:rsidRPr="00322E36">
        <w:rPr>
          <w:noProof/>
        </w:rPr>
        <w:fldChar w:fldCharType="begin"/>
      </w:r>
      <w:r w:rsidRPr="00322E36">
        <w:rPr>
          <w:noProof/>
        </w:rPr>
        <w:instrText xml:space="preserve"> TOC \t "Table,3" </w:instrText>
      </w:r>
      <w:r w:rsidRPr="00322E36">
        <w:rPr>
          <w:noProof/>
        </w:rPr>
        <w:fldChar w:fldCharType="separate"/>
      </w:r>
      <w:r w:rsidR="00D8713D">
        <w:rPr>
          <w:noProof/>
        </w:rPr>
        <w:t>Table 1: BSA coverage (%) in the two years ending 30 June 2017 by ethnicity, women aged 50–69 years</w:t>
      </w:r>
      <w:r w:rsidR="00D8713D">
        <w:rPr>
          <w:noProof/>
        </w:rPr>
        <w:tab/>
      </w:r>
      <w:r w:rsidR="00D8713D">
        <w:rPr>
          <w:noProof/>
        </w:rPr>
        <w:fldChar w:fldCharType="begin"/>
      </w:r>
      <w:r w:rsidR="00D8713D">
        <w:rPr>
          <w:noProof/>
        </w:rPr>
        <w:instrText xml:space="preserve"> PAGEREF _Toc488653907 \h </w:instrText>
      </w:r>
      <w:r w:rsidR="00D8713D">
        <w:rPr>
          <w:noProof/>
        </w:rPr>
      </w:r>
      <w:r w:rsidR="00D8713D">
        <w:rPr>
          <w:noProof/>
        </w:rPr>
        <w:fldChar w:fldCharType="separate"/>
      </w:r>
      <w:r w:rsidR="00363F9D">
        <w:rPr>
          <w:noProof/>
        </w:rPr>
        <w:t>4</w:t>
      </w:r>
      <w:r w:rsidR="00D8713D">
        <w:rPr>
          <w:noProof/>
        </w:rPr>
        <w:fldChar w:fldCharType="end"/>
      </w:r>
    </w:p>
    <w:p w14:paraId="74E181FE" w14:textId="77777777" w:rsidR="00D8713D" w:rsidRDefault="00D8713D">
      <w:pPr>
        <w:pStyle w:val="TOC3"/>
        <w:tabs>
          <w:tab w:val="right" w:leader="dot" w:pos="9345"/>
        </w:tabs>
        <w:rPr>
          <w:rFonts w:asciiTheme="minorHAnsi" w:hAnsiTheme="minorHAnsi"/>
          <w:noProof/>
        </w:rPr>
      </w:pPr>
      <w:r>
        <w:rPr>
          <w:noProof/>
        </w:rPr>
        <w:t>Table 2: BSA number of screens in women aged 50–69 years by ethnicity and quarter, Quarter 2 2016 - Quarter 2 2017</w:t>
      </w:r>
      <w:r>
        <w:rPr>
          <w:noProof/>
        </w:rPr>
        <w:tab/>
      </w:r>
      <w:r>
        <w:rPr>
          <w:noProof/>
        </w:rPr>
        <w:fldChar w:fldCharType="begin"/>
      </w:r>
      <w:r>
        <w:rPr>
          <w:noProof/>
        </w:rPr>
        <w:instrText xml:space="preserve"> PAGEREF _Toc488653908 \h </w:instrText>
      </w:r>
      <w:r>
        <w:rPr>
          <w:noProof/>
        </w:rPr>
      </w:r>
      <w:r>
        <w:rPr>
          <w:noProof/>
        </w:rPr>
        <w:fldChar w:fldCharType="separate"/>
      </w:r>
      <w:r w:rsidR="00363F9D">
        <w:rPr>
          <w:noProof/>
        </w:rPr>
        <w:t>5</w:t>
      </w:r>
      <w:r>
        <w:rPr>
          <w:noProof/>
        </w:rPr>
        <w:fldChar w:fldCharType="end"/>
      </w:r>
    </w:p>
    <w:p w14:paraId="0A44E5E9" w14:textId="77777777" w:rsidR="00D8713D" w:rsidRDefault="00D8713D">
      <w:pPr>
        <w:pStyle w:val="TOC3"/>
        <w:tabs>
          <w:tab w:val="right" w:leader="dot" w:pos="9345"/>
        </w:tabs>
        <w:rPr>
          <w:rFonts w:asciiTheme="minorHAnsi" w:hAnsiTheme="minorHAnsi"/>
          <w:noProof/>
        </w:rPr>
      </w:pPr>
      <w:r>
        <w:rPr>
          <w:noProof/>
        </w:rPr>
        <w:t>Table 3: BSA number of screens and coverage (%) in women aged 50–69 years in the two years ending 30 June 2017 by District Health Board</w:t>
      </w:r>
      <w:r>
        <w:rPr>
          <w:noProof/>
        </w:rPr>
        <w:tab/>
      </w:r>
      <w:r>
        <w:rPr>
          <w:noProof/>
        </w:rPr>
        <w:fldChar w:fldCharType="begin"/>
      </w:r>
      <w:r>
        <w:rPr>
          <w:noProof/>
        </w:rPr>
        <w:instrText xml:space="preserve"> PAGEREF _Toc488653909 \h </w:instrText>
      </w:r>
      <w:r>
        <w:rPr>
          <w:noProof/>
        </w:rPr>
      </w:r>
      <w:r>
        <w:rPr>
          <w:noProof/>
        </w:rPr>
        <w:fldChar w:fldCharType="separate"/>
      </w:r>
      <w:r w:rsidR="00363F9D">
        <w:rPr>
          <w:noProof/>
        </w:rPr>
        <w:t>11</w:t>
      </w:r>
      <w:r>
        <w:rPr>
          <w:noProof/>
        </w:rPr>
        <w:fldChar w:fldCharType="end"/>
      </w:r>
    </w:p>
    <w:p w14:paraId="1034E035" w14:textId="77777777" w:rsidR="00D8713D" w:rsidRDefault="00D8713D">
      <w:pPr>
        <w:pStyle w:val="TOC3"/>
        <w:tabs>
          <w:tab w:val="right" w:leader="dot" w:pos="9345"/>
        </w:tabs>
        <w:rPr>
          <w:rFonts w:asciiTheme="minorHAnsi" w:hAnsiTheme="minorHAnsi"/>
          <w:noProof/>
        </w:rPr>
      </w:pPr>
      <w:r>
        <w:rPr>
          <w:noProof/>
        </w:rPr>
        <w:t>Table 4: BSA coverage (%) of women aged 50–69 years in the two years ending 30 June, 2015, 2016, 2017, by ethnicity and District Health Board</w:t>
      </w:r>
      <w:r>
        <w:rPr>
          <w:noProof/>
        </w:rPr>
        <w:tab/>
      </w:r>
      <w:r>
        <w:rPr>
          <w:noProof/>
        </w:rPr>
        <w:fldChar w:fldCharType="begin"/>
      </w:r>
      <w:r>
        <w:rPr>
          <w:noProof/>
        </w:rPr>
        <w:instrText xml:space="preserve"> PAGEREF _Toc488653910 \h </w:instrText>
      </w:r>
      <w:r>
        <w:rPr>
          <w:noProof/>
        </w:rPr>
      </w:r>
      <w:r>
        <w:rPr>
          <w:noProof/>
        </w:rPr>
        <w:fldChar w:fldCharType="separate"/>
      </w:r>
      <w:r w:rsidR="00363F9D">
        <w:rPr>
          <w:noProof/>
        </w:rPr>
        <w:t>12</w:t>
      </w:r>
      <w:r>
        <w:rPr>
          <w:noProof/>
        </w:rPr>
        <w:fldChar w:fldCharType="end"/>
      </w:r>
    </w:p>
    <w:p w14:paraId="578A0C72" w14:textId="77777777" w:rsidR="00115CAE" w:rsidRPr="00322E36" w:rsidRDefault="00115CAE" w:rsidP="00BF27D3">
      <w:pPr>
        <w:spacing w:before="120"/>
        <w:rPr>
          <w:b/>
          <w:noProof/>
          <w:sz w:val="22"/>
        </w:rPr>
      </w:pPr>
      <w:r w:rsidRPr="00322E36">
        <w:rPr>
          <w:noProof/>
          <w:sz w:val="22"/>
        </w:rPr>
        <w:fldChar w:fldCharType="end"/>
      </w:r>
      <w:r w:rsidRPr="00322E36">
        <w:rPr>
          <w:b/>
          <w:noProof/>
          <w:sz w:val="22"/>
        </w:rPr>
        <w:t>List of figures</w:t>
      </w:r>
    </w:p>
    <w:p w14:paraId="660C5E48" w14:textId="77777777" w:rsidR="00726002" w:rsidRDefault="00115CAE">
      <w:pPr>
        <w:pStyle w:val="TOC3"/>
        <w:tabs>
          <w:tab w:val="right" w:leader="dot" w:pos="9345"/>
        </w:tabs>
        <w:rPr>
          <w:rFonts w:asciiTheme="minorHAnsi" w:hAnsiTheme="minorHAnsi"/>
          <w:noProof/>
        </w:rPr>
      </w:pPr>
      <w:r w:rsidRPr="00322E36">
        <w:rPr>
          <w:noProof/>
        </w:rPr>
        <w:fldChar w:fldCharType="begin"/>
      </w:r>
      <w:r w:rsidRPr="00322E36">
        <w:rPr>
          <w:noProof/>
        </w:rPr>
        <w:instrText xml:space="preserve"> TOC \t "Figure,3" </w:instrText>
      </w:r>
      <w:r w:rsidRPr="00322E36">
        <w:rPr>
          <w:noProof/>
        </w:rPr>
        <w:fldChar w:fldCharType="separate"/>
      </w:r>
      <w:r w:rsidR="00726002">
        <w:rPr>
          <w:noProof/>
        </w:rPr>
        <w:t>Figure 1: BSA coverage (%) in the two years ending 30 June 2017 by ethnicity, women aged 50–69 years</w:t>
      </w:r>
      <w:r w:rsidR="00726002">
        <w:rPr>
          <w:noProof/>
        </w:rPr>
        <w:tab/>
      </w:r>
      <w:r w:rsidR="00726002">
        <w:rPr>
          <w:noProof/>
        </w:rPr>
        <w:fldChar w:fldCharType="begin"/>
      </w:r>
      <w:r w:rsidR="00726002">
        <w:rPr>
          <w:noProof/>
        </w:rPr>
        <w:instrText xml:space="preserve"> PAGEREF _Toc488311628 \h </w:instrText>
      </w:r>
      <w:r w:rsidR="00726002">
        <w:rPr>
          <w:noProof/>
        </w:rPr>
      </w:r>
      <w:r w:rsidR="00726002">
        <w:rPr>
          <w:noProof/>
        </w:rPr>
        <w:fldChar w:fldCharType="separate"/>
      </w:r>
      <w:r w:rsidR="00363F9D">
        <w:rPr>
          <w:noProof/>
        </w:rPr>
        <w:t>4</w:t>
      </w:r>
      <w:r w:rsidR="00726002">
        <w:rPr>
          <w:noProof/>
        </w:rPr>
        <w:fldChar w:fldCharType="end"/>
      </w:r>
    </w:p>
    <w:p w14:paraId="0389ED71" w14:textId="77777777" w:rsidR="00726002" w:rsidRDefault="00726002">
      <w:pPr>
        <w:pStyle w:val="TOC3"/>
        <w:tabs>
          <w:tab w:val="right" w:leader="dot" w:pos="9345"/>
        </w:tabs>
        <w:rPr>
          <w:rFonts w:asciiTheme="minorHAnsi" w:hAnsiTheme="minorHAnsi"/>
          <w:noProof/>
        </w:rPr>
      </w:pPr>
      <w:r>
        <w:rPr>
          <w:noProof/>
        </w:rPr>
        <w:t>Figure 2: BSA coverage (%) of women aged 50–69 years in the two years ending 30 June 2015, 30 June 2016 and 30 June 2017 by ethnicity</w:t>
      </w:r>
      <w:r>
        <w:rPr>
          <w:noProof/>
        </w:rPr>
        <w:tab/>
      </w:r>
      <w:r>
        <w:rPr>
          <w:noProof/>
        </w:rPr>
        <w:fldChar w:fldCharType="begin"/>
      </w:r>
      <w:r>
        <w:rPr>
          <w:noProof/>
        </w:rPr>
        <w:instrText xml:space="preserve"> PAGEREF _Toc488311629 \h </w:instrText>
      </w:r>
      <w:r>
        <w:rPr>
          <w:noProof/>
        </w:rPr>
      </w:r>
      <w:r>
        <w:rPr>
          <w:noProof/>
        </w:rPr>
        <w:fldChar w:fldCharType="separate"/>
      </w:r>
      <w:r w:rsidR="00363F9D">
        <w:rPr>
          <w:noProof/>
        </w:rPr>
        <w:t>5</w:t>
      </w:r>
      <w:r>
        <w:rPr>
          <w:noProof/>
        </w:rPr>
        <w:fldChar w:fldCharType="end"/>
      </w:r>
    </w:p>
    <w:p w14:paraId="5D66B023" w14:textId="77777777" w:rsidR="00726002" w:rsidRDefault="00726002">
      <w:pPr>
        <w:pStyle w:val="TOC3"/>
        <w:tabs>
          <w:tab w:val="right" w:leader="dot" w:pos="9345"/>
        </w:tabs>
        <w:rPr>
          <w:rFonts w:asciiTheme="minorHAnsi" w:hAnsiTheme="minorHAnsi"/>
          <w:noProof/>
        </w:rPr>
      </w:pPr>
      <w:r>
        <w:rPr>
          <w:noProof/>
        </w:rPr>
        <w:t>Figure 3: BSA coverage (%) of Māori women aged 50–69 years in the two years ending 30 June 2017 by District Health Board</w:t>
      </w:r>
      <w:r>
        <w:rPr>
          <w:noProof/>
        </w:rPr>
        <w:tab/>
      </w:r>
      <w:r>
        <w:rPr>
          <w:noProof/>
        </w:rPr>
        <w:fldChar w:fldCharType="begin"/>
      </w:r>
      <w:r>
        <w:rPr>
          <w:noProof/>
        </w:rPr>
        <w:instrText xml:space="preserve"> PAGEREF _Toc488311630 \h </w:instrText>
      </w:r>
      <w:r>
        <w:rPr>
          <w:noProof/>
        </w:rPr>
      </w:r>
      <w:r>
        <w:rPr>
          <w:noProof/>
        </w:rPr>
        <w:fldChar w:fldCharType="separate"/>
      </w:r>
      <w:r w:rsidR="00363F9D">
        <w:rPr>
          <w:noProof/>
        </w:rPr>
        <w:t>6</w:t>
      </w:r>
      <w:r>
        <w:rPr>
          <w:noProof/>
        </w:rPr>
        <w:fldChar w:fldCharType="end"/>
      </w:r>
    </w:p>
    <w:p w14:paraId="47800F5F" w14:textId="77777777" w:rsidR="00726002" w:rsidRDefault="00726002">
      <w:pPr>
        <w:pStyle w:val="TOC3"/>
        <w:tabs>
          <w:tab w:val="right" w:leader="dot" w:pos="9345"/>
        </w:tabs>
        <w:rPr>
          <w:rFonts w:asciiTheme="minorHAnsi" w:hAnsiTheme="minorHAnsi"/>
          <w:noProof/>
        </w:rPr>
      </w:pPr>
      <w:r>
        <w:rPr>
          <w:noProof/>
        </w:rPr>
        <w:t>Figure 4: BSA coverage (%) of Pacific women aged 50–69 years in the two years ending 30 June 2017 by District Health Board</w:t>
      </w:r>
      <w:r>
        <w:rPr>
          <w:noProof/>
        </w:rPr>
        <w:tab/>
      </w:r>
      <w:r>
        <w:rPr>
          <w:noProof/>
        </w:rPr>
        <w:fldChar w:fldCharType="begin"/>
      </w:r>
      <w:r>
        <w:rPr>
          <w:noProof/>
        </w:rPr>
        <w:instrText xml:space="preserve"> PAGEREF _Toc488311631 \h </w:instrText>
      </w:r>
      <w:r>
        <w:rPr>
          <w:noProof/>
        </w:rPr>
      </w:r>
      <w:r>
        <w:rPr>
          <w:noProof/>
        </w:rPr>
        <w:fldChar w:fldCharType="separate"/>
      </w:r>
      <w:r w:rsidR="00363F9D">
        <w:rPr>
          <w:noProof/>
        </w:rPr>
        <w:t>6</w:t>
      </w:r>
      <w:r>
        <w:rPr>
          <w:noProof/>
        </w:rPr>
        <w:fldChar w:fldCharType="end"/>
      </w:r>
    </w:p>
    <w:p w14:paraId="16DA957E" w14:textId="77777777" w:rsidR="00726002" w:rsidRDefault="00726002">
      <w:pPr>
        <w:pStyle w:val="TOC3"/>
        <w:tabs>
          <w:tab w:val="right" w:leader="dot" w:pos="9345"/>
        </w:tabs>
        <w:rPr>
          <w:rFonts w:asciiTheme="minorHAnsi" w:hAnsiTheme="minorHAnsi"/>
          <w:noProof/>
        </w:rPr>
      </w:pPr>
      <w:r>
        <w:rPr>
          <w:noProof/>
        </w:rPr>
        <w:t>Figure 5: Overall BSA coverage (%) of women aged 50–69 years in the two years ending 30 June 2017 by District Health Board</w:t>
      </w:r>
      <w:r>
        <w:rPr>
          <w:noProof/>
        </w:rPr>
        <w:tab/>
      </w:r>
      <w:r>
        <w:rPr>
          <w:noProof/>
        </w:rPr>
        <w:fldChar w:fldCharType="begin"/>
      </w:r>
      <w:r>
        <w:rPr>
          <w:noProof/>
        </w:rPr>
        <w:instrText xml:space="preserve"> PAGEREF _Toc488311632 \h </w:instrText>
      </w:r>
      <w:r>
        <w:rPr>
          <w:noProof/>
        </w:rPr>
      </w:r>
      <w:r>
        <w:rPr>
          <w:noProof/>
        </w:rPr>
        <w:fldChar w:fldCharType="separate"/>
      </w:r>
      <w:r w:rsidR="00363F9D">
        <w:rPr>
          <w:noProof/>
        </w:rPr>
        <w:t>7</w:t>
      </w:r>
      <w:r>
        <w:rPr>
          <w:noProof/>
        </w:rPr>
        <w:fldChar w:fldCharType="end"/>
      </w:r>
    </w:p>
    <w:p w14:paraId="5AA5BE6A" w14:textId="77777777" w:rsidR="00726002" w:rsidRDefault="00726002">
      <w:pPr>
        <w:pStyle w:val="TOC3"/>
        <w:tabs>
          <w:tab w:val="right" w:leader="dot" w:pos="9345"/>
        </w:tabs>
        <w:rPr>
          <w:rFonts w:asciiTheme="minorHAnsi" w:hAnsiTheme="minorHAnsi"/>
          <w:noProof/>
        </w:rPr>
      </w:pPr>
      <w:r>
        <w:rPr>
          <w:noProof/>
        </w:rPr>
        <w:t>Figure 6: BSA coverage (%) of Māori women aged 50–69 years in the two years ending 30 June 2017</w:t>
      </w:r>
      <w:r>
        <w:rPr>
          <w:noProof/>
        </w:rPr>
        <w:tab/>
      </w:r>
      <w:r>
        <w:rPr>
          <w:noProof/>
        </w:rPr>
        <w:fldChar w:fldCharType="begin"/>
      </w:r>
      <w:r>
        <w:rPr>
          <w:noProof/>
        </w:rPr>
        <w:instrText xml:space="preserve"> PAGEREF _Toc488311633 \h </w:instrText>
      </w:r>
      <w:r>
        <w:rPr>
          <w:noProof/>
        </w:rPr>
      </w:r>
      <w:r>
        <w:rPr>
          <w:noProof/>
        </w:rPr>
        <w:fldChar w:fldCharType="separate"/>
      </w:r>
      <w:r w:rsidR="00363F9D">
        <w:rPr>
          <w:noProof/>
        </w:rPr>
        <w:t>8</w:t>
      </w:r>
      <w:r>
        <w:rPr>
          <w:noProof/>
        </w:rPr>
        <w:fldChar w:fldCharType="end"/>
      </w:r>
    </w:p>
    <w:p w14:paraId="2386D8D4" w14:textId="77777777" w:rsidR="00726002" w:rsidRDefault="00726002">
      <w:pPr>
        <w:pStyle w:val="TOC3"/>
        <w:tabs>
          <w:tab w:val="right" w:leader="dot" w:pos="9345"/>
        </w:tabs>
        <w:rPr>
          <w:rFonts w:asciiTheme="minorHAnsi" w:hAnsiTheme="minorHAnsi"/>
          <w:noProof/>
        </w:rPr>
      </w:pPr>
      <w:r>
        <w:rPr>
          <w:noProof/>
        </w:rPr>
        <w:t>Figure 7: BSA coverage (%) of Pacific women aged 50–69 years in the two years ending 30 June 2017</w:t>
      </w:r>
      <w:r>
        <w:rPr>
          <w:noProof/>
        </w:rPr>
        <w:tab/>
      </w:r>
      <w:r>
        <w:rPr>
          <w:noProof/>
        </w:rPr>
        <w:fldChar w:fldCharType="begin"/>
      </w:r>
      <w:r>
        <w:rPr>
          <w:noProof/>
        </w:rPr>
        <w:instrText xml:space="preserve"> PAGEREF _Toc488311634 \h </w:instrText>
      </w:r>
      <w:r>
        <w:rPr>
          <w:noProof/>
        </w:rPr>
      </w:r>
      <w:r>
        <w:rPr>
          <w:noProof/>
        </w:rPr>
        <w:fldChar w:fldCharType="separate"/>
      </w:r>
      <w:r w:rsidR="00363F9D">
        <w:rPr>
          <w:noProof/>
        </w:rPr>
        <w:t>9</w:t>
      </w:r>
      <w:r>
        <w:rPr>
          <w:noProof/>
        </w:rPr>
        <w:fldChar w:fldCharType="end"/>
      </w:r>
    </w:p>
    <w:p w14:paraId="0738FB36" w14:textId="77777777" w:rsidR="00726002" w:rsidRDefault="00726002">
      <w:pPr>
        <w:pStyle w:val="TOC3"/>
        <w:tabs>
          <w:tab w:val="right" w:leader="dot" w:pos="9345"/>
        </w:tabs>
        <w:rPr>
          <w:rFonts w:asciiTheme="minorHAnsi" w:hAnsiTheme="minorHAnsi"/>
          <w:noProof/>
        </w:rPr>
      </w:pPr>
      <w:r>
        <w:rPr>
          <w:noProof/>
        </w:rPr>
        <w:t>Figure 8: Overall BSA coverage (%) of women aged 50–69 years in the two years ending 30 June 2017 by District Health Board</w:t>
      </w:r>
      <w:r>
        <w:rPr>
          <w:noProof/>
        </w:rPr>
        <w:tab/>
      </w:r>
      <w:r>
        <w:rPr>
          <w:noProof/>
        </w:rPr>
        <w:fldChar w:fldCharType="begin"/>
      </w:r>
      <w:r>
        <w:rPr>
          <w:noProof/>
        </w:rPr>
        <w:instrText xml:space="preserve"> PAGEREF _Toc488311635 \h </w:instrText>
      </w:r>
      <w:r>
        <w:rPr>
          <w:noProof/>
        </w:rPr>
      </w:r>
      <w:r>
        <w:rPr>
          <w:noProof/>
        </w:rPr>
        <w:fldChar w:fldCharType="separate"/>
      </w:r>
      <w:r w:rsidR="00363F9D">
        <w:rPr>
          <w:noProof/>
        </w:rPr>
        <w:t>10</w:t>
      </w:r>
      <w:r>
        <w:rPr>
          <w:noProof/>
        </w:rPr>
        <w:fldChar w:fldCharType="end"/>
      </w:r>
    </w:p>
    <w:p w14:paraId="3009F0F4" w14:textId="77777777" w:rsidR="00115CAE" w:rsidRDefault="00115CAE" w:rsidP="00115CAE">
      <w:pPr>
        <w:rPr>
          <w:noProof/>
        </w:rPr>
      </w:pPr>
      <w:r w:rsidRPr="00322E36">
        <w:rPr>
          <w:noProof/>
          <w:sz w:val="22"/>
        </w:rPr>
        <w:fldChar w:fldCharType="end"/>
      </w:r>
    </w:p>
    <w:p w14:paraId="086D8C2C" w14:textId="77777777" w:rsidR="00115CAE" w:rsidRDefault="00115CAE" w:rsidP="00115CAE">
      <w:pPr>
        <w:rPr>
          <w:noProof/>
        </w:rPr>
      </w:pPr>
    </w:p>
    <w:p w14:paraId="6DA72B0E" w14:textId="77777777" w:rsidR="00115CAE" w:rsidRPr="004149AB" w:rsidRDefault="00115CAE" w:rsidP="00115CAE">
      <w:pPr>
        <w:pStyle w:val="Heading1"/>
        <w:rPr>
          <w:noProof/>
          <w:szCs w:val="36"/>
        </w:rPr>
      </w:pPr>
      <w:bookmarkStart w:id="0" w:name="_Toc399921850"/>
      <w:bookmarkStart w:id="1" w:name="_Toc488255827"/>
      <w:r w:rsidRPr="004149AB">
        <w:rPr>
          <w:noProof/>
          <w:szCs w:val="36"/>
        </w:rPr>
        <w:t>Introduction</w:t>
      </w:r>
      <w:bookmarkEnd w:id="0"/>
      <w:bookmarkEnd w:id="1"/>
    </w:p>
    <w:p w14:paraId="412BA555"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4272816D" w14:textId="77777777" w:rsidR="00B72A22" w:rsidRDefault="00B72A22" w:rsidP="00B72A22"/>
    <w:p w14:paraId="3DDBFA61"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3B213587" w14:textId="77777777" w:rsidR="00B72A22" w:rsidRDefault="00B72A22" w:rsidP="00B72A22"/>
    <w:p w14:paraId="040F512A"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5AA978EB" w14:textId="77777777" w:rsidR="00B72A22" w:rsidRDefault="00B72A22" w:rsidP="00B72A22"/>
    <w:p w14:paraId="3290C635"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7710BC3D" w14:textId="77777777" w:rsidR="00B72A22" w:rsidRPr="00D828ED" w:rsidRDefault="00B72A22" w:rsidP="00B72A22"/>
    <w:p w14:paraId="581259F5" w14:textId="77777777" w:rsidR="00B72A22" w:rsidRDefault="00B72A22" w:rsidP="00B72A22">
      <w:r>
        <w:t>The purpose of this quarterly report is to demonstrate by DHB if the programme coverage targets are being met for the region.</w:t>
      </w:r>
    </w:p>
    <w:p w14:paraId="5311F820" w14:textId="77777777" w:rsidR="00B72A22" w:rsidRPr="00F73803" w:rsidRDefault="00B72A22" w:rsidP="00B72A22">
      <w:pPr>
        <w:rPr>
          <w:rFonts w:eastAsiaTheme="minorHAnsi"/>
          <w:lang w:eastAsia="en-US"/>
        </w:rPr>
      </w:pPr>
    </w:p>
    <w:p w14:paraId="7368C195" w14:textId="77777777" w:rsidR="00115CAE" w:rsidRDefault="00115CAE" w:rsidP="00115CAE">
      <w:pPr>
        <w:rPr>
          <w:rFonts w:eastAsiaTheme="majorEastAsia"/>
        </w:rPr>
      </w:pPr>
      <w:r>
        <w:br w:type="page"/>
      </w:r>
    </w:p>
    <w:p w14:paraId="14D768CB" w14:textId="77777777" w:rsidR="00115CAE" w:rsidRPr="004149AB" w:rsidRDefault="00115CAE" w:rsidP="00115CAE">
      <w:pPr>
        <w:pStyle w:val="Heading1"/>
      </w:pPr>
      <w:bookmarkStart w:id="3" w:name="_Toc488255828"/>
      <w:r w:rsidRPr="004149AB">
        <w:lastRenderedPageBreak/>
        <w:t xml:space="preserve">Technical </w:t>
      </w:r>
      <w:r>
        <w:t>n</w:t>
      </w:r>
      <w:r w:rsidRPr="004149AB">
        <w:t>otes</w:t>
      </w:r>
      <w:bookmarkEnd w:id="2"/>
      <w:bookmarkEnd w:id="3"/>
    </w:p>
    <w:p w14:paraId="26DBEA5F"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701816" w:rsidRPr="00701816">
        <w:rPr>
          <w:rFonts w:eastAsiaTheme="minorHAnsi"/>
          <w:lang w:eastAsia="en-US"/>
        </w:rPr>
        <w:t>30 June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701816" w:rsidRPr="00701816">
        <w:rPr>
          <w:rFonts w:eastAsiaTheme="minorHAnsi"/>
          <w:lang w:eastAsia="en-US"/>
        </w:rPr>
        <w:t>17 July 2017</w:t>
      </w:r>
      <w:r w:rsidR="000E7690">
        <w:rPr>
          <w:rFonts w:eastAsiaTheme="minorHAnsi"/>
          <w:lang w:eastAsia="en-US"/>
        </w:rPr>
        <w:t>.</w:t>
      </w:r>
      <w:r w:rsidR="00B41599">
        <w:rPr>
          <w:rFonts w:eastAsiaTheme="minorHAnsi"/>
          <w:lang w:eastAsia="en-US"/>
        </w:rPr>
        <w:t xml:space="preserve"> </w:t>
      </w:r>
    </w:p>
    <w:p w14:paraId="5DBB01F2" w14:textId="77777777" w:rsidR="00115CAE" w:rsidRDefault="00115CAE" w:rsidP="00115CAE">
      <w:pPr>
        <w:rPr>
          <w:rFonts w:eastAsiaTheme="minorHAnsi"/>
          <w:lang w:eastAsia="en-US"/>
        </w:rPr>
      </w:pPr>
    </w:p>
    <w:p w14:paraId="6A468D09"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2F9D703B" w14:textId="77777777" w:rsidR="000C2B3F" w:rsidRPr="005767BE" w:rsidRDefault="000C2B3F" w:rsidP="000C2B3F"/>
    <w:p w14:paraId="45E758BB" w14:textId="77777777" w:rsidR="000C2B3F" w:rsidRPr="005767BE" w:rsidRDefault="000C2B3F" w:rsidP="000C2B3F">
      <w:r w:rsidRPr="005767BE">
        <w:t xml:space="preserve">For both women screened </w:t>
      </w:r>
      <w:proofErr w:type="gramStart"/>
      <w:r w:rsidRPr="005767BE">
        <w:t>and in the denominator,</w:t>
      </w:r>
      <w:proofErr w:type="gramEnd"/>
      <w:r w:rsidRPr="005767BE">
        <w:t xml:space="preserve">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w:t>
      </w:r>
      <w:proofErr w:type="gramStart"/>
      <w:r w:rsidRPr="005767BE">
        <w:t>particular ethnicity</w:t>
      </w:r>
      <w:proofErr w:type="gramEnd"/>
      <w:r w:rsidRPr="005767BE">
        <w:t>. This means that the total number of women screened may be greater than the sum of women screened by ethnicity.</w:t>
      </w:r>
    </w:p>
    <w:p w14:paraId="5743DAD8" w14:textId="77777777" w:rsidR="000C2B3F" w:rsidRPr="005767BE" w:rsidRDefault="000C2B3F" w:rsidP="000C2B3F"/>
    <w:p w14:paraId="612F734C"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393D33">
        <w:rPr>
          <w:rFonts w:eastAsiaTheme="minorHAnsi" w:cs="Georgia"/>
          <w:color w:val="000000"/>
          <w:szCs w:val="24"/>
          <w:lang w:eastAsia="en-US"/>
        </w:rPr>
        <w:t>30 June 2015, June 2016 and June 2017</w:t>
      </w:r>
      <w:r w:rsidRPr="005767BE">
        <w:rPr>
          <w:rFonts w:eastAsiaTheme="minorHAnsi" w:cs="Georgia"/>
          <w:color w:val="000000"/>
          <w:szCs w:val="24"/>
          <w:lang w:eastAsia="en-US"/>
        </w:rPr>
        <w:t xml:space="preserve"> are derived from Statistics New Zealand’s District Health Board (DHB) population projections </w:t>
      </w:r>
      <w:r w:rsidR="00701816" w:rsidRPr="00701816">
        <w:t>30 June 2016</w:t>
      </w:r>
      <w:r w:rsidRPr="005767BE">
        <w:rPr>
          <w:rFonts w:eastAsiaTheme="minorHAnsi" w:cs="Georgia"/>
          <w:color w:val="000000"/>
          <w:szCs w:val="24"/>
          <w:lang w:eastAsia="en-US"/>
        </w:rPr>
        <w:t xml:space="preserve"> update, based on the 2013 Census.</w:t>
      </w:r>
    </w:p>
    <w:p w14:paraId="74671AD9"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327DFAC8"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w:t>
      </w:r>
      <w:r w:rsidR="00633A3F">
        <w:rPr>
          <w:rFonts w:eastAsiaTheme="minorHAnsi" w:cs="Georgia"/>
          <w:color w:val="000000"/>
          <w:szCs w:val="24"/>
          <w:lang w:eastAsia="en-US"/>
        </w:rPr>
        <w:t>an</w:t>
      </w:r>
      <w:r w:rsidRPr="005767BE">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w:t>
      </w:r>
      <w:r w:rsidR="00764DB3">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p>
    <w:p w14:paraId="260A9F8D"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0097B659"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573B2ACE"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3E5FCB4"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791C387D"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4AB00EF7"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w:t>
      </w:r>
      <w:r w:rsidR="000C2B3F" w:rsidRPr="005767BE">
        <w:rPr>
          <w:rFonts w:eastAsiaTheme="minorHAnsi" w:cs="Georgia"/>
          <w:color w:val="000000"/>
          <w:szCs w:val="24"/>
          <w:lang w:eastAsia="en-US"/>
        </w:rPr>
        <w:t xml:space="preserve"> </w:t>
      </w:r>
      <w:r>
        <w:rPr>
          <w:rFonts w:eastAsiaTheme="minorHAnsi" w:cs="Georgia"/>
          <w:color w:val="000000"/>
          <w:szCs w:val="24"/>
          <w:lang w:eastAsia="en-US"/>
        </w:rPr>
        <w:t>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5F3B07CC"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000C2B3F"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76A716CA"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000C2B3F"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032242FD"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5470A446"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005AEC66" w14:textId="77777777" w:rsidR="000C2B3F" w:rsidRPr="005767BE" w:rsidRDefault="000C2B3F" w:rsidP="000C2B3F"/>
    <w:p w14:paraId="3B2BBCCD"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17F6E3B6" w14:textId="77777777" w:rsidR="00115CAE" w:rsidRPr="00F73803" w:rsidRDefault="00115CAE" w:rsidP="00115CAE">
      <w:pPr>
        <w:rPr>
          <w:rFonts w:eastAsiaTheme="minorHAnsi"/>
          <w:lang w:eastAsia="en-US"/>
        </w:rPr>
      </w:pPr>
    </w:p>
    <w:p w14:paraId="758A79CE" w14:textId="77777777" w:rsidR="00115CAE" w:rsidRDefault="00115CAE" w:rsidP="00115CAE">
      <w:pPr>
        <w:rPr>
          <w:rFonts w:eastAsiaTheme="majorEastAsia"/>
        </w:rPr>
      </w:pPr>
      <w:bookmarkStart w:id="4" w:name="_Toc399146163"/>
      <w:r>
        <w:br w:type="page"/>
      </w:r>
    </w:p>
    <w:p w14:paraId="5C6FD8FB" w14:textId="77777777" w:rsidR="00115CAE" w:rsidRPr="004149AB" w:rsidRDefault="00701816" w:rsidP="00115CAE">
      <w:pPr>
        <w:pStyle w:val="Heading1"/>
      </w:pPr>
      <w:bookmarkStart w:id="5" w:name="_Toc399921852"/>
      <w:bookmarkStart w:id="6" w:name="_Toc488255829"/>
      <w:r w:rsidRPr="00701816">
        <w:lastRenderedPageBreak/>
        <w:t>Counties Manukau</w:t>
      </w:r>
      <w:r w:rsidR="00C75BA8">
        <w:t xml:space="preserve"> </w:t>
      </w:r>
      <w:r w:rsidR="00115CAE">
        <w:t>c</w:t>
      </w:r>
      <w:r w:rsidR="00115CAE" w:rsidRPr="004149AB">
        <w:t>overage</w:t>
      </w:r>
      <w:bookmarkEnd w:id="4"/>
      <w:bookmarkEnd w:id="5"/>
      <w:bookmarkEnd w:id="6"/>
    </w:p>
    <w:p w14:paraId="49E40CD8" w14:textId="77777777" w:rsidR="00115CAE" w:rsidRPr="00F7148E" w:rsidRDefault="00701816" w:rsidP="00115CAE">
      <w:pPr>
        <w:pStyle w:val="Heading2"/>
      </w:pPr>
      <w:bookmarkStart w:id="7" w:name="_Toc399146164"/>
      <w:bookmarkStart w:id="8" w:name="_Toc399921853"/>
      <w:bookmarkStart w:id="9" w:name="_Toc488255830"/>
      <w:r w:rsidRPr="00701816">
        <w:t>Counties Manukau</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701816">
        <w:t>30 June 2017</w:t>
      </w:r>
      <w:bookmarkEnd w:id="9"/>
    </w:p>
    <w:p w14:paraId="4CCD9761" w14:textId="77777777" w:rsidR="00115CAE" w:rsidRDefault="00BD3841" w:rsidP="00BD3841">
      <w:pPr>
        <w:pStyle w:val="Figure"/>
      </w:pPr>
      <w:bookmarkStart w:id="10" w:name="_Toc399497921"/>
      <w:bookmarkStart w:id="11" w:name="_Toc488311628"/>
      <w:r>
        <w:t xml:space="preserve">Figure </w:t>
      </w:r>
      <w:fldSimple w:instr=" SEQ Figure \* ARABIC ">
        <w:r w:rsidR="00363F9D">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701816" w:rsidRPr="00701816">
        <w:t>30 June 2017</w:t>
      </w:r>
      <w:r w:rsidR="00115CAE" w:rsidRPr="00F17732">
        <w:t xml:space="preserve"> by ethnicity, women aged </w:t>
      </w:r>
      <w:r w:rsidR="004B6FD0">
        <w:t>50</w:t>
      </w:r>
      <w:r w:rsidR="00115CAE" w:rsidRPr="00F17732">
        <w:t>–69</w:t>
      </w:r>
      <w:r w:rsidR="00115CAE">
        <w:t xml:space="preserve"> years</w:t>
      </w:r>
      <w:bookmarkEnd w:id="10"/>
      <w:bookmarkEnd w:id="11"/>
    </w:p>
    <w:p w14:paraId="06354713" w14:textId="77777777" w:rsidR="002D25D6" w:rsidRPr="002D25D6" w:rsidRDefault="00701816" w:rsidP="002D25D6">
      <w:bookmarkStart w:id="12" w:name="figure_1"/>
      <w:bookmarkEnd w:id="12"/>
      <w:r>
        <w:rPr>
          <w:noProof/>
        </w:rPr>
        <w:drawing>
          <wp:inline distT="0" distB="0" distL="0" distR="0" wp14:anchorId="0D6B8292" wp14:editId="707CC572">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4F4476B" w14:textId="77777777" w:rsidR="00576B92" w:rsidRDefault="00576B92" w:rsidP="00F27C51">
      <w:bookmarkStart w:id="13" w:name="_Toc400365296"/>
    </w:p>
    <w:p w14:paraId="6A64B174" w14:textId="77777777" w:rsidR="00115CAE" w:rsidRDefault="00115CAE" w:rsidP="00115CAE">
      <w:pPr>
        <w:pStyle w:val="Table"/>
      </w:pPr>
      <w:bookmarkStart w:id="14" w:name="_Toc488653907"/>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701816" w:rsidRPr="00701816">
        <w:t>30 June 2017</w:t>
      </w:r>
      <w:r w:rsidRPr="00420327">
        <w:t xml:space="preserve"> by ethnicity, women aged </w:t>
      </w:r>
      <w:r w:rsidR="004B6FD0">
        <w:t>50</w:t>
      </w:r>
      <w:r>
        <w:t>–</w:t>
      </w:r>
      <w:r w:rsidRPr="00420327">
        <w:t>69 years</w:t>
      </w:r>
      <w:bookmarkEnd w:id="13"/>
      <w:bookmarkEnd w:id="14"/>
    </w:p>
    <w:p w14:paraId="33F8AA53" w14:textId="77777777" w:rsidR="00E646CB" w:rsidRPr="00E646CB" w:rsidRDefault="00363F9D" w:rsidP="00E646CB">
      <w:bookmarkStart w:id="15" w:name="table_1"/>
      <w:bookmarkEnd w:id="15"/>
      <w:r w:rsidRPr="00363F9D">
        <w:rPr>
          <w:noProof/>
        </w:rPr>
        <w:drawing>
          <wp:inline distT="0" distB="0" distL="0" distR="0" wp14:anchorId="7DAF9F45" wp14:editId="557E19D1">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65AAFD4E"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6BC47A4A" w14:textId="77777777" w:rsidR="00115CAE" w:rsidRDefault="00115CAE" w:rsidP="00115CAE">
      <w:pPr>
        <w:rPr>
          <w:sz w:val="16"/>
          <w:szCs w:val="16"/>
        </w:rPr>
      </w:pPr>
    </w:p>
    <w:p w14:paraId="6B946ABB" w14:textId="77777777" w:rsidR="00BD3841" w:rsidRDefault="00BD3841">
      <w:pPr>
        <w:spacing w:after="200"/>
        <w:rPr>
          <w:rFonts w:cs="Times New Roman"/>
          <w:b/>
          <w:sz w:val="22"/>
        </w:rPr>
      </w:pPr>
      <w:r>
        <w:br w:type="page"/>
      </w:r>
    </w:p>
    <w:p w14:paraId="37CF7FE5" w14:textId="77777777" w:rsidR="00115CAE" w:rsidRDefault="00701816" w:rsidP="00115CAE">
      <w:pPr>
        <w:pStyle w:val="Heading2"/>
      </w:pPr>
      <w:bookmarkStart w:id="16" w:name="_Toc399921854"/>
      <w:bookmarkStart w:id="17" w:name="_Toc488255831"/>
      <w:r w:rsidRPr="00701816">
        <w:lastRenderedPageBreak/>
        <w:t>Counties Manukau</w:t>
      </w:r>
      <w:r w:rsidR="00F53E27" w:rsidRPr="00F53E27">
        <w:t xml:space="preserve"> </w:t>
      </w:r>
      <w:r w:rsidR="00115CAE">
        <w:t>coverage t</w:t>
      </w:r>
      <w:r w:rsidR="00115CAE" w:rsidRPr="001A7BE5">
        <w:t>rends</w:t>
      </w:r>
      <w:r w:rsidR="00115CAE">
        <w:t xml:space="preserve"> by ethnicity</w:t>
      </w:r>
      <w:bookmarkEnd w:id="16"/>
      <w:bookmarkEnd w:id="17"/>
    </w:p>
    <w:p w14:paraId="2E6A46B0" w14:textId="77777777" w:rsidR="00862ED0" w:rsidRPr="00BD3841" w:rsidRDefault="00BD3841" w:rsidP="00862ED0">
      <w:pPr>
        <w:pStyle w:val="Figure"/>
      </w:pPr>
      <w:bookmarkStart w:id="18" w:name="_Toc399497922"/>
      <w:bookmarkStart w:id="19" w:name="_Toc488311629"/>
      <w:r>
        <w:t xml:space="preserve">Figure </w:t>
      </w:r>
      <w:fldSimple w:instr=" SEQ Figure \* ARABIC ">
        <w:r w:rsidR="00363F9D">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bookmarkStart w:id="20" w:name="figure_2"/>
      <w:bookmarkStart w:id="21" w:name="_Toc399921855"/>
      <w:bookmarkEnd w:id="18"/>
      <w:bookmarkEnd w:id="20"/>
      <w:r w:rsidR="00862ED0" w:rsidRPr="00F53B9D">
        <w:t>30 June</w:t>
      </w:r>
      <w:r w:rsidR="00862ED0">
        <w:t xml:space="preserve"> 2015, 30 June 2016 and 30 June</w:t>
      </w:r>
      <w:r w:rsidR="00862ED0" w:rsidRPr="00F53B9D">
        <w:t xml:space="preserve"> 2017</w:t>
      </w:r>
      <w:r w:rsidR="00862ED0">
        <w:t xml:space="preserve"> by ethnicity</w:t>
      </w:r>
      <w:bookmarkEnd w:id="19"/>
    </w:p>
    <w:p w14:paraId="3E26A741" w14:textId="77777777" w:rsidR="005A05B2" w:rsidRDefault="00701816" w:rsidP="00862ED0">
      <w:r>
        <w:rPr>
          <w:noProof/>
        </w:rPr>
        <w:drawing>
          <wp:inline distT="0" distB="0" distL="0" distR="0" wp14:anchorId="61B15B96" wp14:editId="6C138293">
            <wp:extent cx="4895850" cy="2667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BEB2FDE" w14:textId="77777777" w:rsidR="00A206FE" w:rsidRDefault="003E31E9" w:rsidP="003E31E9">
      <w:pPr>
        <w:pStyle w:val="Table"/>
      </w:pPr>
      <w:bookmarkStart w:id="22" w:name="_Toc488653908"/>
      <w:r>
        <w:t xml:space="preserve">Table 2: </w:t>
      </w:r>
      <w:r w:rsidR="00A206FE">
        <w:t xml:space="preserve">BSA number of screens in women aged 50–69 years by ethnicity and quarter, Quarter </w:t>
      </w:r>
      <w:r w:rsidR="0041553F">
        <w:t>2</w:t>
      </w:r>
      <w:r w:rsidR="00341348">
        <w:t xml:space="preserve"> 2016 - </w:t>
      </w:r>
      <w:r w:rsidR="00A206FE">
        <w:t xml:space="preserve">Quarter </w:t>
      </w:r>
      <w:r w:rsidR="0041553F">
        <w:t>2</w:t>
      </w:r>
      <w:r w:rsidR="00A206FE">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41643552"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984DE3" w14:textId="77777777" w:rsidR="00EE282A" w:rsidRDefault="00EE282A" w:rsidP="00A20926">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45F0C938" w14:textId="77777777" w:rsidR="00EE282A" w:rsidRDefault="00EE282A" w:rsidP="00A20926">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EE282A" w14:paraId="08141A5D" w14:textId="77777777" w:rsidTr="00EE282A">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3C5E6BAC" w14:textId="77777777" w:rsidR="00EE282A" w:rsidRDefault="00EE282A" w:rsidP="00EE282A">
            <w:pPr>
              <w:rPr>
                <w:rFonts w:ascii="Arial" w:eastAsia="Times New Roman" w:hAnsi="Arial"/>
                <w:b/>
                <w:sz w:val="18"/>
                <w:szCs w:val="18"/>
                <w:lang w:eastAsia="en-US"/>
              </w:rPr>
            </w:pPr>
          </w:p>
        </w:tc>
        <w:tc>
          <w:tcPr>
            <w:tcW w:w="1502" w:type="dxa"/>
            <w:tcBorders>
              <w:top w:val="single" w:sz="8" w:space="0" w:color="auto"/>
              <w:left w:val="single" w:sz="4" w:space="0" w:color="auto"/>
              <w:bottom w:val="single" w:sz="8" w:space="0" w:color="auto"/>
              <w:right w:val="single" w:sz="8" w:space="0" w:color="auto"/>
            </w:tcBorders>
            <w:shd w:val="clear" w:color="000000" w:fill="D9D9D9"/>
            <w:vAlign w:val="center"/>
          </w:tcPr>
          <w:p w14:paraId="0D557A02" w14:textId="77777777" w:rsidR="00EE282A" w:rsidRDefault="00EE282A" w:rsidP="00EE282A">
            <w:pPr>
              <w:jc w:val="right"/>
              <w:rPr>
                <w:rFonts w:ascii="Arial" w:eastAsia="Times New Roman" w:hAnsi="Arial" w:cs="Arial"/>
                <w:b/>
                <w:bCs/>
                <w:color w:val="000000"/>
                <w:sz w:val="18"/>
                <w:szCs w:val="18"/>
              </w:rPr>
            </w:pPr>
            <w:r>
              <w:rPr>
                <w:rFonts w:ascii="Arial" w:hAnsi="Arial" w:cs="Arial"/>
                <w:b/>
                <w:bCs/>
                <w:color w:val="000000"/>
                <w:sz w:val="18"/>
                <w:szCs w:val="18"/>
              </w:rPr>
              <w:t>Q2 (Apr - Jun)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23364E02"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755B6DCD"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4F9051D3"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Q1 (Jan</w:t>
            </w:r>
            <w:r w:rsidR="00341348">
              <w:rPr>
                <w:rFonts w:ascii="Arial" w:hAnsi="Arial" w:cs="Arial"/>
                <w:b/>
                <w:bCs/>
                <w:color w:val="000000"/>
                <w:sz w:val="18"/>
                <w:szCs w:val="18"/>
              </w:rPr>
              <w:t xml:space="preserve"> </w:t>
            </w:r>
            <w:r>
              <w:rPr>
                <w:rFonts w:ascii="Arial" w:hAnsi="Arial" w:cs="Arial"/>
                <w:b/>
                <w:bCs/>
                <w:color w:val="000000"/>
                <w:sz w:val="18"/>
                <w:szCs w:val="18"/>
              </w:rPr>
              <w:t>-</w:t>
            </w:r>
            <w:r w:rsidR="00341348">
              <w:rPr>
                <w:rFonts w:ascii="Arial" w:hAnsi="Arial" w:cs="Arial"/>
                <w:b/>
                <w:bCs/>
                <w:color w:val="000000"/>
                <w:sz w:val="18"/>
                <w:szCs w:val="18"/>
              </w:rPr>
              <w:t xml:space="preserve"> </w:t>
            </w:r>
            <w:r>
              <w:rPr>
                <w:rFonts w:ascii="Arial" w:hAnsi="Arial" w:cs="Arial"/>
                <w:b/>
                <w:bCs/>
                <w:color w:val="000000"/>
                <w:sz w:val="18"/>
                <w:szCs w:val="18"/>
              </w:rPr>
              <w:t>Mar)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6E9FEB55"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Q2 (Apr - Jun) 2017</w:t>
            </w:r>
          </w:p>
        </w:tc>
      </w:tr>
      <w:tr w:rsidR="003E31E9" w14:paraId="64A4BD19" w14:textId="77777777" w:rsidTr="0017196F">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06440647" w14:textId="77777777" w:rsidR="003E31E9" w:rsidRDefault="003E31E9" w:rsidP="003E31E9">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7AB196E0" w14:textId="77777777" w:rsidR="003E31E9" w:rsidRDefault="003E31E9" w:rsidP="003E31E9">
            <w:pPr>
              <w:jc w:val="right"/>
              <w:rPr>
                <w:rFonts w:ascii="Arial" w:eastAsia="Times New Roman" w:hAnsi="Arial" w:cs="Arial"/>
                <w:sz w:val="18"/>
                <w:szCs w:val="18"/>
              </w:rPr>
            </w:pPr>
            <w:r>
              <w:rPr>
                <w:rFonts w:ascii="Arial" w:hAnsi="Arial" w:cs="Arial"/>
                <w:sz w:val="18"/>
                <w:szCs w:val="18"/>
              </w:rPr>
              <w:t>615</w:t>
            </w:r>
          </w:p>
        </w:tc>
        <w:tc>
          <w:tcPr>
            <w:tcW w:w="1504" w:type="dxa"/>
            <w:tcBorders>
              <w:top w:val="nil"/>
              <w:left w:val="nil"/>
              <w:bottom w:val="single" w:sz="4" w:space="0" w:color="D9D9D9"/>
              <w:right w:val="single" w:sz="4" w:space="0" w:color="auto"/>
            </w:tcBorders>
            <w:shd w:val="clear" w:color="auto" w:fill="auto"/>
            <w:noWrap/>
            <w:vAlign w:val="center"/>
          </w:tcPr>
          <w:p w14:paraId="09F5FB5A" w14:textId="77777777" w:rsidR="003E31E9" w:rsidRDefault="003E31E9" w:rsidP="003E31E9">
            <w:pPr>
              <w:jc w:val="right"/>
              <w:rPr>
                <w:rFonts w:ascii="Arial" w:hAnsi="Arial" w:cs="Arial"/>
                <w:sz w:val="18"/>
                <w:szCs w:val="18"/>
              </w:rPr>
            </w:pPr>
            <w:r>
              <w:rPr>
                <w:rFonts w:ascii="Arial" w:hAnsi="Arial" w:cs="Arial"/>
                <w:sz w:val="18"/>
                <w:szCs w:val="18"/>
              </w:rPr>
              <w:t>480</w:t>
            </w:r>
          </w:p>
        </w:tc>
        <w:tc>
          <w:tcPr>
            <w:tcW w:w="1503" w:type="dxa"/>
            <w:tcBorders>
              <w:top w:val="nil"/>
              <w:left w:val="nil"/>
              <w:bottom w:val="single" w:sz="4" w:space="0" w:color="D9D9D9"/>
              <w:right w:val="single" w:sz="4" w:space="0" w:color="auto"/>
            </w:tcBorders>
            <w:shd w:val="clear" w:color="auto" w:fill="auto"/>
            <w:noWrap/>
            <w:vAlign w:val="center"/>
          </w:tcPr>
          <w:p w14:paraId="3CB8556E" w14:textId="77777777" w:rsidR="003E31E9" w:rsidRDefault="003E31E9" w:rsidP="003E31E9">
            <w:pPr>
              <w:jc w:val="right"/>
              <w:rPr>
                <w:rFonts w:ascii="Arial" w:hAnsi="Arial" w:cs="Arial"/>
                <w:sz w:val="18"/>
                <w:szCs w:val="18"/>
              </w:rPr>
            </w:pPr>
            <w:r>
              <w:rPr>
                <w:rFonts w:ascii="Arial" w:hAnsi="Arial" w:cs="Arial"/>
                <w:sz w:val="18"/>
                <w:szCs w:val="18"/>
              </w:rPr>
              <w:t>427</w:t>
            </w:r>
          </w:p>
        </w:tc>
        <w:tc>
          <w:tcPr>
            <w:tcW w:w="1504" w:type="dxa"/>
            <w:tcBorders>
              <w:top w:val="nil"/>
              <w:left w:val="nil"/>
              <w:bottom w:val="single" w:sz="4" w:space="0" w:color="D9D9D9"/>
              <w:right w:val="single" w:sz="4" w:space="0" w:color="auto"/>
            </w:tcBorders>
            <w:shd w:val="clear" w:color="auto" w:fill="auto"/>
            <w:noWrap/>
            <w:vAlign w:val="center"/>
          </w:tcPr>
          <w:p w14:paraId="06B23D79" w14:textId="77777777" w:rsidR="003E31E9" w:rsidRDefault="003E31E9" w:rsidP="003E31E9">
            <w:pPr>
              <w:jc w:val="right"/>
              <w:rPr>
                <w:rFonts w:ascii="Arial" w:hAnsi="Arial" w:cs="Arial"/>
                <w:sz w:val="18"/>
                <w:szCs w:val="18"/>
              </w:rPr>
            </w:pPr>
            <w:r>
              <w:rPr>
                <w:rFonts w:ascii="Arial" w:hAnsi="Arial" w:cs="Arial"/>
                <w:sz w:val="18"/>
                <w:szCs w:val="18"/>
              </w:rPr>
              <w:t>633</w:t>
            </w:r>
          </w:p>
        </w:tc>
        <w:tc>
          <w:tcPr>
            <w:tcW w:w="1504" w:type="dxa"/>
            <w:tcBorders>
              <w:top w:val="nil"/>
              <w:left w:val="nil"/>
              <w:bottom w:val="single" w:sz="4" w:space="0" w:color="D9D9D9"/>
              <w:right w:val="single" w:sz="8" w:space="0" w:color="auto"/>
            </w:tcBorders>
            <w:shd w:val="clear" w:color="auto" w:fill="auto"/>
            <w:vAlign w:val="center"/>
          </w:tcPr>
          <w:p w14:paraId="7EECFCA2" w14:textId="77777777" w:rsidR="003E31E9" w:rsidRDefault="003E31E9" w:rsidP="003E31E9">
            <w:pPr>
              <w:jc w:val="right"/>
              <w:rPr>
                <w:rFonts w:ascii="Arial" w:hAnsi="Arial" w:cs="Arial"/>
                <w:sz w:val="18"/>
                <w:szCs w:val="18"/>
              </w:rPr>
            </w:pPr>
            <w:r>
              <w:rPr>
                <w:rFonts w:ascii="Arial" w:hAnsi="Arial" w:cs="Arial"/>
                <w:sz w:val="18"/>
                <w:szCs w:val="18"/>
              </w:rPr>
              <w:t>623</w:t>
            </w:r>
          </w:p>
        </w:tc>
      </w:tr>
      <w:tr w:rsidR="003E31E9" w14:paraId="4ACF6565" w14:textId="77777777" w:rsidTr="0017196F">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1EF757CD" w14:textId="77777777" w:rsidR="003E31E9" w:rsidRDefault="003E31E9" w:rsidP="003E31E9">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11F026A5" w14:textId="77777777" w:rsidR="003E31E9" w:rsidRDefault="003E31E9" w:rsidP="003E31E9">
            <w:pPr>
              <w:jc w:val="right"/>
              <w:rPr>
                <w:rFonts w:ascii="Arial" w:hAnsi="Arial" w:cs="Arial"/>
                <w:sz w:val="18"/>
                <w:szCs w:val="18"/>
              </w:rPr>
            </w:pPr>
            <w:r>
              <w:rPr>
                <w:rFonts w:ascii="Arial" w:hAnsi="Arial" w:cs="Arial"/>
                <w:sz w:val="18"/>
                <w:szCs w:val="18"/>
              </w:rPr>
              <w:t>767</w:t>
            </w:r>
          </w:p>
        </w:tc>
        <w:tc>
          <w:tcPr>
            <w:tcW w:w="1504" w:type="dxa"/>
            <w:tcBorders>
              <w:top w:val="nil"/>
              <w:left w:val="nil"/>
              <w:bottom w:val="single" w:sz="4" w:space="0" w:color="D9D9D9"/>
              <w:right w:val="single" w:sz="4" w:space="0" w:color="auto"/>
            </w:tcBorders>
            <w:shd w:val="clear" w:color="auto" w:fill="auto"/>
            <w:noWrap/>
            <w:vAlign w:val="center"/>
          </w:tcPr>
          <w:p w14:paraId="4507533F" w14:textId="77777777" w:rsidR="003E31E9" w:rsidRDefault="003E31E9" w:rsidP="003E31E9">
            <w:pPr>
              <w:jc w:val="right"/>
              <w:rPr>
                <w:rFonts w:ascii="Arial" w:hAnsi="Arial" w:cs="Arial"/>
                <w:sz w:val="18"/>
                <w:szCs w:val="18"/>
              </w:rPr>
            </w:pPr>
            <w:r>
              <w:rPr>
                <w:rFonts w:ascii="Arial" w:hAnsi="Arial" w:cs="Arial"/>
                <w:sz w:val="18"/>
                <w:szCs w:val="18"/>
              </w:rPr>
              <w:t>835</w:t>
            </w:r>
          </w:p>
        </w:tc>
        <w:tc>
          <w:tcPr>
            <w:tcW w:w="1503" w:type="dxa"/>
            <w:tcBorders>
              <w:top w:val="nil"/>
              <w:left w:val="nil"/>
              <w:bottom w:val="single" w:sz="4" w:space="0" w:color="D9D9D9"/>
              <w:right w:val="single" w:sz="4" w:space="0" w:color="auto"/>
            </w:tcBorders>
            <w:shd w:val="clear" w:color="auto" w:fill="auto"/>
            <w:noWrap/>
            <w:vAlign w:val="center"/>
          </w:tcPr>
          <w:p w14:paraId="4511606B" w14:textId="77777777" w:rsidR="003E31E9" w:rsidRDefault="003E31E9" w:rsidP="003E31E9">
            <w:pPr>
              <w:jc w:val="right"/>
              <w:rPr>
                <w:rFonts w:ascii="Arial" w:hAnsi="Arial" w:cs="Arial"/>
                <w:sz w:val="18"/>
                <w:szCs w:val="18"/>
              </w:rPr>
            </w:pPr>
            <w:r>
              <w:rPr>
                <w:rFonts w:ascii="Arial" w:hAnsi="Arial" w:cs="Arial"/>
                <w:sz w:val="18"/>
                <w:szCs w:val="18"/>
              </w:rPr>
              <w:t>746</w:t>
            </w:r>
          </w:p>
        </w:tc>
        <w:tc>
          <w:tcPr>
            <w:tcW w:w="1504" w:type="dxa"/>
            <w:tcBorders>
              <w:top w:val="nil"/>
              <w:left w:val="nil"/>
              <w:bottom w:val="single" w:sz="4" w:space="0" w:color="D9D9D9"/>
              <w:right w:val="single" w:sz="4" w:space="0" w:color="auto"/>
            </w:tcBorders>
            <w:shd w:val="clear" w:color="auto" w:fill="auto"/>
            <w:noWrap/>
            <w:vAlign w:val="center"/>
          </w:tcPr>
          <w:p w14:paraId="46ACBC1E" w14:textId="77777777" w:rsidR="003E31E9" w:rsidRDefault="003E31E9" w:rsidP="003E31E9">
            <w:pPr>
              <w:jc w:val="right"/>
              <w:rPr>
                <w:rFonts w:ascii="Arial" w:hAnsi="Arial" w:cs="Arial"/>
                <w:sz w:val="18"/>
                <w:szCs w:val="18"/>
              </w:rPr>
            </w:pPr>
            <w:r>
              <w:rPr>
                <w:rFonts w:ascii="Arial" w:hAnsi="Arial" w:cs="Arial"/>
                <w:sz w:val="18"/>
                <w:szCs w:val="18"/>
              </w:rPr>
              <w:t>970</w:t>
            </w:r>
          </w:p>
        </w:tc>
        <w:tc>
          <w:tcPr>
            <w:tcW w:w="1504" w:type="dxa"/>
            <w:tcBorders>
              <w:top w:val="nil"/>
              <w:left w:val="nil"/>
              <w:bottom w:val="single" w:sz="4" w:space="0" w:color="D9D9D9"/>
              <w:right w:val="single" w:sz="8" w:space="0" w:color="auto"/>
            </w:tcBorders>
            <w:shd w:val="clear" w:color="auto" w:fill="auto"/>
            <w:vAlign w:val="center"/>
          </w:tcPr>
          <w:p w14:paraId="6BB99D2B" w14:textId="77777777" w:rsidR="003E31E9" w:rsidRDefault="003E31E9" w:rsidP="003E31E9">
            <w:pPr>
              <w:jc w:val="right"/>
              <w:rPr>
                <w:rFonts w:ascii="Arial" w:hAnsi="Arial" w:cs="Arial"/>
                <w:sz w:val="18"/>
                <w:szCs w:val="18"/>
              </w:rPr>
            </w:pPr>
            <w:r>
              <w:rPr>
                <w:rFonts w:ascii="Arial" w:hAnsi="Arial" w:cs="Arial"/>
                <w:sz w:val="18"/>
                <w:szCs w:val="18"/>
              </w:rPr>
              <w:t>928</w:t>
            </w:r>
          </w:p>
        </w:tc>
      </w:tr>
      <w:tr w:rsidR="003E31E9" w14:paraId="57EDEDDC" w14:textId="77777777" w:rsidTr="0017196F">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1171A764" w14:textId="77777777" w:rsidR="003E31E9" w:rsidRDefault="003E31E9" w:rsidP="003E31E9">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14:paraId="502F56AF" w14:textId="77777777" w:rsidR="003E31E9" w:rsidRDefault="003E31E9" w:rsidP="003E31E9">
            <w:pPr>
              <w:jc w:val="right"/>
              <w:rPr>
                <w:rFonts w:ascii="Arial" w:hAnsi="Arial" w:cs="Arial"/>
                <w:sz w:val="18"/>
                <w:szCs w:val="18"/>
              </w:rPr>
            </w:pPr>
            <w:r>
              <w:rPr>
                <w:rFonts w:ascii="Arial" w:hAnsi="Arial" w:cs="Arial"/>
                <w:sz w:val="18"/>
                <w:szCs w:val="18"/>
              </w:rPr>
              <w:t>3,733</w:t>
            </w:r>
          </w:p>
        </w:tc>
        <w:tc>
          <w:tcPr>
            <w:tcW w:w="1504" w:type="dxa"/>
            <w:tcBorders>
              <w:top w:val="nil"/>
              <w:left w:val="nil"/>
              <w:bottom w:val="nil"/>
              <w:right w:val="single" w:sz="4" w:space="0" w:color="auto"/>
            </w:tcBorders>
            <w:shd w:val="clear" w:color="auto" w:fill="auto"/>
            <w:noWrap/>
            <w:vAlign w:val="center"/>
          </w:tcPr>
          <w:p w14:paraId="431D499F" w14:textId="77777777" w:rsidR="003E31E9" w:rsidRDefault="003E31E9" w:rsidP="003E31E9">
            <w:pPr>
              <w:jc w:val="right"/>
              <w:rPr>
                <w:rFonts w:ascii="Arial" w:hAnsi="Arial" w:cs="Arial"/>
                <w:sz w:val="18"/>
                <w:szCs w:val="18"/>
              </w:rPr>
            </w:pPr>
            <w:r>
              <w:rPr>
                <w:rFonts w:ascii="Arial" w:hAnsi="Arial" w:cs="Arial"/>
                <w:sz w:val="18"/>
                <w:szCs w:val="18"/>
              </w:rPr>
              <w:t>3,381</w:t>
            </w:r>
          </w:p>
        </w:tc>
        <w:tc>
          <w:tcPr>
            <w:tcW w:w="1503" w:type="dxa"/>
            <w:tcBorders>
              <w:top w:val="nil"/>
              <w:left w:val="nil"/>
              <w:bottom w:val="nil"/>
              <w:right w:val="single" w:sz="4" w:space="0" w:color="auto"/>
            </w:tcBorders>
            <w:shd w:val="clear" w:color="auto" w:fill="auto"/>
            <w:noWrap/>
            <w:vAlign w:val="center"/>
          </w:tcPr>
          <w:p w14:paraId="559E2EA1" w14:textId="77777777" w:rsidR="003E31E9" w:rsidRDefault="003E31E9" w:rsidP="003E31E9">
            <w:pPr>
              <w:jc w:val="right"/>
              <w:rPr>
                <w:rFonts w:ascii="Arial" w:hAnsi="Arial" w:cs="Arial"/>
                <w:sz w:val="18"/>
                <w:szCs w:val="18"/>
              </w:rPr>
            </w:pPr>
            <w:r>
              <w:rPr>
                <w:rFonts w:ascii="Arial" w:hAnsi="Arial" w:cs="Arial"/>
                <w:sz w:val="18"/>
                <w:szCs w:val="18"/>
              </w:rPr>
              <w:t>3,317</w:t>
            </w:r>
          </w:p>
        </w:tc>
        <w:tc>
          <w:tcPr>
            <w:tcW w:w="1504" w:type="dxa"/>
            <w:tcBorders>
              <w:top w:val="nil"/>
              <w:left w:val="nil"/>
              <w:bottom w:val="nil"/>
              <w:right w:val="single" w:sz="4" w:space="0" w:color="auto"/>
            </w:tcBorders>
            <w:shd w:val="clear" w:color="auto" w:fill="auto"/>
            <w:noWrap/>
            <w:vAlign w:val="center"/>
          </w:tcPr>
          <w:p w14:paraId="306FB679" w14:textId="77777777" w:rsidR="003E31E9" w:rsidRDefault="003E31E9" w:rsidP="003E31E9">
            <w:pPr>
              <w:jc w:val="right"/>
              <w:rPr>
                <w:rFonts w:ascii="Arial" w:hAnsi="Arial" w:cs="Arial"/>
                <w:sz w:val="18"/>
                <w:szCs w:val="18"/>
              </w:rPr>
            </w:pPr>
            <w:r>
              <w:rPr>
                <w:rFonts w:ascii="Arial" w:hAnsi="Arial" w:cs="Arial"/>
                <w:sz w:val="18"/>
                <w:szCs w:val="18"/>
              </w:rPr>
              <w:t>4,125</w:t>
            </w:r>
          </w:p>
        </w:tc>
        <w:tc>
          <w:tcPr>
            <w:tcW w:w="1504" w:type="dxa"/>
            <w:tcBorders>
              <w:top w:val="nil"/>
              <w:left w:val="nil"/>
              <w:bottom w:val="single" w:sz="4" w:space="0" w:color="D9D9D9"/>
              <w:right w:val="single" w:sz="8" w:space="0" w:color="auto"/>
            </w:tcBorders>
            <w:shd w:val="clear" w:color="auto" w:fill="auto"/>
            <w:vAlign w:val="center"/>
          </w:tcPr>
          <w:p w14:paraId="48B80D95" w14:textId="77777777" w:rsidR="003E31E9" w:rsidRDefault="003E31E9" w:rsidP="003E31E9">
            <w:pPr>
              <w:jc w:val="right"/>
              <w:rPr>
                <w:rFonts w:ascii="Arial" w:hAnsi="Arial" w:cs="Arial"/>
                <w:sz w:val="18"/>
                <w:szCs w:val="18"/>
              </w:rPr>
            </w:pPr>
            <w:r>
              <w:rPr>
                <w:rFonts w:ascii="Arial" w:hAnsi="Arial" w:cs="Arial"/>
                <w:sz w:val="18"/>
                <w:szCs w:val="18"/>
              </w:rPr>
              <w:t>4,236</w:t>
            </w:r>
          </w:p>
        </w:tc>
      </w:tr>
      <w:tr w:rsidR="003E31E9" w14:paraId="285CCCC0" w14:textId="77777777" w:rsidTr="0017196F">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5DCAFDDE" w14:textId="77777777" w:rsidR="003E31E9" w:rsidRDefault="003E31E9" w:rsidP="003E31E9">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14:paraId="4F7A0B88" w14:textId="77777777" w:rsidR="003E31E9" w:rsidRDefault="003E31E9" w:rsidP="003E31E9">
            <w:pPr>
              <w:jc w:val="right"/>
              <w:rPr>
                <w:rFonts w:ascii="Arial" w:hAnsi="Arial" w:cs="Arial"/>
                <w:b/>
                <w:bCs/>
                <w:sz w:val="18"/>
                <w:szCs w:val="18"/>
              </w:rPr>
            </w:pPr>
            <w:r>
              <w:rPr>
                <w:rFonts w:ascii="Arial" w:hAnsi="Arial" w:cs="Arial"/>
                <w:b/>
                <w:bCs/>
                <w:sz w:val="18"/>
                <w:szCs w:val="18"/>
              </w:rPr>
              <w:t>5,115</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1819511A" w14:textId="77777777" w:rsidR="003E31E9" w:rsidRDefault="003E31E9" w:rsidP="003E31E9">
            <w:pPr>
              <w:jc w:val="right"/>
              <w:rPr>
                <w:rFonts w:ascii="Arial" w:hAnsi="Arial" w:cs="Arial"/>
                <w:b/>
                <w:bCs/>
                <w:sz w:val="18"/>
                <w:szCs w:val="18"/>
              </w:rPr>
            </w:pPr>
            <w:r>
              <w:rPr>
                <w:rFonts w:ascii="Arial" w:hAnsi="Arial" w:cs="Arial"/>
                <w:b/>
                <w:bCs/>
                <w:sz w:val="18"/>
                <w:szCs w:val="18"/>
              </w:rPr>
              <w:t>4,696</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1E490D1E" w14:textId="77777777" w:rsidR="003E31E9" w:rsidRDefault="003E31E9" w:rsidP="003E31E9">
            <w:pPr>
              <w:jc w:val="right"/>
              <w:rPr>
                <w:rFonts w:ascii="Arial" w:hAnsi="Arial" w:cs="Arial"/>
                <w:b/>
                <w:bCs/>
                <w:sz w:val="18"/>
                <w:szCs w:val="18"/>
              </w:rPr>
            </w:pPr>
            <w:r>
              <w:rPr>
                <w:rFonts w:ascii="Arial" w:hAnsi="Arial" w:cs="Arial"/>
                <w:b/>
                <w:bCs/>
                <w:sz w:val="18"/>
                <w:szCs w:val="18"/>
              </w:rPr>
              <w:t>4,490</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7388F3FD" w14:textId="77777777" w:rsidR="003E31E9" w:rsidRDefault="003E31E9" w:rsidP="003E31E9">
            <w:pPr>
              <w:jc w:val="right"/>
              <w:rPr>
                <w:rFonts w:ascii="Arial" w:hAnsi="Arial" w:cs="Arial"/>
                <w:b/>
                <w:bCs/>
                <w:sz w:val="18"/>
                <w:szCs w:val="18"/>
              </w:rPr>
            </w:pPr>
            <w:r>
              <w:rPr>
                <w:rFonts w:ascii="Arial" w:hAnsi="Arial" w:cs="Arial"/>
                <w:b/>
                <w:bCs/>
                <w:sz w:val="18"/>
                <w:szCs w:val="18"/>
              </w:rPr>
              <w:t>5,728</w:t>
            </w:r>
          </w:p>
        </w:tc>
        <w:tc>
          <w:tcPr>
            <w:tcW w:w="1504" w:type="dxa"/>
            <w:tcBorders>
              <w:top w:val="single" w:sz="4" w:space="0" w:color="auto"/>
              <w:left w:val="nil"/>
              <w:bottom w:val="single" w:sz="8" w:space="0" w:color="auto"/>
              <w:right w:val="single" w:sz="4" w:space="0" w:color="auto"/>
            </w:tcBorders>
            <w:shd w:val="clear" w:color="auto" w:fill="auto"/>
            <w:vAlign w:val="center"/>
          </w:tcPr>
          <w:p w14:paraId="680524AC" w14:textId="77777777" w:rsidR="003E31E9" w:rsidRDefault="003E31E9" w:rsidP="003E31E9">
            <w:pPr>
              <w:jc w:val="right"/>
              <w:rPr>
                <w:rFonts w:ascii="Arial" w:hAnsi="Arial" w:cs="Arial"/>
                <w:b/>
                <w:bCs/>
                <w:sz w:val="18"/>
                <w:szCs w:val="18"/>
              </w:rPr>
            </w:pPr>
            <w:r>
              <w:rPr>
                <w:rFonts w:ascii="Arial" w:hAnsi="Arial" w:cs="Arial"/>
                <w:b/>
                <w:bCs/>
                <w:sz w:val="18"/>
                <w:szCs w:val="18"/>
              </w:rPr>
              <w:t>5,787</w:t>
            </w:r>
          </w:p>
        </w:tc>
      </w:tr>
    </w:tbl>
    <w:p w14:paraId="0B27BBAB" w14:textId="77777777" w:rsidR="00EE282A" w:rsidRPr="00EE282A" w:rsidRDefault="00EE282A" w:rsidP="00EE282A"/>
    <w:p w14:paraId="0E574167" w14:textId="77777777" w:rsidR="00A206FE" w:rsidRPr="00A206FE" w:rsidRDefault="00A206FE" w:rsidP="00A206FE"/>
    <w:p w14:paraId="4474BB53" w14:textId="77777777" w:rsidR="003E31E9" w:rsidRDefault="003E31E9">
      <w:pPr>
        <w:spacing w:after="200"/>
        <w:rPr>
          <w:rFonts w:eastAsiaTheme="majorEastAsia" w:cstheme="majorBidi"/>
          <w:b/>
          <w:bCs/>
          <w:sz w:val="36"/>
          <w:szCs w:val="28"/>
        </w:rPr>
      </w:pPr>
      <w:r>
        <w:br w:type="page"/>
      </w:r>
    </w:p>
    <w:p w14:paraId="4D432DC0" w14:textId="77777777" w:rsidR="00F66CD2" w:rsidRDefault="00115CAE" w:rsidP="00F66CD2">
      <w:pPr>
        <w:pStyle w:val="Heading1"/>
      </w:pPr>
      <w:bookmarkStart w:id="23" w:name="_Toc488255832"/>
      <w:r w:rsidRPr="00C90A46">
        <w:lastRenderedPageBreak/>
        <w:t>DHB coverage comparisons</w:t>
      </w:r>
      <w:bookmarkStart w:id="24" w:name="_Toc399850104"/>
      <w:bookmarkStart w:id="25" w:name="_Toc399921856"/>
      <w:bookmarkEnd w:id="21"/>
      <w:bookmarkEnd w:id="23"/>
    </w:p>
    <w:p w14:paraId="253F0D59" w14:textId="77777777" w:rsidR="00F66CD2" w:rsidRDefault="00F66CD2" w:rsidP="00F66CD2">
      <w:pPr>
        <w:pStyle w:val="Heading2"/>
      </w:pPr>
      <w:bookmarkStart w:id="26" w:name="_Toc488255833"/>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701816" w:rsidRPr="00701816">
        <w:t>30 June 2017</w:t>
      </w:r>
      <w:bookmarkEnd w:id="26"/>
    </w:p>
    <w:p w14:paraId="7EEFC6B3" w14:textId="77777777" w:rsidR="00F66CD2" w:rsidRDefault="00FE0172" w:rsidP="002B0ED8">
      <w:pPr>
        <w:pStyle w:val="Figure"/>
      </w:pPr>
      <w:bookmarkStart w:id="27" w:name="_Toc399497923"/>
      <w:bookmarkStart w:id="28" w:name="_Toc488311630"/>
      <w:r>
        <w:t xml:space="preserve">Figure </w:t>
      </w:r>
      <w:fldSimple w:instr=" SEQ Figure \* ARABIC ">
        <w:r w:rsidR="00363F9D">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701816" w:rsidRPr="00701816">
        <w:t>30 June 2017</w:t>
      </w:r>
      <w:r w:rsidR="00F66CD2">
        <w:t xml:space="preserve"> </w:t>
      </w:r>
      <w:r w:rsidR="00F66CD2" w:rsidRPr="00F17732">
        <w:t xml:space="preserve">by </w:t>
      </w:r>
      <w:r w:rsidR="00F66CD2">
        <w:t>District Health Board</w:t>
      </w:r>
      <w:bookmarkEnd w:id="27"/>
      <w:bookmarkEnd w:id="28"/>
    </w:p>
    <w:p w14:paraId="4FA6CA25" w14:textId="77777777" w:rsidR="00D83F91" w:rsidRPr="00D83F91" w:rsidRDefault="00701816" w:rsidP="00D83F91">
      <w:bookmarkStart w:id="29" w:name="figure_3"/>
      <w:bookmarkEnd w:id="24"/>
      <w:bookmarkEnd w:id="25"/>
      <w:bookmarkEnd w:id="29"/>
      <w:r>
        <w:rPr>
          <w:noProof/>
        </w:rPr>
        <w:drawing>
          <wp:inline distT="0" distB="0" distL="0" distR="0" wp14:anchorId="43852F9F" wp14:editId="6780C817">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CA5D6DD" w14:textId="77777777" w:rsidR="00115CAE" w:rsidRDefault="00FA21EF" w:rsidP="00BF27D3">
      <w:pPr>
        <w:pStyle w:val="Figure"/>
      </w:pPr>
      <w:bookmarkStart w:id="30" w:name="_Toc399497924"/>
      <w:bookmarkStart w:id="31" w:name="_Toc488311631"/>
      <w:r>
        <w:t xml:space="preserve">Figure </w:t>
      </w:r>
      <w:fldSimple w:instr=" SEQ Figure \* ARABIC ">
        <w:r w:rsidR="00363F9D">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701816" w:rsidRPr="00701816">
        <w:t>30 June 2017</w:t>
      </w:r>
      <w:r w:rsidR="00115CAE" w:rsidRPr="002171C9">
        <w:t xml:space="preserve"> by </w:t>
      </w:r>
      <w:r w:rsidR="00B718BD">
        <w:t>District Health Board</w:t>
      </w:r>
      <w:bookmarkEnd w:id="30"/>
      <w:bookmarkEnd w:id="31"/>
    </w:p>
    <w:p w14:paraId="1130CBEE" w14:textId="77777777" w:rsidR="00115CAE" w:rsidRDefault="00701816" w:rsidP="00115CAE">
      <w:bookmarkStart w:id="32" w:name="figure_4"/>
      <w:bookmarkEnd w:id="32"/>
      <w:r>
        <w:rPr>
          <w:noProof/>
        </w:rPr>
        <w:drawing>
          <wp:inline distT="0" distB="0" distL="0" distR="0" wp14:anchorId="528918AF" wp14:editId="7084D4DA">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80C35AA" w14:textId="77777777" w:rsidR="00C9547D" w:rsidRPr="00C9547D" w:rsidRDefault="00C9547D" w:rsidP="00C9547D">
      <w:bookmarkStart w:id="33" w:name="figure_5"/>
      <w:bookmarkEnd w:id="33"/>
    </w:p>
    <w:p w14:paraId="27738A2F" w14:textId="77777777" w:rsidR="00115CAE" w:rsidRDefault="00FA21EF" w:rsidP="00BF27D3">
      <w:pPr>
        <w:pStyle w:val="Figure"/>
      </w:pPr>
      <w:bookmarkStart w:id="34" w:name="_Toc399497926"/>
      <w:bookmarkStart w:id="35" w:name="_Toc488311632"/>
      <w:r>
        <w:lastRenderedPageBreak/>
        <w:t xml:space="preserve">Figure </w:t>
      </w:r>
      <w:fldSimple w:instr=" SEQ Figure \* ARABIC ">
        <w:r w:rsidR="00363F9D">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701816" w:rsidRPr="00701816">
        <w:t>30 June 2017</w:t>
      </w:r>
      <w:r w:rsidR="00115CAE" w:rsidRPr="002171C9">
        <w:t xml:space="preserve"> by </w:t>
      </w:r>
      <w:r w:rsidR="00B718BD">
        <w:t>District Health Board</w:t>
      </w:r>
      <w:bookmarkEnd w:id="34"/>
      <w:bookmarkEnd w:id="35"/>
    </w:p>
    <w:p w14:paraId="1688F53C" w14:textId="77777777" w:rsidR="009376F1" w:rsidRPr="00C9547D" w:rsidRDefault="00701816" w:rsidP="009376F1">
      <w:bookmarkStart w:id="36" w:name="figure_6"/>
      <w:bookmarkEnd w:id="36"/>
      <w:r>
        <w:rPr>
          <w:noProof/>
        </w:rPr>
        <w:drawing>
          <wp:inline distT="0" distB="0" distL="0" distR="0" wp14:anchorId="32E6A2E3" wp14:editId="5503A353">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F34AF34" w14:textId="77777777" w:rsidR="00D80FAE" w:rsidRPr="00D80FAE" w:rsidRDefault="00D80FAE" w:rsidP="00D80FAE"/>
    <w:p w14:paraId="43321E67" w14:textId="77777777" w:rsidR="00C9547D" w:rsidRPr="00C9547D" w:rsidRDefault="00C9547D" w:rsidP="00C9547D"/>
    <w:p w14:paraId="74C53E51" w14:textId="77777777" w:rsidR="00115CAE" w:rsidRDefault="00115CAE" w:rsidP="00115CAE"/>
    <w:p w14:paraId="4DF48EA7" w14:textId="77777777" w:rsidR="00115CAE" w:rsidRDefault="00115CAE" w:rsidP="00115CAE"/>
    <w:p w14:paraId="3A1185CB" w14:textId="77777777" w:rsidR="00115CAE" w:rsidRPr="00F17732" w:rsidRDefault="00115CAE" w:rsidP="00115CAE"/>
    <w:p w14:paraId="4D469084" w14:textId="77777777" w:rsidR="00115CAE" w:rsidRDefault="00115CAE" w:rsidP="00115CAE">
      <w:pPr>
        <w:rPr>
          <w:caps/>
        </w:rPr>
      </w:pPr>
    </w:p>
    <w:p w14:paraId="2722F4A4" w14:textId="77777777" w:rsidR="00AE1525" w:rsidRDefault="00AE1525" w:rsidP="00115CAE">
      <w:pPr>
        <w:rPr>
          <w:caps/>
        </w:rPr>
      </w:pPr>
    </w:p>
    <w:p w14:paraId="03100582" w14:textId="77777777" w:rsidR="00AE1525" w:rsidRDefault="00AE1525" w:rsidP="00115CAE">
      <w:pPr>
        <w:rPr>
          <w:caps/>
        </w:rPr>
      </w:pPr>
    </w:p>
    <w:p w14:paraId="18AFFC1C" w14:textId="77777777" w:rsidR="00AE1525" w:rsidRDefault="00AE1525" w:rsidP="00115CAE">
      <w:pPr>
        <w:rPr>
          <w:caps/>
        </w:rPr>
      </w:pPr>
    </w:p>
    <w:p w14:paraId="32677446" w14:textId="77777777" w:rsidR="00AE1525" w:rsidRDefault="00AE1525" w:rsidP="00115CAE">
      <w:pPr>
        <w:rPr>
          <w:caps/>
        </w:rPr>
      </w:pPr>
    </w:p>
    <w:p w14:paraId="45E47174" w14:textId="77777777" w:rsidR="00AE1525" w:rsidRDefault="00AE1525" w:rsidP="00115CAE">
      <w:pPr>
        <w:rPr>
          <w:caps/>
        </w:rPr>
      </w:pPr>
    </w:p>
    <w:p w14:paraId="67E148AE" w14:textId="77777777" w:rsidR="00AE1525" w:rsidRDefault="00AE1525" w:rsidP="00115CAE">
      <w:pPr>
        <w:rPr>
          <w:caps/>
        </w:rPr>
      </w:pPr>
    </w:p>
    <w:p w14:paraId="48AE175F" w14:textId="77777777" w:rsidR="00AE1525" w:rsidRDefault="00AE1525" w:rsidP="00115CAE">
      <w:pPr>
        <w:rPr>
          <w:caps/>
        </w:rPr>
      </w:pPr>
    </w:p>
    <w:p w14:paraId="59C38162" w14:textId="77777777" w:rsidR="00AE1525" w:rsidRDefault="00AE1525" w:rsidP="00115CAE">
      <w:pPr>
        <w:rPr>
          <w:caps/>
        </w:rPr>
      </w:pPr>
    </w:p>
    <w:p w14:paraId="3C477FB1" w14:textId="77777777" w:rsidR="00AE1525" w:rsidRDefault="00AE1525" w:rsidP="00115CAE">
      <w:pPr>
        <w:rPr>
          <w:caps/>
        </w:rPr>
      </w:pPr>
    </w:p>
    <w:p w14:paraId="1DFA8324" w14:textId="77777777" w:rsidR="009376F1" w:rsidRDefault="009376F1" w:rsidP="009376F1">
      <w:pPr>
        <w:pStyle w:val="Figure"/>
      </w:pPr>
      <w:bookmarkStart w:id="37" w:name="_Toc488311633"/>
      <w:r>
        <w:lastRenderedPageBreak/>
        <w:t xml:space="preserve">Figure </w:t>
      </w:r>
      <w:fldSimple w:instr=" SEQ Figure \* ARABIC ">
        <w:r w:rsidR="00363F9D">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701816" w:rsidRPr="00701816">
        <w:t>30 June 2017</w:t>
      </w:r>
      <w:bookmarkEnd w:id="37"/>
    </w:p>
    <w:p w14:paraId="2E85CDC0" w14:textId="77777777" w:rsidR="00EB1948" w:rsidRPr="00D83F91" w:rsidRDefault="007A234C" w:rsidP="00AE1525">
      <w:r w:rsidRPr="007A234C">
        <w:rPr>
          <w:noProof/>
        </w:rPr>
        <w:drawing>
          <wp:inline distT="0" distB="0" distL="0" distR="0" wp14:anchorId="079D7E39" wp14:editId="400006BB">
            <wp:extent cx="5940425" cy="8398979"/>
            <wp:effectExtent l="0" t="0" r="3175" b="2540"/>
            <wp:docPr id="4" name="Picture 4" descr="S:\Analysis\30 Breast\Programme analysis\BSA DHB Reports\13 June 2017\99 ArcGIS Maps 20170717\BSA_Māori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3 June 2017\99 ArcGIS Maps 20170717\BSA_Māori June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398979"/>
                    </a:xfrm>
                    <a:prstGeom prst="rect">
                      <a:avLst/>
                    </a:prstGeom>
                    <a:noFill/>
                    <a:ln>
                      <a:noFill/>
                    </a:ln>
                  </pic:spPr>
                </pic:pic>
              </a:graphicData>
            </a:graphic>
          </wp:inline>
        </w:drawing>
      </w:r>
    </w:p>
    <w:p w14:paraId="5E331823" w14:textId="77777777" w:rsidR="00AE1525" w:rsidRDefault="009376F1" w:rsidP="009376F1">
      <w:pPr>
        <w:pStyle w:val="Figure"/>
      </w:pPr>
      <w:bookmarkStart w:id="38" w:name="_Toc488311634"/>
      <w:r>
        <w:lastRenderedPageBreak/>
        <w:t xml:space="preserve">Figure </w:t>
      </w:r>
      <w:fldSimple w:instr=" SEQ Figure \* ARABIC ">
        <w:r w:rsidR="00363F9D">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701816" w:rsidRPr="00701816">
        <w:t>30 June 2017</w:t>
      </w:r>
      <w:bookmarkEnd w:id="38"/>
    </w:p>
    <w:p w14:paraId="6931EB4D" w14:textId="77777777" w:rsidR="00A43F46" w:rsidRPr="00A43F46" w:rsidRDefault="007A234C" w:rsidP="00A43F46">
      <w:r w:rsidRPr="007A234C">
        <w:rPr>
          <w:noProof/>
        </w:rPr>
        <w:drawing>
          <wp:inline distT="0" distB="0" distL="0" distR="0" wp14:anchorId="5C0F0C59" wp14:editId="4859990F">
            <wp:extent cx="5940425" cy="8398979"/>
            <wp:effectExtent l="0" t="0" r="3175" b="2540"/>
            <wp:docPr id="12" name="Picture 12" descr="S:\Analysis\30 Breast\Programme analysis\BSA DHB Reports\13 June 2017\99 ArcGIS Maps 20170717\BSA_Pacific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3 June 2017\99 ArcGIS Maps 20170717\BSA_Pacific June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398979"/>
                    </a:xfrm>
                    <a:prstGeom prst="rect">
                      <a:avLst/>
                    </a:prstGeom>
                    <a:noFill/>
                    <a:ln>
                      <a:noFill/>
                    </a:ln>
                  </pic:spPr>
                </pic:pic>
              </a:graphicData>
            </a:graphic>
          </wp:inline>
        </w:drawing>
      </w:r>
    </w:p>
    <w:p w14:paraId="3B1CDB17" w14:textId="77777777" w:rsidR="00AE1525" w:rsidRPr="00C9547D" w:rsidRDefault="00AE1525" w:rsidP="00AE1525"/>
    <w:p w14:paraId="5D0DCD55" w14:textId="77777777" w:rsidR="009376F1" w:rsidRDefault="009376F1" w:rsidP="009376F1">
      <w:pPr>
        <w:pStyle w:val="Figure"/>
      </w:pPr>
      <w:bookmarkStart w:id="39" w:name="_Toc488311635"/>
      <w:r>
        <w:t xml:space="preserve">Figure </w:t>
      </w:r>
      <w:fldSimple w:instr=" SEQ Figure \* ARABIC ">
        <w:r w:rsidR="00363F9D">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701816" w:rsidRPr="00701816">
        <w:t>30 June 2017</w:t>
      </w:r>
      <w:r w:rsidRPr="002171C9">
        <w:t xml:space="preserve"> by </w:t>
      </w:r>
      <w:r>
        <w:t>District Health Board</w:t>
      </w:r>
      <w:bookmarkEnd w:id="39"/>
    </w:p>
    <w:p w14:paraId="758B16C2" w14:textId="77777777" w:rsidR="00137AB6" w:rsidRDefault="00137AB6" w:rsidP="00137AB6">
      <w:pPr>
        <w:rPr>
          <w:caps/>
        </w:rPr>
      </w:pPr>
    </w:p>
    <w:p w14:paraId="73F50B5B" w14:textId="77777777" w:rsidR="00137AB6" w:rsidRPr="00137AB6" w:rsidRDefault="007A234C"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7A234C">
        <w:rPr>
          <w:noProof/>
        </w:rPr>
        <w:drawing>
          <wp:inline distT="0" distB="0" distL="0" distR="0" wp14:anchorId="3051AF6A" wp14:editId="48C33C9D">
            <wp:extent cx="5231270" cy="7396328"/>
            <wp:effectExtent l="0" t="0" r="7620" b="0"/>
            <wp:docPr id="13" name="Picture 13" descr="S:\Analysis\30 Breast\Programme analysis\BSA DHB Reports\13 June 2017\99 ArcGIS Maps 20170717\BSA_National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30 Breast\Programme analysis\BSA DHB Reports\13 June 2017\99 ArcGIS Maps 20170717\BSA_National June 2017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35077" cy="7401710"/>
                    </a:xfrm>
                    <a:prstGeom prst="rect">
                      <a:avLst/>
                    </a:prstGeom>
                    <a:noFill/>
                    <a:ln>
                      <a:noFill/>
                    </a:ln>
                  </pic:spPr>
                </pic:pic>
              </a:graphicData>
            </a:graphic>
          </wp:inline>
        </w:drawing>
      </w:r>
    </w:p>
    <w:p w14:paraId="1AC19E11" w14:textId="77777777" w:rsidR="00D52B13" w:rsidRDefault="00115CAE" w:rsidP="00CE24C5">
      <w:pPr>
        <w:pStyle w:val="Table"/>
        <w:spacing w:before="0"/>
        <w:ind w:left="-284"/>
      </w:pPr>
      <w:bookmarkStart w:id="40" w:name="_Toc400365297"/>
      <w:bookmarkStart w:id="41" w:name="_Toc488653909"/>
      <w:r w:rsidRPr="00F17732">
        <w:lastRenderedPageBreak/>
        <w:t xml:space="preserve">Table </w:t>
      </w:r>
      <w:r w:rsidR="00EA7EF5">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701816" w:rsidRPr="00701816">
        <w:t>30 June 2017</w:t>
      </w:r>
      <w:r w:rsidRPr="00F17732">
        <w:t xml:space="preserve"> </w:t>
      </w:r>
      <w:r>
        <w:t xml:space="preserve">by </w:t>
      </w:r>
      <w:r w:rsidR="00B718BD">
        <w:t>District Health Board</w:t>
      </w:r>
      <w:bookmarkEnd w:id="40"/>
      <w:bookmarkEnd w:id="41"/>
    </w:p>
    <w:p w14:paraId="10D9BD55" w14:textId="77777777" w:rsidR="00CE24C5" w:rsidRPr="00CE24C5" w:rsidRDefault="00EA7EF5" w:rsidP="00CE24C5">
      <w:bookmarkStart w:id="42" w:name="table_2"/>
      <w:bookmarkEnd w:id="42"/>
      <w:r w:rsidRPr="00EA7EF5">
        <w:rPr>
          <w:noProof/>
        </w:rPr>
        <w:drawing>
          <wp:inline distT="0" distB="0" distL="0" distR="0" wp14:anchorId="04F93B57" wp14:editId="68662616">
            <wp:extent cx="8972550" cy="4714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72550" cy="4714875"/>
                    </a:xfrm>
                    <a:prstGeom prst="rect">
                      <a:avLst/>
                    </a:prstGeom>
                    <a:noFill/>
                    <a:ln>
                      <a:noFill/>
                    </a:ln>
                  </pic:spPr>
                </pic:pic>
              </a:graphicData>
            </a:graphic>
          </wp:inline>
        </w:drawing>
      </w:r>
    </w:p>
    <w:p w14:paraId="0C41207A" w14:textId="77777777" w:rsidR="00115CAE" w:rsidRDefault="00115CAE" w:rsidP="00115CAE"/>
    <w:p w14:paraId="39879D72" w14:textId="77777777" w:rsidR="00CE24C5" w:rsidRDefault="00CE24C5">
      <w:pPr>
        <w:spacing w:after="200"/>
        <w:rPr>
          <w:rFonts w:eastAsiaTheme="majorEastAsia" w:cstheme="majorBidi"/>
          <w:b/>
          <w:bCs/>
          <w:sz w:val="28"/>
          <w:szCs w:val="26"/>
        </w:rPr>
      </w:pPr>
      <w:bookmarkStart w:id="43" w:name="_Toc399921857"/>
      <w:r>
        <w:br w:type="page"/>
      </w:r>
    </w:p>
    <w:p w14:paraId="22AFEFF0" w14:textId="77777777" w:rsidR="00115CAE" w:rsidRDefault="00115CAE" w:rsidP="00C75BA8">
      <w:pPr>
        <w:pStyle w:val="Heading2"/>
        <w:spacing w:before="0"/>
        <w:ind w:left="-284"/>
      </w:pPr>
      <w:bookmarkStart w:id="44" w:name="_Toc488255834"/>
      <w:r>
        <w:lastRenderedPageBreak/>
        <w:t>DHB coverage comparison trends by ethnicity</w:t>
      </w:r>
      <w:bookmarkEnd w:id="43"/>
      <w:bookmarkEnd w:id="44"/>
    </w:p>
    <w:p w14:paraId="529495A4" w14:textId="77777777" w:rsidR="00115CAE" w:rsidRDefault="00115CAE" w:rsidP="003669D4">
      <w:pPr>
        <w:pStyle w:val="Table"/>
        <w:ind w:left="-284"/>
      </w:pPr>
      <w:bookmarkStart w:id="45" w:name="_Toc400365298"/>
      <w:bookmarkStart w:id="46" w:name="_Toc488653910"/>
      <w:r w:rsidRPr="00F17732">
        <w:t>Table</w:t>
      </w:r>
      <w:r>
        <w:t xml:space="preserve"> </w:t>
      </w:r>
      <w:r w:rsidR="00EA7EF5">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701816" w:rsidRPr="00701816">
        <w:t xml:space="preserve">30 </w:t>
      </w:r>
      <w:proofErr w:type="gramStart"/>
      <w:r w:rsidR="00701816" w:rsidRPr="00701816">
        <w:t>June,</w:t>
      </w:r>
      <w:proofErr w:type="gramEnd"/>
      <w:r w:rsidR="00701816" w:rsidRPr="00701816">
        <w:t xml:space="preserve"> 2015, 2016, 2017</w:t>
      </w:r>
      <w:r>
        <w:t xml:space="preserve">, by ethnicity and </w:t>
      </w:r>
      <w:r w:rsidR="00B718BD">
        <w:t>District Health Board</w:t>
      </w:r>
      <w:bookmarkEnd w:id="45"/>
      <w:bookmarkEnd w:id="46"/>
    </w:p>
    <w:p w14:paraId="293D8B0C" w14:textId="77777777" w:rsidR="006B45AA" w:rsidRPr="006B45AA" w:rsidRDefault="00701816" w:rsidP="006B45AA">
      <w:bookmarkStart w:id="47" w:name="table_3"/>
      <w:bookmarkEnd w:id="47"/>
      <w:r w:rsidRPr="00701816">
        <w:rPr>
          <w:noProof/>
        </w:rPr>
        <w:drawing>
          <wp:inline distT="0" distB="0" distL="0" distR="0" wp14:anchorId="31CFFDA6" wp14:editId="1342931D">
            <wp:extent cx="6649720" cy="45205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9720" cy="4520565"/>
                    </a:xfrm>
                    <a:prstGeom prst="rect">
                      <a:avLst/>
                    </a:prstGeom>
                    <a:noFill/>
                    <a:ln>
                      <a:noFill/>
                    </a:ln>
                  </pic:spPr>
                </pic:pic>
              </a:graphicData>
            </a:graphic>
          </wp:inline>
        </w:drawing>
      </w:r>
    </w:p>
    <w:p w14:paraId="390C165D" w14:textId="77777777" w:rsidR="003669D4" w:rsidRPr="003669D4" w:rsidRDefault="003669D4" w:rsidP="003669D4">
      <w:pPr>
        <w:ind w:left="-284"/>
      </w:pPr>
    </w:p>
    <w:p w14:paraId="1FC2C0CF"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96915" w14:textId="77777777" w:rsidR="005905F8" w:rsidRDefault="005905F8">
      <w:pPr>
        <w:spacing w:line="240" w:lineRule="auto"/>
      </w:pPr>
      <w:r>
        <w:separator/>
      </w:r>
    </w:p>
  </w:endnote>
  <w:endnote w:type="continuationSeparator" w:id="0">
    <w:p w14:paraId="60D89285" w14:textId="77777777" w:rsidR="005905F8" w:rsidRDefault="005905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4334C829" w14:textId="77777777"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5AEF999F" w14:textId="77777777" w:rsidR="002A2801" w:rsidRPr="00497068" w:rsidRDefault="002A2801"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6E55A948" w14:textId="77777777" w:rsidR="002A2801" w:rsidRDefault="002A2801">
        <w:pPr>
          <w:pStyle w:val="Footer"/>
          <w:jc w:val="center"/>
        </w:pPr>
        <w:r>
          <w:fldChar w:fldCharType="begin"/>
        </w:r>
        <w:r>
          <w:instrText xml:space="preserve"> PAGE   \* MERGEFORMAT </w:instrText>
        </w:r>
        <w:r>
          <w:fldChar w:fldCharType="separate"/>
        </w:r>
        <w:r w:rsidR="00363F9D">
          <w:rPr>
            <w:noProof/>
          </w:rPr>
          <w:t>5</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7761BDBE" w14:textId="77777777" w:rsidR="002A2801" w:rsidRDefault="002A2801">
        <w:pPr>
          <w:pStyle w:val="Footer"/>
          <w:jc w:val="center"/>
        </w:pPr>
        <w:r>
          <w:fldChar w:fldCharType="begin"/>
        </w:r>
        <w:r>
          <w:instrText xml:space="preserve"> PAGE   \* MERGEFORMAT </w:instrText>
        </w:r>
        <w:r>
          <w:fldChar w:fldCharType="separate"/>
        </w:r>
        <w:r w:rsidR="00363F9D">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07EAD" w14:textId="77777777" w:rsidR="005905F8" w:rsidRDefault="005905F8">
      <w:pPr>
        <w:spacing w:line="240" w:lineRule="auto"/>
      </w:pPr>
      <w:r>
        <w:separator/>
      </w:r>
    </w:p>
  </w:footnote>
  <w:footnote w:type="continuationSeparator" w:id="0">
    <w:p w14:paraId="47DA964A" w14:textId="77777777" w:rsidR="005905F8" w:rsidRDefault="005905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8DF9E" w14:textId="77777777" w:rsidR="002A2801" w:rsidRDefault="002A2801">
    <w:pPr>
      <w:pStyle w:val="Header"/>
    </w:pPr>
    <w:r>
      <w:rPr>
        <w:noProof/>
      </w:rPr>
      <w:drawing>
        <wp:inline distT="0" distB="0" distL="0" distR="0" wp14:anchorId="6BE42F6E" wp14:editId="2BFC6D39">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52E789C9" w14:textId="77777777" w:rsidR="002A2801" w:rsidRDefault="00751E09" w:rsidP="00E52682">
    <w:pPr>
      <w:pStyle w:val="Header"/>
      <w:ind w:right="-425"/>
      <w:jc w:val="right"/>
    </w:pPr>
    <w:r w:rsidRPr="00532FD3">
      <w:rPr>
        <w:noProof/>
      </w:rPr>
      <w:drawing>
        <wp:inline distT="0" distB="0" distL="0" distR="0" wp14:anchorId="0DF6EAAB" wp14:editId="5495561F">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BA46D" w14:textId="77777777" w:rsidR="002A2801" w:rsidRDefault="002A2801">
    <w:pPr>
      <w:pStyle w:val="Header"/>
    </w:pPr>
    <w:r>
      <w:rPr>
        <w:noProof/>
      </w:rPr>
      <w:drawing>
        <wp:inline distT="0" distB="0" distL="0" distR="0" wp14:anchorId="0015BF5A" wp14:editId="5D5A9C3C">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59746" w14:textId="77777777" w:rsidR="002A2801" w:rsidRDefault="002A2801">
    <w:pPr>
      <w:pStyle w:val="Header"/>
    </w:pPr>
    <w:r>
      <w:rPr>
        <w:noProof/>
      </w:rPr>
      <w:drawing>
        <wp:inline distT="0" distB="0" distL="0" distR="0" wp14:anchorId="7828A102" wp14:editId="49B5B0D4">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3BB949DF" w14:textId="77777777" w:rsidR="002A2801" w:rsidRDefault="002A2801" w:rsidP="00E52682">
    <w:pPr>
      <w:pStyle w:val="Header"/>
      <w:ind w:right="-425"/>
      <w:jc w:val="right"/>
    </w:pPr>
    <w:r w:rsidRPr="001A7BE5">
      <w:rPr>
        <w:noProof/>
        <w:color w:val="000000"/>
        <w:sz w:val="19"/>
        <w:szCs w:val="19"/>
      </w:rPr>
      <w:drawing>
        <wp:inline distT="0" distB="0" distL="0" distR="0" wp14:anchorId="5A4D8C75" wp14:editId="6C123D5E">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F0159" w14:textId="77777777" w:rsidR="002A2801" w:rsidRDefault="002A2801">
    <w:pPr>
      <w:pStyle w:val="Header"/>
    </w:pPr>
    <w:r>
      <w:rPr>
        <w:noProof/>
      </w:rPr>
      <w:drawing>
        <wp:inline distT="0" distB="0" distL="0" distR="0" wp14:anchorId="12C92953" wp14:editId="4A431777">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39DD"/>
    <w:rsid w:val="00070AAE"/>
    <w:rsid w:val="00070D14"/>
    <w:rsid w:val="00082E02"/>
    <w:rsid w:val="000933E9"/>
    <w:rsid w:val="000A74EA"/>
    <w:rsid w:val="000C2B3F"/>
    <w:rsid w:val="000C5714"/>
    <w:rsid w:val="000D1A06"/>
    <w:rsid w:val="000E7690"/>
    <w:rsid w:val="000F768D"/>
    <w:rsid w:val="001014C8"/>
    <w:rsid w:val="00115CAE"/>
    <w:rsid w:val="00131DDF"/>
    <w:rsid w:val="00132229"/>
    <w:rsid w:val="00137AB6"/>
    <w:rsid w:val="00137BE4"/>
    <w:rsid w:val="00141C89"/>
    <w:rsid w:val="00164D88"/>
    <w:rsid w:val="00183C71"/>
    <w:rsid w:val="00193694"/>
    <w:rsid w:val="001979C8"/>
    <w:rsid w:val="001A76B0"/>
    <w:rsid w:val="001B2D4A"/>
    <w:rsid w:val="001B7D1A"/>
    <w:rsid w:val="001D2534"/>
    <w:rsid w:val="001E5470"/>
    <w:rsid w:val="001F29EC"/>
    <w:rsid w:val="00202796"/>
    <w:rsid w:val="00223993"/>
    <w:rsid w:val="0023374D"/>
    <w:rsid w:val="00236495"/>
    <w:rsid w:val="0024296D"/>
    <w:rsid w:val="00243292"/>
    <w:rsid w:val="00251991"/>
    <w:rsid w:val="002669FF"/>
    <w:rsid w:val="00284E09"/>
    <w:rsid w:val="002A2801"/>
    <w:rsid w:val="002B0ED8"/>
    <w:rsid w:val="002B1E5A"/>
    <w:rsid w:val="002B6CFE"/>
    <w:rsid w:val="002D06D3"/>
    <w:rsid w:val="002D25D6"/>
    <w:rsid w:val="002F360A"/>
    <w:rsid w:val="003074B1"/>
    <w:rsid w:val="00312010"/>
    <w:rsid w:val="00322E36"/>
    <w:rsid w:val="00327229"/>
    <w:rsid w:val="00341348"/>
    <w:rsid w:val="003557B2"/>
    <w:rsid w:val="00363C24"/>
    <w:rsid w:val="00363F9D"/>
    <w:rsid w:val="0036623D"/>
    <w:rsid w:val="003669D4"/>
    <w:rsid w:val="00372639"/>
    <w:rsid w:val="00393D33"/>
    <w:rsid w:val="003B681D"/>
    <w:rsid w:val="003D1C1E"/>
    <w:rsid w:val="003E31E9"/>
    <w:rsid w:val="003E5CF3"/>
    <w:rsid w:val="003F0618"/>
    <w:rsid w:val="003F1A49"/>
    <w:rsid w:val="00401D58"/>
    <w:rsid w:val="00403081"/>
    <w:rsid w:val="00407AD1"/>
    <w:rsid w:val="0041553F"/>
    <w:rsid w:val="00423FE9"/>
    <w:rsid w:val="004435B3"/>
    <w:rsid w:val="00451AE5"/>
    <w:rsid w:val="00454136"/>
    <w:rsid w:val="00460FDC"/>
    <w:rsid w:val="00473245"/>
    <w:rsid w:val="0048478E"/>
    <w:rsid w:val="00496FD0"/>
    <w:rsid w:val="004B1400"/>
    <w:rsid w:val="004B6FD0"/>
    <w:rsid w:val="004C1F44"/>
    <w:rsid w:val="004C3D85"/>
    <w:rsid w:val="004D0E6D"/>
    <w:rsid w:val="004E531D"/>
    <w:rsid w:val="004F5B05"/>
    <w:rsid w:val="0050463E"/>
    <w:rsid w:val="0050510D"/>
    <w:rsid w:val="00532664"/>
    <w:rsid w:val="0056042A"/>
    <w:rsid w:val="005631A2"/>
    <w:rsid w:val="00565780"/>
    <w:rsid w:val="00576B92"/>
    <w:rsid w:val="005834E2"/>
    <w:rsid w:val="005905F8"/>
    <w:rsid w:val="005A05B2"/>
    <w:rsid w:val="005A3C8B"/>
    <w:rsid w:val="005B004E"/>
    <w:rsid w:val="005B26F1"/>
    <w:rsid w:val="005E7C0E"/>
    <w:rsid w:val="005F3F3F"/>
    <w:rsid w:val="0060384F"/>
    <w:rsid w:val="00606F61"/>
    <w:rsid w:val="00625E48"/>
    <w:rsid w:val="006300D9"/>
    <w:rsid w:val="00633A3F"/>
    <w:rsid w:val="006542B8"/>
    <w:rsid w:val="006722EA"/>
    <w:rsid w:val="006871C8"/>
    <w:rsid w:val="006A45A7"/>
    <w:rsid w:val="006A64A9"/>
    <w:rsid w:val="006B45AA"/>
    <w:rsid w:val="006B6452"/>
    <w:rsid w:val="006C1638"/>
    <w:rsid w:val="006C6A34"/>
    <w:rsid w:val="006C79D1"/>
    <w:rsid w:val="006E3EE5"/>
    <w:rsid w:val="006F61D0"/>
    <w:rsid w:val="00701816"/>
    <w:rsid w:val="00701CC2"/>
    <w:rsid w:val="00703834"/>
    <w:rsid w:val="00704BD6"/>
    <w:rsid w:val="007210B9"/>
    <w:rsid w:val="0072251B"/>
    <w:rsid w:val="00726002"/>
    <w:rsid w:val="00742F05"/>
    <w:rsid w:val="00744D58"/>
    <w:rsid w:val="00746D25"/>
    <w:rsid w:val="00751E09"/>
    <w:rsid w:val="00764DB3"/>
    <w:rsid w:val="007675BD"/>
    <w:rsid w:val="007A234C"/>
    <w:rsid w:val="007C1A71"/>
    <w:rsid w:val="007C2628"/>
    <w:rsid w:val="007D619E"/>
    <w:rsid w:val="007E2785"/>
    <w:rsid w:val="007E7084"/>
    <w:rsid w:val="00800C93"/>
    <w:rsid w:val="0080322A"/>
    <w:rsid w:val="00805861"/>
    <w:rsid w:val="00811F6D"/>
    <w:rsid w:val="00825B8C"/>
    <w:rsid w:val="00835C9A"/>
    <w:rsid w:val="00851CAB"/>
    <w:rsid w:val="0085756D"/>
    <w:rsid w:val="00862ED0"/>
    <w:rsid w:val="00872358"/>
    <w:rsid w:val="00885547"/>
    <w:rsid w:val="0089397C"/>
    <w:rsid w:val="008B47D7"/>
    <w:rsid w:val="008B757C"/>
    <w:rsid w:val="008D07F7"/>
    <w:rsid w:val="008E5439"/>
    <w:rsid w:val="00901F2A"/>
    <w:rsid w:val="009138C8"/>
    <w:rsid w:val="00915385"/>
    <w:rsid w:val="00930D20"/>
    <w:rsid w:val="009376F1"/>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7E28"/>
    <w:rsid w:val="00AE1525"/>
    <w:rsid w:val="00AE623F"/>
    <w:rsid w:val="00AF3065"/>
    <w:rsid w:val="00B053F8"/>
    <w:rsid w:val="00B12EFD"/>
    <w:rsid w:val="00B16269"/>
    <w:rsid w:val="00B2412A"/>
    <w:rsid w:val="00B41599"/>
    <w:rsid w:val="00B52C33"/>
    <w:rsid w:val="00B5410F"/>
    <w:rsid w:val="00B718BD"/>
    <w:rsid w:val="00B72A22"/>
    <w:rsid w:val="00BB087C"/>
    <w:rsid w:val="00BD3841"/>
    <w:rsid w:val="00BE4ED8"/>
    <w:rsid w:val="00BE654A"/>
    <w:rsid w:val="00BE7A83"/>
    <w:rsid w:val="00BF27D3"/>
    <w:rsid w:val="00BF51B0"/>
    <w:rsid w:val="00BF5453"/>
    <w:rsid w:val="00C168F9"/>
    <w:rsid w:val="00C45A14"/>
    <w:rsid w:val="00C57853"/>
    <w:rsid w:val="00C64CB1"/>
    <w:rsid w:val="00C75BA8"/>
    <w:rsid w:val="00C84549"/>
    <w:rsid w:val="00C9547D"/>
    <w:rsid w:val="00CA78EA"/>
    <w:rsid w:val="00CB2133"/>
    <w:rsid w:val="00CB5164"/>
    <w:rsid w:val="00CC2717"/>
    <w:rsid w:val="00CC633B"/>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8713D"/>
    <w:rsid w:val="00DB0677"/>
    <w:rsid w:val="00DB47A0"/>
    <w:rsid w:val="00DD69A8"/>
    <w:rsid w:val="00E07458"/>
    <w:rsid w:val="00E232C7"/>
    <w:rsid w:val="00E2647B"/>
    <w:rsid w:val="00E37AF5"/>
    <w:rsid w:val="00E37EDA"/>
    <w:rsid w:val="00E52682"/>
    <w:rsid w:val="00E62F7A"/>
    <w:rsid w:val="00E646CB"/>
    <w:rsid w:val="00E83519"/>
    <w:rsid w:val="00EA7EF5"/>
    <w:rsid w:val="00EB1948"/>
    <w:rsid w:val="00EB4088"/>
    <w:rsid w:val="00EC4D5A"/>
    <w:rsid w:val="00ED52A0"/>
    <w:rsid w:val="00ED66A0"/>
    <w:rsid w:val="00EE282A"/>
    <w:rsid w:val="00F12613"/>
    <w:rsid w:val="00F14827"/>
    <w:rsid w:val="00F209FE"/>
    <w:rsid w:val="00F279F6"/>
    <w:rsid w:val="00F27C51"/>
    <w:rsid w:val="00F30026"/>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6801FB"/>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62.9</c:v>
                </c:pt>
                <c:pt idx="1">
                  <c:v>75.3</c:v>
                </c:pt>
                <c:pt idx="2">
                  <c:v>68.8</c:v>
                </c:pt>
                <c:pt idx="3">
                  <c:v>69.2</c:v>
                </c:pt>
              </c:numCache>
            </c:numRef>
          </c:val>
          <c:extLst>
            <c:ext xmlns:c16="http://schemas.microsoft.com/office/drawing/2014/chart" uri="{C3380CC4-5D6E-409C-BE32-E72D297353CC}">
              <c16:uniqueId val="{00000000-DDED-444A-B151-0466B4C28B0B}"/>
            </c:ext>
          </c:extLst>
        </c:ser>
        <c:dLbls>
          <c:showLegendKey val="0"/>
          <c:showVal val="0"/>
          <c:showCatName val="0"/>
          <c:showSerName val="0"/>
          <c:showPercent val="0"/>
          <c:showBubbleSize val="0"/>
        </c:dLbls>
        <c:gapWidth val="50"/>
        <c:axId val="220506976"/>
        <c:axId val="220506192"/>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DDED-444A-B151-0466B4C28B0B}"/>
            </c:ext>
          </c:extLst>
        </c:ser>
        <c:dLbls>
          <c:showLegendKey val="0"/>
          <c:showVal val="0"/>
          <c:showCatName val="0"/>
          <c:showSerName val="0"/>
          <c:showPercent val="0"/>
          <c:showBubbleSize val="0"/>
        </c:dLbls>
        <c:marker val="1"/>
        <c:smooth val="0"/>
        <c:axId val="220506976"/>
        <c:axId val="220506192"/>
      </c:lineChart>
      <c:catAx>
        <c:axId val="22050697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0506192"/>
        <c:crosses val="autoZero"/>
        <c:auto val="1"/>
        <c:lblAlgn val="ctr"/>
        <c:lblOffset val="100"/>
        <c:tickLblSkip val="1"/>
        <c:noMultiLvlLbl val="0"/>
      </c:catAx>
      <c:valAx>
        <c:axId val="22050619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050697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Jun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66.099999999999994</c:v>
                </c:pt>
                <c:pt idx="1">
                  <c:v>79.400000000000006</c:v>
                </c:pt>
                <c:pt idx="2">
                  <c:v>68.400000000000006</c:v>
                </c:pt>
                <c:pt idx="3">
                  <c:v>69.8</c:v>
                </c:pt>
              </c:numCache>
            </c:numRef>
          </c:val>
          <c:extLst>
            <c:ext xmlns:c16="http://schemas.microsoft.com/office/drawing/2014/chart" uri="{C3380CC4-5D6E-409C-BE32-E72D297353CC}">
              <c16:uniqueId val="{00000000-9886-4A25-9DD8-BCECA810F09B}"/>
            </c:ext>
          </c:extLst>
        </c:ser>
        <c:ser>
          <c:idx val="0"/>
          <c:order val="1"/>
          <c:tx>
            <c:strRef>
              <c:f>Report!$H$40</c:f>
              <c:strCache>
                <c:ptCount val="1"/>
                <c:pt idx="0">
                  <c:v>Jun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65.400000000000006</c:v>
                </c:pt>
                <c:pt idx="1">
                  <c:v>76.7</c:v>
                </c:pt>
                <c:pt idx="2">
                  <c:v>68.900000000000006</c:v>
                </c:pt>
                <c:pt idx="3">
                  <c:v>69.7</c:v>
                </c:pt>
              </c:numCache>
            </c:numRef>
          </c:val>
          <c:extLst>
            <c:ext xmlns:c16="http://schemas.microsoft.com/office/drawing/2014/chart" uri="{C3380CC4-5D6E-409C-BE32-E72D297353CC}">
              <c16:uniqueId val="{00000001-9886-4A25-9DD8-BCECA810F09B}"/>
            </c:ext>
          </c:extLst>
        </c:ser>
        <c:ser>
          <c:idx val="1"/>
          <c:order val="2"/>
          <c:tx>
            <c:strRef>
              <c:f>Report!$H$41</c:f>
              <c:strCache>
                <c:ptCount val="1"/>
                <c:pt idx="0">
                  <c:v>Jun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62.9</c:v>
                </c:pt>
                <c:pt idx="1">
                  <c:v>75.3</c:v>
                </c:pt>
                <c:pt idx="2">
                  <c:v>68.8</c:v>
                </c:pt>
                <c:pt idx="3">
                  <c:v>69.2</c:v>
                </c:pt>
              </c:numCache>
            </c:numRef>
          </c:val>
          <c:extLst>
            <c:ext xmlns:c16="http://schemas.microsoft.com/office/drawing/2014/chart" uri="{C3380CC4-5D6E-409C-BE32-E72D297353CC}">
              <c16:uniqueId val="{00000002-9886-4A25-9DD8-BCECA810F09B}"/>
            </c:ext>
          </c:extLst>
        </c:ser>
        <c:dLbls>
          <c:showLegendKey val="0"/>
          <c:showVal val="0"/>
          <c:showCatName val="0"/>
          <c:showSerName val="0"/>
          <c:showPercent val="0"/>
          <c:showBubbleSize val="0"/>
        </c:dLbls>
        <c:gapWidth val="150"/>
        <c:axId val="220507368"/>
        <c:axId val="220507760"/>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9886-4A25-9DD8-BCECA810F09B}"/>
            </c:ext>
          </c:extLst>
        </c:ser>
        <c:dLbls>
          <c:showLegendKey val="0"/>
          <c:showVal val="0"/>
          <c:showCatName val="0"/>
          <c:showSerName val="0"/>
          <c:showPercent val="0"/>
          <c:showBubbleSize val="0"/>
        </c:dLbls>
        <c:marker val="1"/>
        <c:smooth val="0"/>
        <c:axId val="220507368"/>
        <c:axId val="220507760"/>
      </c:lineChart>
      <c:catAx>
        <c:axId val="22050736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0507760"/>
        <c:crosses val="autoZero"/>
        <c:auto val="1"/>
        <c:lblAlgn val="ctr"/>
        <c:lblOffset val="100"/>
        <c:noMultiLvlLbl val="0"/>
      </c:catAx>
      <c:valAx>
        <c:axId val="22050776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0507368"/>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70.5</c:v>
                </c:pt>
                <c:pt idx="1">
                  <c:v>61.7</c:v>
                </c:pt>
                <c:pt idx="2">
                  <c:v>57.2</c:v>
                </c:pt>
                <c:pt idx="3">
                  <c:v>62.9</c:v>
                </c:pt>
                <c:pt idx="4">
                  <c:v>57.7</c:v>
                </c:pt>
                <c:pt idx="5">
                  <c:v>63.5</c:v>
                </c:pt>
                <c:pt idx="6">
                  <c:v>57.7</c:v>
                </c:pt>
                <c:pt idx="7">
                  <c:v>67.599999999999994</c:v>
                </c:pt>
                <c:pt idx="8">
                  <c:v>61.7</c:v>
                </c:pt>
                <c:pt idx="9">
                  <c:v>66.8</c:v>
                </c:pt>
                <c:pt idx="10">
                  <c:v>69.900000000000006</c:v>
                </c:pt>
                <c:pt idx="11">
                  <c:v>64.900000000000006</c:v>
                </c:pt>
                <c:pt idx="12">
                  <c:v>69.2</c:v>
                </c:pt>
                <c:pt idx="13">
                  <c:v>67.599999999999994</c:v>
                </c:pt>
                <c:pt idx="14">
                  <c:v>68.8</c:v>
                </c:pt>
                <c:pt idx="15">
                  <c:v>77.400000000000006</c:v>
                </c:pt>
                <c:pt idx="16">
                  <c:v>67.099999999999994</c:v>
                </c:pt>
                <c:pt idx="17">
                  <c:v>70.900000000000006</c:v>
                </c:pt>
                <c:pt idx="18">
                  <c:v>72.3</c:v>
                </c:pt>
                <c:pt idx="19">
                  <c:v>66.5</c:v>
                </c:pt>
                <c:pt idx="20">
                  <c:v>64.5</c:v>
                </c:pt>
              </c:numCache>
            </c:numRef>
          </c:val>
          <c:extLst>
            <c:ext xmlns:c16="http://schemas.microsoft.com/office/drawing/2014/chart" uri="{C3380CC4-5D6E-409C-BE32-E72D297353CC}">
              <c16:uniqueId val="{00000000-070C-4B94-BBF4-4FD5AC76D086}"/>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62.9</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070C-4B94-BBF4-4FD5AC76D086}"/>
            </c:ext>
          </c:extLst>
        </c:ser>
        <c:dLbls>
          <c:showLegendKey val="0"/>
          <c:showVal val="0"/>
          <c:showCatName val="0"/>
          <c:showSerName val="0"/>
          <c:showPercent val="0"/>
          <c:showBubbleSize val="0"/>
        </c:dLbls>
        <c:gapWidth val="50"/>
        <c:overlap val="100"/>
        <c:axId val="220509720"/>
        <c:axId val="22051089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070C-4B94-BBF4-4FD5AC76D086}"/>
            </c:ext>
          </c:extLst>
        </c:ser>
        <c:dLbls>
          <c:showLegendKey val="0"/>
          <c:showVal val="0"/>
          <c:showCatName val="0"/>
          <c:showSerName val="0"/>
          <c:showPercent val="0"/>
          <c:showBubbleSize val="0"/>
        </c:dLbls>
        <c:marker val="1"/>
        <c:smooth val="0"/>
        <c:axId val="220509720"/>
        <c:axId val="220510896"/>
      </c:lineChart>
      <c:catAx>
        <c:axId val="22050972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0510896"/>
        <c:crosses val="autoZero"/>
        <c:auto val="1"/>
        <c:lblAlgn val="ctr"/>
        <c:lblOffset val="100"/>
        <c:tickLblSkip val="1"/>
        <c:noMultiLvlLbl val="0"/>
      </c:catAx>
      <c:valAx>
        <c:axId val="22051089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050972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68.8</c:v>
                </c:pt>
                <c:pt idx="1">
                  <c:v>71.7</c:v>
                </c:pt>
                <c:pt idx="2">
                  <c:v>72.8</c:v>
                </c:pt>
                <c:pt idx="3">
                  <c:v>75.3</c:v>
                </c:pt>
                <c:pt idx="4">
                  <c:v>59.6</c:v>
                </c:pt>
                <c:pt idx="5">
                  <c:v>63.3</c:v>
                </c:pt>
                <c:pt idx="6">
                  <c:v>63.6</c:v>
                </c:pt>
                <c:pt idx="7">
                  <c:v>68.900000000000006</c:v>
                </c:pt>
                <c:pt idx="8">
                  <c:v>64.2</c:v>
                </c:pt>
                <c:pt idx="9">
                  <c:v>66.900000000000006</c:v>
                </c:pt>
                <c:pt idx="10">
                  <c:v>70.5</c:v>
                </c:pt>
                <c:pt idx="11">
                  <c:v>66.900000000000006</c:v>
                </c:pt>
                <c:pt idx="12">
                  <c:v>69.400000000000006</c:v>
                </c:pt>
                <c:pt idx="13">
                  <c:v>69.599999999999994</c:v>
                </c:pt>
                <c:pt idx="14">
                  <c:v>69.2</c:v>
                </c:pt>
                <c:pt idx="15">
                  <c:v>69.3</c:v>
                </c:pt>
                <c:pt idx="16">
                  <c:v>28</c:v>
                </c:pt>
                <c:pt idx="17">
                  <c:v>62.4</c:v>
                </c:pt>
                <c:pt idx="18">
                  <c:v>60</c:v>
                </c:pt>
                <c:pt idx="19">
                  <c:v>62.2</c:v>
                </c:pt>
                <c:pt idx="20">
                  <c:v>71.8</c:v>
                </c:pt>
              </c:numCache>
            </c:numRef>
          </c:val>
          <c:extLst>
            <c:ext xmlns:c16="http://schemas.microsoft.com/office/drawing/2014/chart" uri="{C3380CC4-5D6E-409C-BE32-E72D297353CC}">
              <c16:uniqueId val="{00000000-E94F-46CA-830F-CE7B1CF04DB5}"/>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75.3</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E94F-46CA-830F-CE7B1CF04DB5}"/>
            </c:ext>
          </c:extLst>
        </c:ser>
        <c:dLbls>
          <c:showLegendKey val="0"/>
          <c:showVal val="0"/>
          <c:showCatName val="0"/>
          <c:showSerName val="0"/>
          <c:showPercent val="0"/>
          <c:showBubbleSize val="0"/>
        </c:dLbls>
        <c:gapWidth val="50"/>
        <c:overlap val="100"/>
        <c:axId val="220512072"/>
        <c:axId val="22050932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E94F-46CA-830F-CE7B1CF04DB5}"/>
            </c:ext>
          </c:extLst>
        </c:ser>
        <c:dLbls>
          <c:showLegendKey val="0"/>
          <c:showVal val="0"/>
          <c:showCatName val="0"/>
          <c:showSerName val="0"/>
          <c:showPercent val="0"/>
          <c:showBubbleSize val="0"/>
        </c:dLbls>
        <c:marker val="1"/>
        <c:smooth val="0"/>
        <c:axId val="220512072"/>
        <c:axId val="220509328"/>
      </c:lineChart>
      <c:catAx>
        <c:axId val="22051207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0509328"/>
        <c:crosses val="autoZero"/>
        <c:auto val="1"/>
        <c:lblAlgn val="ctr"/>
        <c:lblOffset val="100"/>
        <c:tickLblSkip val="1"/>
        <c:noMultiLvlLbl val="0"/>
      </c:catAx>
      <c:valAx>
        <c:axId val="22050932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051207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72.099999999999994</c:v>
                </c:pt>
                <c:pt idx="1">
                  <c:v>66.3</c:v>
                </c:pt>
                <c:pt idx="2">
                  <c:v>63.6</c:v>
                </c:pt>
                <c:pt idx="3">
                  <c:v>69.2</c:v>
                </c:pt>
                <c:pt idx="4">
                  <c:v>68.400000000000006</c:v>
                </c:pt>
                <c:pt idx="5">
                  <c:v>69.7</c:v>
                </c:pt>
                <c:pt idx="6">
                  <c:v>68.8</c:v>
                </c:pt>
                <c:pt idx="7">
                  <c:v>70.8</c:v>
                </c:pt>
                <c:pt idx="8">
                  <c:v>74.7</c:v>
                </c:pt>
                <c:pt idx="9">
                  <c:v>73.2</c:v>
                </c:pt>
                <c:pt idx="10">
                  <c:v>77.7</c:v>
                </c:pt>
                <c:pt idx="11">
                  <c:v>75.8</c:v>
                </c:pt>
                <c:pt idx="12">
                  <c:v>75</c:v>
                </c:pt>
                <c:pt idx="13">
                  <c:v>73.2</c:v>
                </c:pt>
                <c:pt idx="14">
                  <c:v>75.3</c:v>
                </c:pt>
                <c:pt idx="15">
                  <c:v>80.599999999999994</c:v>
                </c:pt>
                <c:pt idx="16">
                  <c:v>76.7</c:v>
                </c:pt>
                <c:pt idx="17">
                  <c:v>76.3</c:v>
                </c:pt>
                <c:pt idx="18">
                  <c:v>77.3</c:v>
                </c:pt>
                <c:pt idx="19">
                  <c:v>75</c:v>
                </c:pt>
                <c:pt idx="20">
                  <c:v>71.8</c:v>
                </c:pt>
              </c:numCache>
            </c:numRef>
          </c:val>
          <c:extLst>
            <c:ext xmlns:c16="http://schemas.microsoft.com/office/drawing/2014/chart" uri="{C3380CC4-5D6E-409C-BE32-E72D297353CC}">
              <c16:uniqueId val="{00000000-28AE-4E81-8BFE-58FFFC582882}"/>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69.2</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28AE-4E81-8BFE-58FFFC582882}"/>
            </c:ext>
          </c:extLst>
        </c:ser>
        <c:dLbls>
          <c:showLegendKey val="0"/>
          <c:showVal val="0"/>
          <c:showCatName val="0"/>
          <c:showSerName val="0"/>
          <c:showPercent val="0"/>
          <c:showBubbleSize val="0"/>
        </c:dLbls>
        <c:gapWidth val="50"/>
        <c:overlap val="100"/>
        <c:axId val="437851648"/>
        <c:axId val="43785713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28AE-4E81-8BFE-58FFFC582882}"/>
            </c:ext>
          </c:extLst>
        </c:ser>
        <c:dLbls>
          <c:showLegendKey val="0"/>
          <c:showVal val="0"/>
          <c:showCatName val="0"/>
          <c:showSerName val="0"/>
          <c:showPercent val="0"/>
          <c:showBubbleSize val="0"/>
        </c:dLbls>
        <c:marker val="1"/>
        <c:smooth val="0"/>
        <c:axId val="437851648"/>
        <c:axId val="437857136"/>
      </c:lineChart>
      <c:catAx>
        <c:axId val="43785164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37857136"/>
        <c:crosses val="autoZero"/>
        <c:auto val="1"/>
        <c:lblAlgn val="ctr"/>
        <c:lblOffset val="100"/>
        <c:tickLblSkip val="1"/>
        <c:noMultiLvlLbl val="0"/>
      </c:catAx>
      <c:valAx>
        <c:axId val="43785713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3785164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99527-7CAB-4B0E-BF13-0EB0E99CC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1367</Words>
  <Characters>7795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2017-08-29T23:56:00Z</cp:lastPrinted>
  <dcterms:created xsi:type="dcterms:W3CDTF">2023-07-17T23:40:00Z</dcterms:created>
  <dcterms:modified xsi:type="dcterms:W3CDTF">2023-07-17T23:40:00Z</dcterms:modified>
</cp:coreProperties>
</file>