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27BE9" w14:textId="77777777" w:rsidR="00115CAE" w:rsidRDefault="00751E09" w:rsidP="00017347">
      <w:pPr>
        <w:spacing w:line="264" w:lineRule="auto"/>
        <w:ind w:right="567"/>
        <w:rPr>
          <w:rFonts w:cs="Times New Roman"/>
          <w:b/>
          <w:sz w:val="72"/>
        </w:rPr>
      </w:pPr>
      <w:r>
        <w:rPr>
          <w:rFonts w:cs="Times New Roman"/>
          <w:b/>
          <w:sz w:val="72"/>
        </w:rPr>
        <w:t>BSA</w:t>
      </w:r>
      <w:r w:rsidR="00115CAE" w:rsidRPr="00F079BE">
        <w:rPr>
          <w:rFonts w:cs="Times New Roman"/>
          <w:b/>
          <w:sz w:val="72"/>
        </w:rPr>
        <w:t xml:space="preserve"> </w:t>
      </w:r>
      <w:r w:rsidR="00115CAE">
        <w:rPr>
          <w:rFonts w:cs="Times New Roman"/>
          <w:b/>
          <w:sz w:val="72"/>
        </w:rPr>
        <w:t xml:space="preserve">New Zealand </w:t>
      </w:r>
      <w:r w:rsidR="000436A5" w:rsidRPr="000436A5">
        <w:rPr>
          <w:rFonts w:cs="Times New Roman"/>
          <w:b/>
          <w:sz w:val="72"/>
        </w:rPr>
        <w:t>Capital and Coast</w:t>
      </w:r>
      <w:r w:rsidR="00B718BD">
        <w:rPr>
          <w:rFonts w:cs="Times New Roman"/>
          <w:b/>
          <w:sz w:val="72"/>
        </w:rPr>
        <w:t xml:space="preserve"> District Health Board</w:t>
      </w:r>
      <w:r w:rsidR="00115CAE">
        <w:rPr>
          <w:rFonts w:cs="Times New Roman"/>
          <w:b/>
          <w:sz w:val="72"/>
        </w:rPr>
        <w:t xml:space="preserve"> </w:t>
      </w:r>
      <w:r w:rsidR="00115CAE" w:rsidRPr="00F079BE">
        <w:rPr>
          <w:rFonts w:cs="Times New Roman"/>
          <w:b/>
          <w:sz w:val="72"/>
        </w:rPr>
        <w:t>Coverage</w:t>
      </w:r>
      <w:r w:rsidR="00115CAE">
        <w:rPr>
          <w:rFonts w:cs="Times New Roman"/>
          <w:b/>
          <w:sz w:val="72"/>
        </w:rPr>
        <w:t xml:space="preserve"> Report</w:t>
      </w:r>
    </w:p>
    <w:p w14:paraId="2688658D" w14:textId="77777777" w:rsidR="002A2801" w:rsidRDefault="00115CAE" w:rsidP="00115CAE">
      <w:pPr>
        <w:spacing w:line="264" w:lineRule="auto"/>
        <w:ind w:right="424"/>
        <w:rPr>
          <w:rFonts w:cs="Times New Roman"/>
          <w:sz w:val="56"/>
        </w:rPr>
      </w:pPr>
      <w:r>
        <w:rPr>
          <w:rFonts w:cs="Times New Roman"/>
          <w:sz w:val="56"/>
        </w:rPr>
        <w:t>F</w:t>
      </w:r>
      <w:r w:rsidRPr="001414CF">
        <w:rPr>
          <w:rFonts w:cs="Times New Roman"/>
          <w:sz w:val="56"/>
        </w:rPr>
        <w:t xml:space="preserve">or </w:t>
      </w:r>
      <w:r w:rsidR="002A2801">
        <w:rPr>
          <w:rFonts w:cs="Times New Roman"/>
          <w:sz w:val="56"/>
        </w:rPr>
        <w:t>the period ending</w:t>
      </w:r>
    </w:p>
    <w:p w14:paraId="59AC9CC6" w14:textId="77777777" w:rsidR="00115CAE" w:rsidRPr="001414CF" w:rsidRDefault="000436A5" w:rsidP="00115CAE">
      <w:pPr>
        <w:spacing w:line="264" w:lineRule="auto"/>
        <w:ind w:right="424"/>
        <w:rPr>
          <w:rFonts w:cs="Times New Roman"/>
          <w:sz w:val="56"/>
        </w:rPr>
      </w:pPr>
      <w:r w:rsidRPr="000436A5">
        <w:rPr>
          <w:rFonts w:cs="Times New Roman"/>
          <w:sz w:val="56"/>
        </w:rPr>
        <w:t>31 December 2018</w:t>
      </w:r>
    </w:p>
    <w:p w14:paraId="4E074DDE" w14:textId="77777777" w:rsidR="00115CAE" w:rsidRDefault="00115CAE" w:rsidP="00115CAE">
      <w:pPr>
        <w:rPr>
          <w:rFonts w:cs="Times New Roman"/>
          <w:highlight w:val="yellow"/>
        </w:rPr>
        <w:sectPr w:rsidR="00115CAE" w:rsidSect="00017347">
          <w:footerReference w:type="default" r:id="rId8"/>
          <w:headerReference w:type="first" r:id="rId9"/>
          <w:pgSz w:w="11907" w:h="16840" w:code="9"/>
          <w:pgMar w:top="5670" w:right="1701" w:bottom="1418" w:left="1418" w:header="567" w:footer="567" w:gutter="0"/>
          <w:paperSrc w:first="15" w:other="15"/>
          <w:pgNumType w:fmt="lowerRoman"/>
          <w:cols w:space="708"/>
          <w:titlePg/>
          <w:docGrid w:linePitch="360"/>
        </w:sectPr>
      </w:pPr>
    </w:p>
    <w:p w14:paraId="094313BF" w14:textId="77777777" w:rsidR="00115CAE" w:rsidRPr="00982FA0" w:rsidRDefault="00115CAE" w:rsidP="00115CAE">
      <w:pPr>
        <w:spacing w:after="240" w:line="264" w:lineRule="auto"/>
        <w:jc w:val="center"/>
        <w:rPr>
          <w:rFonts w:cs="Times New Roman"/>
        </w:rPr>
      </w:pPr>
      <w:r w:rsidRPr="00982FA0">
        <w:rPr>
          <w:rFonts w:cs="Times New Roman"/>
        </w:rPr>
        <w:lastRenderedPageBreak/>
        <w:t xml:space="preserve">Citation: Ministry of Health. </w:t>
      </w:r>
      <w:r w:rsidR="000436A5" w:rsidRPr="000436A5">
        <w:rPr>
          <w:rFonts w:cs="Times New Roman"/>
        </w:rPr>
        <w:t>January 2019</w:t>
      </w:r>
      <w:r w:rsidRPr="00982FA0">
        <w:rPr>
          <w:rFonts w:cs="Times New Roman"/>
        </w:rPr>
        <w:t xml:space="preserve">. </w:t>
      </w:r>
      <w:r w:rsidR="00751E09">
        <w:rPr>
          <w:rFonts w:cs="Times New Roman"/>
          <w:i/>
        </w:rPr>
        <w:t>BSA</w:t>
      </w:r>
      <w:r w:rsidRPr="00982FA0">
        <w:rPr>
          <w:rFonts w:cs="Times New Roman"/>
          <w:i/>
        </w:rPr>
        <w:t xml:space="preserve"> New Zealand </w:t>
      </w:r>
      <w:r w:rsidR="00B718BD">
        <w:rPr>
          <w:rFonts w:cs="Times New Roman"/>
          <w:i/>
        </w:rPr>
        <w:t>District Health Board</w:t>
      </w:r>
      <w:r w:rsidRPr="00982FA0">
        <w:rPr>
          <w:rFonts w:cs="Times New Roman"/>
          <w:i/>
        </w:rPr>
        <w:t xml:space="preserve"> Coverage Report: period ending </w:t>
      </w:r>
      <w:r w:rsidR="000436A5" w:rsidRPr="000436A5">
        <w:rPr>
          <w:rFonts w:cs="Times New Roman"/>
          <w:i/>
        </w:rPr>
        <w:t>31 December 2018</w:t>
      </w:r>
      <w:r w:rsidRPr="00982FA0">
        <w:rPr>
          <w:rFonts w:cs="Times New Roman"/>
        </w:rPr>
        <w:t>. Wellington: Ministry of Health.</w:t>
      </w:r>
    </w:p>
    <w:p w14:paraId="6D592E8C" w14:textId="77777777" w:rsidR="00115CAE" w:rsidRPr="00982FA0" w:rsidRDefault="00115CAE" w:rsidP="00115CAE">
      <w:pPr>
        <w:spacing w:after="240" w:line="264" w:lineRule="auto"/>
        <w:jc w:val="center"/>
        <w:rPr>
          <w:rFonts w:cs="Times New Roman"/>
        </w:rPr>
      </w:pPr>
      <w:r w:rsidRPr="00982FA0">
        <w:rPr>
          <w:rFonts w:cs="Times New Roman"/>
        </w:rPr>
        <w:t xml:space="preserve">Published in </w:t>
      </w:r>
      <w:r w:rsidR="000436A5" w:rsidRPr="000436A5">
        <w:rPr>
          <w:rFonts w:cs="Times New Roman"/>
        </w:rPr>
        <w:t>January 2019</w:t>
      </w:r>
      <w:r w:rsidR="00E07458" w:rsidRPr="00982FA0">
        <w:rPr>
          <w:rFonts w:cs="Times New Roman"/>
        </w:rPr>
        <w:t xml:space="preserve"> </w:t>
      </w:r>
      <w:r w:rsidRPr="00982FA0">
        <w:rPr>
          <w:rFonts w:cs="Times New Roman"/>
        </w:rPr>
        <w:t>by the</w:t>
      </w:r>
      <w:r w:rsidRPr="00982FA0">
        <w:rPr>
          <w:rFonts w:cs="Times New Roman"/>
        </w:rPr>
        <w:br/>
        <w:t>Ministry of Health</w:t>
      </w:r>
      <w:r w:rsidRPr="00982FA0">
        <w:rPr>
          <w:rFonts w:cs="Times New Roman"/>
        </w:rPr>
        <w:br/>
        <w:t>PO Box 5013, Wellington 6145, New Zealand</w:t>
      </w:r>
    </w:p>
    <w:p w14:paraId="115B987D" w14:textId="77777777" w:rsidR="00115CAE" w:rsidRPr="00982FA0" w:rsidRDefault="000436A5" w:rsidP="00115CAE">
      <w:pPr>
        <w:spacing w:after="240" w:line="264" w:lineRule="auto"/>
        <w:jc w:val="center"/>
        <w:rPr>
          <w:rFonts w:cs="Times New Roman"/>
        </w:rPr>
      </w:pPr>
      <w:r w:rsidRPr="000436A5">
        <w:rPr>
          <w:rFonts w:cs="Times New Roman"/>
        </w:rPr>
        <w:t xml:space="preserve">2422-9482 </w:t>
      </w:r>
      <w:r w:rsidR="00070AAE" w:rsidRPr="00982FA0">
        <w:rPr>
          <w:rFonts w:cs="Times New Roman"/>
        </w:rPr>
        <w:t xml:space="preserve"> </w:t>
      </w:r>
      <w:r w:rsidR="00115CAE" w:rsidRPr="00982FA0">
        <w:rPr>
          <w:rFonts w:cs="Times New Roman"/>
        </w:rPr>
        <w:t>(online)</w:t>
      </w:r>
      <w:r w:rsidR="00115CAE" w:rsidRPr="00982FA0">
        <w:rPr>
          <w:rFonts w:cs="Times New Roman"/>
        </w:rPr>
        <w:br/>
      </w:r>
    </w:p>
    <w:p w14:paraId="01F5AEFB" w14:textId="77777777" w:rsidR="00115CAE" w:rsidRDefault="00115CAE" w:rsidP="00115CAE">
      <w:pPr>
        <w:spacing w:after="240" w:line="264" w:lineRule="auto"/>
        <w:jc w:val="center"/>
        <w:rPr>
          <w:rFonts w:cs="Times New Roman"/>
        </w:rPr>
      </w:pPr>
      <w:r w:rsidRPr="00BA727C">
        <w:rPr>
          <w:rFonts w:cs="Times New Roman"/>
        </w:rPr>
        <w:t xml:space="preserve">This document is available at </w:t>
      </w:r>
      <w:hyperlink r:id="rId10" w:history="1">
        <w:r w:rsidRPr="002D586B">
          <w:rPr>
            <w:rStyle w:val="Hyperlink"/>
            <w:rFonts w:cs="Times New Roman"/>
          </w:rPr>
          <w:t>www.nsu.govt.nz</w:t>
        </w:r>
      </w:hyperlink>
    </w:p>
    <w:p w14:paraId="4946962B" w14:textId="77777777" w:rsidR="00115CAE" w:rsidRPr="00F079BE" w:rsidRDefault="00115CAE" w:rsidP="00115CAE"/>
    <w:p w14:paraId="33FBD84D" w14:textId="77777777" w:rsidR="00115CAE" w:rsidRDefault="00115CAE" w:rsidP="00115CAE">
      <w:pPr>
        <w:rPr>
          <w:noProof/>
        </w:rPr>
        <w:sectPr w:rsidR="00115CAE" w:rsidSect="00E52682">
          <w:headerReference w:type="default" r:id="rId11"/>
          <w:footerReference w:type="default" r:id="rId12"/>
          <w:headerReference w:type="first" r:id="rId13"/>
          <w:pgSz w:w="11907" w:h="16840" w:code="9"/>
          <w:pgMar w:top="1418" w:right="1134" w:bottom="1418" w:left="1418" w:header="567" w:footer="567" w:gutter="0"/>
          <w:paperSrc w:first="15" w:other="15"/>
          <w:pgNumType w:fmt="lowerRoman"/>
          <w:cols w:space="708"/>
          <w:vAlign w:val="bottom"/>
          <w:docGrid w:linePitch="360"/>
        </w:sectPr>
      </w:pPr>
    </w:p>
    <w:p w14:paraId="5FA5C2EF" w14:textId="77777777" w:rsidR="00115CAE" w:rsidRDefault="00115CAE" w:rsidP="00F66603">
      <w:pPr>
        <w:pStyle w:val="Contentsheading"/>
        <w:spacing w:before="120" w:after="240"/>
        <w:rPr>
          <w:noProof/>
        </w:rPr>
      </w:pPr>
      <w:r>
        <w:rPr>
          <w:noProof/>
        </w:rPr>
        <w:lastRenderedPageBreak/>
        <w:t>Contents</w:t>
      </w:r>
    </w:p>
    <w:p w14:paraId="7534372B" w14:textId="77777777" w:rsidR="007E0840" w:rsidRPr="007E0840" w:rsidRDefault="00115CAE" w:rsidP="007E0840">
      <w:pPr>
        <w:pStyle w:val="TOC1"/>
        <w:tabs>
          <w:tab w:val="right" w:leader="dot" w:pos="9345"/>
        </w:tabs>
        <w:spacing w:before="120"/>
        <w:rPr>
          <w:rFonts w:asciiTheme="minorHAnsi" w:hAnsiTheme="minorHAnsi"/>
          <w:noProof/>
          <w:sz w:val="20"/>
          <w:szCs w:val="20"/>
        </w:rPr>
      </w:pPr>
      <w:r w:rsidRPr="007E0840">
        <w:rPr>
          <w:noProof/>
          <w:sz w:val="20"/>
          <w:szCs w:val="20"/>
        </w:rPr>
        <w:fldChar w:fldCharType="begin"/>
      </w:r>
      <w:r w:rsidRPr="007E0840">
        <w:rPr>
          <w:noProof/>
          <w:sz w:val="20"/>
          <w:szCs w:val="20"/>
        </w:rPr>
        <w:instrText xml:space="preserve"> TOC \o "2-2" \t "Heading 1,1" </w:instrText>
      </w:r>
      <w:r w:rsidRPr="007E0840">
        <w:rPr>
          <w:noProof/>
          <w:sz w:val="20"/>
          <w:szCs w:val="20"/>
        </w:rPr>
        <w:fldChar w:fldCharType="separate"/>
      </w:r>
      <w:r w:rsidR="007E0840" w:rsidRPr="007E0840">
        <w:rPr>
          <w:noProof/>
          <w:sz w:val="20"/>
          <w:szCs w:val="20"/>
        </w:rPr>
        <w:t>Introduction</w:t>
      </w:r>
      <w:r w:rsidR="007E0840" w:rsidRPr="007E0840">
        <w:rPr>
          <w:noProof/>
          <w:sz w:val="20"/>
          <w:szCs w:val="20"/>
        </w:rPr>
        <w:tab/>
      </w:r>
      <w:r w:rsidR="007E0840" w:rsidRPr="007E0840">
        <w:rPr>
          <w:noProof/>
          <w:sz w:val="20"/>
          <w:szCs w:val="20"/>
        </w:rPr>
        <w:fldChar w:fldCharType="begin"/>
      </w:r>
      <w:r w:rsidR="007E0840" w:rsidRPr="007E0840">
        <w:rPr>
          <w:noProof/>
          <w:sz w:val="20"/>
          <w:szCs w:val="20"/>
        </w:rPr>
        <w:instrText xml:space="preserve"> PAGEREF _Toc536020139 \h </w:instrText>
      </w:r>
      <w:r w:rsidR="007E0840" w:rsidRPr="007E0840">
        <w:rPr>
          <w:noProof/>
          <w:sz w:val="20"/>
          <w:szCs w:val="20"/>
        </w:rPr>
      </w:r>
      <w:r w:rsidR="007E0840" w:rsidRPr="007E0840">
        <w:rPr>
          <w:noProof/>
          <w:sz w:val="20"/>
          <w:szCs w:val="20"/>
        </w:rPr>
        <w:fldChar w:fldCharType="separate"/>
      </w:r>
      <w:r w:rsidR="002D1D6B">
        <w:rPr>
          <w:noProof/>
          <w:sz w:val="20"/>
          <w:szCs w:val="20"/>
        </w:rPr>
        <w:t>2</w:t>
      </w:r>
      <w:r w:rsidR="007E0840" w:rsidRPr="007E0840">
        <w:rPr>
          <w:noProof/>
          <w:sz w:val="20"/>
          <w:szCs w:val="20"/>
        </w:rPr>
        <w:fldChar w:fldCharType="end"/>
      </w:r>
    </w:p>
    <w:p w14:paraId="6F355F7C" w14:textId="77777777" w:rsidR="007E0840" w:rsidRPr="007E0840" w:rsidRDefault="007E0840" w:rsidP="007E0840">
      <w:pPr>
        <w:pStyle w:val="TOC1"/>
        <w:tabs>
          <w:tab w:val="right" w:leader="dot" w:pos="9345"/>
        </w:tabs>
        <w:spacing w:before="120"/>
        <w:rPr>
          <w:rFonts w:asciiTheme="minorHAnsi" w:hAnsiTheme="minorHAnsi"/>
          <w:noProof/>
          <w:sz w:val="20"/>
          <w:szCs w:val="20"/>
        </w:rPr>
      </w:pPr>
      <w:r w:rsidRPr="007E0840">
        <w:rPr>
          <w:noProof/>
          <w:sz w:val="20"/>
          <w:szCs w:val="20"/>
        </w:rPr>
        <w:t>Technical notes</w:t>
      </w:r>
      <w:r w:rsidRPr="007E0840">
        <w:rPr>
          <w:noProof/>
          <w:sz w:val="20"/>
          <w:szCs w:val="20"/>
        </w:rPr>
        <w:tab/>
      </w:r>
      <w:r w:rsidRPr="007E0840">
        <w:rPr>
          <w:noProof/>
          <w:sz w:val="20"/>
          <w:szCs w:val="20"/>
        </w:rPr>
        <w:fldChar w:fldCharType="begin"/>
      </w:r>
      <w:r w:rsidRPr="007E0840">
        <w:rPr>
          <w:noProof/>
          <w:sz w:val="20"/>
          <w:szCs w:val="20"/>
        </w:rPr>
        <w:instrText xml:space="preserve"> PAGEREF _Toc536020140 \h </w:instrText>
      </w:r>
      <w:r w:rsidRPr="007E0840">
        <w:rPr>
          <w:noProof/>
          <w:sz w:val="20"/>
          <w:szCs w:val="20"/>
        </w:rPr>
      </w:r>
      <w:r w:rsidRPr="007E0840">
        <w:rPr>
          <w:noProof/>
          <w:sz w:val="20"/>
          <w:szCs w:val="20"/>
        </w:rPr>
        <w:fldChar w:fldCharType="separate"/>
      </w:r>
      <w:r w:rsidR="002D1D6B">
        <w:rPr>
          <w:noProof/>
          <w:sz w:val="20"/>
          <w:szCs w:val="20"/>
        </w:rPr>
        <w:t>4</w:t>
      </w:r>
      <w:r w:rsidRPr="007E0840">
        <w:rPr>
          <w:noProof/>
          <w:sz w:val="20"/>
          <w:szCs w:val="20"/>
        </w:rPr>
        <w:fldChar w:fldCharType="end"/>
      </w:r>
    </w:p>
    <w:p w14:paraId="6D9D036B" w14:textId="77777777" w:rsidR="007E0840" w:rsidRPr="007E0840" w:rsidRDefault="007E0840" w:rsidP="007E0840">
      <w:pPr>
        <w:pStyle w:val="TOC1"/>
        <w:tabs>
          <w:tab w:val="right" w:leader="dot" w:pos="9345"/>
        </w:tabs>
        <w:spacing w:before="120"/>
        <w:rPr>
          <w:rFonts w:asciiTheme="minorHAnsi" w:hAnsiTheme="minorHAnsi"/>
          <w:noProof/>
          <w:sz w:val="20"/>
          <w:szCs w:val="20"/>
        </w:rPr>
      </w:pPr>
      <w:r w:rsidRPr="007E0840">
        <w:rPr>
          <w:noProof/>
          <w:sz w:val="20"/>
          <w:szCs w:val="20"/>
        </w:rPr>
        <w:t>Capital and Coast coverage</w:t>
      </w:r>
      <w:r w:rsidRPr="007E0840">
        <w:rPr>
          <w:noProof/>
          <w:sz w:val="20"/>
          <w:szCs w:val="20"/>
        </w:rPr>
        <w:tab/>
      </w:r>
      <w:r w:rsidRPr="007E0840">
        <w:rPr>
          <w:noProof/>
          <w:sz w:val="20"/>
          <w:szCs w:val="20"/>
        </w:rPr>
        <w:fldChar w:fldCharType="begin"/>
      </w:r>
      <w:r w:rsidRPr="007E0840">
        <w:rPr>
          <w:noProof/>
          <w:sz w:val="20"/>
          <w:szCs w:val="20"/>
        </w:rPr>
        <w:instrText xml:space="preserve"> PAGEREF _Toc536020141 \h </w:instrText>
      </w:r>
      <w:r w:rsidRPr="007E0840">
        <w:rPr>
          <w:noProof/>
          <w:sz w:val="20"/>
          <w:szCs w:val="20"/>
        </w:rPr>
      </w:r>
      <w:r w:rsidRPr="007E0840">
        <w:rPr>
          <w:noProof/>
          <w:sz w:val="20"/>
          <w:szCs w:val="20"/>
        </w:rPr>
        <w:fldChar w:fldCharType="separate"/>
      </w:r>
      <w:r w:rsidR="002D1D6B">
        <w:rPr>
          <w:noProof/>
          <w:sz w:val="20"/>
          <w:szCs w:val="20"/>
        </w:rPr>
        <w:t>5</w:t>
      </w:r>
      <w:r w:rsidRPr="007E0840">
        <w:rPr>
          <w:noProof/>
          <w:sz w:val="20"/>
          <w:szCs w:val="20"/>
        </w:rPr>
        <w:fldChar w:fldCharType="end"/>
      </w:r>
    </w:p>
    <w:p w14:paraId="3B9904F3" w14:textId="77777777" w:rsidR="007E0840" w:rsidRPr="007E0840" w:rsidRDefault="007E0840" w:rsidP="007E0840">
      <w:pPr>
        <w:pStyle w:val="TOC2"/>
        <w:tabs>
          <w:tab w:val="right" w:leader="dot" w:pos="9345"/>
        </w:tabs>
        <w:spacing w:before="120"/>
        <w:rPr>
          <w:rFonts w:asciiTheme="minorHAnsi" w:hAnsiTheme="minorHAnsi"/>
          <w:noProof/>
          <w:sz w:val="20"/>
          <w:szCs w:val="20"/>
        </w:rPr>
      </w:pPr>
      <w:r w:rsidRPr="007E0840">
        <w:rPr>
          <w:noProof/>
          <w:sz w:val="20"/>
          <w:szCs w:val="20"/>
        </w:rPr>
        <w:t>Capital and Coast coverage by ethnicity in the two years ending 31 December 2018</w:t>
      </w:r>
      <w:r w:rsidRPr="007E0840">
        <w:rPr>
          <w:noProof/>
          <w:sz w:val="20"/>
          <w:szCs w:val="20"/>
        </w:rPr>
        <w:tab/>
      </w:r>
      <w:r w:rsidRPr="007E0840">
        <w:rPr>
          <w:noProof/>
          <w:sz w:val="20"/>
          <w:szCs w:val="20"/>
        </w:rPr>
        <w:fldChar w:fldCharType="begin"/>
      </w:r>
      <w:r w:rsidRPr="007E0840">
        <w:rPr>
          <w:noProof/>
          <w:sz w:val="20"/>
          <w:szCs w:val="20"/>
        </w:rPr>
        <w:instrText xml:space="preserve"> PAGEREF _Toc536020142 \h </w:instrText>
      </w:r>
      <w:r w:rsidRPr="007E0840">
        <w:rPr>
          <w:noProof/>
          <w:sz w:val="20"/>
          <w:szCs w:val="20"/>
        </w:rPr>
      </w:r>
      <w:r w:rsidRPr="007E0840">
        <w:rPr>
          <w:noProof/>
          <w:sz w:val="20"/>
          <w:szCs w:val="20"/>
        </w:rPr>
        <w:fldChar w:fldCharType="separate"/>
      </w:r>
      <w:r w:rsidR="002D1D6B">
        <w:rPr>
          <w:noProof/>
          <w:sz w:val="20"/>
          <w:szCs w:val="20"/>
        </w:rPr>
        <w:t>5</w:t>
      </w:r>
      <w:r w:rsidRPr="007E0840">
        <w:rPr>
          <w:noProof/>
          <w:sz w:val="20"/>
          <w:szCs w:val="20"/>
        </w:rPr>
        <w:fldChar w:fldCharType="end"/>
      </w:r>
    </w:p>
    <w:p w14:paraId="785FB976" w14:textId="77777777" w:rsidR="007E0840" w:rsidRPr="007E0840" w:rsidRDefault="007E0840" w:rsidP="007E0840">
      <w:pPr>
        <w:pStyle w:val="TOC2"/>
        <w:tabs>
          <w:tab w:val="right" w:leader="dot" w:pos="9345"/>
        </w:tabs>
        <w:spacing w:before="120"/>
        <w:rPr>
          <w:rFonts w:asciiTheme="minorHAnsi" w:hAnsiTheme="minorHAnsi"/>
          <w:noProof/>
          <w:sz w:val="20"/>
          <w:szCs w:val="20"/>
        </w:rPr>
      </w:pPr>
      <w:r w:rsidRPr="007E0840">
        <w:rPr>
          <w:noProof/>
          <w:sz w:val="20"/>
          <w:szCs w:val="20"/>
        </w:rPr>
        <w:t>Capital and Coast coverage trends by ethnicity</w:t>
      </w:r>
      <w:r w:rsidRPr="007E0840">
        <w:rPr>
          <w:noProof/>
          <w:sz w:val="20"/>
          <w:szCs w:val="20"/>
        </w:rPr>
        <w:tab/>
      </w:r>
      <w:r w:rsidRPr="007E0840">
        <w:rPr>
          <w:noProof/>
          <w:sz w:val="20"/>
          <w:szCs w:val="20"/>
        </w:rPr>
        <w:fldChar w:fldCharType="begin"/>
      </w:r>
      <w:r w:rsidRPr="007E0840">
        <w:rPr>
          <w:noProof/>
          <w:sz w:val="20"/>
          <w:szCs w:val="20"/>
        </w:rPr>
        <w:instrText xml:space="preserve"> PAGEREF _Toc536020143 \h </w:instrText>
      </w:r>
      <w:r w:rsidRPr="007E0840">
        <w:rPr>
          <w:noProof/>
          <w:sz w:val="20"/>
          <w:szCs w:val="20"/>
        </w:rPr>
      </w:r>
      <w:r w:rsidRPr="007E0840">
        <w:rPr>
          <w:noProof/>
          <w:sz w:val="20"/>
          <w:szCs w:val="20"/>
        </w:rPr>
        <w:fldChar w:fldCharType="separate"/>
      </w:r>
      <w:r w:rsidR="002D1D6B">
        <w:rPr>
          <w:noProof/>
          <w:sz w:val="20"/>
          <w:szCs w:val="20"/>
        </w:rPr>
        <w:t>6</w:t>
      </w:r>
      <w:r w:rsidRPr="007E0840">
        <w:rPr>
          <w:noProof/>
          <w:sz w:val="20"/>
          <w:szCs w:val="20"/>
        </w:rPr>
        <w:fldChar w:fldCharType="end"/>
      </w:r>
    </w:p>
    <w:p w14:paraId="0B5AE63F" w14:textId="77777777" w:rsidR="007E0840" w:rsidRPr="007E0840" w:rsidRDefault="007E0840" w:rsidP="007E0840">
      <w:pPr>
        <w:pStyle w:val="TOC2"/>
        <w:tabs>
          <w:tab w:val="right" w:leader="dot" w:pos="9345"/>
        </w:tabs>
        <w:spacing w:before="120"/>
        <w:rPr>
          <w:rFonts w:asciiTheme="minorHAnsi" w:hAnsiTheme="minorHAnsi"/>
          <w:noProof/>
          <w:sz w:val="20"/>
          <w:szCs w:val="20"/>
        </w:rPr>
      </w:pPr>
      <w:r w:rsidRPr="007E0840">
        <w:rPr>
          <w:noProof/>
          <w:sz w:val="20"/>
          <w:szCs w:val="20"/>
        </w:rPr>
        <w:t>Number of Initial Rescreens by Ethnicity</w:t>
      </w:r>
      <w:r w:rsidRPr="007E0840">
        <w:rPr>
          <w:noProof/>
          <w:sz w:val="20"/>
          <w:szCs w:val="20"/>
        </w:rPr>
        <w:tab/>
      </w:r>
      <w:r w:rsidRPr="007E0840">
        <w:rPr>
          <w:noProof/>
          <w:sz w:val="20"/>
          <w:szCs w:val="20"/>
        </w:rPr>
        <w:fldChar w:fldCharType="begin"/>
      </w:r>
      <w:r w:rsidRPr="007E0840">
        <w:rPr>
          <w:noProof/>
          <w:sz w:val="20"/>
          <w:szCs w:val="20"/>
        </w:rPr>
        <w:instrText xml:space="preserve"> PAGEREF _Toc536020144 \h </w:instrText>
      </w:r>
      <w:r w:rsidRPr="007E0840">
        <w:rPr>
          <w:noProof/>
          <w:sz w:val="20"/>
          <w:szCs w:val="20"/>
        </w:rPr>
      </w:r>
      <w:r w:rsidRPr="007E0840">
        <w:rPr>
          <w:noProof/>
          <w:sz w:val="20"/>
          <w:szCs w:val="20"/>
        </w:rPr>
        <w:fldChar w:fldCharType="separate"/>
      </w:r>
      <w:r w:rsidR="002D1D6B">
        <w:rPr>
          <w:noProof/>
          <w:sz w:val="20"/>
          <w:szCs w:val="20"/>
        </w:rPr>
        <w:t>7</w:t>
      </w:r>
      <w:r w:rsidRPr="007E0840">
        <w:rPr>
          <w:noProof/>
          <w:sz w:val="20"/>
          <w:szCs w:val="20"/>
        </w:rPr>
        <w:fldChar w:fldCharType="end"/>
      </w:r>
    </w:p>
    <w:p w14:paraId="393FB476" w14:textId="77777777" w:rsidR="007E0840" w:rsidRPr="007E0840" w:rsidRDefault="007E0840" w:rsidP="007E0840">
      <w:pPr>
        <w:pStyle w:val="TOC1"/>
        <w:tabs>
          <w:tab w:val="right" w:leader="dot" w:pos="9345"/>
        </w:tabs>
        <w:spacing w:before="120"/>
        <w:rPr>
          <w:rFonts w:asciiTheme="minorHAnsi" w:hAnsiTheme="minorHAnsi"/>
          <w:noProof/>
          <w:sz w:val="20"/>
          <w:szCs w:val="20"/>
        </w:rPr>
      </w:pPr>
      <w:r w:rsidRPr="007E0840">
        <w:rPr>
          <w:noProof/>
          <w:sz w:val="20"/>
          <w:szCs w:val="20"/>
        </w:rPr>
        <w:t>DHB coverage comparisons</w:t>
      </w:r>
      <w:r w:rsidRPr="007E0840">
        <w:rPr>
          <w:noProof/>
          <w:sz w:val="20"/>
          <w:szCs w:val="20"/>
        </w:rPr>
        <w:tab/>
      </w:r>
      <w:r w:rsidRPr="007E0840">
        <w:rPr>
          <w:noProof/>
          <w:sz w:val="20"/>
          <w:szCs w:val="20"/>
        </w:rPr>
        <w:fldChar w:fldCharType="begin"/>
      </w:r>
      <w:r w:rsidRPr="007E0840">
        <w:rPr>
          <w:noProof/>
          <w:sz w:val="20"/>
          <w:szCs w:val="20"/>
        </w:rPr>
        <w:instrText xml:space="preserve"> PAGEREF _Toc536020145 \h </w:instrText>
      </w:r>
      <w:r w:rsidRPr="007E0840">
        <w:rPr>
          <w:noProof/>
          <w:sz w:val="20"/>
          <w:szCs w:val="20"/>
        </w:rPr>
      </w:r>
      <w:r w:rsidRPr="007E0840">
        <w:rPr>
          <w:noProof/>
          <w:sz w:val="20"/>
          <w:szCs w:val="20"/>
        </w:rPr>
        <w:fldChar w:fldCharType="separate"/>
      </w:r>
      <w:r w:rsidR="002D1D6B">
        <w:rPr>
          <w:noProof/>
          <w:sz w:val="20"/>
          <w:szCs w:val="20"/>
        </w:rPr>
        <w:t>8</w:t>
      </w:r>
      <w:r w:rsidRPr="007E0840">
        <w:rPr>
          <w:noProof/>
          <w:sz w:val="20"/>
          <w:szCs w:val="20"/>
        </w:rPr>
        <w:fldChar w:fldCharType="end"/>
      </w:r>
    </w:p>
    <w:p w14:paraId="5BFAE7D6" w14:textId="77777777" w:rsidR="007E0840" w:rsidRPr="007E0840" w:rsidRDefault="007E0840" w:rsidP="007E0840">
      <w:pPr>
        <w:pStyle w:val="TOC2"/>
        <w:tabs>
          <w:tab w:val="right" w:leader="dot" w:pos="9345"/>
        </w:tabs>
        <w:spacing w:before="120"/>
        <w:rPr>
          <w:rFonts w:asciiTheme="minorHAnsi" w:hAnsiTheme="minorHAnsi"/>
          <w:noProof/>
          <w:sz w:val="20"/>
          <w:szCs w:val="20"/>
        </w:rPr>
      </w:pPr>
      <w:r w:rsidRPr="007E0840">
        <w:rPr>
          <w:noProof/>
          <w:sz w:val="20"/>
          <w:szCs w:val="20"/>
        </w:rPr>
        <w:t>DHB coverage by ethnicity in the two years ending 31 December 2018</w:t>
      </w:r>
      <w:r w:rsidRPr="007E0840">
        <w:rPr>
          <w:noProof/>
          <w:sz w:val="20"/>
          <w:szCs w:val="20"/>
        </w:rPr>
        <w:tab/>
      </w:r>
      <w:r w:rsidRPr="007E0840">
        <w:rPr>
          <w:noProof/>
          <w:sz w:val="20"/>
          <w:szCs w:val="20"/>
        </w:rPr>
        <w:fldChar w:fldCharType="begin"/>
      </w:r>
      <w:r w:rsidRPr="007E0840">
        <w:rPr>
          <w:noProof/>
          <w:sz w:val="20"/>
          <w:szCs w:val="20"/>
        </w:rPr>
        <w:instrText xml:space="preserve"> PAGEREF _Toc536020146 \h </w:instrText>
      </w:r>
      <w:r w:rsidRPr="007E0840">
        <w:rPr>
          <w:noProof/>
          <w:sz w:val="20"/>
          <w:szCs w:val="20"/>
        </w:rPr>
      </w:r>
      <w:r w:rsidRPr="007E0840">
        <w:rPr>
          <w:noProof/>
          <w:sz w:val="20"/>
          <w:szCs w:val="20"/>
        </w:rPr>
        <w:fldChar w:fldCharType="separate"/>
      </w:r>
      <w:r w:rsidR="002D1D6B">
        <w:rPr>
          <w:noProof/>
          <w:sz w:val="20"/>
          <w:szCs w:val="20"/>
        </w:rPr>
        <w:t>8</w:t>
      </w:r>
      <w:r w:rsidRPr="007E0840">
        <w:rPr>
          <w:noProof/>
          <w:sz w:val="20"/>
          <w:szCs w:val="20"/>
        </w:rPr>
        <w:fldChar w:fldCharType="end"/>
      </w:r>
    </w:p>
    <w:p w14:paraId="439CD5D5" w14:textId="77777777" w:rsidR="007E0840" w:rsidRPr="007E0840" w:rsidRDefault="007E0840" w:rsidP="007E0840">
      <w:pPr>
        <w:pStyle w:val="TOC2"/>
        <w:tabs>
          <w:tab w:val="right" w:leader="dot" w:pos="9345"/>
        </w:tabs>
        <w:spacing w:before="120"/>
        <w:rPr>
          <w:rFonts w:asciiTheme="minorHAnsi" w:hAnsiTheme="minorHAnsi"/>
          <w:noProof/>
          <w:sz w:val="20"/>
          <w:szCs w:val="20"/>
        </w:rPr>
      </w:pPr>
      <w:r w:rsidRPr="007E0840">
        <w:rPr>
          <w:noProof/>
          <w:sz w:val="20"/>
          <w:szCs w:val="20"/>
        </w:rPr>
        <w:t>DHB coverage comparison trends by ethnicity</w:t>
      </w:r>
      <w:r w:rsidRPr="007E0840">
        <w:rPr>
          <w:noProof/>
          <w:sz w:val="20"/>
          <w:szCs w:val="20"/>
        </w:rPr>
        <w:tab/>
      </w:r>
      <w:r w:rsidRPr="007E0840">
        <w:rPr>
          <w:noProof/>
          <w:sz w:val="20"/>
          <w:szCs w:val="20"/>
        </w:rPr>
        <w:fldChar w:fldCharType="begin"/>
      </w:r>
      <w:r w:rsidRPr="007E0840">
        <w:rPr>
          <w:noProof/>
          <w:sz w:val="20"/>
          <w:szCs w:val="20"/>
        </w:rPr>
        <w:instrText xml:space="preserve"> PAGEREF _Toc536020147 \h </w:instrText>
      </w:r>
      <w:r w:rsidRPr="007E0840">
        <w:rPr>
          <w:noProof/>
          <w:sz w:val="20"/>
          <w:szCs w:val="20"/>
        </w:rPr>
      </w:r>
      <w:r w:rsidRPr="007E0840">
        <w:rPr>
          <w:noProof/>
          <w:sz w:val="20"/>
          <w:szCs w:val="20"/>
        </w:rPr>
        <w:fldChar w:fldCharType="separate"/>
      </w:r>
      <w:r w:rsidR="002D1D6B">
        <w:rPr>
          <w:noProof/>
          <w:sz w:val="20"/>
          <w:szCs w:val="20"/>
        </w:rPr>
        <w:t>13</w:t>
      </w:r>
      <w:r w:rsidRPr="007E0840">
        <w:rPr>
          <w:noProof/>
          <w:sz w:val="20"/>
          <w:szCs w:val="20"/>
        </w:rPr>
        <w:fldChar w:fldCharType="end"/>
      </w:r>
    </w:p>
    <w:p w14:paraId="72C42517" w14:textId="77777777" w:rsidR="00115CAE" w:rsidRPr="007E0840" w:rsidRDefault="00115CAE" w:rsidP="007E0840">
      <w:pPr>
        <w:spacing w:before="120"/>
        <w:rPr>
          <w:b/>
          <w:noProof/>
          <w:sz w:val="20"/>
          <w:szCs w:val="20"/>
        </w:rPr>
      </w:pPr>
      <w:r w:rsidRPr="007E0840">
        <w:rPr>
          <w:noProof/>
          <w:sz w:val="20"/>
          <w:szCs w:val="20"/>
        </w:rPr>
        <w:fldChar w:fldCharType="end"/>
      </w:r>
      <w:r w:rsidRPr="007E0840">
        <w:rPr>
          <w:b/>
          <w:noProof/>
          <w:sz w:val="20"/>
          <w:szCs w:val="20"/>
        </w:rPr>
        <w:t>List of tables</w:t>
      </w:r>
    </w:p>
    <w:p w14:paraId="69CFE5F4" w14:textId="77777777" w:rsidR="007E0840" w:rsidRPr="007E0840" w:rsidRDefault="00115CAE">
      <w:pPr>
        <w:pStyle w:val="TOC3"/>
        <w:tabs>
          <w:tab w:val="right" w:leader="dot" w:pos="9345"/>
        </w:tabs>
        <w:rPr>
          <w:rFonts w:asciiTheme="minorHAnsi" w:hAnsiTheme="minorHAnsi"/>
          <w:noProof/>
          <w:sz w:val="20"/>
          <w:szCs w:val="20"/>
        </w:rPr>
      </w:pPr>
      <w:r w:rsidRPr="007E0840">
        <w:rPr>
          <w:noProof/>
          <w:sz w:val="20"/>
          <w:szCs w:val="20"/>
        </w:rPr>
        <w:fldChar w:fldCharType="begin"/>
      </w:r>
      <w:r w:rsidRPr="007E0840">
        <w:rPr>
          <w:noProof/>
          <w:sz w:val="20"/>
          <w:szCs w:val="20"/>
        </w:rPr>
        <w:instrText xml:space="preserve"> TOC \t "Table,3" </w:instrText>
      </w:r>
      <w:r w:rsidRPr="007E0840">
        <w:rPr>
          <w:noProof/>
          <w:sz w:val="20"/>
          <w:szCs w:val="20"/>
        </w:rPr>
        <w:fldChar w:fldCharType="separate"/>
      </w:r>
      <w:r w:rsidR="007E0840" w:rsidRPr="007E0840">
        <w:rPr>
          <w:noProof/>
          <w:sz w:val="20"/>
          <w:szCs w:val="20"/>
        </w:rPr>
        <w:t>Table 1: BSA coverage (%) in the two years ending 31 December 2018 by ethnicity, women aged 50–69 years, Total Coverage</w:t>
      </w:r>
      <w:r w:rsidR="007E0840" w:rsidRPr="007E0840">
        <w:rPr>
          <w:noProof/>
          <w:sz w:val="20"/>
          <w:szCs w:val="20"/>
        </w:rPr>
        <w:tab/>
      </w:r>
      <w:r w:rsidR="007E0840" w:rsidRPr="007E0840">
        <w:rPr>
          <w:noProof/>
          <w:sz w:val="20"/>
          <w:szCs w:val="20"/>
        </w:rPr>
        <w:fldChar w:fldCharType="begin"/>
      </w:r>
      <w:r w:rsidR="007E0840" w:rsidRPr="007E0840">
        <w:rPr>
          <w:noProof/>
          <w:sz w:val="20"/>
          <w:szCs w:val="20"/>
        </w:rPr>
        <w:instrText xml:space="preserve"> PAGEREF _Toc536020148 \h </w:instrText>
      </w:r>
      <w:r w:rsidR="007E0840" w:rsidRPr="007E0840">
        <w:rPr>
          <w:noProof/>
          <w:sz w:val="20"/>
          <w:szCs w:val="20"/>
        </w:rPr>
      </w:r>
      <w:r w:rsidR="007E0840" w:rsidRPr="007E0840">
        <w:rPr>
          <w:noProof/>
          <w:sz w:val="20"/>
          <w:szCs w:val="20"/>
        </w:rPr>
        <w:fldChar w:fldCharType="separate"/>
      </w:r>
      <w:r w:rsidR="002D1D6B">
        <w:rPr>
          <w:noProof/>
          <w:sz w:val="20"/>
          <w:szCs w:val="20"/>
        </w:rPr>
        <w:t>5</w:t>
      </w:r>
      <w:r w:rsidR="007E0840" w:rsidRPr="007E0840">
        <w:rPr>
          <w:noProof/>
          <w:sz w:val="20"/>
          <w:szCs w:val="20"/>
        </w:rPr>
        <w:fldChar w:fldCharType="end"/>
      </w:r>
    </w:p>
    <w:p w14:paraId="67B5B28E" w14:textId="77777777" w:rsidR="007E0840" w:rsidRPr="007E0840" w:rsidRDefault="007E0840">
      <w:pPr>
        <w:pStyle w:val="TOC3"/>
        <w:tabs>
          <w:tab w:val="right" w:leader="dot" w:pos="9345"/>
        </w:tabs>
        <w:rPr>
          <w:rFonts w:asciiTheme="minorHAnsi" w:hAnsiTheme="minorHAnsi"/>
          <w:noProof/>
          <w:sz w:val="20"/>
          <w:szCs w:val="20"/>
        </w:rPr>
      </w:pPr>
      <w:r w:rsidRPr="007E0840">
        <w:rPr>
          <w:noProof/>
          <w:sz w:val="20"/>
          <w:szCs w:val="20"/>
        </w:rPr>
        <w:t>Table 2: BSA number of screens in women aged 50–69 years by ethnicity and quarter, Quarter 4 2017 –Quarter 4 2018</w:t>
      </w:r>
      <w:r w:rsidRPr="007E0840">
        <w:rPr>
          <w:noProof/>
          <w:sz w:val="20"/>
          <w:szCs w:val="20"/>
        </w:rPr>
        <w:tab/>
      </w:r>
      <w:r w:rsidRPr="007E0840">
        <w:rPr>
          <w:noProof/>
          <w:sz w:val="20"/>
          <w:szCs w:val="20"/>
        </w:rPr>
        <w:fldChar w:fldCharType="begin"/>
      </w:r>
      <w:r w:rsidRPr="007E0840">
        <w:rPr>
          <w:noProof/>
          <w:sz w:val="20"/>
          <w:szCs w:val="20"/>
        </w:rPr>
        <w:instrText xml:space="preserve"> PAGEREF _Toc536020149 \h </w:instrText>
      </w:r>
      <w:r w:rsidRPr="007E0840">
        <w:rPr>
          <w:noProof/>
          <w:sz w:val="20"/>
          <w:szCs w:val="20"/>
        </w:rPr>
      </w:r>
      <w:r w:rsidRPr="007E0840">
        <w:rPr>
          <w:noProof/>
          <w:sz w:val="20"/>
          <w:szCs w:val="20"/>
        </w:rPr>
        <w:fldChar w:fldCharType="separate"/>
      </w:r>
      <w:r w:rsidR="002D1D6B">
        <w:rPr>
          <w:noProof/>
          <w:sz w:val="20"/>
          <w:szCs w:val="20"/>
        </w:rPr>
        <w:t>6</w:t>
      </w:r>
      <w:r w:rsidRPr="007E0840">
        <w:rPr>
          <w:noProof/>
          <w:sz w:val="20"/>
          <w:szCs w:val="20"/>
        </w:rPr>
        <w:fldChar w:fldCharType="end"/>
      </w:r>
    </w:p>
    <w:p w14:paraId="408FE786" w14:textId="77777777" w:rsidR="007E0840" w:rsidRPr="007E0840" w:rsidRDefault="007E0840">
      <w:pPr>
        <w:pStyle w:val="TOC3"/>
        <w:tabs>
          <w:tab w:val="right" w:leader="dot" w:pos="9345"/>
        </w:tabs>
        <w:rPr>
          <w:rFonts w:asciiTheme="minorHAnsi" w:hAnsiTheme="minorHAnsi"/>
          <w:noProof/>
          <w:sz w:val="20"/>
          <w:szCs w:val="20"/>
        </w:rPr>
      </w:pPr>
      <w:r w:rsidRPr="007E0840">
        <w:rPr>
          <w:noProof/>
          <w:sz w:val="20"/>
          <w:szCs w:val="20"/>
        </w:rPr>
        <w:t>Table 3: BSA number of eligible screens and initial rescreens for women aged 50–67 years by ethnicity for the rescreen period 1 October 2016 to 31 December 2018 (eligible period 1 October 2014 to 30 September 2016)</w:t>
      </w:r>
      <w:r w:rsidRPr="007E0840">
        <w:rPr>
          <w:noProof/>
          <w:sz w:val="20"/>
          <w:szCs w:val="20"/>
        </w:rPr>
        <w:tab/>
      </w:r>
      <w:r w:rsidRPr="007E0840">
        <w:rPr>
          <w:noProof/>
          <w:sz w:val="20"/>
          <w:szCs w:val="20"/>
        </w:rPr>
        <w:fldChar w:fldCharType="begin"/>
      </w:r>
      <w:r w:rsidRPr="007E0840">
        <w:rPr>
          <w:noProof/>
          <w:sz w:val="20"/>
          <w:szCs w:val="20"/>
        </w:rPr>
        <w:instrText xml:space="preserve"> PAGEREF _Toc536020150 \h </w:instrText>
      </w:r>
      <w:r w:rsidRPr="007E0840">
        <w:rPr>
          <w:noProof/>
          <w:sz w:val="20"/>
          <w:szCs w:val="20"/>
        </w:rPr>
      </w:r>
      <w:r w:rsidRPr="007E0840">
        <w:rPr>
          <w:noProof/>
          <w:sz w:val="20"/>
          <w:szCs w:val="20"/>
        </w:rPr>
        <w:fldChar w:fldCharType="separate"/>
      </w:r>
      <w:r w:rsidR="002D1D6B">
        <w:rPr>
          <w:noProof/>
          <w:sz w:val="20"/>
          <w:szCs w:val="20"/>
        </w:rPr>
        <w:t>7</w:t>
      </w:r>
      <w:r w:rsidRPr="007E0840">
        <w:rPr>
          <w:noProof/>
          <w:sz w:val="20"/>
          <w:szCs w:val="20"/>
        </w:rPr>
        <w:fldChar w:fldCharType="end"/>
      </w:r>
    </w:p>
    <w:p w14:paraId="6BB1D5C5" w14:textId="77777777" w:rsidR="007E0840" w:rsidRPr="007E0840" w:rsidRDefault="007E0840">
      <w:pPr>
        <w:pStyle w:val="TOC3"/>
        <w:tabs>
          <w:tab w:val="right" w:leader="dot" w:pos="9345"/>
        </w:tabs>
        <w:rPr>
          <w:rFonts w:asciiTheme="minorHAnsi" w:hAnsiTheme="minorHAnsi"/>
          <w:noProof/>
          <w:sz w:val="20"/>
          <w:szCs w:val="20"/>
        </w:rPr>
      </w:pPr>
      <w:r w:rsidRPr="007E0840">
        <w:rPr>
          <w:noProof/>
          <w:sz w:val="20"/>
          <w:szCs w:val="20"/>
        </w:rPr>
        <w:t>Table 4: BSA number of screens and coverage (%) in women aged 50–69 years in the two years ending 31 December 2018 by District Health Board</w:t>
      </w:r>
      <w:r w:rsidRPr="007E0840">
        <w:rPr>
          <w:noProof/>
          <w:sz w:val="20"/>
          <w:szCs w:val="20"/>
        </w:rPr>
        <w:tab/>
      </w:r>
      <w:r w:rsidRPr="007E0840">
        <w:rPr>
          <w:noProof/>
          <w:sz w:val="20"/>
          <w:szCs w:val="20"/>
        </w:rPr>
        <w:fldChar w:fldCharType="begin"/>
      </w:r>
      <w:r w:rsidRPr="007E0840">
        <w:rPr>
          <w:noProof/>
          <w:sz w:val="20"/>
          <w:szCs w:val="20"/>
        </w:rPr>
        <w:instrText xml:space="preserve"> PAGEREF _Toc536020151 \h </w:instrText>
      </w:r>
      <w:r w:rsidRPr="007E0840">
        <w:rPr>
          <w:noProof/>
          <w:sz w:val="20"/>
          <w:szCs w:val="20"/>
        </w:rPr>
      </w:r>
      <w:r w:rsidRPr="007E0840">
        <w:rPr>
          <w:noProof/>
          <w:sz w:val="20"/>
          <w:szCs w:val="20"/>
        </w:rPr>
        <w:fldChar w:fldCharType="separate"/>
      </w:r>
      <w:r w:rsidR="002D1D6B">
        <w:rPr>
          <w:noProof/>
          <w:sz w:val="20"/>
          <w:szCs w:val="20"/>
        </w:rPr>
        <w:t>13</w:t>
      </w:r>
      <w:r w:rsidRPr="007E0840">
        <w:rPr>
          <w:noProof/>
          <w:sz w:val="20"/>
          <w:szCs w:val="20"/>
        </w:rPr>
        <w:fldChar w:fldCharType="end"/>
      </w:r>
    </w:p>
    <w:p w14:paraId="2062DB75" w14:textId="77777777" w:rsidR="007E0840" w:rsidRPr="007E0840" w:rsidRDefault="007E0840">
      <w:pPr>
        <w:pStyle w:val="TOC3"/>
        <w:tabs>
          <w:tab w:val="right" w:leader="dot" w:pos="9345"/>
        </w:tabs>
        <w:rPr>
          <w:rFonts w:asciiTheme="minorHAnsi" w:hAnsiTheme="minorHAnsi"/>
          <w:noProof/>
          <w:sz w:val="20"/>
          <w:szCs w:val="20"/>
        </w:rPr>
      </w:pPr>
      <w:r w:rsidRPr="007E0840">
        <w:rPr>
          <w:noProof/>
          <w:sz w:val="20"/>
          <w:szCs w:val="20"/>
        </w:rPr>
        <w:t>Table 5: BSA coverage (%) of women aged 50–69 years in the two years ending 31 December, 2016, 2017, 2018, by ethnicity and District Health Board</w:t>
      </w:r>
      <w:r w:rsidRPr="007E0840">
        <w:rPr>
          <w:noProof/>
          <w:sz w:val="20"/>
          <w:szCs w:val="20"/>
        </w:rPr>
        <w:tab/>
      </w:r>
      <w:r w:rsidRPr="007E0840">
        <w:rPr>
          <w:noProof/>
          <w:sz w:val="20"/>
          <w:szCs w:val="20"/>
        </w:rPr>
        <w:fldChar w:fldCharType="begin"/>
      </w:r>
      <w:r w:rsidRPr="007E0840">
        <w:rPr>
          <w:noProof/>
          <w:sz w:val="20"/>
          <w:szCs w:val="20"/>
        </w:rPr>
        <w:instrText xml:space="preserve"> PAGEREF _Toc536020152 \h </w:instrText>
      </w:r>
      <w:r w:rsidRPr="007E0840">
        <w:rPr>
          <w:noProof/>
          <w:sz w:val="20"/>
          <w:szCs w:val="20"/>
        </w:rPr>
      </w:r>
      <w:r w:rsidRPr="007E0840">
        <w:rPr>
          <w:noProof/>
          <w:sz w:val="20"/>
          <w:szCs w:val="20"/>
        </w:rPr>
        <w:fldChar w:fldCharType="separate"/>
      </w:r>
      <w:r w:rsidR="002D1D6B">
        <w:rPr>
          <w:noProof/>
          <w:sz w:val="20"/>
          <w:szCs w:val="20"/>
        </w:rPr>
        <w:t>14</w:t>
      </w:r>
      <w:r w:rsidRPr="007E0840">
        <w:rPr>
          <w:noProof/>
          <w:sz w:val="20"/>
          <w:szCs w:val="20"/>
        </w:rPr>
        <w:fldChar w:fldCharType="end"/>
      </w:r>
    </w:p>
    <w:p w14:paraId="0B89D8C5" w14:textId="77777777" w:rsidR="00115CAE" w:rsidRPr="007E0840" w:rsidRDefault="00115CAE" w:rsidP="00BF27D3">
      <w:pPr>
        <w:spacing w:before="120"/>
        <w:rPr>
          <w:b/>
          <w:noProof/>
          <w:sz w:val="20"/>
          <w:szCs w:val="20"/>
        </w:rPr>
      </w:pPr>
      <w:r w:rsidRPr="007E0840">
        <w:rPr>
          <w:noProof/>
          <w:sz w:val="20"/>
          <w:szCs w:val="20"/>
        </w:rPr>
        <w:fldChar w:fldCharType="end"/>
      </w:r>
      <w:r w:rsidRPr="007E0840">
        <w:rPr>
          <w:b/>
          <w:noProof/>
          <w:sz w:val="20"/>
          <w:szCs w:val="20"/>
        </w:rPr>
        <w:t>List of figures</w:t>
      </w:r>
    </w:p>
    <w:p w14:paraId="424DB90F" w14:textId="77777777" w:rsidR="007E0840" w:rsidRPr="007E0840" w:rsidRDefault="00115CAE">
      <w:pPr>
        <w:pStyle w:val="TOC3"/>
        <w:tabs>
          <w:tab w:val="right" w:leader="dot" w:pos="9345"/>
        </w:tabs>
        <w:rPr>
          <w:rFonts w:asciiTheme="minorHAnsi" w:hAnsiTheme="minorHAnsi"/>
          <w:noProof/>
          <w:sz w:val="20"/>
          <w:szCs w:val="20"/>
        </w:rPr>
      </w:pPr>
      <w:r w:rsidRPr="007E0840">
        <w:rPr>
          <w:noProof/>
          <w:sz w:val="20"/>
          <w:szCs w:val="20"/>
        </w:rPr>
        <w:fldChar w:fldCharType="begin"/>
      </w:r>
      <w:r w:rsidRPr="007E0840">
        <w:rPr>
          <w:noProof/>
          <w:sz w:val="20"/>
          <w:szCs w:val="20"/>
        </w:rPr>
        <w:instrText xml:space="preserve"> TOC \t "Figure,3" </w:instrText>
      </w:r>
      <w:r w:rsidRPr="007E0840">
        <w:rPr>
          <w:noProof/>
          <w:sz w:val="20"/>
          <w:szCs w:val="20"/>
        </w:rPr>
        <w:fldChar w:fldCharType="separate"/>
      </w:r>
      <w:r w:rsidR="007E0840" w:rsidRPr="007E0840">
        <w:rPr>
          <w:noProof/>
          <w:sz w:val="20"/>
          <w:szCs w:val="20"/>
        </w:rPr>
        <w:t>Figure 1: BSA coverage (%) in the two years ending 31 December 2018 by ethnicity, women aged 50–69 years, Total Coverage</w:t>
      </w:r>
      <w:r w:rsidR="007E0840" w:rsidRPr="007E0840">
        <w:rPr>
          <w:noProof/>
          <w:sz w:val="20"/>
          <w:szCs w:val="20"/>
        </w:rPr>
        <w:tab/>
      </w:r>
      <w:r w:rsidR="007E0840" w:rsidRPr="007E0840">
        <w:rPr>
          <w:noProof/>
          <w:sz w:val="20"/>
          <w:szCs w:val="20"/>
        </w:rPr>
        <w:fldChar w:fldCharType="begin"/>
      </w:r>
      <w:r w:rsidR="007E0840" w:rsidRPr="007E0840">
        <w:rPr>
          <w:noProof/>
          <w:sz w:val="20"/>
          <w:szCs w:val="20"/>
        </w:rPr>
        <w:instrText xml:space="preserve"> PAGEREF _Toc536020153 \h </w:instrText>
      </w:r>
      <w:r w:rsidR="007E0840" w:rsidRPr="007E0840">
        <w:rPr>
          <w:noProof/>
          <w:sz w:val="20"/>
          <w:szCs w:val="20"/>
        </w:rPr>
      </w:r>
      <w:r w:rsidR="007E0840" w:rsidRPr="007E0840">
        <w:rPr>
          <w:noProof/>
          <w:sz w:val="20"/>
          <w:szCs w:val="20"/>
        </w:rPr>
        <w:fldChar w:fldCharType="separate"/>
      </w:r>
      <w:r w:rsidR="002D1D6B">
        <w:rPr>
          <w:noProof/>
          <w:sz w:val="20"/>
          <w:szCs w:val="20"/>
        </w:rPr>
        <w:t>5</w:t>
      </w:r>
      <w:r w:rsidR="007E0840" w:rsidRPr="007E0840">
        <w:rPr>
          <w:noProof/>
          <w:sz w:val="20"/>
          <w:szCs w:val="20"/>
        </w:rPr>
        <w:fldChar w:fldCharType="end"/>
      </w:r>
    </w:p>
    <w:p w14:paraId="3AC156D5" w14:textId="77777777" w:rsidR="007E0840" w:rsidRPr="007E0840" w:rsidRDefault="007E0840">
      <w:pPr>
        <w:pStyle w:val="TOC3"/>
        <w:tabs>
          <w:tab w:val="right" w:leader="dot" w:pos="9345"/>
        </w:tabs>
        <w:rPr>
          <w:rFonts w:asciiTheme="minorHAnsi" w:hAnsiTheme="minorHAnsi"/>
          <w:noProof/>
          <w:sz w:val="20"/>
          <w:szCs w:val="20"/>
        </w:rPr>
      </w:pPr>
      <w:r w:rsidRPr="007E0840">
        <w:rPr>
          <w:noProof/>
          <w:sz w:val="20"/>
          <w:szCs w:val="20"/>
        </w:rPr>
        <w:t>Figure 2: BSA coverage (%) of women aged 50–69 years in the two years ending 31 December 2018 by ethnicity, Total Coverage</w:t>
      </w:r>
      <w:r w:rsidRPr="007E0840">
        <w:rPr>
          <w:noProof/>
          <w:sz w:val="20"/>
          <w:szCs w:val="20"/>
        </w:rPr>
        <w:tab/>
      </w:r>
      <w:r w:rsidRPr="007E0840">
        <w:rPr>
          <w:noProof/>
          <w:sz w:val="20"/>
          <w:szCs w:val="20"/>
        </w:rPr>
        <w:fldChar w:fldCharType="begin"/>
      </w:r>
      <w:r w:rsidRPr="007E0840">
        <w:rPr>
          <w:noProof/>
          <w:sz w:val="20"/>
          <w:szCs w:val="20"/>
        </w:rPr>
        <w:instrText xml:space="preserve"> PAGEREF _Toc536020154 \h </w:instrText>
      </w:r>
      <w:r w:rsidRPr="007E0840">
        <w:rPr>
          <w:noProof/>
          <w:sz w:val="20"/>
          <w:szCs w:val="20"/>
        </w:rPr>
      </w:r>
      <w:r w:rsidRPr="007E0840">
        <w:rPr>
          <w:noProof/>
          <w:sz w:val="20"/>
          <w:szCs w:val="20"/>
        </w:rPr>
        <w:fldChar w:fldCharType="separate"/>
      </w:r>
      <w:r w:rsidR="002D1D6B">
        <w:rPr>
          <w:noProof/>
          <w:sz w:val="20"/>
          <w:szCs w:val="20"/>
        </w:rPr>
        <w:t>6</w:t>
      </w:r>
      <w:r w:rsidRPr="007E0840">
        <w:rPr>
          <w:noProof/>
          <w:sz w:val="20"/>
          <w:szCs w:val="20"/>
        </w:rPr>
        <w:fldChar w:fldCharType="end"/>
      </w:r>
    </w:p>
    <w:p w14:paraId="262CEFD0" w14:textId="77777777" w:rsidR="007E0840" w:rsidRPr="007E0840" w:rsidRDefault="007E0840">
      <w:pPr>
        <w:pStyle w:val="TOC3"/>
        <w:tabs>
          <w:tab w:val="right" w:leader="dot" w:pos="9345"/>
        </w:tabs>
        <w:rPr>
          <w:rFonts w:asciiTheme="minorHAnsi" w:hAnsiTheme="minorHAnsi"/>
          <w:noProof/>
          <w:sz w:val="20"/>
          <w:szCs w:val="20"/>
        </w:rPr>
      </w:pPr>
      <w:r w:rsidRPr="007E0840">
        <w:rPr>
          <w:noProof/>
          <w:sz w:val="20"/>
          <w:szCs w:val="20"/>
        </w:rPr>
        <w:t>Figure 3: BSA number of initial eligible rescreens by ethnicity</w:t>
      </w:r>
      <w:r w:rsidRPr="007E0840">
        <w:rPr>
          <w:noProof/>
          <w:sz w:val="20"/>
          <w:szCs w:val="20"/>
        </w:rPr>
        <w:tab/>
      </w:r>
      <w:r w:rsidRPr="007E0840">
        <w:rPr>
          <w:noProof/>
          <w:sz w:val="20"/>
          <w:szCs w:val="20"/>
        </w:rPr>
        <w:fldChar w:fldCharType="begin"/>
      </w:r>
      <w:r w:rsidRPr="007E0840">
        <w:rPr>
          <w:noProof/>
          <w:sz w:val="20"/>
          <w:szCs w:val="20"/>
        </w:rPr>
        <w:instrText xml:space="preserve"> PAGEREF _Toc536020155 \h </w:instrText>
      </w:r>
      <w:r w:rsidRPr="007E0840">
        <w:rPr>
          <w:noProof/>
          <w:sz w:val="20"/>
          <w:szCs w:val="20"/>
        </w:rPr>
      </w:r>
      <w:r w:rsidRPr="007E0840">
        <w:rPr>
          <w:noProof/>
          <w:sz w:val="20"/>
          <w:szCs w:val="20"/>
        </w:rPr>
        <w:fldChar w:fldCharType="separate"/>
      </w:r>
      <w:r w:rsidR="002D1D6B">
        <w:rPr>
          <w:noProof/>
          <w:sz w:val="20"/>
          <w:szCs w:val="20"/>
        </w:rPr>
        <w:t>7</w:t>
      </w:r>
      <w:r w:rsidRPr="007E0840">
        <w:rPr>
          <w:noProof/>
          <w:sz w:val="20"/>
          <w:szCs w:val="20"/>
        </w:rPr>
        <w:fldChar w:fldCharType="end"/>
      </w:r>
    </w:p>
    <w:p w14:paraId="24F8CE83" w14:textId="77777777" w:rsidR="007E0840" w:rsidRPr="007E0840" w:rsidRDefault="007E0840">
      <w:pPr>
        <w:pStyle w:val="TOC3"/>
        <w:tabs>
          <w:tab w:val="right" w:leader="dot" w:pos="9345"/>
        </w:tabs>
        <w:rPr>
          <w:rFonts w:asciiTheme="minorHAnsi" w:hAnsiTheme="minorHAnsi"/>
          <w:noProof/>
          <w:sz w:val="20"/>
          <w:szCs w:val="20"/>
        </w:rPr>
      </w:pPr>
      <w:r w:rsidRPr="007E0840">
        <w:rPr>
          <w:noProof/>
          <w:sz w:val="20"/>
          <w:szCs w:val="20"/>
        </w:rPr>
        <w:t>Figure 4: BSA coverage (%) of Māori women aged 50–69 years in the two years ending 31 December 2018 by District Health Board</w:t>
      </w:r>
      <w:r w:rsidRPr="007E0840">
        <w:rPr>
          <w:noProof/>
          <w:sz w:val="20"/>
          <w:szCs w:val="20"/>
        </w:rPr>
        <w:tab/>
      </w:r>
      <w:r w:rsidRPr="007E0840">
        <w:rPr>
          <w:noProof/>
          <w:sz w:val="20"/>
          <w:szCs w:val="20"/>
        </w:rPr>
        <w:fldChar w:fldCharType="begin"/>
      </w:r>
      <w:r w:rsidRPr="007E0840">
        <w:rPr>
          <w:noProof/>
          <w:sz w:val="20"/>
          <w:szCs w:val="20"/>
        </w:rPr>
        <w:instrText xml:space="preserve"> PAGEREF _Toc536020156 \h </w:instrText>
      </w:r>
      <w:r w:rsidRPr="007E0840">
        <w:rPr>
          <w:noProof/>
          <w:sz w:val="20"/>
          <w:szCs w:val="20"/>
        </w:rPr>
      </w:r>
      <w:r w:rsidRPr="007E0840">
        <w:rPr>
          <w:noProof/>
          <w:sz w:val="20"/>
          <w:szCs w:val="20"/>
        </w:rPr>
        <w:fldChar w:fldCharType="separate"/>
      </w:r>
      <w:r w:rsidR="002D1D6B">
        <w:rPr>
          <w:noProof/>
          <w:sz w:val="20"/>
          <w:szCs w:val="20"/>
        </w:rPr>
        <w:t>8</w:t>
      </w:r>
      <w:r w:rsidRPr="007E0840">
        <w:rPr>
          <w:noProof/>
          <w:sz w:val="20"/>
          <w:szCs w:val="20"/>
        </w:rPr>
        <w:fldChar w:fldCharType="end"/>
      </w:r>
    </w:p>
    <w:p w14:paraId="78174A28" w14:textId="77777777" w:rsidR="007E0840" w:rsidRPr="007E0840" w:rsidRDefault="007E0840">
      <w:pPr>
        <w:pStyle w:val="TOC3"/>
        <w:tabs>
          <w:tab w:val="right" w:leader="dot" w:pos="9345"/>
        </w:tabs>
        <w:rPr>
          <w:rFonts w:asciiTheme="minorHAnsi" w:hAnsiTheme="minorHAnsi"/>
          <w:noProof/>
          <w:sz w:val="20"/>
          <w:szCs w:val="20"/>
        </w:rPr>
      </w:pPr>
      <w:r w:rsidRPr="007E0840">
        <w:rPr>
          <w:noProof/>
          <w:sz w:val="20"/>
          <w:szCs w:val="20"/>
        </w:rPr>
        <w:t>Figure 5: BSA coverage (%) of Pacific women aged 50–69 years in the two years ending 31 December 2018 by District Health Board</w:t>
      </w:r>
      <w:r w:rsidRPr="007E0840">
        <w:rPr>
          <w:noProof/>
          <w:sz w:val="20"/>
          <w:szCs w:val="20"/>
        </w:rPr>
        <w:tab/>
      </w:r>
      <w:r w:rsidRPr="007E0840">
        <w:rPr>
          <w:noProof/>
          <w:sz w:val="20"/>
          <w:szCs w:val="20"/>
        </w:rPr>
        <w:fldChar w:fldCharType="begin"/>
      </w:r>
      <w:r w:rsidRPr="007E0840">
        <w:rPr>
          <w:noProof/>
          <w:sz w:val="20"/>
          <w:szCs w:val="20"/>
        </w:rPr>
        <w:instrText xml:space="preserve"> PAGEREF _Toc536020157 \h </w:instrText>
      </w:r>
      <w:r w:rsidRPr="007E0840">
        <w:rPr>
          <w:noProof/>
          <w:sz w:val="20"/>
          <w:szCs w:val="20"/>
        </w:rPr>
      </w:r>
      <w:r w:rsidRPr="007E0840">
        <w:rPr>
          <w:noProof/>
          <w:sz w:val="20"/>
          <w:szCs w:val="20"/>
        </w:rPr>
        <w:fldChar w:fldCharType="separate"/>
      </w:r>
      <w:r w:rsidR="002D1D6B">
        <w:rPr>
          <w:noProof/>
          <w:sz w:val="20"/>
          <w:szCs w:val="20"/>
        </w:rPr>
        <w:t>8</w:t>
      </w:r>
      <w:r w:rsidRPr="007E0840">
        <w:rPr>
          <w:noProof/>
          <w:sz w:val="20"/>
          <w:szCs w:val="20"/>
        </w:rPr>
        <w:fldChar w:fldCharType="end"/>
      </w:r>
    </w:p>
    <w:p w14:paraId="3084E72E" w14:textId="77777777" w:rsidR="007E0840" w:rsidRPr="007E0840" w:rsidRDefault="007E0840">
      <w:pPr>
        <w:pStyle w:val="TOC3"/>
        <w:tabs>
          <w:tab w:val="right" w:leader="dot" w:pos="9345"/>
        </w:tabs>
        <w:rPr>
          <w:rFonts w:asciiTheme="minorHAnsi" w:hAnsiTheme="minorHAnsi"/>
          <w:noProof/>
          <w:sz w:val="20"/>
          <w:szCs w:val="20"/>
        </w:rPr>
      </w:pPr>
      <w:r w:rsidRPr="007E0840">
        <w:rPr>
          <w:noProof/>
          <w:sz w:val="20"/>
          <w:szCs w:val="20"/>
        </w:rPr>
        <w:t>Figure 6: Overall BSA coverage (%) of women aged 50–69 years in the two years ending 31 December 2018 by District Health Board</w:t>
      </w:r>
      <w:r w:rsidRPr="007E0840">
        <w:rPr>
          <w:noProof/>
          <w:sz w:val="20"/>
          <w:szCs w:val="20"/>
        </w:rPr>
        <w:tab/>
      </w:r>
      <w:r w:rsidRPr="007E0840">
        <w:rPr>
          <w:noProof/>
          <w:sz w:val="20"/>
          <w:szCs w:val="20"/>
        </w:rPr>
        <w:fldChar w:fldCharType="begin"/>
      </w:r>
      <w:r w:rsidRPr="007E0840">
        <w:rPr>
          <w:noProof/>
          <w:sz w:val="20"/>
          <w:szCs w:val="20"/>
        </w:rPr>
        <w:instrText xml:space="preserve"> PAGEREF _Toc536020158 \h </w:instrText>
      </w:r>
      <w:r w:rsidRPr="007E0840">
        <w:rPr>
          <w:noProof/>
          <w:sz w:val="20"/>
          <w:szCs w:val="20"/>
        </w:rPr>
      </w:r>
      <w:r w:rsidRPr="007E0840">
        <w:rPr>
          <w:noProof/>
          <w:sz w:val="20"/>
          <w:szCs w:val="20"/>
        </w:rPr>
        <w:fldChar w:fldCharType="separate"/>
      </w:r>
      <w:r w:rsidR="002D1D6B">
        <w:rPr>
          <w:noProof/>
          <w:sz w:val="20"/>
          <w:szCs w:val="20"/>
        </w:rPr>
        <w:t>9</w:t>
      </w:r>
      <w:r w:rsidRPr="007E0840">
        <w:rPr>
          <w:noProof/>
          <w:sz w:val="20"/>
          <w:szCs w:val="20"/>
        </w:rPr>
        <w:fldChar w:fldCharType="end"/>
      </w:r>
    </w:p>
    <w:p w14:paraId="75A592EB" w14:textId="77777777" w:rsidR="007E0840" w:rsidRPr="007E0840" w:rsidRDefault="007E0840">
      <w:pPr>
        <w:pStyle w:val="TOC3"/>
        <w:tabs>
          <w:tab w:val="right" w:leader="dot" w:pos="9345"/>
        </w:tabs>
        <w:rPr>
          <w:rFonts w:asciiTheme="minorHAnsi" w:hAnsiTheme="minorHAnsi"/>
          <w:noProof/>
          <w:sz w:val="20"/>
          <w:szCs w:val="20"/>
        </w:rPr>
      </w:pPr>
      <w:r w:rsidRPr="007E0840">
        <w:rPr>
          <w:noProof/>
          <w:sz w:val="20"/>
          <w:szCs w:val="20"/>
        </w:rPr>
        <w:t>Figure 7: BSA coverage (%) of Māori women aged 50–69 years in the two years ending 31 December 2018</w:t>
      </w:r>
      <w:r w:rsidRPr="007E0840">
        <w:rPr>
          <w:noProof/>
          <w:sz w:val="20"/>
          <w:szCs w:val="20"/>
        </w:rPr>
        <w:tab/>
      </w:r>
      <w:r w:rsidRPr="007E0840">
        <w:rPr>
          <w:noProof/>
          <w:sz w:val="20"/>
          <w:szCs w:val="20"/>
        </w:rPr>
        <w:fldChar w:fldCharType="begin"/>
      </w:r>
      <w:r w:rsidRPr="007E0840">
        <w:rPr>
          <w:noProof/>
          <w:sz w:val="20"/>
          <w:szCs w:val="20"/>
        </w:rPr>
        <w:instrText xml:space="preserve"> PAGEREF _Toc536020159 \h </w:instrText>
      </w:r>
      <w:r w:rsidRPr="007E0840">
        <w:rPr>
          <w:noProof/>
          <w:sz w:val="20"/>
          <w:szCs w:val="20"/>
        </w:rPr>
      </w:r>
      <w:r w:rsidRPr="007E0840">
        <w:rPr>
          <w:noProof/>
          <w:sz w:val="20"/>
          <w:szCs w:val="20"/>
        </w:rPr>
        <w:fldChar w:fldCharType="separate"/>
      </w:r>
      <w:r w:rsidR="002D1D6B">
        <w:rPr>
          <w:noProof/>
          <w:sz w:val="20"/>
          <w:szCs w:val="20"/>
        </w:rPr>
        <w:t>10</w:t>
      </w:r>
      <w:r w:rsidRPr="007E0840">
        <w:rPr>
          <w:noProof/>
          <w:sz w:val="20"/>
          <w:szCs w:val="20"/>
        </w:rPr>
        <w:fldChar w:fldCharType="end"/>
      </w:r>
    </w:p>
    <w:p w14:paraId="6C023EF3" w14:textId="77777777" w:rsidR="007E0840" w:rsidRPr="007E0840" w:rsidRDefault="007E0840">
      <w:pPr>
        <w:pStyle w:val="TOC3"/>
        <w:tabs>
          <w:tab w:val="right" w:leader="dot" w:pos="9345"/>
        </w:tabs>
        <w:rPr>
          <w:rFonts w:asciiTheme="minorHAnsi" w:hAnsiTheme="minorHAnsi"/>
          <w:noProof/>
          <w:sz w:val="20"/>
          <w:szCs w:val="20"/>
        </w:rPr>
      </w:pPr>
      <w:r w:rsidRPr="007E0840">
        <w:rPr>
          <w:noProof/>
          <w:sz w:val="20"/>
          <w:szCs w:val="20"/>
        </w:rPr>
        <w:t>Figure 8: BSA coverage (%) of Pacific women aged 50–69 years in the two years ending 31 December 2018</w:t>
      </w:r>
      <w:r w:rsidRPr="007E0840">
        <w:rPr>
          <w:noProof/>
          <w:sz w:val="20"/>
          <w:szCs w:val="20"/>
        </w:rPr>
        <w:tab/>
      </w:r>
      <w:r w:rsidRPr="007E0840">
        <w:rPr>
          <w:noProof/>
          <w:sz w:val="20"/>
          <w:szCs w:val="20"/>
        </w:rPr>
        <w:fldChar w:fldCharType="begin"/>
      </w:r>
      <w:r w:rsidRPr="007E0840">
        <w:rPr>
          <w:noProof/>
          <w:sz w:val="20"/>
          <w:szCs w:val="20"/>
        </w:rPr>
        <w:instrText xml:space="preserve"> PAGEREF _Toc536020160 \h </w:instrText>
      </w:r>
      <w:r w:rsidRPr="007E0840">
        <w:rPr>
          <w:noProof/>
          <w:sz w:val="20"/>
          <w:szCs w:val="20"/>
        </w:rPr>
      </w:r>
      <w:r w:rsidRPr="007E0840">
        <w:rPr>
          <w:noProof/>
          <w:sz w:val="20"/>
          <w:szCs w:val="20"/>
        </w:rPr>
        <w:fldChar w:fldCharType="separate"/>
      </w:r>
      <w:r w:rsidR="002D1D6B">
        <w:rPr>
          <w:noProof/>
          <w:sz w:val="20"/>
          <w:szCs w:val="20"/>
        </w:rPr>
        <w:t>11</w:t>
      </w:r>
      <w:r w:rsidRPr="007E0840">
        <w:rPr>
          <w:noProof/>
          <w:sz w:val="20"/>
          <w:szCs w:val="20"/>
        </w:rPr>
        <w:fldChar w:fldCharType="end"/>
      </w:r>
    </w:p>
    <w:p w14:paraId="2D35DA9A" w14:textId="77777777" w:rsidR="007E0840" w:rsidRPr="007E0840" w:rsidRDefault="007E0840">
      <w:pPr>
        <w:pStyle w:val="TOC3"/>
        <w:tabs>
          <w:tab w:val="right" w:leader="dot" w:pos="9345"/>
        </w:tabs>
        <w:rPr>
          <w:rFonts w:asciiTheme="minorHAnsi" w:hAnsiTheme="minorHAnsi"/>
          <w:noProof/>
          <w:sz w:val="20"/>
          <w:szCs w:val="20"/>
        </w:rPr>
      </w:pPr>
      <w:r w:rsidRPr="007E0840">
        <w:rPr>
          <w:noProof/>
          <w:sz w:val="20"/>
          <w:szCs w:val="20"/>
        </w:rPr>
        <w:t>Figure 9: Overall BSA coverage (%) of women aged 50–69 years in the two years ending 31 December 2018 by District Health Board</w:t>
      </w:r>
      <w:r w:rsidRPr="007E0840">
        <w:rPr>
          <w:noProof/>
          <w:sz w:val="20"/>
          <w:szCs w:val="20"/>
        </w:rPr>
        <w:tab/>
      </w:r>
      <w:r w:rsidRPr="007E0840">
        <w:rPr>
          <w:noProof/>
          <w:sz w:val="20"/>
          <w:szCs w:val="20"/>
        </w:rPr>
        <w:fldChar w:fldCharType="begin"/>
      </w:r>
      <w:r w:rsidRPr="007E0840">
        <w:rPr>
          <w:noProof/>
          <w:sz w:val="20"/>
          <w:szCs w:val="20"/>
        </w:rPr>
        <w:instrText xml:space="preserve"> PAGEREF _Toc536020161 \h </w:instrText>
      </w:r>
      <w:r w:rsidRPr="007E0840">
        <w:rPr>
          <w:noProof/>
          <w:sz w:val="20"/>
          <w:szCs w:val="20"/>
        </w:rPr>
      </w:r>
      <w:r w:rsidRPr="007E0840">
        <w:rPr>
          <w:noProof/>
          <w:sz w:val="20"/>
          <w:szCs w:val="20"/>
        </w:rPr>
        <w:fldChar w:fldCharType="separate"/>
      </w:r>
      <w:r w:rsidR="002D1D6B">
        <w:rPr>
          <w:noProof/>
          <w:sz w:val="20"/>
          <w:szCs w:val="20"/>
        </w:rPr>
        <w:t>12</w:t>
      </w:r>
      <w:r w:rsidRPr="007E0840">
        <w:rPr>
          <w:noProof/>
          <w:sz w:val="20"/>
          <w:szCs w:val="20"/>
        </w:rPr>
        <w:fldChar w:fldCharType="end"/>
      </w:r>
    </w:p>
    <w:p w14:paraId="06101633" w14:textId="77777777" w:rsidR="00115CAE" w:rsidRPr="004149AB" w:rsidRDefault="00115CAE" w:rsidP="00F66603">
      <w:pPr>
        <w:pStyle w:val="Heading1"/>
        <w:rPr>
          <w:noProof/>
        </w:rPr>
      </w:pPr>
      <w:r w:rsidRPr="007E0840">
        <w:rPr>
          <w:noProof/>
          <w:sz w:val="20"/>
          <w:szCs w:val="20"/>
        </w:rPr>
        <w:lastRenderedPageBreak/>
        <w:fldChar w:fldCharType="end"/>
      </w:r>
      <w:bookmarkStart w:id="0" w:name="_Toc399921850"/>
      <w:bookmarkStart w:id="1" w:name="_Toc536020139"/>
      <w:r w:rsidRPr="004149AB">
        <w:rPr>
          <w:noProof/>
        </w:rPr>
        <w:t>Introduction</w:t>
      </w:r>
      <w:bookmarkEnd w:id="0"/>
      <w:bookmarkEnd w:id="1"/>
    </w:p>
    <w:p w14:paraId="3230443F" w14:textId="77777777" w:rsidR="00F66603" w:rsidRDefault="00F66603" w:rsidP="00F66603">
      <w:bookmarkStart w:id="2" w:name="_Toc399921851"/>
      <w:proofErr w:type="spellStart"/>
      <w:r>
        <w:t>BreastScreen</w:t>
      </w:r>
      <w:proofErr w:type="spellEnd"/>
      <w:r>
        <w:t xml:space="preserve"> Aotearoa (BSA) is a national public health screening programme funded by the Government to offer free Mammography every two years to women aged 45–69 years of age. The aim of BSA is to reduce morbidity and mortality from breast cancer by the early detection and treatment of the disease.</w:t>
      </w:r>
    </w:p>
    <w:p w14:paraId="00B6F4B1" w14:textId="77777777" w:rsidR="00F66603" w:rsidRDefault="00F66603" w:rsidP="00F66603"/>
    <w:p w14:paraId="05D5C893" w14:textId="77777777" w:rsidR="00F66603" w:rsidRDefault="00F66603" w:rsidP="00F66603">
      <w:r>
        <w:t>BSA’s target is to screen 70 percent of eligible women aged 50–69 every two years. BSA does not have a target for women aged 45–49 years because there is less evidence of the benefits of this age group’s participation in a population health breast screening programme.</w:t>
      </w:r>
    </w:p>
    <w:p w14:paraId="757C7190" w14:textId="77777777" w:rsidR="00F66603" w:rsidRDefault="00F66603" w:rsidP="00F66603"/>
    <w:p w14:paraId="421D958F" w14:textId="77777777" w:rsidR="00F66603" w:rsidRPr="00221AF9" w:rsidRDefault="00F66603" w:rsidP="00F66603">
      <w:r w:rsidRPr="00221AF9">
        <w:t>Improving uptake of the breast cancer screening programme by Māori and Pacific women is a key priority of the National Screening Unit (NSU) as part of its commitment to achieving equity.  Coverage rates are monitored closely for these two groups who are known to be at increased risk of developing breast cancer and have significantly higher morta</w:t>
      </w:r>
      <w:r>
        <w:t xml:space="preserve">lity rates from breast cancer.  </w:t>
      </w:r>
      <w:r w:rsidRPr="00221AF9">
        <w:t xml:space="preserve">From June 2018 the NSU is adding the number of Asian women screened by DHB and the eligible population to the quarterly reports (tables 4 and 5).  While Asian women are not at increased risk of developing breast cancer, it is important to monitor the rate of screening in this group to understand screening behaviours.  </w:t>
      </w:r>
    </w:p>
    <w:p w14:paraId="03FF6D4A" w14:textId="77777777" w:rsidR="00F66603" w:rsidRDefault="00F66603" w:rsidP="00F66603"/>
    <w:p w14:paraId="7910574B" w14:textId="77777777" w:rsidR="00F66603" w:rsidRDefault="00F66603" w:rsidP="00F66603">
      <w:r w:rsidRPr="00D828ED">
        <w:t xml:space="preserve">While the majority (15) of </w:t>
      </w:r>
      <w:r>
        <w:t>District Health Boards (DHBs)</w:t>
      </w:r>
      <w:r w:rsidRPr="00D828ED">
        <w:t xml:space="preserve"> are not </w:t>
      </w:r>
      <w:r>
        <w:t xml:space="preserve">directly </w:t>
      </w:r>
      <w:r w:rsidRPr="00D828ED">
        <w:t>contracted by the Ministry of Health to provide breast screening services</w:t>
      </w:r>
      <w:r>
        <w:t>,</w:t>
      </w:r>
      <w:r w:rsidRPr="00D828ED">
        <w:t xml:space="preserve"> it is expected that all DHBs will have linkages to breast screening activities</w:t>
      </w:r>
      <w:r>
        <w:t xml:space="preserve">. </w:t>
      </w:r>
      <w:r w:rsidRPr="00D828ED">
        <w:t>The programme is delivered throughout the country by eight lead providers, their sub-contracted providers</w:t>
      </w:r>
      <w:r>
        <w:t xml:space="preserve"> (where applicable)</w:t>
      </w:r>
      <w:r w:rsidRPr="00D828ED">
        <w:t xml:space="preserve">, and mobile units that deliver services to rural and some urban communities. Working alongside the lead providers are 13 </w:t>
      </w:r>
      <w:r>
        <w:t>screening support</w:t>
      </w:r>
      <w:r w:rsidRPr="00D828ED">
        <w:t xml:space="preserve"> service providers in defined geog</w:t>
      </w:r>
      <w:r w:rsidRPr="00844FFE">
        <w:t xml:space="preserve">raphical areas providing </w:t>
      </w:r>
      <w:r>
        <w:t xml:space="preserve">recruitment and retention, and </w:t>
      </w:r>
      <w:r w:rsidRPr="00D828ED">
        <w:t>support services for M</w:t>
      </w:r>
      <w:r>
        <w:t>ā</w:t>
      </w:r>
      <w:r w:rsidRPr="00D828ED">
        <w:t>ori</w:t>
      </w:r>
      <w:r>
        <w:t xml:space="preserve">, </w:t>
      </w:r>
      <w:r w:rsidRPr="00D828ED">
        <w:t>Pacific</w:t>
      </w:r>
      <w:r>
        <w:t xml:space="preserve"> and other priority group</w:t>
      </w:r>
      <w:r w:rsidRPr="00D828ED">
        <w:t xml:space="preserve"> women.</w:t>
      </w:r>
    </w:p>
    <w:p w14:paraId="02F1C6EB" w14:textId="77777777" w:rsidR="00F66603" w:rsidRDefault="00F66603" w:rsidP="00F66603"/>
    <w:p w14:paraId="1068E3CA" w14:textId="77777777" w:rsidR="00F66603" w:rsidRPr="00B03C5D" w:rsidRDefault="00F66603" w:rsidP="00F66603">
      <w:r w:rsidRPr="00B03C5D">
        <w:t>Women who screen regularly have a lower risk of dying from breast cancer than those who screen less regularly</w:t>
      </w:r>
      <w:r>
        <w:t>.</w:t>
      </w:r>
      <w:r w:rsidRPr="00B03C5D">
        <w:t xml:space="preserve"> </w:t>
      </w:r>
      <w:r>
        <w:t>Rescreening rates are calculated as the n</w:t>
      </w:r>
      <w:r w:rsidRPr="004E50B4">
        <w:t>umber of women rescreened within 20-27 months of their previous screen as a percentage of the number of women eligible for a rescreen</w:t>
      </w:r>
      <w:r w:rsidRPr="00B03C5D">
        <w:t xml:space="preserve">. Where a woman has more than one screening episode recorded in a screening period, only the last episode is reported. This may result in variances when women’s screens and rescreens are completed by different providers. </w:t>
      </w:r>
    </w:p>
    <w:p w14:paraId="22F77BA0" w14:textId="77777777" w:rsidR="00F66603" w:rsidRDefault="00F66603" w:rsidP="00F66603">
      <w:pPr>
        <w:autoSpaceDE w:val="0"/>
        <w:autoSpaceDN w:val="0"/>
        <w:adjustRightInd w:val="0"/>
        <w:spacing w:line="240" w:lineRule="auto"/>
        <w:rPr>
          <w:rFonts w:ascii="Arial Mäori" w:eastAsiaTheme="minorHAnsi" w:hAnsi="Arial Mäori" w:cs="Arial Mäori"/>
          <w:color w:val="000000"/>
          <w:sz w:val="20"/>
          <w:szCs w:val="20"/>
          <w:lang w:eastAsia="en-US"/>
        </w:rPr>
      </w:pPr>
    </w:p>
    <w:p w14:paraId="0B4E7F4C" w14:textId="77777777" w:rsidR="00BA275B" w:rsidRDefault="00F66603" w:rsidP="00F66603">
      <w:pPr>
        <w:rPr>
          <w:rFonts w:ascii="Arial Mäori" w:eastAsiaTheme="minorHAnsi" w:hAnsi="Arial Mäori" w:cs="Arial Mäori"/>
          <w:color w:val="000000"/>
          <w:sz w:val="20"/>
          <w:szCs w:val="20"/>
          <w:lang w:eastAsia="en-US"/>
        </w:rPr>
      </w:pPr>
      <w:r w:rsidRPr="00B03C5D">
        <w:t>BSA monitor initial and subsequent screening rates. Initial rescreens are the proportion of women who have a screening mammogram within 20-27 months after their first screening appointment.  There has been a decline in the proportion of women being rescreened within 27 months of their first mammogram and from June 2018 the initial rescreen rates are included in the quarterly DHB reports (page 7).</w:t>
      </w:r>
      <w:r>
        <w:rPr>
          <w:rFonts w:ascii="Arial Mäori" w:eastAsiaTheme="minorHAnsi" w:hAnsi="Arial Mäori" w:cs="Arial Mäori"/>
          <w:color w:val="000000"/>
          <w:sz w:val="20"/>
          <w:szCs w:val="20"/>
          <w:lang w:eastAsia="en-US"/>
        </w:rPr>
        <w:t xml:space="preserve">  </w:t>
      </w:r>
    </w:p>
    <w:p w14:paraId="5D7635BD" w14:textId="77777777" w:rsidR="00EC17D4" w:rsidRDefault="00F66603" w:rsidP="00F66603">
      <w:r w:rsidRPr="00A97460">
        <w:lastRenderedPageBreak/>
        <w:t xml:space="preserve">Numerator: Women screened in the 24 month period preceding the report end date and who are eligible for rescreening and returned for a rescreen within 20-27 months. </w:t>
      </w:r>
    </w:p>
    <w:p w14:paraId="1AF8772B" w14:textId="77777777" w:rsidR="00F66603" w:rsidRPr="00A97460" w:rsidRDefault="00F66603" w:rsidP="00F66603">
      <w:r w:rsidRPr="00A97460">
        <w:t>(</w:t>
      </w:r>
      <w:r w:rsidR="00EC17D4">
        <w:t>1 October 2016 to 31</w:t>
      </w:r>
      <w:r w:rsidRPr="00A97460">
        <w:t xml:space="preserve"> </w:t>
      </w:r>
      <w:r w:rsidR="00EC17D4">
        <w:t>December</w:t>
      </w:r>
      <w:r w:rsidRPr="00A97460">
        <w:t xml:space="preserve"> 2018)</w:t>
      </w:r>
      <w:r w:rsidRPr="00A97460">
        <w:br/>
      </w:r>
      <w:r w:rsidRPr="00A97460">
        <w:br/>
        <w:t>Denominator: Women screened in the 24 month period preceding the report end date who are eligible for rescreening. (</w:t>
      </w:r>
      <w:r w:rsidR="000B465E">
        <w:t xml:space="preserve">1 </w:t>
      </w:r>
      <w:r w:rsidR="00EC17D4">
        <w:t>October</w:t>
      </w:r>
      <w:r w:rsidRPr="00A97460">
        <w:t xml:space="preserve"> 2014 to</w:t>
      </w:r>
      <w:r w:rsidR="000B465E">
        <w:t xml:space="preserve"> 30 September</w:t>
      </w:r>
      <w:r w:rsidRPr="00A97460">
        <w:t xml:space="preserve"> 2016).</w:t>
      </w:r>
    </w:p>
    <w:p w14:paraId="4900687D" w14:textId="77777777" w:rsidR="00F66603" w:rsidRPr="00A97460" w:rsidRDefault="00F66603" w:rsidP="00F66603"/>
    <w:p w14:paraId="2FB56245" w14:textId="77777777" w:rsidR="00F66603" w:rsidRPr="007E28E8" w:rsidRDefault="00F66603" w:rsidP="00F66603">
      <w:r w:rsidRPr="007E28E8">
        <w:t>The purpose of this quarterly report is to demonstrate by DHB if the programme coverage and rescreening targets are being met for the region.</w:t>
      </w:r>
    </w:p>
    <w:p w14:paraId="5C87C941" w14:textId="77777777" w:rsidR="00115CAE" w:rsidRDefault="00115CAE" w:rsidP="00115CAE">
      <w:pPr>
        <w:rPr>
          <w:rFonts w:eastAsiaTheme="majorEastAsia"/>
        </w:rPr>
      </w:pPr>
    </w:p>
    <w:p w14:paraId="6040BACC" w14:textId="77777777" w:rsidR="00A97460" w:rsidRDefault="00A97460">
      <w:pPr>
        <w:spacing w:after="200"/>
        <w:rPr>
          <w:rFonts w:eastAsiaTheme="majorEastAsia" w:cstheme="majorBidi"/>
          <w:b/>
          <w:bCs/>
          <w:sz w:val="36"/>
          <w:szCs w:val="28"/>
        </w:rPr>
      </w:pPr>
      <w:r>
        <w:br w:type="page"/>
      </w:r>
    </w:p>
    <w:p w14:paraId="2E4B0B70" w14:textId="77777777" w:rsidR="00115CAE" w:rsidRPr="004149AB" w:rsidRDefault="00115CAE" w:rsidP="00115CAE">
      <w:pPr>
        <w:pStyle w:val="Heading1"/>
      </w:pPr>
      <w:bookmarkStart w:id="3" w:name="_Toc536020140"/>
      <w:r w:rsidRPr="004149AB">
        <w:lastRenderedPageBreak/>
        <w:t xml:space="preserve">Technical </w:t>
      </w:r>
      <w:r>
        <w:t>n</w:t>
      </w:r>
      <w:r w:rsidRPr="004149AB">
        <w:t>otes</w:t>
      </w:r>
      <w:bookmarkEnd w:id="2"/>
      <w:bookmarkEnd w:id="3"/>
    </w:p>
    <w:p w14:paraId="10028DAC" w14:textId="77777777" w:rsidR="00115CAE" w:rsidRPr="00F73803" w:rsidRDefault="002B6CFE" w:rsidP="00115CAE">
      <w:pPr>
        <w:rPr>
          <w:rFonts w:eastAsiaTheme="minorHAnsi"/>
          <w:lang w:eastAsia="en-US"/>
        </w:rPr>
      </w:pPr>
      <w:r>
        <w:rPr>
          <w:rFonts w:eastAsiaTheme="minorHAnsi"/>
          <w:lang w:eastAsia="en-US"/>
        </w:rPr>
        <w:t xml:space="preserve">The data for the period ending </w:t>
      </w:r>
      <w:r w:rsidR="000436A5" w:rsidRPr="000436A5">
        <w:rPr>
          <w:rFonts w:eastAsiaTheme="minorHAnsi"/>
          <w:lang w:eastAsia="en-US"/>
        </w:rPr>
        <w:t>31 December 2018</w:t>
      </w:r>
      <w:r>
        <w:rPr>
          <w:rFonts w:eastAsiaTheme="minorHAnsi"/>
          <w:lang w:eastAsia="en-US"/>
        </w:rPr>
        <w:t xml:space="preserve"> was extracted from</w:t>
      </w:r>
      <w:r w:rsidR="000C2B3F">
        <w:rPr>
          <w:rFonts w:eastAsiaTheme="minorHAnsi"/>
          <w:lang w:eastAsia="en-US"/>
        </w:rPr>
        <w:t xml:space="preserve"> the</w:t>
      </w:r>
      <w:r>
        <w:rPr>
          <w:rFonts w:eastAsiaTheme="minorHAnsi"/>
          <w:lang w:eastAsia="en-US"/>
        </w:rPr>
        <w:t xml:space="preserve"> </w:t>
      </w:r>
      <w:r w:rsidR="000C2B3F" w:rsidRPr="005767BE">
        <w:t xml:space="preserve">national </w:t>
      </w:r>
      <w:proofErr w:type="spellStart"/>
      <w:r w:rsidR="000C2B3F" w:rsidRPr="005767BE">
        <w:t>BreastScreen</w:t>
      </w:r>
      <w:proofErr w:type="spellEnd"/>
      <w:r w:rsidR="000C2B3F" w:rsidRPr="005767BE">
        <w:t xml:space="preserve"> Aotearoa database (the Database) </w:t>
      </w:r>
      <w:r>
        <w:rPr>
          <w:rFonts w:eastAsiaTheme="minorHAnsi"/>
          <w:lang w:eastAsia="en-US"/>
        </w:rPr>
        <w:t xml:space="preserve">on </w:t>
      </w:r>
      <w:r w:rsidR="000436A5" w:rsidRPr="000436A5">
        <w:rPr>
          <w:rFonts w:eastAsiaTheme="minorHAnsi"/>
          <w:lang w:eastAsia="en-US"/>
        </w:rPr>
        <w:t>18 January 2019</w:t>
      </w:r>
      <w:r w:rsidR="000E7690">
        <w:rPr>
          <w:rFonts w:eastAsiaTheme="minorHAnsi"/>
          <w:lang w:eastAsia="en-US"/>
        </w:rPr>
        <w:t>.</w:t>
      </w:r>
      <w:r w:rsidR="00B41599">
        <w:rPr>
          <w:rFonts w:eastAsiaTheme="minorHAnsi"/>
          <w:lang w:eastAsia="en-US"/>
        </w:rPr>
        <w:t xml:space="preserve"> </w:t>
      </w:r>
    </w:p>
    <w:p w14:paraId="4D01CBFC" w14:textId="77777777" w:rsidR="00115CAE" w:rsidRDefault="00115CAE" w:rsidP="00115CAE">
      <w:pPr>
        <w:rPr>
          <w:rFonts w:eastAsiaTheme="minorHAnsi"/>
          <w:lang w:eastAsia="en-US"/>
        </w:rPr>
      </w:pPr>
    </w:p>
    <w:p w14:paraId="58FB6DD8" w14:textId="77777777" w:rsidR="000C2B3F" w:rsidRPr="005767BE" w:rsidRDefault="000C2B3F" w:rsidP="000C2B3F">
      <w:r w:rsidRPr="005767BE">
        <w:t>Screened women are included in the coverage calculations based on their age at the time of their screen. This means that coverage for women aged 50–69 years includes women who may have turned 70 or 71 during the monitoring period.</w:t>
      </w:r>
    </w:p>
    <w:p w14:paraId="40B1D581" w14:textId="77777777" w:rsidR="000C2B3F" w:rsidRPr="005767BE" w:rsidRDefault="000C2B3F" w:rsidP="000C2B3F"/>
    <w:p w14:paraId="01588E22" w14:textId="77777777" w:rsidR="000C2B3F" w:rsidRPr="005767BE" w:rsidRDefault="000C2B3F" w:rsidP="000C2B3F">
      <w:r w:rsidRPr="005767BE">
        <w:t>For both women screened and in the denominator, women have been prioritised to a single ethnicity using the following priority order: Māori, Pacific, Other. This means that if a woman chooses more than one category, and one of these is Māori, she is counted as Māori. For screened women with no ethnicity recorded in the Database, her screen contributes to overall coverage but not to any particular ethnicity. This means that the total number of women screened may be greater than the sum of women screened by ethnicity.</w:t>
      </w:r>
    </w:p>
    <w:p w14:paraId="3D5160C7" w14:textId="77777777" w:rsidR="000C2B3F" w:rsidRPr="005767BE" w:rsidRDefault="000C2B3F" w:rsidP="000C2B3F"/>
    <w:p w14:paraId="75FA957F"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denominators used for calculating coverage for the periods ending </w:t>
      </w:r>
      <w:r w:rsidR="00963F5A">
        <w:rPr>
          <w:rFonts w:eastAsiaTheme="minorHAnsi" w:cs="Georgia"/>
          <w:color w:val="000000"/>
          <w:szCs w:val="24"/>
          <w:lang w:eastAsia="en-US"/>
        </w:rPr>
        <w:t>31 December</w:t>
      </w:r>
      <w:r w:rsidR="008A050B">
        <w:rPr>
          <w:rFonts w:eastAsiaTheme="minorHAnsi" w:cs="Georgia"/>
          <w:color w:val="000000"/>
          <w:szCs w:val="24"/>
          <w:lang w:eastAsia="en-US"/>
        </w:rPr>
        <w:t xml:space="preserve"> </w:t>
      </w:r>
      <w:r w:rsidR="00F44F18">
        <w:rPr>
          <w:rFonts w:eastAsiaTheme="minorHAnsi" w:cs="Georgia"/>
          <w:color w:val="000000"/>
          <w:szCs w:val="24"/>
          <w:lang w:eastAsia="en-US"/>
        </w:rPr>
        <w:t>2016</w:t>
      </w:r>
      <w:r w:rsidR="00393D33">
        <w:rPr>
          <w:rFonts w:eastAsiaTheme="minorHAnsi" w:cs="Georgia"/>
          <w:color w:val="000000"/>
          <w:szCs w:val="24"/>
          <w:lang w:eastAsia="en-US"/>
        </w:rPr>
        <w:t xml:space="preserve">, </w:t>
      </w:r>
      <w:r w:rsidR="00963F5A">
        <w:rPr>
          <w:rFonts w:eastAsiaTheme="minorHAnsi" w:cs="Georgia"/>
          <w:color w:val="000000"/>
          <w:szCs w:val="24"/>
          <w:lang w:eastAsia="en-US"/>
        </w:rPr>
        <w:t>31 December</w:t>
      </w:r>
      <w:r w:rsidR="00F44F18">
        <w:rPr>
          <w:rFonts w:eastAsiaTheme="minorHAnsi" w:cs="Georgia"/>
          <w:color w:val="000000"/>
          <w:szCs w:val="24"/>
          <w:lang w:eastAsia="en-US"/>
        </w:rPr>
        <w:t xml:space="preserve"> 2017</w:t>
      </w:r>
      <w:r w:rsidR="00393D33">
        <w:rPr>
          <w:rFonts w:eastAsiaTheme="minorHAnsi" w:cs="Georgia"/>
          <w:color w:val="000000"/>
          <w:szCs w:val="24"/>
          <w:lang w:eastAsia="en-US"/>
        </w:rPr>
        <w:t xml:space="preserve"> and </w:t>
      </w:r>
      <w:r w:rsidR="00963F5A">
        <w:rPr>
          <w:rFonts w:eastAsiaTheme="minorHAnsi" w:cs="Georgia"/>
          <w:color w:val="000000"/>
          <w:szCs w:val="24"/>
          <w:lang w:eastAsia="en-US"/>
        </w:rPr>
        <w:t>31 December</w:t>
      </w:r>
      <w:r w:rsidR="00F44F18">
        <w:rPr>
          <w:rFonts w:eastAsiaTheme="minorHAnsi" w:cs="Georgia"/>
          <w:color w:val="000000"/>
          <w:szCs w:val="24"/>
          <w:lang w:eastAsia="en-US"/>
        </w:rPr>
        <w:t xml:space="preserve"> 2018</w:t>
      </w:r>
      <w:r w:rsidRPr="005767BE">
        <w:rPr>
          <w:rFonts w:eastAsiaTheme="minorHAnsi" w:cs="Georgia"/>
          <w:color w:val="000000"/>
          <w:szCs w:val="24"/>
          <w:lang w:eastAsia="en-US"/>
        </w:rPr>
        <w:t xml:space="preserve"> are derived from Statistics New Zealand’s District Health Board (DHB) population projections </w:t>
      </w:r>
      <w:r w:rsidR="000436A5" w:rsidRPr="000436A5">
        <w:t>30 June 2017</w:t>
      </w:r>
      <w:r w:rsidRPr="005767BE">
        <w:rPr>
          <w:rFonts w:eastAsiaTheme="minorHAnsi" w:cs="Georgia"/>
          <w:color w:val="000000"/>
          <w:szCs w:val="24"/>
          <w:lang w:eastAsia="en-US"/>
        </w:rPr>
        <w:t xml:space="preserve"> update, based on the 2013 Census.</w:t>
      </w:r>
    </w:p>
    <w:p w14:paraId="29462153"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02792E1F" w14:textId="77777777" w:rsidR="000C2B3F" w:rsidRPr="005767BE" w:rsidRDefault="00585B52" w:rsidP="000C2B3F">
      <w:pPr>
        <w:autoSpaceDE w:val="0"/>
        <w:autoSpaceDN w:val="0"/>
        <w:adjustRightInd w:val="0"/>
        <w:spacing w:line="240" w:lineRule="auto"/>
        <w:rPr>
          <w:rFonts w:eastAsiaTheme="minorHAnsi" w:cs="Georgia"/>
          <w:color w:val="000000"/>
          <w:szCs w:val="24"/>
          <w:lang w:eastAsia="en-US"/>
        </w:rPr>
      </w:pPr>
      <w:r w:rsidRPr="00585B52">
        <w:rPr>
          <w:rFonts w:eastAsiaTheme="minorHAnsi" w:cs="Georgia"/>
          <w:color w:val="000000"/>
          <w:szCs w:val="24"/>
          <w:lang w:eastAsia="en-US"/>
        </w:rPr>
        <w:t xml:space="preserve">From December 2016, the National Screening Unit (NSU) </w:t>
      </w:r>
      <w:r w:rsidRPr="00585B52">
        <w:rPr>
          <w:rFonts w:eastAsiaTheme="minorHAnsi" w:cs="Georgia"/>
          <w:bCs/>
          <w:color w:val="000000"/>
          <w:szCs w:val="24"/>
          <w:lang w:eastAsia="en-US"/>
        </w:rPr>
        <w:t>begins</w:t>
      </w:r>
      <w:r w:rsidRPr="00585B52">
        <w:rPr>
          <w:rFonts w:eastAsiaTheme="minorHAnsi" w:cs="Georgia"/>
          <w:color w:val="000000"/>
          <w:szCs w:val="24"/>
          <w:lang w:eastAsia="en-US"/>
        </w:rPr>
        <w:t xml:space="preserve"> reporting using the latest 2013 domicile codes and daily data loading process, compared to previous reports which used a monthly data loading process and were based on 2006 domicile codes.</w:t>
      </w:r>
    </w:p>
    <w:p w14:paraId="7DEAFAE1"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 is the projected population for the mid-point of the monitoring period. </w:t>
      </w:r>
    </w:p>
    <w:p w14:paraId="3AA77C9B"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4664223F"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This means that for the two-year period ending:</w:t>
      </w:r>
    </w:p>
    <w:p w14:paraId="0A829FDC"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503B6DA6" w14:textId="77777777" w:rsidR="000C2B3F" w:rsidRPr="005767BE" w:rsidRDefault="00BC1277"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31 December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2016</w:t>
      </w:r>
      <w:r w:rsidR="000C2B3F" w:rsidRPr="005767BE">
        <w:rPr>
          <w:rFonts w:eastAsiaTheme="minorHAnsi" w:cs="Georgia"/>
          <w:color w:val="000000"/>
          <w:szCs w:val="24"/>
          <w:lang w:eastAsia="en-US"/>
        </w:rPr>
        <w:t xml:space="preserve">, the denominator is the </w:t>
      </w:r>
      <w:r w:rsidR="00C57853">
        <w:rPr>
          <w:rFonts w:eastAsiaTheme="minorHAnsi" w:cs="Georgia"/>
          <w:color w:val="000000"/>
          <w:szCs w:val="24"/>
          <w:lang w:eastAsia="en-US"/>
        </w:rPr>
        <w:t xml:space="preserve">projected population </w:t>
      </w:r>
      <w:r w:rsidR="000C2B3F" w:rsidRPr="005767BE">
        <w:rPr>
          <w:rFonts w:eastAsiaTheme="minorHAnsi" w:cs="Georgia"/>
          <w:color w:val="000000"/>
          <w:szCs w:val="24"/>
          <w:lang w:eastAsia="en-US"/>
        </w:rPr>
        <w:t xml:space="preserve">for </w:t>
      </w:r>
      <w:r>
        <w:rPr>
          <w:rFonts w:eastAsiaTheme="minorHAnsi" w:cs="Georgia"/>
          <w:color w:val="000000"/>
          <w:szCs w:val="24"/>
          <w:lang w:eastAsia="en-US"/>
        </w:rPr>
        <w:t>31 December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2015</w:t>
      </w:r>
    </w:p>
    <w:p w14:paraId="12EA5206" w14:textId="77777777" w:rsidR="000C2B3F" w:rsidRPr="005767BE" w:rsidRDefault="00BC1277"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31 December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2017</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31 December</w:t>
      </w:r>
      <w:r w:rsidR="00F44F18">
        <w:rPr>
          <w:rFonts w:eastAsiaTheme="minorHAnsi" w:cs="Georgia"/>
          <w:color w:val="000000"/>
          <w:szCs w:val="24"/>
          <w:lang w:eastAsia="en-US"/>
        </w:rPr>
        <w:t xml:space="preserve"> 2016</w:t>
      </w:r>
    </w:p>
    <w:p w14:paraId="4259660E" w14:textId="77777777" w:rsidR="000C2B3F" w:rsidRPr="005767BE" w:rsidRDefault="00BC1277"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31 December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2018</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31 December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2017</w:t>
      </w:r>
    </w:p>
    <w:p w14:paraId="7AACF190" w14:textId="77777777" w:rsidR="000C2B3F" w:rsidRPr="005767BE" w:rsidRDefault="000C2B3F" w:rsidP="000C2B3F">
      <w:pPr>
        <w:autoSpaceDE w:val="0"/>
        <w:autoSpaceDN w:val="0"/>
        <w:adjustRightInd w:val="0"/>
        <w:spacing w:line="240" w:lineRule="auto"/>
        <w:ind w:left="360"/>
        <w:rPr>
          <w:rFonts w:eastAsiaTheme="minorHAnsi" w:cs="Georgia"/>
          <w:color w:val="000000"/>
          <w:szCs w:val="24"/>
          <w:lang w:eastAsia="en-US"/>
        </w:rPr>
      </w:pPr>
    </w:p>
    <w:p w14:paraId="57BC1048" w14:textId="77777777" w:rsidR="000C2B3F" w:rsidRPr="005767BE" w:rsidRDefault="000C2B3F" w:rsidP="000C2B3F">
      <w:r w:rsidRPr="005767BE">
        <w:t>Delivery of BSA services through mobile units may also result in fluctuations in the number of women screened in a quarter which may impact on coverage from year to year depending on the mobile unit schedule.</w:t>
      </w:r>
    </w:p>
    <w:p w14:paraId="64C97471" w14:textId="77777777" w:rsidR="000C2B3F" w:rsidRPr="005767BE" w:rsidRDefault="000C2B3F" w:rsidP="000C2B3F"/>
    <w:p w14:paraId="1F850E89" w14:textId="77777777" w:rsidR="000C2B3F" w:rsidRPr="005767BE" w:rsidRDefault="000C2B3F" w:rsidP="000C2B3F">
      <w:r w:rsidRPr="005767BE">
        <w:t xml:space="preserve">Additional detail on the methodology can be obtained via a request made to </w:t>
      </w:r>
      <w:hyperlink r:id="rId14" w:history="1">
        <w:r w:rsidRPr="005767BE">
          <w:rPr>
            <w:color w:val="0000FF"/>
            <w:u w:val="single"/>
          </w:rPr>
          <w:t>screening@moh.govt.nz</w:t>
        </w:r>
      </w:hyperlink>
      <w:r w:rsidRPr="005767BE">
        <w:t>.</w:t>
      </w:r>
    </w:p>
    <w:p w14:paraId="4E8B5E6F" w14:textId="77777777" w:rsidR="00115CAE" w:rsidRPr="00F73803" w:rsidRDefault="00115CAE" w:rsidP="00115CAE">
      <w:pPr>
        <w:rPr>
          <w:rFonts w:eastAsiaTheme="minorHAnsi"/>
          <w:lang w:eastAsia="en-US"/>
        </w:rPr>
      </w:pPr>
    </w:p>
    <w:p w14:paraId="53B298CC" w14:textId="77777777" w:rsidR="00115CAE" w:rsidRDefault="00115CAE" w:rsidP="00115CAE">
      <w:pPr>
        <w:rPr>
          <w:rFonts w:eastAsiaTheme="majorEastAsia"/>
        </w:rPr>
      </w:pPr>
      <w:bookmarkStart w:id="4" w:name="_Toc399146163"/>
    </w:p>
    <w:p w14:paraId="059CA719" w14:textId="77777777" w:rsidR="00115CAE" w:rsidRPr="004149AB" w:rsidRDefault="000436A5" w:rsidP="00115CAE">
      <w:pPr>
        <w:pStyle w:val="Heading1"/>
      </w:pPr>
      <w:bookmarkStart w:id="5" w:name="_Toc399921852"/>
      <w:bookmarkStart w:id="6" w:name="_Toc536020141"/>
      <w:r w:rsidRPr="000436A5">
        <w:lastRenderedPageBreak/>
        <w:t>Capital and Coast</w:t>
      </w:r>
      <w:r w:rsidR="00C75BA8">
        <w:t xml:space="preserve"> </w:t>
      </w:r>
      <w:r w:rsidR="00115CAE">
        <w:t>c</w:t>
      </w:r>
      <w:r w:rsidR="00115CAE" w:rsidRPr="004149AB">
        <w:t>overage</w:t>
      </w:r>
      <w:bookmarkEnd w:id="4"/>
      <w:bookmarkEnd w:id="5"/>
      <w:bookmarkEnd w:id="6"/>
    </w:p>
    <w:p w14:paraId="65C32D84" w14:textId="77777777" w:rsidR="00115CAE" w:rsidRPr="00F7148E" w:rsidRDefault="000436A5" w:rsidP="00115CAE">
      <w:pPr>
        <w:pStyle w:val="Heading2"/>
      </w:pPr>
      <w:bookmarkStart w:id="7" w:name="_Toc399146164"/>
      <w:bookmarkStart w:id="8" w:name="_Toc399921853"/>
      <w:bookmarkStart w:id="9" w:name="_Toc536020142"/>
      <w:r w:rsidRPr="000436A5">
        <w:t>Capital and Coast</w:t>
      </w:r>
      <w:r w:rsidR="00F279F6">
        <w:t xml:space="preserve"> </w:t>
      </w:r>
      <w:r w:rsidR="00115CAE">
        <w:t>c</w:t>
      </w:r>
      <w:r w:rsidR="00115CAE" w:rsidRPr="00532FD3">
        <w:t xml:space="preserve">overage by </w:t>
      </w:r>
      <w:r w:rsidR="00115CAE">
        <w:t>e</w:t>
      </w:r>
      <w:r w:rsidR="00115CAE" w:rsidRPr="00532FD3">
        <w:t>thnicity</w:t>
      </w:r>
      <w:r w:rsidR="00115CAE">
        <w:t xml:space="preserve"> </w:t>
      </w:r>
      <w:r w:rsidR="00115CAE" w:rsidRPr="00F7148E">
        <w:t xml:space="preserve">in the </w:t>
      </w:r>
      <w:r w:rsidR="00805861">
        <w:t>two</w:t>
      </w:r>
      <w:r w:rsidR="00115CAE" w:rsidRPr="00F7148E">
        <w:t xml:space="preserve"> years ending </w:t>
      </w:r>
      <w:bookmarkEnd w:id="7"/>
      <w:bookmarkEnd w:id="8"/>
      <w:r w:rsidRPr="000436A5">
        <w:t>31 December 2018</w:t>
      </w:r>
      <w:bookmarkEnd w:id="9"/>
    </w:p>
    <w:p w14:paraId="0BB60D14" w14:textId="77777777" w:rsidR="00115CAE" w:rsidRDefault="00BD3841" w:rsidP="00BD3841">
      <w:pPr>
        <w:pStyle w:val="Figure"/>
      </w:pPr>
      <w:bookmarkStart w:id="10" w:name="_Toc399497921"/>
      <w:bookmarkStart w:id="11" w:name="_Toc536020153"/>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2D1D6B">
        <w:rPr>
          <w:noProof/>
        </w:rPr>
        <w:t>1</w:t>
      </w:r>
      <w:r w:rsidR="000B7E2A">
        <w:rPr>
          <w:noProof/>
        </w:rPr>
        <w:fldChar w:fldCharType="end"/>
      </w:r>
      <w:r w:rsidR="00115CAE">
        <w:t xml:space="preserve">: </w:t>
      </w:r>
      <w:r w:rsidR="00751E09">
        <w:t>BSA</w:t>
      </w:r>
      <w:r w:rsidR="00115CAE">
        <w:t xml:space="preserve"> c</w:t>
      </w:r>
      <w:r w:rsidR="00115CAE" w:rsidRPr="00F17732">
        <w:t xml:space="preserve">overage (%) in the </w:t>
      </w:r>
      <w:r w:rsidR="00805861">
        <w:t>two</w:t>
      </w:r>
      <w:r w:rsidR="00115CAE" w:rsidRPr="00F17732">
        <w:t xml:space="preserve"> </w:t>
      </w:r>
      <w:r w:rsidR="00115CAE">
        <w:t>y</w:t>
      </w:r>
      <w:r w:rsidR="00115CAE" w:rsidRPr="00F17732">
        <w:t xml:space="preserve">ears ending </w:t>
      </w:r>
      <w:r w:rsidR="000436A5" w:rsidRPr="000436A5">
        <w:t>31 December 2018</w:t>
      </w:r>
      <w:r w:rsidR="00115CAE" w:rsidRPr="00F17732">
        <w:t xml:space="preserve"> by ethnicity, women aged </w:t>
      </w:r>
      <w:r w:rsidR="004B6FD0">
        <w:t>50</w:t>
      </w:r>
      <w:r w:rsidR="00115CAE" w:rsidRPr="00F17732">
        <w:t>–69</w:t>
      </w:r>
      <w:r w:rsidR="00115CAE">
        <w:t xml:space="preserve"> years</w:t>
      </w:r>
      <w:r w:rsidR="00115CAE" w:rsidRPr="00F17732">
        <w:t xml:space="preserve">, </w:t>
      </w:r>
      <w:bookmarkEnd w:id="10"/>
      <w:r w:rsidR="00C75BA8">
        <w:t>Total Coverage</w:t>
      </w:r>
      <w:bookmarkEnd w:id="11"/>
    </w:p>
    <w:p w14:paraId="62206FDC" w14:textId="77777777" w:rsidR="002D25D6" w:rsidRPr="002D25D6" w:rsidRDefault="000436A5" w:rsidP="002D25D6">
      <w:bookmarkStart w:id="12" w:name="figure_1"/>
      <w:bookmarkEnd w:id="12"/>
      <w:r>
        <w:rPr>
          <w:noProof/>
        </w:rPr>
        <w:drawing>
          <wp:inline distT="0" distB="0" distL="0" distR="0" wp14:anchorId="64B2B139" wp14:editId="3645D3A4">
            <wp:extent cx="4173538" cy="2663825"/>
            <wp:effectExtent l="0" t="0" r="17780" b="317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1704296" w14:textId="77777777" w:rsidR="00576B92" w:rsidRDefault="00576B92" w:rsidP="00F27C51">
      <w:bookmarkStart w:id="13" w:name="_Toc400365296"/>
    </w:p>
    <w:p w14:paraId="1AB72B0B" w14:textId="77777777" w:rsidR="00115CAE" w:rsidRPr="004F701C" w:rsidRDefault="004F701C" w:rsidP="001802FB">
      <w:pPr>
        <w:pStyle w:val="Table"/>
        <w:rPr>
          <w:i/>
          <w:iCs/>
        </w:rPr>
      </w:pPr>
      <w:bookmarkStart w:id="14" w:name="_Toc536020148"/>
      <w:r w:rsidRPr="004F701C">
        <w:t xml:space="preserve">Table </w:t>
      </w:r>
      <w:r w:rsidR="000B7E2A">
        <w:rPr>
          <w:noProof/>
        </w:rPr>
        <w:fldChar w:fldCharType="begin"/>
      </w:r>
      <w:r w:rsidR="000B7E2A">
        <w:rPr>
          <w:noProof/>
        </w:rPr>
        <w:instrText xml:space="preserve"> SEQ Table \* ARABIC </w:instrText>
      </w:r>
      <w:r w:rsidR="000B7E2A">
        <w:rPr>
          <w:noProof/>
        </w:rPr>
        <w:fldChar w:fldCharType="separate"/>
      </w:r>
      <w:r w:rsidR="002D1D6B">
        <w:rPr>
          <w:noProof/>
        </w:rPr>
        <w:t>1</w:t>
      </w:r>
      <w:r w:rsidR="000B7E2A">
        <w:rPr>
          <w:noProof/>
        </w:rPr>
        <w:fldChar w:fldCharType="end"/>
      </w:r>
      <w:r w:rsidR="00115CAE" w:rsidRPr="004F701C">
        <w:t xml:space="preserve">: </w:t>
      </w:r>
      <w:r w:rsidR="00751E09" w:rsidRPr="004F701C">
        <w:t>BSA</w:t>
      </w:r>
      <w:r w:rsidR="00115CAE" w:rsidRPr="004F701C">
        <w:t xml:space="preserve"> coverage (%) in the </w:t>
      </w:r>
      <w:r w:rsidR="00805861" w:rsidRPr="004F701C">
        <w:t>two</w:t>
      </w:r>
      <w:r w:rsidR="00115CAE" w:rsidRPr="004F701C">
        <w:t xml:space="preserve"> years ending </w:t>
      </w:r>
      <w:r w:rsidR="000436A5" w:rsidRPr="000436A5">
        <w:t>31 December 2018</w:t>
      </w:r>
      <w:r w:rsidR="00115CAE" w:rsidRPr="004F701C">
        <w:t xml:space="preserve"> by ethnicity, women aged </w:t>
      </w:r>
      <w:r w:rsidR="004B6FD0" w:rsidRPr="004F701C">
        <w:t>50</w:t>
      </w:r>
      <w:r w:rsidR="00115CAE" w:rsidRPr="004F701C">
        <w:t xml:space="preserve">–69 years, </w:t>
      </w:r>
      <w:bookmarkEnd w:id="13"/>
      <w:r w:rsidR="00C75BA8" w:rsidRPr="004F701C">
        <w:t>Total Coverage</w:t>
      </w:r>
      <w:bookmarkEnd w:id="14"/>
    </w:p>
    <w:p w14:paraId="7FFB0176" w14:textId="77777777" w:rsidR="00E646CB" w:rsidRPr="00E646CB" w:rsidRDefault="000436A5" w:rsidP="00E646CB">
      <w:bookmarkStart w:id="15" w:name="table_1"/>
      <w:bookmarkEnd w:id="15"/>
      <w:r w:rsidRPr="000436A5">
        <w:rPr>
          <w:noProof/>
        </w:rPr>
        <w:drawing>
          <wp:inline distT="0" distB="0" distL="0" distR="0" wp14:anchorId="2FD4FEB0" wp14:editId="193B840D">
            <wp:extent cx="5822950" cy="128524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22950" cy="1285240"/>
                    </a:xfrm>
                    <a:prstGeom prst="rect">
                      <a:avLst/>
                    </a:prstGeom>
                    <a:noFill/>
                    <a:ln>
                      <a:noFill/>
                    </a:ln>
                  </pic:spPr>
                </pic:pic>
              </a:graphicData>
            </a:graphic>
          </wp:inline>
        </w:drawing>
      </w:r>
    </w:p>
    <w:p w14:paraId="5B73FC1C" w14:textId="77777777" w:rsidR="00115CAE" w:rsidRPr="00A40E41" w:rsidRDefault="00A40E41" w:rsidP="00115CAE">
      <w:pPr>
        <w:rPr>
          <w:i/>
          <w:sz w:val="16"/>
          <w:szCs w:val="16"/>
        </w:rPr>
      </w:pPr>
      <w:r>
        <w:rPr>
          <w:i/>
          <w:sz w:val="16"/>
          <w:szCs w:val="16"/>
        </w:rPr>
        <w:t xml:space="preserve">*For the total population the number of additional screens is the number required to move from the total population coverage to </w:t>
      </w:r>
      <w:r w:rsidR="004B6FD0">
        <w:rPr>
          <w:i/>
          <w:sz w:val="16"/>
          <w:szCs w:val="16"/>
        </w:rPr>
        <w:t>70</w:t>
      </w:r>
      <w:r>
        <w:rPr>
          <w:i/>
          <w:sz w:val="16"/>
          <w:szCs w:val="16"/>
        </w:rPr>
        <w:t xml:space="preserve">%. This may not be the same as the sum of additional screens required for each ethnic group to reach </w:t>
      </w:r>
      <w:r w:rsidR="004B6FD0">
        <w:rPr>
          <w:i/>
          <w:sz w:val="16"/>
          <w:szCs w:val="16"/>
        </w:rPr>
        <w:t>70</w:t>
      </w:r>
      <w:r>
        <w:rPr>
          <w:i/>
          <w:sz w:val="16"/>
          <w:szCs w:val="16"/>
        </w:rPr>
        <w:t>%.</w:t>
      </w:r>
    </w:p>
    <w:p w14:paraId="0B9B9BE9" w14:textId="77777777" w:rsidR="00115CAE" w:rsidRDefault="00115CAE" w:rsidP="00115CAE">
      <w:pPr>
        <w:rPr>
          <w:sz w:val="16"/>
          <w:szCs w:val="16"/>
        </w:rPr>
      </w:pPr>
    </w:p>
    <w:p w14:paraId="6BB8F609" w14:textId="77777777" w:rsidR="00BD3841" w:rsidRDefault="00BD3841">
      <w:pPr>
        <w:spacing w:after="200"/>
        <w:rPr>
          <w:rFonts w:cs="Times New Roman"/>
          <w:b/>
          <w:sz w:val="22"/>
        </w:rPr>
      </w:pPr>
      <w:r>
        <w:br w:type="page"/>
      </w:r>
    </w:p>
    <w:p w14:paraId="31C3A08C" w14:textId="77777777" w:rsidR="00115CAE" w:rsidRDefault="000436A5" w:rsidP="00115CAE">
      <w:pPr>
        <w:pStyle w:val="Heading2"/>
      </w:pPr>
      <w:bookmarkStart w:id="16" w:name="_Toc399921854"/>
      <w:bookmarkStart w:id="17" w:name="_Toc536020143"/>
      <w:r w:rsidRPr="000436A5">
        <w:lastRenderedPageBreak/>
        <w:t>Capital and Coast</w:t>
      </w:r>
      <w:r w:rsidR="00F53E27" w:rsidRPr="00F53E27">
        <w:t xml:space="preserve"> </w:t>
      </w:r>
      <w:r w:rsidR="00115CAE">
        <w:t>coverage t</w:t>
      </w:r>
      <w:r w:rsidR="00115CAE" w:rsidRPr="001A7BE5">
        <w:t>rends</w:t>
      </w:r>
      <w:r w:rsidR="00115CAE">
        <w:t xml:space="preserve"> by ethnicity</w:t>
      </w:r>
      <w:bookmarkEnd w:id="16"/>
      <w:bookmarkEnd w:id="17"/>
    </w:p>
    <w:p w14:paraId="38F2D647" w14:textId="77777777" w:rsidR="00115CAE" w:rsidRPr="00BD3841" w:rsidRDefault="00BD3841" w:rsidP="00BD3841">
      <w:pPr>
        <w:pStyle w:val="Figure"/>
      </w:pPr>
      <w:bookmarkStart w:id="18" w:name="_Toc399497922"/>
      <w:bookmarkStart w:id="19" w:name="_Toc536020154"/>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2D1D6B">
        <w:rPr>
          <w:noProof/>
        </w:rPr>
        <w:t>2</w:t>
      </w:r>
      <w:r w:rsidR="000B7E2A">
        <w:rPr>
          <w:noProof/>
        </w:rPr>
        <w:fldChar w:fldCharType="end"/>
      </w:r>
      <w:r w:rsidR="00115CAE" w:rsidRPr="00F17732">
        <w:t xml:space="preserve">: </w:t>
      </w:r>
      <w:r w:rsidR="00751E09">
        <w:t>BSA</w:t>
      </w:r>
      <w:r w:rsidR="00115CAE" w:rsidRPr="00F17732">
        <w:t xml:space="preserve"> coverage </w:t>
      </w:r>
      <w:r w:rsidR="00115CAE">
        <w:t xml:space="preserve">(%) of women aged </w:t>
      </w:r>
      <w:r w:rsidR="004B6FD0">
        <w:t>50</w:t>
      </w:r>
      <w:r w:rsidR="00115CAE">
        <w:t>–</w:t>
      </w:r>
      <w:r w:rsidR="00115CAE" w:rsidRPr="00F17732">
        <w:t xml:space="preserve">69 </w:t>
      </w:r>
      <w:r w:rsidR="00115CAE">
        <w:t xml:space="preserve">years </w:t>
      </w:r>
      <w:r w:rsidR="00115CAE" w:rsidRPr="00F17732">
        <w:t xml:space="preserve">in the </w:t>
      </w:r>
      <w:r w:rsidR="00805861">
        <w:t>two</w:t>
      </w:r>
      <w:r w:rsidR="00115CAE">
        <w:t xml:space="preserve"> </w:t>
      </w:r>
      <w:r w:rsidR="00115CAE" w:rsidRPr="00F17732">
        <w:t xml:space="preserve">years ending </w:t>
      </w:r>
      <w:r w:rsidR="000436A5" w:rsidRPr="000436A5">
        <w:t>31 December 2018</w:t>
      </w:r>
      <w:r w:rsidR="00115CAE" w:rsidRPr="00F17732">
        <w:t xml:space="preserve"> by </w:t>
      </w:r>
      <w:r w:rsidR="00070AAE">
        <w:t>e</w:t>
      </w:r>
      <w:r w:rsidR="00115CAE" w:rsidRPr="00F17732">
        <w:t>thnicity</w:t>
      </w:r>
      <w:r w:rsidR="00115CAE">
        <w:t xml:space="preserve">, </w:t>
      </w:r>
      <w:bookmarkEnd w:id="18"/>
      <w:r w:rsidR="00C75BA8">
        <w:t>Total Coverage</w:t>
      </w:r>
      <w:bookmarkEnd w:id="19"/>
    </w:p>
    <w:p w14:paraId="57133D34" w14:textId="77777777" w:rsidR="005A05B2" w:rsidRDefault="000436A5" w:rsidP="00A206FE">
      <w:bookmarkStart w:id="20" w:name="figure_2"/>
      <w:bookmarkStart w:id="21" w:name="_Toc399921855"/>
      <w:bookmarkEnd w:id="20"/>
      <w:r>
        <w:rPr>
          <w:noProof/>
        </w:rPr>
        <w:drawing>
          <wp:inline distT="0" distB="0" distL="0" distR="0" wp14:anchorId="1B459F99" wp14:editId="59085EE3">
            <wp:extent cx="4895850" cy="2667000"/>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81FE4CF" w14:textId="77777777" w:rsidR="00A206FE" w:rsidRPr="004F701C" w:rsidRDefault="004F701C" w:rsidP="001802FB">
      <w:pPr>
        <w:pStyle w:val="Table"/>
        <w:rPr>
          <w:i/>
          <w:iCs/>
        </w:rPr>
      </w:pPr>
      <w:bookmarkStart w:id="22" w:name="_Toc536020149"/>
      <w:r w:rsidRPr="004F701C">
        <w:t>Table</w:t>
      </w:r>
      <w:r w:rsidR="00622075">
        <w:t xml:space="preserve"> 2</w:t>
      </w:r>
      <w:r w:rsidRPr="004F701C">
        <w:t xml:space="preserve">: </w:t>
      </w:r>
      <w:r w:rsidR="00A206FE" w:rsidRPr="004F701C">
        <w:t xml:space="preserve">BSA number of screens in women aged 50–69 years by ethnicity and quarter, Quarter </w:t>
      </w:r>
      <w:r w:rsidR="00842569">
        <w:t>4</w:t>
      </w:r>
      <w:r w:rsidR="00A206FE" w:rsidRPr="004F701C">
        <w:t xml:space="preserve"> 201</w:t>
      </w:r>
      <w:r w:rsidR="000C75D7">
        <w:t>7</w:t>
      </w:r>
      <w:r w:rsidR="00A206FE" w:rsidRPr="004F701C">
        <w:t xml:space="preserve"> –Quarter </w:t>
      </w:r>
      <w:r w:rsidR="00842569">
        <w:t>4</w:t>
      </w:r>
      <w:r w:rsidR="00A206FE" w:rsidRPr="004F701C">
        <w:t xml:space="preserve"> 201</w:t>
      </w:r>
      <w:r w:rsidR="000C75D7">
        <w:t>8</w:t>
      </w:r>
      <w:bookmarkEnd w:id="22"/>
    </w:p>
    <w:tbl>
      <w:tblPr>
        <w:tblW w:w="9360" w:type="dxa"/>
        <w:jc w:val="right"/>
        <w:tblLayout w:type="fixed"/>
        <w:tblCellMar>
          <w:left w:w="85" w:type="dxa"/>
          <w:right w:w="85" w:type="dxa"/>
        </w:tblCellMar>
        <w:tblLook w:val="04A0" w:firstRow="1" w:lastRow="0" w:firstColumn="1" w:lastColumn="0" w:noHBand="0" w:noVBand="1"/>
      </w:tblPr>
      <w:tblGrid>
        <w:gridCol w:w="1843"/>
        <w:gridCol w:w="1502"/>
        <w:gridCol w:w="1504"/>
        <w:gridCol w:w="1503"/>
        <w:gridCol w:w="1504"/>
        <w:gridCol w:w="1504"/>
      </w:tblGrid>
      <w:tr w:rsidR="00EE282A" w14:paraId="7477D6B4" w14:textId="77777777" w:rsidTr="00EE282A">
        <w:trPr>
          <w:cantSplit/>
          <w:jc w:val="right"/>
        </w:trPr>
        <w:tc>
          <w:tcPr>
            <w:tcW w:w="184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99A8C7" w14:textId="77777777" w:rsidR="00EE282A" w:rsidRDefault="00EE282A" w:rsidP="00206DBB">
            <w:pPr>
              <w:pStyle w:val="TableText"/>
              <w:spacing w:line="276" w:lineRule="auto"/>
              <w:rPr>
                <w:rFonts w:eastAsia="Times New Roman"/>
                <w:b/>
                <w:szCs w:val="18"/>
                <w:lang w:eastAsia="en-US"/>
              </w:rPr>
            </w:pPr>
            <w:r>
              <w:rPr>
                <w:rFonts w:eastAsia="Times New Roman"/>
                <w:b/>
                <w:szCs w:val="18"/>
                <w:lang w:eastAsia="en-US"/>
              </w:rPr>
              <w:t>Ethnicity</w:t>
            </w:r>
          </w:p>
        </w:tc>
        <w:tc>
          <w:tcPr>
            <w:tcW w:w="7517" w:type="dxa"/>
            <w:gridSpan w:val="5"/>
            <w:tcBorders>
              <w:top w:val="single" w:sz="4" w:space="0" w:color="auto"/>
              <w:left w:val="nil"/>
              <w:bottom w:val="single" w:sz="4" w:space="0" w:color="auto"/>
              <w:right w:val="single" w:sz="4" w:space="0" w:color="auto"/>
            </w:tcBorders>
            <w:shd w:val="clear" w:color="auto" w:fill="D9D9D9" w:themeFill="background1" w:themeFillShade="D9"/>
            <w:hideMark/>
          </w:tcPr>
          <w:p w14:paraId="13EC8A06" w14:textId="77777777" w:rsidR="00EE282A" w:rsidRDefault="00EE282A" w:rsidP="00206DBB">
            <w:pPr>
              <w:pStyle w:val="TableText"/>
              <w:spacing w:line="276" w:lineRule="auto"/>
              <w:jc w:val="center"/>
              <w:rPr>
                <w:rFonts w:eastAsia="Times New Roman"/>
                <w:b/>
                <w:szCs w:val="18"/>
                <w:lang w:eastAsia="en-US"/>
              </w:rPr>
            </w:pPr>
            <w:r>
              <w:rPr>
                <w:rFonts w:eastAsia="Times New Roman"/>
                <w:b/>
                <w:szCs w:val="18"/>
                <w:lang w:eastAsia="en-US"/>
              </w:rPr>
              <w:t>Number of screens by quarter</w:t>
            </w:r>
          </w:p>
        </w:tc>
      </w:tr>
      <w:tr w:rsidR="00BA275B" w14:paraId="3EC526D1" w14:textId="77777777" w:rsidTr="0059740C">
        <w:trPr>
          <w:cantSplit/>
          <w:jc w:val="right"/>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34749F04" w14:textId="77777777" w:rsidR="00BA275B" w:rsidRDefault="00BA275B" w:rsidP="00BA275B">
            <w:pPr>
              <w:rPr>
                <w:rFonts w:ascii="Arial" w:eastAsia="Times New Roman" w:hAnsi="Arial"/>
                <w:b/>
                <w:sz w:val="18"/>
                <w:szCs w:val="18"/>
                <w:lang w:eastAsia="en-US"/>
              </w:rPr>
            </w:pPr>
          </w:p>
        </w:tc>
        <w:tc>
          <w:tcPr>
            <w:tcW w:w="1502" w:type="dxa"/>
            <w:tcBorders>
              <w:top w:val="single" w:sz="8" w:space="0" w:color="auto"/>
              <w:left w:val="nil"/>
              <w:bottom w:val="single" w:sz="8" w:space="0" w:color="auto"/>
              <w:right w:val="single" w:sz="8" w:space="0" w:color="auto"/>
            </w:tcBorders>
            <w:shd w:val="clear" w:color="000000" w:fill="D9D9D9"/>
            <w:vAlign w:val="center"/>
          </w:tcPr>
          <w:p w14:paraId="79053E62" w14:textId="77777777" w:rsidR="00BA275B" w:rsidRDefault="00BA275B" w:rsidP="00BA275B">
            <w:pPr>
              <w:jc w:val="right"/>
              <w:rPr>
                <w:rFonts w:ascii="Arial" w:eastAsia="Times New Roman" w:hAnsi="Arial" w:cs="Arial"/>
                <w:b/>
                <w:bCs/>
                <w:color w:val="000000"/>
                <w:sz w:val="18"/>
                <w:szCs w:val="18"/>
              </w:rPr>
            </w:pPr>
            <w:r>
              <w:rPr>
                <w:rFonts w:ascii="Arial" w:hAnsi="Arial" w:cs="Arial"/>
                <w:b/>
                <w:bCs/>
                <w:color w:val="000000"/>
                <w:sz w:val="18"/>
                <w:szCs w:val="18"/>
              </w:rPr>
              <w:t>Q4 (Oct- Dec) 2017</w:t>
            </w:r>
          </w:p>
        </w:tc>
        <w:tc>
          <w:tcPr>
            <w:tcW w:w="1504" w:type="dxa"/>
            <w:tcBorders>
              <w:top w:val="single" w:sz="8" w:space="0" w:color="auto"/>
              <w:left w:val="nil"/>
              <w:bottom w:val="single" w:sz="8" w:space="0" w:color="auto"/>
              <w:right w:val="single" w:sz="8" w:space="0" w:color="auto"/>
            </w:tcBorders>
            <w:shd w:val="clear" w:color="000000" w:fill="D9D9D9"/>
            <w:vAlign w:val="center"/>
          </w:tcPr>
          <w:p w14:paraId="59371EF3" w14:textId="77777777" w:rsidR="00BA275B" w:rsidRDefault="00BA275B" w:rsidP="00BA275B">
            <w:pPr>
              <w:jc w:val="right"/>
              <w:rPr>
                <w:rFonts w:ascii="Arial" w:hAnsi="Arial" w:cs="Arial"/>
                <w:b/>
                <w:bCs/>
                <w:color w:val="000000"/>
                <w:sz w:val="18"/>
                <w:szCs w:val="18"/>
              </w:rPr>
            </w:pPr>
            <w:r>
              <w:rPr>
                <w:rFonts w:ascii="Arial" w:hAnsi="Arial" w:cs="Arial"/>
                <w:b/>
                <w:bCs/>
                <w:color w:val="000000"/>
                <w:sz w:val="18"/>
                <w:szCs w:val="18"/>
              </w:rPr>
              <w:t>Q1 (Jan - Mar) 2018</w:t>
            </w:r>
          </w:p>
        </w:tc>
        <w:tc>
          <w:tcPr>
            <w:tcW w:w="1503" w:type="dxa"/>
            <w:tcBorders>
              <w:top w:val="single" w:sz="8" w:space="0" w:color="auto"/>
              <w:left w:val="nil"/>
              <w:bottom w:val="single" w:sz="8" w:space="0" w:color="auto"/>
              <w:right w:val="single" w:sz="8" w:space="0" w:color="auto"/>
            </w:tcBorders>
            <w:shd w:val="clear" w:color="000000" w:fill="D9D9D9"/>
            <w:vAlign w:val="center"/>
          </w:tcPr>
          <w:p w14:paraId="32AB391A" w14:textId="77777777" w:rsidR="00BA275B" w:rsidRDefault="00BA275B" w:rsidP="00BA275B">
            <w:pPr>
              <w:jc w:val="right"/>
              <w:rPr>
                <w:rFonts w:ascii="Arial" w:hAnsi="Arial" w:cs="Arial"/>
                <w:b/>
                <w:bCs/>
                <w:color w:val="000000"/>
                <w:sz w:val="18"/>
                <w:szCs w:val="18"/>
              </w:rPr>
            </w:pPr>
            <w:r>
              <w:rPr>
                <w:rFonts w:ascii="Arial" w:hAnsi="Arial" w:cs="Arial"/>
                <w:b/>
                <w:bCs/>
                <w:color w:val="000000"/>
                <w:sz w:val="18"/>
                <w:szCs w:val="18"/>
              </w:rPr>
              <w:t>Q2 (Apr - Jun) 2018</w:t>
            </w:r>
          </w:p>
        </w:tc>
        <w:tc>
          <w:tcPr>
            <w:tcW w:w="1504" w:type="dxa"/>
            <w:tcBorders>
              <w:top w:val="single" w:sz="8" w:space="0" w:color="auto"/>
              <w:left w:val="nil"/>
              <w:bottom w:val="single" w:sz="8" w:space="0" w:color="auto"/>
              <w:right w:val="single" w:sz="8" w:space="0" w:color="auto"/>
            </w:tcBorders>
            <w:shd w:val="clear" w:color="000000" w:fill="D9D9D9"/>
            <w:vAlign w:val="center"/>
          </w:tcPr>
          <w:p w14:paraId="6DBA78B4" w14:textId="77777777" w:rsidR="00BA275B" w:rsidRDefault="00BA275B" w:rsidP="00BA275B">
            <w:pPr>
              <w:jc w:val="right"/>
              <w:rPr>
                <w:rFonts w:ascii="Arial" w:hAnsi="Arial" w:cs="Arial"/>
                <w:b/>
                <w:bCs/>
                <w:color w:val="000000"/>
                <w:sz w:val="18"/>
                <w:szCs w:val="18"/>
              </w:rPr>
            </w:pPr>
            <w:r>
              <w:rPr>
                <w:rFonts w:ascii="Arial" w:hAnsi="Arial" w:cs="Arial"/>
                <w:b/>
                <w:bCs/>
                <w:color w:val="000000"/>
                <w:sz w:val="18"/>
                <w:szCs w:val="18"/>
              </w:rPr>
              <w:t>Q3 (Jul - Sep) 2018</w:t>
            </w:r>
          </w:p>
        </w:tc>
        <w:tc>
          <w:tcPr>
            <w:tcW w:w="1504" w:type="dxa"/>
            <w:tcBorders>
              <w:top w:val="nil"/>
              <w:left w:val="nil"/>
              <w:bottom w:val="nil"/>
              <w:right w:val="single" w:sz="8" w:space="0" w:color="auto"/>
            </w:tcBorders>
            <w:shd w:val="clear" w:color="000000" w:fill="D9D9D9"/>
            <w:vAlign w:val="center"/>
          </w:tcPr>
          <w:p w14:paraId="25B57E90" w14:textId="77777777" w:rsidR="00BA275B" w:rsidRDefault="00BA275B" w:rsidP="00BA275B">
            <w:pPr>
              <w:jc w:val="right"/>
              <w:rPr>
                <w:rFonts w:ascii="Arial" w:hAnsi="Arial" w:cs="Arial"/>
                <w:b/>
                <w:bCs/>
                <w:color w:val="000000"/>
                <w:sz w:val="18"/>
                <w:szCs w:val="18"/>
              </w:rPr>
            </w:pPr>
            <w:r>
              <w:rPr>
                <w:rFonts w:ascii="Arial" w:hAnsi="Arial" w:cs="Arial"/>
                <w:b/>
                <w:bCs/>
                <w:color w:val="000000"/>
                <w:sz w:val="18"/>
                <w:szCs w:val="18"/>
              </w:rPr>
              <w:t>Q4 (Oct - Dec) 2018</w:t>
            </w:r>
          </w:p>
        </w:tc>
      </w:tr>
      <w:tr w:rsidR="00BA275B" w14:paraId="7CCF414A" w14:textId="77777777" w:rsidTr="0059740C">
        <w:trPr>
          <w:cantSplit/>
          <w:jc w:val="right"/>
        </w:trPr>
        <w:tc>
          <w:tcPr>
            <w:tcW w:w="1843" w:type="dxa"/>
            <w:tcBorders>
              <w:top w:val="single" w:sz="4" w:space="0" w:color="auto"/>
              <w:left w:val="single" w:sz="4" w:space="0" w:color="auto"/>
              <w:bottom w:val="single" w:sz="4" w:space="0" w:color="BFBFBF" w:themeColor="background1" w:themeShade="BF"/>
              <w:right w:val="single" w:sz="4" w:space="0" w:color="auto"/>
            </w:tcBorders>
            <w:hideMark/>
          </w:tcPr>
          <w:p w14:paraId="2C6EE4DD" w14:textId="77777777" w:rsidR="00BA275B" w:rsidRDefault="00BA275B" w:rsidP="00BA275B">
            <w:pPr>
              <w:pStyle w:val="TableText"/>
              <w:spacing w:line="276" w:lineRule="auto"/>
              <w:rPr>
                <w:rFonts w:eastAsia="Times New Roman"/>
                <w:lang w:eastAsia="en-US"/>
              </w:rPr>
            </w:pPr>
            <w:r>
              <w:rPr>
                <w:rFonts w:eastAsia="Times New Roman"/>
                <w:lang w:eastAsia="en-US"/>
              </w:rPr>
              <w:t>Māori</w:t>
            </w:r>
          </w:p>
        </w:tc>
        <w:tc>
          <w:tcPr>
            <w:tcW w:w="1502" w:type="dxa"/>
            <w:tcBorders>
              <w:top w:val="nil"/>
              <w:left w:val="single" w:sz="4" w:space="0" w:color="auto"/>
              <w:bottom w:val="single" w:sz="4" w:space="0" w:color="D9D9D9"/>
              <w:right w:val="single" w:sz="4" w:space="0" w:color="auto"/>
            </w:tcBorders>
            <w:shd w:val="clear" w:color="auto" w:fill="auto"/>
            <w:noWrap/>
            <w:vAlign w:val="center"/>
          </w:tcPr>
          <w:p w14:paraId="354EA9F5" w14:textId="77777777" w:rsidR="00BA275B" w:rsidRDefault="00BA275B" w:rsidP="00BA275B">
            <w:pPr>
              <w:jc w:val="right"/>
              <w:rPr>
                <w:rFonts w:ascii="Arial" w:hAnsi="Arial" w:cs="Arial"/>
                <w:sz w:val="18"/>
                <w:szCs w:val="18"/>
              </w:rPr>
            </w:pPr>
            <w:r>
              <w:rPr>
                <w:rFonts w:ascii="Arial" w:hAnsi="Arial" w:cs="Arial"/>
                <w:sz w:val="18"/>
                <w:szCs w:val="18"/>
              </w:rPr>
              <w:t>183</w:t>
            </w:r>
          </w:p>
        </w:tc>
        <w:tc>
          <w:tcPr>
            <w:tcW w:w="1504" w:type="dxa"/>
            <w:tcBorders>
              <w:top w:val="nil"/>
              <w:left w:val="nil"/>
              <w:bottom w:val="single" w:sz="4" w:space="0" w:color="D9D9D9"/>
              <w:right w:val="single" w:sz="8" w:space="0" w:color="auto"/>
            </w:tcBorders>
            <w:shd w:val="clear" w:color="auto" w:fill="auto"/>
            <w:noWrap/>
            <w:vAlign w:val="center"/>
          </w:tcPr>
          <w:p w14:paraId="25DAF445" w14:textId="77777777" w:rsidR="00BA275B" w:rsidRDefault="00BA275B" w:rsidP="00BA275B">
            <w:pPr>
              <w:jc w:val="right"/>
              <w:rPr>
                <w:rFonts w:ascii="Arial" w:hAnsi="Arial" w:cs="Arial"/>
                <w:sz w:val="18"/>
                <w:szCs w:val="18"/>
              </w:rPr>
            </w:pPr>
            <w:r>
              <w:rPr>
                <w:rFonts w:ascii="Arial" w:hAnsi="Arial" w:cs="Arial"/>
                <w:sz w:val="18"/>
                <w:szCs w:val="18"/>
              </w:rPr>
              <w:t>244</w:t>
            </w:r>
          </w:p>
        </w:tc>
        <w:tc>
          <w:tcPr>
            <w:tcW w:w="1503" w:type="dxa"/>
            <w:tcBorders>
              <w:top w:val="nil"/>
              <w:left w:val="single" w:sz="4" w:space="0" w:color="auto"/>
              <w:bottom w:val="single" w:sz="4" w:space="0" w:color="D9D9D9"/>
              <w:right w:val="single" w:sz="8" w:space="0" w:color="auto"/>
            </w:tcBorders>
            <w:shd w:val="clear" w:color="auto" w:fill="auto"/>
            <w:noWrap/>
            <w:vAlign w:val="center"/>
          </w:tcPr>
          <w:p w14:paraId="5BD9D3DB" w14:textId="77777777" w:rsidR="00BA275B" w:rsidRDefault="00BA275B" w:rsidP="00BA275B">
            <w:pPr>
              <w:jc w:val="right"/>
              <w:rPr>
                <w:rFonts w:ascii="Arial" w:hAnsi="Arial" w:cs="Arial"/>
                <w:sz w:val="18"/>
                <w:szCs w:val="18"/>
              </w:rPr>
            </w:pPr>
            <w:r>
              <w:rPr>
                <w:rFonts w:ascii="Arial" w:hAnsi="Arial" w:cs="Arial"/>
                <w:sz w:val="18"/>
                <w:szCs w:val="18"/>
              </w:rPr>
              <w:t>244</w:t>
            </w:r>
          </w:p>
        </w:tc>
        <w:tc>
          <w:tcPr>
            <w:tcW w:w="1504" w:type="dxa"/>
            <w:tcBorders>
              <w:top w:val="nil"/>
              <w:left w:val="single" w:sz="4" w:space="0" w:color="auto"/>
              <w:bottom w:val="single" w:sz="4" w:space="0" w:color="D9D9D9"/>
              <w:right w:val="single" w:sz="8" w:space="0" w:color="auto"/>
            </w:tcBorders>
            <w:shd w:val="clear" w:color="auto" w:fill="auto"/>
            <w:noWrap/>
            <w:vAlign w:val="center"/>
          </w:tcPr>
          <w:p w14:paraId="4EA15BC3" w14:textId="77777777" w:rsidR="00BA275B" w:rsidRDefault="00BA275B" w:rsidP="00BA275B">
            <w:pPr>
              <w:jc w:val="right"/>
              <w:rPr>
                <w:rFonts w:ascii="Arial" w:hAnsi="Arial" w:cs="Arial"/>
                <w:sz w:val="18"/>
                <w:szCs w:val="18"/>
              </w:rPr>
            </w:pPr>
            <w:r>
              <w:rPr>
                <w:rFonts w:ascii="Arial" w:hAnsi="Arial" w:cs="Arial"/>
                <w:sz w:val="18"/>
                <w:szCs w:val="18"/>
              </w:rPr>
              <w:t>279</w:t>
            </w:r>
          </w:p>
        </w:tc>
        <w:tc>
          <w:tcPr>
            <w:tcW w:w="1504" w:type="dxa"/>
            <w:tcBorders>
              <w:top w:val="single" w:sz="8" w:space="0" w:color="auto"/>
              <w:left w:val="single" w:sz="4" w:space="0" w:color="auto"/>
              <w:bottom w:val="single" w:sz="4" w:space="0" w:color="D9D9D9"/>
              <w:right w:val="single" w:sz="8" w:space="0" w:color="auto"/>
            </w:tcBorders>
            <w:shd w:val="clear" w:color="auto" w:fill="auto"/>
            <w:vAlign w:val="center"/>
          </w:tcPr>
          <w:p w14:paraId="1F4A3490" w14:textId="77777777" w:rsidR="00BA275B" w:rsidRDefault="00BA275B" w:rsidP="00BA275B">
            <w:pPr>
              <w:jc w:val="right"/>
              <w:rPr>
                <w:rFonts w:ascii="Arial" w:hAnsi="Arial" w:cs="Arial"/>
                <w:sz w:val="18"/>
                <w:szCs w:val="18"/>
              </w:rPr>
            </w:pPr>
            <w:r>
              <w:rPr>
                <w:rFonts w:ascii="Arial" w:hAnsi="Arial" w:cs="Arial"/>
                <w:sz w:val="18"/>
                <w:szCs w:val="18"/>
              </w:rPr>
              <w:t>292</w:t>
            </w:r>
          </w:p>
        </w:tc>
      </w:tr>
      <w:tr w:rsidR="00BA275B" w14:paraId="336B3AD0" w14:textId="77777777" w:rsidTr="0059740C">
        <w:trPr>
          <w:cantSplit/>
          <w:jc w:val="right"/>
        </w:trPr>
        <w:tc>
          <w:tcPr>
            <w:tcW w:w="1843" w:type="dxa"/>
            <w:tcBorders>
              <w:top w:val="single" w:sz="4" w:space="0" w:color="BFBFBF" w:themeColor="background1" w:themeShade="BF"/>
              <w:left w:val="single" w:sz="4" w:space="0" w:color="auto"/>
              <w:bottom w:val="single" w:sz="4" w:space="0" w:color="BFBFBF" w:themeColor="background1" w:themeShade="BF"/>
              <w:right w:val="single" w:sz="4" w:space="0" w:color="auto"/>
            </w:tcBorders>
            <w:noWrap/>
            <w:hideMark/>
          </w:tcPr>
          <w:p w14:paraId="3608B0F0" w14:textId="77777777" w:rsidR="00BA275B" w:rsidRDefault="00BA275B" w:rsidP="00BA275B">
            <w:pPr>
              <w:pStyle w:val="TableText"/>
              <w:spacing w:line="276" w:lineRule="auto"/>
              <w:rPr>
                <w:rFonts w:eastAsia="Times New Roman"/>
                <w:lang w:eastAsia="en-US"/>
              </w:rPr>
            </w:pPr>
            <w:r>
              <w:rPr>
                <w:rFonts w:eastAsia="Times New Roman"/>
                <w:lang w:eastAsia="en-US"/>
              </w:rPr>
              <w:t>Pacific</w:t>
            </w:r>
          </w:p>
        </w:tc>
        <w:tc>
          <w:tcPr>
            <w:tcW w:w="1502" w:type="dxa"/>
            <w:tcBorders>
              <w:top w:val="nil"/>
              <w:left w:val="single" w:sz="4" w:space="0" w:color="auto"/>
              <w:bottom w:val="single" w:sz="4" w:space="0" w:color="D9D9D9"/>
              <w:right w:val="single" w:sz="4" w:space="0" w:color="auto"/>
            </w:tcBorders>
            <w:shd w:val="clear" w:color="auto" w:fill="auto"/>
            <w:noWrap/>
            <w:vAlign w:val="center"/>
          </w:tcPr>
          <w:p w14:paraId="0678C72D" w14:textId="77777777" w:rsidR="00BA275B" w:rsidRDefault="00BA275B" w:rsidP="00BA275B">
            <w:pPr>
              <w:jc w:val="right"/>
              <w:rPr>
                <w:rFonts w:ascii="Arial" w:hAnsi="Arial" w:cs="Arial"/>
                <w:sz w:val="18"/>
                <w:szCs w:val="18"/>
              </w:rPr>
            </w:pPr>
            <w:r>
              <w:rPr>
                <w:rFonts w:ascii="Arial" w:hAnsi="Arial" w:cs="Arial"/>
                <w:sz w:val="18"/>
                <w:szCs w:val="18"/>
              </w:rPr>
              <w:t>125</w:t>
            </w:r>
          </w:p>
        </w:tc>
        <w:tc>
          <w:tcPr>
            <w:tcW w:w="1504" w:type="dxa"/>
            <w:tcBorders>
              <w:top w:val="nil"/>
              <w:left w:val="nil"/>
              <w:bottom w:val="single" w:sz="4" w:space="0" w:color="D9D9D9"/>
              <w:right w:val="single" w:sz="8" w:space="0" w:color="auto"/>
            </w:tcBorders>
            <w:shd w:val="clear" w:color="auto" w:fill="auto"/>
            <w:noWrap/>
            <w:vAlign w:val="center"/>
          </w:tcPr>
          <w:p w14:paraId="627DB09C" w14:textId="77777777" w:rsidR="00BA275B" w:rsidRDefault="00BA275B" w:rsidP="00BA275B">
            <w:pPr>
              <w:jc w:val="right"/>
              <w:rPr>
                <w:rFonts w:ascii="Arial" w:hAnsi="Arial" w:cs="Arial"/>
                <w:sz w:val="18"/>
                <w:szCs w:val="18"/>
              </w:rPr>
            </w:pPr>
            <w:r>
              <w:rPr>
                <w:rFonts w:ascii="Arial" w:hAnsi="Arial" w:cs="Arial"/>
                <w:sz w:val="18"/>
                <w:szCs w:val="18"/>
              </w:rPr>
              <w:t>151</w:t>
            </w:r>
          </w:p>
        </w:tc>
        <w:tc>
          <w:tcPr>
            <w:tcW w:w="1503" w:type="dxa"/>
            <w:tcBorders>
              <w:top w:val="nil"/>
              <w:left w:val="single" w:sz="4" w:space="0" w:color="auto"/>
              <w:bottom w:val="single" w:sz="4" w:space="0" w:color="D9D9D9"/>
              <w:right w:val="single" w:sz="8" w:space="0" w:color="auto"/>
            </w:tcBorders>
            <w:shd w:val="clear" w:color="auto" w:fill="auto"/>
            <w:noWrap/>
            <w:vAlign w:val="center"/>
          </w:tcPr>
          <w:p w14:paraId="0AED3168" w14:textId="77777777" w:rsidR="00BA275B" w:rsidRDefault="00BA275B" w:rsidP="00BA275B">
            <w:pPr>
              <w:jc w:val="right"/>
              <w:rPr>
                <w:rFonts w:ascii="Arial" w:hAnsi="Arial" w:cs="Arial"/>
                <w:sz w:val="18"/>
                <w:szCs w:val="18"/>
              </w:rPr>
            </w:pPr>
            <w:r>
              <w:rPr>
                <w:rFonts w:ascii="Arial" w:hAnsi="Arial" w:cs="Arial"/>
                <w:sz w:val="18"/>
                <w:szCs w:val="18"/>
              </w:rPr>
              <w:t>189</w:t>
            </w:r>
          </w:p>
        </w:tc>
        <w:tc>
          <w:tcPr>
            <w:tcW w:w="1504" w:type="dxa"/>
            <w:tcBorders>
              <w:top w:val="nil"/>
              <w:left w:val="single" w:sz="4" w:space="0" w:color="auto"/>
              <w:bottom w:val="single" w:sz="4" w:space="0" w:color="D9D9D9"/>
              <w:right w:val="single" w:sz="8" w:space="0" w:color="auto"/>
            </w:tcBorders>
            <w:shd w:val="clear" w:color="auto" w:fill="auto"/>
            <w:noWrap/>
            <w:vAlign w:val="center"/>
          </w:tcPr>
          <w:p w14:paraId="488D295D" w14:textId="77777777" w:rsidR="00BA275B" w:rsidRDefault="00BA275B" w:rsidP="00BA275B">
            <w:pPr>
              <w:jc w:val="right"/>
              <w:rPr>
                <w:rFonts w:ascii="Arial" w:hAnsi="Arial" w:cs="Arial"/>
                <w:sz w:val="18"/>
                <w:szCs w:val="18"/>
              </w:rPr>
            </w:pPr>
            <w:r>
              <w:rPr>
                <w:rFonts w:ascii="Arial" w:hAnsi="Arial" w:cs="Arial"/>
                <w:sz w:val="18"/>
                <w:szCs w:val="18"/>
              </w:rPr>
              <w:t>206</w:t>
            </w:r>
          </w:p>
        </w:tc>
        <w:tc>
          <w:tcPr>
            <w:tcW w:w="1504" w:type="dxa"/>
            <w:tcBorders>
              <w:top w:val="nil"/>
              <w:left w:val="single" w:sz="4" w:space="0" w:color="auto"/>
              <w:bottom w:val="single" w:sz="4" w:space="0" w:color="D9D9D9"/>
              <w:right w:val="single" w:sz="8" w:space="0" w:color="auto"/>
            </w:tcBorders>
            <w:shd w:val="clear" w:color="auto" w:fill="auto"/>
            <w:vAlign w:val="center"/>
          </w:tcPr>
          <w:p w14:paraId="6A78B2AB" w14:textId="77777777" w:rsidR="00BA275B" w:rsidRDefault="00BA275B" w:rsidP="00BA275B">
            <w:pPr>
              <w:jc w:val="right"/>
              <w:rPr>
                <w:rFonts w:ascii="Arial" w:hAnsi="Arial" w:cs="Arial"/>
                <w:sz w:val="18"/>
                <w:szCs w:val="18"/>
              </w:rPr>
            </w:pPr>
            <w:r>
              <w:rPr>
                <w:rFonts w:ascii="Arial" w:hAnsi="Arial" w:cs="Arial"/>
                <w:sz w:val="18"/>
                <w:szCs w:val="18"/>
              </w:rPr>
              <w:t>223</w:t>
            </w:r>
          </w:p>
        </w:tc>
      </w:tr>
      <w:tr w:rsidR="00BA275B" w14:paraId="70801021" w14:textId="77777777" w:rsidTr="0059740C">
        <w:trPr>
          <w:cantSplit/>
          <w:jc w:val="right"/>
        </w:trPr>
        <w:tc>
          <w:tcPr>
            <w:tcW w:w="1843" w:type="dxa"/>
            <w:tcBorders>
              <w:top w:val="single" w:sz="4" w:space="0" w:color="BFBFBF" w:themeColor="background1" w:themeShade="BF"/>
              <w:left w:val="single" w:sz="4" w:space="0" w:color="auto"/>
              <w:bottom w:val="single" w:sz="4" w:space="0" w:color="auto"/>
              <w:right w:val="single" w:sz="4" w:space="0" w:color="auto"/>
            </w:tcBorders>
            <w:noWrap/>
            <w:hideMark/>
          </w:tcPr>
          <w:p w14:paraId="33BC1E99" w14:textId="77777777" w:rsidR="00BA275B" w:rsidRDefault="00BA275B" w:rsidP="00BA275B">
            <w:pPr>
              <w:pStyle w:val="TableText"/>
              <w:spacing w:line="276" w:lineRule="auto"/>
              <w:rPr>
                <w:rFonts w:eastAsia="Times New Roman"/>
                <w:lang w:eastAsia="en-US"/>
              </w:rPr>
            </w:pPr>
            <w:r>
              <w:rPr>
                <w:rFonts w:eastAsia="Times New Roman"/>
                <w:lang w:eastAsia="en-US"/>
              </w:rPr>
              <w:t>Other</w:t>
            </w:r>
          </w:p>
        </w:tc>
        <w:tc>
          <w:tcPr>
            <w:tcW w:w="1502" w:type="dxa"/>
            <w:tcBorders>
              <w:top w:val="nil"/>
              <w:left w:val="single" w:sz="4" w:space="0" w:color="auto"/>
              <w:bottom w:val="nil"/>
              <w:right w:val="single" w:sz="4" w:space="0" w:color="auto"/>
            </w:tcBorders>
            <w:shd w:val="clear" w:color="auto" w:fill="auto"/>
            <w:noWrap/>
            <w:vAlign w:val="center"/>
          </w:tcPr>
          <w:p w14:paraId="52EE8FAC" w14:textId="77777777" w:rsidR="00BA275B" w:rsidRDefault="00BA275B" w:rsidP="00BA275B">
            <w:pPr>
              <w:jc w:val="right"/>
              <w:rPr>
                <w:rFonts w:ascii="Arial" w:hAnsi="Arial" w:cs="Arial"/>
                <w:sz w:val="18"/>
                <w:szCs w:val="18"/>
              </w:rPr>
            </w:pPr>
            <w:r>
              <w:rPr>
                <w:rFonts w:ascii="Arial" w:hAnsi="Arial" w:cs="Arial"/>
                <w:sz w:val="18"/>
                <w:szCs w:val="18"/>
              </w:rPr>
              <w:t>2,250</w:t>
            </w:r>
          </w:p>
        </w:tc>
        <w:tc>
          <w:tcPr>
            <w:tcW w:w="1504" w:type="dxa"/>
            <w:tcBorders>
              <w:top w:val="nil"/>
              <w:left w:val="nil"/>
              <w:bottom w:val="nil"/>
              <w:right w:val="single" w:sz="8" w:space="0" w:color="auto"/>
            </w:tcBorders>
            <w:shd w:val="clear" w:color="auto" w:fill="auto"/>
            <w:noWrap/>
            <w:vAlign w:val="center"/>
          </w:tcPr>
          <w:p w14:paraId="250AAD40" w14:textId="77777777" w:rsidR="00BA275B" w:rsidRDefault="00BA275B" w:rsidP="00BA275B">
            <w:pPr>
              <w:jc w:val="right"/>
              <w:rPr>
                <w:rFonts w:ascii="Arial" w:hAnsi="Arial" w:cs="Arial"/>
                <w:sz w:val="18"/>
                <w:szCs w:val="18"/>
              </w:rPr>
            </w:pPr>
            <w:r>
              <w:rPr>
                <w:rFonts w:ascii="Arial" w:hAnsi="Arial" w:cs="Arial"/>
                <w:sz w:val="18"/>
                <w:szCs w:val="18"/>
              </w:rPr>
              <w:t>1,844</w:t>
            </w:r>
          </w:p>
        </w:tc>
        <w:tc>
          <w:tcPr>
            <w:tcW w:w="1503" w:type="dxa"/>
            <w:tcBorders>
              <w:top w:val="nil"/>
              <w:left w:val="single" w:sz="4" w:space="0" w:color="auto"/>
              <w:bottom w:val="nil"/>
              <w:right w:val="single" w:sz="8" w:space="0" w:color="auto"/>
            </w:tcBorders>
            <w:shd w:val="clear" w:color="auto" w:fill="auto"/>
            <w:noWrap/>
            <w:vAlign w:val="center"/>
          </w:tcPr>
          <w:p w14:paraId="25A53C14" w14:textId="77777777" w:rsidR="00BA275B" w:rsidRDefault="00BA275B" w:rsidP="00BA275B">
            <w:pPr>
              <w:jc w:val="right"/>
              <w:rPr>
                <w:rFonts w:ascii="Arial" w:hAnsi="Arial" w:cs="Arial"/>
                <w:sz w:val="18"/>
                <w:szCs w:val="18"/>
              </w:rPr>
            </w:pPr>
            <w:r>
              <w:rPr>
                <w:rFonts w:ascii="Arial" w:hAnsi="Arial" w:cs="Arial"/>
                <w:sz w:val="18"/>
                <w:szCs w:val="18"/>
              </w:rPr>
              <w:t>2,436</w:t>
            </w:r>
          </w:p>
        </w:tc>
        <w:tc>
          <w:tcPr>
            <w:tcW w:w="1504" w:type="dxa"/>
            <w:tcBorders>
              <w:top w:val="nil"/>
              <w:left w:val="single" w:sz="4" w:space="0" w:color="auto"/>
              <w:bottom w:val="nil"/>
              <w:right w:val="single" w:sz="8" w:space="0" w:color="auto"/>
            </w:tcBorders>
            <w:shd w:val="clear" w:color="auto" w:fill="auto"/>
            <w:noWrap/>
            <w:vAlign w:val="center"/>
          </w:tcPr>
          <w:p w14:paraId="4EFE9E36" w14:textId="77777777" w:rsidR="00BA275B" w:rsidRDefault="00BA275B" w:rsidP="00BA275B">
            <w:pPr>
              <w:jc w:val="right"/>
              <w:rPr>
                <w:rFonts w:ascii="Arial" w:hAnsi="Arial" w:cs="Arial"/>
                <w:sz w:val="18"/>
                <w:szCs w:val="18"/>
              </w:rPr>
            </w:pPr>
            <w:r>
              <w:rPr>
                <w:rFonts w:ascii="Arial" w:hAnsi="Arial" w:cs="Arial"/>
                <w:sz w:val="18"/>
                <w:szCs w:val="18"/>
              </w:rPr>
              <w:t>3,846</w:t>
            </w:r>
          </w:p>
        </w:tc>
        <w:tc>
          <w:tcPr>
            <w:tcW w:w="1504" w:type="dxa"/>
            <w:tcBorders>
              <w:top w:val="nil"/>
              <w:left w:val="single" w:sz="4" w:space="0" w:color="auto"/>
              <w:bottom w:val="nil"/>
              <w:right w:val="single" w:sz="8" w:space="0" w:color="auto"/>
            </w:tcBorders>
            <w:shd w:val="clear" w:color="auto" w:fill="auto"/>
            <w:vAlign w:val="center"/>
          </w:tcPr>
          <w:p w14:paraId="19085A62" w14:textId="77777777" w:rsidR="00BA275B" w:rsidRDefault="00BA275B" w:rsidP="00BA275B">
            <w:pPr>
              <w:jc w:val="right"/>
              <w:rPr>
                <w:rFonts w:ascii="Arial" w:hAnsi="Arial" w:cs="Arial"/>
                <w:sz w:val="18"/>
                <w:szCs w:val="18"/>
              </w:rPr>
            </w:pPr>
            <w:r>
              <w:rPr>
                <w:rFonts w:ascii="Arial" w:hAnsi="Arial" w:cs="Arial"/>
                <w:sz w:val="18"/>
                <w:szCs w:val="18"/>
              </w:rPr>
              <w:t>3,681</w:t>
            </w:r>
          </w:p>
        </w:tc>
      </w:tr>
      <w:tr w:rsidR="00BA275B" w14:paraId="0589567F" w14:textId="77777777" w:rsidTr="0059740C">
        <w:trPr>
          <w:cantSplit/>
          <w:jc w:val="right"/>
        </w:trPr>
        <w:tc>
          <w:tcPr>
            <w:tcW w:w="1843" w:type="dxa"/>
            <w:tcBorders>
              <w:top w:val="single" w:sz="4" w:space="0" w:color="auto"/>
              <w:left w:val="single" w:sz="4" w:space="0" w:color="auto"/>
              <w:bottom w:val="single" w:sz="4" w:space="0" w:color="auto"/>
              <w:right w:val="single" w:sz="4" w:space="0" w:color="auto"/>
            </w:tcBorders>
            <w:noWrap/>
            <w:hideMark/>
          </w:tcPr>
          <w:p w14:paraId="7BF7BA78" w14:textId="77777777" w:rsidR="00BA275B" w:rsidRDefault="00BA275B" w:rsidP="00BA275B">
            <w:pPr>
              <w:pStyle w:val="TableText"/>
              <w:spacing w:line="276" w:lineRule="auto"/>
              <w:rPr>
                <w:rFonts w:eastAsia="Times New Roman"/>
                <w:b/>
                <w:szCs w:val="18"/>
                <w:lang w:eastAsia="en-US"/>
              </w:rPr>
            </w:pPr>
            <w:r>
              <w:rPr>
                <w:rFonts w:eastAsia="Times New Roman"/>
                <w:b/>
                <w:szCs w:val="18"/>
                <w:lang w:eastAsia="en-US"/>
              </w:rPr>
              <w:t>Total</w:t>
            </w:r>
          </w:p>
        </w:tc>
        <w:tc>
          <w:tcPr>
            <w:tcW w:w="1502" w:type="dxa"/>
            <w:tcBorders>
              <w:top w:val="single" w:sz="4" w:space="0" w:color="auto"/>
              <w:left w:val="single" w:sz="4" w:space="0" w:color="auto"/>
              <w:bottom w:val="single" w:sz="8" w:space="0" w:color="auto"/>
              <w:right w:val="single" w:sz="4" w:space="0" w:color="auto"/>
            </w:tcBorders>
            <w:shd w:val="clear" w:color="auto" w:fill="auto"/>
            <w:noWrap/>
            <w:vAlign w:val="center"/>
          </w:tcPr>
          <w:p w14:paraId="69B990CA" w14:textId="77777777" w:rsidR="00BA275B" w:rsidRDefault="00BA275B" w:rsidP="00BA275B">
            <w:pPr>
              <w:jc w:val="right"/>
              <w:rPr>
                <w:rFonts w:ascii="Arial" w:hAnsi="Arial" w:cs="Arial"/>
                <w:b/>
                <w:bCs/>
                <w:sz w:val="18"/>
                <w:szCs w:val="18"/>
              </w:rPr>
            </w:pPr>
            <w:r>
              <w:rPr>
                <w:rFonts w:ascii="Arial" w:hAnsi="Arial" w:cs="Arial"/>
                <w:b/>
                <w:bCs/>
                <w:sz w:val="18"/>
                <w:szCs w:val="18"/>
              </w:rPr>
              <w:t>2,558</w:t>
            </w:r>
          </w:p>
        </w:tc>
        <w:tc>
          <w:tcPr>
            <w:tcW w:w="1504" w:type="dxa"/>
            <w:tcBorders>
              <w:top w:val="single" w:sz="4" w:space="0" w:color="auto"/>
              <w:left w:val="nil"/>
              <w:bottom w:val="single" w:sz="8" w:space="0" w:color="auto"/>
              <w:right w:val="single" w:sz="8" w:space="0" w:color="auto"/>
            </w:tcBorders>
            <w:shd w:val="clear" w:color="auto" w:fill="auto"/>
            <w:noWrap/>
            <w:vAlign w:val="center"/>
          </w:tcPr>
          <w:p w14:paraId="0EF497B0" w14:textId="77777777" w:rsidR="00BA275B" w:rsidRDefault="00BA275B" w:rsidP="00BA275B">
            <w:pPr>
              <w:jc w:val="right"/>
              <w:rPr>
                <w:rFonts w:ascii="Arial" w:hAnsi="Arial" w:cs="Arial"/>
                <w:b/>
                <w:bCs/>
                <w:sz w:val="18"/>
                <w:szCs w:val="18"/>
              </w:rPr>
            </w:pPr>
            <w:r>
              <w:rPr>
                <w:rFonts w:ascii="Arial" w:hAnsi="Arial" w:cs="Arial"/>
                <w:b/>
                <w:bCs/>
                <w:sz w:val="18"/>
                <w:szCs w:val="18"/>
              </w:rPr>
              <w:t>2,239</w:t>
            </w:r>
          </w:p>
        </w:tc>
        <w:tc>
          <w:tcPr>
            <w:tcW w:w="1503" w:type="dxa"/>
            <w:tcBorders>
              <w:top w:val="single" w:sz="4" w:space="0" w:color="auto"/>
              <w:left w:val="single" w:sz="4" w:space="0" w:color="auto"/>
              <w:bottom w:val="single" w:sz="8" w:space="0" w:color="auto"/>
              <w:right w:val="single" w:sz="8" w:space="0" w:color="auto"/>
            </w:tcBorders>
            <w:shd w:val="clear" w:color="auto" w:fill="auto"/>
            <w:noWrap/>
            <w:vAlign w:val="center"/>
          </w:tcPr>
          <w:p w14:paraId="586BE98B" w14:textId="77777777" w:rsidR="00BA275B" w:rsidRDefault="00BA275B" w:rsidP="00BA275B">
            <w:pPr>
              <w:jc w:val="right"/>
              <w:rPr>
                <w:rFonts w:ascii="Arial" w:hAnsi="Arial" w:cs="Arial"/>
                <w:b/>
                <w:bCs/>
                <w:sz w:val="18"/>
                <w:szCs w:val="18"/>
              </w:rPr>
            </w:pPr>
            <w:r>
              <w:rPr>
                <w:rFonts w:ascii="Arial" w:hAnsi="Arial" w:cs="Arial"/>
                <w:b/>
                <w:bCs/>
                <w:sz w:val="18"/>
                <w:szCs w:val="18"/>
              </w:rPr>
              <w:t>2,869</w:t>
            </w:r>
          </w:p>
        </w:tc>
        <w:tc>
          <w:tcPr>
            <w:tcW w:w="1504" w:type="dxa"/>
            <w:tcBorders>
              <w:top w:val="single" w:sz="4" w:space="0" w:color="auto"/>
              <w:left w:val="single" w:sz="4" w:space="0" w:color="auto"/>
              <w:bottom w:val="single" w:sz="8" w:space="0" w:color="auto"/>
              <w:right w:val="single" w:sz="8" w:space="0" w:color="auto"/>
            </w:tcBorders>
            <w:shd w:val="clear" w:color="auto" w:fill="auto"/>
            <w:noWrap/>
            <w:vAlign w:val="center"/>
          </w:tcPr>
          <w:p w14:paraId="3EEB5296" w14:textId="77777777" w:rsidR="00BA275B" w:rsidRDefault="00BA275B" w:rsidP="00BA275B">
            <w:pPr>
              <w:jc w:val="right"/>
              <w:rPr>
                <w:rFonts w:ascii="Arial" w:hAnsi="Arial" w:cs="Arial"/>
                <w:b/>
                <w:bCs/>
                <w:sz w:val="18"/>
                <w:szCs w:val="18"/>
              </w:rPr>
            </w:pPr>
            <w:r>
              <w:rPr>
                <w:rFonts w:ascii="Arial" w:hAnsi="Arial" w:cs="Arial"/>
                <w:b/>
                <w:bCs/>
                <w:sz w:val="18"/>
                <w:szCs w:val="18"/>
              </w:rPr>
              <w:t>4,331</w:t>
            </w:r>
          </w:p>
        </w:tc>
        <w:tc>
          <w:tcPr>
            <w:tcW w:w="1504" w:type="dxa"/>
            <w:tcBorders>
              <w:top w:val="single" w:sz="4" w:space="0" w:color="auto"/>
              <w:left w:val="single" w:sz="4" w:space="0" w:color="auto"/>
              <w:bottom w:val="single" w:sz="8" w:space="0" w:color="auto"/>
              <w:right w:val="single" w:sz="8" w:space="0" w:color="auto"/>
            </w:tcBorders>
            <w:shd w:val="clear" w:color="auto" w:fill="auto"/>
            <w:vAlign w:val="center"/>
          </w:tcPr>
          <w:p w14:paraId="64CC1D35" w14:textId="77777777" w:rsidR="00BA275B" w:rsidRDefault="00BA275B" w:rsidP="00BA275B">
            <w:pPr>
              <w:jc w:val="right"/>
              <w:rPr>
                <w:rFonts w:ascii="Arial" w:hAnsi="Arial" w:cs="Arial"/>
                <w:b/>
                <w:bCs/>
                <w:sz w:val="18"/>
                <w:szCs w:val="18"/>
              </w:rPr>
            </w:pPr>
            <w:r>
              <w:rPr>
                <w:rFonts w:ascii="Arial" w:hAnsi="Arial" w:cs="Arial"/>
                <w:b/>
                <w:bCs/>
                <w:sz w:val="18"/>
                <w:szCs w:val="18"/>
              </w:rPr>
              <w:t>4,196</w:t>
            </w:r>
          </w:p>
        </w:tc>
      </w:tr>
    </w:tbl>
    <w:p w14:paraId="00C7EA42" w14:textId="77777777" w:rsidR="00EE282A" w:rsidRPr="00EE282A" w:rsidRDefault="00EE282A" w:rsidP="00EE282A"/>
    <w:p w14:paraId="10728839" w14:textId="77777777" w:rsidR="004F6AC5" w:rsidRDefault="004F6AC5">
      <w:pPr>
        <w:spacing w:after="200"/>
        <w:rPr>
          <w:b/>
          <w:sz w:val="22"/>
        </w:rPr>
      </w:pPr>
      <w:bookmarkStart w:id="23" w:name="_Toc495656587"/>
      <w:r>
        <w:br w:type="page"/>
      </w:r>
    </w:p>
    <w:p w14:paraId="14E0A690" w14:textId="77777777" w:rsidR="004F6AC5" w:rsidRPr="00B24ED3" w:rsidRDefault="004F6AC5" w:rsidP="004F6AC5">
      <w:pPr>
        <w:pStyle w:val="Heading2"/>
      </w:pPr>
      <w:bookmarkStart w:id="24" w:name="_Toc519847444"/>
      <w:bookmarkStart w:id="25" w:name="_Toc536020144"/>
      <w:bookmarkEnd w:id="23"/>
      <w:r w:rsidRPr="00B24ED3">
        <w:lastRenderedPageBreak/>
        <w:t>Number of Initial Rescreens by Ethnicity</w:t>
      </w:r>
      <w:bookmarkEnd w:id="24"/>
      <w:bookmarkEnd w:id="25"/>
    </w:p>
    <w:p w14:paraId="0962959B" w14:textId="77777777" w:rsidR="004F6AC5" w:rsidRDefault="004F6AC5" w:rsidP="004F6AC5">
      <w:pPr>
        <w:pStyle w:val="Table"/>
      </w:pPr>
      <w:bookmarkStart w:id="26" w:name="_Toc495656664"/>
      <w:bookmarkStart w:id="27" w:name="_Toc519676502"/>
      <w:bookmarkStart w:id="28" w:name="_Toc519847428"/>
      <w:bookmarkStart w:id="29" w:name="_Toc536020150"/>
      <w:r>
        <w:t xml:space="preserve">Table </w:t>
      </w:r>
      <w:r w:rsidR="00BA275B">
        <w:rPr>
          <w:noProof/>
        </w:rPr>
        <w:t>3</w:t>
      </w:r>
      <w:r w:rsidRPr="00B24ED3">
        <w:t>: BSA number of eligible screens and initial rescreens for women aged 50–67 years by ethnicity</w:t>
      </w:r>
      <w:r w:rsidR="00C570D2">
        <w:t xml:space="preserve"> for the rescreen period 1 </w:t>
      </w:r>
      <w:r w:rsidR="00BC1277">
        <w:t>October</w:t>
      </w:r>
      <w:r w:rsidRPr="00B24ED3">
        <w:t xml:space="preserve"> 2016 to 3</w:t>
      </w:r>
      <w:r w:rsidR="00BC1277">
        <w:t>1</w:t>
      </w:r>
      <w:r w:rsidRPr="00B24ED3">
        <w:t xml:space="preserve"> </w:t>
      </w:r>
      <w:r w:rsidR="00BC1277">
        <w:t xml:space="preserve">December </w:t>
      </w:r>
      <w:r w:rsidRPr="00B24ED3">
        <w:t>2018 (eligible</w:t>
      </w:r>
      <w:r w:rsidR="00C570D2">
        <w:t xml:space="preserve"> period 1 </w:t>
      </w:r>
      <w:r w:rsidR="00BC1277">
        <w:t xml:space="preserve">October 2014 to </w:t>
      </w:r>
      <w:r w:rsidR="00963F5A">
        <w:t>3</w:t>
      </w:r>
      <w:r w:rsidR="009518B9">
        <w:t>0</w:t>
      </w:r>
      <w:r w:rsidR="00963F5A">
        <w:t xml:space="preserve"> </w:t>
      </w:r>
      <w:r w:rsidR="009518B9">
        <w:t>September</w:t>
      </w:r>
      <w:r w:rsidRPr="00B24ED3">
        <w:t xml:space="preserve"> 2016)</w:t>
      </w:r>
      <w:bookmarkEnd w:id="26"/>
      <w:bookmarkEnd w:id="27"/>
      <w:bookmarkEnd w:id="28"/>
      <w:bookmarkEnd w:id="29"/>
      <w:r w:rsidRPr="00B24ED3">
        <w:t xml:space="preserve"> </w:t>
      </w:r>
    </w:p>
    <w:tbl>
      <w:tblPr>
        <w:tblW w:w="9175" w:type="dxa"/>
        <w:tblLook w:val="04A0" w:firstRow="1" w:lastRow="0" w:firstColumn="1" w:lastColumn="0" w:noHBand="0" w:noVBand="1"/>
      </w:tblPr>
      <w:tblGrid>
        <w:gridCol w:w="1835"/>
        <w:gridCol w:w="1835"/>
        <w:gridCol w:w="1835"/>
        <w:gridCol w:w="1835"/>
        <w:gridCol w:w="1835"/>
      </w:tblGrid>
      <w:tr w:rsidR="00B54E4D" w:rsidRPr="00B54E4D" w14:paraId="4665E8A0" w14:textId="77777777" w:rsidTr="00B54E4D">
        <w:trPr>
          <w:trHeight w:val="648"/>
        </w:trPr>
        <w:tc>
          <w:tcPr>
            <w:tcW w:w="1835" w:type="dxa"/>
            <w:tcBorders>
              <w:top w:val="single" w:sz="8" w:space="0" w:color="auto"/>
              <w:left w:val="single" w:sz="8" w:space="0" w:color="auto"/>
              <w:bottom w:val="single" w:sz="4" w:space="0" w:color="D9D9D9"/>
              <w:right w:val="single" w:sz="4" w:space="0" w:color="D9D9D9"/>
            </w:tcBorders>
            <w:shd w:val="clear" w:color="000000" w:fill="F2F2F2"/>
            <w:hideMark/>
          </w:tcPr>
          <w:p w14:paraId="26120861" w14:textId="77777777" w:rsidR="00B54E4D" w:rsidRPr="00B54E4D" w:rsidRDefault="00B54E4D" w:rsidP="00B54E4D">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Ethnicity</w:t>
            </w:r>
          </w:p>
        </w:tc>
        <w:tc>
          <w:tcPr>
            <w:tcW w:w="1835" w:type="dxa"/>
            <w:tcBorders>
              <w:top w:val="single" w:sz="8" w:space="0" w:color="auto"/>
              <w:left w:val="nil"/>
              <w:bottom w:val="single" w:sz="4" w:space="0" w:color="D9D9D9"/>
              <w:right w:val="single" w:sz="4" w:space="0" w:color="D9D9D9"/>
            </w:tcBorders>
            <w:shd w:val="clear" w:color="000000" w:fill="F2F2F2"/>
            <w:hideMark/>
          </w:tcPr>
          <w:p w14:paraId="1CD841C0"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eligible screens</w:t>
            </w:r>
          </w:p>
        </w:tc>
        <w:tc>
          <w:tcPr>
            <w:tcW w:w="1835" w:type="dxa"/>
            <w:tcBorders>
              <w:top w:val="single" w:sz="8" w:space="0" w:color="auto"/>
              <w:left w:val="nil"/>
              <w:bottom w:val="single" w:sz="4" w:space="0" w:color="D9D9D9"/>
              <w:right w:val="single" w:sz="4" w:space="0" w:color="D9D9D9"/>
            </w:tcBorders>
            <w:shd w:val="clear" w:color="000000" w:fill="F2F2F2"/>
            <w:hideMark/>
          </w:tcPr>
          <w:p w14:paraId="2F5F300A"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initial rescreens</w:t>
            </w:r>
          </w:p>
        </w:tc>
        <w:tc>
          <w:tcPr>
            <w:tcW w:w="1835" w:type="dxa"/>
            <w:tcBorders>
              <w:top w:val="single" w:sz="8" w:space="0" w:color="auto"/>
              <w:left w:val="nil"/>
              <w:bottom w:val="single" w:sz="4" w:space="0" w:color="D9D9D9"/>
              <w:right w:val="single" w:sz="4" w:space="0" w:color="D9D9D9"/>
            </w:tcBorders>
            <w:shd w:val="clear" w:color="000000" w:fill="F2F2F2"/>
            <w:hideMark/>
          </w:tcPr>
          <w:p w14:paraId="71C2C430"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w:t>
            </w:r>
          </w:p>
        </w:tc>
        <w:tc>
          <w:tcPr>
            <w:tcW w:w="1835" w:type="dxa"/>
            <w:tcBorders>
              <w:top w:val="single" w:sz="8" w:space="0" w:color="auto"/>
              <w:left w:val="nil"/>
              <w:bottom w:val="single" w:sz="4" w:space="0" w:color="D9D9D9"/>
              <w:right w:val="single" w:sz="8" w:space="0" w:color="auto"/>
            </w:tcBorders>
            <w:shd w:val="clear" w:color="000000" w:fill="F2F2F2"/>
            <w:hideMark/>
          </w:tcPr>
          <w:p w14:paraId="57ED51BF"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CI (95%)</w:t>
            </w:r>
          </w:p>
        </w:tc>
      </w:tr>
      <w:tr w:rsidR="00BA275B" w:rsidRPr="00B54E4D" w14:paraId="0D8FA8DB" w14:textId="77777777" w:rsidTr="00D22814">
        <w:trPr>
          <w:trHeight w:val="306"/>
        </w:trPr>
        <w:tc>
          <w:tcPr>
            <w:tcW w:w="1835" w:type="dxa"/>
            <w:tcBorders>
              <w:top w:val="nil"/>
              <w:left w:val="single" w:sz="8" w:space="0" w:color="auto"/>
              <w:bottom w:val="single" w:sz="4" w:space="0" w:color="D9D9D9"/>
              <w:right w:val="single" w:sz="4" w:space="0" w:color="D9D9D9"/>
            </w:tcBorders>
            <w:shd w:val="clear" w:color="auto" w:fill="auto"/>
            <w:vAlign w:val="center"/>
            <w:hideMark/>
          </w:tcPr>
          <w:p w14:paraId="4E9A0C9A" w14:textId="77777777" w:rsidR="00BA275B" w:rsidRPr="00B54E4D" w:rsidRDefault="00BA275B" w:rsidP="00BA275B">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Māori</w:t>
            </w:r>
          </w:p>
        </w:tc>
        <w:tc>
          <w:tcPr>
            <w:tcW w:w="1835"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06E25EEB" w14:textId="77777777" w:rsidR="00BA275B" w:rsidRDefault="00BA275B" w:rsidP="00BA275B">
            <w:pPr>
              <w:jc w:val="right"/>
              <w:rPr>
                <w:rFonts w:ascii="Arial" w:eastAsia="Times New Roman" w:hAnsi="Arial" w:cs="Arial"/>
                <w:color w:val="000000"/>
                <w:sz w:val="18"/>
                <w:szCs w:val="18"/>
              </w:rPr>
            </w:pPr>
            <w:r>
              <w:rPr>
                <w:rFonts w:ascii="Arial" w:hAnsi="Arial" w:cs="Arial"/>
                <w:color w:val="000000"/>
                <w:sz w:val="18"/>
                <w:szCs w:val="18"/>
              </w:rPr>
              <w:t>85</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14:paraId="35601139" w14:textId="77777777" w:rsidR="00BA275B" w:rsidRDefault="00BA275B" w:rsidP="00BA275B">
            <w:pPr>
              <w:jc w:val="right"/>
              <w:rPr>
                <w:rFonts w:ascii="Arial" w:hAnsi="Arial" w:cs="Arial"/>
                <w:color w:val="000000"/>
                <w:sz w:val="18"/>
                <w:szCs w:val="18"/>
              </w:rPr>
            </w:pPr>
            <w:r>
              <w:rPr>
                <w:rFonts w:ascii="Arial" w:hAnsi="Arial" w:cs="Arial"/>
                <w:color w:val="000000"/>
                <w:sz w:val="18"/>
                <w:szCs w:val="18"/>
              </w:rPr>
              <w:t>63</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14:paraId="418185DC" w14:textId="77777777" w:rsidR="00BA275B" w:rsidRDefault="00BA275B" w:rsidP="00BA275B">
            <w:pPr>
              <w:jc w:val="right"/>
              <w:rPr>
                <w:rFonts w:ascii="Arial" w:hAnsi="Arial" w:cs="Arial"/>
                <w:color w:val="000000"/>
                <w:sz w:val="18"/>
                <w:szCs w:val="18"/>
              </w:rPr>
            </w:pPr>
            <w:r>
              <w:rPr>
                <w:rFonts w:ascii="Arial" w:hAnsi="Arial" w:cs="Arial"/>
                <w:color w:val="000000"/>
                <w:sz w:val="18"/>
                <w:szCs w:val="18"/>
              </w:rPr>
              <w:t>74.1%</w:t>
            </w:r>
          </w:p>
        </w:tc>
        <w:tc>
          <w:tcPr>
            <w:tcW w:w="1835" w:type="dxa"/>
            <w:tcBorders>
              <w:top w:val="single" w:sz="4" w:space="0" w:color="D9D9D9"/>
              <w:left w:val="nil"/>
              <w:bottom w:val="single" w:sz="4" w:space="0" w:color="D9D9D9"/>
              <w:right w:val="single" w:sz="8" w:space="0" w:color="auto"/>
            </w:tcBorders>
            <w:shd w:val="clear" w:color="auto" w:fill="auto"/>
            <w:noWrap/>
            <w:vAlign w:val="center"/>
          </w:tcPr>
          <w:p w14:paraId="20F90DB5" w14:textId="77777777" w:rsidR="00BA275B" w:rsidRDefault="00BA275B" w:rsidP="00BA275B">
            <w:pPr>
              <w:jc w:val="right"/>
              <w:rPr>
                <w:rFonts w:ascii="Arial" w:hAnsi="Arial" w:cs="Arial"/>
                <w:color w:val="000000"/>
                <w:sz w:val="18"/>
                <w:szCs w:val="18"/>
              </w:rPr>
            </w:pPr>
            <w:r>
              <w:rPr>
                <w:rFonts w:ascii="Arial" w:hAnsi="Arial" w:cs="Arial"/>
                <w:color w:val="000000"/>
                <w:sz w:val="18"/>
                <w:szCs w:val="18"/>
              </w:rPr>
              <w:t>(63.5, 83.0)</w:t>
            </w:r>
          </w:p>
        </w:tc>
      </w:tr>
      <w:tr w:rsidR="00BA275B" w:rsidRPr="00B54E4D" w14:paraId="28656503" w14:textId="77777777" w:rsidTr="00D22814">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14:paraId="5B4D93B4" w14:textId="77777777" w:rsidR="00BA275B" w:rsidRPr="00B54E4D" w:rsidRDefault="00BA275B" w:rsidP="00BA275B">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Pacific</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14:paraId="4A28386E" w14:textId="77777777" w:rsidR="00BA275B" w:rsidRDefault="00BA275B" w:rsidP="00BA275B">
            <w:pPr>
              <w:jc w:val="right"/>
              <w:rPr>
                <w:rFonts w:ascii="Arial" w:hAnsi="Arial" w:cs="Arial"/>
                <w:color w:val="000000"/>
                <w:sz w:val="18"/>
                <w:szCs w:val="18"/>
              </w:rPr>
            </w:pPr>
            <w:r>
              <w:rPr>
                <w:rFonts w:ascii="Arial" w:hAnsi="Arial" w:cs="Arial"/>
                <w:color w:val="000000"/>
                <w:sz w:val="18"/>
                <w:szCs w:val="18"/>
              </w:rPr>
              <w:t>67</w:t>
            </w:r>
          </w:p>
        </w:tc>
        <w:tc>
          <w:tcPr>
            <w:tcW w:w="1835" w:type="dxa"/>
            <w:tcBorders>
              <w:top w:val="nil"/>
              <w:left w:val="nil"/>
              <w:bottom w:val="single" w:sz="4" w:space="0" w:color="D9D9D9"/>
              <w:right w:val="single" w:sz="4" w:space="0" w:color="D9D9D9"/>
            </w:tcBorders>
            <w:shd w:val="clear" w:color="auto" w:fill="auto"/>
            <w:noWrap/>
            <w:vAlign w:val="center"/>
          </w:tcPr>
          <w:p w14:paraId="0409BE37" w14:textId="77777777" w:rsidR="00BA275B" w:rsidRDefault="00BA275B" w:rsidP="00BA275B">
            <w:pPr>
              <w:jc w:val="right"/>
              <w:rPr>
                <w:rFonts w:ascii="Arial" w:hAnsi="Arial" w:cs="Arial"/>
                <w:color w:val="000000"/>
                <w:sz w:val="18"/>
                <w:szCs w:val="18"/>
              </w:rPr>
            </w:pPr>
            <w:r>
              <w:rPr>
                <w:rFonts w:ascii="Arial" w:hAnsi="Arial" w:cs="Arial"/>
                <w:color w:val="000000"/>
                <w:sz w:val="18"/>
                <w:szCs w:val="18"/>
              </w:rPr>
              <w:t>46</w:t>
            </w:r>
          </w:p>
        </w:tc>
        <w:tc>
          <w:tcPr>
            <w:tcW w:w="1835" w:type="dxa"/>
            <w:tcBorders>
              <w:top w:val="nil"/>
              <w:left w:val="nil"/>
              <w:bottom w:val="single" w:sz="4" w:space="0" w:color="D9D9D9"/>
              <w:right w:val="single" w:sz="4" w:space="0" w:color="D9D9D9"/>
            </w:tcBorders>
            <w:shd w:val="clear" w:color="auto" w:fill="auto"/>
            <w:noWrap/>
            <w:vAlign w:val="center"/>
          </w:tcPr>
          <w:p w14:paraId="04D2E6D3" w14:textId="77777777" w:rsidR="00BA275B" w:rsidRDefault="00BA275B" w:rsidP="00BA275B">
            <w:pPr>
              <w:jc w:val="right"/>
              <w:rPr>
                <w:rFonts w:ascii="Arial" w:hAnsi="Arial" w:cs="Arial"/>
                <w:color w:val="000000"/>
                <w:sz w:val="18"/>
                <w:szCs w:val="18"/>
              </w:rPr>
            </w:pPr>
            <w:r>
              <w:rPr>
                <w:rFonts w:ascii="Arial" w:hAnsi="Arial" w:cs="Arial"/>
                <w:color w:val="000000"/>
                <w:sz w:val="18"/>
                <w:szCs w:val="18"/>
              </w:rPr>
              <w:t>68.7%</w:t>
            </w:r>
          </w:p>
        </w:tc>
        <w:tc>
          <w:tcPr>
            <w:tcW w:w="1835" w:type="dxa"/>
            <w:tcBorders>
              <w:top w:val="nil"/>
              <w:left w:val="nil"/>
              <w:bottom w:val="single" w:sz="4" w:space="0" w:color="D9D9D9"/>
              <w:right w:val="single" w:sz="8" w:space="0" w:color="auto"/>
            </w:tcBorders>
            <w:shd w:val="clear" w:color="auto" w:fill="auto"/>
            <w:noWrap/>
            <w:vAlign w:val="center"/>
          </w:tcPr>
          <w:p w14:paraId="29EDF1E3" w14:textId="77777777" w:rsidR="00BA275B" w:rsidRDefault="00BA275B" w:rsidP="00BA275B">
            <w:pPr>
              <w:jc w:val="right"/>
              <w:rPr>
                <w:rFonts w:ascii="Arial" w:hAnsi="Arial" w:cs="Arial"/>
                <w:color w:val="000000"/>
                <w:sz w:val="18"/>
                <w:szCs w:val="18"/>
              </w:rPr>
            </w:pPr>
            <w:r>
              <w:rPr>
                <w:rFonts w:ascii="Arial" w:hAnsi="Arial" w:cs="Arial"/>
                <w:color w:val="000000"/>
                <w:sz w:val="18"/>
                <w:szCs w:val="18"/>
              </w:rPr>
              <w:t>(56.2, 79.4)</w:t>
            </w:r>
          </w:p>
        </w:tc>
      </w:tr>
      <w:tr w:rsidR="00BA275B" w:rsidRPr="00B54E4D" w14:paraId="09A0D5E4" w14:textId="77777777" w:rsidTr="00D22814">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14:paraId="54E0EBDF" w14:textId="77777777" w:rsidR="00BA275B" w:rsidRPr="00B54E4D" w:rsidRDefault="00BA275B" w:rsidP="00BA275B">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Other</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14:paraId="53C5A44D" w14:textId="77777777" w:rsidR="00BA275B" w:rsidRDefault="00BA275B" w:rsidP="00BA275B">
            <w:pPr>
              <w:jc w:val="right"/>
              <w:rPr>
                <w:rFonts w:ascii="Arial" w:hAnsi="Arial" w:cs="Arial"/>
                <w:color w:val="000000"/>
                <w:sz w:val="18"/>
                <w:szCs w:val="18"/>
              </w:rPr>
            </w:pPr>
            <w:r>
              <w:rPr>
                <w:rFonts w:ascii="Arial" w:hAnsi="Arial" w:cs="Arial"/>
                <w:color w:val="000000"/>
                <w:sz w:val="18"/>
                <w:szCs w:val="18"/>
              </w:rPr>
              <w:t>978</w:t>
            </w:r>
          </w:p>
        </w:tc>
        <w:tc>
          <w:tcPr>
            <w:tcW w:w="1835" w:type="dxa"/>
            <w:tcBorders>
              <w:top w:val="nil"/>
              <w:left w:val="nil"/>
              <w:bottom w:val="single" w:sz="4" w:space="0" w:color="D9D9D9"/>
              <w:right w:val="single" w:sz="4" w:space="0" w:color="D9D9D9"/>
            </w:tcBorders>
            <w:shd w:val="clear" w:color="auto" w:fill="auto"/>
            <w:noWrap/>
            <w:vAlign w:val="center"/>
          </w:tcPr>
          <w:p w14:paraId="603CF317" w14:textId="77777777" w:rsidR="00BA275B" w:rsidRDefault="00BA275B" w:rsidP="00BA275B">
            <w:pPr>
              <w:jc w:val="right"/>
              <w:rPr>
                <w:rFonts w:ascii="Arial" w:hAnsi="Arial" w:cs="Arial"/>
                <w:color w:val="000000"/>
                <w:sz w:val="18"/>
                <w:szCs w:val="18"/>
              </w:rPr>
            </w:pPr>
            <w:r>
              <w:rPr>
                <w:rFonts w:ascii="Arial" w:hAnsi="Arial" w:cs="Arial"/>
                <w:color w:val="000000"/>
                <w:sz w:val="18"/>
                <w:szCs w:val="18"/>
              </w:rPr>
              <w:t>796</w:t>
            </w:r>
          </w:p>
        </w:tc>
        <w:tc>
          <w:tcPr>
            <w:tcW w:w="1835" w:type="dxa"/>
            <w:tcBorders>
              <w:top w:val="nil"/>
              <w:left w:val="nil"/>
              <w:bottom w:val="single" w:sz="4" w:space="0" w:color="D9D9D9"/>
              <w:right w:val="single" w:sz="4" w:space="0" w:color="D9D9D9"/>
            </w:tcBorders>
            <w:shd w:val="clear" w:color="auto" w:fill="auto"/>
            <w:noWrap/>
            <w:vAlign w:val="center"/>
          </w:tcPr>
          <w:p w14:paraId="1D46A062" w14:textId="77777777" w:rsidR="00BA275B" w:rsidRDefault="00BA275B" w:rsidP="00BA275B">
            <w:pPr>
              <w:jc w:val="right"/>
              <w:rPr>
                <w:rFonts w:ascii="Arial" w:hAnsi="Arial" w:cs="Arial"/>
                <w:color w:val="000000"/>
                <w:sz w:val="18"/>
                <w:szCs w:val="18"/>
              </w:rPr>
            </w:pPr>
            <w:r>
              <w:rPr>
                <w:rFonts w:ascii="Arial" w:hAnsi="Arial" w:cs="Arial"/>
                <w:color w:val="000000"/>
                <w:sz w:val="18"/>
                <w:szCs w:val="18"/>
              </w:rPr>
              <w:t>81.4%</w:t>
            </w:r>
          </w:p>
        </w:tc>
        <w:tc>
          <w:tcPr>
            <w:tcW w:w="1835" w:type="dxa"/>
            <w:tcBorders>
              <w:top w:val="nil"/>
              <w:left w:val="nil"/>
              <w:bottom w:val="single" w:sz="4" w:space="0" w:color="D9D9D9"/>
              <w:right w:val="single" w:sz="8" w:space="0" w:color="auto"/>
            </w:tcBorders>
            <w:shd w:val="clear" w:color="auto" w:fill="auto"/>
            <w:noWrap/>
            <w:vAlign w:val="center"/>
          </w:tcPr>
          <w:p w14:paraId="3983A013" w14:textId="77777777" w:rsidR="00BA275B" w:rsidRDefault="00BA275B" w:rsidP="00BA275B">
            <w:pPr>
              <w:jc w:val="right"/>
              <w:rPr>
                <w:rFonts w:ascii="Arial" w:hAnsi="Arial" w:cs="Arial"/>
                <w:color w:val="000000"/>
                <w:sz w:val="18"/>
                <w:szCs w:val="18"/>
              </w:rPr>
            </w:pPr>
            <w:r>
              <w:rPr>
                <w:rFonts w:ascii="Arial" w:hAnsi="Arial" w:cs="Arial"/>
                <w:color w:val="000000"/>
                <w:sz w:val="18"/>
                <w:szCs w:val="18"/>
              </w:rPr>
              <w:t>(78.8, 83.8)</w:t>
            </w:r>
          </w:p>
        </w:tc>
      </w:tr>
      <w:tr w:rsidR="00BA275B" w:rsidRPr="00B54E4D" w14:paraId="612BD37D" w14:textId="77777777" w:rsidTr="00D22814">
        <w:trPr>
          <w:trHeight w:val="324"/>
        </w:trPr>
        <w:tc>
          <w:tcPr>
            <w:tcW w:w="1835" w:type="dxa"/>
            <w:tcBorders>
              <w:top w:val="nil"/>
              <w:left w:val="single" w:sz="8" w:space="0" w:color="auto"/>
              <w:bottom w:val="single" w:sz="8" w:space="0" w:color="auto"/>
              <w:right w:val="single" w:sz="4" w:space="0" w:color="D9D9D9"/>
            </w:tcBorders>
            <w:shd w:val="clear" w:color="000000" w:fill="F2F2F2"/>
            <w:noWrap/>
            <w:vAlign w:val="center"/>
            <w:hideMark/>
          </w:tcPr>
          <w:p w14:paraId="7A3A4F43" w14:textId="77777777" w:rsidR="00BA275B" w:rsidRPr="00B54E4D" w:rsidRDefault="00BA275B" w:rsidP="00BA275B">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Total</w:t>
            </w:r>
          </w:p>
        </w:tc>
        <w:tc>
          <w:tcPr>
            <w:tcW w:w="1835" w:type="dxa"/>
            <w:tcBorders>
              <w:top w:val="nil"/>
              <w:left w:val="single" w:sz="4" w:space="0" w:color="D9D9D9"/>
              <w:bottom w:val="single" w:sz="8" w:space="0" w:color="auto"/>
              <w:right w:val="single" w:sz="4" w:space="0" w:color="D9D9D9"/>
            </w:tcBorders>
            <w:shd w:val="clear" w:color="000000" w:fill="F2F2F2"/>
            <w:noWrap/>
            <w:vAlign w:val="center"/>
          </w:tcPr>
          <w:p w14:paraId="29FFA977" w14:textId="77777777" w:rsidR="00BA275B" w:rsidRDefault="00BA275B" w:rsidP="00BA275B">
            <w:pPr>
              <w:jc w:val="right"/>
              <w:rPr>
                <w:rFonts w:ascii="Arial" w:hAnsi="Arial" w:cs="Arial"/>
                <w:b/>
                <w:bCs/>
                <w:color w:val="000000"/>
                <w:sz w:val="18"/>
                <w:szCs w:val="18"/>
              </w:rPr>
            </w:pPr>
            <w:r>
              <w:rPr>
                <w:rFonts w:ascii="Arial" w:hAnsi="Arial" w:cs="Arial"/>
                <w:b/>
                <w:bCs/>
                <w:color w:val="000000"/>
                <w:sz w:val="18"/>
                <w:szCs w:val="18"/>
              </w:rPr>
              <w:t>1,130</w:t>
            </w:r>
          </w:p>
        </w:tc>
        <w:tc>
          <w:tcPr>
            <w:tcW w:w="1835" w:type="dxa"/>
            <w:tcBorders>
              <w:top w:val="nil"/>
              <w:left w:val="nil"/>
              <w:bottom w:val="single" w:sz="8" w:space="0" w:color="auto"/>
              <w:right w:val="single" w:sz="4" w:space="0" w:color="D9D9D9"/>
            </w:tcBorders>
            <w:shd w:val="clear" w:color="000000" w:fill="F2F2F2"/>
            <w:noWrap/>
            <w:vAlign w:val="center"/>
          </w:tcPr>
          <w:p w14:paraId="5014F1E7" w14:textId="77777777" w:rsidR="00BA275B" w:rsidRDefault="00BA275B" w:rsidP="00BA275B">
            <w:pPr>
              <w:jc w:val="right"/>
              <w:rPr>
                <w:rFonts w:ascii="Arial" w:hAnsi="Arial" w:cs="Arial"/>
                <w:b/>
                <w:bCs/>
                <w:color w:val="000000"/>
                <w:sz w:val="18"/>
                <w:szCs w:val="18"/>
              </w:rPr>
            </w:pPr>
            <w:r>
              <w:rPr>
                <w:rFonts w:ascii="Arial" w:hAnsi="Arial" w:cs="Arial"/>
                <w:b/>
                <w:bCs/>
                <w:color w:val="000000"/>
                <w:sz w:val="18"/>
                <w:szCs w:val="18"/>
              </w:rPr>
              <w:t>905</w:t>
            </w:r>
          </w:p>
        </w:tc>
        <w:tc>
          <w:tcPr>
            <w:tcW w:w="1835" w:type="dxa"/>
            <w:tcBorders>
              <w:top w:val="nil"/>
              <w:left w:val="nil"/>
              <w:bottom w:val="single" w:sz="8" w:space="0" w:color="auto"/>
              <w:right w:val="single" w:sz="4" w:space="0" w:color="D9D9D9"/>
            </w:tcBorders>
            <w:shd w:val="clear" w:color="000000" w:fill="F2F2F2"/>
            <w:noWrap/>
            <w:vAlign w:val="center"/>
          </w:tcPr>
          <w:p w14:paraId="4E91032F" w14:textId="77777777" w:rsidR="00BA275B" w:rsidRDefault="00BA275B" w:rsidP="00BA275B">
            <w:pPr>
              <w:jc w:val="right"/>
              <w:rPr>
                <w:rFonts w:ascii="Arial" w:hAnsi="Arial" w:cs="Arial"/>
                <w:b/>
                <w:bCs/>
                <w:color w:val="000000"/>
                <w:sz w:val="18"/>
                <w:szCs w:val="18"/>
              </w:rPr>
            </w:pPr>
            <w:r>
              <w:rPr>
                <w:rFonts w:ascii="Arial" w:hAnsi="Arial" w:cs="Arial"/>
                <w:b/>
                <w:bCs/>
                <w:color w:val="000000"/>
                <w:sz w:val="18"/>
                <w:szCs w:val="18"/>
              </w:rPr>
              <w:t>80.1%</w:t>
            </w:r>
          </w:p>
        </w:tc>
        <w:tc>
          <w:tcPr>
            <w:tcW w:w="1835" w:type="dxa"/>
            <w:tcBorders>
              <w:top w:val="nil"/>
              <w:left w:val="nil"/>
              <w:bottom w:val="single" w:sz="8" w:space="0" w:color="auto"/>
              <w:right w:val="single" w:sz="8" w:space="0" w:color="auto"/>
            </w:tcBorders>
            <w:shd w:val="clear" w:color="000000" w:fill="F2F2F2"/>
            <w:noWrap/>
            <w:vAlign w:val="center"/>
          </w:tcPr>
          <w:p w14:paraId="2C33FADE" w14:textId="77777777" w:rsidR="00BA275B" w:rsidRDefault="00BA275B" w:rsidP="00BA275B">
            <w:pPr>
              <w:jc w:val="right"/>
              <w:rPr>
                <w:rFonts w:ascii="Arial" w:hAnsi="Arial" w:cs="Arial"/>
                <w:b/>
                <w:bCs/>
                <w:color w:val="000000"/>
                <w:sz w:val="18"/>
                <w:szCs w:val="18"/>
              </w:rPr>
            </w:pPr>
            <w:r>
              <w:rPr>
                <w:rFonts w:ascii="Arial" w:hAnsi="Arial" w:cs="Arial"/>
                <w:b/>
                <w:bCs/>
                <w:color w:val="000000"/>
                <w:sz w:val="18"/>
                <w:szCs w:val="18"/>
              </w:rPr>
              <w:t>(77.6, 82.4)</w:t>
            </w:r>
          </w:p>
        </w:tc>
      </w:tr>
    </w:tbl>
    <w:p w14:paraId="695D4F21" w14:textId="77777777" w:rsidR="00B54E4D" w:rsidRPr="00B54E4D" w:rsidRDefault="00B54E4D" w:rsidP="00B54E4D"/>
    <w:p w14:paraId="3BB19455" w14:textId="77777777" w:rsidR="004F6AC5" w:rsidRDefault="004F6AC5" w:rsidP="004F6AC5">
      <w:pPr>
        <w:pStyle w:val="Figure"/>
      </w:pPr>
      <w:bookmarkStart w:id="30" w:name="_Toc519676508"/>
      <w:bookmarkStart w:id="31" w:name="_Toc519847310"/>
      <w:bookmarkStart w:id="32" w:name="_Toc536020155"/>
      <w:r w:rsidRPr="00514C92">
        <w:t xml:space="preserve">Figure </w:t>
      </w:r>
      <w:r w:rsidR="000B7E2A">
        <w:rPr>
          <w:noProof/>
        </w:rPr>
        <w:fldChar w:fldCharType="begin"/>
      </w:r>
      <w:r w:rsidR="000B7E2A">
        <w:rPr>
          <w:noProof/>
        </w:rPr>
        <w:instrText xml:space="preserve"> SEQ Figure \* ARABIC </w:instrText>
      </w:r>
      <w:r w:rsidR="000B7E2A">
        <w:rPr>
          <w:noProof/>
        </w:rPr>
        <w:fldChar w:fldCharType="separate"/>
      </w:r>
      <w:r w:rsidR="002D1D6B">
        <w:rPr>
          <w:noProof/>
        </w:rPr>
        <w:t>3</w:t>
      </w:r>
      <w:r w:rsidR="000B7E2A">
        <w:rPr>
          <w:noProof/>
        </w:rPr>
        <w:fldChar w:fldCharType="end"/>
      </w:r>
      <w:r w:rsidRPr="00514C92">
        <w:t>: BSA number of initial eligible rescreens by ethnicity</w:t>
      </w:r>
      <w:bookmarkEnd w:id="30"/>
      <w:bookmarkEnd w:id="31"/>
      <w:bookmarkEnd w:id="32"/>
      <w:r w:rsidRPr="00514C92">
        <w:t xml:space="preserve"> </w:t>
      </w:r>
    </w:p>
    <w:p w14:paraId="26945793" w14:textId="77777777" w:rsidR="00B54E4D" w:rsidRPr="00B54E4D" w:rsidRDefault="00440E9F" w:rsidP="00B54E4D">
      <w:r>
        <w:rPr>
          <w:noProof/>
        </w:rPr>
        <w:drawing>
          <wp:inline distT="0" distB="0" distL="0" distR="0" wp14:anchorId="312D0E0C" wp14:editId="2880A532">
            <wp:extent cx="4724400" cy="2955972"/>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35505" cy="2962920"/>
                    </a:xfrm>
                    <a:prstGeom prst="rect">
                      <a:avLst/>
                    </a:prstGeom>
                    <a:noFill/>
                  </pic:spPr>
                </pic:pic>
              </a:graphicData>
            </a:graphic>
          </wp:inline>
        </w:drawing>
      </w:r>
    </w:p>
    <w:p w14:paraId="23F05BF3" w14:textId="77777777" w:rsidR="004F6AC5" w:rsidRDefault="004F6AC5" w:rsidP="004F6AC5"/>
    <w:p w14:paraId="57043FEF" w14:textId="77777777" w:rsidR="00440E9F" w:rsidRDefault="00440E9F">
      <w:pPr>
        <w:spacing w:after="200"/>
        <w:rPr>
          <w:rFonts w:eastAsiaTheme="majorEastAsia" w:cstheme="majorBidi"/>
          <w:b/>
          <w:bCs/>
          <w:sz w:val="36"/>
          <w:szCs w:val="28"/>
        </w:rPr>
      </w:pPr>
      <w:r>
        <w:br w:type="page"/>
      </w:r>
    </w:p>
    <w:p w14:paraId="591598AD" w14:textId="77777777" w:rsidR="00F66CD2" w:rsidRDefault="00115CAE" w:rsidP="00F66CD2">
      <w:pPr>
        <w:pStyle w:val="Heading1"/>
      </w:pPr>
      <w:bookmarkStart w:id="33" w:name="_Toc536020145"/>
      <w:r w:rsidRPr="00C90A46">
        <w:lastRenderedPageBreak/>
        <w:t>DHB coverage comparisons</w:t>
      </w:r>
      <w:bookmarkStart w:id="34" w:name="_Toc399850104"/>
      <w:bookmarkStart w:id="35" w:name="_Toc399921856"/>
      <w:bookmarkEnd w:id="21"/>
      <w:bookmarkEnd w:id="33"/>
    </w:p>
    <w:p w14:paraId="2C8F116C" w14:textId="77777777" w:rsidR="00F66CD2" w:rsidRDefault="00F66CD2" w:rsidP="00F66CD2">
      <w:pPr>
        <w:pStyle w:val="Heading2"/>
      </w:pPr>
      <w:bookmarkStart w:id="36" w:name="_Toc536020146"/>
      <w:r>
        <w:t>D</w:t>
      </w:r>
      <w:r w:rsidRPr="00D96A80">
        <w:t xml:space="preserve">HB </w:t>
      </w:r>
      <w:r>
        <w:t>c</w:t>
      </w:r>
      <w:r w:rsidRPr="00DC6145">
        <w:t xml:space="preserve">overage </w:t>
      </w:r>
      <w:r w:rsidRPr="00532FD3">
        <w:t xml:space="preserve">by </w:t>
      </w:r>
      <w:r>
        <w:t>e</w:t>
      </w:r>
      <w:r w:rsidRPr="00532FD3">
        <w:t>thnicity</w:t>
      </w:r>
      <w:r>
        <w:t xml:space="preserve"> </w:t>
      </w:r>
      <w:r w:rsidRPr="00EA1705">
        <w:t xml:space="preserve">in the </w:t>
      </w:r>
      <w:r w:rsidR="00805861">
        <w:t>two</w:t>
      </w:r>
      <w:r w:rsidRPr="00EA1705">
        <w:t xml:space="preserve"> years ending </w:t>
      </w:r>
      <w:r w:rsidR="000436A5" w:rsidRPr="000436A5">
        <w:t>31 December 2018</w:t>
      </w:r>
      <w:bookmarkEnd w:id="36"/>
    </w:p>
    <w:p w14:paraId="079C1748" w14:textId="77777777" w:rsidR="00F66CD2" w:rsidRDefault="00FE0172" w:rsidP="002B0ED8">
      <w:pPr>
        <w:pStyle w:val="Figure"/>
      </w:pPr>
      <w:bookmarkStart w:id="37" w:name="_Toc399497923"/>
      <w:bookmarkStart w:id="38" w:name="_Toc536020156"/>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2D1D6B">
        <w:rPr>
          <w:noProof/>
        </w:rPr>
        <w:t>4</w:t>
      </w:r>
      <w:r w:rsidR="000B7E2A">
        <w:rPr>
          <w:noProof/>
        </w:rPr>
        <w:fldChar w:fldCharType="end"/>
      </w:r>
      <w:r w:rsidR="002B0ED8">
        <w:t>:</w:t>
      </w:r>
      <w:r w:rsidR="00F66CD2" w:rsidRPr="00F17732">
        <w:t xml:space="preserve"> </w:t>
      </w:r>
      <w:r w:rsidR="00751E09">
        <w:t>BSA</w:t>
      </w:r>
      <w:r w:rsidR="00F66CD2" w:rsidRPr="00F17732">
        <w:t xml:space="preserve"> </w:t>
      </w:r>
      <w:r w:rsidR="00F66CD2">
        <w:t>c</w:t>
      </w:r>
      <w:r w:rsidR="00F66CD2" w:rsidRPr="00F17732">
        <w:t xml:space="preserve">overage </w:t>
      </w:r>
      <w:r w:rsidR="00F66CD2">
        <w:t xml:space="preserve">(%) </w:t>
      </w:r>
      <w:r w:rsidR="00F66CD2" w:rsidRPr="00F17732">
        <w:t xml:space="preserve">of Māori women </w:t>
      </w:r>
      <w:r w:rsidR="00F66CD2" w:rsidRPr="002171C9">
        <w:t xml:space="preserve">aged </w:t>
      </w:r>
      <w:r w:rsidR="004B6FD0">
        <w:t>50</w:t>
      </w:r>
      <w:r w:rsidR="00F66CD2">
        <w:t>–</w:t>
      </w:r>
      <w:r w:rsidR="00F66CD2" w:rsidRPr="002171C9">
        <w:t xml:space="preserve">69 </w:t>
      </w:r>
      <w:r w:rsidR="00F66CD2">
        <w:t xml:space="preserve">years in the </w:t>
      </w:r>
      <w:r w:rsidR="00805861">
        <w:t>two</w:t>
      </w:r>
      <w:r w:rsidR="00F66CD2">
        <w:t xml:space="preserve"> years </w:t>
      </w:r>
      <w:r w:rsidR="00F66CD2" w:rsidRPr="00F17732">
        <w:t xml:space="preserve">ending </w:t>
      </w:r>
      <w:r w:rsidR="000436A5" w:rsidRPr="000436A5">
        <w:t>31 December 2018</w:t>
      </w:r>
      <w:r w:rsidR="00F66CD2">
        <w:t xml:space="preserve"> </w:t>
      </w:r>
      <w:r w:rsidR="00F66CD2" w:rsidRPr="00F17732">
        <w:t xml:space="preserve">by </w:t>
      </w:r>
      <w:r w:rsidR="00F66CD2">
        <w:t>District Health Board</w:t>
      </w:r>
      <w:bookmarkEnd w:id="37"/>
      <w:bookmarkEnd w:id="38"/>
    </w:p>
    <w:p w14:paraId="0A35DDBB" w14:textId="77777777" w:rsidR="00D83F91" w:rsidRPr="00D83F91" w:rsidRDefault="000436A5" w:rsidP="00D83F91">
      <w:bookmarkStart w:id="39" w:name="figure_3"/>
      <w:bookmarkEnd w:id="34"/>
      <w:bookmarkEnd w:id="35"/>
      <w:bookmarkEnd w:id="39"/>
      <w:r>
        <w:rPr>
          <w:noProof/>
        </w:rPr>
        <w:drawing>
          <wp:inline distT="0" distB="0" distL="0" distR="0" wp14:anchorId="6A4E49E6" wp14:editId="5875FB7B">
            <wp:extent cx="4648200" cy="3238500"/>
            <wp:effectExtent l="0" t="0" r="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F8807BB" w14:textId="77777777" w:rsidR="00115CAE" w:rsidRDefault="00FA21EF" w:rsidP="00BF27D3">
      <w:pPr>
        <w:pStyle w:val="Figure"/>
      </w:pPr>
      <w:bookmarkStart w:id="40" w:name="_Toc399497924"/>
      <w:bookmarkStart w:id="41" w:name="_Toc536020157"/>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2D1D6B">
        <w:rPr>
          <w:noProof/>
        </w:rPr>
        <w:t>5</w:t>
      </w:r>
      <w:r w:rsidR="000B7E2A">
        <w:rPr>
          <w:noProof/>
        </w:rPr>
        <w:fldChar w:fldCharType="end"/>
      </w:r>
      <w:r>
        <w:t>:</w:t>
      </w:r>
      <w:r w:rsidR="00115CAE" w:rsidRPr="00F17732">
        <w:t xml:space="preserve"> </w:t>
      </w:r>
      <w:r w:rsidR="00751E09">
        <w:t>BSA</w:t>
      </w:r>
      <w:r w:rsidR="00115CAE" w:rsidRPr="00BF2EB6">
        <w:t xml:space="preserve"> </w:t>
      </w:r>
      <w:r w:rsidR="00115CAE">
        <w:t>c</w:t>
      </w:r>
      <w:r w:rsidR="00115CAE" w:rsidRPr="00F17732">
        <w:t>overage</w:t>
      </w:r>
      <w:r w:rsidR="00115CAE">
        <w:t xml:space="preserve"> (%)</w:t>
      </w:r>
      <w:r w:rsidR="00115CAE" w:rsidRPr="00F17732">
        <w:t xml:space="preserve"> of Pacific </w:t>
      </w:r>
      <w:r w:rsidR="00115CAE" w:rsidRPr="002171C9">
        <w:t>women</w:t>
      </w:r>
      <w:r w:rsidR="00115CAE">
        <w:t xml:space="preserve"> aged </w:t>
      </w:r>
      <w:r w:rsidR="004B6FD0">
        <w:t>50</w:t>
      </w:r>
      <w:r w:rsidR="00115CAE">
        <w:t>–69</w:t>
      </w:r>
      <w:r w:rsidR="00115CAE" w:rsidRPr="002171C9">
        <w:t xml:space="preserve"> </w:t>
      </w:r>
      <w:r w:rsidR="00115CAE">
        <w:t xml:space="preserve">years in the </w:t>
      </w:r>
      <w:r w:rsidR="00805861">
        <w:t>two</w:t>
      </w:r>
      <w:r w:rsidR="00115CAE">
        <w:t xml:space="preserve"> years </w:t>
      </w:r>
      <w:r w:rsidR="00115CAE" w:rsidRPr="002171C9">
        <w:t xml:space="preserve">ending </w:t>
      </w:r>
      <w:r w:rsidR="000436A5" w:rsidRPr="000436A5">
        <w:t>31 December 2018</w:t>
      </w:r>
      <w:r w:rsidR="00115CAE" w:rsidRPr="002171C9">
        <w:t xml:space="preserve"> by </w:t>
      </w:r>
      <w:r w:rsidR="00B718BD">
        <w:t>District Health Board</w:t>
      </w:r>
      <w:bookmarkEnd w:id="40"/>
      <w:bookmarkEnd w:id="41"/>
    </w:p>
    <w:p w14:paraId="309D5EA3" w14:textId="77777777" w:rsidR="00115CAE" w:rsidRDefault="000436A5" w:rsidP="00115CAE">
      <w:bookmarkStart w:id="42" w:name="figure_4"/>
      <w:bookmarkEnd w:id="42"/>
      <w:r>
        <w:rPr>
          <w:noProof/>
        </w:rPr>
        <w:drawing>
          <wp:inline distT="0" distB="0" distL="0" distR="0" wp14:anchorId="413D9259" wp14:editId="7224330D">
            <wp:extent cx="4648200" cy="3238500"/>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044548E" w14:textId="77777777" w:rsidR="00C9547D" w:rsidRPr="00C9547D" w:rsidRDefault="00C9547D" w:rsidP="00C9547D">
      <w:bookmarkStart w:id="43" w:name="figure_5"/>
      <w:bookmarkEnd w:id="43"/>
    </w:p>
    <w:p w14:paraId="786C8E0B" w14:textId="77777777" w:rsidR="00115CAE" w:rsidRDefault="00FA21EF" w:rsidP="00BF27D3">
      <w:pPr>
        <w:pStyle w:val="Figure"/>
      </w:pPr>
      <w:bookmarkStart w:id="44" w:name="_Toc399497926"/>
      <w:bookmarkStart w:id="45" w:name="_Toc536020158"/>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2D1D6B">
        <w:rPr>
          <w:noProof/>
        </w:rPr>
        <w:t>6</w:t>
      </w:r>
      <w:r w:rsidR="000B7E2A">
        <w:rPr>
          <w:noProof/>
        </w:rPr>
        <w:fldChar w:fldCharType="end"/>
      </w:r>
      <w:r w:rsidR="00115CAE" w:rsidRPr="00F17732">
        <w:t xml:space="preserve">: </w:t>
      </w:r>
      <w:r w:rsidR="00115CAE">
        <w:t xml:space="preserve">Overall </w:t>
      </w:r>
      <w:r w:rsidR="00751E09">
        <w:t>BSA</w:t>
      </w:r>
      <w:r w:rsidR="00115CAE" w:rsidRPr="00636BD3">
        <w:t xml:space="preserve"> </w:t>
      </w:r>
      <w:r w:rsidR="00115CAE">
        <w:t>c</w:t>
      </w:r>
      <w:r w:rsidR="00115CAE" w:rsidRPr="00F17732">
        <w:t>overage</w:t>
      </w:r>
      <w:r w:rsidR="00115CAE">
        <w:t xml:space="preserve"> (%)</w:t>
      </w:r>
      <w:r w:rsidR="00115CAE" w:rsidRPr="00F17732">
        <w:t xml:space="preserve"> of </w:t>
      </w:r>
      <w:r w:rsidR="00115CAE" w:rsidRPr="002171C9">
        <w:t xml:space="preserve">women </w:t>
      </w:r>
      <w:r w:rsidR="00115CAE">
        <w:t xml:space="preserve">aged </w:t>
      </w:r>
      <w:r w:rsidR="004B6FD0">
        <w:t>50</w:t>
      </w:r>
      <w:r w:rsidR="00115CAE">
        <w:t xml:space="preserve">–69 years in the </w:t>
      </w:r>
      <w:r w:rsidR="00805861">
        <w:t>two</w:t>
      </w:r>
      <w:r w:rsidR="00115CAE">
        <w:t xml:space="preserve"> years </w:t>
      </w:r>
      <w:r w:rsidR="00115CAE" w:rsidRPr="002171C9">
        <w:t xml:space="preserve">ending </w:t>
      </w:r>
      <w:r w:rsidR="000436A5" w:rsidRPr="000436A5">
        <w:t>31 December 2018</w:t>
      </w:r>
      <w:r w:rsidR="00115CAE" w:rsidRPr="002171C9">
        <w:t xml:space="preserve"> by </w:t>
      </w:r>
      <w:r w:rsidR="00B718BD">
        <w:t>District Health Board</w:t>
      </w:r>
      <w:bookmarkEnd w:id="44"/>
      <w:bookmarkEnd w:id="45"/>
    </w:p>
    <w:p w14:paraId="7792409E" w14:textId="77777777" w:rsidR="009376F1" w:rsidRPr="00C9547D" w:rsidRDefault="000436A5" w:rsidP="009376F1">
      <w:bookmarkStart w:id="46" w:name="figure_6"/>
      <w:bookmarkEnd w:id="46"/>
      <w:r>
        <w:rPr>
          <w:noProof/>
        </w:rPr>
        <w:drawing>
          <wp:inline distT="0" distB="0" distL="0" distR="0" wp14:anchorId="71C767F1" wp14:editId="09EB69E3">
            <wp:extent cx="4648200" cy="3238500"/>
            <wp:effectExtent l="0" t="0" r="0"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0C5DAB8" w14:textId="77777777" w:rsidR="00115CAE" w:rsidRDefault="00115CAE" w:rsidP="00115CAE"/>
    <w:p w14:paraId="01649F49" w14:textId="77777777" w:rsidR="00115CAE" w:rsidRDefault="00115CAE" w:rsidP="00115CAE"/>
    <w:p w14:paraId="0C3F7037" w14:textId="77777777" w:rsidR="00115CAE" w:rsidRPr="00F17732" w:rsidRDefault="00115CAE" w:rsidP="00115CAE"/>
    <w:p w14:paraId="78C0A666" w14:textId="77777777" w:rsidR="00115CAE" w:rsidRDefault="00115CAE" w:rsidP="00115CAE">
      <w:pPr>
        <w:rPr>
          <w:caps/>
        </w:rPr>
      </w:pPr>
    </w:p>
    <w:p w14:paraId="11BC9A25" w14:textId="77777777" w:rsidR="00AE1525" w:rsidRDefault="00AE1525" w:rsidP="00115CAE">
      <w:pPr>
        <w:rPr>
          <w:caps/>
        </w:rPr>
      </w:pPr>
    </w:p>
    <w:p w14:paraId="0B723BB6" w14:textId="77777777" w:rsidR="009376F1" w:rsidRDefault="009376F1" w:rsidP="009376F1">
      <w:pPr>
        <w:pStyle w:val="Figure"/>
      </w:pPr>
      <w:bookmarkStart w:id="47" w:name="_Toc536020159"/>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2D1D6B">
        <w:rPr>
          <w:noProof/>
        </w:rPr>
        <w:t>7</w:t>
      </w:r>
      <w:r w:rsidR="000B7E2A">
        <w:rPr>
          <w:noProof/>
        </w:rPr>
        <w:fldChar w:fldCharType="end"/>
      </w:r>
      <w:r>
        <w:t>:</w:t>
      </w:r>
      <w:r w:rsidRPr="00F17732">
        <w:t xml:space="preserve"> </w:t>
      </w:r>
      <w:r w:rsidR="00751E09">
        <w:t>BSA</w:t>
      </w:r>
      <w:r w:rsidRPr="00F17732">
        <w:t xml:space="preserve"> </w:t>
      </w:r>
      <w:r>
        <w:t>c</w:t>
      </w:r>
      <w:r w:rsidRPr="00F17732">
        <w:t xml:space="preserve">overage </w:t>
      </w:r>
      <w:r>
        <w:t xml:space="preserve">(%) </w:t>
      </w:r>
      <w:r w:rsidRPr="00F17732">
        <w:t xml:space="preserve">of Māori women </w:t>
      </w:r>
      <w:r w:rsidRPr="002171C9">
        <w:t xml:space="preserve">aged </w:t>
      </w:r>
      <w:r w:rsidR="004B6FD0">
        <w:t>50</w:t>
      </w:r>
      <w:r>
        <w:t>–</w:t>
      </w:r>
      <w:r w:rsidRPr="002171C9">
        <w:t xml:space="preserve">69 </w:t>
      </w:r>
      <w:r>
        <w:t xml:space="preserve">years in the </w:t>
      </w:r>
      <w:r w:rsidR="00805861">
        <w:t>two</w:t>
      </w:r>
      <w:r>
        <w:t xml:space="preserve"> years </w:t>
      </w:r>
      <w:r w:rsidRPr="00F17732">
        <w:t xml:space="preserve">ending </w:t>
      </w:r>
      <w:r w:rsidR="000436A5" w:rsidRPr="000436A5">
        <w:t>31 December 2018</w:t>
      </w:r>
      <w:bookmarkEnd w:id="47"/>
    </w:p>
    <w:p w14:paraId="3869666C" w14:textId="77777777" w:rsidR="00EB1948" w:rsidRPr="00D83F91" w:rsidRDefault="001E4407" w:rsidP="00AE1525">
      <w:r w:rsidRPr="001E4407">
        <w:rPr>
          <w:noProof/>
        </w:rPr>
        <w:drawing>
          <wp:inline distT="0" distB="0" distL="0" distR="0" wp14:anchorId="2749DB25" wp14:editId="5768DE53">
            <wp:extent cx="5940425" cy="8401886"/>
            <wp:effectExtent l="0" t="0" r="3175" b="0"/>
            <wp:docPr id="3" name="Picture 3" descr="S:\Analysis\30 Breast\Programme analysis\BSA DHB Reports\20 December 2018\3 Arc GIS maps\BSA_Māori FINAL December 2018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alysis\30 Breast\Programme analysis\BSA DHB Reports\20 December 2018\3 Arc GIS maps\BSA_Māori FINAL December 2018 50-69.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14:paraId="3E8B04A4" w14:textId="77777777" w:rsidR="00AE1525" w:rsidRDefault="009376F1" w:rsidP="009376F1">
      <w:pPr>
        <w:pStyle w:val="Figure"/>
      </w:pPr>
      <w:bookmarkStart w:id="48" w:name="_Toc536020160"/>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2D1D6B">
        <w:rPr>
          <w:noProof/>
        </w:rPr>
        <w:t>8</w:t>
      </w:r>
      <w:r w:rsidR="000B7E2A">
        <w:rPr>
          <w:noProof/>
        </w:rPr>
        <w:fldChar w:fldCharType="end"/>
      </w:r>
      <w:r>
        <w:t>:</w:t>
      </w:r>
      <w:r w:rsidRPr="00F17732">
        <w:t xml:space="preserve"> </w:t>
      </w:r>
      <w:r w:rsidR="00751E09">
        <w:t>BSA</w:t>
      </w:r>
      <w:r w:rsidRPr="00BF2EB6">
        <w:t xml:space="preserve"> </w:t>
      </w:r>
      <w:r>
        <w:t>c</w:t>
      </w:r>
      <w:r w:rsidRPr="00F17732">
        <w:t>overage</w:t>
      </w:r>
      <w:r>
        <w:t xml:space="preserve"> (%)</w:t>
      </w:r>
      <w:r w:rsidRPr="00F17732">
        <w:t xml:space="preserve"> of Pacific </w:t>
      </w:r>
      <w:r w:rsidRPr="002171C9">
        <w:t>women</w:t>
      </w:r>
      <w:r>
        <w:t xml:space="preserve"> aged </w:t>
      </w:r>
      <w:r w:rsidR="004B6FD0">
        <w:t>50</w:t>
      </w:r>
      <w:r>
        <w:t>–69</w:t>
      </w:r>
      <w:r w:rsidRPr="002171C9">
        <w:t xml:space="preserve"> </w:t>
      </w:r>
      <w:r>
        <w:t xml:space="preserve">years in the </w:t>
      </w:r>
      <w:r w:rsidR="00805861">
        <w:t>two</w:t>
      </w:r>
      <w:r>
        <w:t xml:space="preserve"> years </w:t>
      </w:r>
      <w:r w:rsidRPr="002171C9">
        <w:t xml:space="preserve">ending </w:t>
      </w:r>
      <w:r w:rsidR="000436A5" w:rsidRPr="000436A5">
        <w:t>31 December 2018</w:t>
      </w:r>
      <w:bookmarkEnd w:id="48"/>
    </w:p>
    <w:p w14:paraId="763DE563" w14:textId="77777777" w:rsidR="00A43F46" w:rsidRPr="00A43F46" w:rsidRDefault="00595C36" w:rsidP="00A43F46">
      <w:r w:rsidRPr="00595C36">
        <w:rPr>
          <w:noProof/>
        </w:rPr>
        <w:drawing>
          <wp:inline distT="0" distB="0" distL="0" distR="0" wp14:anchorId="6D2605B8" wp14:editId="66B64F70">
            <wp:extent cx="5478651" cy="7746281"/>
            <wp:effectExtent l="0" t="0" r="8255" b="7620"/>
            <wp:docPr id="2" name="Picture 2" descr="S:\Analysis\30 Breast\Programme analysis\BSA DHB Reports\20 December 2018\3 Arc GIS maps\BSA_Pacific FINAL December 2018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nalysis\30 Breast\Programme analysis\BSA DHB Reports\20 December 2018\3 Arc GIS maps\BSA_Pacific FINAL December 2018 50-69.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83448" cy="7753064"/>
                    </a:xfrm>
                    <a:prstGeom prst="rect">
                      <a:avLst/>
                    </a:prstGeom>
                    <a:noFill/>
                    <a:ln>
                      <a:noFill/>
                    </a:ln>
                  </pic:spPr>
                </pic:pic>
              </a:graphicData>
            </a:graphic>
          </wp:inline>
        </w:drawing>
      </w:r>
    </w:p>
    <w:p w14:paraId="3F95F0B0" w14:textId="77777777" w:rsidR="00AE1525" w:rsidRPr="00C9547D" w:rsidRDefault="00AE1525" w:rsidP="00AE1525"/>
    <w:p w14:paraId="763F752A" w14:textId="77777777" w:rsidR="009376F1" w:rsidRDefault="009376F1" w:rsidP="009376F1">
      <w:pPr>
        <w:pStyle w:val="Figure"/>
      </w:pPr>
      <w:bookmarkStart w:id="49" w:name="_Toc536020161"/>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2D1D6B">
        <w:rPr>
          <w:noProof/>
        </w:rPr>
        <w:t>9</w:t>
      </w:r>
      <w:r w:rsidR="000B7E2A">
        <w:rPr>
          <w:noProof/>
        </w:rPr>
        <w:fldChar w:fldCharType="end"/>
      </w:r>
      <w:r w:rsidRPr="00F17732">
        <w:t xml:space="preserve">: </w:t>
      </w:r>
      <w:r>
        <w:t xml:space="preserve">Overall </w:t>
      </w:r>
      <w:r w:rsidR="00751E09">
        <w:t>BSA</w:t>
      </w:r>
      <w:r w:rsidRPr="00636BD3">
        <w:t xml:space="preserve"> </w:t>
      </w:r>
      <w:r>
        <w:t>c</w:t>
      </w:r>
      <w:r w:rsidRPr="00F17732">
        <w:t>overage</w:t>
      </w:r>
      <w:r>
        <w:t xml:space="preserve"> (%)</w:t>
      </w:r>
      <w:r w:rsidRPr="00F17732">
        <w:t xml:space="preserve"> of </w:t>
      </w:r>
      <w:r w:rsidRPr="002171C9">
        <w:t xml:space="preserve">women </w:t>
      </w:r>
      <w:r>
        <w:t xml:space="preserve">aged </w:t>
      </w:r>
      <w:r w:rsidR="004B6FD0">
        <w:t>50</w:t>
      </w:r>
      <w:r>
        <w:t xml:space="preserve">–69 years in the </w:t>
      </w:r>
      <w:r w:rsidR="00805861">
        <w:t>two</w:t>
      </w:r>
      <w:r>
        <w:t xml:space="preserve"> years </w:t>
      </w:r>
      <w:r w:rsidRPr="002171C9">
        <w:t xml:space="preserve">ending </w:t>
      </w:r>
      <w:r w:rsidR="000436A5" w:rsidRPr="000436A5">
        <w:t>31 December 2018</w:t>
      </w:r>
      <w:r w:rsidRPr="002171C9">
        <w:t xml:space="preserve"> by </w:t>
      </w:r>
      <w:r>
        <w:t>District Health Board</w:t>
      </w:r>
      <w:bookmarkEnd w:id="49"/>
    </w:p>
    <w:p w14:paraId="7B7EB54E" w14:textId="77777777" w:rsidR="00137AB6" w:rsidRDefault="00D80A92" w:rsidP="00137AB6">
      <w:pPr>
        <w:tabs>
          <w:tab w:val="left" w:pos="810"/>
        </w:tabs>
      </w:pPr>
      <w:r w:rsidRPr="00D80A92">
        <w:rPr>
          <w:noProof/>
        </w:rPr>
        <w:drawing>
          <wp:inline distT="0" distB="0" distL="0" distR="0" wp14:anchorId="7B127598" wp14:editId="0E36365E">
            <wp:extent cx="5940425" cy="8399185"/>
            <wp:effectExtent l="0" t="0" r="3175" b="1905"/>
            <wp:docPr id="10" name="Picture 10" descr="S:\Analysis\30 Breast\Programme analysis\BSA DHB Reports\20 December 2018\3 Arc GIS maps\BSA_National December FINAL 2018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nalysis\30 Breast\Programme analysis\BSA DHB Reports\20 December 2018\3 Arc GIS maps\BSA_National December FINAL 2018 50-69.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0425" cy="8399185"/>
                    </a:xfrm>
                    <a:prstGeom prst="rect">
                      <a:avLst/>
                    </a:prstGeom>
                    <a:noFill/>
                    <a:ln>
                      <a:noFill/>
                    </a:ln>
                  </pic:spPr>
                </pic:pic>
              </a:graphicData>
            </a:graphic>
          </wp:inline>
        </w:drawing>
      </w:r>
    </w:p>
    <w:p w14:paraId="46FE64A7" w14:textId="77777777" w:rsidR="00407A66" w:rsidRPr="00137AB6" w:rsidRDefault="00407A66" w:rsidP="001653A1">
      <w:pPr>
        <w:tabs>
          <w:tab w:val="left" w:pos="810"/>
        </w:tabs>
        <w:jc w:val="center"/>
        <w:sectPr w:rsidR="00407A66" w:rsidRPr="00137AB6" w:rsidSect="00E52682">
          <w:headerReference w:type="first" r:id="rId25"/>
          <w:footerReference w:type="first" r:id="rId26"/>
          <w:pgSz w:w="11907" w:h="16840" w:code="9"/>
          <w:pgMar w:top="1418" w:right="1134" w:bottom="1418" w:left="1418" w:header="567" w:footer="567" w:gutter="0"/>
          <w:paperSrc w:first="15" w:other="15"/>
          <w:pgNumType w:start="1"/>
          <w:cols w:space="708"/>
          <w:docGrid w:linePitch="360"/>
        </w:sectPr>
      </w:pPr>
    </w:p>
    <w:p w14:paraId="28682320" w14:textId="77777777" w:rsidR="00440E9F" w:rsidRDefault="00440E9F" w:rsidP="00440E9F">
      <w:pPr>
        <w:pStyle w:val="Heading2"/>
        <w:spacing w:before="0"/>
        <w:ind w:left="-284"/>
      </w:pPr>
      <w:bookmarkStart w:id="50" w:name="_Toc536020147"/>
      <w:bookmarkStart w:id="51" w:name="_Toc400365297"/>
      <w:r>
        <w:lastRenderedPageBreak/>
        <w:t>DHB coverage comparison trends by ethnicity</w:t>
      </w:r>
      <w:bookmarkEnd w:id="50"/>
    </w:p>
    <w:p w14:paraId="3E184EE7" w14:textId="77777777" w:rsidR="00D52B13" w:rsidRPr="004F701C" w:rsidRDefault="004F701C" w:rsidP="001802FB">
      <w:pPr>
        <w:pStyle w:val="Table"/>
        <w:rPr>
          <w:i/>
          <w:iCs/>
        </w:rPr>
      </w:pPr>
      <w:bookmarkStart w:id="52" w:name="_Toc536020151"/>
      <w:r w:rsidRPr="004F701C">
        <w:t xml:space="preserve">Table </w:t>
      </w:r>
      <w:r w:rsidR="00440E9F">
        <w:t>4</w:t>
      </w:r>
      <w:r w:rsidR="00115CAE" w:rsidRPr="004F701C">
        <w:t xml:space="preserve">: </w:t>
      </w:r>
      <w:r w:rsidR="00751E09" w:rsidRPr="004F701C">
        <w:t>BSA</w:t>
      </w:r>
      <w:r w:rsidR="00115CAE" w:rsidRPr="004F701C">
        <w:t xml:space="preserve"> number of screens and coverage (%) in women aged </w:t>
      </w:r>
      <w:r w:rsidR="004B6FD0" w:rsidRPr="004F701C">
        <w:t>50</w:t>
      </w:r>
      <w:r w:rsidR="00115CAE" w:rsidRPr="004F701C">
        <w:t xml:space="preserve">–69 years in the </w:t>
      </w:r>
      <w:r w:rsidR="00805861" w:rsidRPr="004F701C">
        <w:t>two</w:t>
      </w:r>
      <w:r w:rsidR="00115CAE" w:rsidRPr="004F701C">
        <w:t xml:space="preserve"> years ending </w:t>
      </w:r>
      <w:r w:rsidR="000436A5" w:rsidRPr="000436A5">
        <w:t>31 December 2018</w:t>
      </w:r>
      <w:r w:rsidR="00115CAE" w:rsidRPr="004F701C">
        <w:t xml:space="preserve"> by </w:t>
      </w:r>
      <w:r w:rsidR="00B718BD" w:rsidRPr="004F701C">
        <w:t>District Health Board</w:t>
      </w:r>
      <w:bookmarkEnd w:id="51"/>
      <w:bookmarkEnd w:id="52"/>
    </w:p>
    <w:p w14:paraId="4597CA4F" w14:textId="77777777" w:rsidR="00CE24C5" w:rsidRPr="00CE24C5" w:rsidRDefault="007E0840" w:rsidP="00CE24C5">
      <w:bookmarkStart w:id="53" w:name="table_2"/>
      <w:bookmarkEnd w:id="53"/>
      <w:r w:rsidRPr="007E0840">
        <w:rPr>
          <w:noProof/>
        </w:rPr>
        <w:drawing>
          <wp:inline distT="0" distB="0" distL="0" distR="0" wp14:anchorId="50D06839" wp14:editId="663B35C3">
            <wp:extent cx="9253220" cy="4521771"/>
            <wp:effectExtent l="0" t="0" r="508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253220" cy="4521771"/>
                    </a:xfrm>
                    <a:prstGeom prst="rect">
                      <a:avLst/>
                    </a:prstGeom>
                    <a:noFill/>
                    <a:ln>
                      <a:noFill/>
                    </a:ln>
                  </pic:spPr>
                </pic:pic>
              </a:graphicData>
            </a:graphic>
          </wp:inline>
        </w:drawing>
      </w:r>
    </w:p>
    <w:p w14:paraId="6B392318" w14:textId="77777777" w:rsidR="00115CAE" w:rsidRDefault="00115CAE" w:rsidP="00115CAE"/>
    <w:p w14:paraId="0A044D3A" w14:textId="77777777" w:rsidR="00CE24C5" w:rsidRDefault="00CE24C5">
      <w:pPr>
        <w:spacing w:after="200"/>
        <w:rPr>
          <w:rFonts w:eastAsiaTheme="majorEastAsia" w:cstheme="majorBidi"/>
          <w:b/>
          <w:bCs/>
          <w:sz w:val="28"/>
          <w:szCs w:val="26"/>
        </w:rPr>
      </w:pPr>
      <w:bookmarkStart w:id="54" w:name="_Toc399921857"/>
      <w:r>
        <w:br w:type="page"/>
      </w:r>
    </w:p>
    <w:p w14:paraId="62136723" w14:textId="77777777" w:rsidR="00115CAE" w:rsidRPr="004F701C" w:rsidRDefault="004F701C" w:rsidP="001802FB">
      <w:pPr>
        <w:pStyle w:val="Table"/>
        <w:rPr>
          <w:i/>
          <w:iCs/>
        </w:rPr>
      </w:pPr>
      <w:bookmarkStart w:id="55" w:name="_Toc400365298"/>
      <w:bookmarkStart w:id="56" w:name="_Toc536020152"/>
      <w:bookmarkEnd w:id="54"/>
      <w:r w:rsidRPr="004F701C">
        <w:lastRenderedPageBreak/>
        <w:t xml:space="preserve">Table </w:t>
      </w:r>
      <w:r w:rsidR="00440E9F">
        <w:t>5</w:t>
      </w:r>
      <w:r w:rsidR="00115CAE" w:rsidRPr="004F701C">
        <w:t xml:space="preserve">: </w:t>
      </w:r>
      <w:r w:rsidR="00751E09" w:rsidRPr="004F701C">
        <w:t>BSA</w:t>
      </w:r>
      <w:r w:rsidR="00115CAE" w:rsidRPr="004F701C">
        <w:t xml:space="preserve"> coverage (%) of women aged </w:t>
      </w:r>
      <w:r w:rsidR="004B6FD0" w:rsidRPr="004F701C">
        <w:t>50</w:t>
      </w:r>
      <w:r w:rsidR="00115CAE" w:rsidRPr="004F701C">
        <w:t xml:space="preserve">–69 years in the </w:t>
      </w:r>
      <w:r w:rsidR="00805861" w:rsidRPr="004F701C">
        <w:t>two</w:t>
      </w:r>
      <w:r w:rsidR="00115CAE" w:rsidRPr="004F701C">
        <w:t xml:space="preserve"> years ending </w:t>
      </w:r>
      <w:r w:rsidR="000436A5" w:rsidRPr="000436A5">
        <w:t>31 December, 2016, 2017, 2018</w:t>
      </w:r>
      <w:r w:rsidR="00115CAE" w:rsidRPr="004F701C">
        <w:t xml:space="preserve">, by ethnicity and </w:t>
      </w:r>
      <w:r w:rsidR="00B718BD" w:rsidRPr="004F701C">
        <w:t>District Health Board</w:t>
      </w:r>
      <w:bookmarkEnd w:id="55"/>
      <w:bookmarkEnd w:id="56"/>
    </w:p>
    <w:p w14:paraId="1D6884FB" w14:textId="77777777" w:rsidR="006B45AA" w:rsidRPr="006B45AA" w:rsidRDefault="007E0840" w:rsidP="006B45AA">
      <w:bookmarkStart w:id="57" w:name="table_3"/>
      <w:bookmarkEnd w:id="57"/>
      <w:r w:rsidRPr="007E0840">
        <w:rPr>
          <w:noProof/>
        </w:rPr>
        <w:drawing>
          <wp:inline distT="0" distB="0" distL="0" distR="0" wp14:anchorId="088A58A1" wp14:editId="3E76C359">
            <wp:extent cx="9253220" cy="4326063"/>
            <wp:effectExtent l="0" t="0" r="508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253220" cy="4326063"/>
                    </a:xfrm>
                    <a:prstGeom prst="rect">
                      <a:avLst/>
                    </a:prstGeom>
                    <a:noFill/>
                    <a:ln>
                      <a:noFill/>
                    </a:ln>
                  </pic:spPr>
                </pic:pic>
              </a:graphicData>
            </a:graphic>
          </wp:inline>
        </w:drawing>
      </w:r>
    </w:p>
    <w:p w14:paraId="4DC24DCD" w14:textId="77777777" w:rsidR="003669D4" w:rsidRPr="003669D4" w:rsidRDefault="003669D4" w:rsidP="003669D4">
      <w:pPr>
        <w:ind w:left="-284"/>
      </w:pPr>
    </w:p>
    <w:p w14:paraId="322F894A" w14:textId="77777777" w:rsidR="009866FE" w:rsidRDefault="009866FE"/>
    <w:sectPr w:rsidR="009866FE" w:rsidSect="00E52682">
      <w:pgSz w:w="16840" w:h="11907" w:orient="landscape"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CF58E" w14:textId="77777777" w:rsidR="005945F7" w:rsidRDefault="005945F7">
      <w:pPr>
        <w:spacing w:line="240" w:lineRule="auto"/>
      </w:pPr>
      <w:r>
        <w:separator/>
      </w:r>
    </w:p>
  </w:endnote>
  <w:endnote w:type="continuationSeparator" w:id="0">
    <w:p w14:paraId="0F388358" w14:textId="77777777" w:rsidR="005945F7" w:rsidRDefault="005945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Mäori">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9938213"/>
      <w:docPartObj>
        <w:docPartGallery w:val="Page Numbers (Bottom of Page)"/>
        <w:docPartUnique/>
      </w:docPartObj>
    </w:sdtPr>
    <w:sdtEndPr>
      <w:rPr>
        <w:noProof/>
      </w:rPr>
    </w:sdtEndPr>
    <w:sdtContent>
      <w:p w14:paraId="4D8439EB" w14:textId="77777777" w:rsidR="00A6248B" w:rsidRDefault="00A6248B">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14:paraId="64AEDD49" w14:textId="77777777" w:rsidR="00A6248B" w:rsidRPr="00497068" w:rsidRDefault="00A6248B" w:rsidP="00E526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5983673"/>
      <w:docPartObj>
        <w:docPartGallery w:val="Page Numbers (Bottom of Page)"/>
        <w:docPartUnique/>
      </w:docPartObj>
    </w:sdtPr>
    <w:sdtEndPr>
      <w:rPr>
        <w:noProof/>
      </w:rPr>
    </w:sdtEndPr>
    <w:sdtContent>
      <w:p w14:paraId="1B4D263B" w14:textId="77777777" w:rsidR="00A6248B" w:rsidRDefault="00A6248B">
        <w:pPr>
          <w:pStyle w:val="Footer"/>
          <w:jc w:val="center"/>
        </w:pPr>
        <w:r>
          <w:fldChar w:fldCharType="begin"/>
        </w:r>
        <w:r>
          <w:instrText xml:space="preserve"> PAGE   \* MERGEFORMAT </w:instrText>
        </w:r>
        <w:r>
          <w:fldChar w:fldCharType="separate"/>
        </w:r>
        <w:r w:rsidR="002D1D6B">
          <w:rPr>
            <w:noProof/>
          </w:rPr>
          <w:t>14</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7246320"/>
      <w:docPartObj>
        <w:docPartGallery w:val="Page Numbers (Bottom of Page)"/>
        <w:docPartUnique/>
      </w:docPartObj>
    </w:sdtPr>
    <w:sdtEndPr>
      <w:rPr>
        <w:noProof/>
      </w:rPr>
    </w:sdtEndPr>
    <w:sdtContent>
      <w:p w14:paraId="7B5D9857" w14:textId="77777777" w:rsidR="00A6248B" w:rsidRDefault="00A6248B">
        <w:pPr>
          <w:pStyle w:val="Footer"/>
          <w:jc w:val="center"/>
        </w:pPr>
        <w:r>
          <w:fldChar w:fldCharType="begin"/>
        </w:r>
        <w:r>
          <w:instrText xml:space="preserve"> PAGE   \* MERGEFORMAT </w:instrText>
        </w:r>
        <w:r>
          <w:fldChar w:fldCharType="separate"/>
        </w:r>
        <w:r w:rsidR="002D1D6B">
          <w:rPr>
            <w:noProof/>
          </w:rPr>
          <w:t>13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9D337" w14:textId="77777777" w:rsidR="005945F7" w:rsidRDefault="005945F7">
      <w:pPr>
        <w:spacing w:line="240" w:lineRule="auto"/>
      </w:pPr>
      <w:r>
        <w:separator/>
      </w:r>
    </w:p>
  </w:footnote>
  <w:footnote w:type="continuationSeparator" w:id="0">
    <w:p w14:paraId="05D3B172" w14:textId="77777777" w:rsidR="005945F7" w:rsidRDefault="005945F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5719A" w14:textId="77777777" w:rsidR="00A6248B" w:rsidRDefault="00A6248B">
    <w:pPr>
      <w:pStyle w:val="Header"/>
    </w:pPr>
    <w:r>
      <w:rPr>
        <w:noProof/>
      </w:rPr>
      <w:drawing>
        <wp:inline distT="0" distB="0" distL="0" distR="0" wp14:anchorId="0C305C93" wp14:editId="365C17BE">
          <wp:extent cx="5940425" cy="464040"/>
          <wp:effectExtent l="0" t="0" r="3175" b="0"/>
          <wp:docPr id="17" name="Picture 17"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p w14:paraId="36C3C91C" w14:textId="77777777" w:rsidR="00A6248B" w:rsidRDefault="00A6248B" w:rsidP="00E52682">
    <w:pPr>
      <w:pStyle w:val="Header"/>
      <w:ind w:right="-425"/>
      <w:jc w:val="right"/>
    </w:pPr>
    <w:r>
      <w:rPr>
        <w:noProof/>
      </w:rPr>
      <w:drawing>
        <wp:inline distT="0" distB="0" distL="0" distR="0" wp14:anchorId="0607B18A" wp14:editId="7032A29E">
          <wp:extent cx="2687066" cy="837559"/>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87066" cy="837559"/>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59C2D" w14:textId="77777777" w:rsidR="00A6248B" w:rsidRDefault="00A6248B">
    <w:pPr>
      <w:pStyle w:val="Header"/>
    </w:pPr>
    <w:r>
      <w:rPr>
        <w:noProof/>
      </w:rPr>
      <w:drawing>
        <wp:inline distT="0" distB="0" distL="0" distR="0" wp14:anchorId="61957D09" wp14:editId="3EEAA301">
          <wp:extent cx="5940425" cy="464040"/>
          <wp:effectExtent l="0" t="0" r="3175" b="0"/>
          <wp:docPr id="5" name="Picture 5"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F995C" w14:textId="77777777" w:rsidR="00A6248B" w:rsidRDefault="00A6248B">
    <w:pPr>
      <w:pStyle w:val="Header"/>
    </w:pPr>
    <w:r>
      <w:rPr>
        <w:noProof/>
      </w:rPr>
      <w:drawing>
        <wp:inline distT="0" distB="0" distL="0" distR="0" wp14:anchorId="4A7C23F2" wp14:editId="177BD8CD">
          <wp:extent cx="6242685" cy="40703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685" cy="407035"/>
                  </a:xfrm>
                  <a:prstGeom prst="rect">
                    <a:avLst/>
                  </a:prstGeom>
                  <a:noFill/>
                  <a:ln>
                    <a:noFill/>
                  </a:ln>
                </pic:spPr>
              </pic:pic>
            </a:graphicData>
          </a:graphic>
        </wp:inline>
      </w:drawing>
    </w:r>
  </w:p>
  <w:p w14:paraId="059B3F28" w14:textId="77777777" w:rsidR="00A6248B" w:rsidRDefault="00A6248B" w:rsidP="00E52682">
    <w:pPr>
      <w:pStyle w:val="Header"/>
      <w:ind w:right="-425"/>
      <w:jc w:val="right"/>
    </w:pPr>
    <w:r w:rsidRPr="001A7BE5">
      <w:rPr>
        <w:noProof/>
        <w:color w:val="000000"/>
        <w:sz w:val="19"/>
        <w:szCs w:val="19"/>
      </w:rPr>
      <w:drawing>
        <wp:inline distT="0" distB="0" distL="0" distR="0" wp14:anchorId="0538FACE" wp14:editId="75FA6B80">
          <wp:extent cx="1843200" cy="1148400"/>
          <wp:effectExtent l="0" t="0" r="5080" b="0"/>
          <wp:docPr id="7" name="Picture 7"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83E6C" w14:textId="77777777" w:rsidR="00A6248B" w:rsidRDefault="00A6248B">
    <w:pPr>
      <w:pStyle w:val="Header"/>
    </w:pPr>
    <w:r>
      <w:rPr>
        <w:noProof/>
      </w:rPr>
      <w:drawing>
        <wp:inline distT="0" distB="0" distL="0" distR="0" wp14:anchorId="22FB1652" wp14:editId="15941558">
          <wp:extent cx="5940425" cy="464040"/>
          <wp:effectExtent l="0" t="0" r="3175" b="0"/>
          <wp:docPr id="11" name="Picture 11"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2D03B56"/>
    <w:lvl w:ilvl="0">
      <w:numFmt w:val="bullet"/>
      <w:lvlText w:val="*"/>
      <w:lvlJc w:val="left"/>
    </w:lvl>
  </w:abstractNum>
  <w:abstractNum w:abstractNumId="1" w15:restartNumberingAfterBreak="0">
    <w:nsid w:val="1C9C375F"/>
    <w:multiLevelType w:val="hybridMultilevel"/>
    <w:tmpl w:val="4C28F1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72D0AED"/>
    <w:multiLevelType w:val="hybridMultilevel"/>
    <w:tmpl w:val="F932A216"/>
    <w:lvl w:ilvl="0" w:tplc="3FFE4FD4">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5AD37F3"/>
    <w:multiLevelType w:val="multilevel"/>
    <w:tmpl w:val="609A5B22"/>
    <w:lvl w:ilvl="0">
      <w:start w:val="1"/>
      <w:numFmt w:val="bullet"/>
      <w:lvlText w:val=""/>
      <w:lvlJc w:val="left"/>
      <w:pPr>
        <w:tabs>
          <w:tab w:val="num" w:pos="567"/>
        </w:tabs>
        <w:ind w:left="567" w:hanging="567"/>
      </w:pPr>
      <w:rPr>
        <w:rFonts w:ascii="Symbol" w:hAnsi="Symbol" w:cs="Times New Roman" w:hint="default"/>
        <w:bCs w:val="0"/>
        <w:iCs w:val="0"/>
        <w:color w:val="auto"/>
        <w:sz w:val="20"/>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D073AC"/>
    <w:multiLevelType w:val="hybridMultilevel"/>
    <w:tmpl w:val="2998F9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num w:numId="1">
    <w:abstractNumId w:val="2"/>
  </w:num>
  <w:num w:numId="2">
    <w:abstractNumId w:val="3"/>
  </w:num>
  <w:num w:numId="3">
    <w:abstractNumId w:val="6"/>
  </w:num>
  <w:num w:numId="4">
    <w:abstractNumId w:val="4"/>
  </w:num>
  <w:num w:numId="5">
    <w:abstractNumId w:val="1"/>
  </w:num>
  <w:num w:numId="6">
    <w:abstractNumId w:val="5"/>
  </w:num>
  <w:num w:numId="7">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9FE"/>
    <w:rsid w:val="0000029B"/>
    <w:rsid w:val="00002BA2"/>
    <w:rsid w:val="000139DD"/>
    <w:rsid w:val="00017347"/>
    <w:rsid w:val="000433F6"/>
    <w:rsid w:val="000436A5"/>
    <w:rsid w:val="00070AAE"/>
    <w:rsid w:val="00070D14"/>
    <w:rsid w:val="00082E02"/>
    <w:rsid w:val="000933E9"/>
    <w:rsid w:val="000A74EA"/>
    <w:rsid w:val="000B465E"/>
    <w:rsid w:val="000B7E2A"/>
    <w:rsid w:val="000C2B3F"/>
    <w:rsid w:val="000C5714"/>
    <w:rsid w:val="000C75D7"/>
    <w:rsid w:val="000D1A06"/>
    <w:rsid w:val="000E7690"/>
    <w:rsid w:val="000F768D"/>
    <w:rsid w:val="00115CAE"/>
    <w:rsid w:val="00131DDF"/>
    <w:rsid w:val="00132229"/>
    <w:rsid w:val="00135CA4"/>
    <w:rsid w:val="00137AB6"/>
    <w:rsid w:val="00137BE4"/>
    <w:rsid w:val="00141C89"/>
    <w:rsid w:val="00164D88"/>
    <w:rsid w:val="001653A1"/>
    <w:rsid w:val="001802FB"/>
    <w:rsid w:val="00183C71"/>
    <w:rsid w:val="00193694"/>
    <w:rsid w:val="001979C8"/>
    <w:rsid w:val="001A1F18"/>
    <w:rsid w:val="001A76B0"/>
    <w:rsid w:val="001B2D4A"/>
    <w:rsid w:val="001B7D1A"/>
    <w:rsid w:val="001D2534"/>
    <w:rsid w:val="001E4407"/>
    <w:rsid w:val="001E5470"/>
    <w:rsid w:val="001F29EC"/>
    <w:rsid w:val="00202796"/>
    <w:rsid w:val="00206DBB"/>
    <w:rsid w:val="00223993"/>
    <w:rsid w:val="0023374D"/>
    <w:rsid w:val="0023529A"/>
    <w:rsid w:val="00236495"/>
    <w:rsid w:val="0024296D"/>
    <w:rsid w:val="00243292"/>
    <w:rsid w:val="00251991"/>
    <w:rsid w:val="002669FF"/>
    <w:rsid w:val="00284E09"/>
    <w:rsid w:val="002A2801"/>
    <w:rsid w:val="002A5770"/>
    <w:rsid w:val="002B0ED8"/>
    <w:rsid w:val="002B1E5A"/>
    <w:rsid w:val="002B6CFE"/>
    <w:rsid w:val="002D06D3"/>
    <w:rsid w:val="002D1D6B"/>
    <w:rsid w:val="002D25D6"/>
    <w:rsid w:val="002F1217"/>
    <w:rsid w:val="002F360A"/>
    <w:rsid w:val="00303A87"/>
    <w:rsid w:val="003074B1"/>
    <w:rsid w:val="00312010"/>
    <w:rsid w:val="0031619E"/>
    <w:rsid w:val="00326223"/>
    <w:rsid w:val="00327229"/>
    <w:rsid w:val="00340577"/>
    <w:rsid w:val="003557B2"/>
    <w:rsid w:val="00357686"/>
    <w:rsid w:val="00363C24"/>
    <w:rsid w:val="0036623D"/>
    <w:rsid w:val="003669D4"/>
    <w:rsid w:val="00372639"/>
    <w:rsid w:val="00376CBF"/>
    <w:rsid w:val="00393D33"/>
    <w:rsid w:val="003B681D"/>
    <w:rsid w:val="003D1C1E"/>
    <w:rsid w:val="003E5CF3"/>
    <w:rsid w:val="003F0618"/>
    <w:rsid w:val="003F1A49"/>
    <w:rsid w:val="00401D58"/>
    <w:rsid w:val="00403081"/>
    <w:rsid w:val="00406AE2"/>
    <w:rsid w:val="00407A66"/>
    <w:rsid w:val="00407AD1"/>
    <w:rsid w:val="0041553F"/>
    <w:rsid w:val="00417EF2"/>
    <w:rsid w:val="00423FE9"/>
    <w:rsid w:val="00425641"/>
    <w:rsid w:val="00440E9F"/>
    <w:rsid w:val="004435B3"/>
    <w:rsid w:val="00451AE5"/>
    <w:rsid w:val="00454136"/>
    <w:rsid w:val="00460FDC"/>
    <w:rsid w:val="00463FBA"/>
    <w:rsid w:val="0048478E"/>
    <w:rsid w:val="004A0172"/>
    <w:rsid w:val="004B1400"/>
    <w:rsid w:val="004B6FD0"/>
    <w:rsid w:val="004C1F44"/>
    <w:rsid w:val="004C3D85"/>
    <w:rsid w:val="004D0E6D"/>
    <w:rsid w:val="004E531D"/>
    <w:rsid w:val="004F5B05"/>
    <w:rsid w:val="004F6AC5"/>
    <w:rsid w:val="004F701C"/>
    <w:rsid w:val="0050463E"/>
    <w:rsid w:val="0050510D"/>
    <w:rsid w:val="00532664"/>
    <w:rsid w:val="0056042A"/>
    <w:rsid w:val="005631A2"/>
    <w:rsid w:val="005649ED"/>
    <w:rsid w:val="00565780"/>
    <w:rsid w:val="0056684C"/>
    <w:rsid w:val="00576B92"/>
    <w:rsid w:val="005834E2"/>
    <w:rsid w:val="00585B52"/>
    <w:rsid w:val="005945F7"/>
    <w:rsid w:val="00595C36"/>
    <w:rsid w:val="005A05B2"/>
    <w:rsid w:val="005A3342"/>
    <w:rsid w:val="005A3C8B"/>
    <w:rsid w:val="005B004E"/>
    <w:rsid w:val="005B26F1"/>
    <w:rsid w:val="005C206B"/>
    <w:rsid w:val="005C799B"/>
    <w:rsid w:val="005E0F61"/>
    <w:rsid w:val="005E7C0E"/>
    <w:rsid w:val="005F3F3F"/>
    <w:rsid w:val="0060384F"/>
    <w:rsid w:val="00606F61"/>
    <w:rsid w:val="00622075"/>
    <w:rsid w:val="00625E48"/>
    <w:rsid w:val="006300D9"/>
    <w:rsid w:val="006537DF"/>
    <w:rsid w:val="006542B8"/>
    <w:rsid w:val="006722EA"/>
    <w:rsid w:val="006871C8"/>
    <w:rsid w:val="006A45A7"/>
    <w:rsid w:val="006A46DF"/>
    <w:rsid w:val="006A64A9"/>
    <w:rsid w:val="006B45AA"/>
    <w:rsid w:val="006B6452"/>
    <w:rsid w:val="006C1638"/>
    <w:rsid w:val="006C485F"/>
    <w:rsid w:val="006C6A34"/>
    <w:rsid w:val="006C79D1"/>
    <w:rsid w:val="006E3EE5"/>
    <w:rsid w:val="006F61D0"/>
    <w:rsid w:val="00703834"/>
    <w:rsid w:val="00704BD6"/>
    <w:rsid w:val="007210B9"/>
    <w:rsid w:val="0072251B"/>
    <w:rsid w:val="00730C20"/>
    <w:rsid w:val="00742F05"/>
    <w:rsid w:val="00744D58"/>
    <w:rsid w:val="00746D25"/>
    <w:rsid w:val="00751E09"/>
    <w:rsid w:val="00764DB3"/>
    <w:rsid w:val="007675BD"/>
    <w:rsid w:val="007A234C"/>
    <w:rsid w:val="007C1A71"/>
    <w:rsid w:val="007C2628"/>
    <w:rsid w:val="007D619E"/>
    <w:rsid w:val="007E0840"/>
    <w:rsid w:val="007E2785"/>
    <w:rsid w:val="007E30DE"/>
    <w:rsid w:val="007E7084"/>
    <w:rsid w:val="00800C93"/>
    <w:rsid w:val="0080322A"/>
    <w:rsid w:val="00805861"/>
    <w:rsid w:val="00811F6D"/>
    <w:rsid w:val="00825B8C"/>
    <w:rsid w:val="00835C9A"/>
    <w:rsid w:val="00842569"/>
    <w:rsid w:val="00851CAB"/>
    <w:rsid w:val="0085756D"/>
    <w:rsid w:val="00861166"/>
    <w:rsid w:val="008616B8"/>
    <w:rsid w:val="00872358"/>
    <w:rsid w:val="00885547"/>
    <w:rsid w:val="0089397C"/>
    <w:rsid w:val="008A050B"/>
    <w:rsid w:val="008B210D"/>
    <w:rsid w:val="008B47D7"/>
    <w:rsid w:val="008B757C"/>
    <w:rsid w:val="008B7F14"/>
    <w:rsid w:val="008C1B05"/>
    <w:rsid w:val="008D07F7"/>
    <w:rsid w:val="008E5439"/>
    <w:rsid w:val="00901F2A"/>
    <w:rsid w:val="009138C8"/>
    <w:rsid w:val="00915385"/>
    <w:rsid w:val="009159F5"/>
    <w:rsid w:val="00930D20"/>
    <w:rsid w:val="009376F1"/>
    <w:rsid w:val="00946A2C"/>
    <w:rsid w:val="009518B9"/>
    <w:rsid w:val="009559B1"/>
    <w:rsid w:val="00963F5A"/>
    <w:rsid w:val="009866FE"/>
    <w:rsid w:val="00990ADC"/>
    <w:rsid w:val="009A31ED"/>
    <w:rsid w:val="009A6502"/>
    <w:rsid w:val="009C0B6F"/>
    <w:rsid w:val="009C497C"/>
    <w:rsid w:val="009C51AD"/>
    <w:rsid w:val="009D46BE"/>
    <w:rsid w:val="009E6986"/>
    <w:rsid w:val="009F208B"/>
    <w:rsid w:val="00A01B9B"/>
    <w:rsid w:val="00A02987"/>
    <w:rsid w:val="00A034E9"/>
    <w:rsid w:val="00A17EB9"/>
    <w:rsid w:val="00A206FE"/>
    <w:rsid w:val="00A23897"/>
    <w:rsid w:val="00A31792"/>
    <w:rsid w:val="00A35BB8"/>
    <w:rsid w:val="00A40E41"/>
    <w:rsid w:val="00A43F46"/>
    <w:rsid w:val="00A522BF"/>
    <w:rsid w:val="00A57A34"/>
    <w:rsid w:val="00A6248B"/>
    <w:rsid w:val="00A70FA0"/>
    <w:rsid w:val="00A7535C"/>
    <w:rsid w:val="00A857D7"/>
    <w:rsid w:val="00A87392"/>
    <w:rsid w:val="00A97460"/>
    <w:rsid w:val="00AA7E28"/>
    <w:rsid w:val="00AB1B08"/>
    <w:rsid w:val="00AE1525"/>
    <w:rsid w:val="00AE623F"/>
    <w:rsid w:val="00AF3065"/>
    <w:rsid w:val="00B053F8"/>
    <w:rsid w:val="00B12EFD"/>
    <w:rsid w:val="00B16269"/>
    <w:rsid w:val="00B2412A"/>
    <w:rsid w:val="00B41599"/>
    <w:rsid w:val="00B52C33"/>
    <w:rsid w:val="00B5410F"/>
    <w:rsid w:val="00B54E4D"/>
    <w:rsid w:val="00B57243"/>
    <w:rsid w:val="00B718BD"/>
    <w:rsid w:val="00B72A22"/>
    <w:rsid w:val="00BA275B"/>
    <w:rsid w:val="00BB087C"/>
    <w:rsid w:val="00BC1277"/>
    <w:rsid w:val="00BD3841"/>
    <w:rsid w:val="00BE4ED8"/>
    <w:rsid w:val="00BE654A"/>
    <w:rsid w:val="00BE7A83"/>
    <w:rsid w:val="00BF27D3"/>
    <w:rsid w:val="00BF51B0"/>
    <w:rsid w:val="00BF5453"/>
    <w:rsid w:val="00C168F9"/>
    <w:rsid w:val="00C45A14"/>
    <w:rsid w:val="00C570D2"/>
    <w:rsid w:val="00C57853"/>
    <w:rsid w:val="00C64CB1"/>
    <w:rsid w:val="00C75BA8"/>
    <w:rsid w:val="00C84549"/>
    <w:rsid w:val="00C9547D"/>
    <w:rsid w:val="00CA360A"/>
    <w:rsid w:val="00CA78EA"/>
    <w:rsid w:val="00CB2133"/>
    <w:rsid w:val="00CB5164"/>
    <w:rsid w:val="00CC2717"/>
    <w:rsid w:val="00CE0991"/>
    <w:rsid w:val="00CE24C5"/>
    <w:rsid w:val="00CE549A"/>
    <w:rsid w:val="00D01E18"/>
    <w:rsid w:val="00D07C41"/>
    <w:rsid w:val="00D226AB"/>
    <w:rsid w:val="00D31A89"/>
    <w:rsid w:val="00D32D7A"/>
    <w:rsid w:val="00D37D5A"/>
    <w:rsid w:val="00D50C31"/>
    <w:rsid w:val="00D52B13"/>
    <w:rsid w:val="00D56F4D"/>
    <w:rsid w:val="00D67B0E"/>
    <w:rsid w:val="00D80A92"/>
    <w:rsid w:val="00D80FAE"/>
    <w:rsid w:val="00D83F91"/>
    <w:rsid w:val="00DB0677"/>
    <w:rsid w:val="00DB47A0"/>
    <w:rsid w:val="00DB5699"/>
    <w:rsid w:val="00DD2D4F"/>
    <w:rsid w:val="00DD69A8"/>
    <w:rsid w:val="00DF44E7"/>
    <w:rsid w:val="00E0632C"/>
    <w:rsid w:val="00E07458"/>
    <w:rsid w:val="00E232C7"/>
    <w:rsid w:val="00E2647B"/>
    <w:rsid w:val="00E37AF5"/>
    <w:rsid w:val="00E37EDA"/>
    <w:rsid w:val="00E41C5C"/>
    <w:rsid w:val="00E52682"/>
    <w:rsid w:val="00E62F7A"/>
    <w:rsid w:val="00E646CB"/>
    <w:rsid w:val="00E83519"/>
    <w:rsid w:val="00E928E1"/>
    <w:rsid w:val="00EB1948"/>
    <w:rsid w:val="00EB4088"/>
    <w:rsid w:val="00EC17D4"/>
    <w:rsid w:val="00ED52A0"/>
    <w:rsid w:val="00ED66A0"/>
    <w:rsid w:val="00EE282A"/>
    <w:rsid w:val="00EF7A2D"/>
    <w:rsid w:val="00F12613"/>
    <w:rsid w:val="00F14827"/>
    <w:rsid w:val="00F209FE"/>
    <w:rsid w:val="00F279F6"/>
    <w:rsid w:val="00F27C51"/>
    <w:rsid w:val="00F30026"/>
    <w:rsid w:val="00F44F18"/>
    <w:rsid w:val="00F50E3B"/>
    <w:rsid w:val="00F53E27"/>
    <w:rsid w:val="00F64CE4"/>
    <w:rsid w:val="00F66603"/>
    <w:rsid w:val="00F66CD2"/>
    <w:rsid w:val="00F849E6"/>
    <w:rsid w:val="00F853D6"/>
    <w:rsid w:val="00F91B75"/>
    <w:rsid w:val="00F9403C"/>
    <w:rsid w:val="00FA0B6D"/>
    <w:rsid w:val="00FA21EF"/>
    <w:rsid w:val="00FB04F7"/>
    <w:rsid w:val="00FB3967"/>
    <w:rsid w:val="00FC07C3"/>
    <w:rsid w:val="00FC4F4D"/>
    <w:rsid w:val="00FC6EB0"/>
    <w:rsid w:val="00FC7062"/>
    <w:rsid w:val="00FE0172"/>
    <w:rsid w:val="00FE1135"/>
    <w:rsid w:val="00FE44B2"/>
    <w:rsid w:val="00FF745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40CCBD"/>
  <w15:docId w15:val="{DFF1FB1F-0D23-4302-A2A6-949EDACD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CAE"/>
    <w:pPr>
      <w:spacing w:after="0"/>
    </w:pPr>
    <w:rPr>
      <w:rFonts w:ascii="Georgia" w:eastAsiaTheme="minorEastAsia" w:hAnsi="Georgia"/>
      <w:lang w:eastAsia="en-NZ"/>
    </w:rPr>
  </w:style>
  <w:style w:type="paragraph" w:styleId="Heading1">
    <w:name w:val="heading 1"/>
    <w:basedOn w:val="Normal"/>
    <w:next w:val="Normal"/>
    <w:link w:val="Heading1Char"/>
    <w:uiPriority w:val="9"/>
    <w:qFormat/>
    <w:rsid w:val="00115CAE"/>
    <w:pPr>
      <w:spacing w:after="48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115CAE"/>
    <w:pPr>
      <w:keepNext/>
      <w:spacing w:before="360" w:after="240"/>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115CAE"/>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15CAE"/>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15CAE"/>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15CAE"/>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15CAE"/>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15CAE"/>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15CAE"/>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CAE"/>
    <w:rPr>
      <w:rFonts w:ascii="Georgia" w:eastAsiaTheme="majorEastAsia" w:hAnsi="Georgia" w:cstheme="majorBidi"/>
      <w:b/>
      <w:bCs/>
      <w:sz w:val="36"/>
      <w:szCs w:val="28"/>
      <w:lang w:eastAsia="en-NZ"/>
    </w:rPr>
  </w:style>
  <w:style w:type="character" w:customStyle="1" w:styleId="Heading2Char">
    <w:name w:val="Heading 2 Char"/>
    <w:basedOn w:val="DefaultParagraphFont"/>
    <w:link w:val="Heading2"/>
    <w:uiPriority w:val="9"/>
    <w:rsid w:val="00115CAE"/>
    <w:rPr>
      <w:rFonts w:ascii="Georgia" w:eastAsiaTheme="majorEastAsia" w:hAnsi="Georgia" w:cstheme="majorBidi"/>
      <w:b/>
      <w:bCs/>
      <w:sz w:val="28"/>
      <w:szCs w:val="26"/>
      <w:lang w:eastAsia="en-NZ"/>
    </w:rPr>
  </w:style>
  <w:style w:type="character" w:customStyle="1" w:styleId="Heading3Char">
    <w:name w:val="Heading 3 Char"/>
    <w:basedOn w:val="DefaultParagraphFont"/>
    <w:link w:val="Heading3"/>
    <w:uiPriority w:val="9"/>
    <w:semiHidden/>
    <w:rsid w:val="00115CAE"/>
    <w:rPr>
      <w:rFonts w:asciiTheme="majorHAnsi" w:eastAsiaTheme="majorEastAsia" w:hAnsiTheme="majorHAnsi" w:cstheme="majorBidi"/>
      <w:b/>
      <w:bCs/>
      <w:lang w:eastAsia="en-NZ"/>
    </w:rPr>
  </w:style>
  <w:style w:type="character" w:customStyle="1" w:styleId="Heading4Char">
    <w:name w:val="Heading 4 Char"/>
    <w:basedOn w:val="DefaultParagraphFont"/>
    <w:link w:val="Heading4"/>
    <w:uiPriority w:val="9"/>
    <w:semiHidden/>
    <w:rsid w:val="00115CAE"/>
    <w:rPr>
      <w:rFonts w:asciiTheme="majorHAnsi" w:eastAsiaTheme="majorEastAsia" w:hAnsiTheme="majorHAnsi" w:cstheme="majorBidi"/>
      <w:b/>
      <w:bCs/>
      <w:i/>
      <w:iCs/>
      <w:lang w:eastAsia="en-NZ"/>
    </w:rPr>
  </w:style>
  <w:style w:type="character" w:customStyle="1" w:styleId="Heading5Char">
    <w:name w:val="Heading 5 Char"/>
    <w:basedOn w:val="DefaultParagraphFont"/>
    <w:link w:val="Heading5"/>
    <w:uiPriority w:val="9"/>
    <w:semiHidden/>
    <w:rsid w:val="00115CAE"/>
    <w:rPr>
      <w:rFonts w:asciiTheme="majorHAnsi" w:eastAsiaTheme="majorEastAsia" w:hAnsiTheme="majorHAnsi" w:cstheme="majorBidi"/>
      <w:b/>
      <w:bCs/>
      <w:color w:val="7F7F7F" w:themeColor="text1" w:themeTint="80"/>
      <w:lang w:eastAsia="en-NZ"/>
    </w:rPr>
  </w:style>
  <w:style w:type="character" w:customStyle="1" w:styleId="Heading6Char">
    <w:name w:val="Heading 6 Char"/>
    <w:basedOn w:val="DefaultParagraphFont"/>
    <w:link w:val="Heading6"/>
    <w:uiPriority w:val="9"/>
    <w:semiHidden/>
    <w:rsid w:val="00115CAE"/>
    <w:rPr>
      <w:rFonts w:asciiTheme="majorHAnsi" w:eastAsiaTheme="majorEastAsia" w:hAnsiTheme="majorHAnsi" w:cstheme="majorBidi"/>
      <w:b/>
      <w:bCs/>
      <w:i/>
      <w:iCs/>
      <w:color w:val="7F7F7F" w:themeColor="text1" w:themeTint="80"/>
      <w:lang w:eastAsia="en-NZ"/>
    </w:rPr>
  </w:style>
  <w:style w:type="character" w:customStyle="1" w:styleId="Heading7Char">
    <w:name w:val="Heading 7 Char"/>
    <w:basedOn w:val="DefaultParagraphFont"/>
    <w:link w:val="Heading7"/>
    <w:uiPriority w:val="9"/>
    <w:semiHidden/>
    <w:rsid w:val="00115CAE"/>
    <w:rPr>
      <w:rFonts w:asciiTheme="majorHAnsi" w:eastAsiaTheme="majorEastAsia" w:hAnsiTheme="majorHAnsi" w:cstheme="majorBidi"/>
      <w:i/>
      <w:iCs/>
      <w:lang w:eastAsia="en-NZ"/>
    </w:rPr>
  </w:style>
  <w:style w:type="character" w:customStyle="1" w:styleId="Heading8Char">
    <w:name w:val="Heading 8 Char"/>
    <w:basedOn w:val="DefaultParagraphFont"/>
    <w:link w:val="Heading8"/>
    <w:uiPriority w:val="9"/>
    <w:semiHidden/>
    <w:rsid w:val="00115CAE"/>
    <w:rPr>
      <w:rFonts w:asciiTheme="majorHAnsi" w:eastAsiaTheme="majorEastAsia" w:hAnsiTheme="majorHAnsi" w:cstheme="majorBidi"/>
      <w:sz w:val="20"/>
      <w:szCs w:val="20"/>
      <w:lang w:eastAsia="en-NZ"/>
    </w:rPr>
  </w:style>
  <w:style w:type="character" w:customStyle="1" w:styleId="Heading9Char">
    <w:name w:val="Heading 9 Char"/>
    <w:basedOn w:val="DefaultParagraphFont"/>
    <w:link w:val="Heading9"/>
    <w:uiPriority w:val="9"/>
    <w:semiHidden/>
    <w:rsid w:val="00115CAE"/>
    <w:rPr>
      <w:rFonts w:asciiTheme="majorHAnsi" w:eastAsiaTheme="majorEastAsia" w:hAnsiTheme="majorHAnsi" w:cstheme="majorBidi"/>
      <w:i/>
      <w:iCs/>
      <w:spacing w:val="5"/>
      <w:sz w:val="20"/>
      <w:szCs w:val="20"/>
      <w:lang w:eastAsia="en-NZ"/>
    </w:rPr>
  </w:style>
  <w:style w:type="table" w:styleId="TableGrid">
    <w:name w:val="Table Grid"/>
    <w:basedOn w:val="TableNormal"/>
    <w:rsid w:val="00115CAE"/>
    <w:rPr>
      <w:rFonts w:asciiTheme="minorHAnsi" w:eastAsiaTheme="minorEastAsia" w:hAnsiTheme="minorHAnsi"/>
      <w:sz w:val="22"/>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115CAE"/>
    <w:pPr>
      <w:numPr>
        <w:numId w:val="1"/>
      </w:numPr>
      <w:spacing w:before="120"/>
    </w:pPr>
  </w:style>
  <w:style w:type="paragraph" w:customStyle="1" w:styleId="Contentsheading">
    <w:name w:val="Contents heading"/>
    <w:basedOn w:val="Heading1"/>
    <w:next w:val="Normal"/>
    <w:qFormat/>
    <w:rsid w:val="00115CAE"/>
  </w:style>
  <w:style w:type="paragraph" w:customStyle="1" w:styleId="Figure">
    <w:name w:val="Figure"/>
    <w:basedOn w:val="Normal"/>
    <w:next w:val="Normal"/>
    <w:qFormat/>
    <w:rsid w:val="00115CAE"/>
    <w:pPr>
      <w:keepNext/>
      <w:spacing w:before="120" w:after="120"/>
    </w:pPr>
    <w:rPr>
      <w:rFonts w:cs="Times New Roman"/>
      <w:b/>
      <w:sz w:val="22"/>
    </w:rPr>
  </w:style>
  <w:style w:type="paragraph" w:styleId="Header">
    <w:name w:val="header"/>
    <w:basedOn w:val="Normal"/>
    <w:link w:val="HeaderChar"/>
    <w:rsid w:val="00115CAE"/>
  </w:style>
  <w:style w:type="character" w:customStyle="1" w:styleId="HeaderChar">
    <w:name w:val="Header Char"/>
    <w:basedOn w:val="DefaultParagraphFont"/>
    <w:link w:val="Header"/>
    <w:rsid w:val="00115CAE"/>
    <w:rPr>
      <w:rFonts w:ascii="Georgia" w:eastAsiaTheme="minorEastAsia" w:hAnsi="Georgia"/>
      <w:lang w:eastAsia="en-NZ"/>
    </w:rPr>
  </w:style>
  <w:style w:type="paragraph" w:customStyle="1" w:styleId="TableText">
    <w:name w:val="TableText"/>
    <w:basedOn w:val="Normal"/>
    <w:rsid w:val="00115CAE"/>
    <w:pPr>
      <w:spacing w:before="80" w:after="80" w:line="240" w:lineRule="auto"/>
    </w:pPr>
    <w:rPr>
      <w:rFonts w:ascii="Arial" w:hAnsi="Arial"/>
      <w:sz w:val="18"/>
    </w:rPr>
  </w:style>
  <w:style w:type="paragraph" w:styleId="Footer">
    <w:name w:val="footer"/>
    <w:basedOn w:val="Normal"/>
    <w:link w:val="FooterChar"/>
    <w:uiPriority w:val="99"/>
    <w:rsid w:val="00115CAE"/>
    <w:pPr>
      <w:pBdr>
        <w:top w:val="single" w:sz="4" w:space="4" w:color="auto"/>
      </w:pBdr>
    </w:pPr>
    <w:rPr>
      <w:b/>
    </w:rPr>
  </w:style>
  <w:style w:type="character" w:customStyle="1" w:styleId="FooterChar">
    <w:name w:val="Footer Char"/>
    <w:basedOn w:val="DefaultParagraphFont"/>
    <w:link w:val="Footer"/>
    <w:uiPriority w:val="99"/>
    <w:rsid w:val="00115CAE"/>
    <w:rPr>
      <w:rFonts w:ascii="Georgia" w:eastAsiaTheme="minorEastAsia" w:hAnsi="Georgia"/>
      <w:b/>
      <w:lang w:eastAsia="en-NZ"/>
    </w:rPr>
  </w:style>
  <w:style w:type="paragraph" w:customStyle="1" w:styleId="Table">
    <w:name w:val="Table"/>
    <w:basedOn w:val="Normal"/>
    <w:next w:val="Normal"/>
    <w:qFormat/>
    <w:rsid w:val="00115CAE"/>
    <w:pPr>
      <w:keepNext/>
      <w:spacing w:before="120" w:after="120"/>
    </w:pPr>
    <w:rPr>
      <w:b/>
      <w:sz w:val="22"/>
    </w:rPr>
  </w:style>
  <w:style w:type="paragraph" w:styleId="Title">
    <w:name w:val="Title"/>
    <w:basedOn w:val="Normal"/>
    <w:next w:val="Normal"/>
    <w:link w:val="TitleChar"/>
    <w:uiPriority w:val="10"/>
    <w:qFormat/>
    <w:rsid w:val="00115C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15CAE"/>
    <w:rPr>
      <w:rFonts w:asciiTheme="majorHAnsi" w:eastAsiaTheme="majorEastAsia" w:hAnsiTheme="majorHAnsi" w:cstheme="majorBidi"/>
      <w:spacing w:val="5"/>
      <w:sz w:val="52"/>
      <w:szCs w:val="52"/>
      <w:lang w:eastAsia="en-NZ"/>
    </w:rPr>
  </w:style>
  <w:style w:type="character" w:styleId="Hyperlink">
    <w:name w:val="Hyperlink"/>
    <w:uiPriority w:val="99"/>
    <w:unhideWhenUsed/>
    <w:rsid w:val="00115CAE"/>
    <w:rPr>
      <w:color w:val="0000FF"/>
      <w:u w:val="single"/>
    </w:rPr>
  </w:style>
  <w:style w:type="paragraph" w:styleId="Quote">
    <w:name w:val="Quote"/>
    <w:basedOn w:val="Normal"/>
    <w:next w:val="Normal"/>
    <w:link w:val="QuoteChar"/>
    <w:uiPriority w:val="29"/>
    <w:qFormat/>
    <w:rsid w:val="00115CAE"/>
    <w:pPr>
      <w:spacing w:before="200"/>
      <w:ind w:left="360" w:right="360"/>
    </w:pPr>
    <w:rPr>
      <w:i/>
      <w:iCs/>
    </w:rPr>
  </w:style>
  <w:style w:type="character" w:customStyle="1" w:styleId="QuoteChar">
    <w:name w:val="Quote Char"/>
    <w:basedOn w:val="DefaultParagraphFont"/>
    <w:link w:val="Quote"/>
    <w:uiPriority w:val="29"/>
    <w:rsid w:val="00115CAE"/>
    <w:rPr>
      <w:rFonts w:ascii="Georgia" w:eastAsiaTheme="minorEastAsia" w:hAnsi="Georgia"/>
      <w:i/>
      <w:iCs/>
      <w:lang w:eastAsia="en-NZ"/>
    </w:rPr>
  </w:style>
  <w:style w:type="paragraph" w:styleId="TOC1">
    <w:name w:val="toc 1"/>
    <w:basedOn w:val="Normal"/>
    <w:next w:val="Normal"/>
    <w:uiPriority w:val="39"/>
    <w:rsid w:val="00115CAE"/>
    <w:pPr>
      <w:spacing w:before="300"/>
      <w:ind w:right="567"/>
    </w:pPr>
  </w:style>
  <w:style w:type="paragraph" w:styleId="Revision">
    <w:name w:val="Revision"/>
    <w:hidden/>
    <w:uiPriority w:val="99"/>
    <w:semiHidden/>
    <w:rsid w:val="00115CAE"/>
    <w:pPr>
      <w:spacing w:after="0" w:line="240" w:lineRule="auto"/>
    </w:pPr>
    <w:rPr>
      <w:rFonts w:asciiTheme="minorHAnsi" w:eastAsiaTheme="minorEastAsia" w:hAnsiTheme="minorHAnsi"/>
      <w:sz w:val="22"/>
      <w:lang w:eastAsia="en-NZ"/>
    </w:rPr>
  </w:style>
  <w:style w:type="paragraph" w:styleId="TOC2">
    <w:name w:val="toc 2"/>
    <w:basedOn w:val="Normal"/>
    <w:next w:val="Normal"/>
    <w:uiPriority w:val="39"/>
    <w:unhideWhenUsed/>
    <w:rsid w:val="00115CAE"/>
    <w:pPr>
      <w:spacing w:before="60"/>
      <w:ind w:left="567" w:right="567"/>
    </w:pPr>
    <w:rPr>
      <w:sz w:val="22"/>
    </w:rPr>
  </w:style>
  <w:style w:type="paragraph" w:styleId="TOC3">
    <w:name w:val="toc 3"/>
    <w:basedOn w:val="Normal"/>
    <w:next w:val="Normal"/>
    <w:uiPriority w:val="39"/>
    <w:unhideWhenUsed/>
    <w:rsid w:val="00115CAE"/>
    <w:pPr>
      <w:spacing w:before="120"/>
      <w:ind w:left="1134" w:right="567" w:hanging="1134"/>
    </w:pPr>
    <w:rPr>
      <w:sz w:val="22"/>
    </w:rPr>
  </w:style>
  <w:style w:type="paragraph" w:styleId="BalloonText">
    <w:name w:val="Balloon Text"/>
    <w:basedOn w:val="Normal"/>
    <w:link w:val="BalloonTextChar"/>
    <w:semiHidden/>
    <w:unhideWhenUsed/>
    <w:rsid w:val="00115CA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15CAE"/>
    <w:rPr>
      <w:rFonts w:ascii="Tahoma" w:eastAsiaTheme="minorEastAsia" w:hAnsi="Tahoma" w:cs="Tahoma"/>
      <w:sz w:val="16"/>
      <w:szCs w:val="16"/>
      <w:lang w:eastAsia="en-NZ"/>
    </w:rPr>
  </w:style>
  <w:style w:type="character" w:styleId="CommentReference">
    <w:name w:val="annotation reference"/>
    <w:basedOn w:val="DefaultParagraphFont"/>
    <w:uiPriority w:val="99"/>
    <w:semiHidden/>
    <w:unhideWhenUsed/>
    <w:rsid w:val="00A02987"/>
    <w:rPr>
      <w:sz w:val="16"/>
      <w:szCs w:val="16"/>
    </w:rPr>
  </w:style>
  <w:style w:type="paragraph" w:styleId="CommentText">
    <w:name w:val="annotation text"/>
    <w:basedOn w:val="Normal"/>
    <w:link w:val="CommentTextChar"/>
    <w:uiPriority w:val="99"/>
    <w:semiHidden/>
    <w:unhideWhenUsed/>
    <w:rsid w:val="00A02987"/>
    <w:pPr>
      <w:spacing w:line="240" w:lineRule="auto"/>
    </w:pPr>
    <w:rPr>
      <w:sz w:val="20"/>
      <w:szCs w:val="20"/>
    </w:rPr>
  </w:style>
  <w:style w:type="character" w:customStyle="1" w:styleId="CommentTextChar">
    <w:name w:val="Comment Text Char"/>
    <w:basedOn w:val="DefaultParagraphFont"/>
    <w:link w:val="CommentText"/>
    <w:uiPriority w:val="99"/>
    <w:semiHidden/>
    <w:rsid w:val="00A02987"/>
    <w:rPr>
      <w:rFonts w:ascii="Georgia" w:eastAsiaTheme="minorEastAsia" w:hAnsi="Georgia"/>
      <w:sz w:val="20"/>
      <w:szCs w:val="20"/>
      <w:lang w:eastAsia="en-NZ"/>
    </w:rPr>
  </w:style>
  <w:style w:type="paragraph" w:styleId="Caption">
    <w:name w:val="caption"/>
    <w:basedOn w:val="Normal"/>
    <w:next w:val="Normal"/>
    <w:uiPriority w:val="35"/>
    <w:unhideWhenUsed/>
    <w:qFormat/>
    <w:rsid w:val="00BD3841"/>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6894">
      <w:bodyDiv w:val="1"/>
      <w:marLeft w:val="0"/>
      <w:marRight w:val="0"/>
      <w:marTop w:val="0"/>
      <w:marBottom w:val="0"/>
      <w:divBdr>
        <w:top w:val="none" w:sz="0" w:space="0" w:color="auto"/>
        <w:left w:val="none" w:sz="0" w:space="0" w:color="auto"/>
        <w:bottom w:val="none" w:sz="0" w:space="0" w:color="auto"/>
        <w:right w:val="none" w:sz="0" w:space="0" w:color="auto"/>
      </w:divBdr>
    </w:div>
    <w:div w:id="35587019">
      <w:bodyDiv w:val="1"/>
      <w:marLeft w:val="0"/>
      <w:marRight w:val="0"/>
      <w:marTop w:val="0"/>
      <w:marBottom w:val="0"/>
      <w:divBdr>
        <w:top w:val="none" w:sz="0" w:space="0" w:color="auto"/>
        <w:left w:val="none" w:sz="0" w:space="0" w:color="auto"/>
        <w:bottom w:val="none" w:sz="0" w:space="0" w:color="auto"/>
        <w:right w:val="none" w:sz="0" w:space="0" w:color="auto"/>
      </w:divBdr>
    </w:div>
    <w:div w:id="212813546">
      <w:bodyDiv w:val="1"/>
      <w:marLeft w:val="0"/>
      <w:marRight w:val="0"/>
      <w:marTop w:val="0"/>
      <w:marBottom w:val="0"/>
      <w:divBdr>
        <w:top w:val="none" w:sz="0" w:space="0" w:color="auto"/>
        <w:left w:val="none" w:sz="0" w:space="0" w:color="auto"/>
        <w:bottom w:val="none" w:sz="0" w:space="0" w:color="auto"/>
        <w:right w:val="none" w:sz="0" w:space="0" w:color="auto"/>
      </w:divBdr>
    </w:div>
    <w:div w:id="277686860">
      <w:bodyDiv w:val="1"/>
      <w:marLeft w:val="0"/>
      <w:marRight w:val="0"/>
      <w:marTop w:val="0"/>
      <w:marBottom w:val="0"/>
      <w:divBdr>
        <w:top w:val="none" w:sz="0" w:space="0" w:color="auto"/>
        <w:left w:val="none" w:sz="0" w:space="0" w:color="auto"/>
        <w:bottom w:val="none" w:sz="0" w:space="0" w:color="auto"/>
        <w:right w:val="none" w:sz="0" w:space="0" w:color="auto"/>
      </w:divBdr>
    </w:div>
    <w:div w:id="344939630">
      <w:bodyDiv w:val="1"/>
      <w:marLeft w:val="0"/>
      <w:marRight w:val="0"/>
      <w:marTop w:val="0"/>
      <w:marBottom w:val="0"/>
      <w:divBdr>
        <w:top w:val="none" w:sz="0" w:space="0" w:color="auto"/>
        <w:left w:val="none" w:sz="0" w:space="0" w:color="auto"/>
        <w:bottom w:val="none" w:sz="0" w:space="0" w:color="auto"/>
        <w:right w:val="none" w:sz="0" w:space="0" w:color="auto"/>
      </w:divBdr>
    </w:div>
    <w:div w:id="653341247">
      <w:bodyDiv w:val="1"/>
      <w:marLeft w:val="0"/>
      <w:marRight w:val="0"/>
      <w:marTop w:val="0"/>
      <w:marBottom w:val="0"/>
      <w:divBdr>
        <w:top w:val="none" w:sz="0" w:space="0" w:color="auto"/>
        <w:left w:val="none" w:sz="0" w:space="0" w:color="auto"/>
        <w:bottom w:val="none" w:sz="0" w:space="0" w:color="auto"/>
        <w:right w:val="none" w:sz="0" w:space="0" w:color="auto"/>
      </w:divBdr>
    </w:div>
    <w:div w:id="1134523930">
      <w:bodyDiv w:val="1"/>
      <w:marLeft w:val="0"/>
      <w:marRight w:val="0"/>
      <w:marTop w:val="0"/>
      <w:marBottom w:val="0"/>
      <w:divBdr>
        <w:top w:val="none" w:sz="0" w:space="0" w:color="auto"/>
        <w:left w:val="none" w:sz="0" w:space="0" w:color="auto"/>
        <w:bottom w:val="none" w:sz="0" w:space="0" w:color="auto"/>
        <w:right w:val="none" w:sz="0" w:space="0" w:color="auto"/>
      </w:divBdr>
    </w:div>
    <w:div w:id="1148742629">
      <w:bodyDiv w:val="1"/>
      <w:marLeft w:val="0"/>
      <w:marRight w:val="0"/>
      <w:marTop w:val="0"/>
      <w:marBottom w:val="0"/>
      <w:divBdr>
        <w:top w:val="none" w:sz="0" w:space="0" w:color="auto"/>
        <w:left w:val="none" w:sz="0" w:space="0" w:color="auto"/>
        <w:bottom w:val="none" w:sz="0" w:space="0" w:color="auto"/>
        <w:right w:val="none" w:sz="0" w:space="0" w:color="auto"/>
      </w:divBdr>
    </w:div>
    <w:div w:id="1351562069">
      <w:bodyDiv w:val="1"/>
      <w:marLeft w:val="0"/>
      <w:marRight w:val="0"/>
      <w:marTop w:val="0"/>
      <w:marBottom w:val="0"/>
      <w:divBdr>
        <w:top w:val="none" w:sz="0" w:space="0" w:color="auto"/>
        <w:left w:val="none" w:sz="0" w:space="0" w:color="auto"/>
        <w:bottom w:val="none" w:sz="0" w:space="0" w:color="auto"/>
        <w:right w:val="none" w:sz="0" w:space="0" w:color="auto"/>
      </w:divBdr>
    </w:div>
    <w:div w:id="1480463418">
      <w:bodyDiv w:val="1"/>
      <w:marLeft w:val="0"/>
      <w:marRight w:val="0"/>
      <w:marTop w:val="0"/>
      <w:marBottom w:val="0"/>
      <w:divBdr>
        <w:top w:val="none" w:sz="0" w:space="0" w:color="auto"/>
        <w:left w:val="none" w:sz="0" w:space="0" w:color="auto"/>
        <w:bottom w:val="none" w:sz="0" w:space="0" w:color="auto"/>
        <w:right w:val="none" w:sz="0" w:space="0" w:color="auto"/>
      </w:divBdr>
    </w:div>
    <w:div w:id="1552305238">
      <w:bodyDiv w:val="1"/>
      <w:marLeft w:val="0"/>
      <w:marRight w:val="0"/>
      <w:marTop w:val="0"/>
      <w:marBottom w:val="0"/>
      <w:divBdr>
        <w:top w:val="none" w:sz="0" w:space="0" w:color="auto"/>
        <w:left w:val="none" w:sz="0" w:space="0" w:color="auto"/>
        <w:bottom w:val="none" w:sz="0" w:space="0" w:color="auto"/>
        <w:right w:val="none" w:sz="0" w:space="0" w:color="auto"/>
      </w:divBdr>
    </w:div>
    <w:div w:id="1723408338">
      <w:bodyDiv w:val="1"/>
      <w:marLeft w:val="0"/>
      <w:marRight w:val="0"/>
      <w:marTop w:val="0"/>
      <w:marBottom w:val="0"/>
      <w:divBdr>
        <w:top w:val="none" w:sz="0" w:space="0" w:color="auto"/>
        <w:left w:val="none" w:sz="0" w:space="0" w:color="auto"/>
        <w:bottom w:val="none" w:sz="0" w:space="0" w:color="auto"/>
        <w:right w:val="none" w:sz="0" w:space="0" w:color="auto"/>
      </w:divBdr>
    </w:div>
    <w:div w:id="1752503189">
      <w:bodyDiv w:val="1"/>
      <w:marLeft w:val="0"/>
      <w:marRight w:val="0"/>
      <w:marTop w:val="0"/>
      <w:marBottom w:val="0"/>
      <w:divBdr>
        <w:top w:val="none" w:sz="0" w:space="0" w:color="auto"/>
        <w:left w:val="none" w:sz="0" w:space="0" w:color="auto"/>
        <w:bottom w:val="none" w:sz="0" w:space="0" w:color="auto"/>
        <w:right w:val="none" w:sz="0" w:space="0" w:color="auto"/>
      </w:divBdr>
    </w:div>
    <w:div w:id="1884252095">
      <w:bodyDiv w:val="1"/>
      <w:marLeft w:val="0"/>
      <w:marRight w:val="0"/>
      <w:marTop w:val="0"/>
      <w:marBottom w:val="0"/>
      <w:divBdr>
        <w:top w:val="none" w:sz="0" w:space="0" w:color="auto"/>
        <w:left w:val="none" w:sz="0" w:space="0" w:color="auto"/>
        <w:bottom w:val="none" w:sz="0" w:space="0" w:color="auto"/>
        <w:right w:val="none" w:sz="0" w:space="0" w:color="auto"/>
      </w:divBdr>
    </w:div>
    <w:div w:id="1964190857">
      <w:bodyDiv w:val="1"/>
      <w:marLeft w:val="0"/>
      <w:marRight w:val="0"/>
      <w:marTop w:val="0"/>
      <w:marBottom w:val="0"/>
      <w:divBdr>
        <w:top w:val="none" w:sz="0" w:space="0" w:color="auto"/>
        <w:left w:val="none" w:sz="0" w:space="0" w:color="auto"/>
        <w:bottom w:val="none" w:sz="0" w:space="0" w:color="auto"/>
        <w:right w:val="none" w:sz="0" w:space="0" w:color="auto"/>
      </w:divBdr>
    </w:div>
    <w:div w:id="2141416504">
      <w:bodyDiv w:val="1"/>
      <w:marLeft w:val="0"/>
      <w:marRight w:val="0"/>
      <w:marTop w:val="0"/>
      <w:marBottom w:val="0"/>
      <w:divBdr>
        <w:top w:val="none" w:sz="0" w:space="0" w:color="auto"/>
        <w:left w:val="none" w:sz="0" w:space="0" w:color="auto"/>
        <w:bottom w:val="none" w:sz="0" w:space="0" w:color="auto"/>
        <w:right w:val="none" w:sz="0" w:space="0" w:color="auto"/>
      </w:divBdr>
    </w:div>
    <w:div w:id="214187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image" Target="media/image6.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2.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chart" Target="charts/chart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image" Target="media/image8.png"/><Relationship Id="rId28" Type="http://schemas.openxmlformats.org/officeDocument/2006/relationships/image" Target="media/image11.emf"/><Relationship Id="rId10" Type="http://schemas.openxmlformats.org/officeDocument/2006/relationships/hyperlink" Target="http://www.nsu.govt.nz" TargetMode="External"/><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creening@moh.govt.nz" TargetMode="External"/><Relationship Id="rId22" Type="http://schemas.openxmlformats.org/officeDocument/2006/relationships/image" Target="media/image7.png"/><Relationship Id="rId27" Type="http://schemas.openxmlformats.org/officeDocument/2006/relationships/image" Target="media/image10.emf"/><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xchfpd1\NSUSecure\Analysis\30%20Breast\Programme%20analysis\BSA%20DHB%20Reports\20%20December%202018\report%20-%20creator%20-%20v1.60.xlsb"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wxchfpd1\NSUSecure\Analysis\30%20Breast\Programme%20analysis\BSA%20DHB%20Reports\20%20December%202018\report%20-%20creator%20-%20v1.60.xlsb"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wxchfpd1\NSUSecure\Analysis\30%20Breast\Programme%20analysis\BSA%20DHB%20Reports\20%20December%202018\report%20-%20creator%20-%20v1.60.xlsb"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wxchfpd1\NSUSecure\Analysis\30%20Breast\Programme%20analysis\BSA%20DHB%20Reports\20%20December%202018\report%20-%20creator%20-%20v1.60.xlsb"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wxchfpd1\NSUSecure\Analysis\30%20Breast\Programme%20analysis\BSA%20DHB%20Reports\20%20December%202018\report%20-%20creator%20-%20v1.60.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spPr>
            <a:solidFill>
              <a:schemeClr val="bg1">
                <a:lumMod val="65000"/>
              </a:schemeClr>
            </a:solidFill>
          </c:spPr>
          <c:invertIfNegative val="0"/>
          <c:cat>
            <c:strRef>
              <c:f>Report!$I$7:$L$7</c:f>
              <c:strCache>
                <c:ptCount val="4"/>
                <c:pt idx="0">
                  <c:v>Māori</c:v>
                </c:pt>
                <c:pt idx="1">
                  <c:v>Pacific</c:v>
                </c:pt>
                <c:pt idx="2">
                  <c:v>Other</c:v>
                </c:pt>
                <c:pt idx="3">
                  <c:v>Total</c:v>
                </c:pt>
              </c:strCache>
            </c:strRef>
          </c:cat>
          <c:val>
            <c:numRef>
              <c:f>Report!$I$11:$L$11</c:f>
              <c:numCache>
                <c:formatCode>0.0</c:formatCode>
                <c:ptCount val="4"/>
                <c:pt idx="0">
                  <c:v>66.900000000000006</c:v>
                </c:pt>
                <c:pt idx="1">
                  <c:v>67.5</c:v>
                </c:pt>
                <c:pt idx="2">
                  <c:v>73.3</c:v>
                </c:pt>
                <c:pt idx="3">
                  <c:v>72.599999999999994</c:v>
                </c:pt>
              </c:numCache>
            </c:numRef>
          </c:val>
          <c:extLst>
            <c:ext xmlns:c16="http://schemas.microsoft.com/office/drawing/2014/chart" uri="{C3380CC4-5D6E-409C-BE32-E72D297353CC}">
              <c16:uniqueId val="{00000000-7AFA-42C0-B7F2-1FB9156D15F9}"/>
            </c:ext>
          </c:extLst>
        </c:ser>
        <c:dLbls>
          <c:showLegendKey val="0"/>
          <c:showVal val="0"/>
          <c:showCatName val="0"/>
          <c:showSerName val="0"/>
          <c:showPercent val="0"/>
          <c:showBubbleSize val="0"/>
        </c:dLbls>
        <c:gapWidth val="50"/>
        <c:axId val="884858720"/>
        <c:axId val="884863032"/>
      </c:barChart>
      <c:lineChart>
        <c:grouping val="standard"/>
        <c:varyColors val="0"/>
        <c:ser>
          <c:idx val="0"/>
          <c:order val="1"/>
          <c:spPr>
            <a:ln>
              <a:solidFill>
                <a:schemeClr val="tx1"/>
              </a:solidFill>
            </a:ln>
          </c:spPr>
          <c:marker>
            <c:symbol val="none"/>
          </c:marker>
          <c:cat>
            <c:strRef>
              <c:f>Report!$I$7:$L$7</c:f>
              <c:strCache>
                <c:ptCount val="4"/>
                <c:pt idx="0">
                  <c:v>Māori</c:v>
                </c:pt>
                <c:pt idx="1">
                  <c:v>Pacific</c:v>
                </c:pt>
                <c:pt idx="2">
                  <c:v>Other</c:v>
                </c:pt>
                <c:pt idx="3">
                  <c:v>Total</c:v>
                </c:pt>
              </c:strCache>
            </c:strRef>
          </c:cat>
          <c:val>
            <c:numRef>
              <c:f>Report!$I$12:$L$12</c:f>
              <c:numCache>
                <c:formatCode>General</c:formatCode>
                <c:ptCount val="4"/>
                <c:pt idx="0">
                  <c:v>70</c:v>
                </c:pt>
                <c:pt idx="1">
                  <c:v>70</c:v>
                </c:pt>
                <c:pt idx="2">
                  <c:v>70</c:v>
                </c:pt>
                <c:pt idx="3">
                  <c:v>70</c:v>
                </c:pt>
              </c:numCache>
            </c:numRef>
          </c:val>
          <c:smooth val="0"/>
          <c:extLst>
            <c:ext xmlns:c16="http://schemas.microsoft.com/office/drawing/2014/chart" uri="{C3380CC4-5D6E-409C-BE32-E72D297353CC}">
              <c16:uniqueId val="{00000001-7AFA-42C0-B7F2-1FB9156D15F9}"/>
            </c:ext>
          </c:extLst>
        </c:ser>
        <c:dLbls>
          <c:showLegendKey val="0"/>
          <c:showVal val="0"/>
          <c:showCatName val="0"/>
          <c:showSerName val="0"/>
          <c:showPercent val="0"/>
          <c:showBubbleSize val="0"/>
        </c:dLbls>
        <c:marker val="1"/>
        <c:smooth val="0"/>
        <c:axId val="884858720"/>
        <c:axId val="884863032"/>
      </c:lineChart>
      <c:catAx>
        <c:axId val="884858720"/>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884863032"/>
        <c:crosses val="autoZero"/>
        <c:auto val="1"/>
        <c:lblAlgn val="ctr"/>
        <c:lblOffset val="100"/>
        <c:tickLblSkip val="1"/>
        <c:noMultiLvlLbl val="0"/>
      </c:catAx>
      <c:valAx>
        <c:axId val="884863032"/>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88485872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tx>
            <c:strRef>
              <c:f>Report!$H$39</c:f>
              <c:strCache>
                <c:ptCount val="1"/>
                <c:pt idx="0">
                  <c:v>Dec 2016</c:v>
                </c:pt>
              </c:strCache>
            </c:strRef>
          </c:tx>
          <c:spPr>
            <a:solidFill>
              <a:schemeClr val="bg1">
                <a:lumMod val="65000"/>
              </a:schemeClr>
            </a:solidFill>
          </c:spPr>
          <c:invertIfNegative val="0"/>
          <c:cat>
            <c:strRef>
              <c:f>Report!$I$38:$L$38</c:f>
              <c:strCache>
                <c:ptCount val="4"/>
                <c:pt idx="0">
                  <c:v>Māori</c:v>
                </c:pt>
                <c:pt idx="1">
                  <c:v>Pacific</c:v>
                </c:pt>
                <c:pt idx="2">
                  <c:v>Other</c:v>
                </c:pt>
                <c:pt idx="3">
                  <c:v>Total</c:v>
                </c:pt>
              </c:strCache>
            </c:strRef>
          </c:cat>
          <c:val>
            <c:numRef>
              <c:f>Report!$I$39:$L$39</c:f>
              <c:numCache>
                <c:formatCode>0.0</c:formatCode>
                <c:ptCount val="4"/>
                <c:pt idx="0">
                  <c:v>68.2</c:v>
                </c:pt>
                <c:pt idx="1">
                  <c:v>67.599999999999994</c:v>
                </c:pt>
                <c:pt idx="2">
                  <c:v>73.8</c:v>
                </c:pt>
                <c:pt idx="3">
                  <c:v>73.099999999999994</c:v>
                </c:pt>
              </c:numCache>
            </c:numRef>
          </c:val>
          <c:extLst>
            <c:ext xmlns:c16="http://schemas.microsoft.com/office/drawing/2014/chart" uri="{C3380CC4-5D6E-409C-BE32-E72D297353CC}">
              <c16:uniqueId val="{00000000-1EC1-4272-9849-F5D77F30958C}"/>
            </c:ext>
          </c:extLst>
        </c:ser>
        <c:ser>
          <c:idx val="0"/>
          <c:order val="1"/>
          <c:tx>
            <c:strRef>
              <c:f>Report!$H$40</c:f>
              <c:strCache>
                <c:ptCount val="1"/>
                <c:pt idx="0">
                  <c:v>Dec 2017</c:v>
                </c:pt>
              </c:strCache>
            </c:strRef>
          </c:tx>
          <c:spPr>
            <a:solidFill>
              <a:schemeClr val="bg1">
                <a:lumMod val="75000"/>
              </a:schemeClr>
            </a:solidFill>
            <a:ln>
              <a:noFill/>
            </a:ln>
          </c:spPr>
          <c:invertIfNegative val="0"/>
          <c:cat>
            <c:strRef>
              <c:f>Report!$I$38:$L$38</c:f>
              <c:strCache>
                <c:ptCount val="4"/>
                <c:pt idx="0">
                  <c:v>Māori</c:v>
                </c:pt>
                <c:pt idx="1">
                  <c:v>Pacific</c:v>
                </c:pt>
                <c:pt idx="2">
                  <c:v>Other</c:v>
                </c:pt>
                <c:pt idx="3">
                  <c:v>Total</c:v>
                </c:pt>
              </c:strCache>
            </c:strRef>
          </c:cat>
          <c:val>
            <c:numRef>
              <c:f>Report!$I$40:$L$40</c:f>
              <c:numCache>
                <c:formatCode>0.0</c:formatCode>
                <c:ptCount val="4"/>
                <c:pt idx="0">
                  <c:v>68.099999999999994</c:v>
                </c:pt>
                <c:pt idx="1">
                  <c:v>68</c:v>
                </c:pt>
                <c:pt idx="2">
                  <c:v>73.400000000000006</c:v>
                </c:pt>
                <c:pt idx="3">
                  <c:v>72.8</c:v>
                </c:pt>
              </c:numCache>
            </c:numRef>
          </c:val>
          <c:extLst>
            <c:ext xmlns:c16="http://schemas.microsoft.com/office/drawing/2014/chart" uri="{C3380CC4-5D6E-409C-BE32-E72D297353CC}">
              <c16:uniqueId val="{00000001-1EC1-4272-9849-F5D77F30958C}"/>
            </c:ext>
          </c:extLst>
        </c:ser>
        <c:ser>
          <c:idx val="1"/>
          <c:order val="2"/>
          <c:tx>
            <c:strRef>
              <c:f>Report!$H$41</c:f>
              <c:strCache>
                <c:ptCount val="1"/>
                <c:pt idx="0">
                  <c:v>Dec 2018</c:v>
                </c:pt>
              </c:strCache>
            </c:strRef>
          </c:tx>
          <c:spPr>
            <a:solidFill>
              <a:schemeClr val="tx1">
                <a:lumMod val="65000"/>
                <a:lumOff val="35000"/>
              </a:schemeClr>
            </a:solidFill>
          </c:spPr>
          <c:invertIfNegative val="0"/>
          <c:cat>
            <c:strRef>
              <c:f>Report!$I$38:$L$38</c:f>
              <c:strCache>
                <c:ptCount val="4"/>
                <c:pt idx="0">
                  <c:v>Māori</c:v>
                </c:pt>
                <c:pt idx="1">
                  <c:v>Pacific</c:v>
                </c:pt>
                <c:pt idx="2">
                  <c:v>Other</c:v>
                </c:pt>
                <c:pt idx="3">
                  <c:v>Total</c:v>
                </c:pt>
              </c:strCache>
            </c:strRef>
          </c:cat>
          <c:val>
            <c:numRef>
              <c:f>Report!$I$41:$L$41</c:f>
              <c:numCache>
                <c:formatCode>0.0</c:formatCode>
                <c:ptCount val="4"/>
                <c:pt idx="0">
                  <c:v>66.900000000000006</c:v>
                </c:pt>
                <c:pt idx="1">
                  <c:v>67.5</c:v>
                </c:pt>
                <c:pt idx="2">
                  <c:v>73.3</c:v>
                </c:pt>
                <c:pt idx="3">
                  <c:v>72.599999999999994</c:v>
                </c:pt>
              </c:numCache>
            </c:numRef>
          </c:val>
          <c:extLst>
            <c:ext xmlns:c16="http://schemas.microsoft.com/office/drawing/2014/chart" uri="{C3380CC4-5D6E-409C-BE32-E72D297353CC}">
              <c16:uniqueId val="{00000002-1EC1-4272-9849-F5D77F30958C}"/>
            </c:ext>
          </c:extLst>
        </c:ser>
        <c:dLbls>
          <c:showLegendKey val="0"/>
          <c:showVal val="0"/>
          <c:showCatName val="0"/>
          <c:showSerName val="0"/>
          <c:showPercent val="0"/>
          <c:showBubbleSize val="0"/>
        </c:dLbls>
        <c:gapWidth val="150"/>
        <c:axId val="884864600"/>
        <c:axId val="884860288"/>
      </c:barChart>
      <c:lineChart>
        <c:grouping val="standard"/>
        <c:varyColors val="0"/>
        <c:ser>
          <c:idx val="2"/>
          <c:order val="3"/>
          <c:tx>
            <c:strRef>
              <c:f>Report!$H$42</c:f>
              <c:strCache>
                <c:ptCount val="1"/>
                <c:pt idx="0">
                  <c:v>Target</c:v>
                </c:pt>
              </c:strCache>
            </c:strRef>
          </c:tx>
          <c:spPr>
            <a:ln>
              <a:solidFill>
                <a:schemeClr val="tx1"/>
              </a:solidFill>
            </a:ln>
          </c:spPr>
          <c:marker>
            <c:symbol val="none"/>
          </c:marker>
          <c:cat>
            <c:strRef>
              <c:f>Report!$I$38:$L$38</c:f>
              <c:strCache>
                <c:ptCount val="4"/>
                <c:pt idx="0">
                  <c:v>Māori</c:v>
                </c:pt>
                <c:pt idx="1">
                  <c:v>Pacific</c:v>
                </c:pt>
                <c:pt idx="2">
                  <c:v>Other</c:v>
                </c:pt>
                <c:pt idx="3">
                  <c:v>Total</c:v>
                </c:pt>
              </c:strCache>
            </c:strRef>
          </c:cat>
          <c:val>
            <c:numRef>
              <c:f>Report!$I$42:$L$42</c:f>
              <c:numCache>
                <c:formatCode>0.0</c:formatCode>
                <c:ptCount val="4"/>
                <c:pt idx="0">
                  <c:v>70</c:v>
                </c:pt>
                <c:pt idx="1">
                  <c:v>70</c:v>
                </c:pt>
                <c:pt idx="2">
                  <c:v>70</c:v>
                </c:pt>
                <c:pt idx="3">
                  <c:v>70</c:v>
                </c:pt>
              </c:numCache>
            </c:numRef>
          </c:val>
          <c:smooth val="0"/>
          <c:extLst>
            <c:ext xmlns:c16="http://schemas.microsoft.com/office/drawing/2014/chart" uri="{C3380CC4-5D6E-409C-BE32-E72D297353CC}">
              <c16:uniqueId val="{00000003-1EC1-4272-9849-F5D77F30958C}"/>
            </c:ext>
          </c:extLst>
        </c:ser>
        <c:dLbls>
          <c:showLegendKey val="0"/>
          <c:showVal val="0"/>
          <c:showCatName val="0"/>
          <c:showSerName val="0"/>
          <c:showPercent val="0"/>
          <c:showBubbleSize val="0"/>
        </c:dLbls>
        <c:marker val="1"/>
        <c:smooth val="0"/>
        <c:axId val="884864600"/>
        <c:axId val="884860288"/>
      </c:lineChart>
      <c:catAx>
        <c:axId val="884864600"/>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884860288"/>
        <c:crosses val="autoZero"/>
        <c:auto val="1"/>
        <c:lblAlgn val="ctr"/>
        <c:lblOffset val="100"/>
        <c:noMultiLvlLbl val="0"/>
      </c:catAx>
      <c:valAx>
        <c:axId val="884860288"/>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884864600"/>
        <c:crosses val="autoZero"/>
        <c:crossBetween val="between"/>
      </c:valAx>
      <c:spPr>
        <a:noFill/>
        <a:ln w="25400">
          <a:noFill/>
        </a:ln>
      </c:spPr>
    </c:plotArea>
    <c:legend>
      <c:legendPos val="r"/>
      <c:legendEntry>
        <c:idx val="3"/>
        <c:delete val="1"/>
      </c:legendEntry>
      <c:layout>
        <c:manualLayout>
          <c:xMode val="edge"/>
          <c:yMode val="edge"/>
          <c:x val="0.56539150505019553"/>
          <c:y val="6.062654668166479E-2"/>
          <c:w val="0.42423236006005088"/>
          <c:h val="0.1216036745406824"/>
        </c:manualLayout>
      </c:layout>
      <c:overlay val="0"/>
      <c:txPr>
        <a:bodyPr/>
        <a:lstStyle/>
        <a:p>
          <a:pPr>
            <a:defRPr sz="800"/>
          </a:pPr>
          <a:endParaRPr lang="en-US"/>
        </a:p>
      </c:txPr>
    </c:legend>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7CA3-415B-8918-5900E69341F3}"/>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Report!$I$61:$I$81</c:f>
              <c:numCache>
                <c:formatCode>0.0</c:formatCode>
                <c:ptCount val="21"/>
                <c:pt idx="0">
                  <c:v>72.099999999999994</c:v>
                </c:pt>
                <c:pt idx="1">
                  <c:v>63.3</c:v>
                </c:pt>
                <c:pt idx="2">
                  <c:v>59</c:v>
                </c:pt>
                <c:pt idx="3">
                  <c:v>66.599999999999994</c:v>
                </c:pt>
                <c:pt idx="4">
                  <c:v>59.5</c:v>
                </c:pt>
                <c:pt idx="5">
                  <c:v>64.400000000000006</c:v>
                </c:pt>
                <c:pt idx="6">
                  <c:v>64.5</c:v>
                </c:pt>
                <c:pt idx="7">
                  <c:v>65.5</c:v>
                </c:pt>
                <c:pt idx="8">
                  <c:v>63.3</c:v>
                </c:pt>
                <c:pt idx="9">
                  <c:v>69.900000000000006</c:v>
                </c:pt>
                <c:pt idx="10">
                  <c:v>73.2</c:v>
                </c:pt>
                <c:pt idx="11">
                  <c:v>67</c:v>
                </c:pt>
                <c:pt idx="12">
                  <c:v>69.3</c:v>
                </c:pt>
                <c:pt idx="13">
                  <c:v>66.900000000000006</c:v>
                </c:pt>
                <c:pt idx="14">
                  <c:v>68.599999999999994</c:v>
                </c:pt>
                <c:pt idx="15">
                  <c:v>73.5</c:v>
                </c:pt>
                <c:pt idx="16">
                  <c:v>69</c:v>
                </c:pt>
                <c:pt idx="17">
                  <c:v>70.099999999999994</c:v>
                </c:pt>
                <c:pt idx="18">
                  <c:v>66.3</c:v>
                </c:pt>
                <c:pt idx="19">
                  <c:v>67.900000000000006</c:v>
                </c:pt>
                <c:pt idx="20">
                  <c:v>66.3</c:v>
                </c:pt>
              </c:numCache>
              <c:extLst/>
            </c:numRef>
          </c:val>
          <c:extLst>
            <c:ext xmlns:c16="http://schemas.microsoft.com/office/drawing/2014/chart" uri="{C3380CC4-5D6E-409C-BE32-E72D297353CC}">
              <c16:uniqueId val="{00000001-7CA3-415B-8918-5900E69341F3}"/>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Report!$N$61:$N$81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#N/A</c:v>
                </c:pt>
                <c:pt idx="13">
                  <c:v>66.900000000000006</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7CA3-415B-8918-5900E69341F3}"/>
            </c:ext>
          </c:extLst>
        </c:ser>
        <c:dLbls>
          <c:showLegendKey val="0"/>
          <c:showVal val="0"/>
          <c:showCatName val="0"/>
          <c:showSerName val="0"/>
          <c:showPercent val="0"/>
          <c:showBubbleSize val="0"/>
        </c:dLbls>
        <c:gapWidth val="50"/>
        <c:overlap val="100"/>
        <c:axId val="884861464"/>
        <c:axId val="884856368"/>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7CA3-415B-8918-5900E69341F3}"/>
            </c:ext>
          </c:extLst>
        </c:ser>
        <c:dLbls>
          <c:showLegendKey val="0"/>
          <c:showVal val="0"/>
          <c:showCatName val="0"/>
          <c:showSerName val="0"/>
          <c:showPercent val="0"/>
          <c:showBubbleSize val="0"/>
        </c:dLbls>
        <c:marker val="1"/>
        <c:smooth val="0"/>
        <c:axId val="884861464"/>
        <c:axId val="884856368"/>
      </c:lineChart>
      <c:catAx>
        <c:axId val="884861464"/>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884856368"/>
        <c:crosses val="autoZero"/>
        <c:auto val="1"/>
        <c:lblAlgn val="ctr"/>
        <c:lblOffset val="100"/>
        <c:tickLblSkip val="1"/>
        <c:noMultiLvlLbl val="0"/>
      </c:catAx>
      <c:valAx>
        <c:axId val="884856368"/>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884861464"/>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1DC7-4992-AFB8-F543BA864C58}"/>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Report!$J$61:$J$81</c:f>
              <c:numCache>
                <c:formatCode>0.0</c:formatCode>
                <c:ptCount val="21"/>
                <c:pt idx="0">
                  <c:v>63.1</c:v>
                </c:pt>
                <c:pt idx="1">
                  <c:v>68.7</c:v>
                </c:pt>
                <c:pt idx="2">
                  <c:v>70.099999999999994</c:v>
                </c:pt>
                <c:pt idx="3">
                  <c:v>83</c:v>
                </c:pt>
                <c:pt idx="4">
                  <c:v>60.9</c:v>
                </c:pt>
                <c:pt idx="5">
                  <c:v>63.3</c:v>
                </c:pt>
                <c:pt idx="6">
                  <c:v>68.8</c:v>
                </c:pt>
                <c:pt idx="7">
                  <c:v>53.8</c:v>
                </c:pt>
                <c:pt idx="8">
                  <c:v>67.900000000000006</c:v>
                </c:pt>
                <c:pt idx="9">
                  <c:v>66.7</c:v>
                </c:pt>
                <c:pt idx="10">
                  <c:v>66.400000000000006</c:v>
                </c:pt>
                <c:pt idx="11">
                  <c:v>70.900000000000006</c:v>
                </c:pt>
                <c:pt idx="12">
                  <c:v>67.5</c:v>
                </c:pt>
                <c:pt idx="13">
                  <c:v>67.5</c:v>
                </c:pt>
                <c:pt idx="14">
                  <c:v>64.7</c:v>
                </c:pt>
                <c:pt idx="15">
                  <c:v>65.8</c:v>
                </c:pt>
                <c:pt idx="16">
                  <c:v>44</c:v>
                </c:pt>
                <c:pt idx="17">
                  <c:v>63.9</c:v>
                </c:pt>
                <c:pt idx="18">
                  <c:v>62.5</c:v>
                </c:pt>
                <c:pt idx="19">
                  <c:v>61.4</c:v>
                </c:pt>
                <c:pt idx="20">
                  <c:v>73.400000000000006</c:v>
                </c:pt>
              </c:numCache>
              <c:extLst/>
            </c:numRef>
          </c:val>
          <c:extLst>
            <c:ext xmlns:c16="http://schemas.microsoft.com/office/drawing/2014/chart" uri="{C3380CC4-5D6E-409C-BE32-E72D297353CC}">
              <c16:uniqueId val="{00000001-1DC7-4992-AFB8-F543BA864C58}"/>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Report!$O$61:$O$81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#N/A</c:v>
                </c:pt>
                <c:pt idx="13">
                  <c:v>67.5</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1DC7-4992-AFB8-F543BA864C58}"/>
            </c:ext>
          </c:extLst>
        </c:ser>
        <c:dLbls>
          <c:showLegendKey val="0"/>
          <c:showVal val="0"/>
          <c:showCatName val="0"/>
          <c:showSerName val="0"/>
          <c:showPercent val="0"/>
          <c:showBubbleSize val="0"/>
        </c:dLbls>
        <c:gapWidth val="50"/>
        <c:overlap val="100"/>
        <c:axId val="884857152"/>
        <c:axId val="884863816"/>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1DC7-4992-AFB8-F543BA864C58}"/>
            </c:ext>
          </c:extLst>
        </c:ser>
        <c:dLbls>
          <c:showLegendKey val="0"/>
          <c:showVal val="0"/>
          <c:showCatName val="0"/>
          <c:showSerName val="0"/>
          <c:showPercent val="0"/>
          <c:showBubbleSize val="0"/>
        </c:dLbls>
        <c:marker val="1"/>
        <c:smooth val="0"/>
        <c:axId val="884857152"/>
        <c:axId val="884863816"/>
      </c:lineChart>
      <c:catAx>
        <c:axId val="884857152"/>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884863816"/>
        <c:crosses val="autoZero"/>
        <c:auto val="1"/>
        <c:lblAlgn val="ctr"/>
        <c:lblOffset val="100"/>
        <c:tickLblSkip val="1"/>
        <c:noMultiLvlLbl val="0"/>
      </c:catAx>
      <c:valAx>
        <c:axId val="884863816"/>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884857152"/>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C4E6-4ABC-9821-02749F3D6856}"/>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Report!$L$61:$L$81</c:f>
              <c:numCache>
                <c:formatCode>0.0</c:formatCode>
                <c:ptCount val="21"/>
                <c:pt idx="0">
                  <c:v>71</c:v>
                </c:pt>
                <c:pt idx="1">
                  <c:v>64.900000000000006</c:v>
                </c:pt>
                <c:pt idx="2">
                  <c:v>63.4</c:v>
                </c:pt>
                <c:pt idx="3">
                  <c:v>72.099999999999994</c:v>
                </c:pt>
                <c:pt idx="4">
                  <c:v>69.3</c:v>
                </c:pt>
                <c:pt idx="5">
                  <c:v>69.5</c:v>
                </c:pt>
                <c:pt idx="6">
                  <c:v>72.5</c:v>
                </c:pt>
                <c:pt idx="7">
                  <c:v>67.5</c:v>
                </c:pt>
                <c:pt idx="8">
                  <c:v>74.599999999999994</c:v>
                </c:pt>
                <c:pt idx="9">
                  <c:v>73</c:v>
                </c:pt>
                <c:pt idx="10">
                  <c:v>79.099999999999994</c:v>
                </c:pt>
                <c:pt idx="11">
                  <c:v>76.8</c:v>
                </c:pt>
                <c:pt idx="12">
                  <c:v>74.7</c:v>
                </c:pt>
                <c:pt idx="13">
                  <c:v>72.599999999999994</c:v>
                </c:pt>
                <c:pt idx="14">
                  <c:v>77.3</c:v>
                </c:pt>
                <c:pt idx="15">
                  <c:v>79.599999999999994</c:v>
                </c:pt>
                <c:pt idx="16">
                  <c:v>77</c:v>
                </c:pt>
                <c:pt idx="17">
                  <c:v>76</c:v>
                </c:pt>
                <c:pt idx="18">
                  <c:v>76.900000000000006</c:v>
                </c:pt>
                <c:pt idx="19">
                  <c:v>75.5</c:v>
                </c:pt>
                <c:pt idx="20">
                  <c:v>72</c:v>
                </c:pt>
              </c:numCache>
              <c:extLst/>
            </c:numRef>
          </c:val>
          <c:extLst>
            <c:ext xmlns:c16="http://schemas.microsoft.com/office/drawing/2014/chart" uri="{C3380CC4-5D6E-409C-BE32-E72D297353CC}">
              <c16:uniqueId val="{00000001-C4E6-4ABC-9821-02749F3D6856}"/>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Report!$Q$61:$Q$81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#N/A</c:v>
                </c:pt>
                <c:pt idx="13">
                  <c:v>72.599999999999994</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C4E6-4ABC-9821-02749F3D6856}"/>
            </c:ext>
          </c:extLst>
        </c:ser>
        <c:dLbls>
          <c:showLegendKey val="0"/>
          <c:showVal val="0"/>
          <c:showCatName val="0"/>
          <c:showSerName val="0"/>
          <c:showPercent val="0"/>
          <c:showBubbleSize val="0"/>
        </c:dLbls>
        <c:gapWidth val="50"/>
        <c:overlap val="100"/>
        <c:axId val="884863424"/>
        <c:axId val="884864992"/>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C4E6-4ABC-9821-02749F3D6856}"/>
            </c:ext>
          </c:extLst>
        </c:ser>
        <c:dLbls>
          <c:showLegendKey val="0"/>
          <c:showVal val="0"/>
          <c:showCatName val="0"/>
          <c:showSerName val="0"/>
          <c:showPercent val="0"/>
          <c:showBubbleSize val="0"/>
        </c:dLbls>
        <c:marker val="1"/>
        <c:smooth val="0"/>
        <c:axId val="884863424"/>
        <c:axId val="884864992"/>
      </c:lineChart>
      <c:catAx>
        <c:axId val="884863424"/>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884864992"/>
        <c:crosses val="autoZero"/>
        <c:auto val="1"/>
        <c:lblAlgn val="ctr"/>
        <c:lblOffset val="100"/>
        <c:tickLblSkip val="1"/>
        <c:noMultiLvlLbl val="0"/>
      </c:catAx>
      <c:valAx>
        <c:axId val="884864992"/>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884863424"/>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2.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33"/>
          <a:ext cx="1152568" cy="38551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9D5C39-CABA-4B23-97DD-CE542D8D7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1803</Words>
  <Characters>10278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Health</dc:creator>
  <cp:keywords/>
  <dc:description/>
  <cp:lastModifiedBy>Gemma Manning</cp:lastModifiedBy>
  <cp:revision>2</cp:revision>
  <cp:lastPrinted>2019-02-07T00:54:00Z</cp:lastPrinted>
  <dcterms:created xsi:type="dcterms:W3CDTF">2023-07-17T04:03:00Z</dcterms:created>
  <dcterms:modified xsi:type="dcterms:W3CDTF">2023-07-17T04:03:00Z</dcterms:modified>
</cp:coreProperties>
</file>