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9D011" w14:textId="77777777"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6D0049" w:rsidRPr="006D0049">
        <w:rPr>
          <w:rFonts w:cs="Times New Roman"/>
          <w:b/>
          <w:sz w:val="72"/>
        </w:rPr>
        <w:t>Waikato</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6A9FD9D7"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1174F9C1" w14:textId="77777777" w:rsidR="00115CAE" w:rsidRPr="001414CF" w:rsidRDefault="006D0049" w:rsidP="00115CAE">
      <w:pPr>
        <w:spacing w:line="264" w:lineRule="auto"/>
        <w:ind w:right="424"/>
        <w:rPr>
          <w:rFonts w:cs="Times New Roman"/>
          <w:sz w:val="56"/>
        </w:rPr>
      </w:pPr>
      <w:r w:rsidRPr="006D0049">
        <w:rPr>
          <w:rFonts w:cs="Times New Roman"/>
          <w:sz w:val="56"/>
        </w:rPr>
        <w:t>31 December 2017</w:t>
      </w:r>
    </w:p>
    <w:p w14:paraId="4F9E2E97" w14:textId="77777777"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14:paraId="026E29A8"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6D0049" w:rsidRPr="006D0049">
        <w:rPr>
          <w:rFonts w:cs="Times New Roman"/>
        </w:rPr>
        <w:t>January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6D0049" w:rsidRPr="006D0049">
        <w:rPr>
          <w:rFonts w:cs="Times New Roman"/>
          <w:i/>
        </w:rPr>
        <w:t>31 December 2017</w:t>
      </w:r>
      <w:r w:rsidRPr="00982FA0">
        <w:rPr>
          <w:rFonts w:cs="Times New Roman"/>
        </w:rPr>
        <w:t>. Wellington: Ministry of Health.</w:t>
      </w:r>
    </w:p>
    <w:p w14:paraId="5740BA7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6D0049" w:rsidRPr="006D0049">
        <w:rPr>
          <w:rFonts w:cs="Times New Roman"/>
        </w:rPr>
        <w:t>January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693F50E9" w14:textId="77777777" w:rsidR="00115CAE" w:rsidRPr="00982FA0" w:rsidRDefault="006D0049" w:rsidP="00115CAE">
      <w:pPr>
        <w:spacing w:after="240" w:line="264" w:lineRule="auto"/>
        <w:jc w:val="center"/>
        <w:rPr>
          <w:rFonts w:cs="Times New Roman"/>
        </w:rPr>
      </w:pPr>
      <w:r w:rsidRPr="006D0049">
        <w:rPr>
          <w:rFonts w:cs="Times New Roman"/>
        </w:rPr>
        <w:t xml:space="preserve">2422-9393 </w:t>
      </w:r>
      <w:r w:rsidR="00115CAE" w:rsidRPr="00982FA0">
        <w:rPr>
          <w:rFonts w:cs="Times New Roman"/>
        </w:rPr>
        <w:t>(online)</w:t>
      </w:r>
      <w:r w:rsidR="00115CAE" w:rsidRPr="00982FA0">
        <w:rPr>
          <w:rFonts w:cs="Times New Roman"/>
        </w:rPr>
        <w:br/>
      </w:r>
    </w:p>
    <w:p w14:paraId="3D0FE305"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258511A2" w14:textId="77777777" w:rsidR="00115CAE" w:rsidRPr="00F079BE" w:rsidRDefault="00115CAE" w:rsidP="00115CAE"/>
    <w:p w14:paraId="7D022D05"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5786095C" w14:textId="77777777" w:rsidR="00115CAE" w:rsidRDefault="00115CAE" w:rsidP="006537DF">
      <w:pPr>
        <w:pStyle w:val="Contentsheading"/>
        <w:spacing w:after="240"/>
        <w:rPr>
          <w:noProof/>
        </w:rPr>
      </w:pPr>
      <w:r>
        <w:rPr>
          <w:noProof/>
        </w:rPr>
        <w:lastRenderedPageBreak/>
        <w:t>Contents</w:t>
      </w:r>
    </w:p>
    <w:p w14:paraId="4C21E1AB" w14:textId="77777777" w:rsidR="00F80775" w:rsidRDefault="00115CAE">
      <w:pPr>
        <w:pStyle w:val="TOC1"/>
        <w:tabs>
          <w:tab w:val="right" w:leader="dot" w:pos="9345"/>
        </w:tabs>
        <w:rPr>
          <w:rFonts w:asciiTheme="minorHAnsi" w:hAnsiTheme="minorHAnsi"/>
          <w:noProof/>
          <w:sz w:val="22"/>
        </w:rPr>
      </w:pPr>
      <w:r w:rsidRPr="00236495">
        <w:rPr>
          <w:noProof/>
          <w:sz w:val="20"/>
          <w:szCs w:val="20"/>
        </w:rPr>
        <w:fldChar w:fldCharType="begin"/>
      </w:r>
      <w:r w:rsidRPr="00236495">
        <w:rPr>
          <w:noProof/>
          <w:sz w:val="20"/>
          <w:szCs w:val="20"/>
        </w:rPr>
        <w:instrText xml:space="preserve"> TOC \o "2-2" \t "Heading 1,1" </w:instrText>
      </w:r>
      <w:r w:rsidRPr="00236495">
        <w:rPr>
          <w:noProof/>
          <w:sz w:val="20"/>
          <w:szCs w:val="20"/>
        </w:rPr>
        <w:fldChar w:fldCharType="separate"/>
      </w:r>
      <w:r w:rsidR="00F80775">
        <w:rPr>
          <w:noProof/>
        </w:rPr>
        <w:t>Introduction</w:t>
      </w:r>
      <w:r w:rsidR="00F80775">
        <w:rPr>
          <w:noProof/>
        </w:rPr>
        <w:tab/>
      </w:r>
      <w:r w:rsidR="00F80775">
        <w:rPr>
          <w:noProof/>
        </w:rPr>
        <w:fldChar w:fldCharType="begin"/>
      </w:r>
      <w:r w:rsidR="00F80775">
        <w:rPr>
          <w:noProof/>
        </w:rPr>
        <w:instrText xml:space="preserve"> PAGEREF _Toc503523235 \h </w:instrText>
      </w:r>
      <w:r w:rsidR="00F80775">
        <w:rPr>
          <w:noProof/>
        </w:rPr>
      </w:r>
      <w:r w:rsidR="00F80775">
        <w:rPr>
          <w:noProof/>
        </w:rPr>
        <w:fldChar w:fldCharType="separate"/>
      </w:r>
      <w:r w:rsidR="0034542A">
        <w:rPr>
          <w:noProof/>
        </w:rPr>
        <w:t>2</w:t>
      </w:r>
      <w:r w:rsidR="00F80775">
        <w:rPr>
          <w:noProof/>
        </w:rPr>
        <w:fldChar w:fldCharType="end"/>
      </w:r>
    </w:p>
    <w:p w14:paraId="4ADB2F64" w14:textId="77777777" w:rsidR="00F80775" w:rsidRDefault="00F80775">
      <w:pPr>
        <w:pStyle w:val="TOC1"/>
        <w:tabs>
          <w:tab w:val="right" w:leader="dot" w:pos="9345"/>
        </w:tabs>
        <w:rPr>
          <w:rFonts w:asciiTheme="minorHAnsi" w:hAnsiTheme="minorHAnsi"/>
          <w:noProof/>
          <w:sz w:val="22"/>
        </w:rPr>
      </w:pPr>
      <w:r>
        <w:rPr>
          <w:noProof/>
        </w:rPr>
        <w:t>Technical notes</w:t>
      </w:r>
      <w:r>
        <w:rPr>
          <w:noProof/>
        </w:rPr>
        <w:tab/>
      </w:r>
      <w:r>
        <w:rPr>
          <w:noProof/>
        </w:rPr>
        <w:fldChar w:fldCharType="begin"/>
      </w:r>
      <w:r>
        <w:rPr>
          <w:noProof/>
        </w:rPr>
        <w:instrText xml:space="preserve"> PAGEREF _Toc503523236 \h </w:instrText>
      </w:r>
      <w:r>
        <w:rPr>
          <w:noProof/>
        </w:rPr>
      </w:r>
      <w:r>
        <w:rPr>
          <w:noProof/>
        </w:rPr>
        <w:fldChar w:fldCharType="separate"/>
      </w:r>
      <w:r w:rsidR="0034542A">
        <w:rPr>
          <w:noProof/>
        </w:rPr>
        <w:t>3</w:t>
      </w:r>
      <w:r>
        <w:rPr>
          <w:noProof/>
        </w:rPr>
        <w:fldChar w:fldCharType="end"/>
      </w:r>
    </w:p>
    <w:p w14:paraId="55B5FA1A" w14:textId="77777777" w:rsidR="00F80775" w:rsidRDefault="00F80775">
      <w:pPr>
        <w:pStyle w:val="TOC1"/>
        <w:tabs>
          <w:tab w:val="right" w:leader="dot" w:pos="9345"/>
        </w:tabs>
        <w:rPr>
          <w:rFonts w:asciiTheme="minorHAnsi" w:hAnsiTheme="minorHAnsi"/>
          <w:noProof/>
          <w:sz w:val="22"/>
        </w:rPr>
      </w:pPr>
      <w:r>
        <w:rPr>
          <w:noProof/>
        </w:rPr>
        <w:t>Waikato coverage</w:t>
      </w:r>
      <w:r>
        <w:rPr>
          <w:noProof/>
        </w:rPr>
        <w:tab/>
      </w:r>
      <w:r>
        <w:rPr>
          <w:noProof/>
        </w:rPr>
        <w:fldChar w:fldCharType="begin"/>
      </w:r>
      <w:r>
        <w:rPr>
          <w:noProof/>
        </w:rPr>
        <w:instrText xml:space="preserve"> PAGEREF _Toc503523237 \h </w:instrText>
      </w:r>
      <w:r>
        <w:rPr>
          <w:noProof/>
        </w:rPr>
      </w:r>
      <w:r>
        <w:rPr>
          <w:noProof/>
        </w:rPr>
        <w:fldChar w:fldCharType="separate"/>
      </w:r>
      <w:r w:rsidR="0034542A">
        <w:rPr>
          <w:noProof/>
        </w:rPr>
        <w:t>4</w:t>
      </w:r>
      <w:r>
        <w:rPr>
          <w:noProof/>
        </w:rPr>
        <w:fldChar w:fldCharType="end"/>
      </w:r>
    </w:p>
    <w:p w14:paraId="41488B11" w14:textId="77777777" w:rsidR="00F80775" w:rsidRDefault="00F80775">
      <w:pPr>
        <w:pStyle w:val="TOC2"/>
        <w:tabs>
          <w:tab w:val="right" w:leader="dot" w:pos="9345"/>
        </w:tabs>
        <w:rPr>
          <w:rFonts w:asciiTheme="minorHAnsi" w:hAnsiTheme="minorHAnsi"/>
          <w:noProof/>
        </w:rPr>
      </w:pPr>
      <w:r>
        <w:rPr>
          <w:noProof/>
        </w:rPr>
        <w:t>Waikato coverage by ethnicity in the two years ending 31 December 2017</w:t>
      </w:r>
      <w:r>
        <w:rPr>
          <w:noProof/>
        </w:rPr>
        <w:tab/>
      </w:r>
      <w:r>
        <w:rPr>
          <w:noProof/>
        </w:rPr>
        <w:fldChar w:fldCharType="begin"/>
      </w:r>
      <w:r>
        <w:rPr>
          <w:noProof/>
        </w:rPr>
        <w:instrText xml:space="preserve"> PAGEREF _Toc503523238 \h </w:instrText>
      </w:r>
      <w:r>
        <w:rPr>
          <w:noProof/>
        </w:rPr>
      </w:r>
      <w:r>
        <w:rPr>
          <w:noProof/>
        </w:rPr>
        <w:fldChar w:fldCharType="separate"/>
      </w:r>
      <w:r w:rsidR="0034542A">
        <w:rPr>
          <w:noProof/>
        </w:rPr>
        <w:t>4</w:t>
      </w:r>
      <w:r>
        <w:rPr>
          <w:noProof/>
        </w:rPr>
        <w:fldChar w:fldCharType="end"/>
      </w:r>
    </w:p>
    <w:p w14:paraId="170BD9EE" w14:textId="77777777" w:rsidR="00F80775" w:rsidRDefault="00F80775">
      <w:pPr>
        <w:pStyle w:val="TOC2"/>
        <w:tabs>
          <w:tab w:val="right" w:leader="dot" w:pos="9345"/>
        </w:tabs>
        <w:rPr>
          <w:rFonts w:asciiTheme="minorHAnsi" w:hAnsiTheme="minorHAnsi"/>
          <w:noProof/>
        </w:rPr>
      </w:pPr>
      <w:r>
        <w:rPr>
          <w:noProof/>
        </w:rPr>
        <w:t>Waikato coverage trends by ethnicity</w:t>
      </w:r>
      <w:r>
        <w:rPr>
          <w:noProof/>
        </w:rPr>
        <w:tab/>
      </w:r>
      <w:r>
        <w:rPr>
          <w:noProof/>
        </w:rPr>
        <w:fldChar w:fldCharType="begin"/>
      </w:r>
      <w:r>
        <w:rPr>
          <w:noProof/>
        </w:rPr>
        <w:instrText xml:space="preserve"> PAGEREF _Toc503523239 \h </w:instrText>
      </w:r>
      <w:r>
        <w:rPr>
          <w:noProof/>
        </w:rPr>
      </w:r>
      <w:r>
        <w:rPr>
          <w:noProof/>
        </w:rPr>
        <w:fldChar w:fldCharType="separate"/>
      </w:r>
      <w:r w:rsidR="0034542A">
        <w:rPr>
          <w:noProof/>
        </w:rPr>
        <w:t>5</w:t>
      </w:r>
      <w:r>
        <w:rPr>
          <w:noProof/>
        </w:rPr>
        <w:fldChar w:fldCharType="end"/>
      </w:r>
    </w:p>
    <w:p w14:paraId="3CB42F44" w14:textId="77777777" w:rsidR="00F80775" w:rsidRDefault="00F80775">
      <w:pPr>
        <w:pStyle w:val="TOC1"/>
        <w:tabs>
          <w:tab w:val="right" w:leader="dot" w:pos="9345"/>
        </w:tabs>
        <w:rPr>
          <w:rFonts w:asciiTheme="minorHAnsi" w:hAnsiTheme="minorHAnsi"/>
          <w:noProof/>
          <w:sz w:val="22"/>
        </w:rPr>
      </w:pPr>
      <w:r>
        <w:rPr>
          <w:noProof/>
        </w:rPr>
        <w:t>DHB coverage comparisons</w:t>
      </w:r>
      <w:r>
        <w:rPr>
          <w:noProof/>
        </w:rPr>
        <w:tab/>
      </w:r>
      <w:r>
        <w:rPr>
          <w:noProof/>
        </w:rPr>
        <w:fldChar w:fldCharType="begin"/>
      </w:r>
      <w:r>
        <w:rPr>
          <w:noProof/>
        </w:rPr>
        <w:instrText xml:space="preserve"> PAGEREF _Toc503523240 \h </w:instrText>
      </w:r>
      <w:r>
        <w:rPr>
          <w:noProof/>
        </w:rPr>
      </w:r>
      <w:r>
        <w:rPr>
          <w:noProof/>
        </w:rPr>
        <w:fldChar w:fldCharType="separate"/>
      </w:r>
      <w:r w:rsidR="0034542A">
        <w:rPr>
          <w:noProof/>
        </w:rPr>
        <w:t>6</w:t>
      </w:r>
      <w:r>
        <w:rPr>
          <w:noProof/>
        </w:rPr>
        <w:fldChar w:fldCharType="end"/>
      </w:r>
    </w:p>
    <w:p w14:paraId="67861932" w14:textId="77777777" w:rsidR="00F80775" w:rsidRDefault="00F80775">
      <w:pPr>
        <w:pStyle w:val="TOC2"/>
        <w:tabs>
          <w:tab w:val="right" w:leader="dot" w:pos="9345"/>
        </w:tabs>
        <w:rPr>
          <w:rFonts w:asciiTheme="minorHAnsi" w:hAnsiTheme="minorHAnsi"/>
          <w:noProof/>
        </w:rPr>
      </w:pPr>
      <w:r>
        <w:rPr>
          <w:noProof/>
        </w:rPr>
        <w:t>DHB coverage by ethnicity in the two years ending 31 December 2017</w:t>
      </w:r>
      <w:r>
        <w:rPr>
          <w:noProof/>
        </w:rPr>
        <w:tab/>
      </w:r>
      <w:r>
        <w:rPr>
          <w:noProof/>
        </w:rPr>
        <w:fldChar w:fldCharType="begin"/>
      </w:r>
      <w:r>
        <w:rPr>
          <w:noProof/>
        </w:rPr>
        <w:instrText xml:space="preserve"> PAGEREF _Toc503523241 \h </w:instrText>
      </w:r>
      <w:r>
        <w:rPr>
          <w:noProof/>
        </w:rPr>
      </w:r>
      <w:r>
        <w:rPr>
          <w:noProof/>
        </w:rPr>
        <w:fldChar w:fldCharType="separate"/>
      </w:r>
      <w:r w:rsidR="0034542A">
        <w:rPr>
          <w:noProof/>
        </w:rPr>
        <w:t>6</w:t>
      </w:r>
      <w:r>
        <w:rPr>
          <w:noProof/>
        </w:rPr>
        <w:fldChar w:fldCharType="end"/>
      </w:r>
    </w:p>
    <w:p w14:paraId="1E8176AC" w14:textId="77777777" w:rsidR="00F80775" w:rsidRDefault="00F80775">
      <w:pPr>
        <w:pStyle w:val="TOC2"/>
        <w:tabs>
          <w:tab w:val="right" w:leader="dot" w:pos="9345"/>
        </w:tabs>
        <w:rPr>
          <w:rFonts w:asciiTheme="minorHAnsi" w:hAnsiTheme="minorHAnsi"/>
          <w:noProof/>
        </w:rPr>
      </w:pPr>
      <w:r>
        <w:rPr>
          <w:noProof/>
        </w:rPr>
        <w:t>DHB coverage comparison trends by ethnicity</w:t>
      </w:r>
      <w:r>
        <w:rPr>
          <w:noProof/>
        </w:rPr>
        <w:tab/>
      </w:r>
      <w:r>
        <w:rPr>
          <w:noProof/>
        </w:rPr>
        <w:fldChar w:fldCharType="begin"/>
      </w:r>
      <w:r>
        <w:rPr>
          <w:noProof/>
        </w:rPr>
        <w:instrText xml:space="preserve"> PAGEREF _Toc503523242 \h </w:instrText>
      </w:r>
      <w:r>
        <w:rPr>
          <w:noProof/>
        </w:rPr>
      </w:r>
      <w:r>
        <w:rPr>
          <w:noProof/>
        </w:rPr>
        <w:fldChar w:fldCharType="separate"/>
      </w:r>
      <w:r w:rsidR="0034542A">
        <w:rPr>
          <w:noProof/>
        </w:rPr>
        <w:t>12</w:t>
      </w:r>
      <w:r>
        <w:rPr>
          <w:noProof/>
        </w:rPr>
        <w:fldChar w:fldCharType="end"/>
      </w:r>
    </w:p>
    <w:p w14:paraId="67B2605A"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tables</w:t>
      </w:r>
    </w:p>
    <w:p w14:paraId="41273B8E" w14:textId="77777777" w:rsidR="00F8077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"Table,3" </w:instrText>
      </w:r>
      <w:r w:rsidRPr="00236495">
        <w:rPr>
          <w:noProof/>
          <w:sz w:val="20"/>
          <w:szCs w:val="20"/>
        </w:rPr>
        <w:fldChar w:fldCharType="separate"/>
      </w:r>
      <w:r w:rsidR="00F80775">
        <w:rPr>
          <w:noProof/>
        </w:rPr>
        <w:t>Table 1: BSA coverage (%) in the two years ending 31 December 2017 by ethnicity, women aged 50–69 years, Total Coverage</w:t>
      </w:r>
      <w:r w:rsidR="00F80775">
        <w:rPr>
          <w:noProof/>
        </w:rPr>
        <w:tab/>
      </w:r>
      <w:r w:rsidR="00F80775">
        <w:rPr>
          <w:noProof/>
        </w:rPr>
        <w:fldChar w:fldCharType="begin"/>
      </w:r>
      <w:r w:rsidR="00F80775">
        <w:rPr>
          <w:noProof/>
        </w:rPr>
        <w:instrText xml:space="preserve"> PAGEREF _Toc503523243 \h </w:instrText>
      </w:r>
      <w:r w:rsidR="00F80775">
        <w:rPr>
          <w:noProof/>
        </w:rPr>
      </w:r>
      <w:r w:rsidR="00F80775">
        <w:rPr>
          <w:noProof/>
        </w:rPr>
        <w:fldChar w:fldCharType="separate"/>
      </w:r>
      <w:r w:rsidR="0034542A">
        <w:rPr>
          <w:noProof/>
        </w:rPr>
        <w:t>4</w:t>
      </w:r>
      <w:r w:rsidR="00F80775">
        <w:rPr>
          <w:noProof/>
        </w:rPr>
        <w:fldChar w:fldCharType="end"/>
      </w:r>
    </w:p>
    <w:p w14:paraId="19248EC7" w14:textId="77777777" w:rsidR="00F80775" w:rsidRDefault="00F80775">
      <w:pPr>
        <w:pStyle w:val="TOC3"/>
        <w:tabs>
          <w:tab w:val="right" w:leader="dot" w:pos="9345"/>
        </w:tabs>
        <w:rPr>
          <w:rFonts w:asciiTheme="minorHAnsi" w:hAnsiTheme="minorHAnsi"/>
          <w:noProof/>
        </w:rPr>
      </w:pPr>
      <w:r>
        <w:rPr>
          <w:noProof/>
        </w:rPr>
        <w:t>Table 2: BSA number of screens in women aged 50–69 years by ethnicity and quarter, Quarter 4 2016 –Quarter 4 2017</w:t>
      </w:r>
      <w:r>
        <w:rPr>
          <w:noProof/>
        </w:rPr>
        <w:tab/>
      </w:r>
      <w:r>
        <w:rPr>
          <w:noProof/>
        </w:rPr>
        <w:fldChar w:fldCharType="begin"/>
      </w:r>
      <w:r>
        <w:rPr>
          <w:noProof/>
        </w:rPr>
        <w:instrText xml:space="preserve"> PAGEREF _Toc503523244 \h </w:instrText>
      </w:r>
      <w:r>
        <w:rPr>
          <w:noProof/>
        </w:rPr>
      </w:r>
      <w:r>
        <w:rPr>
          <w:noProof/>
        </w:rPr>
        <w:fldChar w:fldCharType="separate"/>
      </w:r>
      <w:r w:rsidR="0034542A">
        <w:rPr>
          <w:noProof/>
        </w:rPr>
        <w:t>5</w:t>
      </w:r>
      <w:r>
        <w:rPr>
          <w:noProof/>
        </w:rPr>
        <w:fldChar w:fldCharType="end"/>
      </w:r>
    </w:p>
    <w:p w14:paraId="2A863A1E" w14:textId="77777777" w:rsidR="00F80775" w:rsidRDefault="00F80775">
      <w:pPr>
        <w:pStyle w:val="TOC3"/>
        <w:tabs>
          <w:tab w:val="right" w:leader="dot" w:pos="9345"/>
        </w:tabs>
        <w:rPr>
          <w:rFonts w:asciiTheme="minorHAnsi" w:hAnsiTheme="minorHAnsi"/>
          <w:noProof/>
        </w:rPr>
      </w:pPr>
      <w:r>
        <w:rPr>
          <w:noProof/>
        </w:rPr>
        <w:t>Table 3: BSA number of screens and coverage (%) in women aged 50–69 years in the two years ending 31 December 2017 by District Health Board</w:t>
      </w:r>
      <w:r>
        <w:rPr>
          <w:noProof/>
        </w:rPr>
        <w:tab/>
      </w:r>
      <w:r>
        <w:rPr>
          <w:noProof/>
        </w:rPr>
        <w:fldChar w:fldCharType="begin"/>
      </w:r>
      <w:r>
        <w:rPr>
          <w:noProof/>
        </w:rPr>
        <w:instrText xml:space="preserve"> PAGEREF _Toc503523245 \h </w:instrText>
      </w:r>
      <w:r>
        <w:rPr>
          <w:noProof/>
        </w:rPr>
      </w:r>
      <w:r>
        <w:rPr>
          <w:noProof/>
        </w:rPr>
        <w:fldChar w:fldCharType="separate"/>
      </w:r>
      <w:r w:rsidR="0034542A">
        <w:rPr>
          <w:noProof/>
        </w:rPr>
        <w:t>11</w:t>
      </w:r>
      <w:r>
        <w:rPr>
          <w:noProof/>
        </w:rPr>
        <w:fldChar w:fldCharType="end"/>
      </w:r>
    </w:p>
    <w:p w14:paraId="7A7051DC" w14:textId="77777777" w:rsidR="00F80775" w:rsidRDefault="00F80775">
      <w:pPr>
        <w:pStyle w:val="TOC3"/>
        <w:tabs>
          <w:tab w:val="right" w:leader="dot" w:pos="9345"/>
        </w:tabs>
        <w:rPr>
          <w:rFonts w:asciiTheme="minorHAnsi" w:hAnsiTheme="minorHAnsi"/>
          <w:noProof/>
        </w:rPr>
      </w:pPr>
      <w:r>
        <w:rPr>
          <w:noProof/>
        </w:rPr>
        <w:t>Table 4: BSA coverage (%) of women aged 50–69 years in the two years ending 31 December, 2015, 2016, 2017, by ethnicity and District Health Board</w:t>
      </w:r>
      <w:r>
        <w:rPr>
          <w:noProof/>
        </w:rPr>
        <w:tab/>
      </w:r>
      <w:r>
        <w:rPr>
          <w:noProof/>
        </w:rPr>
        <w:fldChar w:fldCharType="begin"/>
      </w:r>
      <w:r>
        <w:rPr>
          <w:noProof/>
        </w:rPr>
        <w:instrText xml:space="preserve"> PAGEREF _Toc503523246 \h </w:instrText>
      </w:r>
      <w:r>
        <w:rPr>
          <w:noProof/>
        </w:rPr>
      </w:r>
      <w:r>
        <w:rPr>
          <w:noProof/>
        </w:rPr>
        <w:fldChar w:fldCharType="separate"/>
      </w:r>
      <w:r w:rsidR="0034542A">
        <w:rPr>
          <w:noProof/>
        </w:rPr>
        <w:t>12</w:t>
      </w:r>
      <w:r>
        <w:rPr>
          <w:noProof/>
        </w:rPr>
        <w:fldChar w:fldCharType="end"/>
      </w:r>
    </w:p>
    <w:p w14:paraId="42015145" w14:textId="77777777" w:rsidR="00115CAE" w:rsidRPr="00236495" w:rsidRDefault="00115CAE" w:rsidP="00BF27D3">
      <w:pPr>
        <w:spacing w:before="120"/>
        <w:rPr>
          <w:b/>
          <w:noProof/>
          <w:sz w:val="20"/>
          <w:szCs w:val="20"/>
        </w:rPr>
      </w:pPr>
      <w:r w:rsidRPr="00236495">
        <w:rPr>
          <w:noProof/>
          <w:sz w:val="20"/>
          <w:szCs w:val="20"/>
        </w:rPr>
        <w:fldChar w:fldCharType="end"/>
      </w:r>
      <w:r w:rsidRPr="00236495">
        <w:rPr>
          <w:b/>
          <w:noProof/>
          <w:sz w:val="20"/>
          <w:szCs w:val="20"/>
        </w:rPr>
        <w:t>List of figures</w:t>
      </w:r>
    </w:p>
    <w:p w14:paraId="479790B8" w14:textId="77777777" w:rsidR="00F80775" w:rsidRDefault="00115CAE">
      <w:pPr>
        <w:pStyle w:val="TOC3"/>
        <w:tabs>
          <w:tab w:val="right" w:leader="dot" w:pos="9345"/>
        </w:tabs>
        <w:rPr>
          <w:rFonts w:asciiTheme="minorHAnsi" w:hAnsiTheme="minorHAnsi"/>
          <w:noProof/>
        </w:rPr>
      </w:pPr>
      <w:r w:rsidRPr="00236495">
        <w:rPr>
          <w:noProof/>
          <w:sz w:val="20"/>
          <w:szCs w:val="20"/>
        </w:rPr>
        <w:fldChar w:fldCharType="begin"/>
      </w:r>
      <w:r w:rsidRPr="00236495">
        <w:rPr>
          <w:noProof/>
          <w:sz w:val="20"/>
          <w:szCs w:val="20"/>
        </w:rPr>
        <w:instrText xml:space="preserve"> TOC \t "Figure,3" </w:instrText>
      </w:r>
      <w:r w:rsidRPr="00236495">
        <w:rPr>
          <w:noProof/>
          <w:sz w:val="20"/>
          <w:szCs w:val="20"/>
        </w:rPr>
        <w:fldChar w:fldCharType="separate"/>
      </w:r>
      <w:r w:rsidR="00F80775">
        <w:rPr>
          <w:noProof/>
        </w:rPr>
        <w:t>Figure 1: BSA coverage (%) in the two years ending 31 December 2017 by ethnicity, women aged 50–69 years, Total Coverage</w:t>
      </w:r>
      <w:r w:rsidR="00F80775">
        <w:rPr>
          <w:noProof/>
        </w:rPr>
        <w:tab/>
      </w:r>
      <w:r w:rsidR="00F80775">
        <w:rPr>
          <w:noProof/>
        </w:rPr>
        <w:fldChar w:fldCharType="begin"/>
      </w:r>
      <w:r w:rsidR="00F80775">
        <w:rPr>
          <w:noProof/>
        </w:rPr>
        <w:instrText xml:space="preserve"> PAGEREF _Toc503523227 \h </w:instrText>
      </w:r>
      <w:r w:rsidR="00F80775">
        <w:rPr>
          <w:noProof/>
        </w:rPr>
      </w:r>
      <w:r w:rsidR="00F80775">
        <w:rPr>
          <w:noProof/>
        </w:rPr>
        <w:fldChar w:fldCharType="separate"/>
      </w:r>
      <w:r w:rsidR="0034542A">
        <w:rPr>
          <w:noProof/>
        </w:rPr>
        <w:t>4</w:t>
      </w:r>
      <w:r w:rsidR="00F80775">
        <w:rPr>
          <w:noProof/>
        </w:rPr>
        <w:fldChar w:fldCharType="end"/>
      </w:r>
    </w:p>
    <w:p w14:paraId="1C97B5B8" w14:textId="77777777" w:rsidR="00F80775" w:rsidRDefault="00F80775">
      <w:pPr>
        <w:pStyle w:val="TOC3"/>
        <w:tabs>
          <w:tab w:val="right" w:leader="dot" w:pos="9345"/>
        </w:tabs>
        <w:rPr>
          <w:rFonts w:asciiTheme="minorHAnsi" w:hAnsiTheme="minorHAnsi"/>
          <w:noProof/>
        </w:rPr>
      </w:pPr>
      <w:r>
        <w:rPr>
          <w:noProof/>
        </w:rPr>
        <w:t>Figure 2: BSA coverage (%) of women aged 50–69 years in the two years ending 31 December 2017 by ethnicity, Total Coverage</w:t>
      </w:r>
      <w:r>
        <w:rPr>
          <w:noProof/>
        </w:rPr>
        <w:tab/>
      </w:r>
      <w:r>
        <w:rPr>
          <w:noProof/>
        </w:rPr>
        <w:fldChar w:fldCharType="begin"/>
      </w:r>
      <w:r>
        <w:rPr>
          <w:noProof/>
        </w:rPr>
        <w:instrText xml:space="preserve"> PAGEREF _Toc503523228 \h </w:instrText>
      </w:r>
      <w:r>
        <w:rPr>
          <w:noProof/>
        </w:rPr>
      </w:r>
      <w:r>
        <w:rPr>
          <w:noProof/>
        </w:rPr>
        <w:fldChar w:fldCharType="separate"/>
      </w:r>
      <w:r w:rsidR="0034542A">
        <w:rPr>
          <w:noProof/>
        </w:rPr>
        <w:t>5</w:t>
      </w:r>
      <w:r>
        <w:rPr>
          <w:noProof/>
        </w:rPr>
        <w:fldChar w:fldCharType="end"/>
      </w:r>
    </w:p>
    <w:p w14:paraId="03230347" w14:textId="77777777" w:rsidR="00F80775" w:rsidRDefault="00F80775">
      <w:pPr>
        <w:pStyle w:val="TOC3"/>
        <w:tabs>
          <w:tab w:val="right" w:leader="dot" w:pos="9345"/>
        </w:tabs>
        <w:rPr>
          <w:rFonts w:asciiTheme="minorHAnsi" w:hAnsiTheme="minorHAnsi"/>
          <w:noProof/>
        </w:rPr>
      </w:pPr>
      <w:r>
        <w:rPr>
          <w:noProof/>
        </w:rPr>
        <w:t>Figure 3: BSA coverage (%) of Māori women aged 50–69 years in the two years ending 31 December 2017 by District Health Board</w:t>
      </w:r>
      <w:r>
        <w:rPr>
          <w:noProof/>
        </w:rPr>
        <w:tab/>
      </w:r>
      <w:r>
        <w:rPr>
          <w:noProof/>
        </w:rPr>
        <w:fldChar w:fldCharType="begin"/>
      </w:r>
      <w:r>
        <w:rPr>
          <w:noProof/>
        </w:rPr>
        <w:instrText xml:space="preserve"> PAGEREF _Toc503523229 \h </w:instrText>
      </w:r>
      <w:r>
        <w:rPr>
          <w:noProof/>
        </w:rPr>
      </w:r>
      <w:r>
        <w:rPr>
          <w:noProof/>
        </w:rPr>
        <w:fldChar w:fldCharType="separate"/>
      </w:r>
      <w:r w:rsidR="0034542A">
        <w:rPr>
          <w:noProof/>
        </w:rPr>
        <w:t>6</w:t>
      </w:r>
      <w:r>
        <w:rPr>
          <w:noProof/>
        </w:rPr>
        <w:fldChar w:fldCharType="end"/>
      </w:r>
    </w:p>
    <w:p w14:paraId="71416D71" w14:textId="77777777" w:rsidR="00F80775" w:rsidRDefault="00F80775">
      <w:pPr>
        <w:pStyle w:val="TOC3"/>
        <w:tabs>
          <w:tab w:val="right" w:leader="dot" w:pos="9345"/>
        </w:tabs>
        <w:rPr>
          <w:rFonts w:asciiTheme="minorHAnsi" w:hAnsiTheme="minorHAnsi"/>
          <w:noProof/>
        </w:rPr>
      </w:pPr>
      <w:r>
        <w:rPr>
          <w:noProof/>
        </w:rPr>
        <w:t>Figure 4: BSA coverage (%) of Pacific women aged 50–69 years in the two years ending 31 December 2017 by District Health Board</w:t>
      </w:r>
      <w:r>
        <w:rPr>
          <w:noProof/>
        </w:rPr>
        <w:tab/>
      </w:r>
      <w:r>
        <w:rPr>
          <w:noProof/>
        </w:rPr>
        <w:fldChar w:fldCharType="begin"/>
      </w:r>
      <w:r>
        <w:rPr>
          <w:noProof/>
        </w:rPr>
        <w:instrText xml:space="preserve"> PAGEREF _Toc503523230 \h </w:instrText>
      </w:r>
      <w:r>
        <w:rPr>
          <w:noProof/>
        </w:rPr>
      </w:r>
      <w:r>
        <w:rPr>
          <w:noProof/>
        </w:rPr>
        <w:fldChar w:fldCharType="separate"/>
      </w:r>
      <w:r w:rsidR="0034542A">
        <w:rPr>
          <w:noProof/>
        </w:rPr>
        <w:t>6</w:t>
      </w:r>
      <w:r>
        <w:rPr>
          <w:noProof/>
        </w:rPr>
        <w:fldChar w:fldCharType="end"/>
      </w:r>
    </w:p>
    <w:p w14:paraId="76108029" w14:textId="77777777" w:rsidR="00F80775" w:rsidRDefault="00F80775">
      <w:pPr>
        <w:pStyle w:val="TOC3"/>
        <w:tabs>
          <w:tab w:val="right" w:leader="dot" w:pos="9345"/>
        </w:tabs>
        <w:rPr>
          <w:rFonts w:asciiTheme="minorHAnsi" w:hAnsiTheme="minorHAnsi"/>
          <w:noProof/>
        </w:rPr>
      </w:pPr>
      <w:r>
        <w:rPr>
          <w:noProof/>
        </w:rPr>
        <w:t>Figure 5: Overall BSA coverage (%) of women aged 50–69 years in the two years ending 31 December 2017 by District Health Board</w:t>
      </w:r>
      <w:r>
        <w:rPr>
          <w:noProof/>
        </w:rPr>
        <w:tab/>
      </w:r>
      <w:r>
        <w:rPr>
          <w:noProof/>
        </w:rPr>
        <w:fldChar w:fldCharType="begin"/>
      </w:r>
      <w:r>
        <w:rPr>
          <w:noProof/>
        </w:rPr>
        <w:instrText xml:space="preserve"> PAGEREF _Toc503523231 \h </w:instrText>
      </w:r>
      <w:r>
        <w:rPr>
          <w:noProof/>
        </w:rPr>
      </w:r>
      <w:r>
        <w:rPr>
          <w:noProof/>
        </w:rPr>
        <w:fldChar w:fldCharType="separate"/>
      </w:r>
      <w:r w:rsidR="0034542A">
        <w:rPr>
          <w:noProof/>
        </w:rPr>
        <w:t>7</w:t>
      </w:r>
      <w:r>
        <w:rPr>
          <w:noProof/>
        </w:rPr>
        <w:fldChar w:fldCharType="end"/>
      </w:r>
    </w:p>
    <w:p w14:paraId="72119C41" w14:textId="77777777" w:rsidR="00F80775" w:rsidRDefault="00F80775">
      <w:pPr>
        <w:pStyle w:val="TOC3"/>
        <w:tabs>
          <w:tab w:val="right" w:leader="dot" w:pos="9345"/>
        </w:tabs>
        <w:rPr>
          <w:rFonts w:asciiTheme="minorHAnsi" w:hAnsiTheme="minorHAnsi"/>
          <w:noProof/>
        </w:rPr>
      </w:pPr>
      <w:r>
        <w:rPr>
          <w:noProof/>
        </w:rPr>
        <w:t>Figure 6: BSA coverage (%) of Māori women aged 50–69 years in the two years ending 31 December 2017</w:t>
      </w:r>
      <w:r>
        <w:rPr>
          <w:noProof/>
        </w:rPr>
        <w:tab/>
      </w:r>
      <w:r>
        <w:rPr>
          <w:noProof/>
        </w:rPr>
        <w:fldChar w:fldCharType="begin"/>
      </w:r>
      <w:r>
        <w:rPr>
          <w:noProof/>
        </w:rPr>
        <w:instrText xml:space="preserve"> PAGEREF _Toc503523232 \h </w:instrText>
      </w:r>
      <w:r>
        <w:rPr>
          <w:noProof/>
        </w:rPr>
      </w:r>
      <w:r>
        <w:rPr>
          <w:noProof/>
        </w:rPr>
        <w:fldChar w:fldCharType="separate"/>
      </w:r>
      <w:r w:rsidR="0034542A">
        <w:rPr>
          <w:noProof/>
        </w:rPr>
        <w:t>8</w:t>
      </w:r>
      <w:r>
        <w:rPr>
          <w:noProof/>
        </w:rPr>
        <w:fldChar w:fldCharType="end"/>
      </w:r>
    </w:p>
    <w:p w14:paraId="28A45117" w14:textId="77777777" w:rsidR="00F80775" w:rsidRDefault="00F80775">
      <w:pPr>
        <w:pStyle w:val="TOC3"/>
        <w:tabs>
          <w:tab w:val="right" w:leader="dot" w:pos="9345"/>
        </w:tabs>
        <w:rPr>
          <w:rFonts w:asciiTheme="minorHAnsi" w:hAnsiTheme="minorHAnsi"/>
          <w:noProof/>
        </w:rPr>
      </w:pPr>
      <w:r>
        <w:rPr>
          <w:noProof/>
        </w:rPr>
        <w:t>Figure 7: BSA coverage (%) of Pacific women aged 50–69 years in the two years ending 31 December 2017</w:t>
      </w:r>
      <w:r>
        <w:rPr>
          <w:noProof/>
        </w:rPr>
        <w:tab/>
      </w:r>
      <w:r>
        <w:rPr>
          <w:noProof/>
        </w:rPr>
        <w:fldChar w:fldCharType="begin"/>
      </w:r>
      <w:r>
        <w:rPr>
          <w:noProof/>
        </w:rPr>
        <w:instrText xml:space="preserve"> PAGEREF _Toc503523233 \h </w:instrText>
      </w:r>
      <w:r>
        <w:rPr>
          <w:noProof/>
        </w:rPr>
      </w:r>
      <w:r>
        <w:rPr>
          <w:noProof/>
        </w:rPr>
        <w:fldChar w:fldCharType="separate"/>
      </w:r>
      <w:r w:rsidR="0034542A">
        <w:rPr>
          <w:noProof/>
        </w:rPr>
        <w:t>9</w:t>
      </w:r>
      <w:r>
        <w:rPr>
          <w:noProof/>
        </w:rPr>
        <w:fldChar w:fldCharType="end"/>
      </w:r>
    </w:p>
    <w:p w14:paraId="42C7B35A" w14:textId="77777777" w:rsidR="00F80775" w:rsidRDefault="00F80775">
      <w:pPr>
        <w:pStyle w:val="TOC3"/>
        <w:tabs>
          <w:tab w:val="right" w:leader="dot" w:pos="9345"/>
        </w:tabs>
        <w:rPr>
          <w:rFonts w:asciiTheme="minorHAnsi" w:hAnsiTheme="minorHAnsi"/>
          <w:noProof/>
        </w:rPr>
      </w:pPr>
      <w:r>
        <w:rPr>
          <w:noProof/>
        </w:rPr>
        <w:t>Figure 8: Overall BSA coverage (%) of women aged 50–69 years in the two years ending 31 December 2017 by District Health Board</w:t>
      </w:r>
      <w:r>
        <w:rPr>
          <w:noProof/>
        </w:rPr>
        <w:tab/>
      </w:r>
      <w:r>
        <w:rPr>
          <w:noProof/>
        </w:rPr>
        <w:fldChar w:fldCharType="begin"/>
      </w:r>
      <w:r>
        <w:rPr>
          <w:noProof/>
        </w:rPr>
        <w:instrText xml:space="preserve"> PAGEREF _Toc503523234 \h </w:instrText>
      </w:r>
      <w:r>
        <w:rPr>
          <w:noProof/>
        </w:rPr>
      </w:r>
      <w:r>
        <w:rPr>
          <w:noProof/>
        </w:rPr>
        <w:fldChar w:fldCharType="separate"/>
      </w:r>
      <w:r w:rsidR="0034542A">
        <w:rPr>
          <w:noProof/>
        </w:rPr>
        <w:t>10</w:t>
      </w:r>
      <w:r>
        <w:rPr>
          <w:noProof/>
        </w:rPr>
        <w:fldChar w:fldCharType="end"/>
      </w:r>
    </w:p>
    <w:p w14:paraId="02384EED" w14:textId="77777777" w:rsidR="006537DF" w:rsidRDefault="00115CAE" w:rsidP="00834DDE">
      <w:pPr>
        <w:rPr>
          <w:rFonts w:eastAsiaTheme="majorEastAsia" w:cstheme="majorBidi"/>
          <w:b/>
          <w:bCs/>
          <w:noProof/>
          <w:sz w:val="36"/>
          <w:szCs w:val="36"/>
        </w:rPr>
      </w:pPr>
      <w:r w:rsidRPr="00236495">
        <w:rPr>
          <w:noProof/>
          <w:sz w:val="20"/>
          <w:szCs w:val="20"/>
        </w:rPr>
        <w:fldChar w:fldCharType="end"/>
      </w:r>
      <w:bookmarkStart w:id="0" w:name="_Toc399921850"/>
    </w:p>
    <w:p w14:paraId="45389BA9" w14:textId="77777777" w:rsidR="00115CAE" w:rsidRPr="004149AB" w:rsidRDefault="00115CAE" w:rsidP="00115CAE">
      <w:pPr>
        <w:pStyle w:val="Heading1"/>
        <w:rPr>
          <w:noProof/>
          <w:szCs w:val="36"/>
        </w:rPr>
      </w:pPr>
      <w:bookmarkStart w:id="1" w:name="_Toc503523235"/>
      <w:r w:rsidRPr="004149AB">
        <w:rPr>
          <w:noProof/>
          <w:szCs w:val="36"/>
        </w:rPr>
        <w:lastRenderedPageBreak/>
        <w:t>Introduction</w:t>
      </w:r>
      <w:bookmarkEnd w:id="0"/>
      <w:bookmarkEnd w:id="1"/>
    </w:p>
    <w:p w14:paraId="27B879C4"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6B2416BD" w14:textId="77777777" w:rsidR="00B72A22" w:rsidRDefault="00B72A22" w:rsidP="00B72A22"/>
    <w:p w14:paraId="628935E3"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44E52E97" w14:textId="77777777" w:rsidR="00B72A22" w:rsidRDefault="00B72A22" w:rsidP="00B72A22"/>
    <w:p w14:paraId="27392AA1"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572518CF" w14:textId="77777777" w:rsidR="00B72A22" w:rsidRDefault="00B72A22" w:rsidP="00B72A22"/>
    <w:p w14:paraId="4535B17D"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37E6DEA7" w14:textId="77777777" w:rsidR="00B72A22" w:rsidRPr="00D828ED" w:rsidRDefault="00B72A22" w:rsidP="00B72A22"/>
    <w:p w14:paraId="2EF88921" w14:textId="77777777" w:rsidR="00B72A22" w:rsidRDefault="00B72A22" w:rsidP="00B72A22">
      <w:r>
        <w:t>The purpose of this quarterly report is to demonstrate by DHB if the programme coverage targets are being met for the region.</w:t>
      </w:r>
    </w:p>
    <w:p w14:paraId="0FB19660" w14:textId="77777777" w:rsidR="00B72A22" w:rsidRPr="00F73803" w:rsidRDefault="00B72A22" w:rsidP="00B72A22">
      <w:pPr>
        <w:rPr>
          <w:rFonts w:eastAsiaTheme="minorHAnsi"/>
          <w:lang w:eastAsia="en-US"/>
        </w:rPr>
      </w:pPr>
    </w:p>
    <w:p w14:paraId="2AE29D1E" w14:textId="77777777" w:rsidR="00115CAE" w:rsidRDefault="00115CAE" w:rsidP="00115CAE">
      <w:pPr>
        <w:rPr>
          <w:rFonts w:eastAsiaTheme="majorEastAsia"/>
        </w:rPr>
      </w:pPr>
      <w:r>
        <w:br w:type="page"/>
      </w:r>
    </w:p>
    <w:p w14:paraId="52B2633C" w14:textId="77777777" w:rsidR="00115CAE" w:rsidRPr="004149AB" w:rsidRDefault="00115CAE" w:rsidP="00115CAE">
      <w:pPr>
        <w:pStyle w:val="Heading1"/>
      </w:pPr>
      <w:bookmarkStart w:id="3" w:name="_Toc503523236"/>
      <w:r w:rsidRPr="004149AB">
        <w:lastRenderedPageBreak/>
        <w:t xml:space="preserve">Technical </w:t>
      </w:r>
      <w:r>
        <w:t>n</w:t>
      </w:r>
      <w:r w:rsidRPr="004149AB">
        <w:t>otes</w:t>
      </w:r>
      <w:bookmarkEnd w:id="2"/>
      <w:bookmarkEnd w:id="3"/>
    </w:p>
    <w:p w14:paraId="2095DEBF"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6D0049" w:rsidRPr="006D0049">
        <w:rPr>
          <w:rFonts w:eastAsiaTheme="minorHAnsi"/>
          <w:lang w:eastAsia="en-US"/>
        </w:rPr>
        <w:t>31 December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6D0049" w:rsidRPr="006D0049">
        <w:rPr>
          <w:rFonts w:eastAsiaTheme="minorHAnsi"/>
          <w:lang w:eastAsia="en-US"/>
        </w:rPr>
        <w:t>10 January 2018</w:t>
      </w:r>
      <w:r w:rsidR="000E7690">
        <w:rPr>
          <w:rFonts w:eastAsiaTheme="minorHAnsi"/>
          <w:lang w:eastAsia="en-US"/>
        </w:rPr>
        <w:t>.</w:t>
      </w:r>
      <w:r w:rsidR="00B41599">
        <w:rPr>
          <w:rFonts w:eastAsiaTheme="minorHAnsi"/>
          <w:lang w:eastAsia="en-US"/>
        </w:rPr>
        <w:t xml:space="preserve"> </w:t>
      </w:r>
    </w:p>
    <w:p w14:paraId="308F1915" w14:textId="77777777" w:rsidR="00115CAE" w:rsidRDefault="00115CAE" w:rsidP="00115CAE">
      <w:pPr>
        <w:rPr>
          <w:rFonts w:eastAsiaTheme="minorHAnsi"/>
          <w:lang w:eastAsia="en-US"/>
        </w:rPr>
      </w:pPr>
    </w:p>
    <w:p w14:paraId="7CC21058"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3BF9F861" w14:textId="77777777" w:rsidR="000C2B3F" w:rsidRPr="005767BE" w:rsidRDefault="000C2B3F" w:rsidP="000C2B3F"/>
    <w:p w14:paraId="7FBA772D"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2F7B06AA" w14:textId="77777777" w:rsidR="000C2B3F" w:rsidRPr="005767BE" w:rsidRDefault="000C2B3F" w:rsidP="000C2B3F"/>
    <w:p w14:paraId="1DBB716A"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834DDE">
        <w:rPr>
          <w:rFonts w:eastAsiaTheme="minorHAnsi" w:cs="Georgia"/>
          <w:color w:val="000000"/>
          <w:szCs w:val="24"/>
          <w:lang w:eastAsia="en-US"/>
        </w:rPr>
        <w:t>31 December</w:t>
      </w:r>
      <w:r w:rsidR="00393D33">
        <w:rPr>
          <w:rFonts w:eastAsiaTheme="minorHAnsi" w:cs="Georgia"/>
          <w:color w:val="000000"/>
          <w:szCs w:val="24"/>
          <w:lang w:eastAsia="en-US"/>
        </w:rPr>
        <w:t xml:space="preserve"> 2015,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2016 and </w:t>
      </w:r>
      <w:r w:rsidR="00861166">
        <w:rPr>
          <w:rFonts w:eastAsiaTheme="minorHAnsi" w:cs="Georgia"/>
          <w:color w:val="000000"/>
          <w:szCs w:val="24"/>
          <w:lang w:eastAsia="en-US"/>
        </w:rPr>
        <w:t>December</w:t>
      </w:r>
      <w:r w:rsidR="00393D33">
        <w:rPr>
          <w:rFonts w:eastAsiaTheme="minorHAnsi" w:cs="Georgia"/>
          <w:color w:val="000000"/>
          <w:szCs w:val="24"/>
          <w:lang w:eastAsia="en-US"/>
        </w:rPr>
        <w:t xml:space="preserve"> 2017</w:t>
      </w:r>
      <w:r w:rsidRPr="005767BE">
        <w:rPr>
          <w:rFonts w:eastAsiaTheme="minorHAnsi" w:cs="Georgia"/>
          <w:color w:val="000000"/>
          <w:szCs w:val="24"/>
          <w:lang w:eastAsia="en-US"/>
        </w:rPr>
        <w:t xml:space="preserve"> are derived from Statistics New Zealand’s District Health Board (DHB) population projections </w:t>
      </w:r>
      <w:r w:rsidR="006D0049" w:rsidRPr="006D0049">
        <w:t>30 June 2016</w:t>
      </w:r>
      <w:r w:rsidRPr="005767BE">
        <w:rPr>
          <w:rFonts w:eastAsiaTheme="minorHAnsi" w:cs="Georgia"/>
          <w:color w:val="000000"/>
          <w:szCs w:val="24"/>
          <w:lang w:eastAsia="en-US"/>
        </w:rPr>
        <w:t xml:space="preserve"> update, based on the 2013 Census.</w:t>
      </w:r>
    </w:p>
    <w:p w14:paraId="3AFAB830"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3F78EA9F"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 xml:space="preserve">From </w:t>
      </w:r>
      <w:r w:rsidR="00861166">
        <w:rPr>
          <w:rFonts w:eastAsiaTheme="minorHAnsi" w:cs="Georgia"/>
          <w:color w:val="000000"/>
          <w:szCs w:val="24"/>
          <w:lang w:eastAsia="en-US"/>
        </w:rPr>
        <w:t>December</w:t>
      </w:r>
      <w:r w:rsidRPr="005767BE">
        <w:rPr>
          <w:rFonts w:eastAsiaTheme="minorHAnsi" w:cs="Georgia"/>
          <w:color w:val="000000"/>
          <w:szCs w:val="24"/>
          <w:lang w:eastAsia="en-US"/>
        </w:rPr>
        <w:t xml:space="preserve"> 2016, the National Screening Unit (NSU) </w:t>
      </w:r>
      <w:r w:rsidR="00CD4A33">
        <w:rPr>
          <w:rFonts w:eastAsiaTheme="minorHAnsi" w:cs="Georgia"/>
          <w:color w:val="000000"/>
          <w:szCs w:val="24"/>
          <w:lang w:eastAsia="en-US"/>
        </w:rPr>
        <w:t>began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1CCD9FC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777F3E8"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6FD4D7DB"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369DED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1F961EA5"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5D22592F" w14:textId="77777777" w:rsidR="000C2B3F" w:rsidRPr="005767BE" w:rsidRDefault="00834DDE"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09C45797" w14:textId="77777777" w:rsidR="000C2B3F" w:rsidRPr="005767BE" w:rsidRDefault="00834DDE"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4C60E477" w14:textId="77777777" w:rsidR="000C2B3F" w:rsidRPr="005767BE" w:rsidRDefault="00834DDE"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31 December</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3C29944E"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222B3D78"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6FE1E2DB" w14:textId="77777777" w:rsidR="000C2B3F" w:rsidRPr="005767BE" w:rsidRDefault="000C2B3F" w:rsidP="000C2B3F"/>
    <w:p w14:paraId="47C8E996"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01B60D6B" w14:textId="77777777" w:rsidR="00115CAE" w:rsidRPr="00F73803" w:rsidRDefault="00115CAE" w:rsidP="00115CAE">
      <w:pPr>
        <w:rPr>
          <w:rFonts w:eastAsiaTheme="minorHAnsi"/>
          <w:lang w:eastAsia="en-US"/>
        </w:rPr>
      </w:pPr>
    </w:p>
    <w:p w14:paraId="402D60E4" w14:textId="77777777" w:rsidR="00115CAE" w:rsidRDefault="00115CAE" w:rsidP="00115CAE">
      <w:pPr>
        <w:rPr>
          <w:rFonts w:eastAsiaTheme="majorEastAsia"/>
        </w:rPr>
      </w:pPr>
      <w:bookmarkStart w:id="4" w:name="_Toc399146163"/>
    </w:p>
    <w:p w14:paraId="27EAEC50" w14:textId="77777777" w:rsidR="00115CAE" w:rsidRPr="004149AB" w:rsidRDefault="006D0049" w:rsidP="00115CAE">
      <w:pPr>
        <w:pStyle w:val="Heading1"/>
      </w:pPr>
      <w:bookmarkStart w:id="5" w:name="_Toc399921852"/>
      <w:bookmarkStart w:id="6" w:name="_Toc503523237"/>
      <w:r w:rsidRPr="006D0049">
        <w:t>Waikato</w:t>
      </w:r>
      <w:r w:rsidR="00C75BA8">
        <w:t xml:space="preserve"> </w:t>
      </w:r>
      <w:r w:rsidR="00115CAE">
        <w:t>c</w:t>
      </w:r>
      <w:r w:rsidR="00115CAE" w:rsidRPr="004149AB">
        <w:t>overage</w:t>
      </w:r>
      <w:bookmarkEnd w:id="4"/>
      <w:bookmarkEnd w:id="5"/>
      <w:bookmarkEnd w:id="6"/>
    </w:p>
    <w:p w14:paraId="7A788F9A" w14:textId="77777777" w:rsidR="00115CAE" w:rsidRPr="00F7148E" w:rsidRDefault="006D0049" w:rsidP="00115CAE">
      <w:pPr>
        <w:pStyle w:val="Heading2"/>
      </w:pPr>
      <w:bookmarkStart w:id="7" w:name="_Toc399146164"/>
      <w:bookmarkStart w:id="8" w:name="_Toc399921853"/>
      <w:bookmarkStart w:id="9" w:name="_Toc503523238"/>
      <w:r w:rsidRPr="006D0049">
        <w:t>Waikato</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6D0049">
        <w:t>31 December 2017</w:t>
      </w:r>
      <w:bookmarkEnd w:id="9"/>
    </w:p>
    <w:p w14:paraId="7E29FF47" w14:textId="77777777" w:rsidR="00115CAE" w:rsidRDefault="00BD3841" w:rsidP="00BD3841">
      <w:pPr>
        <w:pStyle w:val="Figure"/>
      </w:pPr>
      <w:bookmarkStart w:id="10" w:name="_Toc399497921"/>
      <w:bookmarkStart w:id="11" w:name="_Toc503523227"/>
      <w:r>
        <w:t xml:space="preserve">Figure </w:t>
      </w:r>
      <w:r w:rsidR="00C35D79">
        <w:fldChar w:fldCharType="begin"/>
      </w:r>
      <w:r w:rsidR="00C35D79">
        <w:instrText xml:space="preserve"> SEQ Figure \* ARABIC </w:instrText>
      </w:r>
      <w:r w:rsidR="00C35D79">
        <w:fldChar w:fldCharType="separate"/>
      </w:r>
      <w:r w:rsidR="0034542A">
        <w:rPr>
          <w:noProof/>
        </w:rPr>
        <w:t>1</w:t>
      </w:r>
      <w:r w:rsidR="00C35D79">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6D0049" w:rsidRPr="006D0049">
        <w:t>31 December 2017</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14:paraId="2C333C35" w14:textId="77777777" w:rsidR="002D25D6" w:rsidRPr="002D25D6" w:rsidRDefault="006D0049" w:rsidP="002D25D6">
      <w:bookmarkStart w:id="12" w:name="figure_1"/>
      <w:bookmarkEnd w:id="12"/>
      <w:r>
        <w:rPr>
          <w:noProof/>
        </w:rPr>
        <w:drawing>
          <wp:inline distT="0" distB="0" distL="0" distR="0" wp14:anchorId="2C64FBD0" wp14:editId="391D251E">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998902" w14:textId="77777777" w:rsidR="00576B92" w:rsidRDefault="00576B92" w:rsidP="00F27C51">
      <w:bookmarkStart w:id="13" w:name="_Toc400365296"/>
    </w:p>
    <w:p w14:paraId="5129DDB4" w14:textId="77777777" w:rsidR="00115CAE" w:rsidRPr="004F701C" w:rsidRDefault="004F701C" w:rsidP="001802FB">
      <w:pPr>
        <w:pStyle w:val="Table"/>
        <w:rPr>
          <w:i/>
          <w:iCs/>
        </w:rPr>
      </w:pPr>
      <w:bookmarkStart w:id="14" w:name="_Toc503523243"/>
      <w:r w:rsidRPr="004F701C">
        <w:t xml:space="preserve">Table </w:t>
      </w:r>
      <w:r w:rsidR="00C35D79">
        <w:fldChar w:fldCharType="begin"/>
      </w:r>
      <w:r w:rsidR="00C35D79">
        <w:instrText xml:space="preserve"> SEQ Table \* ARABIC </w:instrText>
      </w:r>
      <w:r w:rsidR="00C35D79">
        <w:fldChar w:fldCharType="separate"/>
      </w:r>
      <w:r w:rsidR="0034542A">
        <w:rPr>
          <w:noProof/>
        </w:rPr>
        <w:t>1</w:t>
      </w:r>
      <w:r w:rsidR="00C35D79">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6D0049" w:rsidRPr="006D0049">
        <w:t>31 December 2017</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14:paraId="4E2B2346" w14:textId="77777777" w:rsidR="00E646CB" w:rsidRPr="00E646CB" w:rsidRDefault="006D0049" w:rsidP="00E646CB">
      <w:bookmarkStart w:id="15" w:name="table_1"/>
      <w:bookmarkEnd w:id="15"/>
      <w:r w:rsidRPr="006D0049">
        <w:rPr>
          <w:noProof/>
        </w:rPr>
        <w:drawing>
          <wp:inline distT="0" distB="0" distL="0" distR="0" wp14:anchorId="2E25BF79" wp14:editId="792F5B0C">
            <wp:extent cx="5819775" cy="1285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67F508F2"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3E6527EC" w14:textId="77777777" w:rsidR="00115CAE" w:rsidRDefault="00115CAE" w:rsidP="00115CAE">
      <w:pPr>
        <w:rPr>
          <w:sz w:val="16"/>
          <w:szCs w:val="16"/>
        </w:rPr>
      </w:pPr>
    </w:p>
    <w:p w14:paraId="49B953D0" w14:textId="77777777" w:rsidR="00BD3841" w:rsidRDefault="00BD3841">
      <w:pPr>
        <w:spacing w:after="200"/>
        <w:rPr>
          <w:rFonts w:cs="Times New Roman"/>
          <w:b/>
          <w:sz w:val="22"/>
        </w:rPr>
      </w:pPr>
      <w:r>
        <w:br w:type="page"/>
      </w:r>
    </w:p>
    <w:p w14:paraId="65D12C8D" w14:textId="77777777" w:rsidR="00115CAE" w:rsidRDefault="006D0049" w:rsidP="00115CAE">
      <w:pPr>
        <w:pStyle w:val="Heading2"/>
      </w:pPr>
      <w:bookmarkStart w:id="16" w:name="_Toc399921854"/>
      <w:bookmarkStart w:id="17" w:name="_Toc503523239"/>
      <w:r w:rsidRPr="006D0049">
        <w:lastRenderedPageBreak/>
        <w:t>Waikato</w:t>
      </w:r>
      <w:r w:rsidR="00F53E27" w:rsidRPr="00F53E27">
        <w:t xml:space="preserve"> </w:t>
      </w:r>
      <w:r w:rsidR="00115CAE">
        <w:t>coverage t</w:t>
      </w:r>
      <w:r w:rsidR="00115CAE" w:rsidRPr="001A7BE5">
        <w:t>rends</w:t>
      </w:r>
      <w:r w:rsidR="00115CAE">
        <w:t xml:space="preserve"> by ethnicity</w:t>
      </w:r>
      <w:bookmarkEnd w:id="16"/>
      <w:bookmarkEnd w:id="17"/>
    </w:p>
    <w:p w14:paraId="24A6FCD5" w14:textId="77777777" w:rsidR="00115CAE" w:rsidRPr="00BD3841" w:rsidRDefault="00BD3841" w:rsidP="00BD3841">
      <w:pPr>
        <w:pStyle w:val="Figure"/>
      </w:pPr>
      <w:bookmarkStart w:id="18" w:name="_Toc399497922"/>
      <w:bookmarkStart w:id="19" w:name="_Toc503523228"/>
      <w:r>
        <w:t xml:space="preserve">Figure </w:t>
      </w:r>
      <w:r w:rsidR="00C35D79">
        <w:fldChar w:fldCharType="begin"/>
      </w:r>
      <w:r w:rsidR="00C35D79">
        <w:instrText xml:space="preserve"> SEQ Figure \* ARABIC </w:instrText>
      </w:r>
      <w:r w:rsidR="00C35D79">
        <w:fldChar w:fldCharType="separate"/>
      </w:r>
      <w:r w:rsidR="0034542A">
        <w:rPr>
          <w:noProof/>
        </w:rPr>
        <w:t>2</w:t>
      </w:r>
      <w:r w:rsidR="00C35D79">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6D0049" w:rsidRPr="006D0049">
        <w:t>31 December 2017</w:t>
      </w:r>
      <w:r w:rsidR="00115CAE" w:rsidRPr="00F17732">
        <w:t xml:space="preserve"> by </w:t>
      </w:r>
      <w:r w:rsidR="00070AAE">
        <w:t>e</w:t>
      </w:r>
      <w:r w:rsidR="00115CAE" w:rsidRPr="00F17732">
        <w:t>thnicity</w:t>
      </w:r>
      <w:r w:rsidR="00115CAE">
        <w:t xml:space="preserve">, </w:t>
      </w:r>
      <w:bookmarkEnd w:id="18"/>
      <w:r w:rsidR="00C75BA8">
        <w:t>Total Coverage</w:t>
      </w:r>
      <w:bookmarkEnd w:id="19"/>
    </w:p>
    <w:p w14:paraId="353E4887" w14:textId="77777777" w:rsidR="005A05B2" w:rsidRDefault="006D0049" w:rsidP="00A206FE">
      <w:bookmarkStart w:id="20" w:name="figure_2"/>
      <w:bookmarkStart w:id="21" w:name="_Toc399921855"/>
      <w:bookmarkEnd w:id="20"/>
      <w:r>
        <w:rPr>
          <w:noProof/>
        </w:rPr>
        <w:drawing>
          <wp:inline distT="0" distB="0" distL="0" distR="0" wp14:anchorId="28C4D040" wp14:editId="2175E884">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713205" w14:textId="77777777" w:rsidR="00A206FE" w:rsidRPr="004F701C" w:rsidRDefault="004F701C" w:rsidP="001802FB">
      <w:pPr>
        <w:pStyle w:val="Table"/>
        <w:rPr>
          <w:i/>
          <w:iCs/>
        </w:rPr>
      </w:pPr>
      <w:bookmarkStart w:id="22" w:name="_Toc503523244"/>
      <w:r w:rsidRPr="004F701C">
        <w:t>Table</w:t>
      </w:r>
      <w:r w:rsidR="00622075">
        <w:t xml:space="preserve"> 2</w:t>
      </w:r>
      <w:r w:rsidRPr="004F701C">
        <w:t xml:space="preserve">: </w:t>
      </w:r>
      <w:r w:rsidR="00A206FE" w:rsidRPr="004F701C">
        <w:t xml:space="preserve">BSA number of screens in women aged 50–69 years by ethnicity and quarter, Quarter </w:t>
      </w:r>
      <w:r w:rsidR="006A46DF">
        <w:t>4</w:t>
      </w:r>
      <w:r w:rsidR="00A206FE" w:rsidRPr="004F701C">
        <w:t xml:space="preserve"> 2016 –Quarter </w:t>
      </w:r>
      <w:r w:rsidR="006A46DF">
        <w:t>4</w:t>
      </w:r>
      <w:r w:rsidR="00A206FE" w:rsidRPr="004F701C">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2D008E9D"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E98AE86" w14:textId="77777777"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26C3A2D" w14:textId="77777777"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34542A" w14:paraId="21001F63" w14:textId="77777777" w:rsidTr="00186DC0">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96BF4B4" w14:textId="77777777" w:rsidR="0034542A" w:rsidRDefault="0034542A" w:rsidP="003454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4" w:space="0" w:color="auto"/>
            </w:tcBorders>
            <w:shd w:val="clear" w:color="000000" w:fill="D9D9D9"/>
            <w:vAlign w:val="center"/>
          </w:tcPr>
          <w:p w14:paraId="0D9764CD" w14:textId="77777777" w:rsidR="0034542A" w:rsidRDefault="0034542A" w:rsidP="0034542A">
            <w:pPr>
              <w:jc w:val="right"/>
              <w:rPr>
                <w:rFonts w:ascii="Arial" w:eastAsia="Times New Roman"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0402C3EC" w14:textId="77777777" w:rsidR="0034542A" w:rsidRDefault="0034542A" w:rsidP="0034542A">
            <w:pPr>
              <w:jc w:val="right"/>
              <w:rPr>
                <w:rFonts w:ascii="Arial" w:hAnsi="Arial" w:cs="Arial"/>
                <w:b/>
                <w:bCs/>
                <w:color w:val="000000"/>
                <w:sz w:val="18"/>
                <w:szCs w:val="18"/>
              </w:rPr>
            </w:pPr>
            <w:r>
              <w:rPr>
                <w:rFonts w:ascii="Arial" w:hAnsi="Arial" w:cs="Arial"/>
                <w:b/>
                <w:bCs/>
                <w:color w:val="000000"/>
                <w:sz w:val="18"/>
                <w:szCs w:val="18"/>
              </w:rPr>
              <w:t>Q1 (Jan-Mar) 2017</w:t>
            </w:r>
          </w:p>
        </w:tc>
        <w:tc>
          <w:tcPr>
            <w:tcW w:w="1503" w:type="dxa"/>
            <w:tcBorders>
              <w:top w:val="single" w:sz="8" w:space="0" w:color="auto"/>
              <w:left w:val="nil"/>
              <w:bottom w:val="single" w:sz="8" w:space="0" w:color="auto"/>
              <w:right w:val="single" w:sz="4" w:space="0" w:color="auto"/>
            </w:tcBorders>
            <w:shd w:val="clear" w:color="000000" w:fill="D9D9D9"/>
            <w:vAlign w:val="center"/>
          </w:tcPr>
          <w:p w14:paraId="7922F817" w14:textId="77777777" w:rsidR="0034542A" w:rsidRDefault="0034542A" w:rsidP="0034542A">
            <w:pPr>
              <w:jc w:val="right"/>
              <w:rPr>
                <w:rFonts w:ascii="Arial" w:hAnsi="Arial" w:cs="Arial"/>
                <w:b/>
                <w:bCs/>
                <w:color w:val="000000"/>
                <w:sz w:val="18"/>
                <w:szCs w:val="18"/>
              </w:rPr>
            </w:pPr>
            <w:r>
              <w:rPr>
                <w:rFonts w:ascii="Arial" w:hAnsi="Arial" w:cs="Arial"/>
                <w:b/>
                <w:bCs/>
                <w:color w:val="000000"/>
                <w:sz w:val="18"/>
                <w:szCs w:val="18"/>
              </w:rPr>
              <w:t>Q2 (Apr - Jun) 2017</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4D9495DF" w14:textId="77777777" w:rsidR="0034542A" w:rsidRDefault="0034542A" w:rsidP="0034542A">
            <w:pPr>
              <w:jc w:val="right"/>
              <w:rPr>
                <w:rFonts w:ascii="Arial" w:hAnsi="Arial" w:cs="Arial"/>
                <w:b/>
                <w:bCs/>
                <w:color w:val="000000"/>
                <w:sz w:val="18"/>
                <w:szCs w:val="18"/>
              </w:rPr>
            </w:pPr>
            <w:r>
              <w:rPr>
                <w:rFonts w:ascii="Arial" w:hAnsi="Arial" w:cs="Arial"/>
                <w:b/>
                <w:bCs/>
                <w:color w:val="000000"/>
                <w:sz w:val="18"/>
                <w:szCs w:val="18"/>
              </w:rPr>
              <w:t>Q3 (Jun - Sep) 2017</w:t>
            </w:r>
          </w:p>
        </w:tc>
        <w:tc>
          <w:tcPr>
            <w:tcW w:w="1504" w:type="dxa"/>
            <w:tcBorders>
              <w:top w:val="single" w:sz="8" w:space="0" w:color="auto"/>
              <w:left w:val="nil"/>
              <w:bottom w:val="single" w:sz="8" w:space="0" w:color="auto"/>
              <w:right w:val="single" w:sz="8" w:space="0" w:color="auto"/>
            </w:tcBorders>
            <w:shd w:val="clear" w:color="auto" w:fill="D9D9D9"/>
            <w:vAlign w:val="center"/>
          </w:tcPr>
          <w:p w14:paraId="58466E3E" w14:textId="77777777" w:rsidR="0034542A" w:rsidRDefault="0034542A" w:rsidP="0034542A">
            <w:pPr>
              <w:jc w:val="right"/>
              <w:rPr>
                <w:rFonts w:ascii="Arial" w:hAnsi="Arial" w:cs="Arial"/>
                <w:b/>
                <w:bCs/>
                <w:color w:val="000000"/>
                <w:sz w:val="18"/>
                <w:szCs w:val="18"/>
                <w:lang w:eastAsia="en-US"/>
              </w:rPr>
            </w:pPr>
            <w:r>
              <w:rPr>
                <w:rFonts w:ascii="Arial" w:hAnsi="Arial" w:cs="Arial"/>
                <w:b/>
                <w:bCs/>
                <w:color w:val="000000"/>
                <w:sz w:val="18"/>
                <w:szCs w:val="18"/>
                <w:lang w:eastAsia="en-US"/>
              </w:rPr>
              <w:t>Q4 (Oct - Dec) 2017</w:t>
            </w:r>
          </w:p>
        </w:tc>
      </w:tr>
      <w:tr w:rsidR="00834DDE" w14:paraId="4FAF4BE2" w14:textId="77777777" w:rsidTr="000F29A7">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1CC0CACB" w14:textId="77777777" w:rsidR="00834DDE" w:rsidRDefault="00834DDE" w:rsidP="00834DDE">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2B309F92" w14:textId="77777777" w:rsidR="00834DDE" w:rsidRDefault="00834DDE" w:rsidP="00834DDE">
            <w:pPr>
              <w:jc w:val="right"/>
              <w:rPr>
                <w:rFonts w:ascii="Arial" w:eastAsia="Times New Roman" w:hAnsi="Arial" w:cs="Arial"/>
                <w:sz w:val="18"/>
                <w:szCs w:val="18"/>
              </w:rPr>
            </w:pPr>
            <w:r>
              <w:rPr>
                <w:rFonts w:ascii="Arial" w:hAnsi="Arial" w:cs="Arial"/>
                <w:sz w:val="18"/>
                <w:szCs w:val="18"/>
              </w:rPr>
              <w:t>497</w:t>
            </w:r>
          </w:p>
        </w:tc>
        <w:tc>
          <w:tcPr>
            <w:tcW w:w="1504" w:type="dxa"/>
            <w:tcBorders>
              <w:top w:val="nil"/>
              <w:left w:val="nil"/>
              <w:bottom w:val="single" w:sz="4" w:space="0" w:color="D9D9D9"/>
              <w:right w:val="single" w:sz="4" w:space="0" w:color="auto"/>
            </w:tcBorders>
            <w:shd w:val="clear" w:color="auto" w:fill="auto"/>
            <w:noWrap/>
            <w:vAlign w:val="center"/>
          </w:tcPr>
          <w:p w14:paraId="03666502" w14:textId="77777777" w:rsidR="00834DDE" w:rsidRDefault="00834DDE" w:rsidP="00834DDE">
            <w:pPr>
              <w:jc w:val="right"/>
              <w:rPr>
                <w:rFonts w:ascii="Arial" w:hAnsi="Arial" w:cs="Arial"/>
                <w:sz w:val="18"/>
                <w:szCs w:val="18"/>
              </w:rPr>
            </w:pPr>
            <w:r>
              <w:rPr>
                <w:rFonts w:ascii="Arial" w:hAnsi="Arial" w:cs="Arial"/>
                <w:sz w:val="18"/>
                <w:szCs w:val="18"/>
              </w:rPr>
              <w:t>448</w:t>
            </w:r>
          </w:p>
        </w:tc>
        <w:tc>
          <w:tcPr>
            <w:tcW w:w="1503" w:type="dxa"/>
            <w:tcBorders>
              <w:top w:val="nil"/>
              <w:left w:val="nil"/>
              <w:bottom w:val="single" w:sz="4" w:space="0" w:color="D9D9D9"/>
              <w:right w:val="single" w:sz="4" w:space="0" w:color="auto"/>
            </w:tcBorders>
            <w:shd w:val="clear" w:color="auto" w:fill="auto"/>
            <w:noWrap/>
            <w:vAlign w:val="center"/>
          </w:tcPr>
          <w:p w14:paraId="0A3D9D5A" w14:textId="77777777" w:rsidR="00834DDE" w:rsidRDefault="00834DDE" w:rsidP="00834DDE">
            <w:pPr>
              <w:jc w:val="right"/>
              <w:rPr>
                <w:rFonts w:ascii="Arial" w:hAnsi="Arial" w:cs="Arial"/>
                <w:sz w:val="18"/>
                <w:szCs w:val="18"/>
              </w:rPr>
            </w:pPr>
            <w:r>
              <w:rPr>
                <w:rFonts w:ascii="Arial" w:hAnsi="Arial" w:cs="Arial"/>
                <w:sz w:val="18"/>
                <w:szCs w:val="18"/>
              </w:rPr>
              <w:t>487</w:t>
            </w:r>
          </w:p>
        </w:tc>
        <w:tc>
          <w:tcPr>
            <w:tcW w:w="1504" w:type="dxa"/>
            <w:tcBorders>
              <w:top w:val="nil"/>
              <w:left w:val="nil"/>
              <w:bottom w:val="single" w:sz="4" w:space="0" w:color="D9D9D9"/>
              <w:right w:val="single" w:sz="4" w:space="0" w:color="auto"/>
            </w:tcBorders>
            <w:shd w:val="clear" w:color="auto" w:fill="auto"/>
            <w:noWrap/>
            <w:vAlign w:val="center"/>
          </w:tcPr>
          <w:p w14:paraId="78CA2BD5" w14:textId="77777777" w:rsidR="00834DDE" w:rsidRDefault="00834DDE" w:rsidP="00834DDE">
            <w:pPr>
              <w:jc w:val="right"/>
              <w:rPr>
                <w:rFonts w:ascii="Arial" w:hAnsi="Arial" w:cs="Arial"/>
                <w:sz w:val="18"/>
                <w:szCs w:val="18"/>
              </w:rPr>
            </w:pPr>
            <w:r>
              <w:rPr>
                <w:rFonts w:ascii="Arial" w:hAnsi="Arial" w:cs="Arial"/>
                <w:sz w:val="18"/>
                <w:szCs w:val="18"/>
              </w:rPr>
              <w:t>855</w:t>
            </w:r>
          </w:p>
        </w:tc>
        <w:tc>
          <w:tcPr>
            <w:tcW w:w="1504" w:type="dxa"/>
            <w:tcBorders>
              <w:top w:val="nil"/>
              <w:left w:val="nil"/>
              <w:bottom w:val="single" w:sz="4" w:space="0" w:color="D9D9D9"/>
              <w:right w:val="single" w:sz="8" w:space="0" w:color="auto"/>
            </w:tcBorders>
            <w:shd w:val="clear" w:color="auto" w:fill="auto"/>
            <w:vAlign w:val="center"/>
          </w:tcPr>
          <w:p w14:paraId="7F0075AC" w14:textId="77777777" w:rsidR="00834DDE" w:rsidRDefault="00834DDE" w:rsidP="00834DDE">
            <w:pPr>
              <w:jc w:val="right"/>
              <w:rPr>
                <w:rFonts w:ascii="Arial" w:hAnsi="Arial" w:cs="Arial"/>
                <w:sz w:val="18"/>
                <w:szCs w:val="18"/>
              </w:rPr>
            </w:pPr>
            <w:r>
              <w:rPr>
                <w:rFonts w:ascii="Arial" w:hAnsi="Arial" w:cs="Arial"/>
                <w:sz w:val="18"/>
                <w:szCs w:val="18"/>
              </w:rPr>
              <w:t>769</w:t>
            </w:r>
          </w:p>
        </w:tc>
      </w:tr>
      <w:tr w:rsidR="00834DDE" w14:paraId="68F5D28F" w14:textId="77777777" w:rsidTr="000F29A7">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12FEF572" w14:textId="77777777" w:rsidR="00834DDE" w:rsidRDefault="00834DDE" w:rsidP="00834DDE">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14:paraId="5A1ACFCF" w14:textId="77777777" w:rsidR="00834DDE" w:rsidRDefault="00834DDE" w:rsidP="00834DDE">
            <w:pPr>
              <w:jc w:val="right"/>
              <w:rPr>
                <w:rFonts w:ascii="Arial" w:hAnsi="Arial" w:cs="Arial"/>
                <w:sz w:val="18"/>
                <w:szCs w:val="18"/>
              </w:rPr>
            </w:pPr>
            <w:r>
              <w:rPr>
                <w:rFonts w:ascii="Arial" w:hAnsi="Arial" w:cs="Arial"/>
                <w:sz w:val="18"/>
                <w:szCs w:val="18"/>
              </w:rPr>
              <w:t>67</w:t>
            </w:r>
          </w:p>
        </w:tc>
        <w:tc>
          <w:tcPr>
            <w:tcW w:w="1504" w:type="dxa"/>
            <w:tcBorders>
              <w:top w:val="nil"/>
              <w:left w:val="nil"/>
              <w:bottom w:val="single" w:sz="4" w:space="0" w:color="D9D9D9"/>
              <w:right w:val="single" w:sz="4" w:space="0" w:color="auto"/>
            </w:tcBorders>
            <w:shd w:val="clear" w:color="auto" w:fill="auto"/>
            <w:noWrap/>
            <w:vAlign w:val="center"/>
          </w:tcPr>
          <w:p w14:paraId="51A31748" w14:textId="77777777" w:rsidR="00834DDE" w:rsidRDefault="00834DDE" w:rsidP="00834DDE">
            <w:pPr>
              <w:jc w:val="right"/>
              <w:rPr>
                <w:rFonts w:ascii="Arial" w:hAnsi="Arial" w:cs="Arial"/>
                <w:sz w:val="18"/>
                <w:szCs w:val="18"/>
              </w:rPr>
            </w:pPr>
            <w:r>
              <w:rPr>
                <w:rFonts w:ascii="Arial" w:hAnsi="Arial" w:cs="Arial"/>
                <w:sz w:val="18"/>
                <w:szCs w:val="18"/>
              </w:rPr>
              <w:t>58</w:t>
            </w:r>
          </w:p>
        </w:tc>
        <w:tc>
          <w:tcPr>
            <w:tcW w:w="1503" w:type="dxa"/>
            <w:tcBorders>
              <w:top w:val="nil"/>
              <w:left w:val="nil"/>
              <w:bottom w:val="single" w:sz="4" w:space="0" w:color="D9D9D9"/>
              <w:right w:val="single" w:sz="4" w:space="0" w:color="auto"/>
            </w:tcBorders>
            <w:shd w:val="clear" w:color="auto" w:fill="auto"/>
            <w:noWrap/>
            <w:vAlign w:val="center"/>
          </w:tcPr>
          <w:p w14:paraId="78C11240" w14:textId="77777777" w:rsidR="00834DDE" w:rsidRDefault="00834DDE" w:rsidP="00834DDE">
            <w:pPr>
              <w:jc w:val="right"/>
              <w:rPr>
                <w:rFonts w:ascii="Arial" w:hAnsi="Arial" w:cs="Arial"/>
                <w:sz w:val="18"/>
                <w:szCs w:val="18"/>
              </w:rPr>
            </w:pPr>
            <w:r>
              <w:rPr>
                <w:rFonts w:ascii="Arial" w:hAnsi="Arial" w:cs="Arial"/>
                <w:sz w:val="18"/>
                <w:szCs w:val="18"/>
              </w:rPr>
              <w:t>64</w:t>
            </w:r>
          </w:p>
        </w:tc>
        <w:tc>
          <w:tcPr>
            <w:tcW w:w="1504" w:type="dxa"/>
            <w:tcBorders>
              <w:top w:val="nil"/>
              <w:left w:val="nil"/>
              <w:bottom w:val="single" w:sz="4" w:space="0" w:color="D9D9D9"/>
              <w:right w:val="single" w:sz="4" w:space="0" w:color="auto"/>
            </w:tcBorders>
            <w:shd w:val="clear" w:color="auto" w:fill="auto"/>
            <w:noWrap/>
            <w:vAlign w:val="center"/>
          </w:tcPr>
          <w:p w14:paraId="21E60D13" w14:textId="77777777" w:rsidR="00834DDE" w:rsidRDefault="00834DDE" w:rsidP="00834DDE">
            <w:pPr>
              <w:jc w:val="right"/>
              <w:rPr>
                <w:rFonts w:ascii="Arial" w:hAnsi="Arial" w:cs="Arial"/>
                <w:sz w:val="18"/>
                <w:szCs w:val="18"/>
              </w:rPr>
            </w:pPr>
            <w:r>
              <w:rPr>
                <w:rFonts w:ascii="Arial" w:hAnsi="Arial" w:cs="Arial"/>
                <w:sz w:val="18"/>
                <w:szCs w:val="18"/>
              </w:rPr>
              <w:t>119</w:t>
            </w:r>
          </w:p>
        </w:tc>
        <w:tc>
          <w:tcPr>
            <w:tcW w:w="1504" w:type="dxa"/>
            <w:tcBorders>
              <w:top w:val="nil"/>
              <w:left w:val="nil"/>
              <w:bottom w:val="single" w:sz="4" w:space="0" w:color="D9D9D9"/>
              <w:right w:val="single" w:sz="8" w:space="0" w:color="auto"/>
            </w:tcBorders>
            <w:shd w:val="clear" w:color="auto" w:fill="auto"/>
            <w:vAlign w:val="center"/>
          </w:tcPr>
          <w:p w14:paraId="11905411" w14:textId="77777777" w:rsidR="00834DDE" w:rsidRDefault="00834DDE" w:rsidP="00834DDE">
            <w:pPr>
              <w:jc w:val="right"/>
              <w:rPr>
                <w:rFonts w:ascii="Arial" w:hAnsi="Arial" w:cs="Arial"/>
                <w:sz w:val="18"/>
                <w:szCs w:val="18"/>
              </w:rPr>
            </w:pPr>
            <w:r>
              <w:rPr>
                <w:rFonts w:ascii="Arial" w:hAnsi="Arial" w:cs="Arial"/>
                <w:sz w:val="18"/>
                <w:szCs w:val="18"/>
              </w:rPr>
              <w:t>85</w:t>
            </w:r>
          </w:p>
        </w:tc>
      </w:tr>
      <w:tr w:rsidR="00834DDE" w14:paraId="39292ECE" w14:textId="77777777" w:rsidTr="000F29A7">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399BB59B" w14:textId="77777777" w:rsidR="00834DDE" w:rsidRDefault="00834DDE" w:rsidP="00834DDE">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14:paraId="2592C63D" w14:textId="77777777" w:rsidR="00834DDE" w:rsidRDefault="00834DDE" w:rsidP="00834DDE">
            <w:pPr>
              <w:jc w:val="right"/>
              <w:rPr>
                <w:rFonts w:ascii="Arial" w:hAnsi="Arial" w:cs="Arial"/>
                <w:sz w:val="18"/>
                <w:szCs w:val="18"/>
              </w:rPr>
            </w:pPr>
            <w:r>
              <w:rPr>
                <w:rFonts w:ascii="Arial" w:hAnsi="Arial" w:cs="Arial"/>
                <w:sz w:val="18"/>
                <w:szCs w:val="18"/>
              </w:rPr>
              <w:t>3,067</w:t>
            </w:r>
          </w:p>
        </w:tc>
        <w:tc>
          <w:tcPr>
            <w:tcW w:w="1504" w:type="dxa"/>
            <w:tcBorders>
              <w:top w:val="nil"/>
              <w:left w:val="nil"/>
              <w:bottom w:val="nil"/>
              <w:right w:val="single" w:sz="4" w:space="0" w:color="auto"/>
            </w:tcBorders>
            <w:shd w:val="clear" w:color="auto" w:fill="auto"/>
            <w:noWrap/>
            <w:vAlign w:val="center"/>
          </w:tcPr>
          <w:p w14:paraId="0ACBDE37" w14:textId="77777777" w:rsidR="00834DDE" w:rsidRDefault="00834DDE" w:rsidP="00834DDE">
            <w:pPr>
              <w:jc w:val="right"/>
              <w:rPr>
                <w:rFonts w:ascii="Arial" w:hAnsi="Arial" w:cs="Arial"/>
                <w:sz w:val="18"/>
                <w:szCs w:val="18"/>
              </w:rPr>
            </w:pPr>
            <w:r>
              <w:rPr>
                <w:rFonts w:ascii="Arial" w:hAnsi="Arial" w:cs="Arial"/>
                <w:sz w:val="18"/>
                <w:szCs w:val="18"/>
              </w:rPr>
              <w:t>3,797</w:t>
            </w:r>
          </w:p>
        </w:tc>
        <w:tc>
          <w:tcPr>
            <w:tcW w:w="1503" w:type="dxa"/>
            <w:tcBorders>
              <w:top w:val="nil"/>
              <w:left w:val="nil"/>
              <w:bottom w:val="nil"/>
              <w:right w:val="single" w:sz="4" w:space="0" w:color="auto"/>
            </w:tcBorders>
            <w:shd w:val="clear" w:color="auto" w:fill="auto"/>
            <w:noWrap/>
            <w:vAlign w:val="center"/>
          </w:tcPr>
          <w:p w14:paraId="4A18A578" w14:textId="77777777" w:rsidR="00834DDE" w:rsidRDefault="00834DDE" w:rsidP="00834DDE">
            <w:pPr>
              <w:jc w:val="right"/>
              <w:rPr>
                <w:rFonts w:ascii="Arial" w:hAnsi="Arial" w:cs="Arial"/>
                <w:sz w:val="18"/>
                <w:szCs w:val="18"/>
              </w:rPr>
            </w:pPr>
            <w:r>
              <w:rPr>
                <w:rFonts w:ascii="Arial" w:hAnsi="Arial" w:cs="Arial"/>
                <w:sz w:val="18"/>
                <w:szCs w:val="18"/>
              </w:rPr>
              <w:t>3,721</w:t>
            </w:r>
          </w:p>
        </w:tc>
        <w:tc>
          <w:tcPr>
            <w:tcW w:w="1504" w:type="dxa"/>
            <w:tcBorders>
              <w:top w:val="nil"/>
              <w:left w:val="nil"/>
              <w:bottom w:val="nil"/>
              <w:right w:val="single" w:sz="4" w:space="0" w:color="auto"/>
            </w:tcBorders>
            <w:shd w:val="clear" w:color="auto" w:fill="auto"/>
            <w:noWrap/>
            <w:vAlign w:val="center"/>
          </w:tcPr>
          <w:p w14:paraId="2E90BCFE" w14:textId="77777777" w:rsidR="00834DDE" w:rsidRDefault="00834DDE" w:rsidP="00834DDE">
            <w:pPr>
              <w:jc w:val="right"/>
              <w:rPr>
                <w:rFonts w:ascii="Arial" w:hAnsi="Arial" w:cs="Arial"/>
                <w:sz w:val="18"/>
                <w:szCs w:val="18"/>
              </w:rPr>
            </w:pPr>
            <w:r>
              <w:rPr>
                <w:rFonts w:ascii="Arial" w:hAnsi="Arial" w:cs="Arial"/>
                <w:sz w:val="18"/>
                <w:szCs w:val="18"/>
              </w:rPr>
              <w:t>3,696</w:t>
            </w:r>
          </w:p>
        </w:tc>
        <w:tc>
          <w:tcPr>
            <w:tcW w:w="1504" w:type="dxa"/>
            <w:tcBorders>
              <w:top w:val="nil"/>
              <w:left w:val="nil"/>
              <w:bottom w:val="single" w:sz="4" w:space="0" w:color="D9D9D9"/>
              <w:right w:val="single" w:sz="8" w:space="0" w:color="auto"/>
            </w:tcBorders>
            <w:shd w:val="clear" w:color="auto" w:fill="auto"/>
            <w:vAlign w:val="center"/>
          </w:tcPr>
          <w:p w14:paraId="01AF324C" w14:textId="77777777" w:rsidR="00834DDE" w:rsidRDefault="00834DDE" w:rsidP="00834DDE">
            <w:pPr>
              <w:jc w:val="right"/>
              <w:rPr>
                <w:rFonts w:ascii="Arial" w:hAnsi="Arial" w:cs="Arial"/>
                <w:sz w:val="18"/>
                <w:szCs w:val="18"/>
              </w:rPr>
            </w:pPr>
            <w:r>
              <w:rPr>
                <w:rFonts w:ascii="Arial" w:hAnsi="Arial" w:cs="Arial"/>
                <w:sz w:val="18"/>
                <w:szCs w:val="18"/>
              </w:rPr>
              <w:t>3,334</w:t>
            </w:r>
          </w:p>
        </w:tc>
      </w:tr>
      <w:tr w:rsidR="00834DDE" w14:paraId="1E19B941" w14:textId="77777777" w:rsidTr="000F29A7">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7BF55A38" w14:textId="77777777" w:rsidR="00834DDE" w:rsidRDefault="00834DDE" w:rsidP="00834DDE">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14:paraId="0E930ED5" w14:textId="77777777" w:rsidR="00834DDE" w:rsidRDefault="00834DDE" w:rsidP="00834DDE">
            <w:pPr>
              <w:jc w:val="right"/>
              <w:rPr>
                <w:rFonts w:ascii="Arial" w:hAnsi="Arial" w:cs="Arial"/>
                <w:b/>
                <w:bCs/>
                <w:sz w:val="18"/>
                <w:szCs w:val="18"/>
              </w:rPr>
            </w:pPr>
            <w:r>
              <w:rPr>
                <w:rFonts w:ascii="Arial" w:hAnsi="Arial" w:cs="Arial"/>
                <w:b/>
                <w:bCs/>
                <w:sz w:val="18"/>
                <w:szCs w:val="18"/>
              </w:rPr>
              <w:t>3,631</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3AACB7DA" w14:textId="77777777" w:rsidR="00834DDE" w:rsidRDefault="00834DDE" w:rsidP="00834DDE">
            <w:pPr>
              <w:jc w:val="right"/>
              <w:rPr>
                <w:rFonts w:ascii="Arial" w:hAnsi="Arial" w:cs="Arial"/>
                <w:b/>
                <w:bCs/>
                <w:sz w:val="18"/>
                <w:szCs w:val="18"/>
              </w:rPr>
            </w:pPr>
            <w:r>
              <w:rPr>
                <w:rFonts w:ascii="Arial" w:hAnsi="Arial" w:cs="Arial"/>
                <w:b/>
                <w:bCs/>
                <w:sz w:val="18"/>
                <w:szCs w:val="18"/>
              </w:rPr>
              <w:t>4,303</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0F160210" w14:textId="77777777" w:rsidR="00834DDE" w:rsidRDefault="00834DDE" w:rsidP="00834DDE">
            <w:pPr>
              <w:jc w:val="right"/>
              <w:rPr>
                <w:rFonts w:ascii="Arial" w:hAnsi="Arial" w:cs="Arial"/>
                <w:b/>
                <w:bCs/>
                <w:sz w:val="18"/>
                <w:szCs w:val="18"/>
              </w:rPr>
            </w:pPr>
            <w:r>
              <w:rPr>
                <w:rFonts w:ascii="Arial" w:hAnsi="Arial" w:cs="Arial"/>
                <w:b/>
                <w:bCs/>
                <w:sz w:val="18"/>
                <w:szCs w:val="18"/>
              </w:rPr>
              <w:t>4,272</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5A59C773" w14:textId="77777777" w:rsidR="00834DDE" w:rsidRDefault="00834DDE" w:rsidP="00834DDE">
            <w:pPr>
              <w:jc w:val="right"/>
              <w:rPr>
                <w:rFonts w:ascii="Arial" w:hAnsi="Arial" w:cs="Arial"/>
                <w:b/>
                <w:bCs/>
                <w:sz w:val="18"/>
                <w:szCs w:val="18"/>
              </w:rPr>
            </w:pPr>
            <w:r>
              <w:rPr>
                <w:rFonts w:ascii="Arial" w:hAnsi="Arial" w:cs="Arial"/>
                <w:b/>
                <w:bCs/>
                <w:sz w:val="18"/>
                <w:szCs w:val="18"/>
              </w:rPr>
              <w:t>4,670</w:t>
            </w:r>
          </w:p>
        </w:tc>
        <w:tc>
          <w:tcPr>
            <w:tcW w:w="1504" w:type="dxa"/>
            <w:tcBorders>
              <w:top w:val="single" w:sz="4" w:space="0" w:color="auto"/>
              <w:left w:val="nil"/>
              <w:bottom w:val="single" w:sz="8" w:space="0" w:color="auto"/>
              <w:right w:val="single" w:sz="4" w:space="0" w:color="auto"/>
            </w:tcBorders>
            <w:shd w:val="clear" w:color="auto" w:fill="auto"/>
            <w:vAlign w:val="center"/>
          </w:tcPr>
          <w:p w14:paraId="414563FD" w14:textId="77777777" w:rsidR="00834DDE" w:rsidRDefault="00834DDE" w:rsidP="00834DDE">
            <w:pPr>
              <w:jc w:val="right"/>
              <w:rPr>
                <w:rFonts w:ascii="Arial" w:hAnsi="Arial" w:cs="Arial"/>
                <w:b/>
                <w:bCs/>
                <w:sz w:val="18"/>
                <w:szCs w:val="18"/>
              </w:rPr>
            </w:pPr>
            <w:r>
              <w:rPr>
                <w:rFonts w:ascii="Arial" w:hAnsi="Arial" w:cs="Arial"/>
                <w:b/>
                <w:bCs/>
                <w:sz w:val="18"/>
                <w:szCs w:val="18"/>
              </w:rPr>
              <w:t>4,188</w:t>
            </w:r>
          </w:p>
        </w:tc>
      </w:tr>
    </w:tbl>
    <w:p w14:paraId="5BE4AC02" w14:textId="77777777" w:rsidR="00EE282A" w:rsidRPr="00EE282A" w:rsidRDefault="00EE282A" w:rsidP="00EE282A"/>
    <w:p w14:paraId="6EA7A7CF" w14:textId="77777777" w:rsidR="00206DBB" w:rsidRPr="00206DBB" w:rsidRDefault="00206DBB" w:rsidP="00206DBB"/>
    <w:p w14:paraId="30DD9D4C" w14:textId="77777777" w:rsidR="00A206FE" w:rsidRPr="00A206FE" w:rsidRDefault="00A206FE" w:rsidP="00A206FE"/>
    <w:p w14:paraId="40E83211" w14:textId="77777777" w:rsidR="00834DDE" w:rsidRDefault="00834DDE">
      <w:pPr>
        <w:spacing w:after="200"/>
        <w:rPr>
          <w:rFonts w:eastAsiaTheme="majorEastAsia" w:cstheme="majorBidi"/>
          <w:b/>
          <w:bCs/>
          <w:sz w:val="36"/>
          <w:szCs w:val="28"/>
        </w:rPr>
      </w:pPr>
      <w:r>
        <w:br w:type="page"/>
      </w:r>
    </w:p>
    <w:p w14:paraId="26D59EA1" w14:textId="77777777" w:rsidR="00F66CD2" w:rsidRDefault="00115CAE" w:rsidP="00F66CD2">
      <w:pPr>
        <w:pStyle w:val="Heading1"/>
      </w:pPr>
      <w:bookmarkStart w:id="23" w:name="_Toc503523240"/>
      <w:r w:rsidRPr="00C90A46">
        <w:lastRenderedPageBreak/>
        <w:t>DHB coverage comparisons</w:t>
      </w:r>
      <w:bookmarkStart w:id="24" w:name="_Toc399850104"/>
      <w:bookmarkStart w:id="25" w:name="_Toc399921856"/>
      <w:bookmarkEnd w:id="21"/>
      <w:bookmarkEnd w:id="23"/>
    </w:p>
    <w:p w14:paraId="6C3341E7" w14:textId="77777777" w:rsidR="00F66CD2" w:rsidRDefault="00F66CD2" w:rsidP="00F66CD2">
      <w:pPr>
        <w:pStyle w:val="Heading2"/>
      </w:pPr>
      <w:bookmarkStart w:id="26" w:name="_Toc503523241"/>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6D0049" w:rsidRPr="006D0049">
        <w:t>31 December 2017</w:t>
      </w:r>
      <w:bookmarkEnd w:id="26"/>
    </w:p>
    <w:p w14:paraId="05743CB3" w14:textId="77777777" w:rsidR="00F66CD2" w:rsidRDefault="00FE0172" w:rsidP="002B0ED8">
      <w:pPr>
        <w:pStyle w:val="Figure"/>
      </w:pPr>
      <w:bookmarkStart w:id="27" w:name="_Toc399497923"/>
      <w:bookmarkStart w:id="28" w:name="_Toc503523229"/>
      <w:r>
        <w:t xml:space="preserve">Figure </w:t>
      </w:r>
      <w:r w:rsidR="00C35D79">
        <w:fldChar w:fldCharType="begin"/>
      </w:r>
      <w:r w:rsidR="00C35D79">
        <w:instrText xml:space="preserve"> SEQ Figure \* ARABIC </w:instrText>
      </w:r>
      <w:r w:rsidR="00C35D79">
        <w:fldChar w:fldCharType="separate"/>
      </w:r>
      <w:r w:rsidR="0034542A">
        <w:rPr>
          <w:noProof/>
        </w:rPr>
        <w:t>3</w:t>
      </w:r>
      <w:r w:rsidR="00C35D79">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6D0049" w:rsidRPr="006D0049">
        <w:t>31 December 2017</w:t>
      </w:r>
      <w:r w:rsidR="00F66CD2">
        <w:t xml:space="preserve"> </w:t>
      </w:r>
      <w:r w:rsidR="00F66CD2" w:rsidRPr="00F17732">
        <w:t xml:space="preserve">by </w:t>
      </w:r>
      <w:r w:rsidR="00F66CD2">
        <w:t>District Health Board</w:t>
      </w:r>
      <w:bookmarkEnd w:id="27"/>
      <w:bookmarkEnd w:id="28"/>
    </w:p>
    <w:p w14:paraId="57494337" w14:textId="77777777" w:rsidR="00D83F91" w:rsidRPr="00D83F91" w:rsidRDefault="006D0049" w:rsidP="00D83F91">
      <w:bookmarkStart w:id="29" w:name="figure_3"/>
      <w:bookmarkEnd w:id="24"/>
      <w:bookmarkEnd w:id="25"/>
      <w:bookmarkEnd w:id="29"/>
      <w:r>
        <w:rPr>
          <w:noProof/>
        </w:rPr>
        <w:drawing>
          <wp:inline distT="0" distB="0" distL="0" distR="0" wp14:anchorId="4365CB72" wp14:editId="333AB6CC">
            <wp:extent cx="4648200" cy="3238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0A48AEB" w14:textId="77777777" w:rsidR="00115CAE" w:rsidRDefault="00FA21EF" w:rsidP="00BF27D3">
      <w:pPr>
        <w:pStyle w:val="Figure"/>
      </w:pPr>
      <w:bookmarkStart w:id="30" w:name="_Toc399497924"/>
      <w:bookmarkStart w:id="31" w:name="_Toc503523230"/>
      <w:r>
        <w:t xml:space="preserve">Figure </w:t>
      </w:r>
      <w:r w:rsidR="00C35D79">
        <w:fldChar w:fldCharType="begin"/>
      </w:r>
      <w:r w:rsidR="00C35D79">
        <w:instrText xml:space="preserve"> SEQ Figure \* ARABIC </w:instrText>
      </w:r>
      <w:r w:rsidR="00C35D79">
        <w:fldChar w:fldCharType="separate"/>
      </w:r>
      <w:r w:rsidR="0034542A">
        <w:rPr>
          <w:noProof/>
        </w:rPr>
        <w:t>4</w:t>
      </w:r>
      <w:r w:rsidR="00C35D79">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6D0049" w:rsidRPr="006D0049">
        <w:t>31 December 2017</w:t>
      </w:r>
      <w:r w:rsidR="00115CAE" w:rsidRPr="002171C9">
        <w:t xml:space="preserve"> by </w:t>
      </w:r>
      <w:r w:rsidR="00B718BD">
        <w:t>District Health Board</w:t>
      </w:r>
      <w:bookmarkEnd w:id="30"/>
      <w:bookmarkEnd w:id="31"/>
    </w:p>
    <w:p w14:paraId="33722F77" w14:textId="77777777" w:rsidR="00115CAE" w:rsidRDefault="006D0049" w:rsidP="00115CAE">
      <w:bookmarkStart w:id="32" w:name="figure_4"/>
      <w:bookmarkEnd w:id="32"/>
      <w:r>
        <w:rPr>
          <w:noProof/>
        </w:rPr>
        <w:drawing>
          <wp:inline distT="0" distB="0" distL="0" distR="0" wp14:anchorId="6E83768A" wp14:editId="44678272">
            <wp:extent cx="4648200" cy="32385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93B6C1" w14:textId="77777777" w:rsidR="00C9547D" w:rsidRPr="00C9547D" w:rsidRDefault="00C9547D" w:rsidP="00C9547D">
      <w:bookmarkStart w:id="33" w:name="figure_5"/>
      <w:bookmarkEnd w:id="33"/>
    </w:p>
    <w:p w14:paraId="43D6F1BD" w14:textId="77777777" w:rsidR="00115CAE" w:rsidRDefault="00FA21EF" w:rsidP="00BF27D3">
      <w:pPr>
        <w:pStyle w:val="Figure"/>
      </w:pPr>
      <w:bookmarkStart w:id="34" w:name="_Toc399497926"/>
      <w:bookmarkStart w:id="35" w:name="_Toc503523231"/>
      <w:r>
        <w:lastRenderedPageBreak/>
        <w:t xml:space="preserve">Figure </w:t>
      </w:r>
      <w:r w:rsidR="00C35D79">
        <w:fldChar w:fldCharType="begin"/>
      </w:r>
      <w:r w:rsidR="00C35D79">
        <w:instrText xml:space="preserve"> SEQ Figure \* ARABIC </w:instrText>
      </w:r>
      <w:r w:rsidR="00C35D79">
        <w:fldChar w:fldCharType="separate"/>
      </w:r>
      <w:r w:rsidR="0034542A">
        <w:rPr>
          <w:noProof/>
        </w:rPr>
        <w:t>5</w:t>
      </w:r>
      <w:r w:rsidR="00C35D79">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6D0049" w:rsidRPr="006D0049">
        <w:t>31 December 2017</w:t>
      </w:r>
      <w:r w:rsidR="00115CAE" w:rsidRPr="002171C9">
        <w:t xml:space="preserve"> by </w:t>
      </w:r>
      <w:r w:rsidR="00B718BD">
        <w:t>District Health Board</w:t>
      </w:r>
      <w:bookmarkEnd w:id="34"/>
      <w:bookmarkEnd w:id="35"/>
    </w:p>
    <w:p w14:paraId="2804C185" w14:textId="77777777" w:rsidR="009376F1" w:rsidRPr="00C9547D" w:rsidRDefault="006D0049" w:rsidP="009376F1">
      <w:bookmarkStart w:id="36" w:name="figure_6"/>
      <w:bookmarkEnd w:id="36"/>
      <w:r>
        <w:rPr>
          <w:noProof/>
        </w:rPr>
        <w:drawing>
          <wp:inline distT="0" distB="0" distL="0" distR="0" wp14:anchorId="5204220F" wp14:editId="039B80B4">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980C755" w14:textId="77777777" w:rsidR="00115CAE" w:rsidRDefault="00115CAE" w:rsidP="00115CAE"/>
    <w:p w14:paraId="3C6BF4AD" w14:textId="77777777" w:rsidR="00115CAE" w:rsidRDefault="00115CAE" w:rsidP="00115CAE"/>
    <w:p w14:paraId="149660CD" w14:textId="77777777" w:rsidR="00115CAE" w:rsidRPr="00F17732" w:rsidRDefault="00115CAE" w:rsidP="00115CAE"/>
    <w:p w14:paraId="680C44AE" w14:textId="77777777" w:rsidR="00115CAE" w:rsidRDefault="00115CAE" w:rsidP="00115CAE">
      <w:pPr>
        <w:rPr>
          <w:caps/>
        </w:rPr>
      </w:pPr>
    </w:p>
    <w:p w14:paraId="39B3A77F" w14:textId="77777777" w:rsidR="00AE1525" w:rsidRDefault="00AE1525" w:rsidP="00115CAE">
      <w:pPr>
        <w:rPr>
          <w:caps/>
        </w:rPr>
      </w:pPr>
    </w:p>
    <w:p w14:paraId="3C2D7646" w14:textId="77777777" w:rsidR="009376F1" w:rsidRDefault="009376F1" w:rsidP="009376F1">
      <w:pPr>
        <w:pStyle w:val="Figure"/>
      </w:pPr>
      <w:bookmarkStart w:id="37" w:name="_Toc503523232"/>
      <w:r>
        <w:lastRenderedPageBreak/>
        <w:t xml:space="preserve">Figure </w:t>
      </w:r>
      <w:r w:rsidR="00C35D79">
        <w:fldChar w:fldCharType="begin"/>
      </w:r>
      <w:r w:rsidR="00C35D79">
        <w:instrText xml:space="preserve"> SEQ Figure \* ARABIC </w:instrText>
      </w:r>
      <w:r w:rsidR="00C35D79">
        <w:fldChar w:fldCharType="separate"/>
      </w:r>
      <w:r w:rsidR="0034542A">
        <w:rPr>
          <w:noProof/>
        </w:rPr>
        <w:t>6</w:t>
      </w:r>
      <w:r w:rsidR="00C35D79">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6D0049" w:rsidRPr="006D0049">
        <w:t>31 December 2017</w:t>
      </w:r>
      <w:bookmarkEnd w:id="37"/>
    </w:p>
    <w:p w14:paraId="371F2BAE" w14:textId="77777777" w:rsidR="00EB1948" w:rsidRPr="00D83F91" w:rsidRDefault="00340577" w:rsidP="00AE1525">
      <w:r w:rsidRPr="00340577">
        <w:rPr>
          <w:noProof/>
        </w:rPr>
        <w:drawing>
          <wp:inline distT="0" distB="0" distL="0" distR="0" wp14:anchorId="7FA53867" wp14:editId="0071BE69">
            <wp:extent cx="5940425" cy="8401886"/>
            <wp:effectExtent l="0" t="0" r="3175" b="0"/>
            <wp:docPr id="1" name="Picture 1" descr="S:\Analysis\30 Breast\Programme analysis\BSA DHB Reports\15 December 2017\Arc GiS Maps\BSA_Māori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5 December 2017\Arc GiS Maps\BSA_Māori FINAL December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1DB7A4B" w14:textId="77777777" w:rsidR="00AE1525" w:rsidRDefault="009376F1" w:rsidP="009376F1">
      <w:pPr>
        <w:pStyle w:val="Figure"/>
      </w:pPr>
      <w:bookmarkStart w:id="38" w:name="_Toc503523233"/>
      <w:r>
        <w:lastRenderedPageBreak/>
        <w:t xml:space="preserve">Figure </w:t>
      </w:r>
      <w:r w:rsidR="00C35D79">
        <w:fldChar w:fldCharType="begin"/>
      </w:r>
      <w:r w:rsidR="00C35D79">
        <w:instrText xml:space="preserve"> SEQ Figure \* ARABIC </w:instrText>
      </w:r>
      <w:r w:rsidR="00C35D79">
        <w:fldChar w:fldCharType="separate"/>
      </w:r>
      <w:r w:rsidR="0034542A">
        <w:rPr>
          <w:noProof/>
        </w:rPr>
        <w:t>7</w:t>
      </w:r>
      <w:r w:rsidR="00C35D79">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6D0049" w:rsidRPr="006D0049">
        <w:t>31 December 2017</w:t>
      </w:r>
      <w:bookmarkEnd w:id="38"/>
    </w:p>
    <w:p w14:paraId="1BEF5F0C" w14:textId="77777777" w:rsidR="00A43F46" w:rsidRPr="00A43F46" w:rsidRDefault="00340577" w:rsidP="00A43F46">
      <w:r w:rsidRPr="00340577">
        <w:rPr>
          <w:noProof/>
        </w:rPr>
        <w:drawing>
          <wp:inline distT="0" distB="0" distL="0" distR="0" wp14:anchorId="26A26058" wp14:editId="3E56CB2A">
            <wp:extent cx="5940425" cy="8401886"/>
            <wp:effectExtent l="0" t="0" r="3175" b="0"/>
            <wp:docPr id="2" name="Picture 2" descr="S:\Analysis\30 Breast\Programme analysis\BSA DHB Reports\15 December 2017\Arc GiS Maps\BSA_Pacific FI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5 December 2017\Arc GiS Maps\BSA_Pacific FINAL December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14:paraId="491E13FE" w14:textId="77777777" w:rsidR="00AE1525" w:rsidRPr="00C9547D" w:rsidRDefault="00AE1525" w:rsidP="00AE1525"/>
    <w:p w14:paraId="21F1DFCD" w14:textId="77777777" w:rsidR="009376F1" w:rsidRDefault="009376F1" w:rsidP="009376F1">
      <w:pPr>
        <w:pStyle w:val="Figure"/>
      </w:pPr>
      <w:bookmarkStart w:id="39" w:name="_Toc503523234"/>
      <w:r>
        <w:t xml:space="preserve">Figure </w:t>
      </w:r>
      <w:r w:rsidR="00C35D79">
        <w:fldChar w:fldCharType="begin"/>
      </w:r>
      <w:r w:rsidR="00C35D79">
        <w:instrText xml:space="preserve"> SEQ Figure \* ARABIC </w:instrText>
      </w:r>
      <w:r w:rsidR="00C35D79">
        <w:fldChar w:fldCharType="separate"/>
      </w:r>
      <w:r w:rsidR="0034542A">
        <w:rPr>
          <w:noProof/>
        </w:rPr>
        <w:t>8</w:t>
      </w:r>
      <w:r w:rsidR="00C35D79">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6D0049" w:rsidRPr="006D0049">
        <w:t>31 December 2017</w:t>
      </w:r>
      <w:r w:rsidRPr="002171C9">
        <w:t xml:space="preserve"> by </w:t>
      </w:r>
      <w:r>
        <w:t>District Health Board</w:t>
      </w:r>
      <w:bookmarkEnd w:id="39"/>
    </w:p>
    <w:p w14:paraId="57237DDC" w14:textId="77777777" w:rsidR="00137AB6" w:rsidRDefault="00137AB6" w:rsidP="00137AB6">
      <w:pPr>
        <w:rPr>
          <w:caps/>
        </w:rPr>
      </w:pPr>
    </w:p>
    <w:p w14:paraId="07A03838" w14:textId="77777777" w:rsidR="00137AB6" w:rsidRPr="00137AB6" w:rsidRDefault="00340577"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340577">
        <w:rPr>
          <w:noProof/>
        </w:rPr>
        <w:drawing>
          <wp:inline distT="0" distB="0" distL="0" distR="0" wp14:anchorId="22BCDC45" wp14:editId="425B024E">
            <wp:extent cx="5314950" cy="7517240"/>
            <wp:effectExtent l="0" t="0" r="0" b="7620"/>
            <wp:docPr id="3" name="Picture 3" descr="S:\Analysis\30 Breast\Programme analysis\BSA DHB Reports\15 December 2017\Arc GiS Maps\BSA_National December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5 December 2017\Arc GiS Maps\BSA_National December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15300" cy="7517735"/>
                    </a:xfrm>
                    <a:prstGeom prst="rect">
                      <a:avLst/>
                    </a:prstGeom>
                    <a:noFill/>
                    <a:ln>
                      <a:noFill/>
                    </a:ln>
                  </pic:spPr>
                </pic:pic>
              </a:graphicData>
            </a:graphic>
          </wp:inline>
        </w:drawing>
      </w:r>
    </w:p>
    <w:p w14:paraId="289960E9" w14:textId="77777777" w:rsidR="00D52B13" w:rsidRPr="004F701C" w:rsidRDefault="004F701C" w:rsidP="001802FB">
      <w:pPr>
        <w:pStyle w:val="Table"/>
        <w:rPr>
          <w:i/>
          <w:iCs/>
        </w:rPr>
      </w:pPr>
      <w:bookmarkStart w:id="40" w:name="_Toc400365297"/>
      <w:bookmarkStart w:id="41" w:name="_Toc503523245"/>
      <w:r w:rsidRPr="004F701C">
        <w:lastRenderedPageBreak/>
        <w:t xml:space="preserve">Table </w:t>
      </w:r>
      <w:r w:rsidR="00340577">
        <w:t>3</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6D0049" w:rsidRPr="006D0049">
        <w:t>31 December 2017</w:t>
      </w:r>
      <w:r w:rsidR="00115CAE" w:rsidRPr="004F701C">
        <w:t xml:space="preserve"> by </w:t>
      </w:r>
      <w:r w:rsidR="00B718BD" w:rsidRPr="004F701C">
        <w:t>District Health Board</w:t>
      </w:r>
      <w:bookmarkEnd w:id="40"/>
      <w:bookmarkEnd w:id="41"/>
    </w:p>
    <w:p w14:paraId="1F2796B3" w14:textId="77777777" w:rsidR="00CE24C5" w:rsidRPr="00CE24C5" w:rsidRDefault="00F80775" w:rsidP="00CE24C5">
      <w:bookmarkStart w:id="42" w:name="table_2"/>
      <w:bookmarkEnd w:id="42"/>
      <w:r w:rsidRPr="00F80775">
        <w:rPr>
          <w:noProof/>
        </w:rPr>
        <w:drawing>
          <wp:inline distT="0" distB="0" distL="0" distR="0" wp14:anchorId="38744FDD" wp14:editId="6128AFD8">
            <wp:extent cx="7934325" cy="471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34325" cy="4714875"/>
                    </a:xfrm>
                    <a:prstGeom prst="rect">
                      <a:avLst/>
                    </a:prstGeom>
                    <a:noFill/>
                    <a:ln>
                      <a:noFill/>
                    </a:ln>
                  </pic:spPr>
                </pic:pic>
              </a:graphicData>
            </a:graphic>
          </wp:inline>
        </w:drawing>
      </w:r>
    </w:p>
    <w:p w14:paraId="4CCD1284" w14:textId="77777777" w:rsidR="00115CAE" w:rsidRDefault="00115CAE" w:rsidP="00115CAE"/>
    <w:p w14:paraId="724C2259" w14:textId="77777777" w:rsidR="00CE24C5" w:rsidRDefault="00CE24C5">
      <w:pPr>
        <w:spacing w:after="200"/>
        <w:rPr>
          <w:rFonts w:eastAsiaTheme="majorEastAsia" w:cstheme="majorBidi"/>
          <w:b/>
          <w:bCs/>
          <w:sz w:val="28"/>
          <w:szCs w:val="26"/>
        </w:rPr>
      </w:pPr>
      <w:bookmarkStart w:id="43" w:name="_Toc399921857"/>
      <w:r>
        <w:br w:type="page"/>
      </w:r>
    </w:p>
    <w:p w14:paraId="6DCEACB6" w14:textId="77777777" w:rsidR="00115CAE" w:rsidRDefault="00115CAE" w:rsidP="00C75BA8">
      <w:pPr>
        <w:pStyle w:val="Heading2"/>
        <w:spacing w:before="0"/>
        <w:ind w:left="-284"/>
      </w:pPr>
      <w:bookmarkStart w:id="44" w:name="_Toc503523242"/>
      <w:r>
        <w:lastRenderedPageBreak/>
        <w:t>DHB coverage comparison trends by ethnicity</w:t>
      </w:r>
      <w:bookmarkEnd w:id="43"/>
      <w:bookmarkEnd w:id="44"/>
    </w:p>
    <w:p w14:paraId="2CC4B00A" w14:textId="77777777" w:rsidR="00115CAE" w:rsidRPr="004F701C" w:rsidRDefault="004F701C" w:rsidP="001802FB">
      <w:pPr>
        <w:pStyle w:val="Table"/>
        <w:rPr>
          <w:i/>
          <w:iCs/>
        </w:rPr>
      </w:pPr>
      <w:bookmarkStart w:id="45" w:name="_Toc400365298"/>
      <w:bookmarkStart w:id="46" w:name="_Toc503523246"/>
      <w:r w:rsidRPr="004F701C">
        <w:t xml:space="preserve">Table </w:t>
      </w:r>
      <w:r w:rsidR="00340577">
        <w:t>4</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6D0049" w:rsidRPr="006D0049">
        <w:t>31 December, 2015, 2016, 2017</w:t>
      </w:r>
      <w:r w:rsidR="00115CAE" w:rsidRPr="004F701C">
        <w:t xml:space="preserve">, by ethnicity and </w:t>
      </w:r>
      <w:r w:rsidR="00B718BD" w:rsidRPr="004F701C">
        <w:t>District Health Board</w:t>
      </w:r>
      <w:bookmarkEnd w:id="45"/>
      <w:bookmarkEnd w:id="46"/>
    </w:p>
    <w:p w14:paraId="10A23518" w14:textId="77777777" w:rsidR="006B45AA" w:rsidRPr="006B45AA" w:rsidRDefault="006D0049" w:rsidP="006B45AA">
      <w:bookmarkStart w:id="47" w:name="table_3"/>
      <w:bookmarkEnd w:id="47"/>
      <w:r w:rsidRPr="006D0049">
        <w:rPr>
          <w:noProof/>
        </w:rPr>
        <w:drawing>
          <wp:inline distT="0" distB="0" distL="0" distR="0" wp14:anchorId="70EED426" wp14:editId="154D981D">
            <wp:extent cx="5876925" cy="45243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6925" cy="4524375"/>
                    </a:xfrm>
                    <a:prstGeom prst="rect">
                      <a:avLst/>
                    </a:prstGeom>
                    <a:noFill/>
                    <a:ln>
                      <a:noFill/>
                    </a:ln>
                  </pic:spPr>
                </pic:pic>
              </a:graphicData>
            </a:graphic>
          </wp:inline>
        </w:drawing>
      </w:r>
    </w:p>
    <w:p w14:paraId="39DB9BCE" w14:textId="77777777" w:rsidR="003669D4" w:rsidRPr="003669D4" w:rsidRDefault="003669D4" w:rsidP="003669D4">
      <w:pPr>
        <w:ind w:left="-284"/>
      </w:pPr>
    </w:p>
    <w:p w14:paraId="38F50F9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3AAF2" w14:textId="77777777" w:rsidR="00C35D79" w:rsidRDefault="00C35D79">
      <w:pPr>
        <w:spacing w:line="240" w:lineRule="auto"/>
      </w:pPr>
      <w:r>
        <w:separator/>
      </w:r>
    </w:p>
  </w:endnote>
  <w:endnote w:type="continuationSeparator" w:id="0">
    <w:p w14:paraId="13CB3E34" w14:textId="77777777" w:rsidR="00C35D79" w:rsidRDefault="00C35D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938213"/>
      <w:docPartObj>
        <w:docPartGallery w:val="Page Numbers (Bottom of Page)"/>
        <w:docPartUnique/>
      </w:docPartObj>
    </w:sdtPr>
    <w:sdtEndPr>
      <w:rPr>
        <w:noProof/>
      </w:rPr>
    </w:sdtEndPr>
    <w:sdtContent>
      <w:p w14:paraId="1B23B1F7" w14:textId="77777777" w:rsidR="0056684C" w:rsidRDefault="0056684C">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436F1E48" w14:textId="77777777" w:rsidR="0056684C" w:rsidRPr="00497068" w:rsidRDefault="0056684C"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452CB1BC" w14:textId="77777777" w:rsidR="0056684C" w:rsidRDefault="0056684C">
        <w:pPr>
          <w:pStyle w:val="Footer"/>
          <w:jc w:val="center"/>
        </w:pPr>
        <w:r>
          <w:fldChar w:fldCharType="begin"/>
        </w:r>
        <w:r>
          <w:instrText xml:space="preserve"> PAGE   \* MERGEFORMAT </w:instrText>
        </w:r>
        <w:r>
          <w:fldChar w:fldCharType="separate"/>
        </w:r>
        <w:r w:rsidR="00CD4A33">
          <w:rPr>
            <w:noProof/>
          </w:rPr>
          <w:t>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2CF66F49" w14:textId="77777777" w:rsidR="0056684C" w:rsidRDefault="0056684C">
        <w:pPr>
          <w:pStyle w:val="Footer"/>
          <w:jc w:val="center"/>
        </w:pPr>
        <w:r>
          <w:fldChar w:fldCharType="begin"/>
        </w:r>
        <w:r>
          <w:instrText xml:space="preserve"> PAGE   \* MERGEFORMAT </w:instrText>
        </w:r>
        <w:r>
          <w:fldChar w:fldCharType="separate"/>
        </w:r>
        <w:r w:rsidR="00CD4A33">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56B11" w14:textId="77777777" w:rsidR="00C35D79" w:rsidRDefault="00C35D79">
      <w:pPr>
        <w:spacing w:line="240" w:lineRule="auto"/>
      </w:pPr>
      <w:r>
        <w:separator/>
      </w:r>
    </w:p>
  </w:footnote>
  <w:footnote w:type="continuationSeparator" w:id="0">
    <w:p w14:paraId="31BF8255" w14:textId="77777777" w:rsidR="00C35D79" w:rsidRDefault="00C35D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CED70" w14:textId="77777777" w:rsidR="0056684C" w:rsidRDefault="0056684C">
    <w:pPr>
      <w:pStyle w:val="Header"/>
    </w:pPr>
    <w:r>
      <w:rPr>
        <w:noProof/>
      </w:rPr>
      <w:drawing>
        <wp:inline distT="0" distB="0" distL="0" distR="0" wp14:anchorId="55E850AF" wp14:editId="4C6C3805">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520DBF32" w14:textId="77777777" w:rsidR="0056684C" w:rsidRDefault="0056684C" w:rsidP="00E52682">
    <w:pPr>
      <w:pStyle w:val="Header"/>
      <w:ind w:right="-425"/>
      <w:jc w:val="right"/>
    </w:pPr>
    <w:r>
      <w:rPr>
        <w:noProof/>
      </w:rPr>
      <w:drawing>
        <wp:inline distT="0" distB="0" distL="0" distR="0" wp14:anchorId="6EADE79D" wp14:editId="209B5D0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2B984" w14:textId="77777777" w:rsidR="0056684C" w:rsidRDefault="0056684C">
    <w:pPr>
      <w:pStyle w:val="Header"/>
    </w:pPr>
    <w:r>
      <w:rPr>
        <w:noProof/>
      </w:rPr>
      <w:drawing>
        <wp:inline distT="0" distB="0" distL="0" distR="0" wp14:anchorId="034CE46F" wp14:editId="37E438B6">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C7067" w14:textId="77777777" w:rsidR="0056684C" w:rsidRDefault="0056684C">
    <w:pPr>
      <w:pStyle w:val="Header"/>
    </w:pPr>
    <w:r>
      <w:rPr>
        <w:noProof/>
      </w:rPr>
      <w:drawing>
        <wp:inline distT="0" distB="0" distL="0" distR="0" wp14:anchorId="49607569" wp14:editId="14851F1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1FB10074" w14:textId="77777777" w:rsidR="0056684C" w:rsidRDefault="0056684C" w:rsidP="00E52682">
    <w:pPr>
      <w:pStyle w:val="Header"/>
      <w:ind w:right="-425"/>
      <w:jc w:val="right"/>
    </w:pPr>
    <w:r w:rsidRPr="001A7BE5">
      <w:rPr>
        <w:noProof/>
        <w:color w:val="000000"/>
        <w:sz w:val="19"/>
        <w:szCs w:val="19"/>
      </w:rPr>
      <w:drawing>
        <wp:inline distT="0" distB="0" distL="0" distR="0" wp14:anchorId="52060540" wp14:editId="4C0450ED">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9111" w14:textId="77777777" w:rsidR="0056684C" w:rsidRDefault="0056684C">
    <w:pPr>
      <w:pStyle w:val="Header"/>
    </w:pPr>
    <w:r>
      <w:rPr>
        <w:noProof/>
      </w:rPr>
      <w:drawing>
        <wp:inline distT="0" distB="0" distL="0" distR="0" wp14:anchorId="5CA1646B" wp14:editId="36965249">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17347"/>
    <w:rsid w:val="00070AAE"/>
    <w:rsid w:val="00070D14"/>
    <w:rsid w:val="00082E02"/>
    <w:rsid w:val="000933E9"/>
    <w:rsid w:val="000A74EA"/>
    <w:rsid w:val="000B7E17"/>
    <w:rsid w:val="000C2B3F"/>
    <w:rsid w:val="000C5714"/>
    <w:rsid w:val="000D1A06"/>
    <w:rsid w:val="000E7690"/>
    <w:rsid w:val="000F768D"/>
    <w:rsid w:val="00115CAE"/>
    <w:rsid w:val="00131DDF"/>
    <w:rsid w:val="00132229"/>
    <w:rsid w:val="00135CA4"/>
    <w:rsid w:val="00137AB6"/>
    <w:rsid w:val="00137BE4"/>
    <w:rsid w:val="00141C89"/>
    <w:rsid w:val="00164D88"/>
    <w:rsid w:val="001802FB"/>
    <w:rsid w:val="00183C71"/>
    <w:rsid w:val="00193694"/>
    <w:rsid w:val="001979C8"/>
    <w:rsid w:val="001A76B0"/>
    <w:rsid w:val="001B2D4A"/>
    <w:rsid w:val="001B7D1A"/>
    <w:rsid w:val="001D0BCF"/>
    <w:rsid w:val="001D2534"/>
    <w:rsid w:val="001E5470"/>
    <w:rsid w:val="001F29EC"/>
    <w:rsid w:val="00202796"/>
    <w:rsid w:val="00206DBB"/>
    <w:rsid w:val="00223993"/>
    <w:rsid w:val="0023374D"/>
    <w:rsid w:val="0023529A"/>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1619E"/>
    <w:rsid w:val="00327229"/>
    <w:rsid w:val="00340577"/>
    <w:rsid w:val="0034542A"/>
    <w:rsid w:val="003557B2"/>
    <w:rsid w:val="00363C24"/>
    <w:rsid w:val="0036623D"/>
    <w:rsid w:val="003669D4"/>
    <w:rsid w:val="00372639"/>
    <w:rsid w:val="00376CBF"/>
    <w:rsid w:val="00393D33"/>
    <w:rsid w:val="003B681D"/>
    <w:rsid w:val="003D1C1E"/>
    <w:rsid w:val="003E5CF3"/>
    <w:rsid w:val="003F0618"/>
    <w:rsid w:val="003F1A49"/>
    <w:rsid w:val="00401D58"/>
    <w:rsid w:val="00403081"/>
    <w:rsid w:val="00406AE2"/>
    <w:rsid w:val="00407AD1"/>
    <w:rsid w:val="0041553F"/>
    <w:rsid w:val="00417EF2"/>
    <w:rsid w:val="00423FE9"/>
    <w:rsid w:val="00425641"/>
    <w:rsid w:val="004435B3"/>
    <w:rsid w:val="00451AE5"/>
    <w:rsid w:val="00454136"/>
    <w:rsid w:val="00460FDC"/>
    <w:rsid w:val="0048478E"/>
    <w:rsid w:val="004A0172"/>
    <w:rsid w:val="004B1400"/>
    <w:rsid w:val="004B6FD0"/>
    <w:rsid w:val="004C1F44"/>
    <w:rsid w:val="004C3D85"/>
    <w:rsid w:val="004D0E6D"/>
    <w:rsid w:val="004E531D"/>
    <w:rsid w:val="004F5B05"/>
    <w:rsid w:val="004F701C"/>
    <w:rsid w:val="0050463E"/>
    <w:rsid w:val="0050510D"/>
    <w:rsid w:val="00532664"/>
    <w:rsid w:val="0056042A"/>
    <w:rsid w:val="005631A2"/>
    <w:rsid w:val="00565780"/>
    <w:rsid w:val="0056684C"/>
    <w:rsid w:val="00576B92"/>
    <w:rsid w:val="005834E2"/>
    <w:rsid w:val="005A05B2"/>
    <w:rsid w:val="005A3C8B"/>
    <w:rsid w:val="005B004E"/>
    <w:rsid w:val="005B26F1"/>
    <w:rsid w:val="005C206B"/>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6A34"/>
    <w:rsid w:val="006C79D1"/>
    <w:rsid w:val="006D0049"/>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25B8C"/>
    <w:rsid w:val="00834DDE"/>
    <w:rsid w:val="00835C9A"/>
    <w:rsid w:val="00851CAB"/>
    <w:rsid w:val="0085756D"/>
    <w:rsid w:val="00861166"/>
    <w:rsid w:val="00865A4E"/>
    <w:rsid w:val="00872358"/>
    <w:rsid w:val="00885547"/>
    <w:rsid w:val="0089397C"/>
    <w:rsid w:val="008B210D"/>
    <w:rsid w:val="008B47D7"/>
    <w:rsid w:val="008B757C"/>
    <w:rsid w:val="008C1B05"/>
    <w:rsid w:val="008D07F7"/>
    <w:rsid w:val="008E5439"/>
    <w:rsid w:val="00901F2A"/>
    <w:rsid w:val="009138C8"/>
    <w:rsid w:val="00915385"/>
    <w:rsid w:val="00930D20"/>
    <w:rsid w:val="009376F1"/>
    <w:rsid w:val="00946A2C"/>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B1B0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35D79"/>
    <w:rsid w:val="00C45A14"/>
    <w:rsid w:val="00C57853"/>
    <w:rsid w:val="00C64CB1"/>
    <w:rsid w:val="00C75BA8"/>
    <w:rsid w:val="00C84549"/>
    <w:rsid w:val="00C9547D"/>
    <w:rsid w:val="00CA78EA"/>
    <w:rsid w:val="00CB2133"/>
    <w:rsid w:val="00CB5164"/>
    <w:rsid w:val="00CC2717"/>
    <w:rsid w:val="00CD4A33"/>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B5699"/>
    <w:rsid w:val="00DD69A8"/>
    <w:rsid w:val="00E07458"/>
    <w:rsid w:val="00E232C7"/>
    <w:rsid w:val="00E2647B"/>
    <w:rsid w:val="00E37AF5"/>
    <w:rsid w:val="00E37EDA"/>
    <w:rsid w:val="00E52682"/>
    <w:rsid w:val="00E62F7A"/>
    <w:rsid w:val="00E646CB"/>
    <w:rsid w:val="00E83519"/>
    <w:rsid w:val="00EB1948"/>
    <w:rsid w:val="00EB4088"/>
    <w:rsid w:val="00ED52A0"/>
    <w:rsid w:val="00ED66A0"/>
    <w:rsid w:val="00EE282A"/>
    <w:rsid w:val="00EF7A2D"/>
    <w:rsid w:val="00F12613"/>
    <w:rsid w:val="00F14827"/>
    <w:rsid w:val="00F209FE"/>
    <w:rsid w:val="00F279F6"/>
    <w:rsid w:val="00F27C51"/>
    <w:rsid w:val="00F30026"/>
    <w:rsid w:val="00F50E3B"/>
    <w:rsid w:val="00F53E27"/>
    <w:rsid w:val="00F64CE4"/>
    <w:rsid w:val="00F66CD2"/>
    <w:rsid w:val="00F80775"/>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DCCB13"/>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5%20December%2020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58.6</c:v>
                </c:pt>
                <c:pt idx="1">
                  <c:v>60.6</c:v>
                </c:pt>
                <c:pt idx="2">
                  <c:v>71.099999999999994</c:v>
                </c:pt>
                <c:pt idx="3">
                  <c:v>69.2</c:v>
                </c:pt>
              </c:numCache>
            </c:numRef>
          </c:val>
          <c:extLst>
            <c:ext xmlns:c16="http://schemas.microsoft.com/office/drawing/2014/chart" uri="{C3380CC4-5D6E-409C-BE32-E72D297353CC}">
              <c16:uniqueId val="{00000000-9B7B-42A2-BD52-6FA97D78CBFA}"/>
            </c:ext>
          </c:extLst>
        </c:ser>
        <c:dLbls>
          <c:showLegendKey val="0"/>
          <c:showVal val="0"/>
          <c:showCatName val="0"/>
          <c:showSerName val="0"/>
          <c:showPercent val="0"/>
          <c:showBubbleSize val="0"/>
        </c:dLbls>
        <c:gapWidth val="50"/>
        <c:axId val="297013392"/>
        <c:axId val="2970137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B7B-42A2-BD52-6FA97D78CBFA}"/>
            </c:ext>
          </c:extLst>
        </c:ser>
        <c:dLbls>
          <c:showLegendKey val="0"/>
          <c:showVal val="0"/>
          <c:showCatName val="0"/>
          <c:showSerName val="0"/>
          <c:showPercent val="0"/>
          <c:showBubbleSize val="0"/>
        </c:dLbls>
        <c:marker val="1"/>
        <c:smooth val="0"/>
        <c:axId val="297013392"/>
        <c:axId val="297013784"/>
      </c:lineChart>
      <c:catAx>
        <c:axId val="297013392"/>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13784"/>
        <c:crosses val="autoZero"/>
        <c:auto val="1"/>
        <c:lblAlgn val="ctr"/>
        <c:lblOffset val="100"/>
        <c:tickLblSkip val="1"/>
        <c:noMultiLvlLbl val="0"/>
      </c:catAx>
      <c:valAx>
        <c:axId val="2970137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133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Dec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59.8</c:v>
                </c:pt>
                <c:pt idx="1">
                  <c:v>63.2</c:v>
                </c:pt>
                <c:pt idx="2">
                  <c:v>70.099999999999994</c:v>
                </c:pt>
                <c:pt idx="3">
                  <c:v>68.599999999999994</c:v>
                </c:pt>
              </c:numCache>
            </c:numRef>
          </c:val>
          <c:extLst>
            <c:ext xmlns:c16="http://schemas.microsoft.com/office/drawing/2014/chart" uri="{C3380CC4-5D6E-409C-BE32-E72D297353CC}">
              <c16:uniqueId val="{00000000-70B4-4905-82A7-3B548C1016ED}"/>
            </c:ext>
          </c:extLst>
        </c:ser>
        <c:ser>
          <c:idx val="0"/>
          <c:order val="1"/>
          <c:tx>
            <c:strRef>
              <c:f>Report!$H$40</c:f>
              <c:strCache>
                <c:ptCount val="1"/>
                <c:pt idx="0">
                  <c:v>Dec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58.2</c:v>
                </c:pt>
                <c:pt idx="1">
                  <c:v>57.1</c:v>
                </c:pt>
                <c:pt idx="2">
                  <c:v>68.8</c:v>
                </c:pt>
                <c:pt idx="3">
                  <c:v>67.2</c:v>
                </c:pt>
              </c:numCache>
            </c:numRef>
          </c:val>
          <c:extLst>
            <c:ext xmlns:c16="http://schemas.microsoft.com/office/drawing/2014/chart" uri="{C3380CC4-5D6E-409C-BE32-E72D297353CC}">
              <c16:uniqueId val="{00000001-70B4-4905-82A7-3B548C1016ED}"/>
            </c:ext>
          </c:extLst>
        </c:ser>
        <c:ser>
          <c:idx val="1"/>
          <c:order val="2"/>
          <c:tx>
            <c:strRef>
              <c:f>Report!$H$41</c:f>
              <c:strCache>
                <c:ptCount val="1"/>
                <c:pt idx="0">
                  <c:v>Dec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58.6</c:v>
                </c:pt>
                <c:pt idx="1">
                  <c:v>60.6</c:v>
                </c:pt>
                <c:pt idx="2">
                  <c:v>71.099999999999994</c:v>
                </c:pt>
                <c:pt idx="3">
                  <c:v>69.2</c:v>
                </c:pt>
              </c:numCache>
            </c:numRef>
          </c:val>
          <c:extLst>
            <c:ext xmlns:c16="http://schemas.microsoft.com/office/drawing/2014/chart" uri="{C3380CC4-5D6E-409C-BE32-E72D297353CC}">
              <c16:uniqueId val="{00000002-70B4-4905-82A7-3B548C1016ED}"/>
            </c:ext>
          </c:extLst>
        </c:ser>
        <c:dLbls>
          <c:showLegendKey val="0"/>
          <c:showVal val="0"/>
          <c:showCatName val="0"/>
          <c:showSerName val="0"/>
          <c:showPercent val="0"/>
          <c:showBubbleSize val="0"/>
        </c:dLbls>
        <c:gapWidth val="150"/>
        <c:axId val="297009080"/>
        <c:axId val="297014176"/>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70B4-4905-82A7-3B548C1016ED}"/>
            </c:ext>
          </c:extLst>
        </c:ser>
        <c:dLbls>
          <c:showLegendKey val="0"/>
          <c:showVal val="0"/>
          <c:showCatName val="0"/>
          <c:showSerName val="0"/>
          <c:showPercent val="0"/>
          <c:showBubbleSize val="0"/>
        </c:dLbls>
        <c:marker val="1"/>
        <c:smooth val="0"/>
        <c:axId val="297009080"/>
        <c:axId val="297014176"/>
      </c:lineChart>
      <c:catAx>
        <c:axId val="29700908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14176"/>
        <c:crosses val="autoZero"/>
        <c:auto val="1"/>
        <c:lblAlgn val="ctr"/>
        <c:lblOffset val="100"/>
        <c:noMultiLvlLbl val="0"/>
      </c:catAx>
      <c:valAx>
        <c:axId val="2970141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9700908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CDBA-4D5E-A63F-B3211649B87F}"/>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Report!$I$61:$I$81</c:f>
              <c:numCache>
                <c:formatCode>0.0</c:formatCode>
                <c:ptCount val="21"/>
                <c:pt idx="0">
                  <c:v>69.7</c:v>
                </c:pt>
                <c:pt idx="1">
                  <c:v>62.6</c:v>
                </c:pt>
                <c:pt idx="2">
                  <c:v>57</c:v>
                </c:pt>
                <c:pt idx="3">
                  <c:v>64.099999999999994</c:v>
                </c:pt>
                <c:pt idx="4">
                  <c:v>58.6</c:v>
                </c:pt>
                <c:pt idx="5">
                  <c:v>64.2</c:v>
                </c:pt>
                <c:pt idx="6">
                  <c:v>59.9</c:v>
                </c:pt>
                <c:pt idx="7">
                  <c:v>68.400000000000006</c:v>
                </c:pt>
                <c:pt idx="8">
                  <c:v>61.1</c:v>
                </c:pt>
                <c:pt idx="9">
                  <c:v>68</c:v>
                </c:pt>
                <c:pt idx="10">
                  <c:v>70.2</c:v>
                </c:pt>
                <c:pt idx="11">
                  <c:v>65.7</c:v>
                </c:pt>
                <c:pt idx="12">
                  <c:v>69.7</c:v>
                </c:pt>
                <c:pt idx="13">
                  <c:v>66.900000000000006</c:v>
                </c:pt>
                <c:pt idx="14">
                  <c:v>70.7</c:v>
                </c:pt>
                <c:pt idx="15">
                  <c:v>75.2</c:v>
                </c:pt>
                <c:pt idx="16">
                  <c:v>64.900000000000006</c:v>
                </c:pt>
                <c:pt idx="17">
                  <c:v>69.3</c:v>
                </c:pt>
                <c:pt idx="18">
                  <c:v>68.900000000000006</c:v>
                </c:pt>
                <c:pt idx="19">
                  <c:v>66.3</c:v>
                </c:pt>
                <c:pt idx="20">
                  <c:v>64.900000000000006</c:v>
                </c:pt>
              </c:numCache>
              <c:extLst/>
            </c:numRef>
          </c:val>
          <c:extLst>
            <c:ext xmlns:c16="http://schemas.microsoft.com/office/drawing/2014/chart" uri="{C3380CC4-5D6E-409C-BE32-E72D297353CC}">
              <c16:uniqueId val="{00000001-CDBA-4D5E-A63F-B3211649B87F}"/>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Report!$N$61:$N$80</c:f>
              <c:numCache>
                <c:formatCode>0.0</c:formatCode>
                <c:ptCount val="20"/>
                <c:pt idx="0">
                  <c:v>#N/A</c:v>
                </c:pt>
                <c:pt idx="1">
                  <c:v>#N/A</c:v>
                </c:pt>
                <c:pt idx="2">
                  <c:v>#N/A</c:v>
                </c:pt>
                <c:pt idx="3">
                  <c:v>#N/A</c:v>
                </c:pt>
                <c:pt idx="4">
                  <c:v>58.6</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CDBA-4D5E-A63F-B3211649B87F}"/>
            </c:ext>
          </c:extLst>
        </c:ser>
        <c:dLbls>
          <c:showLegendKey val="0"/>
          <c:showVal val="0"/>
          <c:showCatName val="0"/>
          <c:showSerName val="0"/>
          <c:showPercent val="0"/>
          <c:showBubbleSize val="0"/>
        </c:dLbls>
        <c:gapWidth val="50"/>
        <c:overlap val="100"/>
        <c:axId val="297009472"/>
        <c:axId val="29700633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CDBA-4D5E-A63F-B3211649B87F}"/>
            </c:ext>
          </c:extLst>
        </c:ser>
        <c:dLbls>
          <c:showLegendKey val="0"/>
          <c:showVal val="0"/>
          <c:showCatName val="0"/>
          <c:showSerName val="0"/>
          <c:showPercent val="0"/>
          <c:showBubbleSize val="0"/>
        </c:dLbls>
        <c:marker val="1"/>
        <c:smooth val="0"/>
        <c:axId val="297009472"/>
        <c:axId val="297006336"/>
      </c:lineChart>
      <c:catAx>
        <c:axId val="29700947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6336"/>
        <c:crosses val="autoZero"/>
        <c:auto val="1"/>
        <c:lblAlgn val="ctr"/>
        <c:lblOffset val="100"/>
        <c:tickLblSkip val="1"/>
        <c:noMultiLvlLbl val="0"/>
      </c:catAx>
      <c:valAx>
        <c:axId val="29700633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947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F28B-4550-8BF8-36223CF470E6}"/>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Report!$J$61:$J$81</c:f>
              <c:numCache>
                <c:formatCode>0.0</c:formatCode>
                <c:ptCount val="21"/>
                <c:pt idx="0">
                  <c:v>67.5</c:v>
                </c:pt>
                <c:pt idx="1">
                  <c:v>70.400000000000006</c:v>
                </c:pt>
                <c:pt idx="2">
                  <c:v>69.900000000000006</c:v>
                </c:pt>
                <c:pt idx="3">
                  <c:v>78.3</c:v>
                </c:pt>
                <c:pt idx="4">
                  <c:v>60.6</c:v>
                </c:pt>
                <c:pt idx="5">
                  <c:v>70</c:v>
                </c:pt>
                <c:pt idx="6">
                  <c:v>66.8</c:v>
                </c:pt>
                <c:pt idx="7">
                  <c:v>67.7</c:v>
                </c:pt>
                <c:pt idx="8">
                  <c:v>65.599999999999994</c:v>
                </c:pt>
                <c:pt idx="9">
                  <c:v>67.5</c:v>
                </c:pt>
                <c:pt idx="10">
                  <c:v>65.2</c:v>
                </c:pt>
                <c:pt idx="11">
                  <c:v>69.2</c:v>
                </c:pt>
                <c:pt idx="12">
                  <c:v>69.2</c:v>
                </c:pt>
                <c:pt idx="13">
                  <c:v>69.5</c:v>
                </c:pt>
                <c:pt idx="14">
                  <c:v>75.400000000000006</c:v>
                </c:pt>
                <c:pt idx="15">
                  <c:v>69.3</c:v>
                </c:pt>
                <c:pt idx="16">
                  <c:v>36</c:v>
                </c:pt>
                <c:pt idx="17">
                  <c:v>63.4</c:v>
                </c:pt>
                <c:pt idx="18">
                  <c:v>56.4</c:v>
                </c:pt>
                <c:pt idx="19">
                  <c:v>60.3</c:v>
                </c:pt>
                <c:pt idx="20">
                  <c:v>72.3</c:v>
                </c:pt>
              </c:numCache>
              <c:extLst/>
            </c:numRef>
          </c:val>
          <c:extLst>
            <c:ext xmlns:c16="http://schemas.microsoft.com/office/drawing/2014/chart" uri="{C3380CC4-5D6E-409C-BE32-E72D297353CC}">
              <c16:uniqueId val="{00000001-F28B-4550-8BF8-36223CF470E6}"/>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Report!$O$61:$O$80</c:f>
              <c:numCache>
                <c:formatCode>0.0</c:formatCode>
                <c:ptCount val="20"/>
                <c:pt idx="0">
                  <c:v>#N/A</c:v>
                </c:pt>
                <c:pt idx="1">
                  <c:v>#N/A</c:v>
                </c:pt>
                <c:pt idx="2">
                  <c:v>#N/A</c:v>
                </c:pt>
                <c:pt idx="3">
                  <c:v>#N/A</c:v>
                </c:pt>
                <c:pt idx="4">
                  <c:v>60.6</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F28B-4550-8BF8-36223CF470E6}"/>
            </c:ext>
          </c:extLst>
        </c:ser>
        <c:dLbls>
          <c:showLegendKey val="0"/>
          <c:showVal val="0"/>
          <c:showCatName val="0"/>
          <c:showSerName val="0"/>
          <c:showPercent val="0"/>
          <c:showBubbleSize val="0"/>
        </c:dLbls>
        <c:gapWidth val="50"/>
        <c:overlap val="100"/>
        <c:axId val="297012216"/>
        <c:axId val="297004376"/>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F28B-4550-8BF8-36223CF470E6}"/>
            </c:ext>
          </c:extLst>
        </c:ser>
        <c:dLbls>
          <c:showLegendKey val="0"/>
          <c:showVal val="0"/>
          <c:showCatName val="0"/>
          <c:showSerName val="0"/>
          <c:showPercent val="0"/>
          <c:showBubbleSize val="0"/>
        </c:dLbls>
        <c:marker val="1"/>
        <c:smooth val="0"/>
        <c:axId val="297012216"/>
        <c:axId val="297004376"/>
      </c:lineChart>
      <c:catAx>
        <c:axId val="29701221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4376"/>
        <c:crosses val="autoZero"/>
        <c:auto val="1"/>
        <c:lblAlgn val="ctr"/>
        <c:lblOffset val="100"/>
        <c:tickLblSkip val="1"/>
        <c:noMultiLvlLbl val="0"/>
      </c:catAx>
      <c:valAx>
        <c:axId val="29700437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221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dPt>
            <c:idx val="19"/>
            <c:invertIfNegative val="0"/>
            <c:bubble3D val="0"/>
            <c:extLst>
              <c:ext xmlns:c16="http://schemas.microsoft.com/office/drawing/2014/chart" uri="{C3380CC4-5D6E-409C-BE32-E72D297353CC}">
                <c16:uniqueId val="{00000000-E06B-4073-AAE9-7BAA1594B429}"/>
              </c:ext>
            </c:extLst>
          </c:dPt>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Report!$L$61:$L$81</c:f>
              <c:numCache>
                <c:formatCode>0.0</c:formatCode>
                <c:ptCount val="21"/>
                <c:pt idx="0">
                  <c:v>71.900000000000006</c:v>
                </c:pt>
                <c:pt idx="1">
                  <c:v>65.900000000000006</c:v>
                </c:pt>
                <c:pt idx="2">
                  <c:v>63.1</c:v>
                </c:pt>
                <c:pt idx="3">
                  <c:v>70.2</c:v>
                </c:pt>
                <c:pt idx="4">
                  <c:v>69.2</c:v>
                </c:pt>
                <c:pt idx="5">
                  <c:v>71.7</c:v>
                </c:pt>
                <c:pt idx="6">
                  <c:v>70</c:v>
                </c:pt>
                <c:pt idx="7">
                  <c:v>71.5</c:v>
                </c:pt>
                <c:pt idx="8">
                  <c:v>75.099999999999994</c:v>
                </c:pt>
                <c:pt idx="9">
                  <c:v>73.599999999999994</c:v>
                </c:pt>
                <c:pt idx="10">
                  <c:v>77.599999999999994</c:v>
                </c:pt>
                <c:pt idx="11">
                  <c:v>76.7</c:v>
                </c:pt>
                <c:pt idx="12">
                  <c:v>74</c:v>
                </c:pt>
                <c:pt idx="13">
                  <c:v>72.900000000000006</c:v>
                </c:pt>
                <c:pt idx="14">
                  <c:v>77.599999999999994</c:v>
                </c:pt>
                <c:pt idx="15">
                  <c:v>79.900000000000006</c:v>
                </c:pt>
                <c:pt idx="16">
                  <c:v>75.5</c:v>
                </c:pt>
                <c:pt idx="17">
                  <c:v>76.2</c:v>
                </c:pt>
                <c:pt idx="18">
                  <c:v>76.2</c:v>
                </c:pt>
                <c:pt idx="19">
                  <c:v>74.599999999999994</c:v>
                </c:pt>
                <c:pt idx="20">
                  <c:v>71.900000000000006</c:v>
                </c:pt>
              </c:numCache>
              <c:extLst/>
            </c:numRef>
          </c:val>
          <c:extLst>
            <c:ext xmlns:c16="http://schemas.microsoft.com/office/drawing/2014/chart" uri="{C3380CC4-5D6E-409C-BE32-E72D297353CC}">
              <c16:uniqueId val="{00000001-E06B-4073-AAE9-7BAA1594B42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extLst/>
            </c:strRef>
          </c:cat>
          <c:val>
            <c:numRef>
              <c:f>Report!$Q$61:$Q$80</c:f>
              <c:numCache>
                <c:formatCode>0.0</c:formatCode>
                <c:ptCount val="20"/>
                <c:pt idx="0">
                  <c:v>#N/A</c:v>
                </c:pt>
                <c:pt idx="1">
                  <c:v>#N/A</c:v>
                </c:pt>
                <c:pt idx="2">
                  <c:v>#N/A</c:v>
                </c:pt>
                <c:pt idx="3">
                  <c:v>#N/A</c:v>
                </c:pt>
                <c:pt idx="4">
                  <c:v>69.2</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numCache>
              <c:extLst/>
            </c:numRef>
          </c:val>
          <c:extLst>
            <c:ext xmlns:c16="http://schemas.microsoft.com/office/drawing/2014/chart" uri="{C3380CC4-5D6E-409C-BE32-E72D297353CC}">
              <c16:uniqueId val="{00000002-E06B-4073-AAE9-7BAA1594B429}"/>
            </c:ext>
          </c:extLst>
        </c:ser>
        <c:dLbls>
          <c:showLegendKey val="0"/>
          <c:showVal val="0"/>
          <c:showCatName val="0"/>
          <c:showSerName val="0"/>
          <c:showPercent val="0"/>
          <c:showBubbleSize val="0"/>
        </c:dLbls>
        <c:gapWidth val="50"/>
        <c:overlap val="100"/>
        <c:axId val="297004768"/>
        <c:axId val="297012608"/>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Report!$S$61:$S$80</c:f>
              <c:numCache>
                <c:formatCode>0.0</c:formatCode>
                <c:ptCount val="20"/>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numCache>
              <c:extLst/>
            </c:numRef>
          </c:val>
          <c:smooth val="0"/>
          <c:extLst>
            <c:ext xmlns:c16="http://schemas.microsoft.com/office/drawing/2014/chart" uri="{C3380CC4-5D6E-409C-BE32-E72D297353CC}">
              <c16:uniqueId val="{00000003-E06B-4073-AAE9-7BAA1594B429}"/>
            </c:ext>
          </c:extLst>
        </c:ser>
        <c:dLbls>
          <c:showLegendKey val="0"/>
          <c:showVal val="0"/>
          <c:showCatName val="0"/>
          <c:showSerName val="0"/>
          <c:showPercent val="0"/>
          <c:showBubbleSize val="0"/>
        </c:dLbls>
        <c:marker val="1"/>
        <c:smooth val="0"/>
        <c:axId val="297004768"/>
        <c:axId val="297012608"/>
      </c:lineChart>
      <c:catAx>
        <c:axId val="297004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12608"/>
        <c:crosses val="autoZero"/>
        <c:auto val="1"/>
        <c:lblAlgn val="ctr"/>
        <c:lblOffset val="100"/>
        <c:tickLblSkip val="1"/>
        <c:noMultiLvlLbl val="0"/>
      </c:catAx>
      <c:valAx>
        <c:axId val="297012608"/>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97004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61657-7E8E-4147-8E5D-6AF9F56B5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1388</Words>
  <Characters>7914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2018-01-23T00:16:00Z</cp:lastPrinted>
  <dcterms:created xsi:type="dcterms:W3CDTF">2023-07-17T23:04:00Z</dcterms:created>
  <dcterms:modified xsi:type="dcterms:W3CDTF">2023-07-17T23:04:00Z</dcterms:modified>
</cp:coreProperties>
</file>