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3CF1F" w14:textId="77777777"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95785A" w:rsidRPr="0095785A">
        <w:rPr>
          <w:rFonts w:cs="Times New Roman"/>
          <w:b/>
          <w:sz w:val="72"/>
        </w:rPr>
        <w:t>Hawke’s Bay</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6EBD8059"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76F1B6FD" w14:textId="77777777" w:rsidR="00115CAE" w:rsidRPr="001414CF" w:rsidRDefault="0095785A" w:rsidP="00115CAE">
      <w:pPr>
        <w:spacing w:line="264" w:lineRule="auto"/>
        <w:ind w:right="424"/>
        <w:rPr>
          <w:rFonts w:cs="Times New Roman"/>
          <w:sz w:val="56"/>
        </w:rPr>
      </w:pPr>
      <w:r w:rsidRPr="0095785A">
        <w:rPr>
          <w:rFonts w:cs="Times New Roman"/>
          <w:sz w:val="56"/>
        </w:rPr>
        <w:t>31 December 2017</w:t>
      </w:r>
    </w:p>
    <w:p w14:paraId="3205EE0A" w14:textId="77777777"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14:paraId="2889BF4A"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95785A" w:rsidRPr="0095785A">
        <w:rPr>
          <w:rFonts w:cs="Times New Roman"/>
        </w:rPr>
        <w:t>January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95785A" w:rsidRPr="0095785A">
        <w:rPr>
          <w:rFonts w:cs="Times New Roman"/>
          <w:i/>
        </w:rPr>
        <w:t>31 December 2017</w:t>
      </w:r>
      <w:r w:rsidRPr="00982FA0">
        <w:rPr>
          <w:rFonts w:cs="Times New Roman"/>
        </w:rPr>
        <w:t>. Wellington: Ministry of Health.</w:t>
      </w:r>
    </w:p>
    <w:p w14:paraId="477C4290"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95785A" w:rsidRPr="0095785A">
        <w:rPr>
          <w:rFonts w:cs="Times New Roman"/>
        </w:rPr>
        <w:t>January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05126F80" w14:textId="77777777" w:rsidR="00115CAE" w:rsidRPr="00982FA0" w:rsidRDefault="0095785A" w:rsidP="00115CAE">
      <w:pPr>
        <w:spacing w:after="240" w:line="264" w:lineRule="auto"/>
        <w:jc w:val="center"/>
        <w:rPr>
          <w:rFonts w:cs="Times New Roman"/>
        </w:rPr>
      </w:pPr>
      <w:r w:rsidRPr="0095785A">
        <w:rPr>
          <w:rFonts w:cs="Times New Roman"/>
        </w:rPr>
        <w:t xml:space="preserve">2422-944X </w:t>
      </w:r>
      <w:r w:rsidR="00115CAE" w:rsidRPr="00982FA0">
        <w:rPr>
          <w:rFonts w:cs="Times New Roman"/>
        </w:rPr>
        <w:t>(online)</w:t>
      </w:r>
      <w:r w:rsidR="00115CAE" w:rsidRPr="00982FA0">
        <w:rPr>
          <w:rFonts w:cs="Times New Roman"/>
        </w:rPr>
        <w:br/>
      </w:r>
    </w:p>
    <w:p w14:paraId="2F4C252B"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173AA7C8" w14:textId="77777777" w:rsidR="00115CAE" w:rsidRPr="00F079BE" w:rsidRDefault="00115CAE" w:rsidP="00115CAE"/>
    <w:p w14:paraId="4043703C"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763579B2" w14:textId="77777777" w:rsidR="00115CAE" w:rsidRDefault="00115CAE" w:rsidP="006537DF">
      <w:pPr>
        <w:pStyle w:val="Contentsheading"/>
        <w:spacing w:after="240"/>
        <w:rPr>
          <w:noProof/>
        </w:rPr>
      </w:pPr>
      <w:r>
        <w:rPr>
          <w:noProof/>
        </w:rPr>
        <w:lastRenderedPageBreak/>
        <w:t>Contents</w:t>
      </w:r>
    </w:p>
    <w:p w14:paraId="7C8AA1F0" w14:textId="77777777" w:rsidR="00710219"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710219">
        <w:rPr>
          <w:noProof/>
        </w:rPr>
        <w:t>Introduction</w:t>
      </w:r>
      <w:r w:rsidR="00710219">
        <w:rPr>
          <w:noProof/>
        </w:rPr>
        <w:tab/>
      </w:r>
      <w:r w:rsidR="00710219">
        <w:rPr>
          <w:noProof/>
        </w:rPr>
        <w:fldChar w:fldCharType="begin"/>
      </w:r>
      <w:r w:rsidR="00710219">
        <w:rPr>
          <w:noProof/>
        </w:rPr>
        <w:instrText xml:space="preserve"> PAGEREF _Toc503515404 \h </w:instrText>
      </w:r>
      <w:r w:rsidR="00710219">
        <w:rPr>
          <w:noProof/>
        </w:rPr>
      </w:r>
      <w:r w:rsidR="00710219">
        <w:rPr>
          <w:noProof/>
        </w:rPr>
        <w:fldChar w:fldCharType="separate"/>
      </w:r>
      <w:r w:rsidR="00C07CA3">
        <w:rPr>
          <w:noProof/>
        </w:rPr>
        <w:t>2</w:t>
      </w:r>
      <w:r w:rsidR="00710219">
        <w:rPr>
          <w:noProof/>
        </w:rPr>
        <w:fldChar w:fldCharType="end"/>
      </w:r>
    </w:p>
    <w:p w14:paraId="6D737330" w14:textId="77777777" w:rsidR="00710219" w:rsidRDefault="00710219">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_Toc503515405 \h </w:instrText>
      </w:r>
      <w:r>
        <w:rPr>
          <w:noProof/>
        </w:rPr>
      </w:r>
      <w:r>
        <w:rPr>
          <w:noProof/>
        </w:rPr>
        <w:fldChar w:fldCharType="separate"/>
      </w:r>
      <w:r w:rsidR="00C07CA3">
        <w:rPr>
          <w:noProof/>
        </w:rPr>
        <w:t>3</w:t>
      </w:r>
      <w:r>
        <w:rPr>
          <w:noProof/>
        </w:rPr>
        <w:fldChar w:fldCharType="end"/>
      </w:r>
    </w:p>
    <w:p w14:paraId="0116F426" w14:textId="77777777" w:rsidR="00710219" w:rsidRDefault="00710219">
      <w:pPr>
        <w:pStyle w:val="TOC1"/>
        <w:tabs>
          <w:tab w:val="right" w:leader="dot" w:pos="9345"/>
        </w:tabs>
        <w:rPr>
          <w:rFonts w:asciiTheme="minorHAnsi" w:hAnsiTheme="minorHAnsi"/>
          <w:noProof/>
          <w:sz w:val="22"/>
        </w:rPr>
      </w:pPr>
      <w:r>
        <w:rPr>
          <w:noProof/>
        </w:rPr>
        <w:t>Hawke’s Bay coverage</w:t>
      </w:r>
      <w:r>
        <w:rPr>
          <w:noProof/>
        </w:rPr>
        <w:tab/>
      </w:r>
      <w:r>
        <w:rPr>
          <w:noProof/>
        </w:rPr>
        <w:fldChar w:fldCharType="begin"/>
      </w:r>
      <w:r>
        <w:rPr>
          <w:noProof/>
        </w:rPr>
        <w:instrText xml:space="preserve"> PAGEREF _Toc503515406 \h </w:instrText>
      </w:r>
      <w:r>
        <w:rPr>
          <w:noProof/>
        </w:rPr>
      </w:r>
      <w:r>
        <w:rPr>
          <w:noProof/>
        </w:rPr>
        <w:fldChar w:fldCharType="separate"/>
      </w:r>
      <w:r w:rsidR="00C07CA3">
        <w:rPr>
          <w:noProof/>
        </w:rPr>
        <w:t>4</w:t>
      </w:r>
      <w:r>
        <w:rPr>
          <w:noProof/>
        </w:rPr>
        <w:fldChar w:fldCharType="end"/>
      </w:r>
    </w:p>
    <w:p w14:paraId="68A10515" w14:textId="77777777" w:rsidR="00710219" w:rsidRDefault="00710219">
      <w:pPr>
        <w:pStyle w:val="TOC2"/>
        <w:tabs>
          <w:tab w:val="right" w:leader="dot" w:pos="9345"/>
        </w:tabs>
        <w:rPr>
          <w:rFonts w:asciiTheme="minorHAnsi" w:hAnsiTheme="minorHAnsi"/>
          <w:noProof/>
        </w:rPr>
      </w:pPr>
      <w:r>
        <w:rPr>
          <w:noProof/>
        </w:rPr>
        <w:t>Hawke’s Bay coverage by ethnicity in the two years ending 31 December 2017</w:t>
      </w:r>
      <w:r>
        <w:rPr>
          <w:noProof/>
        </w:rPr>
        <w:tab/>
      </w:r>
      <w:r>
        <w:rPr>
          <w:noProof/>
        </w:rPr>
        <w:fldChar w:fldCharType="begin"/>
      </w:r>
      <w:r>
        <w:rPr>
          <w:noProof/>
        </w:rPr>
        <w:instrText xml:space="preserve"> PAGEREF _Toc503515407 \h </w:instrText>
      </w:r>
      <w:r>
        <w:rPr>
          <w:noProof/>
        </w:rPr>
      </w:r>
      <w:r>
        <w:rPr>
          <w:noProof/>
        </w:rPr>
        <w:fldChar w:fldCharType="separate"/>
      </w:r>
      <w:r w:rsidR="00C07CA3">
        <w:rPr>
          <w:noProof/>
        </w:rPr>
        <w:t>4</w:t>
      </w:r>
      <w:r>
        <w:rPr>
          <w:noProof/>
        </w:rPr>
        <w:fldChar w:fldCharType="end"/>
      </w:r>
    </w:p>
    <w:p w14:paraId="044CE813" w14:textId="77777777" w:rsidR="00710219" w:rsidRDefault="00710219">
      <w:pPr>
        <w:pStyle w:val="TOC2"/>
        <w:tabs>
          <w:tab w:val="right" w:leader="dot" w:pos="9345"/>
        </w:tabs>
        <w:rPr>
          <w:rFonts w:asciiTheme="minorHAnsi" w:hAnsiTheme="minorHAnsi"/>
          <w:noProof/>
        </w:rPr>
      </w:pPr>
      <w:r>
        <w:rPr>
          <w:noProof/>
        </w:rPr>
        <w:t>Hawke’s Bay coverage trends by ethnicity</w:t>
      </w:r>
      <w:r>
        <w:rPr>
          <w:noProof/>
        </w:rPr>
        <w:tab/>
      </w:r>
      <w:r>
        <w:rPr>
          <w:noProof/>
        </w:rPr>
        <w:fldChar w:fldCharType="begin"/>
      </w:r>
      <w:r>
        <w:rPr>
          <w:noProof/>
        </w:rPr>
        <w:instrText xml:space="preserve"> PAGEREF _Toc503515408 \h </w:instrText>
      </w:r>
      <w:r>
        <w:rPr>
          <w:noProof/>
        </w:rPr>
      </w:r>
      <w:r>
        <w:rPr>
          <w:noProof/>
        </w:rPr>
        <w:fldChar w:fldCharType="separate"/>
      </w:r>
      <w:r w:rsidR="00C07CA3">
        <w:rPr>
          <w:noProof/>
        </w:rPr>
        <w:t>5</w:t>
      </w:r>
      <w:r>
        <w:rPr>
          <w:noProof/>
        </w:rPr>
        <w:fldChar w:fldCharType="end"/>
      </w:r>
    </w:p>
    <w:p w14:paraId="156FDFFF" w14:textId="77777777" w:rsidR="00710219" w:rsidRDefault="00710219">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_Toc503515409 \h </w:instrText>
      </w:r>
      <w:r>
        <w:rPr>
          <w:noProof/>
        </w:rPr>
      </w:r>
      <w:r>
        <w:rPr>
          <w:noProof/>
        </w:rPr>
        <w:fldChar w:fldCharType="separate"/>
      </w:r>
      <w:r w:rsidR="00C07CA3">
        <w:rPr>
          <w:noProof/>
        </w:rPr>
        <w:t>6</w:t>
      </w:r>
      <w:r>
        <w:rPr>
          <w:noProof/>
        </w:rPr>
        <w:fldChar w:fldCharType="end"/>
      </w:r>
    </w:p>
    <w:p w14:paraId="7FF0EADC" w14:textId="77777777" w:rsidR="00710219" w:rsidRDefault="00710219">
      <w:pPr>
        <w:pStyle w:val="TOC2"/>
        <w:tabs>
          <w:tab w:val="right" w:leader="dot" w:pos="9345"/>
        </w:tabs>
        <w:rPr>
          <w:rFonts w:asciiTheme="minorHAnsi" w:hAnsiTheme="minorHAnsi"/>
          <w:noProof/>
        </w:rPr>
      </w:pPr>
      <w:r>
        <w:rPr>
          <w:noProof/>
        </w:rPr>
        <w:t>DHB coverage by ethnicity in the two years ending 31 December 2017</w:t>
      </w:r>
      <w:r>
        <w:rPr>
          <w:noProof/>
        </w:rPr>
        <w:tab/>
      </w:r>
      <w:r>
        <w:rPr>
          <w:noProof/>
        </w:rPr>
        <w:fldChar w:fldCharType="begin"/>
      </w:r>
      <w:r>
        <w:rPr>
          <w:noProof/>
        </w:rPr>
        <w:instrText xml:space="preserve"> PAGEREF _Toc503515410 \h </w:instrText>
      </w:r>
      <w:r>
        <w:rPr>
          <w:noProof/>
        </w:rPr>
      </w:r>
      <w:r>
        <w:rPr>
          <w:noProof/>
        </w:rPr>
        <w:fldChar w:fldCharType="separate"/>
      </w:r>
      <w:r w:rsidR="00C07CA3">
        <w:rPr>
          <w:noProof/>
        </w:rPr>
        <w:t>6</w:t>
      </w:r>
      <w:r>
        <w:rPr>
          <w:noProof/>
        </w:rPr>
        <w:fldChar w:fldCharType="end"/>
      </w:r>
    </w:p>
    <w:p w14:paraId="586F0716" w14:textId="77777777" w:rsidR="00710219" w:rsidRDefault="00710219">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_Toc503515411 \h </w:instrText>
      </w:r>
      <w:r>
        <w:rPr>
          <w:noProof/>
        </w:rPr>
      </w:r>
      <w:r>
        <w:rPr>
          <w:noProof/>
        </w:rPr>
        <w:fldChar w:fldCharType="separate"/>
      </w:r>
      <w:r w:rsidR="00C07CA3">
        <w:rPr>
          <w:noProof/>
        </w:rPr>
        <w:t>12</w:t>
      </w:r>
      <w:r>
        <w:rPr>
          <w:noProof/>
        </w:rPr>
        <w:fldChar w:fldCharType="end"/>
      </w:r>
    </w:p>
    <w:p w14:paraId="366FB8ED"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77161F15" w14:textId="77777777" w:rsidR="00710219"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710219">
        <w:rPr>
          <w:noProof/>
        </w:rPr>
        <w:t>Table 1: BSA coverage (%) in the two years ending 31 December 2017 by ethnicity, women aged 50–69 years, Total Coverage</w:t>
      </w:r>
      <w:r w:rsidR="00710219">
        <w:rPr>
          <w:noProof/>
        </w:rPr>
        <w:tab/>
      </w:r>
      <w:r w:rsidR="00710219">
        <w:rPr>
          <w:noProof/>
        </w:rPr>
        <w:fldChar w:fldCharType="begin"/>
      </w:r>
      <w:r w:rsidR="00710219">
        <w:rPr>
          <w:noProof/>
        </w:rPr>
        <w:instrText xml:space="preserve"> PAGEREF _Toc503515400 \h </w:instrText>
      </w:r>
      <w:r w:rsidR="00710219">
        <w:rPr>
          <w:noProof/>
        </w:rPr>
      </w:r>
      <w:r w:rsidR="00710219">
        <w:rPr>
          <w:noProof/>
        </w:rPr>
        <w:fldChar w:fldCharType="separate"/>
      </w:r>
      <w:r w:rsidR="00C07CA3">
        <w:rPr>
          <w:noProof/>
        </w:rPr>
        <w:t>4</w:t>
      </w:r>
      <w:r w:rsidR="00710219">
        <w:rPr>
          <w:noProof/>
        </w:rPr>
        <w:fldChar w:fldCharType="end"/>
      </w:r>
    </w:p>
    <w:p w14:paraId="26B3514E" w14:textId="77777777" w:rsidR="00710219" w:rsidRDefault="00710219">
      <w:pPr>
        <w:pStyle w:val="TOC3"/>
        <w:tabs>
          <w:tab w:val="right" w:leader="dot" w:pos="9345"/>
        </w:tabs>
        <w:rPr>
          <w:rFonts w:asciiTheme="minorHAnsi" w:hAnsiTheme="minorHAnsi"/>
          <w:noProof/>
        </w:rPr>
      </w:pPr>
      <w:r>
        <w:rPr>
          <w:noProof/>
        </w:rPr>
        <w:t>Table 2: BSA number of screens in women aged 50–69 years by ethnicity and quarter, Quarter 4 2016 –Quarter 4 2017</w:t>
      </w:r>
      <w:r>
        <w:rPr>
          <w:noProof/>
        </w:rPr>
        <w:tab/>
      </w:r>
      <w:r>
        <w:rPr>
          <w:noProof/>
        </w:rPr>
        <w:fldChar w:fldCharType="begin"/>
      </w:r>
      <w:r>
        <w:rPr>
          <w:noProof/>
        </w:rPr>
        <w:instrText xml:space="preserve"> PAGEREF _Toc503515401 \h </w:instrText>
      </w:r>
      <w:r>
        <w:rPr>
          <w:noProof/>
        </w:rPr>
      </w:r>
      <w:r>
        <w:rPr>
          <w:noProof/>
        </w:rPr>
        <w:fldChar w:fldCharType="separate"/>
      </w:r>
      <w:r w:rsidR="00C07CA3">
        <w:rPr>
          <w:noProof/>
        </w:rPr>
        <w:t>5</w:t>
      </w:r>
      <w:r>
        <w:rPr>
          <w:noProof/>
        </w:rPr>
        <w:fldChar w:fldCharType="end"/>
      </w:r>
    </w:p>
    <w:p w14:paraId="4842EDBC" w14:textId="77777777" w:rsidR="00710219" w:rsidRDefault="00710219">
      <w:pPr>
        <w:pStyle w:val="TOC3"/>
        <w:tabs>
          <w:tab w:val="right" w:leader="dot" w:pos="9345"/>
        </w:tabs>
        <w:rPr>
          <w:rFonts w:asciiTheme="minorHAnsi" w:hAnsiTheme="minorHAnsi"/>
          <w:noProof/>
        </w:rPr>
      </w:pPr>
      <w:r>
        <w:rPr>
          <w:noProof/>
        </w:rPr>
        <w:t>Table 3: BSA number of screens and coverage (%) in women aged 50–69 years in the two years ending 31 December 2017 by District Health Board</w:t>
      </w:r>
      <w:r>
        <w:rPr>
          <w:noProof/>
        </w:rPr>
        <w:tab/>
      </w:r>
      <w:r>
        <w:rPr>
          <w:noProof/>
        </w:rPr>
        <w:fldChar w:fldCharType="begin"/>
      </w:r>
      <w:r>
        <w:rPr>
          <w:noProof/>
        </w:rPr>
        <w:instrText xml:space="preserve"> PAGEREF _Toc503515402 \h </w:instrText>
      </w:r>
      <w:r>
        <w:rPr>
          <w:noProof/>
        </w:rPr>
      </w:r>
      <w:r>
        <w:rPr>
          <w:noProof/>
        </w:rPr>
        <w:fldChar w:fldCharType="separate"/>
      </w:r>
      <w:r w:rsidR="00C07CA3">
        <w:rPr>
          <w:noProof/>
        </w:rPr>
        <w:t>11</w:t>
      </w:r>
      <w:r>
        <w:rPr>
          <w:noProof/>
        </w:rPr>
        <w:fldChar w:fldCharType="end"/>
      </w:r>
    </w:p>
    <w:p w14:paraId="4AA71B50" w14:textId="77777777" w:rsidR="00710219" w:rsidRDefault="00710219">
      <w:pPr>
        <w:pStyle w:val="TOC3"/>
        <w:tabs>
          <w:tab w:val="right" w:leader="dot" w:pos="9345"/>
        </w:tabs>
        <w:rPr>
          <w:rFonts w:asciiTheme="minorHAnsi" w:hAnsiTheme="minorHAnsi"/>
          <w:noProof/>
        </w:rPr>
      </w:pPr>
      <w:r>
        <w:rPr>
          <w:noProof/>
        </w:rPr>
        <w:t>Table 4: BSA coverage (%) of women aged 50–69 years in the two years ending 31 December, 2015, 2016, 2017, by ethnicity and District Health Board</w:t>
      </w:r>
      <w:r>
        <w:rPr>
          <w:noProof/>
        </w:rPr>
        <w:tab/>
      </w:r>
      <w:r>
        <w:rPr>
          <w:noProof/>
        </w:rPr>
        <w:fldChar w:fldCharType="begin"/>
      </w:r>
      <w:r>
        <w:rPr>
          <w:noProof/>
        </w:rPr>
        <w:instrText xml:space="preserve"> PAGEREF _Toc503515403 \h </w:instrText>
      </w:r>
      <w:r>
        <w:rPr>
          <w:noProof/>
        </w:rPr>
      </w:r>
      <w:r>
        <w:rPr>
          <w:noProof/>
        </w:rPr>
        <w:fldChar w:fldCharType="separate"/>
      </w:r>
      <w:r w:rsidR="00C07CA3">
        <w:rPr>
          <w:noProof/>
        </w:rPr>
        <w:t>12</w:t>
      </w:r>
      <w:r>
        <w:rPr>
          <w:noProof/>
        </w:rPr>
        <w:fldChar w:fldCharType="end"/>
      </w:r>
    </w:p>
    <w:p w14:paraId="07CFB9FC"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471EBDEE" w14:textId="77777777" w:rsidR="00710219"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710219">
        <w:rPr>
          <w:noProof/>
        </w:rPr>
        <w:t>Figure 1: BSA coverage (%) in the two years ending 31 December 2017 by ethnicity, women aged 50–69 years, Total Coverage</w:t>
      </w:r>
      <w:r w:rsidR="00710219">
        <w:rPr>
          <w:noProof/>
        </w:rPr>
        <w:tab/>
      </w:r>
      <w:r w:rsidR="00710219">
        <w:rPr>
          <w:noProof/>
        </w:rPr>
        <w:fldChar w:fldCharType="begin"/>
      </w:r>
      <w:r w:rsidR="00710219">
        <w:rPr>
          <w:noProof/>
        </w:rPr>
        <w:instrText xml:space="preserve"> PAGEREF _Toc503515392 \h </w:instrText>
      </w:r>
      <w:r w:rsidR="00710219">
        <w:rPr>
          <w:noProof/>
        </w:rPr>
      </w:r>
      <w:r w:rsidR="00710219">
        <w:rPr>
          <w:noProof/>
        </w:rPr>
        <w:fldChar w:fldCharType="separate"/>
      </w:r>
      <w:r w:rsidR="00C07CA3">
        <w:rPr>
          <w:noProof/>
        </w:rPr>
        <w:t>4</w:t>
      </w:r>
      <w:r w:rsidR="00710219">
        <w:rPr>
          <w:noProof/>
        </w:rPr>
        <w:fldChar w:fldCharType="end"/>
      </w:r>
    </w:p>
    <w:p w14:paraId="016934F2" w14:textId="77777777" w:rsidR="00710219" w:rsidRDefault="00710219">
      <w:pPr>
        <w:pStyle w:val="TOC3"/>
        <w:tabs>
          <w:tab w:val="right" w:leader="dot" w:pos="9345"/>
        </w:tabs>
        <w:rPr>
          <w:rFonts w:asciiTheme="minorHAnsi" w:hAnsiTheme="minorHAnsi"/>
          <w:noProof/>
        </w:rPr>
      </w:pPr>
      <w:r>
        <w:rPr>
          <w:noProof/>
        </w:rPr>
        <w:t>Figure 2: BSA coverage (%) of women aged 50–69 years in the two years ending 31 December 2017 by ethnicity, Total Coverage</w:t>
      </w:r>
      <w:r>
        <w:rPr>
          <w:noProof/>
        </w:rPr>
        <w:tab/>
      </w:r>
      <w:r>
        <w:rPr>
          <w:noProof/>
        </w:rPr>
        <w:fldChar w:fldCharType="begin"/>
      </w:r>
      <w:r>
        <w:rPr>
          <w:noProof/>
        </w:rPr>
        <w:instrText xml:space="preserve"> PAGEREF _Toc503515393 \h </w:instrText>
      </w:r>
      <w:r>
        <w:rPr>
          <w:noProof/>
        </w:rPr>
      </w:r>
      <w:r>
        <w:rPr>
          <w:noProof/>
        </w:rPr>
        <w:fldChar w:fldCharType="separate"/>
      </w:r>
      <w:r w:rsidR="00C07CA3">
        <w:rPr>
          <w:noProof/>
        </w:rPr>
        <w:t>5</w:t>
      </w:r>
      <w:r>
        <w:rPr>
          <w:noProof/>
        </w:rPr>
        <w:fldChar w:fldCharType="end"/>
      </w:r>
    </w:p>
    <w:p w14:paraId="3C20E774" w14:textId="77777777" w:rsidR="00710219" w:rsidRDefault="00710219">
      <w:pPr>
        <w:pStyle w:val="TOC3"/>
        <w:tabs>
          <w:tab w:val="right" w:leader="dot" w:pos="9345"/>
        </w:tabs>
        <w:rPr>
          <w:rFonts w:asciiTheme="minorHAnsi" w:hAnsiTheme="minorHAnsi"/>
          <w:noProof/>
        </w:rPr>
      </w:pPr>
      <w:r>
        <w:rPr>
          <w:noProof/>
        </w:rPr>
        <w:t>Figure 3: BSA coverage (%) of Māori women aged 50–69 years in the two years ending 31 December 2017 by District Health Board</w:t>
      </w:r>
      <w:r>
        <w:rPr>
          <w:noProof/>
        </w:rPr>
        <w:tab/>
      </w:r>
      <w:r>
        <w:rPr>
          <w:noProof/>
        </w:rPr>
        <w:fldChar w:fldCharType="begin"/>
      </w:r>
      <w:r>
        <w:rPr>
          <w:noProof/>
        </w:rPr>
        <w:instrText xml:space="preserve"> PAGEREF _Toc503515394 \h </w:instrText>
      </w:r>
      <w:r>
        <w:rPr>
          <w:noProof/>
        </w:rPr>
      </w:r>
      <w:r>
        <w:rPr>
          <w:noProof/>
        </w:rPr>
        <w:fldChar w:fldCharType="separate"/>
      </w:r>
      <w:r w:rsidR="00C07CA3">
        <w:rPr>
          <w:noProof/>
        </w:rPr>
        <w:t>6</w:t>
      </w:r>
      <w:r>
        <w:rPr>
          <w:noProof/>
        </w:rPr>
        <w:fldChar w:fldCharType="end"/>
      </w:r>
    </w:p>
    <w:p w14:paraId="555C282E" w14:textId="77777777" w:rsidR="00710219" w:rsidRDefault="00710219">
      <w:pPr>
        <w:pStyle w:val="TOC3"/>
        <w:tabs>
          <w:tab w:val="right" w:leader="dot" w:pos="9345"/>
        </w:tabs>
        <w:rPr>
          <w:rFonts w:asciiTheme="minorHAnsi" w:hAnsiTheme="minorHAnsi"/>
          <w:noProof/>
        </w:rPr>
      </w:pPr>
      <w:r>
        <w:rPr>
          <w:noProof/>
        </w:rPr>
        <w:t>Figure 4: BSA coverage (%) of Pacific women aged 50–69 years in the two years ending 31 December 2017 by District Health Board</w:t>
      </w:r>
      <w:r>
        <w:rPr>
          <w:noProof/>
        </w:rPr>
        <w:tab/>
      </w:r>
      <w:r>
        <w:rPr>
          <w:noProof/>
        </w:rPr>
        <w:fldChar w:fldCharType="begin"/>
      </w:r>
      <w:r>
        <w:rPr>
          <w:noProof/>
        </w:rPr>
        <w:instrText xml:space="preserve"> PAGEREF _Toc503515395 \h </w:instrText>
      </w:r>
      <w:r>
        <w:rPr>
          <w:noProof/>
        </w:rPr>
      </w:r>
      <w:r>
        <w:rPr>
          <w:noProof/>
        </w:rPr>
        <w:fldChar w:fldCharType="separate"/>
      </w:r>
      <w:r w:rsidR="00C07CA3">
        <w:rPr>
          <w:noProof/>
        </w:rPr>
        <w:t>6</w:t>
      </w:r>
      <w:r>
        <w:rPr>
          <w:noProof/>
        </w:rPr>
        <w:fldChar w:fldCharType="end"/>
      </w:r>
    </w:p>
    <w:p w14:paraId="4B7E4640" w14:textId="77777777" w:rsidR="00710219" w:rsidRDefault="00710219">
      <w:pPr>
        <w:pStyle w:val="TOC3"/>
        <w:tabs>
          <w:tab w:val="right" w:leader="dot" w:pos="9345"/>
        </w:tabs>
        <w:rPr>
          <w:rFonts w:asciiTheme="minorHAnsi" w:hAnsiTheme="minorHAnsi"/>
          <w:noProof/>
        </w:rPr>
      </w:pPr>
      <w:r>
        <w:rPr>
          <w:noProof/>
        </w:rPr>
        <w:t>Figure 5: Overall BSA coverage (%) of women aged 50–69 years in the two years ending 31 December 2017 by District Health Board</w:t>
      </w:r>
      <w:r>
        <w:rPr>
          <w:noProof/>
        </w:rPr>
        <w:tab/>
      </w:r>
      <w:r>
        <w:rPr>
          <w:noProof/>
        </w:rPr>
        <w:fldChar w:fldCharType="begin"/>
      </w:r>
      <w:r>
        <w:rPr>
          <w:noProof/>
        </w:rPr>
        <w:instrText xml:space="preserve"> PAGEREF _Toc503515396 \h </w:instrText>
      </w:r>
      <w:r>
        <w:rPr>
          <w:noProof/>
        </w:rPr>
      </w:r>
      <w:r>
        <w:rPr>
          <w:noProof/>
        </w:rPr>
        <w:fldChar w:fldCharType="separate"/>
      </w:r>
      <w:r w:rsidR="00C07CA3">
        <w:rPr>
          <w:noProof/>
        </w:rPr>
        <w:t>7</w:t>
      </w:r>
      <w:r>
        <w:rPr>
          <w:noProof/>
        </w:rPr>
        <w:fldChar w:fldCharType="end"/>
      </w:r>
    </w:p>
    <w:p w14:paraId="4659E169" w14:textId="77777777" w:rsidR="00710219" w:rsidRDefault="00710219">
      <w:pPr>
        <w:pStyle w:val="TOC3"/>
        <w:tabs>
          <w:tab w:val="right" w:leader="dot" w:pos="9345"/>
        </w:tabs>
        <w:rPr>
          <w:rFonts w:asciiTheme="minorHAnsi" w:hAnsiTheme="minorHAnsi"/>
          <w:noProof/>
        </w:rPr>
      </w:pPr>
      <w:r>
        <w:rPr>
          <w:noProof/>
        </w:rPr>
        <w:t>Figure 6: BSA coverage (%) of Māori women aged 50–69 years in the two years ending 31 December 2017</w:t>
      </w:r>
      <w:r>
        <w:rPr>
          <w:noProof/>
        </w:rPr>
        <w:tab/>
      </w:r>
      <w:r>
        <w:rPr>
          <w:noProof/>
        </w:rPr>
        <w:fldChar w:fldCharType="begin"/>
      </w:r>
      <w:r>
        <w:rPr>
          <w:noProof/>
        </w:rPr>
        <w:instrText xml:space="preserve"> PAGEREF _Toc503515397 \h </w:instrText>
      </w:r>
      <w:r>
        <w:rPr>
          <w:noProof/>
        </w:rPr>
      </w:r>
      <w:r>
        <w:rPr>
          <w:noProof/>
        </w:rPr>
        <w:fldChar w:fldCharType="separate"/>
      </w:r>
      <w:r w:rsidR="00C07CA3">
        <w:rPr>
          <w:noProof/>
        </w:rPr>
        <w:t>8</w:t>
      </w:r>
      <w:r>
        <w:rPr>
          <w:noProof/>
        </w:rPr>
        <w:fldChar w:fldCharType="end"/>
      </w:r>
    </w:p>
    <w:p w14:paraId="01296306" w14:textId="77777777" w:rsidR="00710219" w:rsidRDefault="00710219">
      <w:pPr>
        <w:pStyle w:val="TOC3"/>
        <w:tabs>
          <w:tab w:val="right" w:leader="dot" w:pos="9345"/>
        </w:tabs>
        <w:rPr>
          <w:rFonts w:asciiTheme="minorHAnsi" w:hAnsiTheme="minorHAnsi"/>
          <w:noProof/>
        </w:rPr>
      </w:pPr>
      <w:r>
        <w:rPr>
          <w:noProof/>
        </w:rPr>
        <w:t>Figure 7: BSA coverage (%) of Pacific women aged 50–69 years in the two years ending 31 December 2017</w:t>
      </w:r>
      <w:r>
        <w:rPr>
          <w:noProof/>
        </w:rPr>
        <w:tab/>
      </w:r>
      <w:r>
        <w:rPr>
          <w:noProof/>
        </w:rPr>
        <w:fldChar w:fldCharType="begin"/>
      </w:r>
      <w:r>
        <w:rPr>
          <w:noProof/>
        </w:rPr>
        <w:instrText xml:space="preserve"> PAGEREF _Toc503515398 \h </w:instrText>
      </w:r>
      <w:r>
        <w:rPr>
          <w:noProof/>
        </w:rPr>
      </w:r>
      <w:r>
        <w:rPr>
          <w:noProof/>
        </w:rPr>
        <w:fldChar w:fldCharType="separate"/>
      </w:r>
      <w:r w:rsidR="00C07CA3">
        <w:rPr>
          <w:noProof/>
        </w:rPr>
        <w:t>9</w:t>
      </w:r>
      <w:r>
        <w:rPr>
          <w:noProof/>
        </w:rPr>
        <w:fldChar w:fldCharType="end"/>
      </w:r>
    </w:p>
    <w:p w14:paraId="2BC8838B" w14:textId="77777777" w:rsidR="00710219" w:rsidRDefault="00710219">
      <w:pPr>
        <w:pStyle w:val="TOC3"/>
        <w:tabs>
          <w:tab w:val="right" w:leader="dot" w:pos="9345"/>
        </w:tabs>
        <w:rPr>
          <w:rFonts w:asciiTheme="minorHAnsi" w:hAnsiTheme="minorHAnsi"/>
          <w:noProof/>
        </w:rPr>
      </w:pPr>
      <w:r>
        <w:rPr>
          <w:noProof/>
        </w:rPr>
        <w:t>Figure 8: Overall BSA coverage (%) of women aged 50–69 years in the two years ending 31 December 2017 by District Health Board</w:t>
      </w:r>
      <w:r>
        <w:rPr>
          <w:noProof/>
        </w:rPr>
        <w:tab/>
      </w:r>
      <w:r>
        <w:rPr>
          <w:noProof/>
        </w:rPr>
        <w:fldChar w:fldCharType="begin"/>
      </w:r>
      <w:r>
        <w:rPr>
          <w:noProof/>
        </w:rPr>
        <w:instrText xml:space="preserve"> PAGEREF _Toc503515399 \h </w:instrText>
      </w:r>
      <w:r>
        <w:rPr>
          <w:noProof/>
        </w:rPr>
      </w:r>
      <w:r>
        <w:rPr>
          <w:noProof/>
        </w:rPr>
        <w:fldChar w:fldCharType="separate"/>
      </w:r>
      <w:r w:rsidR="00C07CA3">
        <w:rPr>
          <w:noProof/>
        </w:rPr>
        <w:t>10</w:t>
      </w:r>
      <w:r>
        <w:rPr>
          <w:noProof/>
        </w:rPr>
        <w:fldChar w:fldCharType="end"/>
      </w:r>
    </w:p>
    <w:p w14:paraId="466B4556" w14:textId="77777777" w:rsidR="00115CAE" w:rsidRDefault="00115CAE" w:rsidP="00115CAE">
      <w:pPr>
        <w:rPr>
          <w:noProof/>
        </w:rPr>
      </w:pPr>
      <w:r w:rsidRPr="00236495">
        <w:rPr>
          <w:noProof/>
          <w:sz w:val="20"/>
          <w:szCs w:val="20"/>
        </w:rPr>
        <w:fldChar w:fldCharType="end"/>
      </w:r>
    </w:p>
    <w:p w14:paraId="1C4FD16B" w14:textId="77777777" w:rsidR="00115CAE" w:rsidRDefault="00115CAE" w:rsidP="00115CAE">
      <w:pPr>
        <w:rPr>
          <w:noProof/>
        </w:rPr>
      </w:pPr>
    </w:p>
    <w:p w14:paraId="3D21B782" w14:textId="77777777" w:rsidR="00115CAE" w:rsidRPr="004149AB" w:rsidRDefault="00115CAE" w:rsidP="00115CAE">
      <w:pPr>
        <w:pStyle w:val="Heading1"/>
        <w:rPr>
          <w:noProof/>
          <w:szCs w:val="36"/>
        </w:rPr>
      </w:pPr>
      <w:bookmarkStart w:id="0" w:name="_Toc399921850"/>
      <w:bookmarkStart w:id="1" w:name="_Toc503515404"/>
      <w:r w:rsidRPr="004149AB">
        <w:rPr>
          <w:noProof/>
          <w:szCs w:val="36"/>
        </w:rPr>
        <w:lastRenderedPageBreak/>
        <w:t>Introduction</w:t>
      </w:r>
      <w:bookmarkEnd w:id="0"/>
      <w:bookmarkEnd w:id="1"/>
    </w:p>
    <w:p w14:paraId="5189D48F" w14:textId="77777777" w:rsidR="00B72A22" w:rsidRDefault="00B72A22" w:rsidP="00B72A22">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2FAC6617" w14:textId="77777777" w:rsidR="00B72A22" w:rsidRDefault="00B72A22" w:rsidP="00B72A22"/>
    <w:p w14:paraId="03D548AA"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2851601A" w14:textId="77777777" w:rsidR="00B72A22" w:rsidRDefault="00B72A22" w:rsidP="00B72A22"/>
    <w:p w14:paraId="54E07DB7"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4343BF21" w14:textId="77777777" w:rsidR="00B72A22" w:rsidRDefault="00B72A22" w:rsidP="00B72A22"/>
    <w:p w14:paraId="1908332D"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6AA0052F" w14:textId="77777777" w:rsidR="00B72A22" w:rsidRPr="00D828ED" w:rsidRDefault="00B72A22" w:rsidP="00B72A22"/>
    <w:p w14:paraId="17F3D2FD" w14:textId="77777777" w:rsidR="00B72A22" w:rsidRDefault="00B72A22" w:rsidP="00B72A22">
      <w:r>
        <w:t>The purpose of this quarterly report is to demonstrate by DHB if the programme coverage targets are being met for the region.</w:t>
      </w:r>
    </w:p>
    <w:p w14:paraId="7FF1F17F" w14:textId="77777777" w:rsidR="00B72A22" w:rsidRPr="00F73803" w:rsidRDefault="00B72A22" w:rsidP="00B72A22">
      <w:pPr>
        <w:rPr>
          <w:rFonts w:eastAsiaTheme="minorHAnsi"/>
          <w:lang w:eastAsia="en-US"/>
        </w:rPr>
      </w:pPr>
    </w:p>
    <w:p w14:paraId="7FCAA12D" w14:textId="77777777" w:rsidR="00115CAE" w:rsidRDefault="00115CAE" w:rsidP="00115CAE">
      <w:pPr>
        <w:rPr>
          <w:rFonts w:eastAsiaTheme="majorEastAsia"/>
        </w:rPr>
      </w:pPr>
      <w:r>
        <w:br w:type="page"/>
      </w:r>
    </w:p>
    <w:p w14:paraId="1B9627EC" w14:textId="77777777" w:rsidR="00115CAE" w:rsidRPr="004149AB" w:rsidRDefault="00115CAE" w:rsidP="00115CAE">
      <w:pPr>
        <w:pStyle w:val="Heading1"/>
      </w:pPr>
      <w:bookmarkStart w:id="3" w:name="_Toc503515405"/>
      <w:r w:rsidRPr="004149AB">
        <w:lastRenderedPageBreak/>
        <w:t xml:space="preserve">Technical </w:t>
      </w:r>
      <w:r>
        <w:t>n</w:t>
      </w:r>
      <w:r w:rsidRPr="004149AB">
        <w:t>otes</w:t>
      </w:r>
      <w:bookmarkEnd w:id="2"/>
      <w:bookmarkEnd w:id="3"/>
    </w:p>
    <w:p w14:paraId="6A8643DA"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95785A" w:rsidRPr="0095785A">
        <w:rPr>
          <w:rFonts w:eastAsiaTheme="minorHAnsi"/>
          <w:lang w:eastAsia="en-US"/>
        </w:rPr>
        <w:t>31 December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95785A" w:rsidRPr="0095785A">
        <w:rPr>
          <w:rFonts w:eastAsiaTheme="minorHAnsi"/>
          <w:lang w:eastAsia="en-US"/>
        </w:rPr>
        <w:t>10 January 2018</w:t>
      </w:r>
      <w:r w:rsidR="000E7690">
        <w:rPr>
          <w:rFonts w:eastAsiaTheme="minorHAnsi"/>
          <w:lang w:eastAsia="en-US"/>
        </w:rPr>
        <w:t>.</w:t>
      </w:r>
      <w:r w:rsidR="00B41599">
        <w:rPr>
          <w:rFonts w:eastAsiaTheme="minorHAnsi"/>
          <w:lang w:eastAsia="en-US"/>
        </w:rPr>
        <w:t xml:space="preserve"> </w:t>
      </w:r>
    </w:p>
    <w:p w14:paraId="3BE5E819" w14:textId="77777777" w:rsidR="00115CAE" w:rsidRDefault="00115CAE" w:rsidP="00115CAE">
      <w:pPr>
        <w:rPr>
          <w:rFonts w:eastAsiaTheme="minorHAnsi"/>
          <w:lang w:eastAsia="en-US"/>
        </w:rPr>
      </w:pPr>
    </w:p>
    <w:p w14:paraId="7E05E21E"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42C08D56" w14:textId="77777777" w:rsidR="000C2B3F" w:rsidRPr="005767BE" w:rsidRDefault="000C2B3F" w:rsidP="000C2B3F"/>
    <w:p w14:paraId="6FFB0092" w14:textId="77777777"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0B51C333" w14:textId="77777777" w:rsidR="000C2B3F" w:rsidRPr="005767BE" w:rsidRDefault="000C2B3F" w:rsidP="000C2B3F"/>
    <w:p w14:paraId="5ABA2D34"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710219">
        <w:rPr>
          <w:rFonts w:eastAsiaTheme="minorHAnsi" w:cs="Georgia"/>
          <w:color w:val="000000"/>
          <w:szCs w:val="24"/>
          <w:lang w:eastAsia="en-US"/>
        </w:rPr>
        <w:t>31 December</w:t>
      </w:r>
      <w:r w:rsidR="00393D33">
        <w:rPr>
          <w:rFonts w:eastAsiaTheme="minorHAnsi" w:cs="Georgia"/>
          <w:color w:val="000000"/>
          <w:szCs w:val="24"/>
          <w:lang w:eastAsia="en-US"/>
        </w:rPr>
        <w:t xml:space="preserve"> 2015,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2016 and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2017</w:t>
      </w:r>
      <w:r w:rsidRPr="005767BE">
        <w:rPr>
          <w:rFonts w:eastAsiaTheme="minorHAnsi" w:cs="Georgia"/>
          <w:color w:val="000000"/>
          <w:szCs w:val="24"/>
          <w:lang w:eastAsia="en-US"/>
        </w:rPr>
        <w:t xml:space="preserve"> are derived from Statistics New Zealand’s District Health Board (DHB) population projections </w:t>
      </w:r>
      <w:r w:rsidR="0095785A" w:rsidRPr="0095785A">
        <w:t>30 June 2016</w:t>
      </w:r>
      <w:r w:rsidRPr="005767BE">
        <w:rPr>
          <w:rFonts w:eastAsiaTheme="minorHAnsi" w:cs="Georgia"/>
          <w:color w:val="000000"/>
          <w:szCs w:val="24"/>
          <w:lang w:eastAsia="en-US"/>
        </w:rPr>
        <w:t xml:space="preserve"> update, based on the 2013 Census.</w:t>
      </w:r>
    </w:p>
    <w:p w14:paraId="33650E24"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46DC4448"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 xml:space="preserve">From </w:t>
      </w:r>
      <w:r w:rsidR="00861166">
        <w:rPr>
          <w:rFonts w:eastAsiaTheme="minorHAnsi" w:cs="Georgia"/>
          <w:color w:val="000000"/>
          <w:szCs w:val="24"/>
          <w:lang w:eastAsia="en-US"/>
        </w:rPr>
        <w:t>December</w:t>
      </w:r>
      <w:r w:rsidRPr="005767BE">
        <w:rPr>
          <w:rFonts w:eastAsiaTheme="minorHAnsi" w:cs="Georgia"/>
          <w:color w:val="000000"/>
          <w:szCs w:val="24"/>
          <w:lang w:eastAsia="en-US"/>
        </w:rPr>
        <w:t xml:space="preserve"> 2016, the National Screening Unit (NSU) </w:t>
      </w:r>
      <w:r w:rsidR="00AD255E" w:rsidRPr="00721416">
        <w:rPr>
          <w:rFonts w:eastAsiaTheme="minorHAnsi" w:cs="Georgia"/>
          <w:color w:val="000000"/>
          <w:szCs w:val="24"/>
          <w:lang w:eastAsia="en-US"/>
        </w:rPr>
        <w:t>began</w:t>
      </w:r>
      <w:r w:rsidRPr="005767BE">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14:paraId="0B3469C2"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74C9E4A8"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0055EF2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7BC56BC8"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5FC4E113"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EFB8313" w14:textId="77777777" w:rsidR="000C2B3F" w:rsidRPr="005767BE" w:rsidRDefault="00710219"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31E03C55" w14:textId="77777777" w:rsidR="000C2B3F" w:rsidRPr="005767BE" w:rsidRDefault="00710219"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027746D9" w14:textId="77777777" w:rsidR="000C2B3F" w:rsidRPr="005767BE" w:rsidRDefault="00710219"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34E5AEA0"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6A690804"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5A6574C4" w14:textId="77777777" w:rsidR="000C2B3F" w:rsidRPr="005767BE" w:rsidRDefault="000C2B3F" w:rsidP="000C2B3F"/>
    <w:p w14:paraId="013D71F4"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2D493C96" w14:textId="77777777" w:rsidR="00115CAE" w:rsidRPr="00F73803" w:rsidRDefault="00115CAE" w:rsidP="00115CAE">
      <w:pPr>
        <w:rPr>
          <w:rFonts w:eastAsiaTheme="minorHAnsi"/>
          <w:lang w:eastAsia="en-US"/>
        </w:rPr>
      </w:pPr>
    </w:p>
    <w:p w14:paraId="6DA62101" w14:textId="77777777" w:rsidR="00115CAE" w:rsidRDefault="00115CAE" w:rsidP="00115CAE">
      <w:pPr>
        <w:rPr>
          <w:rFonts w:eastAsiaTheme="majorEastAsia"/>
        </w:rPr>
      </w:pPr>
      <w:bookmarkStart w:id="4" w:name="_Toc399146163"/>
    </w:p>
    <w:p w14:paraId="194D18E4" w14:textId="77777777" w:rsidR="00115CAE" w:rsidRPr="004149AB" w:rsidRDefault="0095785A" w:rsidP="00115CAE">
      <w:pPr>
        <w:pStyle w:val="Heading1"/>
      </w:pPr>
      <w:bookmarkStart w:id="5" w:name="_Toc399921852"/>
      <w:bookmarkStart w:id="6" w:name="_Toc503515406"/>
      <w:r w:rsidRPr="0095785A">
        <w:t>Hawke’s Bay</w:t>
      </w:r>
      <w:r w:rsidR="00C75BA8">
        <w:t xml:space="preserve"> </w:t>
      </w:r>
      <w:r w:rsidR="00115CAE">
        <w:t>c</w:t>
      </w:r>
      <w:r w:rsidR="00115CAE" w:rsidRPr="004149AB">
        <w:t>overage</w:t>
      </w:r>
      <w:bookmarkEnd w:id="4"/>
      <w:bookmarkEnd w:id="5"/>
      <w:bookmarkEnd w:id="6"/>
    </w:p>
    <w:p w14:paraId="3DC0A5E4" w14:textId="77777777" w:rsidR="00115CAE" w:rsidRPr="00F7148E" w:rsidRDefault="0095785A" w:rsidP="00115CAE">
      <w:pPr>
        <w:pStyle w:val="Heading2"/>
      </w:pPr>
      <w:bookmarkStart w:id="7" w:name="_Toc399146164"/>
      <w:bookmarkStart w:id="8" w:name="_Toc399921853"/>
      <w:bookmarkStart w:id="9" w:name="_Toc503515407"/>
      <w:r w:rsidRPr="0095785A">
        <w:t>Hawke’s Bay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95785A">
        <w:t>31 December 2017</w:t>
      </w:r>
      <w:bookmarkEnd w:id="9"/>
    </w:p>
    <w:p w14:paraId="22A8E51C" w14:textId="77777777" w:rsidR="00115CAE" w:rsidRDefault="00BD3841" w:rsidP="00BD3841">
      <w:pPr>
        <w:pStyle w:val="Figure"/>
      </w:pPr>
      <w:bookmarkStart w:id="10" w:name="_Toc399497921"/>
      <w:bookmarkStart w:id="11" w:name="_Toc503515392"/>
      <w:r>
        <w:t xml:space="preserve">Figure </w:t>
      </w:r>
      <w:r w:rsidR="005A603C">
        <w:fldChar w:fldCharType="begin"/>
      </w:r>
      <w:r w:rsidR="005A603C">
        <w:instrText xml:space="preserve"> SEQ Figure \* ARABIC </w:instrText>
      </w:r>
      <w:r w:rsidR="005A603C">
        <w:fldChar w:fldCharType="separate"/>
      </w:r>
      <w:r w:rsidR="00C07CA3">
        <w:rPr>
          <w:noProof/>
        </w:rPr>
        <w:t>1</w:t>
      </w:r>
      <w:r w:rsidR="005A603C">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95785A" w:rsidRPr="0095785A">
        <w:t>31 December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446A2F60" w14:textId="77777777" w:rsidR="002D25D6" w:rsidRPr="002D25D6" w:rsidRDefault="0095785A" w:rsidP="002D25D6">
      <w:bookmarkStart w:id="12" w:name="figure_1"/>
      <w:bookmarkEnd w:id="12"/>
      <w:r>
        <w:rPr>
          <w:noProof/>
        </w:rPr>
        <w:drawing>
          <wp:inline distT="0" distB="0" distL="0" distR="0" wp14:anchorId="2B9BC220" wp14:editId="117318CC">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8A8454D" w14:textId="77777777" w:rsidR="00576B92" w:rsidRDefault="00576B92" w:rsidP="00F27C51">
      <w:bookmarkStart w:id="13" w:name="_Toc400365296"/>
    </w:p>
    <w:p w14:paraId="2A776321" w14:textId="77777777" w:rsidR="00115CAE" w:rsidRPr="004F701C" w:rsidRDefault="004F701C" w:rsidP="001802FB">
      <w:pPr>
        <w:pStyle w:val="Table"/>
        <w:rPr>
          <w:i/>
          <w:iCs/>
        </w:rPr>
      </w:pPr>
      <w:bookmarkStart w:id="14" w:name="_Toc503515400"/>
      <w:r w:rsidRPr="004F701C">
        <w:t xml:space="preserve">Table </w:t>
      </w:r>
      <w:r w:rsidR="005A603C">
        <w:fldChar w:fldCharType="begin"/>
      </w:r>
      <w:r w:rsidR="005A603C">
        <w:instrText xml:space="preserve"> SEQ Table \* ARABIC </w:instrText>
      </w:r>
      <w:r w:rsidR="005A603C">
        <w:fldChar w:fldCharType="separate"/>
      </w:r>
      <w:r w:rsidR="00C07CA3">
        <w:rPr>
          <w:noProof/>
        </w:rPr>
        <w:t>1</w:t>
      </w:r>
      <w:r w:rsidR="005A603C">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95785A" w:rsidRPr="0095785A">
        <w:t>31 December 2017</w:t>
      </w:r>
      <w:r w:rsidR="00115CAE" w:rsidRPr="004F701C">
        <w:t xml:space="preserve"> by ethnicity, women aged </w:t>
      </w:r>
      <w:r w:rsidR="004B6FD0" w:rsidRPr="004F701C">
        <w:t>50</w:t>
      </w:r>
      <w:r w:rsidR="00115CAE" w:rsidRPr="004F701C">
        <w:t xml:space="preserve">–69 years, </w:t>
      </w:r>
      <w:bookmarkEnd w:id="13"/>
      <w:r w:rsidR="00C75BA8" w:rsidRPr="004F701C">
        <w:t>Total Coverage</w:t>
      </w:r>
      <w:bookmarkEnd w:id="14"/>
    </w:p>
    <w:p w14:paraId="4122BFC1" w14:textId="77777777" w:rsidR="00E646CB" w:rsidRPr="00E646CB" w:rsidRDefault="0095785A" w:rsidP="00E646CB">
      <w:bookmarkStart w:id="15" w:name="table_1"/>
      <w:bookmarkEnd w:id="15"/>
      <w:r w:rsidRPr="0095785A">
        <w:rPr>
          <w:noProof/>
        </w:rPr>
        <w:drawing>
          <wp:inline distT="0" distB="0" distL="0" distR="0" wp14:anchorId="078B156B" wp14:editId="7DC14C09">
            <wp:extent cx="5819775" cy="1285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6D2335FD"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7ADB13CE" w14:textId="77777777" w:rsidR="00115CAE" w:rsidRDefault="00115CAE" w:rsidP="00115CAE">
      <w:pPr>
        <w:rPr>
          <w:sz w:val="16"/>
          <w:szCs w:val="16"/>
        </w:rPr>
      </w:pPr>
    </w:p>
    <w:p w14:paraId="4193D16D" w14:textId="77777777" w:rsidR="00BD3841" w:rsidRDefault="00BD3841">
      <w:pPr>
        <w:spacing w:after="200"/>
        <w:rPr>
          <w:rFonts w:cs="Times New Roman"/>
          <w:b/>
          <w:sz w:val="22"/>
        </w:rPr>
      </w:pPr>
      <w:r>
        <w:br w:type="page"/>
      </w:r>
    </w:p>
    <w:p w14:paraId="5ED62BB8" w14:textId="77777777" w:rsidR="00115CAE" w:rsidRDefault="0095785A" w:rsidP="00115CAE">
      <w:pPr>
        <w:pStyle w:val="Heading2"/>
      </w:pPr>
      <w:bookmarkStart w:id="16" w:name="_Toc399921854"/>
      <w:bookmarkStart w:id="17" w:name="_Toc503515408"/>
      <w:r w:rsidRPr="0095785A">
        <w:lastRenderedPageBreak/>
        <w:t>Hawke’s Bay</w:t>
      </w:r>
      <w:r w:rsidR="00F53E27" w:rsidRPr="00F53E27">
        <w:t xml:space="preserve"> </w:t>
      </w:r>
      <w:r w:rsidR="00115CAE">
        <w:t>coverage t</w:t>
      </w:r>
      <w:r w:rsidR="00115CAE" w:rsidRPr="001A7BE5">
        <w:t>rends</w:t>
      </w:r>
      <w:r w:rsidR="00115CAE">
        <w:t xml:space="preserve"> by ethnicity</w:t>
      </w:r>
      <w:bookmarkEnd w:id="16"/>
      <w:bookmarkEnd w:id="17"/>
    </w:p>
    <w:p w14:paraId="59582BFA" w14:textId="77777777" w:rsidR="00115CAE" w:rsidRPr="00BD3841" w:rsidRDefault="00BD3841" w:rsidP="00BD3841">
      <w:pPr>
        <w:pStyle w:val="Figure"/>
      </w:pPr>
      <w:bookmarkStart w:id="18" w:name="_Toc399497922"/>
      <w:bookmarkStart w:id="19" w:name="_Toc503515393"/>
      <w:r>
        <w:t xml:space="preserve">Figure </w:t>
      </w:r>
      <w:r w:rsidR="005A603C">
        <w:fldChar w:fldCharType="begin"/>
      </w:r>
      <w:r w:rsidR="005A603C">
        <w:instrText xml:space="preserve"> SEQ Figure \* ARABIC </w:instrText>
      </w:r>
      <w:r w:rsidR="005A603C">
        <w:fldChar w:fldCharType="separate"/>
      </w:r>
      <w:r w:rsidR="00C07CA3">
        <w:rPr>
          <w:noProof/>
        </w:rPr>
        <w:t>2</w:t>
      </w:r>
      <w:r w:rsidR="005A603C">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95785A" w:rsidRPr="0095785A">
        <w:t>31 December 2017</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269BF282" w14:textId="77777777" w:rsidR="005A05B2" w:rsidRDefault="0095785A" w:rsidP="00A206FE">
      <w:bookmarkStart w:id="20" w:name="figure_2"/>
      <w:bookmarkStart w:id="21" w:name="_Toc399921855"/>
      <w:bookmarkEnd w:id="20"/>
      <w:r>
        <w:rPr>
          <w:noProof/>
        </w:rPr>
        <w:drawing>
          <wp:inline distT="0" distB="0" distL="0" distR="0" wp14:anchorId="7B8EEEE0" wp14:editId="356F0016">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7B33327" w14:textId="77777777" w:rsidR="00A206FE" w:rsidRPr="004F701C" w:rsidRDefault="004F701C" w:rsidP="001802FB">
      <w:pPr>
        <w:pStyle w:val="Table"/>
        <w:rPr>
          <w:i/>
          <w:iCs/>
        </w:rPr>
      </w:pPr>
      <w:bookmarkStart w:id="22" w:name="_Toc503515401"/>
      <w:r w:rsidRPr="004F701C">
        <w:t>Table</w:t>
      </w:r>
      <w:r w:rsidR="00622075">
        <w:t xml:space="preserve"> 2</w:t>
      </w:r>
      <w:r w:rsidRPr="004F701C">
        <w:t xml:space="preserve">: </w:t>
      </w:r>
      <w:r w:rsidR="00A206FE" w:rsidRPr="004F701C">
        <w:t xml:space="preserve">BSA number of screens in women aged 50–69 years by ethnicity and quarter, Quarter </w:t>
      </w:r>
      <w:r w:rsidR="006A46DF">
        <w:t>4</w:t>
      </w:r>
      <w:r w:rsidR="00A206FE" w:rsidRPr="004F701C">
        <w:t xml:space="preserve"> 2016 –Quarter </w:t>
      </w:r>
      <w:r w:rsidR="006A46DF">
        <w:t>4</w:t>
      </w:r>
      <w:r w:rsidR="00A206FE" w:rsidRPr="004F701C">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008FEEB2"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BE3569" w14:textId="77777777"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5C13D99B" w14:textId="77777777"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C07CA3" w14:paraId="23AA2703" w14:textId="77777777" w:rsidTr="001F3E31">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2CC4DEE8" w14:textId="77777777" w:rsidR="00C07CA3" w:rsidRDefault="00C07CA3" w:rsidP="00C07CA3">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4" w:space="0" w:color="auto"/>
            </w:tcBorders>
            <w:shd w:val="clear" w:color="000000" w:fill="D9D9D9"/>
            <w:vAlign w:val="center"/>
          </w:tcPr>
          <w:p w14:paraId="17A8459F" w14:textId="77777777" w:rsidR="00C07CA3" w:rsidRDefault="00C07CA3" w:rsidP="00C07CA3">
            <w:pPr>
              <w:jc w:val="right"/>
              <w:rPr>
                <w:rFonts w:ascii="Arial" w:eastAsia="Times New Roman"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2D83B3DA" w14:textId="77777777" w:rsidR="00C07CA3" w:rsidRDefault="00C07CA3" w:rsidP="00C07CA3">
            <w:pPr>
              <w:jc w:val="right"/>
              <w:rPr>
                <w:rFonts w:ascii="Arial" w:hAnsi="Arial" w:cs="Arial"/>
                <w:b/>
                <w:bCs/>
                <w:color w:val="000000"/>
                <w:sz w:val="18"/>
                <w:szCs w:val="18"/>
              </w:rPr>
            </w:pPr>
            <w:r>
              <w:rPr>
                <w:rFonts w:ascii="Arial" w:hAnsi="Arial" w:cs="Arial"/>
                <w:b/>
                <w:bCs/>
                <w:color w:val="000000"/>
                <w:sz w:val="18"/>
                <w:szCs w:val="18"/>
              </w:rPr>
              <w:t>Q1 (Jan-Mar) 2017</w:t>
            </w:r>
          </w:p>
        </w:tc>
        <w:tc>
          <w:tcPr>
            <w:tcW w:w="1503" w:type="dxa"/>
            <w:tcBorders>
              <w:top w:val="single" w:sz="8" w:space="0" w:color="auto"/>
              <w:left w:val="nil"/>
              <w:bottom w:val="single" w:sz="8" w:space="0" w:color="auto"/>
              <w:right w:val="single" w:sz="4" w:space="0" w:color="auto"/>
            </w:tcBorders>
            <w:shd w:val="clear" w:color="000000" w:fill="D9D9D9"/>
            <w:vAlign w:val="center"/>
          </w:tcPr>
          <w:p w14:paraId="30976E2D" w14:textId="77777777" w:rsidR="00C07CA3" w:rsidRDefault="00C07CA3" w:rsidP="00C07CA3">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3C6A8A7A" w14:textId="77777777" w:rsidR="00C07CA3" w:rsidRDefault="00C07CA3" w:rsidP="00C07CA3">
            <w:pPr>
              <w:jc w:val="right"/>
              <w:rPr>
                <w:rFonts w:ascii="Arial" w:hAnsi="Arial" w:cs="Arial"/>
                <w:b/>
                <w:bCs/>
                <w:color w:val="000000"/>
                <w:sz w:val="18"/>
                <w:szCs w:val="18"/>
              </w:rPr>
            </w:pPr>
            <w:r>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auto" w:fill="D9D9D9"/>
            <w:vAlign w:val="center"/>
          </w:tcPr>
          <w:p w14:paraId="5E4F4F82" w14:textId="77777777" w:rsidR="00C07CA3" w:rsidRDefault="00C07CA3" w:rsidP="00C07CA3">
            <w:pPr>
              <w:jc w:val="right"/>
              <w:rPr>
                <w:rFonts w:ascii="Arial" w:hAnsi="Arial" w:cs="Arial"/>
                <w:b/>
                <w:bCs/>
                <w:color w:val="000000"/>
                <w:sz w:val="18"/>
                <w:szCs w:val="18"/>
                <w:lang w:eastAsia="en-US"/>
              </w:rPr>
            </w:pPr>
            <w:r>
              <w:rPr>
                <w:rFonts w:ascii="Arial" w:hAnsi="Arial" w:cs="Arial"/>
                <w:b/>
                <w:bCs/>
                <w:color w:val="000000"/>
                <w:sz w:val="18"/>
                <w:szCs w:val="18"/>
                <w:lang w:eastAsia="en-US"/>
              </w:rPr>
              <w:t>Q4 (Oct - Dec) 2017</w:t>
            </w:r>
          </w:p>
        </w:tc>
      </w:tr>
      <w:tr w:rsidR="00620968" w14:paraId="192CEEEA" w14:textId="77777777" w:rsidTr="001D0C3F">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51A7706F" w14:textId="77777777" w:rsidR="00620968" w:rsidRDefault="00620968" w:rsidP="00620968">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1F914411" w14:textId="77777777" w:rsidR="00620968" w:rsidRDefault="00620968" w:rsidP="00620968">
            <w:pPr>
              <w:jc w:val="right"/>
              <w:rPr>
                <w:rFonts w:ascii="Arial" w:eastAsia="Times New Roman" w:hAnsi="Arial" w:cs="Arial"/>
                <w:sz w:val="18"/>
                <w:szCs w:val="18"/>
              </w:rPr>
            </w:pPr>
            <w:r>
              <w:rPr>
                <w:rFonts w:ascii="Arial" w:hAnsi="Arial" w:cs="Arial"/>
                <w:sz w:val="18"/>
                <w:szCs w:val="18"/>
              </w:rPr>
              <w:t>256</w:t>
            </w:r>
          </w:p>
        </w:tc>
        <w:tc>
          <w:tcPr>
            <w:tcW w:w="1504" w:type="dxa"/>
            <w:tcBorders>
              <w:top w:val="nil"/>
              <w:left w:val="nil"/>
              <w:bottom w:val="single" w:sz="4" w:space="0" w:color="D9D9D9"/>
              <w:right w:val="single" w:sz="4" w:space="0" w:color="auto"/>
            </w:tcBorders>
            <w:shd w:val="clear" w:color="auto" w:fill="auto"/>
            <w:noWrap/>
            <w:vAlign w:val="center"/>
          </w:tcPr>
          <w:p w14:paraId="22ED0FAD" w14:textId="77777777" w:rsidR="00620968" w:rsidRDefault="00620968" w:rsidP="00620968">
            <w:pPr>
              <w:jc w:val="right"/>
              <w:rPr>
                <w:rFonts w:ascii="Arial" w:hAnsi="Arial" w:cs="Arial"/>
                <w:sz w:val="18"/>
                <w:szCs w:val="18"/>
              </w:rPr>
            </w:pPr>
            <w:r>
              <w:rPr>
                <w:rFonts w:ascii="Arial" w:hAnsi="Arial" w:cs="Arial"/>
                <w:sz w:val="18"/>
                <w:szCs w:val="18"/>
              </w:rPr>
              <w:t>376</w:t>
            </w:r>
          </w:p>
        </w:tc>
        <w:tc>
          <w:tcPr>
            <w:tcW w:w="1503" w:type="dxa"/>
            <w:tcBorders>
              <w:top w:val="nil"/>
              <w:left w:val="nil"/>
              <w:bottom w:val="single" w:sz="4" w:space="0" w:color="D9D9D9"/>
              <w:right w:val="single" w:sz="4" w:space="0" w:color="auto"/>
            </w:tcBorders>
            <w:shd w:val="clear" w:color="auto" w:fill="auto"/>
            <w:noWrap/>
            <w:vAlign w:val="center"/>
          </w:tcPr>
          <w:p w14:paraId="7B7F2EF8" w14:textId="77777777" w:rsidR="00620968" w:rsidRDefault="00620968" w:rsidP="00620968">
            <w:pPr>
              <w:jc w:val="right"/>
              <w:rPr>
                <w:rFonts w:ascii="Arial" w:hAnsi="Arial" w:cs="Arial"/>
                <w:sz w:val="18"/>
                <w:szCs w:val="18"/>
              </w:rPr>
            </w:pPr>
            <w:r>
              <w:rPr>
                <w:rFonts w:ascii="Arial" w:hAnsi="Arial" w:cs="Arial"/>
                <w:sz w:val="18"/>
                <w:szCs w:val="18"/>
              </w:rPr>
              <w:t>441</w:t>
            </w:r>
          </w:p>
        </w:tc>
        <w:tc>
          <w:tcPr>
            <w:tcW w:w="1504" w:type="dxa"/>
            <w:tcBorders>
              <w:top w:val="nil"/>
              <w:left w:val="nil"/>
              <w:bottom w:val="nil"/>
              <w:right w:val="single" w:sz="8" w:space="0" w:color="auto"/>
            </w:tcBorders>
            <w:shd w:val="clear" w:color="auto" w:fill="auto"/>
            <w:noWrap/>
            <w:vAlign w:val="bottom"/>
          </w:tcPr>
          <w:p w14:paraId="5939D91A" w14:textId="77777777" w:rsidR="00620968" w:rsidRDefault="00620968" w:rsidP="00620968">
            <w:pPr>
              <w:jc w:val="right"/>
              <w:rPr>
                <w:rFonts w:ascii="Arial" w:hAnsi="Arial" w:cs="Arial"/>
                <w:color w:val="000000"/>
                <w:sz w:val="20"/>
                <w:szCs w:val="20"/>
              </w:rPr>
            </w:pPr>
            <w:r>
              <w:rPr>
                <w:rFonts w:ascii="Arial" w:hAnsi="Arial" w:cs="Arial"/>
                <w:color w:val="000000"/>
                <w:sz w:val="20"/>
                <w:szCs w:val="20"/>
              </w:rPr>
              <w:t>256</w:t>
            </w:r>
          </w:p>
        </w:tc>
        <w:tc>
          <w:tcPr>
            <w:tcW w:w="1504" w:type="dxa"/>
            <w:tcBorders>
              <w:top w:val="nil"/>
              <w:left w:val="single" w:sz="4" w:space="0" w:color="auto"/>
              <w:bottom w:val="single" w:sz="4" w:space="0" w:color="D9D9D9"/>
              <w:right w:val="single" w:sz="8" w:space="0" w:color="auto"/>
            </w:tcBorders>
            <w:shd w:val="clear" w:color="auto" w:fill="auto"/>
            <w:vAlign w:val="center"/>
          </w:tcPr>
          <w:p w14:paraId="1B4AA1C6" w14:textId="77777777" w:rsidR="00620968" w:rsidRDefault="00620968" w:rsidP="00620968">
            <w:pPr>
              <w:jc w:val="right"/>
              <w:rPr>
                <w:rFonts w:ascii="Arial" w:hAnsi="Arial" w:cs="Arial"/>
                <w:sz w:val="18"/>
                <w:szCs w:val="18"/>
              </w:rPr>
            </w:pPr>
            <w:r>
              <w:rPr>
                <w:rFonts w:ascii="Arial" w:hAnsi="Arial" w:cs="Arial"/>
                <w:sz w:val="18"/>
                <w:szCs w:val="18"/>
              </w:rPr>
              <w:t>233</w:t>
            </w:r>
          </w:p>
        </w:tc>
      </w:tr>
      <w:tr w:rsidR="00620968" w14:paraId="0AC231F2" w14:textId="77777777" w:rsidTr="001D0C3F">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6BD65382" w14:textId="77777777" w:rsidR="00620968" w:rsidRDefault="00620968" w:rsidP="00620968">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184E8D87" w14:textId="77777777" w:rsidR="00620968" w:rsidRDefault="00620968" w:rsidP="00620968">
            <w:pPr>
              <w:jc w:val="right"/>
              <w:rPr>
                <w:rFonts w:ascii="Arial" w:hAnsi="Arial" w:cs="Arial"/>
                <w:sz w:val="18"/>
                <w:szCs w:val="18"/>
              </w:rPr>
            </w:pPr>
            <w:r>
              <w:rPr>
                <w:rFonts w:ascii="Arial" w:hAnsi="Arial" w:cs="Arial"/>
                <w:sz w:val="18"/>
                <w:szCs w:val="18"/>
              </w:rPr>
              <w:t>34</w:t>
            </w:r>
          </w:p>
        </w:tc>
        <w:tc>
          <w:tcPr>
            <w:tcW w:w="1504" w:type="dxa"/>
            <w:tcBorders>
              <w:top w:val="nil"/>
              <w:left w:val="nil"/>
              <w:bottom w:val="single" w:sz="4" w:space="0" w:color="D9D9D9"/>
              <w:right w:val="single" w:sz="4" w:space="0" w:color="auto"/>
            </w:tcBorders>
            <w:shd w:val="clear" w:color="auto" w:fill="auto"/>
            <w:noWrap/>
            <w:vAlign w:val="center"/>
          </w:tcPr>
          <w:p w14:paraId="18982BB8" w14:textId="77777777" w:rsidR="00620968" w:rsidRDefault="00620968" w:rsidP="00620968">
            <w:pPr>
              <w:jc w:val="right"/>
              <w:rPr>
                <w:rFonts w:ascii="Arial" w:hAnsi="Arial" w:cs="Arial"/>
                <w:sz w:val="18"/>
                <w:szCs w:val="18"/>
              </w:rPr>
            </w:pPr>
            <w:r>
              <w:rPr>
                <w:rFonts w:ascii="Arial" w:hAnsi="Arial" w:cs="Arial"/>
                <w:sz w:val="18"/>
                <w:szCs w:val="18"/>
              </w:rPr>
              <w:t>25</w:t>
            </w:r>
          </w:p>
        </w:tc>
        <w:tc>
          <w:tcPr>
            <w:tcW w:w="1503" w:type="dxa"/>
            <w:tcBorders>
              <w:top w:val="nil"/>
              <w:left w:val="nil"/>
              <w:bottom w:val="single" w:sz="4" w:space="0" w:color="D9D9D9"/>
              <w:right w:val="single" w:sz="4" w:space="0" w:color="auto"/>
            </w:tcBorders>
            <w:shd w:val="clear" w:color="auto" w:fill="auto"/>
            <w:noWrap/>
            <w:vAlign w:val="center"/>
          </w:tcPr>
          <w:p w14:paraId="20D1E3C0" w14:textId="77777777" w:rsidR="00620968" w:rsidRDefault="00620968" w:rsidP="00620968">
            <w:pPr>
              <w:jc w:val="right"/>
              <w:rPr>
                <w:rFonts w:ascii="Arial" w:hAnsi="Arial" w:cs="Arial"/>
                <w:sz w:val="18"/>
                <w:szCs w:val="18"/>
              </w:rPr>
            </w:pPr>
            <w:r>
              <w:rPr>
                <w:rFonts w:ascii="Arial" w:hAnsi="Arial" w:cs="Arial"/>
                <w:sz w:val="18"/>
                <w:szCs w:val="18"/>
              </w:rPr>
              <w:t>38</w:t>
            </w:r>
          </w:p>
        </w:tc>
        <w:tc>
          <w:tcPr>
            <w:tcW w:w="1504" w:type="dxa"/>
            <w:tcBorders>
              <w:top w:val="nil"/>
              <w:left w:val="nil"/>
              <w:bottom w:val="nil"/>
              <w:right w:val="single" w:sz="8" w:space="0" w:color="auto"/>
            </w:tcBorders>
            <w:shd w:val="clear" w:color="auto" w:fill="auto"/>
            <w:noWrap/>
            <w:vAlign w:val="bottom"/>
          </w:tcPr>
          <w:p w14:paraId="2F1AEF2E" w14:textId="77777777" w:rsidR="00620968" w:rsidRDefault="00620968" w:rsidP="00620968">
            <w:pPr>
              <w:jc w:val="right"/>
              <w:rPr>
                <w:rFonts w:ascii="Arial" w:hAnsi="Arial" w:cs="Arial"/>
                <w:color w:val="000000"/>
                <w:sz w:val="20"/>
                <w:szCs w:val="20"/>
              </w:rPr>
            </w:pPr>
            <w:r>
              <w:rPr>
                <w:rFonts w:ascii="Arial" w:hAnsi="Arial" w:cs="Arial"/>
                <w:color w:val="000000"/>
                <w:sz w:val="20"/>
                <w:szCs w:val="20"/>
              </w:rPr>
              <w:t>31</w:t>
            </w:r>
          </w:p>
        </w:tc>
        <w:tc>
          <w:tcPr>
            <w:tcW w:w="1504" w:type="dxa"/>
            <w:tcBorders>
              <w:top w:val="nil"/>
              <w:left w:val="single" w:sz="4" w:space="0" w:color="auto"/>
              <w:bottom w:val="single" w:sz="4" w:space="0" w:color="D9D9D9"/>
              <w:right w:val="single" w:sz="8" w:space="0" w:color="auto"/>
            </w:tcBorders>
            <w:shd w:val="clear" w:color="auto" w:fill="auto"/>
            <w:vAlign w:val="center"/>
          </w:tcPr>
          <w:p w14:paraId="3756748E" w14:textId="77777777" w:rsidR="00620968" w:rsidRDefault="00620968" w:rsidP="00620968">
            <w:pPr>
              <w:jc w:val="right"/>
              <w:rPr>
                <w:rFonts w:ascii="Arial" w:hAnsi="Arial" w:cs="Arial"/>
                <w:sz w:val="18"/>
                <w:szCs w:val="18"/>
              </w:rPr>
            </w:pPr>
            <w:r>
              <w:rPr>
                <w:rFonts w:ascii="Arial" w:hAnsi="Arial" w:cs="Arial"/>
                <w:sz w:val="18"/>
                <w:szCs w:val="18"/>
              </w:rPr>
              <w:t>26</w:t>
            </w:r>
          </w:p>
        </w:tc>
      </w:tr>
      <w:tr w:rsidR="00620968" w14:paraId="1EE6A216" w14:textId="77777777" w:rsidTr="001D0C3F">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5702D9E5" w14:textId="77777777" w:rsidR="00620968" w:rsidRDefault="00620968" w:rsidP="00620968">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14:paraId="236DFCE3" w14:textId="77777777" w:rsidR="00620968" w:rsidRDefault="00620968" w:rsidP="00620968">
            <w:pPr>
              <w:jc w:val="right"/>
              <w:rPr>
                <w:rFonts w:ascii="Arial" w:hAnsi="Arial" w:cs="Arial"/>
                <w:sz w:val="18"/>
                <w:szCs w:val="18"/>
              </w:rPr>
            </w:pPr>
            <w:r>
              <w:rPr>
                <w:rFonts w:ascii="Arial" w:hAnsi="Arial" w:cs="Arial"/>
                <w:sz w:val="18"/>
                <w:szCs w:val="18"/>
              </w:rPr>
              <w:t>1,690</w:t>
            </w:r>
          </w:p>
        </w:tc>
        <w:tc>
          <w:tcPr>
            <w:tcW w:w="1504" w:type="dxa"/>
            <w:tcBorders>
              <w:top w:val="nil"/>
              <w:left w:val="nil"/>
              <w:bottom w:val="nil"/>
              <w:right w:val="single" w:sz="4" w:space="0" w:color="auto"/>
            </w:tcBorders>
            <w:shd w:val="clear" w:color="auto" w:fill="auto"/>
            <w:noWrap/>
            <w:vAlign w:val="center"/>
          </w:tcPr>
          <w:p w14:paraId="4D8B4A02" w14:textId="77777777" w:rsidR="00620968" w:rsidRDefault="00620968" w:rsidP="00620968">
            <w:pPr>
              <w:jc w:val="right"/>
              <w:rPr>
                <w:rFonts w:ascii="Arial" w:hAnsi="Arial" w:cs="Arial"/>
                <w:sz w:val="18"/>
                <w:szCs w:val="18"/>
              </w:rPr>
            </w:pPr>
            <w:r>
              <w:rPr>
                <w:rFonts w:ascii="Arial" w:hAnsi="Arial" w:cs="Arial"/>
                <w:sz w:val="18"/>
                <w:szCs w:val="18"/>
              </w:rPr>
              <w:t>1,872</w:t>
            </w:r>
          </w:p>
        </w:tc>
        <w:tc>
          <w:tcPr>
            <w:tcW w:w="1503" w:type="dxa"/>
            <w:tcBorders>
              <w:top w:val="nil"/>
              <w:left w:val="nil"/>
              <w:bottom w:val="nil"/>
              <w:right w:val="single" w:sz="4" w:space="0" w:color="auto"/>
            </w:tcBorders>
            <w:shd w:val="clear" w:color="auto" w:fill="auto"/>
            <w:noWrap/>
            <w:vAlign w:val="center"/>
          </w:tcPr>
          <w:p w14:paraId="73A31BBF" w14:textId="77777777" w:rsidR="00620968" w:rsidRDefault="00620968" w:rsidP="00620968">
            <w:pPr>
              <w:jc w:val="right"/>
              <w:rPr>
                <w:rFonts w:ascii="Arial" w:hAnsi="Arial" w:cs="Arial"/>
                <w:sz w:val="18"/>
                <w:szCs w:val="18"/>
              </w:rPr>
            </w:pPr>
            <w:r>
              <w:rPr>
                <w:rFonts w:ascii="Arial" w:hAnsi="Arial" w:cs="Arial"/>
                <w:sz w:val="18"/>
                <w:szCs w:val="18"/>
              </w:rPr>
              <w:t>1,594</w:t>
            </w:r>
          </w:p>
        </w:tc>
        <w:tc>
          <w:tcPr>
            <w:tcW w:w="1504" w:type="dxa"/>
            <w:tcBorders>
              <w:top w:val="nil"/>
              <w:left w:val="nil"/>
              <w:bottom w:val="nil"/>
              <w:right w:val="single" w:sz="8" w:space="0" w:color="auto"/>
            </w:tcBorders>
            <w:shd w:val="clear" w:color="auto" w:fill="auto"/>
            <w:noWrap/>
            <w:vAlign w:val="bottom"/>
          </w:tcPr>
          <w:p w14:paraId="536C533D" w14:textId="77777777" w:rsidR="00620968" w:rsidRDefault="00620968" w:rsidP="00620968">
            <w:pPr>
              <w:jc w:val="right"/>
              <w:rPr>
                <w:rFonts w:ascii="Arial" w:hAnsi="Arial" w:cs="Arial"/>
                <w:color w:val="000000"/>
                <w:sz w:val="20"/>
                <w:szCs w:val="20"/>
              </w:rPr>
            </w:pPr>
            <w:r>
              <w:rPr>
                <w:rFonts w:ascii="Arial" w:hAnsi="Arial" w:cs="Arial"/>
                <w:color w:val="000000"/>
                <w:sz w:val="20"/>
                <w:szCs w:val="20"/>
              </w:rPr>
              <w:t>1,584</w:t>
            </w:r>
          </w:p>
        </w:tc>
        <w:tc>
          <w:tcPr>
            <w:tcW w:w="1504" w:type="dxa"/>
            <w:tcBorders>
              <w:top w:val="nil"/>
              <w:left w:val="single" w:sz="4" w:space="0" w:color="auto"/>
              <w:bottom w:val="single" w:sz="4" w:space="0" w:color="D9D9D9"/>
              <w:right w:val="single" w:sz="8" w:space="0" w:color="auto"/>
            </w:tcBorders>
            <w:shd w:val="clear" w:color="auto" w:fill="auto"/>
            <w:vAlign w:val="center"/>
          </w:tcPr>
          <w:p w14:paraId="7DC237E1" w14:textId="77777777" w:rsidR="00620968" w:rsidRDefault="00620968" w:rsidP="00620968">
            <w:pPr>
              <w:jc w:val="right"/>
              <w:rPr>
                <w:rFonts w:ascii="Arial" w:hAnsi="Arial" w:cs="Arial"/>
                <w:sz w:val="18"/>
                <w:szCs w:val="18"/>
              </w:rPr>
            </w:pPr>
            <w:r>
              <w:rPr>
                <w:rFonts w:ascii="Arial" w:hAnsi="Arial" w:cs="Arial"/>
                <w:sz w:val="18"/>
                <w:szCs w:val="18"/>
              </w:rPr>
              <w:t>1,434</w:t>
            </w:r>
          </w:p>
        </w:tc>
      </w:tr>
      <w:tr w:rsidR="00620968" w14:paraId="22F7BECA" w14:textId="77777777" w:rsidTr="001D0C3F">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10E4D679" w14:textId="77777777" w:rsidR="00620968" w:rsidRDefault="00620968" w:rsidP="00620968">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604A771" w14:textId="77777777" w:rsidR="00620968" w:rsidRDefault="00620968" w:rsidP="00620968">
            <w:pPr>
              <w:jc w:val="right"/>
              <w:rPr>
                <w:rFonts w:ascii="Arial" w:hAnsi="Arial" w:cs="Arial"/>
                <w:b/>
                <w:bCs/>
                <w:sz w:val="18"/>
                <w:szCs w:val="18"/>
              </w:rPr>
            </w:pPr>
            <w:r>
              <w:rPr>
                <w:rFonts w:ascii="Arial" w:hAnsi="Arial" w:cs="Arial"/>
                <w:b/>
                <w:bCs/>
                <w:sz w:val="18"/>
                <w:szCs w:val="18"/>
              </w:rPr>
              <w:t>1,980</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6B985877" w14:textId="77777777" w:rsidR="00620968" w:rsidRDefault="00620968" w:rsidP="00620968">
            <w:pPr>
              <w:jc w:val="right"/>
              <w:rPr>
                <w:rFonts w:ascii="Arial" w:hAnsi="Arial" w:cs="Arial"/>
                <w:b/>
                <w:bCs/>
                <w:sz w:val="18"/>
                <w:szCs w:val="18"/>
              </w:rPr>
            </w:pPr>
            <w:r>
              <w:rPr>
                <w:rFonts w:ascii="Arial" w:hAnsi="Arial" w:cs="Arial"/>
                <w:b/>
                <w:bCs/>
                <w:sz w:val="18"/>
                <w:szCs w:val="18"/>
              </w:rPr>
              <w:t>2,273</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4E86B2D5" w14:textId="77777777" w:rsidR="00620968" w:rsidRDefault="00620968" w:rsidP="00620968">
            <w:pPr>
              <w:jc w:val="right"/>
              <w:rPr>
                <w:rFonts w:ascii="Arial" w:hAnsi="Arial" w:cs="Arial"/>
                <w:b/>
                <w:bCs/>
                <w:sz w:val="18"/>
                <w:szCs w:val="18"/>
              </w:rPr>
            </w:pPr>
            <w:r>
              <w:rPr>
                <w:rFonts w:ascii="Arial" w:hAnsi="Arial" w:cs="Arial"/>
                <w:b/>
                <w:bCs/>
                <w:sz w:val="18"/>
                <w:szCs w:val="18"/>
              </w:rPr>
              <w:t>2,073</w:t>
            </w:r>
          </w:p>
        </w:tc>
        <w:tc>
          <w:tcPr>
            <w:tcW w:w="1504" w:type="dxa"/>
            <w:tcBorders>
              <w:top w:val="single" w:sz="4" w:space="0" w:color="auto"/>
              <w:left w:val="nil"/>
              <w:bottom w:val="single" w:sz="8" w:space="0" w:color="auto"/>
              <w:right w:val="single" w:sz="8" w:space="0" w:color="auto"/>
            </w:tcBorders>
            <w:shd w:val="clear" w:color="auto" w:fill="auto"/>
            <w:noWrap/>
            <w:vAlign w:val="center"/>
          </w:tcPr>
          <w:p w14:paraId="20877AE9" w14:textId="77777777" w:rsidR="00620968" w:rsidRDefault="00620968" w:rsidP="00620968">
            <w:pPr>
              <w:jc w:val="right"/>
              <w:rPr>
                <w:rFonts w:ascii="Arial" w:hAnsi="Arial" w:cs="Arial"/>
                <w:b/>
                <w:bCs/>
                <w:sz w:val="18"/>
                <w:szCs w:val="18"/>
              </w:rPr>
            </w:pPr>
            <w:r>
              <w:rPr>
                <w:rFonts w:ascii="Arial" w:hAnsi="Arial" w:cs="Arial"/>
                <w:b/>
                <w:bCs/>
                <w:sz w:val="18"/>
                <w:szCs w:val="18"/>
              </w:rPr>
              <w:t>1,871</w:t>
            </w:r>
          </w:p>
        </w:tc>
        <w:tc>
          <w:tcPr>
            <w:tcW w:w="1504" w:type="dxa"/>
            <w:tcBorders>
              <w:top w:val="single" w:sz="4" w:space="0" w:color="auto"/>
              <w:left w:val="single" w:sz="4" w:space="0" w:color="auto"/>
              <w:bottom w:val="single" w:sz="8" w:space="0" w:color="auto"/>
              <w:right w:val="single" w:sz="8" w:space="0" w:color="auto"/>
            </w:tcBorders>
            <w:shd w:val="clear" w:color="auto" w:fill="auto"/>
            <w:vAlign w:val="center"/>
          </w:tcPr>
          <w:p w14:paraId="0882F4D8" w14:textId="77777777" w:rsidR="00620968" w:rsidRDefault="00620968" w:rsidP="00620968">
            <w:pPr>
              <w:jc w:val="right"/>
              <w:rPr>
                <w:rFonts w:ascii="Arial" w:hAnsi="Arial" w:cs="Arial"/>
                <w:b/>
                <w:bCs/>
                <w:sz w:val="18"/>
                <w:szCs w:val="18"/>
              </w:rPr>
            </w:pPr>
            <w:r>
              <w:rPr>
                <w:rFonts w:ascii="Arial" w:hAnsi="Arial" w:cs="Arial"/>
                <w:b/>
                <w:bCs/>
                <w:sz w:val="18"/>
                <w:szCs w:val="18"/>
              </w:rPr>
              <w:t>1,693</w:t>
            </w:r>
          </w:p>
        </w:tc>
      </w:tr>
    </w:tbl>
    <w:p w14:paraId="155F0754" w14:textId="77777777" w:rsidR="00EE282A" w:rsidRPr="00EE282A" w:rsidRDefault="00EE282A" w:rsidP="00EE282A"/>
    <w:p w14:paraId="79A8E0FA" w14:textId="77777777" w:rsidR="00206DBB" w:rsidRPr="00206DBB" w:rsidRDefault="00206DBB" w:rsidP="00206DBB"/>
    <w:p w14:paraId="5ECBD140" w14:textId="77777777" w:rsidR="00A206FE" w:rsidRPr="00A206FE" w:rsidRDefault="00A206FE" w:rsidP="00A206FE"/>
    <w:p w14:paraId="4C277CF6" w14:textId="77777777" w:rsidR="00620968" w:rsidRDefault="00620968">
      <w:pPr>
        <w:spacing w:after="200"/>
        <w:rPr>
          <w:rFonts w:eastAsiaTheme="majorEastAsia" w:cstheme="majorBidi"/>
          <w:b/>
          <w:bCs/>
          <w:sz w:val="36"/>
          <w:szCs w:val="28"/>
        </w:rPr>
      </w:pPr>
      <w:bookmarkStart w:id="23" w:name="_Toc503515409"/>
      <w:r>
        <w:br w:type="page"/>
      </w:r>
    </w:p>
    <w:p w14:paraId="21F1B4BF" w14:textId="77777777" w:rsidR="00F66CD2" w:rsidRDefault="00115CAE" w:rsidP="00F66CD2">
      <w:pPr>
        <w:pStyle w:val="Heading1"/>
      </w:pPr>
      <w:r w:rsidRPr="00C90A46">
        <w:lastRenderedPageBreak/>
        <w:t>DHB coverage comparisons</w:t>
      </w:r>
      <w:bookmarkStart w:id="24" w:name="_Toc399850104"/>
      <w:bookmarkStart w:id="25" w:name="_Toc399921856"/>
      <w:bookmarkEnd w:id="21"/>
      <w:bookmarkEnd w:id="23"/>
    </w:p>
    <w:p w14:paraId="50AFD2E3" w14:textId="77777777" w:rsidR="00F66CD2" w:rsidRDefault="00F66CD2" w:rsidP="00F66CD2">
      <w:pPr>
        <w:pStyle w:val="Heading2"/>
      </w:pPr>
      <w:bookmarkStart w:id="26" w:name="_Toc503515410"/>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95785A" w:rsidRPr="0095785A">
        <w:t>31 December 2017</w:t>
      </w:r>
      <w:bookmarkEnd w:id="26"/>
    </w:p>
    <w:p w14:paraId="043A1D98" w14:textId="77777777" w:rsidR="00F66CD2" w:rsidRDefault="00FE0172" w:rsidP="002B0ED8">
      <w:pPr>
        <w:pStyle w:val="Figure"/>
      </w:pPr>
      <w:bookmarkStart w:id="27" w:name="_Toc399497923"/>
      <w:bookmarkStart w:id="28" w:name="_Toc503515394"/>
      <w:r>
        <w:t xml:space="preserve">Figure </w:t>
      </w:r>
      <w:r w:rsidR="005A603C">
        <w:fldChar w:fldCharType="begin"/>
      </w:r>
      <w:r w:rsidR="005A603C">
        <w:instrText xml:space="preserve"> SEQ Figure \* ARABIC </w:instrText>
      </w:r>
      <w:r w:rsidR="005A603C">
        <w:fldChar w:fldCharType="separate"/>
      </w:r>
      <w:r w:rsidR="00C07CA3">
        <w:rPr>
          <w:noProof/>
        </w:rPr>
        <w:t>3</w:t>
      </w:r>
      <w:r w:rsidR="005A603C">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95785A" w:rsidRPr="0095785A">
        <w:t>31 December 2017</w:t>
      </w:r>
      <w:r w:rsidR="00F66CD2">
        <w:t xml:space="preserve"> </w:t>
      </w:r>
      <w:r w:rsidR="00F66CD2" w:rsidRPr="00F17732">
        <w:t xml:space="preserve">by </w:t>
      </w:r>
      <w:r w:rsidR="00F66CD2">
        <w:t>District Health Board</w:t>
      </w:r>
      <w:bookmarkEnd w:id="27"/>
      <w:bookmarkEnd w:id="28"/>
    </w:p>
    <w:p w14:paraId="448DFC80" w14:textId="77777777" w:rsidR="00D83F91" w:rsidRPr="00D83F91" w:rsidRDefault="0095785A" w:rsidP="00D83F91">
      <w:bookmarkStart w:id="29" w:name="figure_3"/>
      <w:bookmarkEnd w:id="24"/>
      <w:bookmarkEnd w:id="25"/>
      <w:bookmarkEnd w:id="29"/>
      <w:r>
        <w:rPr>
          <w:noProof/>
        </w:rPr>
        <w:drawing>
          <wp:inline distT="0" distB="0" distL="0" distR="0" wp14:anchorId="7E631771" wp14:editId="3A8746E2">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61CA1C1" w14:textId="77777777" w:rsidR="00115CAE" w:rsidRDefault="00FA21EF" w:rsidP="00BF27D3">
      <w:pPr>
        <w:pStyle w:val="Figure"/>
      </w:pPr>
      <w:bookmarkStart w:id="30" w:name="_Toc399497924"/>
      <w:bookmarkStart w:id="31" w:name="_Toc503515395"/>
      <w:r>
        <w:t xml:space="preserve">Figure </w:t>
      </w:r>
      <w:r w:rsidR="005A603C">
        <w:fldChar w:fldCharType="begin"/>
      </w:r>
      <w:r w:rsidR="005A603C">
        <w:instrText xml:space="preserve"> SEQ Figure \* ARABIC </w:instrText>
      </w:r>
      <w:r w:rsidR="005A603C">
        <w:fldChar w:fldCharType="separate"/>
      </w:r>
      <w:r w:rsidR="00C07CA3">
        <w:rPr>
          <w:noProof/>
        </w:rPr>
        <w:t>4</w:t>
      </w:r>
      <w:r w:rsidR="005A603C">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95785A" w:rsidRPr="0095785A">
        <w:t>31 December 2017</w:t>
      </w:r>
      <w:r w:rsidR="00115CAE" w:rsidRPr="002171C9">
        <w:t xml:space="preserve"> by </w:t>
      </w:r>
      <w:r w:rsidR="00B718BD">
        <w:t>District Health Board</w:t>
      </w:r>
      <w:bookmarkEnd w:id="30"/>
      <w:bookmarkEnd w:id="31"/>
    </w:p>
    <w:p w14:paraId="63762820" w14:textId="77777777" w:rsidR="00115CAE" w:rsidRDefault="0095785A" w:rsidP="00115CAE">
      <w:bookmarkStart w:id="32" w:name="figure_4"/>
      <w:bookmarkEnd w:id="32"/>
      <w:r>
        <w:rPr>
          <w:noProof/>
        </w:rPr>
        <w:drawing>
          <wp:inline distT="0" distB="0" distL="0" distR="0" wp14:anchorId="72B71740" wp14:editId="7503F991">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6EE4A9C" w14:textId="77777777" w:rsidR="00C9547D" w:rsidRPr="00C9547D" w:rsidRDefault="00C9547D" w:rsidP="00C9547D">
      <w:bookmarkStart w:id="33" w:name="figure_5"/>
      <w:bookmarkEnd w:id="33"/>
    </w:p>
    <w:p w14:paraId="3EB12D98" w14:textId="77777777" w:rsidR="00115CAE" w:rsidRDefault="00FA21EF" w:rsidP="00BF27D3">
      <w:pPr>
        <w:pStyle w:val="Figure"/>
      </w:pPr>
      <w:bookmarkStart w:id="34" w:name="_Toc399497926"/>
      <w:bookmarkStart w:id="35" w:name="_Toc503515396"/>
      <w:r>
        <w:lastRenderedPageBreak/>
        <w:t xml:space="preserve">Figure </w:t>
      </w:r>
      <w:r w:rsidR="005A603C">
        <w:fldChar w:fldCharType="begin"/>
      </w:r>
      <w:r w:rsidR="005A603C">
        <w:instrText xml:space="preserve"> SEQ Figure \* ARABIC </w:instrText>
      </w:r>
      <w:r w:rsidR="005A603C">
        <w:fldChar w:fldCharType="separate"/>
      </w:r>
      <w:r w:rsidR="00C07CA3">
        <w:rPr>
          <w:noProof/>
        </w:rPr>
        <w:t>5</w:t>
      </w:r>
      <w:r w:rsidR="005A603C">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95785A" w:rsidRPr="0095785A">
        <w:t>31 December 2017</w:t>
      </w:r>
      <w:r w:rsidR="00115CAE" w:rsidRPr="002171C9">
        <w:t xml:space="preserve"> by </w:t>
      </w:r>
      <w:r w:rsidR="00B718BD">
        <w:t>District Health Board</w:t>
      </w:r>
      <w:bookmarkEnd w:id="34"/>
      <w:bookmarkEnd w:id="35"/>
    </w:p>
    <w:p w14:paraId="2E2F01C7" w14:textId="77777777" w:rsidR="009376F1" w:rsidRPr="00C9547D" w:rsidRDefault="0095785A" w:rsidP="009376F1">
      <w:bookmarkStart w:id="36" w:name="figure_6"/>
      <w:bookmarkEnd w:id="36"/>
      <w:r>
        <w:rPr>
          <w:noProof/>
        </w:rPr>
        <w:drawing>
          <wp:inline distT="0" distB="0" distL="0" distR="0" wp14:anchorId="348A31AD" wp14:editId="34A09962">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C63F5CD" w14:textId="77777777" w:rsidR="00115CAE" w:rsidRDefault="00115CAE" w:rsidP="00115CAE"/>
    <w:p w14:paraId="01D99065" w14:textId="77777777" w:rsidR="00115CAE" w:rsidRDefault="00115CAE" w:rsidP="00115CAE"/>
    <w:p w14:paraId="12851AC8" w14:textId="77777777" w:rsidR="00115CAE" w:rsidRPr="00F17732" w:rsidRDefault="00115CAE" w:rsidP="00115CAE"/>
    <w:p w14:paraId="176124F5" w14:textId="77777777" w:rsidR="00115CAE" w:rsidRDefault="00115CAE" w:rsidP="00115CAE">
      <w:pPr>
        <w:rPr>
          <w:caps/>
        </w:rPr>
      </w:pPr>
    </w:p>
    <w:p w14:paraId="04D37B43" w14:textId="77777777" w:rsidR="00AE1525" w:rsidRDefault="00AE1525" w:rsidP="00115CAE">
      <w:pPr>
        <w:rPr>
          <w:caps/>
        </w:rPr>
      </w:pPr>
    </w:p>
    <w:p w14:paraId="402C6BEB" w14:textId="77777777" w:rsidR="009376F1" w:rsidRDefault="009376F1" w:rsidP="009376F1">
      <w:pPr>
        <w:pStyle w:val="Figure"/>
      </w:pPr>
      <w:bookmarkStart w:id="37" w:name="_Toc503515397"/>
      <w:r>
        <w:lastRenderedPageBreak/>
        <w:t xml:space="preserve">Figure </w:t>
      </w:r>
      <w:r w:rsidR="005A603C">
        <w:fldChar w:fldCharType="begin"/>
      </w:r>
      <w:r w:rsidR="005A603C">
        <w:instrText xml:space="preserve"> SEQ Figure \* ARABIC </w:instrText>
      </w:r>
      <w:r w:rsidR="005A603C">
        <w:fldChar w:fldCharType="separate"/>
      </w:r>
      <w:r w:rsidR="00C07CA3">
        <w:rPr>
          <w:noProof/>
        </w:rPr>
        <w:t>6</w:t>
      </w:r>
      <w:r w:rsidR="005A603C">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95785A" w:rsidRPr="0095785A">
        <w:t>31 December 2017</w:t>
      </w:r>
      <w:bookmarkEnd w:id="37"/>
    </w:p>
    <w:p w14:paraId="0334E127" w14:textId="77777777" w:rsidR="00EB1948" w:rsidRPr="00D83F91" w:rsidRDefault="00340577" w:rsidP="00AE1525">
      <w:r w:rsidRPr="00340577">
        <w:rPr>
          <w:noProof/>
        </w:rPr>
        <w:drawing>
          <wp:inline distT="0" distB="0" distL="0" distR="0" wp14:anchorId="10290EC9" wp14:editId="1228E1C1">
            <wp:extent cx="5940425" cy="8401886"/>
            <wp:effectExtent l="0" t="0" r="3175" b="0"/>
            <wp:docPr id="1" name="Picture 1" descr="S:\Analysis\30 Breast\Programme analysis\BSA DHB Reports\15 December 2017\Arc GiS Maps\BSA_Māori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5 December 2017\Arc GiS Maps\BSA_Māori FINAL December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1EAE5349" w14:textId="77777777" w:rsidR="00AE1525" w:rsidRDefault="009376F1" w:rsidP="009376F1">
      <w:pPr>
        <w:pStyle w:val="Figure"/>
      </w:pPr>
      <w:bookmarkStart w:id="38" w:name="_Toc503515398"/>
      <w:r>
        <w:lastRenderedPageBreak/>
        <w:t xml:space="preserve">Figure </w:t>
      </w:r>
      <w:r w:rsidR="005A603C">
        <w:fldChar w:fldCharType="begin"/>
      </w:r>
      <w:r w:rsidR="005A603C">
        <w:instrText xml:space="preserve"> SEQ Figure \* ARABIC </w:instrText>
      </w:r>
      <w:r w:rsidR="005A603C">
        <w:fldChar w:fldCharType="separate"/>
      </w:r>
      <w:r w:rsidR="00C07CA3">
        <w:rPr>
          <w:noProof/>
        </w:rPr>
        <w:t>7</w:t>
      </w:r>
      <w:r w:rsidR="005A603C">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95785A" w:rsidRPr="0095785A">
        <w:t>31 December 2017</w:t>
      </w:r>
      <w:bookmarkEnd w:id="38"/>
    </w:p>
    <w:p w14:paraId="20BDE141" w14:textId="77777777" w:rsidR="00A43F46" w:rsidRPr="00A43F46" w:rsidRDefault="00340577" w:rsidP="00A43F46">
      <w:r w:rsidRPr="00340577">
        <w:rPr>
          <w:noProof/>
        </w:rPr>
        <w:drawing>
          <wp:inline distT="0" distB="0" distL="0" distR="0" wp14:anchorId="45696D73" wp14:editId="7898A16D">
            <wp:extent cx="5940425" cy="8401886"/>
            <wp:effectExtent l="0" t="0" r="3175" b="0"/>
            <wp:docPr id="2" name="Picture 2" descr="S:\Analysis\30 Breast\Programme analysis\BSA DHB Reports\15 December 2017\Arc GiS Maps\BSA_Pacific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5 December 2017\Arc GiS Maps\BSA_Pacific FINAL December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2F773AE7" w14:textId="77777777" w:rsidR="00AE1525" w:rsidRPr="00C9547D" w:rsidRDefault="00AE1525" w:rsidP="00AE1525"/>
    <w:p w14:paraId="0C1B83EB" w14:textId="77777777" w:rsidR="009376F1" w:rsidRDefault="009376F1" w:rsidP="009376F1">
      <w:pPr>
        <w:pStyle w:val="Figure"/>
      </w:pPr>
      <w:bookmarkStart w:id="39" w:name="_Toc503515399"/>
      <w:r>
        <w:t xml:space="preserve">Figure </w:t>
      </w:r>
      <w:r w:rsidR="005A603C">
        <w:fldChar w:fldCharType="begin"/>
      </w:r>
      <w:r w:rsidR="005A603C">
        <w:instrText xml:space="preserve"> SEQ Figure \* ARABIC </w:instrText>
      </w:r>
      <w:r w:rsidR="005A603C">
        <w:fldChar w:fldCharType="separate"/>
      </w:r>
      <w:r w:rsidR="00C07CA3">
        <w:rPr>
          <w:noProof/>
        </w:rPr>
        <w:t>8</w:t>
      </w:r>
      <w:r w:rsidR="005A603C">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95785A" w:rsidRPr="0095785A">
        <w:t>31 December 2017</w:t>
      </w:r>
      <w:r w:rsidRPr="002171C9">
        <w:t xml:space="preserve"> by </w:t>
      </w:r>
      <w:r>
        <w:t>District Health Board</w:t>
      </w:r>
      <w:bookmarkEnd w:id="39"/>
    </w:p>
    <w:p w14:paraId="16A0733D" w14:textId="77777777" w:rsidR="00137AB6" w:rsidRDefault="00137AB6" w:rsidP="00137AB6">
      <w:pPr>
        <w:rPr>
          <w:caps/>
        </w:rPr>
      </w:pPr>
    </w:p>
    <w:p w14:paraId="2471ACB9" w14:textId="77777777" w:rsidR="00137AB6" w:rsidRPr="00137AB6" w:rsidRDefault="00340577"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340577">
        <w:rPr>
          <w:noProof/>
        </w:rPr>
        <w:drawing>
          <wp:inline distT="0" distB="0" distL="0" distR="0" wp14:anchorId="1275CBD6" wp14:editId="4C198052">
            <wp:extent cx="5314950" cy="7517240"/>
            <wp:effectExtent l="0" t="0" r="0" b="7620"/>
            <wp:docPr id="3" name="Picture 3" descr="S:\Analysis\30 Breast\Programme analysis\BSA DHB Reports\15 December 2017\Arc GiS Maps\BSA_Natio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5 December 2017\Arc GiS Maps\BSA_National December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5300" cy="7517735"/>
                    </a:xfrm>
                    <a:prstGeom prst="rect">
                      <a:avLst/>
                    </a:prstGeom>
                    <a:noFill/>
                    <a:ln>
                      <a:noFill/>
                    </a:ln>
                  </pic:spPr>
                </pic:pic>
              </a:graphicData>
            </a:graphic>
          </wp:inline>
        </w:drawing>
      </w:r>
    </w:p>
    <w:p w14:paraId="37FC0C93" w14:textId="77777777" w:rsidR="00D52B13" w:rsidRPr="004F701C" w:rsidRDefault="004F701C" w:rsidP="001802FB">
      <w:pPr>
        <w:pStyle w:val="Table"/>
        <w:rPr>
          <w:i/>
          <w:iCs/>
        </w:rPr>
      </w:pPr>
      <w:bookmarkStart w:id="40" w:name="_Toc400365297"/>
      <w:bookmarkStart w:id="41" w:name="_Toc503515402"/>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95785A" w:rsidRPr="0095785A">
        <w:t>31 December 2017</w:t>
      </w:r>
      <w:r w:rsidR="00115CAE" w:rsidRPr="004F701C">
        <w:t xml:space="preserve"> by </w:t>
      </w:r>
      <w:r w:rsidR="00B718BD" w:rsidRPr="004F701C">
        <w:t>District Health Board</w:t>
      </w:r>
      <w:bookmarkEnd w:id="40"/>
      <w:bookmarkEnd w:id="41"/>
    </w:p>
    <w:p w14:paraId="5B7B354C" w14:textId="77777777" w:rsidR="00CE24C5" w:rsidRPr="00CE24C5" w:rsidRDefault="00710219" w:rsidP="00CE24C5">
      <w:bookmarkStart w:id="42" w:name="table_2"/>
      <w:bookmarkEnd w:id="42"/>
      <w:r w:rsidRPr="00710219">
        <w:rPr>
          <w:noProof/>
        </w:rPr>
        <w:drawing>
          <wp:inline distT="0" distB="0" distL="0" distR="0" wp14:anchorId="095CB0BF" wp14:editId="43F53287">
            <wp:extent cx="7934325" cy="45053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4325" cy="4505325"/>
                    </a:xfrm>
                    <a:prstGeom prst="rect">
                      <a:avLst/>
                    </a:prstGeom>
                    <a:noFill/>
                    <a:ln>
                      <a:noFill/>
                    </a:ln>
                  </pic:spPr>
                </pic:pic>
              </a:graphicData>
            </a:graphic>
          </wp:inline>
        </w:drawing>
      </w:r>
    </w:p>
    <w:p w14:paraId="20B892E8" w14:textId="77777777" w:rsidR="00115CAE" w:rsidRDefault="00115CAE" w:rsidP="00115CAE"/>
    <w:p w14:paraId="63E89024" w14:textId="77777777" w:rsidR="00CE24C5" w:rsidRDefault="00CE24C5">
      <w:pPr>
        <w:spacing w:after="200"/>
        <w:rPr>
          <w:rFonts w:eastAsiaTheme="majorEastAsia" w:cstheme="majorBidi"/>
          <w:b/>
          <w:bCs/>
          <w:sz w:val="28"/>
          <w:szCs w:val="26"/>
        </w:rPr>
      </w:pPr>
      <w:bookmarkStart w:id="43" w:name="_Toc399921857"/>
      <w:r>
        <w:br w:type="page"/>
      </w:r>
    </w:p>
    <w:p w14:paraId="6BEEA851" w14:textId="77777777" w:rsidR="00115CAE" w:rsidRDefault="00115CAE" w:rsidP="00C75BA8">
      <w:pPr>
        <w:pStyle w:val="Heading2"/>
        <w:spacing w:before="0"/>
        <w:ind w:left="-284"/>
      </w:pPr>
      <w:bookmarkStart w:id="44" w:name="_Toc503515411"/>
      <w:r>
        <w:lastRenderedPageBreak/>
        <w:t>DHB coverage comparison trends by ethnicity</w:t>
      </w:r>
      <w:bookmarkEnd w:id="43"/>
      <w:bookmarkEnd w:id="44"/>
    </w:p>
    <w:p w14:paraId="3DBC1334" w14:textId="77777777" w:rsidR="00115CAE" w:rsidRPr="004F701C" w:rsidRDefault="004F701C" w:rsidP="001802FB">
      <w:pPr>
        <w:pStyle w:val="Table"/>
        <w:rPr>
          <w:i/>
          <w:iCs/>
        </w:rPr>
      </w:pPr>
      <w:bookmarkStart w:id="45" w:name="_Toc400365298"/>
      <w:bookmarkStart w:id="46" w:name="_Toc503515403"/>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95785A" w:rsidRPr="0095785A">
        <w:t>31 December, 2015, 2016, 2017</w:t>
      </w:r>
      <w:r w:rsidR="00115CAE" w:rsidRPr="004F701C">
        <w:t xml:space="preserve">, by ethnicity and </w:t>
      </w:r>
      <w:r w:rsidR="00B718BD" w:rsidRPr="004F701C">
        <w:t>District Health Board</w:t>
      </w:r>
      <w:bookmarkEnd w:id="45"/>
      <w:bookmarkEnd w:id="46"/>
    </w:p>
    <w:p w14:paraId="73397B64" w14:textId="77777777" w:rsidR="006B45AA" w:rsidRPr="006B45AA" w:rsidRDefault="0095785A" w:rsidP="006B45AA">
      <w:bookmarkStart w:id="47" w:name="table_3"/>
      <w:bookmarkEnd w:id="47"/>
      <w:r w:rsidRPr="0095785A">
        <w:rPr>
          <w:noProof/>
        </w:rPr>
        <w:drawing>
          <wp:inline distT="0" distB="0" distL="0" distR="0" wp14:anchorId="30A04627" wp14:editId="0FB0093B">
            <wp:extent cx="5876925" cy="4524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6925" cy="4524375"/>
                    </a:xfrm>
                    <a:prstGeom prst="rect">
                      <a:avLst/>
                    </a:prstGeom>
                    <a:noFill/>
                    <a:ln>
                      <a:noFill/>
                    </a:ln>
                  </pic:spPr>
                </pic:pic>
              </a:graphicData>
            </a:graphic>
          </wp:inline>
        </w:drawing>
      </w:r>
    </w:p>
    <w:p w14:paraId="7F3FB2CC" w14:textId="77777777" w:rsidR="003669D4" w:rsidRPr="003669D4" w:rsidRDefault="003669D4" w:rsidP="003669D4">
      <w:pPr>
        <w:ind w:left="-284"/>
      </w:pPr>
    </w:p>
    <w:p w14:paraId="49BB2589"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1429A" w14:textId="77777777" w:rsidR="005A603C" w:rsidRDefault="005A603C">
      <w:pPr>
        <w:spacing w:line="240" w:lineRule="auto"/>
      </w:pPr>
      <w:r>
        <w:separator/>
      </w:r>
    </w:p>
  </w:endnote>
  <w:endnote w:type="continuationSeparator" w:id="0">
    <w:p w14:paraId="2BB3C5DA" w14:textId="77777777" w:rsidR="005A603C" w:rsidRDefault="005A60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938213"/>
      <w:docPartObj>
        <w:docPartGallery w:val="Page Numbers (Bottom of Page)"/>
        <w:docPartUnique/>
      </w:docPartObj>
    </w:sdtPr>
    <w:sdtEndPr>
      <w:rPr>
        <w:noProof/>
      </w:rPr>
    </w:sdtEndPr>
    <w:sdtContent>
      <w:p w14:paraId="0053E911" w14:textId="77777777" w:rsidR="001D0C3F" w:rsidRDefault="001D0C3F">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2E20ED1F" w14:textId="77777777" w:rsidR="001D0C3F" w:rsidRPr="00497068" w:rsidRDefault="001D0C3F"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4A4FFA9A" w14:textId="77777777" w:rsidR="001D0C3F" w:rsidRDefault="001D0C3F">
        <w:pPr>
          <w:pStyle w:val="Footer"/>
          <w:jc w:val="center"/>
        </w:pPr>
        <w:r>
          <w:fldChar w:fldCharType="begin"/>
        </w:r>
        <w:r>
          <w:instrText xml:space="preserve"> PAGE   \* MERGEFORMAT </w:instrText>
        </w:r>
        <w:r>
          <w:fldChar w:fldCharType="separate"/>
        </w:r>
        <w:r w:rsidR="00AD255E">
          <w:rPr>
            <w:noProof/>
          </w:rPr>
          <w:t>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6E064E10" w14:textId="77777777" w:rsidR="001D0C3F" w:rsidRDefault="001D0C3F">
        <w:pPr>
          <w:pStyle w:val="Footer"/>
          <w:jc w:val="center"/>
        </w:pPr>
        <w:r>
          <w:fldChar w:fldCharType="begin"/>
        </w:r>
        <w:r>
          <w:instrText xml:space="preserve"> PAGE   \* MERGEFORMAT </w:instrText>
        </w:r>
        <w:r>
          <w:fldChar w:fldCharType="separate"/>
        </w:r>
        <w:r w:rsidR="00AD255E">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45C5B" w14:textId="77777777" w:rsidR="005A603C" w:rsidRDefault="005A603C">
      <w:pPr>
        <w:spacing w:line="240" w:lineRule="auto"/>
      </w:pPr>
      <w:r>
        <w:separator/>
      </w:r>
    </w:p>
  </w:footnote>
  <w:footnote w:type="continuationSeparator" w:id="0">
    <w:p w14:paraId="094DDEF0" w14:textId="77777777" w:rsidR="005A603C" w:rsidRDefault="005A603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52B06" w14:textId="77777777" w:rsidR="001D0C3F" w:rsidRDefault="001D0C3F">
    <w:pPr>
      <w:pStyle w:val="Header"/>
    </w:pPr>
    <w:r>
      <w:rPr>
        <w:noProof/>
      </w:rPr>
      <w:drawing>
        <wp:inline distT="0" distB="0" distL="0" distR="0" wp14:anchorId="48315853" wp14:editId="281647D6">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2FF078F2" w14:textId="77777777" w:rsidR="001D0C3F" w:rsidRDefault="001D0C3F" w:rsidP="00E52682">
    <w:pPr>
      <w:pStyle w:val="Header"/>
      <w:ind w:right="-425"/>
      <w:jc w:val="right"/>
    </w:pPr>
    <w:r>
      <w:rPr>
        <w:noProof/>
      </w:rPr>
      <w:drawing>
        <wp:inline distT="0" distB="0" distL="0" distR="0" wp14:anchorId="79CEB4DB" wp14:editId="09FD26C7">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BF6F7" w14:textId="77777777" w:rsidR="001D0C3F" w:rsidRDefault="001D0C3F">
    <w:pPr>
      <w:pStyle w:val="Header"/>
    </w:pPr>
    <w:r>
      <w:rPr>
        <w:noProof/>
      </w:rPr>
      <w:drawing>
        <wp:inline distT="0" distB="0" distL="0" distR="0" wp14:anchorId="4FC56573" wp14:editId="62D1DFB7">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1E8F5" w14:textId="77777777" w:rsidR="001D0C3F" w:rsidRDefault="001D0C3F">
    <w:pPr>
      <w:pStyle w:val="Header"/>
    </w:pPr>
    <w:r>
      <w:rPr>
        <w:noProof/>
      </w:rPr>
      <w:drawing>
        <wp:inline distT="0" distB="0" distL="0" distR="0" wp14:anchorId="288061BF" wp14:editId="6032B64D">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3F42DBB1" w14:textId="77777777" w:rsidR="001D0C3F" w:rsidRDefault="001D0C3F" w:rsidP="00E52682">
    <w:pPr>
      <w:pStyle w:val="Header"/>
      <w:ind w:right="-425"/>
      <w:jc w:val="right"/>
    </w:pPr>
    <w:r w:rsidRPr="001A7BE5">
      <w:rPr>
        <w:noProof/>
        <w:color w:val="000000"/>
        <w:sz w:val="19"/>
        <w:szCs w:val="19"/>
      </w:rPr>
      <w:drawing>
        <wp:inline distT="0" distB="0" distL="0" distR="0" wp14:anchorId="1488809E" wp14:editId="53BADC4D">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3FE50" w14:textId="77777777" w:rsidR="001D0C3F" w:rsidRDefault="001D0C3F">
    <w:pPr>
      <w:pStyle w:val="Header"/>
    </w:pPr>
    <w:r>
      <w:rPr>
        <w:noProof/>
      </w:rPr>
      <w:drawing>
        <wp:inline distT="0" distB="0" distL="0" distR="0" wp14:anchorId="42A26AF0" wp14:editId="6BED416B">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39DD"/>
    <w:rsid w:val="00017347"/>
    <w:rsid w:val="00070AAE"/>
    <w:rsid w:val="00070D14"/>
    <w:rsid w:val="00082E02"/>
    <w:rsid w:val="000933E9"/>
    <w:rsid w:val="000A74EA"/>
    <w:rsid w:val="000C2B3F"/>
    <w:rsid w:val="000C5714"/>
    <w:rsid w:val="000D1A06"/>
    <w:rsid w:val="000E7690"/>
    <w:rsid w:val="000F768D"/>
    <w:rsid w:val="00115CAE"/>
    <w:rsid w:val="00131DDF"/>
    <w:rsid w:val="00132229"/>
    <w:rsid w:val="00135CA4"/>
    <w:rsid w:val="00137AB6"/>
    <w:rsid w:val="00137BE4"/>
    <w:rsid w:val="00141C89"/>
    <w:rsid w:val="00164D88"/>
    <w:rsid w:val="001802FB"/>
    <w:rsid w:val="00183C71"/>
    <w:rsid w:val="00193694"/>
    <w:rsid w:val="001979C8"/>
    <w:rsid w:val="001A76B0"/>
    <w:rsid w:val="001B2D4A"/>
    <w:rsid w:val="001B7D1A"/>
    <w:rsid w:val="001D0C3F"/>
    <w:rsid w:val="001D2534"/>
    <w:rsid w:val="001E5470"/>
    <w:rsid w:val="001F29EC"/>
    <w:rsid w:val="00202796"/>
    <w:rsid w:val="00206DBB"/>
    <w:rsid w:val="00223993"/>
    <w:rsid w:val="00233118"/>
    <w:rsid w:val="0023374D"/>
    <w:rsid w:val="0023529A"/>
    <w:rsid w:val="00236495"/>
    <w:rsid w:val="0024296D"/>
    <w:rsid w:val="00243292"/>
    <w:rsid w:val="00251991"/>
    <w:rsid w:val="002669FF"/>
    <w:rsid w:val="00284E09"/>
    <w:rsid w:val="002A2801"/>
    <w:rsid w:val="002B0ED8"/>
    <w:rsid w:val="002B1E5A"/>
    <w:rsid w:val="002B6CFE"/>
    <w:rsid w:val="002D06D3"/>
    <w:rsid w:val="002D25D6"/>
    <w:rsid w:val="002F360A"/>
    <w:rsid w:val="003074B1"/>
    <w:rsid w:val="00312010"/>
    <w:rsid w:val="0031619E"/>
    <w:rsid w:val="00327229"/>
    <w:rsid w:val="00340577"/>
    <w:rsid w:val="003557B2"/>
    <w:rsid w:val="00363C24"/>
    <w:rsid w:val="0036623D"/>
    <w:rsid w:val="003669D4"/>
    <w:rsid w:val="00372639"/>
    <w:rsid w:val="00376CBF"/>
    <w:rsid w:val="00393D33"/>
    <w:rsid w:val="003B681D"/>
    <w:rsid w:val="003D1C1E"/>
    <w:rsid w:val="003E5CF3"/>
    <w:rsid w:val="003F0618"/>
    <w:rsid w:val="003F1A49"/>
    <w:rsid w:val="00401D58"/>
    <w:rsid w:val="00403081"/>
    <w:rsid w:val="00406AE2"/>
    <w:rsid w:val="00407AD1"/>
    <w:rsid w:val="0041553F"/>
    <w:rsid w:val="00417EF2"/>
    <w:rsid w:val="00423FE9"/>
    <w:rsid w:val="00425641"/>
    <w:rsid w:val="004435B3"/>
    <w:rsid w:val="00451AE5"/>
    <w:rsid w:val="00454136"/>
    <w:rsid w:val="00460FDC"/>
    <w:rsid w:val="0048478E"/>
    <w:rsid w:val="004A0172"/>
    <w:rsid w:val="004B1400"/>
    <w:rsid w:val="004B6FD0"/>
    <w:rsid w:val="004C0542"/>
    <w:rsid w:val="004C1F44"/>
    <w:rsid w:val="004C3D85"/>
    <w:rsid w:val="004D0E6D"/>
    <w:rsid w:val="004E531D"/>
    <w:rsid w:val="004F5B05"/>
    <w:rsid w:val="004F701C"/>
    <w:rsid w:val="0050463E"/>
    <w:rsid w:val="0050510D"/>
    <w:rsid w:val="00532664"/>
    <w:rsid w:val="0056042A"/>
    <w:rsid w:val="005631A2"/>
    <w:rsid w:val="00565780"/>
    <w:rsid w:val="0056684C"/>
    <w:rsid w:val="00576B92"/>
    <w:rsid w:val="005834E2"/>
    <w:rsid w:val="005A05B2"/>
    <w:rsid w:val="005A3C8B"/>
    <w:rsid w:val="005A603C"/>
    <w:rsid w:val="005B004E"/>
    <w:rsid w:val="005B26F1"/>
    <w:rsid w:val="005C206B"/>
    <w:rsid w:val="005E7C0E"/>
    <w:rsid w:val="005F3F3F"/>
    <w:rsid w:val="00601A5B"/>
    <w:rsid w:val="0060384F"/>
    <w:rsid w:val="00606F61"/>
    <w:rsid w:val="00620968"/>
    <w:rsid w:val="00622075"/>
    <w:rsid w:val="00625E48"/>
    <w:rsid w:val="006300D9"/>
    <w:rsid w:val="006537DF"/>
    <w:rsid w:val="006542B8"/>
    <w:rsid w:val="00663C4C"/>
    <w:rsid w:val="006722EA"/>
    <w:rsid w:val="006871C8"/>
    <w:rsid w:val="006A45A7"/>
    <w:rsid w:val="006A46DF"/>
    <w:rsid w:val="006A64A9"/>
    <w:rsid w:val="006B45AA"/>
    <w:rsid w:val="006B6452"/>
    <w:rsid w:val="006C1638"/>
    <w:rsid w:val="006C6A34"/>
    <w:rsid w:val="006C79D1"/>
    <w:rsid w:val="006E3EE5"/>
    <w:rsid w:val="006F61D0"/>
    <w:rsid w:val="00703834"/>
    <w:rsid w:val="00704BD6"/>
    <w:rsid w:val="00710219"/>
    <w:rsid w:val="007210B9"/>
    <w:rsid w:val="0072251B"/>
    <w:rsid w:val="00730C20"/>
    <w:rsid w:val="00742F05"/>
    <w:rsid w:val="00744D58"/>
    <w:rsid w:val="00746D25"/>
    <w:rsid w:val="00751E09"/>
    <w:rsid w:val="00764DB3"/>
    <w:rsid w:val="007675BD"/>
    <w:rsid w:val="007A234C"/>
    <w:rsid w:val="007C1A71"/>
    <w:rsid w:val="007C2628"/>
    <w:rsid w:val="007D619E"/>
    <w:rsid w:val="007E2785"/>
    <w:rsid w:val="007E30DE"/>
    <w:rsid w:val="007E7084"/>
    <w:rsid w:val="00800C93"/>
    <w:rsid w:val="0080322A"/>
    <w:rsid w:val="00805861"/>
    <w:rsid w:val="00811F6D"/>
    <w:rsid w:val="00825B8C"/>
    <w:rsid w:val="00835C9A"/>
    <w:rsid w:val="00851CAB"/>
    <w:rsid w:val="0085756D"/>
    <w:rsid w:val="00861166"/>
    <w:rsid w:val="00872358"/>
    <w:rsid w:val="00885547"/>
    <w:rsid w:val="0089397C"/>
    <w:rsid w:val="008B210D"/>
    <w:rsid w:val="008B47D7"/>
    <w:rsid w:val="008B757C"/>
    <w:rsid w:val="008C1B05"/>
    <w:rsid w:val="008D07F7"/>
    <w:rsid w:val="008E5439"/>
    <w:rsid w:val="00901F2A"/>
    <w:rsid w:val="009138C8"/>
    <w:rsid w:val="00915385"/>
    <w:rsid w:val="00930D20"/>
    <w:rsid w:val="009376F1"/>
    <w:rsid w:val="00946A2C"/>
    <w:rsid w:val="009559B1"/>
    <w:rsid w:val="0095785A"/>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B1B08"/>
    <w:rsid w:val="00AD255E"/>
    <w:rsid w:val="00AE1525"/>
    <w:rsid w:val="00AE623F"/>
    <w:rsid w:val="00AF3065"/>
    <w:rsid w:val="00B053F8"/>
    <w:rsid w:val="00B12EFD"/>
    <w:rsid w:val="00B16269"/>
    <w:rsid w:val="00B2412A"/>
    <w:rsid w:val="00B41599"/>
    <w:rsid w:val="00B52C33"/>
    <w:rsid w:val="00B5410F"/>
    <w:rsid w:val="00B718BD"/>
    <w:rsid w:val="00B72A22"/>
    <w:rsid w:val="00BB087C"/>
    <w:rsid w:val="00BC4188"/>
    <w:rsid w:val="00BD3841"/>
    <w:rsid w:val="00BE4ED8"/>
    <w:rsid w:val="00BE654A"/>
    <w:rsid w:val="00BE7A83"/>
    <w:rsid w:val="00BF27D3"/>
    <w:rsid w:val="00BF51B0"/>
    <w:rsid w:val="00BF5453"/>
    <w:rsid w:val="00C07CA3"/>
    <w:rsid w:val="00C168F9"/>
    <w:rsid w:val="00C45A14"/>
    <w:rsid w:val="00C57853"/>
    <w:rsid w:val="00C64CB1"/>
    <w:rsid w:val="00C75BA8"/>
    <w:rsid w:val="00C84549"/>
    <w:rsid w:val="00C9547D"/>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5699"/>
    <w:rsid w:val="00DD69A8"/>
    <w:rsid w:val="00E07458"/>
    <w:rsid w:val="00E232C7"/>
    <w:rsid w:val="00E2647B"/>
    <w:rsid w:val="00E37AF5"/>
    <w:rsid w:val="00E37EDA"/>
    <w:rsid w:val="00E52682"/>
    <w:rsid w:val="00E62F7A"/>
    <w:rsid w:val="00E646CB"/>
    <w:rsid w:val="00E83519"/>
    <w:rsid w:val="00EB1948"/>
    <w:rsid w:val="00EB4088"/>
    <w:rsid w:val="00ED52A0"/>
    <w:rsid w:val="00ED66A0"/>
    <w:rsid w:val="00EE282A"/>
    <w:rsid w:val="00EF7A2D"/>
    <w:rsid w:val="00F12613"/>
    <w:rsid w:val="00F14827"/>
    <w:rsid w:val="00F209FE"/>
    <w:rsid w:val="00F279F6"/>
    <w:rsid w:val="00F27C51"/>
    <w:rsid w:val="00F30026"/>
    <w:rsid w:val="00F50E3B"/>
    <w:rsid w:val="00F53E27"/>
    <w:rsid w:val="00F64CE4"/>
    <w:rsid w:val="00F66CD2"/>
    <w:rsid w:val="00F849E6"/>
    <w:rsid w:val="00F853D6"/>
    <w:rsid w:val="00F91B75"/>
    <w:rsid w:val="00F9212D"/>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34C898"/>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68</c:v>
                </c:pt>
                <c:pt idx="1">
                  <c:v>67.5</c:v>
                </c:pt>
                <c:pt idx="2">
                  <c:v>74.8</c:v>
                </c:pt>
                <c:pt idx="3">
                  <c:v>73.599999999999994</c:v>
                </c:pt>
              </c:numCache>
            </c:numRef>
          </c:val>
          <c:extLst>
            <c:ext xmlns:c16="http://schemas.microsoft.com/office/drawing/2014/chart" uri="{C3380CC4-5D6E-409C-BE32-E72D297353CC}">
              <c16:uniqueId val="{00000000-A438-415E-AD86-A61F6AB8E769}"/>
            </c:ext>
          </c:extLst>
        </c:ser>
        <c:dLbls>
          <c:showLegendKey val="0"/>
          <c:showVal val="0"/>
          <c:showCatName val="0"/>
          <c:showSerName val="0"/>
          <c:showPercent val="0"/>
          <c:showBubbleSize val="0"/>
        </c:dLbls>
        <c:gapWidth val="50"/>
        <c:axId val="477866304"/>
        <c:axId val="477865128"/>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A438-415E-AD86-A61F6AB8E769}"/>
            </c:ext>
          </c:extLst>
        </c:ser>
        <c:dLbls>
          <c:showLegendKey val="0"/>
          <c:showVal val="0"/>
          <c:showCatName val="0"/>
          <c:showSerName val="0"/>
          <c:showPercent val="0"/>
          <c:showBubbleSize val="0"/>
        </c:dLbls>
        <c:marker val="1"/>
        <c:smooth val="0"/>
        <c:axId val="477866304"/>
        <c:axId val="477865128"/>
      </c:lineChart>
      <c:catAx>
        <c:axId val="47786630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77865128"/>
        <c:crosses val="autoZero"/>
        <c:auto val="1"/>
        <c:lblAlgn val="ctr"/>
        <c:lblOffset val="100"/>
        <c:tickLblSkip val="1"/>
        <c:noMultiLvlLbl val="0"/>
      </c:catAx>
      <c:valAx>
        <c:axId val="47786512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7786630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Dec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67.7</c:v>
                </c:pt>
                <c:pt idx="1">
                  <c:v>66.900000000000006</c:v>
                </c:pt>
                <c:pt idx="2">
                  <c:v>74.599999999999994</c:v>
                </c:pt>
                <c:pt idx="3">
                  <c:v>73.400000000000006</c:v>
                </c:pt>
              </c:numCache>
            </c:numRef>
          </c:val>
          <c:extLst>
            <c:ext xmlns:c16="http://schemas.microsoft.com/office/drawing/2014/chart" uri="{C3380CC4-5D6E-409C-BE32-E72D297353CC}">
              <c16:uniqueId val="{00000000-76DB-4D26-A633-DAB8A84CEA74}"/>
            </c:ext>
          </c:extLst>
        </c:ser>
        <c:ser>
          <c:idx val="0"/>
          <c:order val="1"/>
          <c:tx>
            <c:strRef>
              <c:f>Report!$H$40</c:f>
              <c:strCache>
                <c:ptCount val="1"/>
                <c:pt idx="0">
                  <c:v>Dec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67</c:v>
                </c:pt>
                <c:pt idx="1">
                  <c:v>66.400000000000006</c:v>
                </c:pt>
                <c:pt idx="2">
                  <c:v>75</c:v>
                </c:pt>
                <c:pt idx="3">
                  <c:v>73.599999999999994</c:v>
                </c:pt>
              </c:numCache>
            </c:numRef>
          </c:val>
          <c:extLst>
            <c:ext xmlns:c16="http://schemas.microsoft.com/office/drawing/2014/chart" uri="{C3380CC4-5D6E-409C-BE32-E72D297353CC}">
              <c16:uniqueId val="{00000001-76DB-4D26-A633-DAB8A84CEA74}"/>
            </c:ext>
          </c:extLst>
        </c:ser>
        <c:ser>
          <c:idx val="1"/>
          <c:order val="2"/>
          <c:tx>
            <c:strRef>
              <c:f>Report!$H$41</c:f>
              <c:strCache>
                <c:ptCount val="1"/>
                <c:pt idx="0">
                  <c:v>Dec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68</c:v>
                </c:pt>
                <c:pt idx="1">
                  <c:v>67.5</c:v>
                </c:pt>
                <c:pt idx="2">
                  <c:v>74.8</c:v>
                </c:pt>
                <c:pt idx="3">
                  <c:v>73.599999999999994</c:v>
                </c:pt>
              </c:numCache>
            </c:numRef>
          </c:val>
          <c:extLst>
            <c:ext xmlns:c16="http://schemas.microsoft.com/office/drawing/2014/chart" uri="{C3380CC4-5D6E-409C-BE32-E72D297353CC}">
              <c16:uniqueId val="{00000002-76DB-4D26-A633-DAB8A84CEA74}"/>
            </c:ext>
          </c:extLst>
        </c:ser>
        <c:dLbls>
          <c:showLegendKey val="0"/>
          <c:showVal val="0"/>
          <c:showCatName val="0"/>
          <c:showSerName val="0"/>
          <c:showPercent val="0"/>
          <c:showBubbleSize val="0"/>
        </c:dLbls>
        <c:gapWidth val="150"/>
        <c:axId val="477863560"/>
        <c:axId val="477866696"/>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76DB-4D26-A633-DAB8A84CEA74}"/>
            </c:ext>
          </c:extLst>
        </c:ser>
        <c:dLbls>
          <c:showLegendKey val="0"/>
          <c:showVal val="0"/>
          <c:showCatName val="0"/>
          <c:showSerName val="0"/>
          <c:showPercent val="0"/>
          <c:showBubbleSize val="0"/>
        </c:dLbls>
        <c:marker val="1"/>
        <c:smooth val="0"/>
        <c:axId val="477863560"/>
        <c:axId val="477866696"/>
      </c:lineChart>
      <c:catAx>
        <c:axId val="47786356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77866696"/>
        <c:crosses val="autoZero"/>
        <c:auto val="1"/>
        <c:lblAlgn val="ctr"/>
        <c:lblOffset val="100"/>
        <c:noMultiLvlLbl val="0"/>
      </c:catAx>
      <c:valAx>
        <c:axId val="47786669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77863560"/>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83A5-43D0-A5B3-C3B6B7978900}"/>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69.7</c:v>
                </c:pt>
                <c:pt idx="1">
                  <c:v>62.6</c:v>
                </c:pt>
                <c:pt idx="2">
                  <c:v>57</c:v>
                </c:pt>
                <c:pt idx="3">
                  <c:v>64.099999999999994</c:v>
                </c:pt>
                <c:pt idx="4">
                  <c:v>58.6</c:v>
                </c:pt>
                <c:pt idx="5">
                  <c:v>64.2</c:v>
                </c:pt>
                <c:pt idx="6">
                  <c:v>59.9</c:v>
                </c:pt>
                <c:pt idx="7">
                  <c:v>68.400000000000006</c:v>
                </c:pt>
                <c:pt idx="8">
                  <c:v>61.1</c:v>
                </c:pt>
                <c:pt idx="9">
                  <c:v>68</c:v>
                </c:pt>
                <c:pt idx="10">
                  <c:v>70.2</c:v>
                </c:pt>
                <c:pt idx="11">
                  <c:v>65.7</c:v>
                </c:pt>
                <c:pt idx="12">
                  <c:v>69.7</c:v>
                </c:pt>
                <c:pt idx="13">
                  <c:v>66.900000000000006</c:v>
                </c:pt>
                <c:pt idx="14">
                  <c:v>70.7</c:v>
                </c:pt>
                <c:pt idx="15">
                  <c:v>75.2</c:v>
                </c:pt>
                <c:pt idx="16">
                  <c:v>64.900000000000006</c:v>
                </c:pt>
                <c:pt idx="17">
                  <c:v>69.3</c:v>
                </c:pt>
                <c:pt idx="18">
                  <c:v>68.900000000000006</c:v>
                </c:pt>
                <c:pt idx="19">
                  <c:v>66.3</c:v>
                </c:pt>
                <c:pt idx="20">
                  <c:v>64.900000000000006</c:v>
                </c:pt>
              </c:numCache>
              <c:extLst/>
            </c:numRef>
          </c:val>
          <c:extLst>
            <c:ext xmlns:c16="http://schemas.microsoft.com/office/drawing/2014/chart" uri="{C3380CC4-5D6E-409C-BE32-E72D297353CC}">
              <c16:uniqueId val="{00000001-83A5-43D0-A5B3-C3B6B7978900}"/>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#N/A</c:v>
                </c:pt>
                <c:pt idx="1">
                  <c:v>#N/A</c:v>
                </c:pt>
                <c:pt idx="2">
                  <c:v>#N/A</c:v>
                </c:pt>
                <c:pt idx="3">
                  <c:v>#N/A</c:v>
                </c:pt>
                <c:pt idx="4">
                  <c:v>#N/A</c:v>
                </c:pt>
                <c:pt idx="5">
                  <c:v>#N/A</c:v>
                </c:pt>
                <c:pt idx="6">
                  <c:v>#N/A</c:v>
                </c:pt>
                <c:pt idx="7">
                  <c:v>#N/A</c:v>
                </c:pt>
                <c:pt idx="8">
                  <c:v>#N/A</c:v>
                </c:pt>
                <c:pt idx="9">
                  <c:v>68</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2-83A5-43D0-A5B3-C3B6B7978900}"/>
            </c:ext>
          </c:extLst>
        </c:ser>
        <c:dLbls>
          <c:showLegendKey val="0"/>
          <c:showVal val="0"/>
          <c:showCatName val="0"/>
          <c:showSerName val="0"/>
          <c:showPercent val="0"/>
          <c:showBubbleSize val="0"/>
        </c:dLbls>
        <c:gapWidth val="50"/>
        <c:overlap val="100"/>
        <c:axId val="277881744"/>
        <c:axId val="27788096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83A5-43D0-A5B3-C3B6B7978900}"/>
            </c:ext>
          </c:extLst>
        </c:ser>
        <c:dLbls>
          <c:showLegendKey val="0"/>
          <c:showVal val="0"/>
          <c:showCatName val="0"/>
          <c:showSerName val="0"/>
          <c:showPercent val="0"/>
          <c:showBubbleSize val="0"/>
        </c:dLbls>
        <c:marker val="1"/>
        <c:smooth val="0"/>
        <c:axId val="277881744"/>
        <c:axId val="277880960"/>
      </c:lineChart>
      <c:catAx>
        <c:axId val="27788174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77880960"/>
        <c:crosses val="autoZero"/>
        <c:auto val="1"/>
        <c:lblAlgn val="ctr"/>
        <c:lblOffset val="100"/>
        <c:tickLblSkip val="1"/>
        <c:noMultiLvlLbl val="0"/>
      </c:catAx>
      <c:valAx>
        <c:axId val="27788096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7788174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350D-41E2-B7B4-32E3ED5D338B}"/>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67.5</c:v>
                </c:pt>
                <c:pt idx="1">
                  <c:v>70.400000000000006</c:v>
                </c:pt>
                <c:pt idx="2">
                  <c:v>69.900000000000006</c:v>
                </c:pt>
                <c:pt idx="3">
                  <c:v>78.3</c:v>
                </c:pt>
                <c:pt idx="4">
                  <c:v>60.6</c:v>
                </c:pt>
                <c:pt idx="5">
                  <c:v>70</c:v>
                </c:pt>
                <c:pt idx="6">
                  <c:v>66.8</c:v>
                </c:pt>
                <c:pt idx="7">
                  <c:v>67.7</c:v>
                </c:pt>
                <c:pt idx="8">
                  <c:v>65.599999999999994</c:v>
                </c:pt>
                <c:pt idx="9">
                  <c:v>67.5</c:v>
                </c:pt>
                <c:pt idx="10">
                  <c:v>65.2</c:v>
                </c:pt>
                <c:pt idx="11">
                  <c:v>69.2</c:v>
                </c:pt>
                <c:pt idx="12">
                  <c:v>69.2</c:v>
                </c:pt>
                <c:pt idx="13">
                  <c:v>69.5</c:v>
                </c:pt>
                <c:pt idx="14">
                  <c:v>75.400000000000006</c:v>
                </c:pt>
                <c:pt idx="15">
                  <c:v>69.3</c:v>
                </c:pt>
                <c:pt idx="16">
                  <c:v>36</c:v>
                </c:pt>
                <c:pt idx="17">
                  <c:v>63.4</c:v>
                </c:pt>
                <c:pt idx="18">
                  <c:v>56.4</c:v>
                </c:pt>
                <c:pt idx="19">
                  <c:v>60.3</c:v>
                </c:pt>
                <c:pt idx="20">
                  <c:v>72.3</c:v>
                </c:pt>
              </c:numCache>
              <c:extLst/>
            </c:numRef>
          </c:val>
          <c:extLst>
            <c:ext xmlns:c16="http://schemas.microsoft.com/office/drawing/2014/chart" uri="{C3380CC4-5D6E-409C-BE32-E72D297353CC}">
              <c16:uniqueId val="{00000001-350D-41E2-B7B4-32E3ED5D338B}"/>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#N/A</c:v>
                </c:pt>
                <c:pt idx="1">
                  <c:v>#N/A</c:v>
                </c:pt>
                <c:pt idx="2">
                  <c:v>#N/A</c:v>
                </c:pt>
                <c:pt idx="3">
                  <c:v>#N/A</c:v>
                </c:pt>
                <c:pt idx="4">
                  <c:v>#N/A</c:v>
                </c:pt>
                <c:pt idx="5">
                  <c:v>#N/A</c:v>
                </c:pt>
                <c:pt idx="6">
                  <c:v>#N/A</c:v>
                </c:pt>
                <c:pt idx="7">
                  <c:v>#N/A</c:v>
                </c:pt>
                <c:pt idx="8">
                  <c:v>#N/A</c:v>
                </c:pt>
                <c:pt idx="9">
                  <c:v>67.5</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2-350D-41E2-B7B4-32E3ED5D338B}"/>
            </c:ext>
          </c:extLst>
        </c:ser>
        <c:dLbls>
          <c:showLegendKey val="0"/>
          <c:showVal val="0"/>
          <c:showCatName val="0"/>
          <c:showSerName val="0"/>
          <c:showPercent val="0"/>
          <c:showBubbleSize val="0"/>
        </c:dLbls>
        <c:gapWidth val="50"/>
        <c:overlap val="100"/>
        <c:axId val="277883704"/>
        <c:axId val="27788252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350D-41E2-B7B4-32E3ED5D338B}"/>
            </c:ext>
          </c:extLst>
        </c:ser>
        <c:dLbls>
          <c:showLegendKey val="0"/>
          <c:showVal val="0"/>
          <c:showCatName val="0"/>
          <c:showSerName val="0"/>
          <c:showPercent val="0"/>
          <c:showBubbleSize val="0"/>
        </c:dLbls>
        <c:marker val="1"/>
        <c:smooth val="0"/>
        <c:axId val="277883704"/>
        <c:axId val="277882528"/>
      </c:lineChart>
      <c:catAx>
        <c:axId val="27788370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77882528"/>
        <c:crosses val="autoZero"/>
        <c:auto val="1"/>
        <c:lblAlgn val="ctr"/>
        <c:lblOffset val="100"/>
        <c:tickLblSkip val="1"/>
        <c:noMultiLvlLbl val="0"/>
      </c:catAx>
      <c:valAx>
        <c:axId val="27788252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7788370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0B23-4D39-9A7C-037FAEB00F2E}"/>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71.900000000000006</c:v>
                </c:pt>
                <c:pt idx="1">
                  <c:v>65.900000000000006</c:v>
                </c:pt>
                <c:pt idx="2">
                  <c:v>63.1</c:v>
                </c:pt>
                <c:pt idx="3">
                  <c:v>70.2</c:v>
                </c:pt>
                <c:pt idx="4">
                  <c:v>69.2</c:v>
                </c:pt>
                <c:pt idx="5">
                  <c:v>71.7</c:v>
                </c:pt>
                <c:pt idx="6">
                  <c:v>70</c:v>
                </c:pt>
                <c:pt idx="7">
                  <c:v>71.5</c:v>
                </c:pt>
                <c:pt idx="8">
                  <c:v>75.099999999999994</c:v>
                </c:pt>
                <c:pt idx="9">
                  <c:v>73.599999999999994</c:v>
                </c:pt>
                <c:pt idx="10">
                  <c:v>77.599999999999994</c:v>
                </c:pt>
                <c:pt idx="11">
                  <c:v>76.7</c:v>
                </c:pt>
                <c:pt idx="12">
                  <c:v>74</c:v>
                </c:pt>
                <c:pt idx="13">
                  <c:v>72.900000000000006</c:v>
                </c:pt>
                <c:pt idx="14">
                  <c:v>77.599999999999994</c:v>
                </c:pt>
                <c:pt idx="15">
                  <c:v>79.900000000000006</c:v>
                </c:pt>
                <c:pt idx="16">
                  <c:v>75.5</c:v>
                </c:pt>
                <c:pt idx="17">
                  <c:v>76.2</c:v>
                </c:pt>
                <c:pt idx="18">
                  <c:v>76.2</c:v>
                </c:pt>
                <c:pt idx="19">
                  <c:v>74.599999999999994</c:v>
                </c:pt>
                <c:pt idx="20">
                  <c:v>71.900000000000006</c:v>
                </c:pt>
              </c:numCache>
              <c:extLst/>
            </c:numRef>
          </c:val>
          <c:extLst>
            <c:ext xmlns:c16="http://schemas.microsoft.com/office/drawing/2014/chart" uri="{C3380CC4-5D6E-409C-BE32-E72D297353CC}">
              <c16:uniqueId val="{00000001-0B23-4D39-9A7C-037FAEB00F2E}"/>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#N/A</c:v>
                </c:pt>
                <c:pt idx="1">
                  <c:v>#N/A</c:v>
                </c:pt>
                <c:pt idx="2">
                  <c:v>#N/A</c:v>
                </c:pt>
                <c:pt idx="3">
                  <c:v>#N/A</c:v>
                </c:pt>
                <c:pt idx="4">
                  <c:v>#N/A</c:v>
                </c:pt>
                <c:pt idx="5">
                  <c:v>#N/A</c:v>
                </c:pt>
                <c:pt idx="6">
                  <c:v>#N/A</c:v>
                </c:pt>
                <c:pt idx="7">
                  <c:v>#N/A</c:v>
                </c:pt>
                <c:pt idx="8">
                  <c:v>#N/A</c:v>
                </c:pt>
                <c:pt idx="9">
                  <c:v>73.599999999999994</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2-0B23-4D39-9A7C-037FAEB00F2E}"/>
            </c:ext>
          </c:extLst>
        </c:ser>
        <c:dLbls>
          <c:showLegendKey val="0"/>
          <c:showVal val="0"/>
          <c:showCatName val="0"/>
          <c:showSerName val="0"/>
          <c:showPercent val="0"/>
          <c:showBubbleSize val="0"/>
        </c:dLbls>
        <c:gapWidth val="50"/>
        <c:overlap val="100"/>
        <c:axId val="277883312"/>
        <c:axId val="70232878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0B23-4D39-9A7C-037FAEB00F2E}"/>
            </c:ext>
          </c:extLst>
        </c:ser>
        <c:dLbls>
          <c:showLegendKey val="0"/>
          <c:showVal val="0"/>
          <c:showCatName val="0"/>
          <c:showSerName val="0"/>
          <c:showPercent val="0"/>
          <c:showBubbleSize val="0"/>
        </c:dLbls>
        <c:marker val="1"/>
        <c:smooth val="0"/>
        <c:axId val="277883312"/>
        <c:axId val="702328784"/>
      </c:lineChart>
      <c:catAx>
        <c:axId val="27788331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02328784"/>
        <c:crosses val="autoZero"/>
        <c:auto val="1"/>
        <c:lblAlgn val="ctr"/>
        <c:lblOffset val="100"/>
        <c:tickLblSkip val="1"/>
        <c:noMultiLvlLbl val="0"/>
      </c:catAx>
      <c:valAx>
        <c:axId val="70232878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7788331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820EE-BEF0-4FC6-9940-0EB16EB84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1392</Words>
  <Characters>7938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2018-01-23T00:02:00Z</cp:lastPrinted>
  <dcterms:created xsi:type="dcterms:W3CDTF">2023-07-17T22:55:00Z</dcterms:created>
  <dcterms:modified xsi:type="dcterms:W3CDTF">2023-07-17T22:55:00Z</dcterms:modified>
</cp:coreProperties>
</file>