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713BC"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935CE1" w:rsidRPr="00935CE1">
        <w:rPr>
          <w:rFonts w:cs="Times New Roman"/>
          <w:b/>
          <w:sz w:val="72"/>
        </w:rPr>
        <w:t>Northland</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751CE724"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70DC33BB" w14:textId="77777777" w:rsidR="00115CAE" w:rsidRPr="001414CF" w:rsidRDefault="00935CE1" w:rsidP="00115CAE">
      <w:pPr>
        <w:spacing w:line="264" w:lineRule="auto"/>
        <w:ind w:right="424"/>
        <w:rPr>
          <w:rFonts w:cs="Times New Roman"/>
          <w:sz w:val="56"/>
        </w:rPr>
      </w:pPr>
      <w:r w:rsidRPr="00935CE1">
        <w:rPr>
          <w:rFonts w:cs="Times New Roman"/>
          <w:sz w:val="56"/>
        </w:rPr>
        <w:t>31 December 2016</w:t>
      </w:r>
    </w:p>
    <w:p w14:paraId="4AB97D40"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4906E4E1"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491890">
        <w:rPr>
          <w:rFonts w:cs="Times New Roman"/>
        </w:rPr>
        <w:t>February</w:t>
      </w:r>
      <w:r w:rsidR="00935CE1" w:rsidRPr="00935CE1">
        <w:rPr>
          <w:rFonts w:cs="Times New Roman"/>
        </w:rPr>
        <w:t xml:space="preserve">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935CE1" w:rsidRPr="00935CE1">
        <w:rPr>
          <w:rFonts w:cs="Times New Roman"/>
          <w:i/>
        </w:rPr>
        <w:t>31 December 2016</w:t>
      </w:r>
      <w:r w:rsidRPr="00982FA0">
        <w:rPr>
          <w:rFonts w:cs="Times New Roman"/>
        </w:rPr>
        <w:t>. Wellington: Ministry of Health.</w:t>
      </w:r>
    </w:p>
    <w:p w14:paraId="28876368"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491890">
        <w:rPr>
          <w:rFonts w:cs="Times New Roman"/>
        </w:rPr>
        <w:t>Februar</w:t>
      </w:r>
      <w:r w:rsidR="00935CE1" w:rsidRPr="00935CE1">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6CFD542F" w14:textId="77777777" w:rsidR="00115CAE" w:rsidRPr="00982FA0" w:rsidRDefault="00935CE1" w:rsidP="00115CAE">
      <w:pPr>
        <w:spacing w:after="240" w:line="264" w:lineRule="auto"/>
        <w:jc w:val="center"/>
        <w:rPr>
          <w:rFonts w:cs="Times New Roman"/>
        </w:rPr>
      </w:pPr>
      <w:r w:rsidRPr="00935CE1">
        <w:rPr>
          <w:rFonts w:cs="Times New Roman"/>
        </w:rPr>
        <w:t xml:space="preserve">2422-9148 </w:t>
      </w:r>
      <w:r w:rsidR="00070AAE" w:rsidRPr="00982FA0">
        <w:rPr>
          <w:rFonts w:cs="Times New Roman"/>
        </w:rPr>
        <w:t xml:space="preserve"> </w:t>
      </w:r>
      <w:r w:rsidR="00115CAE" w:rsidRPr="00982FA0">
        <w:rPr>
          <w:rFonts w:cs="Times New Roman"/>
        </w:rPr>
        <w:t>(online)</w:t>
      </w:r>
      <w:r w:rsidR="00115CAE" w:rsidRPr="00982FA0">
        <w:rPr>
          <w:rFonts w:cs="Times New Roman"/>
        </w:rPr>
        <w:br/>
      </w:r>
    </w:p>
    <w:p w14:paraId="4D93933F"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3184C19D" w14:textId="77777777" w:rsidR="00115CAE" w:rsidRPr="00F079BE" w:rsidRDefault="00115CAE" w:rsidP="00115CAE"/>
    <w:p w14:paraId="4D0462D3"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3C501ABC" w14:textId="77777777" w:rsidR="00115CAE" w:rsidRDefault="00115CAE" w:rsidP="00115CAE">
      <w:pPr>
        <w:pStyle w:val="Contentsheading"/>
        <w:rPr>
          <w:noProof/>
        </w:rPr>
      </w:pPr>
      <w:r>
        <w:rPr>
          <w:noProof/>
        </w:rPr>
        <w:lastRenderedPageBreak/>
        <w:t>Contents</w:t>
      </w:r>
    </w:p>
    <w:p w14:paraId="681E6F38" w14:textId="77777777" w:rsidR="00597072"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597072">
        <w:rPr>
          <w:noProof/>
        </w:rPr>
        <w:t>Introduction</w:t>
      </w:r>
      <w:r w:rsidR="00597072">
        <w:rPr>
          <w:noProof/>
        </w:rPr>
        <w:tab/>
      </w:r>
      <w:r w:rsidR="00597072">
        <w:rPr>
          <w:noProof/>
        </w:rPr>
        <w:fldChar w:fldCharType="begin"/>
      </w:r>
      <w:r w:rsidR="00597072">
        <w:rPr>
          <w:noProof/>
        </w:rPr>
        <w:instrText xml:space="preserve"> PAGEREF _Toc472664456 \h </w:instrText>
      </w:r>
      <w:r w:rsidR="00597072">
        <w:rPr>
          <w:noProof/>
        </w:rPr>
      </w:r>
      <w:r w:rsidR="00597072">
        <w:rPr>
          <w:noProof/>
        </w:rPr>
        <w:fldChar w:fldCharType="separate"/>
      </w:r>
      <w:r w:rsidR="003135D4">
        <w:rPr>
          <w:noProof/>
        </w:rPr>
        <w:t>1</w:t>
      </w:r>
      <w:r w:rsidR="00597072">
        <w:rPr>
          <w:noProof/>
        </w:rPr>
        <w:fldChar w:fldCharType="end"/>
      </w:r>
    </w:p>
    <w:p w14:paraId="729D97C6" w14:textId="77777777" w:rsidR="00597072" w:rsidRDefault="00597072">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_Toc472664457 \h </w:instrText>
      </w:r>
      <w:r>
        <w:rPr>
          <w:noProof/>
        </w:rPr>
      </w:r>
      <w:r>
        <w:rPr>
          <w:noProof/>
        </w:rPr>
        <w:fldChar w:fldCharType="separate"/>
      </w:r>
      <w:r w:rsidR="003135D4">
        <w:rPr>
          <w:noProof/>
        </w:rPr>
        <w:t>2</w:t>
      </w:r>
      <w:r>
        <w:rPr>
          <w:noProof/>
        </w:rPr>
        <w:fldChar w:fldCharType="end"/>
      </w:r>
    </w:p>
    <w:p w14:paraId="22D47E5E" w14:textId="77777777" w:rsidR="00597072" w:rsidRDefault="00597072">
      <w:pPr>
        <w:pStyle w:val="TOC1"/>
        <w:tabs>
          <w:tab w:val="right" w:leader="dot" w:pos="9345"/>
        </w:tabs>
        <w:rPr>
          <w:rFonts w:asciiTheme="minorHAnsi" w:hAnsiTheme="minorHAnsi"/>
          <w:noProof/>
          <w:sz w:val="22"/>
        </w:rPr>
      </w:pPr>
      <w:r>
        <w:rPr>
          <w:noProof/>
        </w:rPr>
        <w:t>Northland coverage</w:t>
      </w:r>
      <w:r>
        <w:rPr>
          <w:noProof/>
        </w:rPr>
        <w:tab/>
      </w:r>
      <w:r>
        <w:rPr>
          <w:noProof/>
        </w:rPr>
        <w:fldChar w:fldCharType="begin"/>
      </w:r>
      <w:r>
        <w:rPr>
          <w:noProof/>
        </w:rPr>
        <w:instrText xml:space="preserve"> PAGEREF _Toc472664458 \h </w:instrText>
      </w:r>
      <w:r>
        <w:rPr>
          <w:noProof/>
        </w:rPr>
      </w:r>
      <w:r>
        <w:rPr>
          <w:noProof/>
        </w:rPr>
        <w:fldChar w:fldCharType="separate"/>
      </w:r>
      <w:r w:rsidR="003135D4">
        <w:rPr>
          <w:noProof/>
        </w:rPr>
        <w:t>3</w:t>
      </w:r>
      <w:r>
        <w:rPr>
          <w:noProof/>
        </w:rPr>
        <w:fldChar w:fldCharType="end"/>
      </w:r>
    </w:p>
    <w:p w14:paraId="4D00A44E" w14:textId="77777777" w:rsidR="00597072" w:rsidRDefault="00597072">
      <w:pPr>
        <w:pStyle w:val="TOC2"/>
        <w:tabs>
          <w:tab w:val="right" w:leader="dot" w:pos="9345"/>
        </w:tabs>
        <w:rPr>
          <w:rFonts w:asciiTheme="minorHAnsi" w:hAnsiTheme="minorHAnsi"/>
          <w:noProof/>
        </w:rPr>
      </w:pPr>
      <w:r>
        <w:rPr>
          <w:noProof/>
        </w:rPr>
        <w:t>Northland coverage by ethnicity in the two years ending 31 December 2016</w:t>
      </w:r>
      <w:r>
        <w:rPr>
          <w:noProof/>
        </w:rPr>
        <w:tab/>
      </w:r>
      <w:r>
        <w:rPr>
          <w:noProof/>
        </w:rPr>
        <w:fldChar w:fldCharType="begin"/>
      </w:r>
      <w:r>
        <w:rPr>
          <w:noProof/>
        </w:rPr>
        <w:instrText xml:space="preserve"> PAGEREF _Toc472664459 \h </w:instrText>
      </w:r>
      <w:r>
        <w:rPr>
          <w:noProof/>
        </w:rPr>
      </w:r>
      <w:r>
        <w:rPr>
          <w:noProof/>
        </w:rPr>
        <w:fldChar w:fldCharType="separate"/>
      </w:r>
      <w:r w:rsidR="003135D4">
        <w:rPr>
          <w:noProof/>
        </w:rPr>
        <w:t>3</w:t>
      </w:r>
      <w:r>
        <w:rPr>
          <w:noProof/>
        </w:rPr>
        <w:fldChar w:fldCharType="end"/>
      </w:r>
    </w:p>
    <w:p w14:paraId="2CAC1B1B" w14:textId="77777777" w:rsidR="00597072" w:rsidRDefault="00597072">
      <w:pPr>
        <w:pStyle w:val="TOC2"/>
        <w:tabs>
          <w:tab w:val="right" w:leader="dot" w:pos="9345"/>
        </w:tabs>
        <w:rPr>
          <w:rFonts w:asciiTheme="minorHAnsi" w:hAnsiTheme="minorHAnsi"/>
          <w:noProof/>
        </w:rPr>
      </w:pPr>
      <w:r>
        <w:rPr>
          <w:noProof/>
        </w:rPr>
        <w:t>Northland coverage trends by ethnicity</w:t>
      </w:r>
      <w:r>
        <w:rPr>
          <w:noProof/>
        </w:rPr>
        <w:tab/>
      </w:r>
      <w:r>
        <w:rPr>
          <w:noProof/>
        </w:rPr>
        <w:fldChar w:fldCharType="begin"/>
      </w:r>
      <w:r>
        <w:rPr>
          <w:noProof/>
        </w:rPr>
        <w:instrText xml:space="preserve"> PAGEREF _Toc472664460 \h </w:instrText>
      </w:r>
      <w:r>
        <w:rPr>
          <w:noProof/>
        </w:rPr>
      </w:r>
      <w:r>
        <w:rPr>
          <w:noProof/>
        </w:rPr>
        <w:fldChar w:fldCharType="separate"/>
      </w:r>
      <w:r w:rsidR="003135D4">
        <w:rPr>
          <w:noProof/>
        </w:rPr>
        <w:t>4</w:t>
      </w:r>
      <w:r>
        <w:rPr>
          <w:noProof/>
        </w:rPr>
        <w:fldChar w:fldCharType="end"/>
      </w:r>
    </w:p>
    <w:p w14:paraId="61989B52" w14:textId="77777777" w:rsidR="00597072" w:rsidRDefault="00597072">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_Toc472664461 \h </w:instrText>
      </w:r>
      <w:r>
        <w:rPr>
          <w:noProof/>
        </w:rPr>
      </w:r>
      <w:r>
        <w:rPr>
          <w:noProof/>
        </w:rPr>
        <w:fldChar w:fldCharType="separate"/>
      </w:r>
      <w:r w:rsidR="003135D4">
        <w:rPr>
          <w:noProof/>
        </w:rPr>
        <w:t>5</w:t>
      </w:r>
      <w:r>
        <w:rPr>
          <w:noProof/>
        </w:rPr>
        <w:fldChar w:fldCharType="end"/>
      </w:r>
    </w:p>
    <w:p w14:paraId="368B81B1" w14:textId="77777777" w:rsidR="00597072" w:rsidRDefault="00597072">
      <w:pPr>
        <w:pStyle w:val="TOC2"/>
        <w:tabs>
          <w:tab w:val="right" w:leader="dot" w:pos="9345"/>
        </w:tabs>
        <w:rPr>
          <w:rFonts w:asciiTheme="minorHAnsi" w:hAnsiTheme="minorHAnsi"/>
          <w:noProof/>
        </w:rPr>
      </w:pPr>
      <w:r>
        <w:rPr>
          <w:noProof/>
        </w:rPr>
        <w:t>DHB coverage by ethnicity in the two years ending 31 December 2016</w:t>
      </w:r>
      <w:r>
        <w:rPr>
          <w:noProof/>
        </w:rPr>
        <w:tab/>
      </w:r>
      <w:r>
        <w:rPr>
          <w:noProof/>
        </w:rPr>
        <w:fldChar w:fldCharType="begin"/>
      </w:r>
      <w:r>
        <w:rPr>
          <w:noProof/>
        </w:rPr>
        <w:instrText xml:space="preserve"> PAGEREF _Toc472664462 \h </w:instrText>
      </w:r>
      <w:r>
        <w:rPr>
          <w:noProof/>
        </w:rPr>
      </w:r>
      <w:r>
        <w:rPr>
          <w:noProof/>
        </w:rPr>
        <w:fldChar w:fldCharType="separate"/>
      </w:r>
      <w:r w:rsidR="003135D4">
        <w:rPr>
          <w:noProof/>
        </w:rPr>
        <w:t>5</w:t>
      </w:r>
      <w:r>
        <w:rPr>
          <w:noProof/>
        </w:rPr>
        <w:fldChar w:fldCharType="end"/>
      </w:r>
    </w:p>
    <w:p w14:paraId="20FB222B" w14:textId="77777777" w:rsidR="00597072" w:rsidRDefault="00597072">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_Toc472664463 \h </w:instrText>
      </w:r>
      <w:r>
        <w:rPr>
          <w:noProof/>
        </w:rPr>
      </w:r>
      <w:r>
        <w:rPr>
          <w:noProof/>
        </w:rPr>
        <w:fldChar w:fldCharType="separate"/>
      </w:r>
      <w:r w:rsidR="003135D4">
        <w:rPr>
          <w:noProof/>
        </w:rPr>
        <w:t>11</w:t>
      </w:r>
      <w:r>
        <w:rPr>
          <w:noProof/>
        </w:rPr>
        <w:fldChar w:fldCharType="end"/>
      </w:r>
    </w:p>
    <w:p w14:paraId="5D5A8E4E"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7612397F" w14:textId="77777777" w:rsidR="00597072"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597072">
        <w:rPr>
          <w:noProof/>
        </w:rPr>
        <w:t>Table 1: BSA coverage (%) in the two years ending 31 December 2016 by ethnicity, women aged 50–69 years, Total Coverage</w:t>
      </w:r>
      <w:r w:rsidR="00597072">
        <w:rPr>
          <w:noProof/>
        </w:rPr>
        <w:tab/>
      </w:r>
      <w:r w:rsidR="00597072">
        <w:rPr>
          <w:noProof/>
        </w:rPr>
        <w:fldChar w:fldCharType="begin"/>
      </w:r>
      <w:r w:rsidR="00597072">
        <w:rPr>
          <w:noProof/>
        </w:rPr>
        <w:instrText xml:space="preserve"> PAGEREF _Toc472664464 \h </w:instrText>
      </w:r>
      <w:r w:rsidR="00597072">
        <w:rPr>
          <w:noProof/>
        </w:rPr>
      </w:r>
      <w:r w:rsidR="00597072">
        <w:rPr>
          <w:noProof/>
        </w:rPr>
        <w:fldChar w:fldCharType="separate"/>
      </w:r>
      <w:r w:rsidR="003135D4">
        <w:rPr>
          <w:noProof/>
        </w:rPr>
        <w:t>3</w:t>
      </w:r>
      <w:r w:rsidR="00597072">
        <w:rPr>
          <w:noProof/>
        </w:rPr>
        <w:fldChar w:fldCharType="end"/>
      </w:r>
    </w:p>
    <w:p w14:paraId="3434C44F" w14:textId="77777777" w:rsidR="00597072" w:rsidRDefault="00597072">
      <w:pPr>
        <w:pStyle w:val="TOC3"/>
        <w:tabs>
          <w:tab w:val="right" w:leader="dot" w:pos="9345"/>
        </w:tabs>
        <w:rPr>
          <w:rFonts w:asciiTheme="minorHAnsi" w:hAnsiTheme="minorHAnsi"/>
          <w:noProof/>
        </w:rPr>
      </w:pPr>
      <w:r>
        <w:rPr>
          <w:noProof/>
        </w:rPr>
        <w:t>Table 2: BSA number of screens in women aged 50–69 years by ethnicity and quarter, Quarter 4 2015 –Quarter 4 2016, All District Health Boards</w:t>
      </w:r>
      <w:r>
        <w:rPr>
          <w:noProof/>
        </w:rPr>
        <w:tab/>
      </w:r>
      <w:r>
        <w:rPr>
          <w:noProof/>
        </w:rPr>
        <w:fldChar w:fldCharType="begin"/>
      </w:r>
      <w:r>
        <w:rPr>
          <w:noProof/>
        </w:rPr>
        <w:instrText xml:space="preserve"> PAGEREF _Toc472664465 \h </w:instrText>
      </w:r>
      <w:r>
        <w:rPr>
          <w:noProof/>
        </w:rPr>
      </w:r>
      <w:r>
        <w:rPr>
          <w:noProof/>
        </w:rPr>
        <w:fldChar w:fldCharType="separate"/>
      </w:r>
      <w:r w:rsidR="003135D4">
        <w:rPr>
          <w:noProof/>
        </w:rPr>
        <w:t>4</w:t>
      </w:r>
      <w:r>
        <w:rPr>
          <w:noProof/>
        </w:rPr>
        <w:fldChar w:fldCharType="end"/>
      </w:r>
    </w:p>
    <w:p w14:paraId="675BD83F" w14:textId="77777777" w:rsidR="00597072" w:rsidRDefault="00597072">
      <w:pPr>
        <w:pStyle w:val="TOC3"/>
        <w:tabs>
          <w:tab w:val="right" w:leader="dot" w:pos="9345"/>
        </w:tabs>
        <w:rPr>
          <w:rFonts w:asciiTheme="minorHAnsi" w:hAnsiTheme="minorHAnsi"/>
          <w:noProof/>
        </w:rPr>
      </w:pPr>
      <w:r>
        <w:rPr>
          <w:noProof/>
        </w:rPr>
        <w:t>Table 3: BSA number of screens and coverage (%) in women aged 50–69 years in the two years ending 31 December 2016 by District Health Board</w:t>
      </w:r>
      <w:r>
        <w:rPr>
          <w:noProof/>
        </w:rPr>
        <w:tab/>
      </w:r>
      <w:r>
        <w:rPr>
          <w:noProof/>
        </w:rPr>
        <w:fldChar w:fldCharType="begin"/>
      </w:r>
      <w:r>
        <w:rPr>
          <w:noProof/>
        </w:rPr>
        <w:instrText xml:space="preserve"> PAGEREF _Toc472664466 \h </w:instrText>
      </w:r>
      <w:r>
        <w:rPr>
          <w:noProof/>
        </w:rPr>
      </w:r>
      <w:r>
        <w:rPr>
          <w:noProof/>
        </w:rPr>
        <w:fldChar w:fldCharType="separate"/>
      </w:r>
      <w:r w:rsidR="003135D4">
        <w:rPr>
          <w:noProof/>
        </w:rPr>
        <w:t>10</w:t>
      </w:r>
      <w:r>
        <w:rPr>
          <w:noProof/>
        </w:rPr>
        <w:fldChar w:fldCharType="end"/>
      </w:r>
    </w:p>
    <w:p w14:paraId="4983E904" w14:textId="77777777" w:rsidR="00597072" w:rsidRDefault="00597072">
      <w:pPr>
        <w:pStyle w:val="TOC3"/>
        <w:tabs>
          <w:tab w:val="right" w:leader="dot" w:pos="9345"/>
        </w:tabs>
        <w:rPr>
          <w:rFonts w:asciiTheme="minorHAnsi" w:hAnsiTheme="minorHAnsi"/>
          <w:noProof/>
        </w:rPr>
      </w:pPr>
      <w:r>
        <w:rPr>
          <w:noProof/>
        </w:rPr>
        <w:t>Table 4: BSA coverage (%) of women aged 50–69 years in the two years ending 31 December, 2014, 2015, 2016, by ethnicity and District Health Board</w:t>
      </w:r>
      <w:r>
        <w:rPr>
          <w:noProof/>
        </w:rPr>
        <w:tab/>
      </w:r>
      <w:r>
        <w:rPr>
          <w:noProof/>
        </w:rPr>
        <w:fldChar w:fldCharType="begin"/>
      </w:r>
      <w:r>
        <w:rPr>
          <w:noProof/>
        </w:rPr>
        <w:instrText xml:space="preserve"> PAGEREF _Toc472664467 \h </w:instrText>
      </w:r>
      <w:r>
        <w:rPr>
          <w:noProof/>
        </w:rPr>
      </w:r>
      <w:r>
        <w:rPr>
          <w:noProof/>
        </w:rPr>
        <w:fldChar w:fldCharType="separate"/>
      </w:r>
      <w:r w:rsidR="003135D4">
        <w:rPr>
          <w:noProof/>
        </w:rPr>
        <w:t>11</w:t>
      </w:r>
      <w:r>
        <w:rPr>
          <w:noProof/>
        </w:rPr>
        <w:fldChar w:fldCharType="end"/>
      </w:r>
    </w:p>
    <w:p w14:paraId="648F0928"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5E5F210A" w14:textId="77777777" w:rsidR="00597072"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597072">
        <w:rPr>
          <w:noProof/>
        </w:rPr>
        <w:t>Figure 1: BSA coverage (%) in the two years ending 31 December 2016 by ethnicity, women aged 50–69 years, Total Coverage</w:t>
      </w:r>
      <w:r w:rsidR="00597072">
        <w:rPr>
          <w:noProof/>
        </w:rPr>
        <w:tab/>
      </w:r>
      <w:r w:rsidR="00597072">
        <w:rPr>
          <w:noProof/>
        </w:rPr>
        <w:fldChar w:fldCharType="begin"/>
      </w:r>
      <w:r w:rsidR="00597072">
        <w:rPr>
          <w:noProof/>
        </w:rPr>
        <w:instrText xml:space="preserve"> PAGEREF _Toc472664468 \h </w:instrText>
      </w:r>
      <w:r w:rsidR="00597072">
        <w:rPr>
          <w:noProof/>
        </w:rPr>
      </w:r>
      <w:r w:rsidR="00597072">
        <w:rPr>
          <w:noProof/>
        </w:rPr>
        <w:fldChar w:fldCharType="separate"/>
      </w:r>
      <w:r w:rsidR="003135D4">
        <w:rPr>
          <w:noProof/>
        </w:rPr>
        <w:t>3</w:t>
      </w:r>
      <w:r w:rsidR="00597072">
        <w:rPr>
          <w:noProof/>
        </w:rPr>
        <w:fldChar w:fldCharType="end"/>
      </w:r>
    </w:p>
    <w:p w14:paraId="028370DA" w14:textId="77777777" w:rsidR="00597072" w:rsidRDefault="00597072">
      <w:pPr>
        <w:pStyle w:val="TOC3"/>
        <w:tabs>
          <w:tab w:val="right" w:leader="dot" w:pos="9345"/>
        </w:tabs>
        <w:rPr>
          <w:rFonts w:asciiTheme="minorHAnsi" w:hAnsiTheme="minorHAnsi"/>
          <w:noProof/>
        </w:rPr>
      </w:pPr>
      <w:r>
        <w:rPr>
          <w:noProof/>
        </w:rPr>
        <w:t>Figure 2: BSA coverage (%) of women aged 50–69 years in the two years ending 31 December 2016 by ethnicity, Total Coverage</w:t>
      </w:r>
      <w:r>
        <w:rPr>
          <w:noProof/>
        </w:rPr>
        <w:tab/>
      </w:r>
      <w:r>
        <w:rPr>
          <w:noProof/>
        </w:rPr>
        <w:fldChar w:fldCharType="begin"/>
      </w:r>
      <w:r>
        <w:rPr>
          <w:noProof/>
        </w:rPr>
        <w:instrText xml:space="preserve"> PAGEREF _Toc472664469 \h </w:instrText>
      </w:r>
      <w:r>
        <w:rPr>
          <w:noProof/>
        </w:rPr>
      </w:r>
      <w:r>
        <w:rPr>
          <w:noProof/>
        </w:rPr>
        <w:fldChar w:fldCharType="separate"/>
      </w:r>
      <w:r w:rsidR="003135D4">
        <w:rPr>
          <w:noProof/>
        </w:rPr>
        <w:t>4</w:t>
      </w:r>
      <w:r>
        <w:rPr>
          <w:noProof/>
        </w:rPr>
        <w:fldChar w:fldCharType="end"/>
      </w:r>
    </w:p>
    <w:p w14:paraId="078D041C" w14:textId="77777777" w:rsidR="00597072" w:rsidRDefault="00597072">
      <w:pPr>
        <w:pStyle w:val="TOC3"/>
        <w:tabs>
          <w:tab w:val="right" w:leader="dot" w:pos="9345"/>
        </w:tabs>
        <w:rPr>
          <w:rFonts w:asciiTheme="minorHAnsi" w:hAnsiTheme="minorHAnsi"/>
          <w:noProof/>
        </w:rPr>
      </w:pPr>
      <w:r>
        <w:rPr>
          <w:noProof/>
        </w:rPr>
        <w:t>Figure 3: BSA coverage (%) of Māori women aged 50–69 years in the two years ending 31 December 2016 by District Health Board</w:t>
      </w:r>
      <w:r>
        <w:rPr>
          <w:noProof/>
        </w:rPr>
        <w:tab/>
      </w:r>
      <w:r>
        <w:rPr>
          <w:noProof/>
        </w:rPr>
        <w:fldChar w:fldCharType="begin"/>
      </w:r>
      <w:r>
        <w:rPr>
          <w:noProof/>
        </w:rPr>
        <w:instrText xml:space="preserve"> PAGEREF _Toc472664470 \h </w:instrText>
      </w:r>
      <w:r>
        <w:rPr>
          <w:noProof/>
        </w:rPr>
      </w:r>
      <w:r>
        <w:rPr>
          <w:noProof/>
        </w:rPr>
        <w:fldChar w:fldCharType="separate"/>
      </w:r>
      <w:r w:rsidR="003135D4">
        <w:rPr>
          <w:noProof/>
        </w:rPr>
        <w:t>5</w:t>
      </w:r>
      <w:r>
        <w:rPr>
          <w:noProof/>
        </w:rPr>
        <w:fldChar w:fldCharType="end"/>
      </w:r>
    </w:p>
    <w:p w14:paraId="47E36065" w14:textId="77777777" w:rsidR="00597072" w:rsidRDefault="00597072">
      <w:pPr>
        <w:pStyle w:val="TOC3"/>
        <w:tabs>
          <w:tab w:val="right" w:leader="dot" w:pos="9345"/>
        </w:tabs>
        <w:rPr>
          <w:rFonts w:asciiTheme="minorHAnsi" w:hAnsiTheme="minorHAnsi"/>
          <w:noProof/>
        </w:rPr>
      </w:pPr>
      <w:r>
        <w:rPr>
          <w:noProof/>
        </w:rPr>
        <w:t>Figure 4: BSA coverage (%) of Pacific women aged 50–69 years in the two years ending 31 December 2016 by District Health Board</w:t>
      </w:r>
      <w:r>
        <w:rPr>
          <w:noProof/>
        </w:rPr>
        <w:tab/>
      </w:r>
      <w:r>
        <w:rPr>
          <w:noProof/>
        </w:rPr>
        <w:fldChar w:fldCharType="begin"/>
      </w:r>
      <w:r>
        <w:rPr>
          <w:noProof/>
        </w:rPr>
        <w:instrText xml:space="preserve"> PAGEREF _Toc472664471 \h </w:instrText>
      </w:r>
      <w:r>
        <w:rPr>
          <w:noProof/>
        </w:rPr>
      </w:r>
      <w:r>
        <w:rPr>
          <w:noProof/>
        </w:rPr>
        <w:fldChar w:fldCharType="separate"/>
      </w:r>
      <w:r w:rsidR="003135D4">
        <w:rPr>
          <w:noProof/>
        </w:rPr>
        <w:t>5</w:t>
      </w:r>
      <w:r>
        <w:rPr>
          <w:noProof/>
        </w:rPr>
        <w:fldChar w:fldCharType="end"/>
      </w:r>
    </w:p>
    <w:p w14:paraId="78F5D254" w14:textId="77777777" w:rsidR="00597072" w:rsidRDefault="00597072">
      <w:pPr>
        <w:pStyle w:val="TOC3"/>
        <w:tabs>
          <w:tab w:val="right" w:leader="dot" w:pos="9345"/>
        </w:tabs>
        <w:rPr>
          <w:rFonts w:asciiTheme="minorHAnsi" w:hAnsiTheme="minorHAnsi"/>
          <w:noProof/>
        </w:rPr>
      </w:pPr>
      <w:r>
        <w:rPr>
          <w:noProof/>
        </w:rPr>
        <w:t>Figure 5: Overall BSA coverage (%) of women aged 50–69 years in the two years ending 31 December 2016 by District Health Board</w:t>
      </w:r>
      <w:r>
        <w:rPr>
          <w:noProof/>
        </w:rPr>
        <w:tab/>
      </w:r>
      <w:r>
        <w:rPr>
          <w:noProof/>
        </w:rPr>
        <w:fldChar w:fldCharType="begin"/>
      </w:r>
      <w:r>
        <w:rPr>
          <w:noProof/>
        </w:rPr>
        <w:instrText xml:space="preserve"> PAGEREF _Toc472664472 \h </w:instrText>
      </w:r>
      <w:r>
        <w:rPr>
          <w:noProof/>
        </w:rPr>
      </w:r>
      <w:r>
        <w:rPr>
          <w:noProof/>
        </w:rPr>
        <w:fldChar w:fldCharType="separate"/>
      </w:r>
      <w:r w:rsidR="003135D4">
        <w:rPr>
          <w:noProof/>
        </w:rPr>
        <w:t>6</w:t>
      </w:r>
      <w:r>
        <w:rPr>
          <w:noProof/>
        </w:rPr>
        <w:fldChar w:fldCharType="end"/>
      </w:r>
    </w:p>
    <w:p w14:paraId="0992D4A8" w14:textId="77777777" w:rsidR="00597072" w:rsidRDefault="00597072">
      <w:pPr>
        <w:pStyle w:val="TOC3"/>
        <w:tabs>
          <w:tab w:val="right" w:leader="dot" w:pos="9345"/>
        </w:tabs>
        <w:rPr>
          <w:rFonts w:asciiTheme="minorHAnsi" w:hAnsiTheme="minorHAnsi"/>
          <w:noProof/>
        </w:rPr>
      </w:pPr>
      <w:r>
        <w:rPr>
          <w:noProof/>
        </w:rPr>
        <w:t>Figure 6: BSA coverage (%) of Māori women aged 50–69 years in the two years ending 31 December 2016</w:t>
      </w:r>
      <w:r>
        <w:rPr>
          <w:noProof/>
        </w:rPr>
        <w:tab/>
      </w:r>
      <w:r>
        <w:rPr>
          <w:noProof/>
        </w:rPr>
        <w:fldChar w:fldCharType="begin"/>
      </w:r>
      <w:r>
        <w:rPr>
          <w:noProof/>
        </w:rPr>
        <w:instrText xml:space="preserve"> PAGEREF _Toc472664473 \h </w:instrText>
      </w:r>
      <w:r>
        <w:rPr>
          <w:noProof/>
        </w:rPr>
      </w:r>
      <w:r>
        <w:rPr>
          <w:noProof/>
        </w:rPr>
        <w:fldChar w:fldCharType="separate"/>
      </w:r>
      <w:r w:rsidR="003135D4">
        <w:rPr>
          <w:noProof/>
        </w:rPr>
        <w:t>7</w:t>
      </w:r>
      <w:r>
        <w:rPr>
          <w:noProof/>
        </w:rPr>
        <w:fldChar w:fldCharType="end"/>
      </w:r>
    </w:p>
    <w:p w14:paraId="60F4F97C" w14:textId="77777777" w:rsidR="00597072" w:rsidRDefault="00597072">
      <w:pPr>
        <w:pStyle w:val="TOC3"/>
        <w:tabs>
          <w:tab w:val="right" w:leader="dot" w:pos="9345"/>
        </w:tabs>
        <w:rPr>
          <w:rFonts w:asciiTheme="minorHAnsi" w:hAnsiTheme="minorHAnsi"/>
          <w:noProof/>
        </w:rPr>
      </w:pPr>
      <w:r>
        <w:rPr>
          <w:noProof/>
        </w:rPr>
        <w:t>Figure 7: BSA coverage (%) of Pacific women aged 50–69 years in the two years ending 31 December 2016</w:t>
      </w:r>
      <w:r>
        <w:rPr>
          <w:noProof/>
        </w:rPr>
        <w:tab/>
      </w:r>
      <w:r>
        <w:rPr>
          <w:noProof/>
        </w:rPr>
        <w:fldChar w:fldCharType="begin"/>
      </w:r>
      <w:r>
        <w:rPr>
          <w:noProof/>
        </w:rPr>
        <w:instrText xml:space="preserve"> PAGEREF _Toc472664474 \h </w:instrText>
      </w:r>
      <w:r>
        <w:rPr>
          <w:noProof/>
        </w:rPr>
      </w:r>
      <w:r>
        <w:rPr>
          <w:noProof/>
        </w:rPr>
        <w:fldChar w:fldCharType="separate"/>
      </w:r>
      <w:r w:rsidR="003135D4">
        <w:rPr>
          <w:noProof/>
        </w:rPr>
        <w:t>8</w:t>
      </w:r>
      <w:r>
        <w:rPr>
          <w:noProof/>
        </w:rPr>
        <w:fldChar w:fldCharType="end"/>
      </w:r>
    </w:p>
    <w:p w14:paraId="3113FCB0" w14:textId="77777777" w:rsidR="00597072" w:rsidRDefault="00597072">
      <w:pPr>
        <w:pStyle w:val="TOC3"/>
        <w:tabs>
          <w:tab w:val="right" w:leader="dot" w:pos="9345"/>
        </w:tabs>
        <w:rPr>
          <w:rFonts w:asciiTheme="minorHAnsi" w:hAnsiTheme="minorHAnsi"/>
          <w:noProof/>
        </w:rPr>
      </w:pPr>
      <w:r>
        <w:rPr>
          <w:noProof/>
        </w:rPr>
        <w:t>Figure 8: Overall BSA coverage (%) of women aged 50–69 years in the two years ending 31 December 2016 by District Health Board</w:t>
      </w:r>
      <w:r>
        <w:rPr>
          <w:noProof/>
        </w:rPr>
        <w:tab/>
      </w:r>
      <w:r>
        <w:rPr>
          <w:noProof/>
        </w:rPr>
        <w:fldChar w:fldCharType="begin"/>
      </w:r>
      <w:r>
        <w:rPr>
          <w:noProof/>
        </w:rPr>
        <w:instrText xml:space="preserve"> PAGEREF _Toc472664475 \h </w:instrText>
      </w:r>
      <w:r>
        <w:rPr>
          <w:noProof/>
        </w:rPr>
      </w:r>
      <w:r>
        <w:rPr>
          <w:noProof/>
        </w:rPr>
        <w:fldChar w:fldCharType="separate"/>
      </w:r>
      <w:r w:rsidR="003135D4">
        <w:rPr>
          <w:noProof/>
        </w:rPr>
        <w:t>9</w:t>
      </w:r>
      <w:r>
        <w:rPr>
          <w:noProof/>
        </w:rPr>
        <w:fldChar w:fldCharType="end"/>
      </w:r>
    </w:p>
    <w:p w14:paraId="66D1C254" w14:textId="77777777" w:rsidR="00115CAE" w:rsidRDefault="00115CAE" w:rsidP="00115CAE">
      <w:pPr>
        <w:rPr>
          <w:noProof/>
        </w:rPr>
      </w:pPr>
      <w:r w:rsidRPr="00236495">
        <w:rPr>
          <w:noProof/>
          <w:sz w:val="20"/>
          <w:szCs w:val="20"/>
        </w:rPr>
        <w:fldChar w:fldCharType="end"/>
      </w:r>
    </w:p>
    <w:p w14:paraId="1818FAEB" w14:textId="77777777" w:rsidR="00AB7119" w:rsidRDefault="00AB7119" w:rsidP="00115CAE">
      <w:pPr>
        <w:rPr>
          <w:noProof/>
        </w:rPr>
        <w:sectPr w:rsidR="00AB7119" w:rsidSect="00AB7119">
          <w:headerReference w:type="first" r:id="rId14"/>
          <w:footerReference w:type="first" r:id="rId15"/>
          <w:pgSz w:w="11907" w:h="16840" w:code="9"/>
          <w:pgMar w:top="1418" w:right="1134" w:bottom="1418" w:left="1418" w:header="567" w:footer="567" w:gutter="0"/>
          <w:paperSrc w:first="15" w:other="15"/>
          <w:pgNumType w:fmt="lowerRoman"/>
          <w:cols w:space="708"/>
          <w:docGrid w:linePitch="360"/>
        </w:sectPr>
      </w:pPr>
    </w:p>
    <w:p w14:paraId="115EBA27" w14:textId="77777777" w:rsidR="00115CAE" w:rsidRDefault="00115CAE" w:rsidP="00115CAE">
      <w:pPr>
        <w:rPr>
          <w:noProof/>
        </w:rPr>
      </w:pPr>
    </w:p>
    <w:p w14:paraId="7A182728" w14:textId="77777777" w:rsidR="00115CAE" w:rsidRPr="004149AB" w:rsidRDefault="00115CAE" w:rsidP="00115CAE">
      <w:pPr>
        <w:pStyle w:val="Heading1"/>
        <w:rPr>
          <w:noProof/>
          <w:szCs w:val="36"/>
        </w:rPr>
      </w:pPr>
      <w:bookmarkStart w:id="0" w:name="_Toc399921850"/>
      <w:bookmarkStart w:id="1" w:name="_Toc472664456"/>
      <w:r w:rsidRPr="004149AB">
        <w:rPr>
          <w:noProof/>
          <w:szCs w:val="36"/>
        </w:rPr>
        <w:t>Introduction</w:t>
      </w:r>
      <w:bookmarkEnd w:id="0"/>
      <w:bookmarkEnd w:id="1"/>
    </w:p>
    <w:p w14:paraId="0BA32431"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0CB02C9E" w14:textId="77777777" w:rsidR="00B72A22" w:rsidRDefault="00B72A22" w:rsidP="00B72A22"/>
    <w:p w14:paraId="5DAC6171"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39232729" w14:textId="77777777" w:rsidR="00B72A22" w:rsidRDefault="00B72A22" w:rsidP="00B72A22"/>
    <w:p w14:paraId="14A21415"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28E92858" w14:textId="77777777" w:rsidR="00B72A22" w:rsidRDefault="00B72A22" w:rsidP="00B72A22"/>
    <w:p w14:paraId="13BD9316"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6AC061AC" w14:textId="77777777" w:rsidR="00B72A22" w:rsidRPr="00D828ED" w:rsidRDefault="00B72A22" w:rsidP="00B72A22"/>
    <w:p w14:paraId="716FE38A" w14:textId="77777777" w:rsidR="00B72A22" w:rsidRDefault="00B72A22" w:rsidP="00B72A22">
      <w:r>
        <w:t>The purpose of this quarterly report is to demonstrate by DHB if the programme coverage targets are being met for the region.</w:t>
      </w:r>
    </w:p>
    <w:p w14:paraId="6C792016" w14:textId="77777777" w:rsidR="00B72A22" w:rsidRPr="00F73803" w:rsidRDefault="00B72A22" w:rsidP="00B72A22">
      <w:pPr>
        <w:rPr>
          <w:rFonts w:eastAsiaTheme="minorHAnsi"/>
          <w:lang w:eastAsia="en-US"/>
        </w:rPr>
      </w:pPr>
    </w:p>
    <w:p w14:paraId="7DD0EF0A" w14:textId="77777777" w:rsidR="00115CAE" w:rsidRDefault="00115CAE" w:rsidP="00115CAE">
      <w:pPr>
        <w:rPr>
          <w:rFonts w:eastAsiaTheme="majorEastAsia"/>
        </w:rPr>
      </w:pPr>
      <w:r>
        <w:br w:type="page"/>
      </w:r>
    </w:p>
    <w:p w14:paraId="536F46FF" w14:textId="77777777" w:rsidR="00115CAE" w:rsidRPr="004149AB" w:rsidRDefault="00115CAE" w:rsidP="00115CAE">
      <w:pPr>
        <w:pStyle w:val="Heading1"/>
      </w:pPr>
      <w:bookmarkStart w:id="3" w:name="_Toc472664457"/>
      <w:r w:rsidRPr="004149AB">
        <w:lastRenderedPageBreak/>
        <w:t xml:space="preserve">Technical </w:t>
      </w:r>
      <w:r>
        <w:t>n</w:t>
      </w:r>
      <w:r w:rsidRPr="004149AB">
        <w:t>otes</w:t>
      </w:r>
      <w:bookmarkEnd w:id="2"/>
      <w:bookmarkEnd w:id="3"/>
    </w:p>
    <w:p w14:paraId="6F0381EB"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935CE1" w:rsidRPr="00935CE1">
        <w:rPr>
          <w:rFonts w:eastAsiaTheme="minorHAnsi"/>
          <w:lang w:eastAsia="en-US"/>
        </w:rPr>
        <w:t>31 December 2016</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935CE1" w:rsidRPr="00935CE1">
        <w:rPr>
          <w:rFonts w:eastAsiaTheme="minorHAnsi"/>
          <w:lang w:eastAsia="en-US"/>
        </w:rPr>
        <w:t>17 January 2017</w:t>
      </w:r>
      <w:r w:rsidR="000E7690">
        <w:rPr>
          <w:rFonts w:eastAsiaTheme="minorHAnsi"/>
          <w:lang w:eastAsia="en-US"/>
        </w:rPr>
        <w:t>.</w:t>
      </w:r>
      <w:r w:rsidR="00B41599">
        <w:rPr>
          <w:rFonts w:eastAsiaTheme="minorHAnsi"/>
          <w:lang w:eastAsia="en-US"/>
        </w:rPr>
        <w:t xml:space="preserve"> </w:t>
      </w:r>
    </w:p>
    <w:p w14:paraId="749C1A0A" w14:textId="77777777" w:rsidR="00115CAE" w:rsidRDefault="00115CAE" w:rsidP="00115CAE">
      <w:pPr>
        <w:rPr>
          <w:rFonts w:eastAsiaTheme="minorHAnsi"/>
          <w:lang w:eastAsia="en-US"/>
        </w:rPr>
      </w:pPr>
    </w:p>
    <w:p w14:paraId="239FF3A3"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4A526D63" w14:textId="77777777" w:rsidR="000C2B3F" w:rsidRPr="005767BE" w:rsidRDefault="000C2B3F" w:rsidP="000C2B3F"/>
    <w:p w14:paraId="573B3925" w14:textId="77777777"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160C138A" w14:textId="77777777" w:rsidR="000C2B3F" w:rsidRPr="005767BE" w:rsidRDefault="000C2B3F" w:rsidP="000C2B3F"/>
    <w:p w14:paraId="6856597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December 2014, 31 December 2015 and 31 December 2016 are derived from Statistics New Zealand’s District Health Board (DHB) population projections </w:t>
      </w:r>
      <w:r w:rsidR="00935CE1" w:rsidRPr="00935CE1">
        <w:t xml:space="preserve">30 June 2015 </w:t>
      </w:r>
      <w:r w:rsidRPr="005767BE">
        <w:rPr>
          <w:rFonts w:eastAsiaTheme="minorHAnsi" w:cs="Georgia"/>
          <w:color w:val="000000"/>
          <w:szCs w:val="24"/>
          <w:lang w:eastAsia="en-US"/>
        </w:rPr>
        <w:t xml:space="preserve"> update, based on the 2013 Census.</w:t>
      </w:r>
    </w:p>
    <w:p w14:paraId="53B31D3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975CCC3"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573D044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AD9A41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6A788B60"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D87C23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4C3341E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574070B"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2014, the denominator is the population estimate for 31 December 2013</w:t>
      </w:r>
    </w:p>
    <w:p w14:paraId="2F3F1FD1"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2015, the denominator is the projected population for 31 December 2014</w:t>
      </w:r>
    </w:p>
    <w:p w14:paraId="23B46134"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2016, the denominator is the projected population for 31 December 2015</w:t>
      </w:r>
    </w:p>
    <w:p w14:paraId="5A01DE48"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14B95A8F"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25D3D0BB" w14:textId="77777777" w:rsidR="000C2B3F" w:rsidRPr="005767BE" w:rsidRDefault="000C2B3F" w:rsidP="000C2B3F"/>
    <w:p w14:paraId="49FB52ED" w14:textId="77777777" w:rsidR="000C2B3F" w:rsidRPr="005767BE" w:rsidRDefault="000C2B3F" w:rsidP="000C2B3F">
      <w:r w:rsidRPr="005767BE">
        <w:t xml:space="preserve">Additional detail on the methodology can be obtained via a request made to </w:t>
      </w:r>
      <w:hyperlink r:id="rId16" w:history="1">
        <w:r w:rsidRPr="005767BE">
          <w:rPr>
            <w:color w:val="0000FF"/>
            <w:u w:val="single"/>
          </w:rPr>
          <w:t>screening@moh.govt.nz</w:t>
        </w:r>
      </w:hyperlink>
      <w:r w:rsidRPr="005767BE">
        <w:t>.</w:t>
      </w:r>
    </w:p>
    <w:p w14:paraId="49A92264" w14:textId="77777777" w:rsidR="00115CAE" w:rsidRPr="00F73803" w:rsidRDefault="00115CAE" w:rsidP="00115CAE">
      <w:pPr>
        <w:rPr>
          <w:rFonts w:eastAsiaTheme="minorHAnsi"/>
          <w:lang w:eastAsia="en-US"/>
        </w:rPr>
      </w:pPr>
    </w:p>
    <w:p w14:paraId="78993D6D" w14:textId="77777777" w:rsidR="00115CAE" w:rsidRDefault="00115CAE" w:rsidP="00115CAE">
      <w:pPr>
        <w:rPr>
          <w:rFonts w:eastAsiaTheme="majorEastAsia"/>
        </w:rPr>
      </w:pPr>
      <w:bookmarkStart w:id="4" w:name="_Toc399146163"/>
      <w:r>
        <w:br w:type="page"/>
      </w:r>
    </w:p>
    <w:p w14:paraId="29D67C67" w14:textId="77777777" w:rsidR="00115CAE" w:rsidRPr="004149AB" w:rsidRDefault="00935CE1" w:rsidP="00115CAE">
      <w:pPr>
        <w:pStyle w:val="Heading1"/>
      </w:pPr>
      <w:bookmarkStart w:id="5" w:name="_Toc399921852"/>
      <w:bookmarkStart w:id="6" w:name="_Toc472664458"/>
      <w:r w:rsidRPr="00935CE1">
        <w:lastRenderedPageBreak/>
        <w:t>Northland</w:t>
      </w:r>
      <w:r w:rsidR="00C75BA8">
        <w:t xml:space="preserve"> </w:t>
      </w:r>
      <w:r w:rsidR="00115CAE">
        <w:t>c</w:t>
      </w:r>
      <w:r w:rsidR="00115CAE" w:rsidRPr="004149AB">
        <w:t>overage</w:t>
      </w:r>
      <w:bookmarkEnd w:id="4"/>
      <w:bookmarkEnd w:id="5"/>
      <w:bookmarkEnd w:id="6"/>
    </w:p>
    <w:p w14:paraId="246F545C" w14:textId="77777777" w:rsidR="00115CAE" w:rsidRPr="00F7148E" w:rsidRDefault="00935CE1" w:rsidP="00115CAE">
      <w:pPr>
        <w:pStyle w:val="Heading2"/>
      </w:pPr>
      <w:bookmarkStart w:id="7" w:name="_Toc399146164"/>
      <w:bookmarkStart w:id="8" w:name="_Toc399921853"/>
      <w:bookmarkStart w:id="9" w:name="_Toc472664459"/>
      <w:r w:rsidRPr="00935CE1">
        <w:t>Northland</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935CE1">
        <w:t>31 December 2016</w:t>
      </w:r>
      <w:bookmarkEnd w:id="9"/>
    </w:p>
    <w:p w14:paraId="5E041833" w14:textId="77777777" w:rsidR="00115CAE" w:rsidRDefault="00BD3841" w:rsidP="00BD3841">
      <w:pPr>
        <w:pStyle w:val="Figure"/>
      </w:pPr>
      <w:bookmarkStart w:id="10" w:name="_Toc399497921"/>
      <w:bookmarkStart w:id="11" w:name="_Toc472664468"/>
      <w:r>
        <w:t xml:space="preserve">Figure </w:t>
      </w:r>
      <w:r w:rsidR="00DA043B">
        <w:fldChar w:fldCharType="begin"/>
      </w:r>
      <w:r w:rsidR="00DA043B">
        <w:instrText xml:space="preserve"> SEQ Figure \* ARABIC </w:instrText>
      </w:r>
      <w:r w:rsidR="00DA043B">
        <w:fldChar w:fldCharType="separate"/>
      </w:r>
      <w:r w:rsidR="003135D4">
        <w:rPr>
          <w:noProof/>
        </w:rPr>
        <w:t>1</w:t>
      </w:r>
      <w:r w:rsidR="00DA043B">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935CE1" w:rsidRPr="00935CE1">
        <w:t>31 December 2016</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5E214101" w14:textId="77777777" w:rsidR="002D25D6" w:rsidRPr="002D25D6" w:rsidRDefault="00935CE1" w:rsidP="00C77FF1">
      <w:bookmarkStart w:id="12" w:name="figure_1"/>
      <w:bookmarkEnd w:id="12"/>
      <w:r>
        <w:rPr>
          <w:noProof/>
        </w:rPr>
        <w:drawing>
          <wp:inline distT="0" distB="0" distL="0" distR="0" wp14:anchorId="24620F11" wp14:editId="60E8BD11">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CC7B375" w14:textId="77777777" w:rsidR="00576B92" w:rsidRDefault="00576B92" w:rsidP="00F27C51">
      <w:bookmarkStart w:id="13" w:name="_Toc400365296"/>
    </w:p>
    <w:p w14:paraId="543C5F27" w14:textId="77777777" w:rsidR="00115CAE" w:rsidRDefault="00115CAE" w:rsidP="00115CAE">
      <w:pPr>
        <w:pStyle w:val="Table"/>
      </w:pPr>
      <w:bookmarkStart w:id="14" w:name="_Toc472664464"/>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935CE1" w:rsidRPr="00935CE1">
        <w:t>31 December 2016</w:t>
      </w:r>
      <w:r w:rsidRPr="00420327">
        <w:t xml:space="preserve"> by ethnicity, women aged </w:t>
      </w:r>
      <w:r w:rsidR="004B6FD0">
        <w:t>50</w:t>
      </w:r>
      <w:r>
        <w:t>–</w:t>
      </w:r>
      <w:r w:rsidRPr="00420327">
        <w:t xml:space="preserve">69 years, </w:t>
      </w:r>
      <w:bookmarkEnd w:id="13"/>
      <w:r w:rsidR="00C75BA8">
        <w:t>Total Coverage</w:t>
      </w:r>
      <w:bookmarkEnd w:id="14"/>
    </w:p>
    <w:p w14:paraId="2B1B383B" w14:textId="77777777" w:rsidR="00E646CB" w:rsidRPr="00E646CB" w:rsidRDefault="00935CE1" w:rsidP="00E646CB">
      <w:bookmarkStart w:id="15" w:name="table_1"/>
      <w:bookmarkEnd w:id="15"/>
      <w:r w:rsidRPr="00935CE1">
        <w:rPr>
          <w:noProof/>
        </w:rPr>
        <w:drawing>
          <wp:inline distT="0" distB="0" distL="0" distR="0" wp14:anchorId="5BAA105D" wp14:editId="26429BCD">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4E48F9D6"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60A56EBE" w14:textId="77777777" w:rsidR="00115CAE" w:rsidRDefault="00115CAE" w:rsidP="00115CAE">
      <w:pPr>
        <w:rPr>
          <w:sz w:val="16"/>
          <w:szCs w:val="16"/>
        </w:rPr>
      </w:pPr>
    </w:p>
    <w:p w14:paraId="45964D5C" w14:textId="77777777" w:rsidR="00BD3841" w:rsidRDefault="00BD3841">
      <w:pPr>
        <w:spacing w:after="200"/>
        <w:rPr>
          <w:rFonts w:cs="Times New Roman"/>
          <w:b/>
          <w:sz w:val="22"/>
        </w:rPr>
      </w:pPr>
      <w:r>
        <w:br w:type="page"/>
      </w:r>
    </w:p>
    <w:p w14:paraId="32229033" w14:textId="77777777" w:rsidR="00115CAE" w:rsidRDefault="00935CE1" w:rsidP="00115CAE">
      <w:pPr>
        <w:pStyle w:val="Heading2"/>
      </w:pPr>
      <w:bookmarkStart w:id="16" w:name="_Toc399921854"/>
      <w:bookmarkStart w:id="17" w:name="_Toc472664460"/>
      <w:r w:rsidRPr="00935CE1">
        <w:lastRenderedPageBreak/>
        <w:t>Northland</w:t>
      </w:r>
      <w:r w:rsidR="00F53E27" w:rsidRPr="00F53E27">
        <w:t xml:space="preserve"> </w:t>
      </w:r>
      <w:r w:rsidR="00115CAE">
        <w:t>coverage t</w:t>
      </w:r>
      <w:r w:rsidR="00115CAE" w:rsidRPr="001A7BE5">
        <w:t>rends</w:t>
      </w:r>
      <w:r w:rsidR="00115CAE">
        <w:t xml:space="preserve"> by ethnicity</w:t>
      </w:r>
      <w:bookmarkEnd w:id="16"/>
      <w:bookmarkEnd w:id="17"/>
    </w:p>
    <w:p w14:paraId="7302BCD5" w14:textId="77777777" w:rsidR="00115CAE" w:rsidRPr="00BD3841" w:rsidRDefault="00BD3841" w:rsidP="00BD3841">
      <w:pPr>
        <w:pStyle w:val="Figure"/>
      </w:pPr>
      <w:bookmarkStart w:id="18" w:name="_Toc399497922"/>
      <w:bookmarkStart w:id="19" w:name="_Toc472664469"/>
      <w:r>
        <w:t xml:space="preserve">Figure </w:t>
      </w:r>
      <w:r w:rsidR="00DA043B">
        <w:fldChar w:fldCharType="begin"/>
      </w:r>
      <w:r w:rsidR="00DA043B">
        <w:instrText xml:space="preserve"> SEQ Figure \* ARABIC </w:instrText>
      </w:r>
      <w:r w:rsidR="00DA043B">
        <w:fldChar w:fldCharType="separate"/>
      </w:r>
      <w:r w:rsidR="003135D4">
        <w:rPr>
          <w:noProof/>
        </w:rPr>
        <w:t>2</w:t>
      </w:r>
      <w:r w:rsidR="00DA043B">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935CE1" w:rsidRPr="00935CE1">
        <w:t>31 December 2016</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4B131C15" w14:textId="77777777" w:rsidR="005A05B2" w:rsidRDefault="00935CE1" w:rsidP="005E691B">
      <w:bookmarkStart w:id="20" w:name="figure_2"/>
      <w:bookmarkStart w:id="21" w:name="_Toc399921855"/>
      <w:bookmarkEnd w:id="20"/>
      <w:r>
        <w:rPr>
          <w:noProof/>
        </w:rPr>
        <w:drawing>
          <wp:inline distT="0" distB="0" distL="0" distR="0" wp14:anchorId="645FBD0B" wp14:editId="47E44A54">
            <wp:extent cx="4895850" cy="26670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7293044" w14:textId="77777777" w:rsidR="007A25D9" w:rsidRPr="00C77FF1" w:rsidRDefault="007A25D9" w:rsidP="00492C9D">
      <w:pPr>
        <w:pStyle w:val="Table"/>
      </w:pPr>
      <w:bookmarkStart w:id="22" w:name="_Toc472664465"/>
      <w:r w:rsidRPr="00C77FF1">
        <w:t xml:space="preserve">Table </w:t>
      </w:r>
      <w:r w:rsidR="00492C9D">
        <w:t>2</w:t>
      </w:r>
      <w:r w:rsidRPr="00C77FF1">
        <w:t>: BSA number of screens in women aged 50–69 years by ethnicity and quarter, Quarter 4 2015 –Quarter 4 2016, All District Health Boards</w:t>
      </w:r>
      <w:bookmarkEnd w:id="22"/>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7A25D9" w14:paraId="5AECE1EB" w14:textId="77777777" w:rsidTr="00DD3B25">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2D63FD" w14:textId="77777777" w:rsidR="007A25D9" w:rsidRDefault="007A25D9" w:rsidP="00DD3B25">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6261BF18" w14:textId="77777777" w:rsidR="007A25D9" w:rsidRDefault="007A25D9" w:rsidP="00DD3B25">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7A25D9" w14:paraId="74DF4772" w14:textId="77777777" w:rsidTr="00DD3B25">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4CA3EB48" w14:textId="77777777" w:rsidR="007A25D9" w:rsidRDefault="007A25D9" w:rsidP="00DD3B25">
            <w:pPr>
              <w:rPr>
                <w:rFonts w:ascii="Arial" w:eastAsia="Times New Roman" w:hAnsi="Arial"/>
                <w:b/>
                <w:sz w:val="18"/>
                <w:szCs w:val="18"/>
                <w:lang w:eastAsia="en-US"/>
              </w:rPr>
            </w:pP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860D1C" w14:textId="77777777" w:rsidR="007A25D9" w:rsidRDefault="0097445B" w:rsidP="00DD3B25">
            <w:pPr>
              <w:pStyle w:val="TableText"/>
              <w:spacing w:line="276" w:lineRule="auto"/>
              <w:jc w:val="right"/>
              <w:rPr>
                <w:rFonts w:cs="Arial"/>
                <w:b/>
                <w:bCs/>
                <w:szCs w:val="18"/>
                <w:lang w:eastAsia="en-US"/>
              </w:rPr>
            </w:pPr>
            <w:r>
              <w:rPr>
                <w:rFonts w:cs="Arial"/>
                <w:b/>
                <w:bCs/>
                <w:szCs w:val="18"/>
                <w:lang w:eastAsia="en-US"/>
              </w:rPr>
              <w:t>Q4 (Oct - Dec) 2015</w:t>
            </w:r>
          </w:p>
        </w:tc>
        <w:tc>
          <w:tcPr>
            <w:tcW w:w="1504" w:type="dxa"/>
            <w:tcBorders>
              <w:top w:val="single" w:sz="4" w:space="0" w:color="auto"/>
              <w:left w:val="nil"/>
              <w:bottom w:val="single" w:sz="4" w:space="0" w:color="auto"/>
              <w:right w:val="single" w:sz="4" w:space="0" w:color="auto"/>
            </w:tcBorders>
            <w:shd w:val="clear" w:color="auto" w:fill="D9D9D9"/>
            <w:vAlign w:val="center"/>
            <w:hideMark/>
          </w:tcPr>
          <w:p w14:paraId="7CB1D0D9"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Q1 (Jan - Mar) 2016</w:t>
            </w:r>
          </w:p>
        </w:tc>
        <w:tc>
          <w:tcPr>
            <w:tcW w:w="1503" w:type="dxa"/>
            <w:tcBorders>
              <w:top w:val="single" w:sz="4" w:space="0" w:color="auto"/>
              <w:left w:val="nil"/>
              <w:bottom w:val="single" w:sz="4" w:space="0" w:color="auto"/>
              <w:right w:val="single" w:sz="4" w:space="0" w:color="auto"/>
            </w:tcBorders>
            <w:shd w:val="clear" w:color="auto" w:fill="D9D9D9"/>
            <w:vAlign w:val="center"/>
          </w:tcPr>
          <w:p w14:paraId="4CA60154"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Q2 (Apr - Jun)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178DCDF5"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Q3 (Jul - Sep)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3622ECB2" w14:textId="77777777" w:rsidR="007A25D9" w:rsidRDefault="007A25D9" w:rsidP="00DD3B25">
            <w:pPr>
              <w:pStyle w:val="TableText"/>
              <w:spacing w:line="276" w:lineRule="auto"/>
              <w:jc w:val="right"/>
              <w:rPr>
                <w:rFonts w:eastAsia="Times New Roman"/>
                <w:b/>
                <w:szCs w:val="18"/>
                <w:lang w:eastAsia="en-US"/>
              </w:rPr>
            </w:pPr>
            <w:r>
              <w:rPr>
                <w:rFonts w:eastAsia="Times New Roman"/>
                <w:b/>
                <w:szCs w:val="18"/>
                <w:lang w:eastAsia="en-US"/>
              </w:rPr>
              <w:t>Q4 (Oct – Dec) 2016</w:t>
            </w:r>
          </w:p>
        </w:tc>
      </w:tr>
      <w:tr w:rsidR="00492C9D" w14:paraId="1FE9A652" w14:textId="77777777" w:rsidTr="00DD3B25">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34C4D800" w14:textId="77777777" w:rsidR="00492C9D" w:rsidRDefault="00492C9D" w:rsidP="00492C9D">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nil"/>
              <w:bottom w:val="single" w:sz="8" w:space="0" w:color="D9D9D9"/>
              <w:right w:val="single" w:sz="8" w:space="0" w:color="auto"/>
            </w:tcBorders>
            <w:shd w:val="clear" w:color="auto" w:fill="auto"/>
            <w:noWrap/>
            <w:vAlign w:val="center"/>
          </w:tcPr>
          <w:p w14:paraId="7E9F4DF0" w14:textId="77777777" w:rsidR="00492C9D" w:rsidRDefault="00492C9D" w:rsidP="00492C9D">
            <w:pPr>
              <w:jc w:val="right"/>
              <w:rPr>
                <w:rFonts w:ascii="Arial" w:eastAsia="Times New Roman" w:hAnsi="Arial" w:cs="Arial"/>
                <w:color w:val="000000"/>
                <w:sz w:val="18"/>
                <w:szCs w:val="18"/>
              </w:rPr>
            </w:pPr>
            <w:r>
              <w:rPr>
                <w:rFonts w:ascii="Arial" w:hAnsi="Arial" w:cs="Arial"/>
                <w:color w:val="000000"/>
                <w:sz w:val="18"/>
                <w:szCs w:val="18"/>
              </w:rPr>
              <w:t>455</w:t>
            </w:r>
          </w:p>
        </w:tc>
        <w:tc>
          <w:tcPr>
            <w:tcW w:w="1504" w:type="dxa"/>
            <w:tcBorders>
              <w:top w:val="nil"/>
              <w:left w:val="nil"/>
              <w:bottom w:val="single" w:sz="8" w:space="0" w:color="D9D9D9"/>
              <w:right w:val="single" w:sz="8" w:space="0" w:color="auto"/>
            </w:tcBorders>
            <w:shd w:val="clear" w:color="auto" w:fill="auto"/>
            <w:noWrap/>
            <w:vAlign w:val="center"/>
          </w:tcPr>
          <w:p w14:paraId="407DFD81" w14:textId="77777777" w:rsidR="00492C9D" w:rsidRDefault="00492C9D" w:rsidP="00492C9D">
            <w:pPr>
              <w:jc w:val="right"/>
              <w:rPr>
                <w:rFonts w:ascii="Arial" w:hAnsi="Arial" w:cs="Arial"/>
                <w:color w:val="000000"/>
                <w:sz w:val="18"/>
                <w:szCs w:val="18"/>
              </w:rPr>
            </w:pPr>
            <w:r>
              <w:rPr>
                <w:rFonts w:ascii="Arial" w:hAnsi="Arial" w:cs="Arial"/>
                <w:color w:val="000000"/>
                <w:sz w:val="18"/>
                <w:szCs w:val="18"/>
              </w:rPr>
              <w:t>519</w:t>
            </w:r>
          </w:p>
        </w:tc>
        <w:tc>
          <w:tcPr>
            <w:tcW w:w="1503" w:type="dxa"/>
            <w:tcBorders>
              <w:top w:val="nil"/>
              <w:left w:val="nil"/>
              <w:bottom w:val="single" w:sz="8" w:space="0" w:color="D9D9D9"/>
              <w:right w:val="single" w:sz="8" w:space="0" w:color="auto"/>
            </w:tcBorders>
            <w:shd w:val="clear" w:color="auto" w:fill="auto"/>
            <w:noWrap/>
            <w:vAlign w:val="center"/>
          </w:tcPr>
          <w:p w14:paraId="3C730785" w14:textId="77777777" w:rsidR="00492C9D" w:rsidRDefault="00492C9D" w:rsidP="00492C9D">
            <w:pPr>
              <w:jc w:val="right"/>
              <w:rPr>
                <w:rFonts w:ascii="Arial" w:hAnsi="Arial" w:cs="Arial"/>
                <w:color w:val="000000"/>
                <w:sz w:val="18"/>
                <w:szCs w:val="18"/>
              </w:rPr>
            </w:pPr>
            <w:r>
              <w:rPr>
                <w:rFonts w:ascii="Arial" w:hAnsi="Arial" w:cs="Arial"/>
                <w:color w:val="000000"/>
                <w:sz w:val="18"/>
                <w:szCs w:val="18"/>
              </w:rPr>
              <w:t>623</w:t>
            </w:r>
          </w:p>
        </w:tc>
        <w:tc>
          <w:tcPr>
            <w:tcW w:w="1504" w:type="dxa"/>
            <w:tcBorders>
              <w:top w:val="nil"/>
              <w:left w:val="nil"/>
              <w:bottom w:val="single" w:sz="8" w:space="0" w:color="D9D9D9"/>
              <w:right w:val="single" w:sz="8" w:space="0" w:color="auto"/>
            </w:tcBorders>
            <w:shd w:val="clear" w:color="auto" w:fill="auto"/>
            <w:noWrap/>
            <w:vAlign w:val="center"/>
          </w:tcPr>
          <w:p w14:paraId="23F44200" w14:textId="77777777" w:rsidR="00492C9D" w:rsidRDefault="00492C9D" w:rsidP="00492C9D">
            <w:pPr>
              <w:jc w:val="right"/>
              <w:rPr>
                <w:rFonts w:ascii="Arial" w:hAnsi="Arial" w:cs="Arial"/>
                <w:color w:val="000000"/>
                <w:sz w:val="18"/>
                <w:szCs w:val="18"/>
              </w:rPr>
            </w:pPr>
            <w:r>
              <w:rPr>
                <w:rFonts w:ascii="Arial" w:hAnsi="Arial" w:cs="Arial"/>
                <w:color w:val="000000"/>
                <w:sz w:val="18"/>
                <w:szCs w:val="18"/>
              </w:rPr>
              <w:t>462</w:t>
            </w:r>
          </w:p>
        </w:tc>
        <w:tc>
          <w:tcPr>
            <w:tcW w:w="1504" w:type="dxa"/>
            <w:tcBorders>
              <w:top w:val="nil"/>
              <w:left w:val="nil"/>
              <w:bottom w:val="single" w:sz="8" w:space="0" w:color="D9D9D9"/>
              <w:right w:val="single" w:sz="8" w:space="0" w:color="auto"/>
            </w:tcBorders>
            <w:shd w:val="clear" w:color="auto" w:fill="auto"/>
            <w:vAlign w:val="center"/>
          </w:tcPr>
          <w:p w14:paraId="6C94B4D1" w14:textId="77777777" w:rsidR="00492C9D" w:rsidRDefault="00492C9D" w:rsidP="00492C9D">
            <w:pPr>
              <w:jc w:val="right"/>
              <w:rPr>
                <w:rFonts w:ascii="Arial" w:hAnsi="Arial" w:cs="Arial"/>
                <w:color w:val="000000"/>
                <w:sz w:val="18"/>
                <w:szCs w:val="18"/>
              </w:rPr>
            </w:pPr>
            <w:r>
              <w:rPr>
                <w:rFonts w:ascii="Arial" w:hAnsi="Arial" w:cs="Arial"/>
                <w:color w:val="000000"/>
                <w:sz w:val="18"/>
                <w:szCs w:val="18"/>
              </w:rPr>
              <w:t>440</w:t>
            </w:r>
          </w:p>
        </w:tc>
      </w:tr>
      <w:tr w:rsidR="00492C9D" w14:paraId="12E4C657" w14:textId="77777777" w:rsidTr="00DD3B25">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619E5CF2" w14:textId="77777777" w:rsidR="00492C9D" w:rsidRDefault="00492C9D" w:rsidP="00492C9D">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nil"/>
              <w:bottom w:val="single" w:sz="8" w:space="0" w:color="D9D9D9"/>
              <w:right w:val="single" w:sz="8" w:space="0" w:color="auto"/>
            </w:tcBorders>
            <w:shd w:val="clear" w:color="auto" w:fill="auto"/>
            <w:noWrap/>
            <w:vAlign w:val="center"/>
          </w:tcPr>
          <w:p w14:paraId="1360A2DB" w14:textId="77777777" w:rsidR="00492C9D" w:rsidRDefault="00492C9D" w:rsidP="00492C9D">
            <w:pPr>
              <w:jc w:val="right"/>
              <w:rPr>
                <w:rFonts w:ascii="Arial" w:hAnsi="Arial" w:cs="Arial"/>
                <w:color w:val="000000"/>
                <w:sz w:val="18"/>
                <w:szCs w:val="18"/>
              </w:rPr>
            </w:pPr>
            <w:r>
              <w:rPr>
                <w:rFonts w:ascii="Arial" w:hAnsi="Arial" w:cs="Arial"/>
                <w:color w:val="000000"/>
                <w:sz w:val="18"/>
                <w:szCs w:val="18"/>
              </w:rPr>
              <w:t>19</w:t>
            </w:r>
          </w:p>
        </w:tc>
        <w:tc>
          <w:tcPr>
            <w:tcW w:w="1504" w:type="dxa"/>
            <w:tcBorders>
              <w:top w:val="nil"/>
              <w:left w:val="nil"/>
              <w:bottom w:val="single" w:sz="8" w:space="0" w:color="D9D9D9"/>
              <w:right w:val="single" w:sz="8" w:space="0" w:color="auto"/>
            </w:tcBorders>
            <w:shd w:val="clear" w:color="auto" w:fill="auto"/>
            <w:noWrap/>
            <w:vAlign w:val="center"/>
          </w:tcPr>
          <w:p w14:paraId="7D547775" w14:textId="77777777" w:rsidR="00492C9D" w:rsidRDefault="00492C9D" w:rsidP="00492C9D">
            <w:pPr>
              <w:jc w:val="right"/>
              <w:rPr>
                <w:rFonts w:ascii="Arial" w:hAnsi="Arial" w:cs="Arial"/>
                <w:color w:val="000000"/>
                <w:sz w:val="18"/>
                <w:szCs w:val="18"/>
              </w:rPr>
            </w:pPr>
            <w:r>
              <w:rPr>
                <w:rFonts w:ascii="Arial" w:hAnsi="Arial" w:cs="Arial"/>
                <w:color w:val="000000"/>
                <w:sz w:val="18"/>
                <w:szCs w:val="18"/>
              </w:rPr>
              <w:t>24</w:t>
            </w:r>
          </w:p>
        </w:tc>
        <w:tc>
          <w:tcPr>
            <w:tcW w:w="1503" w:type="dxa"/>
            <w:tcBorders>
              <w:top w:val="nil"/>
              <w:left w:val="nil"/>
              <w:bottom w:val="single" w:sz="8" w:space="0" w:color="D9D9D9"/>
              <w:right w:val="single" w:sz="8" w:space="0" w:color="auto"/>
            </w:tcBorders>
            <w:shd w:val="clear" w:color="auto" w:fill="auto"/>
            <w:noWrap/>
            <w:vAlign w:val="center"/>
          </w:tcPr>
          <w:p w14:paraId="2C77C3C8" w14:textId="77777777" w:rsidR="00492C9D" w:rsidRDefault="00492C9D" w:rsidP="00492C9D">
            <w:pPr>
              <w:jc w:val="right"/>
              <w:rPr>
                <w:rFonts w:ascii="Arial" w:hAnsi="Arial" w:cs="Arial"/>
                <w:color w:val="000000"/>
                <w:sz w:val="18"/>
                <w:szCs w:val="18"/>
              </w:rPr>
            </w:pPr>
            <w:r>
              <w:rPr>
                <w:rFonts w:ascii="Arial" w:hAnsi="Arial" w:cs="Arial"/>
                <w:color w:val="000000"/>
                <w:sz w:val="18"/>
                <w:szCs w:val="18"/>
              </w:rPr>
              <w:t>24</w:t>
            </w:r>
          </w:p>
        </w:tc>
        <w:tc>
          <w:tcPr>
            <w:tcW w:w="1504" w:type="dxa"/>
            <w:tcBorders>
              <w:top w:val="nil"/>
              <w:left w:val="nil"/>
              <w:bottom w:val="single" w:sz="8" w:space="0" w:color="D9D9D9"/>
              <w:right w:val="single" w:sz="8" w:space="0" w:color="auto"/>
            </w:tcBorders>
            <w:shd w:val="clear" w:color="auto" w:fill="auto"/>
            <w:noWrap/>
            <w:vAlign w:val="center"/>
          </w:tcPr>
          <w:p w14:paraId="099EA84D" w14:textId="77777777" w:rsidR="00492C9D" w:rsidRDefault="00492C9D" w:rsidP="00492C9D">
            <w:pPr>
              <w:jc w:val="right"/>
              <w:rPr>
                <w:rFonts w:ascii="Arial" w:hAnsi="Arial" w:cs="Arial"/>
                <w:color w:val="000000"/>
                <w:sz w:val="18"/>
                <w:szCs w:val="18"/>
              </w:rPr>
            </w:pPr>
            <w:r>
              <w:rPr>
                <w:rFonts w:ascii="Arial" w:hAnsi="Arial" w:cs="Arial"/>
                <w:color w:val="000000"/>
                <w:sz w:val="18"/>
                <w:szCs w:val="18"/>
              </w:rPr>
              <w:t>23</w:t>
            </w:r>
          </w:p>
        </w:tc>
        <w:tc>
          <w:tcPr>
            <w:tcW w:w="1504" w:type="dxa"/>
            <w:tcBorders>
              <w:top w:val="nil"/>
              <w:left w:val="nil"/>
              <w:bottom w:val="single" w:sz="8" w:space="0" w:color="D9D9D9"/>
              <w:right w:val="single" w:sz="8" w:space="0" w:color="auto"/>
            </w:tcBorders>
            <w:shd w:val="clear" w:color="auto" w:fill="auto"/>
            <w:vAlign w:val="center"/>
          </w:tcPr>
          <w:p w14:paraId="26AB40E1" w14:textId="77777777" w:rsidR="00492C9D" w:rsidRDefault="00492C9D" w:rsidP="00492C9D">
            <w:pPr>
              <w:jc w:val="right"/>
              <w:rPr>
                <w:rFonts w:ascii="Arial" w:hAnsi="Arial" w:cs="Arial"/>
                <w:color w:val="000000"/>
                <w:sz w:val="18"/>
                <w:szCs w:val="18"/>
              </w:rPr>
            </w:pPr>
            <w:r>
              <w:rPr>
                <w:rFonts w:ascii="Arial" w:hAnsi="Arial" w:cs="Arial"/>
                <w:color w:val="000000"/>
                <w:sz w:val="18"/>
                <w:szCs w:val="18"/>
              </w:rPr>
              <w:t>21</w:t>
            </w:r>
          </w:p>
        </w:tc>
      </w:tr>
      <w:tr w:rsidR="00492C9D" w14:paraId="0CD38F74" w14:textId="77777777" w:rsidTr="00DD3B25">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6D99BFD5" w14:textId="77777777" w:rsidR="00492C9D" w:rsidRDefault="00492C9D" w:rsidP="00492C9D">
            <w:pPr>
              <w:pStyle w:val="TableText"/>
              <w:spacing w:line="276" w:lineRule="auto"/>
              <w:rPr>
                <w:rFonts w:eastAsia="Times New Roman"/>
                <w:lang w:eastAsia="en-US"/>
              </w:rPr>
            </w:pPr>
            <w:r>
              <w:rPr>
                <w:rFonts w:eastAsia="Times New Roman"/>
                <w:lang w:eastAsia="en-US"/>
              </w:rPr>
              <w:t>Other</w:t>
            </w:r>
          </w:p>
        </w:tc>
        <w:tc>
          <w:tcPr>
            <w:tcW w:w="1502" w:type="dxa"/>
            <w:tcBorders>
              <w:top w:val="nil"/>
              <w:left w:val="nil"/>
              <w:bottom w:val="nil"/>
              <w:right w:val="single" w:sz="8" w:space="0" w:color="auto"/>
            </w:tcBorders>
            <w:shd w:val="clear" w:color="auto" w:fill="auto"/>
            <w:noWrap/>
            <w:vAlign w:val="center"/>
          </w:tcPr>
          <w:p w14:paraId="3E61527A" w14:textId="77777777" w:rsidR="00492C9D" w:rsidRDefault="00492C9D" w:rsidP="00492C9D">
            <w:pPr>
              <w:jc w:val="right"/>
              <w:rPr>
                <w:rFonts w:ascii="Arial" w:hAnsi="Arial" w:cs="Arial"/>
                <w:color w:val="000000"/>
                <w:sz w:val="18"/>
                <w:szCs w:val="18"/>
              </w:rPr>
            </w:pPr>
            <w:r>
              <w:rPr>
                <w:rFonts w:ascii="Arial" w:hAnsi="Arial" w:cs="Arial"/>
                <w:color w:val="000000"/>
                <w:sz w:val="18"/>
                <w:szCs w:val="18"/>
              </w:rPr>
              <w:t>1,680</w:t>
            </w:r>
          </w:p>
        </w:tc>
        <w:tc>
          <w:tcPr>
            <w:tcW w:w="1504" w:type="dxa"/>
            <w:tcBorders>
              <w:top w:val="nil"/>
              <w:left w:val="nil"/>
              <w:bottom w:val="nil"/>
              <w:right w:val="single" w:sz="8" w:space="0" w:color="auto"/>
            </w:tcBorders>
            <w:shd w:val="clear" w:color="auto" w:fill="auto"/>
            <w:noWrap/>
            <w:vAlign w:val="center"/>
          </w:tcPr>
          <w:p w14:paraId="36A5F527" w14:textId="77777777" w:rsidR="00492C9D" w:rsidRDefault="00492C9D" w:rsidP="00492C9D">
            <w:pPr>
              <w:jc w:val="right"/>
              <w:rPr>
                <w:rFonts w:ascii="Arial" w:hAnsi="Arial" w:cs="Arial"/>
                <w:color w:val="000000"/>
                <w:sz w:val="18"/>
                <w:szCs w:val="18"/>
              </w:rPr>
            </w:pPr>
            <w:r>
              <w:rPr>
                <w:rFonts w:ascii="Arial" w:hAnsi="Arial" w:cs="Arial"/>
                <w:color w:val="000000"/>
                <w:sz w:val="18"/>
                <w:szCs w:val="18"/>
              </w:rPr>
              <w:t>1,488</w:t>
            </w:r>
          </w:p>
        </w:tc>
        <w:tc>
          <w:tcPr>
            <w:tcW w:w="1503" w:type="dxa"/>
            <w:tcBorders>
              <w:top w:val="nil"/>
              <w:left w:val="nil"/>
              <w:bottom w:val="nil"/>
              <w:right w:val="single" w:sz="8" w:space="0" w:color="auto"/>
            </w:tcBorders>
            <w:shd w:val="clear" w:color="auto" w:fill="auto"/>
            <w:noWrap/>
            <w:vAlign w:val="center"/>
          </w:tcPr>
          <w:p w14:paraId="17BAA30D" w14:textId="77777777" w:rsidR="00492C9D" w:rsidRDefault="00492C9D" w:rsidP="00492C9D">
            <w:pPr>
              <w:jc w:val="right"/>
              <w:rPr>
                <w:rFonts w:ascii="Arial" w:hAnsi="Arial" w:cs="Arial"/>
                <w:color w:val="000000"/>
                <w:sz w:val="18"/>
                <w:szCs w:val="18"/>
              </w:rPr>
            </w:pPr>
            <w:r>
              <w:rPr>
                <w:rFonts w:ascii="Arial" w:hAnsi="Arial" w:cs="Arial"/>
                <w:color w:val="000000"/>
                <w:sz w:val="18"/>
                <w:szCs w:val="18"/>
              </w:rPr>
              <w:t>2,019</w:t>
            </w:r>
          </w:p>
        </w:tc>
        <w:tc>
          <w:tcPr>
            <w:tcW w:w="1504" w:type="dxa"/>
            <w:tcBorders>
              <w:top w:val="nil"/>
              <w:left w:val="nil"/>
              <w:bottom w:val="nil"/>
              <w:right w:val="single" w:sz="8" w:space="0" w:color="auto"/>
            </w:tcBorders>
            <w:shd w:val="clear" w:color="auto" w:fill="auto"/>
            <w:noWrap/>
            <w:vAlign w:val="center"/>
          </w:tcPr>
          <w:p w14:paraId="6E0DE0F1" w14:textId="77777777" w:rsidR="00492C9D" w:rsidRDefault="00492C9D" w:rsidP="00492C9D">
            <w:pPr>
              <w:jc w:val="right"/>
              <w:rPr>
                <w:rFonts w:ascii="Arial" w:hAnsi="Arial" w:cs="Arial"/>
                <w:color w:val="000000"/>
                <w:sz w:val="18"/>
                <w:szCs w:val="18"/>
              </w:rPr>
            </w:pPr>
            <w:r>
              <w:rPr>
                <w:rFonts w:ascii="Arial" w:hAnsi="Arial" w:cs="Arial"/>
                <w:color w:val="000000"/>
                <w:sz w:val="18"/>
                <w:szCs w:val="18"/>
              </w:rPr>
              <w:t>1,872</w:t>
            </w:r>
          </w:p>
        </w:tc>
        <w:tc>
          <w:tcPr>
            <w:tcW w:w="1504" w:type="dxa"/>
            <w:tcBorders>
              <w:top w:val="nil"/>
              <w:left w:val="nil"/>
              <w:bottom w:val="nil"/>
              <w:right w:val="single" w:sz="8" w:space="0" w:color="auto"/>
            </w:tcBorders>
            <w:shd w:val="clear" w:color="auto" w:fill="auto"/>
            <w:vAlign w:val="center"/>
          </w:tcPr>
          <w:p w14:paraId="257B78BC" w14:textId="77777777" w:rsidR="00492C9D" w:rsidRDefault="00492C9D" w:rsidP="00492C9D">
            <w:pPr>
              <w:jc w:val="right"/>
              <w:rPr>
                <w:rFonts w:ascii="Arial" w:hAnsi="Arial" w:cs="Arial"/>
                <w:color w:val="000000"/>
                <w:sz w:val="18"/>
                <w:szCs w:val="18"/>
              </w:rPr>
            </w:pPr>
            <w:r>
              <w:rPr>
                <w:rFonts w:ascii="Arial" w:hAnsi="Arial" w:cs="Arial"/>
                <w:color w:val="000000"/>
                <w:sz w:val="18"/>
                <w:szCs w:val="18"/>
              </w:rPr>
              <w:t>1,364</w:t>
            </w:r>
          </w:p>
        </w:tc>
      </w:tr>
      <w:tr w:rsidR="00492C9D" w14:paraId="69988E59" w14:textId="77777777" w:rsidTr="00DD3B25">
        <w:trPr>
          <w:cantSplit/>
        </w:trPr>
        <w:tc>
          <w:tcPr>
            <w:tcW w:w="1843" w:type="dxa"/>
            <w:tcBorders>
              <w:top w:val="single" w:sz="4" w:space="0" w:color="auto"/>
              <w:left w:val="single" w:sz="4" w:space="0" w:color="auto"/>
              <w:bottom w:val="single" w:sz="4" w:space="0" w:color="auto"/>
              <w:right w:val="single" w:sz="4" w:space="0" w:color="auto"/>
            </w:tcBorders>
            <w:noWrap/>
            <w:hideMark/>
          </w:tcPr>
          <w:p w14:paraId="2B330FBC" w14:textId="77777777" w:rsidR="00492C9D" w:rsidRDefault="00492C9D" w:rsidP="00492C9D">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0EF7AC8" w14:textId="77777777" w:rsidR="00492C9D" w:rsidRDefault="00492C9D" w:rsidP="00492C9D">
            <w:pPr>
              <w:jc w:val="right"/>
              <w:rPr>
                <w:rFonts w:ascii="Arial" w:hAnsi="Arial" w:cs="Arial"/>
                <w:b/>
                <w:bCs/>
                <w:color w:val="000000"/>
                <w:sz w:val="18"/>
                <w:szCs w:val="18"/>
              </w:rPr>
            </w:pPr>
            <w:r>
              <w:rPr>
                <w:rFonts w:ascii="Arial" w:hAnsi="Arial" w:cs="Arial"/>
                <w:b/>
                <w:bCs/>
                <w:color w:val="000000"/>
                <w:sz w:val="18"/>
                <w:szCs w:val="18"/>
              </w:rPr>
              <w:t>2,154</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5E46428A" w14:textId="77777777" w:rsidR="00492C9D" w:rsidRDefault="00492C9D" w:rsidP="00492C9D">
            <w:pPr>
              <w:jc w:val="right"/>
              <w:rPr>
                <w:rFonts w:ascii="Arial" w:hAnsi="Arial" w:cs="Arial"/>
                <w:b/>
                <w:bCs/>
                <w:color w:val="000000"/>
                <w:sz w:val="18"/>
                <w:szCs w:val="18"/>
              </w:rPr>
            </w:pPr>
            <w:r>
              <w:rPr>
                <w:rFonts w:ascii="Arial" w:hAnsi="Arial" w:cs="Arial"/>
                <w:b/>
                <w:bCs/>
                <w:color w:val="000000"/>
                <w:sz w:val="18"/>
                <w:szCs w:val="18"/>
              </w:rPr>
              <w:t>2,031</w:t>
            </w:r>
          </w:p>
        </w:tc>
        <w:tc>
          <w:tcPr>
            <w:tcW w:w="1503" w:type="dxa"/>
            <w:tcBorders>
              <w:top w:val="single" w:sz="8" w:space="0" w:color="auto"/>
              <w:left w:val="nil"/>
              <w:bottom w:val="single" w:sz="8" w:space="0" w:color="auto"/>
              <w:right w:val="single" w:sz="8" w:space="0" w:color="auto"/>
            </w:tcBorders>
            <w:shd w:val="clear" w:color="auto" w:fill="auto"/>
            <w:noWrap/>
            <w:vAlign w:val="center"/>
          </w:tcPr>
          <w:p w14:paraId="487399F3" w14:textId="77777777" w:rsidR="00492C9D" w:rsidRDefault="00492C9D" w:rsidP="00492C9D">
            <w:pPr>
              <w:jc w:val="right"/>
              <w:rPr>
                <w:rFonts w:ascii="Arial" w:hAnsi="Arial" w:cs="Arial"/>
                <w:b/>
                <w:bCs/>
                <w:color w:val="000000"/>
                <w:sz w:val="18"/>
                <w:szCs w:val="18"/>
              </w:rPr>
            </w:pPr>
            <w:r>
              <w:rPr>
                <w:rFonts w:ascii="Arial" w:hAnsi="Arial" w:cs="Arial"/>
                <w:b/>
                <w:bCs/>
                <w:color w:val="000000"/>
                <w:sz w:val="18"/>
                <w:szCs w:val="18"/>
              </w:rPr>
              <w:t>2,666</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15E5D5BF" w14:textId="77777777" w:rsidR="00492C9D" w:rsidRDefault="00492C9D" w:rsidP="00492C9D">
            <w:pPr>
              <w:jc w:val="right"/>
              <w:rPr>
                <w:rFonts w:ascii="Arial" w:hAnsi="Arial" w:cs="Arial"/>
                <w:b/>
                <w:bCs/>
                <w:color w:val="000000"/>
                <w:sz w:val="18"/>
                <w:szCs w:val="18"/>
              </w:rPr>
            </w:pPr>
            <w:r>
              <w:rPr>
                <w:rFonts w:ascii="Arial" w:hAnsi="Arial" w:cs="Arial"/>
                <w:b/>
                <w:bCs/>
                <w:color w:val="000000"/>
                <w:sz w:val="18"/>
                <w:szCs w:val="18"/>
              </w:rPr>
              <w:t>2,357</w:t>
            </w:r>
          </w:p>
        </w:tc>
        <w:tc>
          <w:tcPr>
            <w:tcW w:w="1504" w:type="dxa"/>
            <w:tcBorders>
              <w:top w:val="single" w:sz="8" w:space="0" w:color="auto"/>
              <w:left w:val="nil"/>
              <w:bottom w:val="single" w:sz="8" w:space="0" w:color="auto"/>
              <w:right w:val="single" w:sz="8" w:space="0" w:color="auto"/>
            </w:tcBorders>
            <w:shd w:val="clear" w:color="auto" w:fill="auto"/>
            <w:vAlign w:val="center"/>
          </w:tcPr>
          <w:p w14:paraId="2D45CB64" w14:textId="77777777" w:rsidR="00492C9D" w:rsidRDefault="00492C9D" w:rsidP="00492C9D">
            <w:pPr>
              <w:jc w:val="right"/>
              <w:rPr>
                <w:rFonts w:ascii="Arial" w:hAnsi="Arial" w:cs="Arial"/>
                <w:b/>
                <w:bCs/>
                <w:color w:val="000000"/>
                <w:sz w:val="18"/>
                <w:szCs w:val="18"/>
              </w:rPr>
            </w:pPr>
            <w:r>
              <w:rPr>
                <w:rFonts w:ascii="Arial" w:hAnsi="Arial" w:cs="Arial"/>
                <w:b/>
                <w:bCs/>
                <w:color w:val="000000"/>
                <w:sz w:val="18"/>
                <w:szCs w:val="18"/>
              </w:rPr>
              <w:t>1,825</w:t>
            </w:r>
          </w:p>
        </w:tc>
      </w:tr>
    </w:tbl>
    <w:p w14:paraId="1C99D010" w14:textId="77777777" w:rsidR="005E691B" w:rsidRDefault="005E691B" w:rsidP="00F66CD2">
      <w:pPr>
        <w:pStyle w:val="Heading1"/>
      </w:pPr>
    </w:p>
    <w:p w14:paraId="53CFC696" w14:textId="77777777" w:rsidR="005E691B" w:rsidRDefault="005E691B">
      <w:pPr>
        <w:spacing w:after="200"/>
        <w:rPr>
          <w:rFonts w:eastAsiaTheme="majorEastAsia" w:cstheme="majorBidi"/>
          <w:b/>
          <w:bCs/>
          <w:sz w:val="36"/>
          <w:szCs w:val="28"/>
        </w:rPr>
      </w:pPr>
      <w:r>
        <w:br w:type="page"/>
      </w:r>
    </w:p>
    <w:p w14:paraId="65023AFC" w14:textId="77777777" w:rsidR="00F66CD2" w:rsidRDefault="00115CAE" w:rsidP="00F66CD2">
      <w:pPr>
        <w:pStyle w:val="Heading1"/>
      </w:pPr>
      <w:bookmarkStart w:id="23" w:name="_Toc472664461"/>
      <w:r w:rsidRPr="00C90A46">
        <w:lastRenderedPageBreak/>
        <w:t>DHB coverage comparisons</w:t>
      </w:r>
      <w:bookmarkStart w:id="24" w:name="_Toc399850104"/>
      <w:bookmarkStart w:id="25" w:name="_Toc399921856"/>
      <w:bookmarkEnd w:id="21"/>
      <w:bookmarkEnd w:id="23"/>
    </w:p>
    <w:p w14:paraId="219DD53A" w14:textId="77777777" w:rsidR="00F66CD2" w:rsidRDefault="00F66CD2" w:rsidP="00F66CD2">
      <w:pPr>
        <w:pStyle w:val="Heading2"/>
      </w:pPr>
      <w:bookmarkStart w:id="26" w:name="_Toc472664462"/>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935CE1" w:rsidRPr="00935CE1">
        <w:t>31 December 2016</w:t>
      </w:r>
      <w:bookmarkEnd w:id="26"/>
    </w:p>
    <w:p w14:paraId="3F09D954" w14:textId="77777777" w:rsidR="00F66CD2" w:rsidRDefault="00FE0172" w:rsidP="002B0ED8">
      <w:pPr>
        <w:pStyle w:val="Figure"/>
      </w:pPr>
      <w:bookmarkStart w:id="27" w:name="_Toc399497923"/>
      <w:bookmarkStart w:id="28" w:name="_Toc472664470"/>
      <w:r>
        <w:t xml:space="preserve">Figure </w:t>
      </w:r>
      <w:r w:rsidR="00DA043B">
        <w:fldChar w:fldCharType="begin"/>
      </w:r>
      <w:r w:rsidR="00DA043B">
        <w:instrText xml:space="preserve"> SEQ Figure \* ARABIC </w:instrText>
      </w:r>
      <w:r w:rsidR="00DA043B">
        <w:fldChar w:fldCharType="separate"/>
      </w:r>
      <w:r w:rsidR="003135D4">
        <w:rPr>
          <w:noProof/>
        </w:rPr>
        <w:t>3</w:t>
      </w:r>
      <w:r w:rsidR="00DA043B">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935CE1" w:rsidRPr="00935CE1">
        <w:t>31 December 2016</w:t>
      </w:r>
      <w:r w:rsidR="00F66CD2">
        <w:t xml:space="preserve"> </w:t>
      </w:r>
      <w:r w:rsidR="00F66CD2" w:rsidRPr="00F17732">
        <w:t xml:space="preserve">by </w:t>
      </w:r>
      <w:r w:rsidR="00F66CD2">
        <w:t>District Health Board</w:t>
      </w:r>
      <w:bookmarkEnd w:id="27"/>
      <w:bookmarkEnd w:id="28"/>
    </w:p>
    <w:p w14:paraId="77E33B63" w14:textId="77777777" w:rsidR="00D83F91" w:rsidRPr="00D83F91" w:rsidRDefault="00935CE1" w:rsidP="00D83F91">
      <w:bookmarkStart w:id="29" w:name="figure_3"/>
      <w:bookmarkEnd w:id="24"/>
      <w:bookmarkEnd w:id="25"/>
      <w:bookmarkEnd w:id="29"/>
      <w:r>
        <w:rPr>
          <w:noProof/>
        </w:rPr>
        <w:drawing>
          <wp:inline distT="0" distB="0" distL="0" distR="0" wp14:anchorId="1C04519C" wp14:editId="6CBB8005">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36A36EE" w14:textId="77777777" w:rsidR="00115CAE" w:rsidRDefault="00FA21EF" w:rsidP="00BF27D3">
      <w:pPr>
        <w:pStyle w:val="Figure"/>
      </w:pPr>
      <w:bookmarkStart w:id="30" w:name="_Toc399497924"/>
      <w:bookmarkStart w:id="31" w:name="_Toc472664471"/>
      <w:r>
        <w:t xml:space="preserve">Figure </w:t>
      </w:r>
      <w:r w:rsidR="00DA043B">
        <w:fldChar w:fldCharType="begin"/>
      </w:r>
      <w:r w:rsidR="00DA043B">
        <w:instrText xml:space="preserve"> SEQ Figure \* ARABIC </w:instrText>
      </w:r>
      <w:r w:rsidR="00DA043B">
        <w:fldChar w:fldCharType="separate"/>
      </w:r>
      <w:r w:rsidR="003135D4">
        <w:rPr>
          <w:noProof/>
        </w:rPr>
        <w:t>4</w:t>
      </w:r>
      <w:r w:rsidR="00DA043B">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935CE1" w:rsidRPr="00935CE1">
        <w:t>31 December 2016</w:t>
      </w:r>
      <w:r w:rsidR="00115CAE" w:rsidRPr="002171C9">
        <w:t xml:space="preserve"> by </w:t>
      </w:r>
      <w:r w:rsidR="00B718BD">
        <w:t>District Health Board</w:t>
      </w:r>
      <w:bookmarkEnd w:id="30"/>
      <w:bookmarkEnd w:id="31"/>
    </w:p>
    <w:p w14:paraId="7CCA2CF0" w14:textId="77777777" w:rsidR="00115CAE" w:rsidRDefault="00935CE1" w:rsidP="00115CAE">
      <w:bookmarkStart w:id="32" w:name="figure_4"/>
      <w:bookmarkEnd w:id="32"/>
      <w:r>
        <w:rPr>
          <w:noProof/>
        </w:rPr>
        <w:drawing>
          <wp:inline distT="0" distB="0" distL="0" distR="0" wp14:anchorId="702B426A" wp14:editId="469FCD6D">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32AE347" w14:textId="77777777" w:rsidR="00C9547D" w:rsidRPr="00C9547D" w:rsidRDefault="00C9547D" w:rsidP="00C9547D">
      <w:bookmarkStart w:id="33" w:name="figure_5"/>
      <w:bookmarkEnd w:id="33"/>
    </w:p>
    <w:p w14:paraId="4F5E10CE" w14:textId="77777777" w:rsidR="00115CAE" w:rsidRDefault="00FA21EF" w:rsidP="00BF27D3">
      <w:pPr>
        <w:pStyle w:val="Figure"/>
      </w:pPr>
      <w:bookmarkStart w:id="34" w:name="_Toc399497926"/>
      <w:bookmarkStart w:id="35" w:name="_Toc472664472"/>
      <w:r>
        <w:lastRenderedPageBreak/>
        <w:t xml:space="preserve">Figure </w:t>
      </w:r>
      <w:r w:rsidR="00DA043B">
        <w:fldChar w:fldCharType="begin"/>
      </w:r>
      <w:r w:rsidR="00DA043B">
        <w:instrText xml:space="preserve"> SEQ Figure \* ARABIC </w:instrText>
      </w:r>
      <w:r w:rsidR="00DA043B">
        <w:fldChar w:fldCharType="separate"/>
      </w:r>
      <w:r w:rsidR="003135D4">
        <w:rPr>
          <w:noProof/>
        </w:rPr>
        <w:t>5</w:t>
      </w:r>
      <w:r w:rsidR="00DA043B">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935CE1" w:rsidRPr="00935CE1">
        <w:t>31 December 2016</w:t>
      </w:r>
      <w:r w:rsidR="00115CAE" w:rsidRPr="002171C9">
        <w:t xml:space="preserve"> by </w:t>
      </w:r>
      <w:r w:rsidR="00B718BD">
        <w:t>District Health Board</w:t>
      </w:r>
      <w:bookmarkEnd w:id="34"/>
      <w:bookmarkEnd w:id="35"/>
    </w:p>
    <w:p w14:paraId="66B78BF8" w14:textId="77777777" w:rsidR="009376F1" w:rsidRPr="00C9547D" w:rsidRDefault="00935CE1" w:rsidP="009376F1">
      <w:bookmarkStart w:id="36" w:name="figure_6"/>
      <w:bookmarkEnd w:id="36"/>
      <w:r>
        <w:rPr>
          <w:noProof/>
        </w:rPr>
        <w:drawing>
          <wp:inline distT="0" distB="0" distL="0" distR="0" wp14:anchorId="7B989E3E" wp14:editId="28FBB3F3">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A81A0D5" w14:textId="77777777" w:rsidR="00D80FAE" w:rsidRPr="00D80FAE" w:rsidRDefault="00D80FAE" w:rsidP="00D80FAE"/>
    <w:p w14:paraId="4A03C8E5" w14:textId="77777777" w:rsidR="00C9547D" w:rsidRPr="00C9547D" w:rsidRDefault="00C9547D" w:rsidP="00C9547D"/>
    <w:p w14:paraId="0E3ED7E7" w14:textId="77777777" w:rsidR="00115CAE" w:rsidRDefault="00115CAE" w:rsidP="00115CAE"/>
    <w:p w14:paraId="1BED832D" w14:textId="77777777" w:rsidR="00115CAE" w:rsidRDefault="00115CAE" w:rsidP="00115CAE"/>
    <w:p w14:paraId="01CE090D" w14:textId="77777777" w:rsidR="00115CAE" w:rsidRPr="00F17732" w:rsidRDefault="00115CAE" w:rsidP="00115CAE"/>
    <w:p w14:paraId="583DF7EF" w14:textId="77777777" w:rsidR="00115CAE" w:rsidRDefault="00115CAE" w:rsidP="00115CAE">
      <w:pPr>
        <w:rPr>
          <w:caps/>
        </w:rPr>
      </w:pPr>
    </w:p>
    <w:p w14:paraId="5C5D7F37" w14:textId="77777777" w:rsidR="00AE1525" w:rsidRDefault="00AE1525" w:rsidP="00115CAE">
      <w:pPr>
        <w:rPr>
          <w:caps/>
        </w:rPr>
      </w:pPr>
    </w:p>
    <w:p w14:paraId="09E64756" w14:textId="77777777" w:rsidR="00AE1525" w:rsidRDefault="00AE1525" w:rsidP="00115CAE">
      <w:pPr>
        <w:rPr>
          <w:caps/>
        </w:rPr>
      </w:pPr>
    </w:p>
    <w:p w14:paraId="624B665D" w14:textId="77777777" w:rsidR="00AE1525" w:rsidRDefault="00AE1525" w:rsidP="00115CAE">
      <w:pPr>
        <w:rPr>
          <w:caps/>
        </w:rPr>
      </w:pPr>
    </w:p>
    <w:p w14:paraId="01A2D980" w14:textId="77777777" w:rsidR="00AE1525" w:rsidRDefault="00AE1525" w:rsidP="00115CAE">
      <w:pPr>
        <w:rPr>
          <w:caps/>
        </w:rPr>
      </w:pPr>
    </w:p>
    <w:p w14:paraId="5F7EC390" w14:textId="77777777" w:rsidR="00AE1525" w:rsidRDefault="00AE1525" w:rsidP="00115CAE">
      <w:pPr>
        <w:rPr>
          <w:caps/>
        </w:rPr>
      </w:pPr>
    </w:p>
    <w:p w14:paraId="1D2150C5" w14:textId="77777777" w:rsidR="00AE1525" w:rsidRDefault="00AE1525" w:rsidP="00115CAE">
      <w:pPr>
        <w:rPr>
          <w:caps/>
        </w:rPr>
      </w:pPr>
    </w:p>
    <w:p w14:paraId="22245243" w14:textId="77777777" w:rsidR="00AE1525" w:rsidRDefault="00AE1525" w:rsidP="00115CAE">
      <w:pPr>
        <w:rPr>
          <w:caps/>
        </w:rPr>
      </w:pPr>
    </w:p>
    <w:p w14:paraId="66748CC2" w14:textId="77777777" w:rsidR="00AE1525" w:rsidRDefault="00AE1525" w:rsidP="00115CAE">
      <w:pPr>
        <w:rPr>
          <w:caps/>
        </w:rPr>
      </w:pPr>
    </w:p>
    <w:p w14:paraId="2048E610" w14:textId="77777777" w:rsidR="00AE1525" w:rsidRDefault="00AE1525" w:rsidP="00115CAE">
      <w:pPr>
        <w:rPr>
          <w:caps/>
        </w:rPr>
      </w:pPr>
    </w:p>
    <w:p w14:paraId="27AEC9C2" w14:textId="77777777" w:rsidR="00AE1525" w:rsidRDefault="00AE1525" w:rsidP="00115CAE">
      <w:pPr>
        <w:rPr>
          <w:caps/>
        </w:rPr>
      </w:pPr>
    </w:p>
    <w:p w14:paraId="777ED810" w14:textId="77777777" w:rsidR="00AE1525" w:rsidRDefault="00AE1525" w:rsidP="00115CAE">
      <w:pPr>
        <w:rPr>
          <w:caps/>
        </w:rPr>
      </w:pPr>
    </w:p>
    <w:p w14:paraId="5833CDAE" w14:textId="77777777" w:rsidR="009376F1" w:rsidRDefault="009376F1" w:rsidP="009376F1">
      <w:pPr>
        <w:pStyle w:val="Figure"/>
      </w:pPr>
      <w:bookmarkStart w:id="37" w:name="_Toc472664473"/>
      <w:r>
        <w:lastRenderedPageBreak/>
        <w:t xml:space="preserve">Figure </w:t>
      </w:r>
      <w:r w:rsidR="00DA043B">
        <w:fldChar w:fldCharType="begin"/>
      </w:r>
      <w:r w:rsidR="00DA043B">
        <w:instrText xml:space="preserve"> SEQ Figure \* ARABIC </w:instrText>
      </w:r>
      <w:r w:rsidR="00DA043B">
        <w:fldChar w:fldCharType="separate"/>
      </w:r>
      <w:r w:rsidR="003135D4">
        <w:rPr>
          <w:noProof/>
        </w:rPr>
        <w:t>6</w:t>
      </w:r>
      <w:r w:rsidR="00DA043B">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935CE1" w:rsidRPr="00935CE1">
        <w:t>31 December 2016</w:t>
      </w:r>
      <w:bookmarkEnd w:id="37"/>
    </w:p>
    <w:p w14:paraId="56666D64" w14:textId="77777777" w:rsidR="00EB1948" w:rsidRPr="00D83F91" w:rsidRDefault="00D82508" w:rsidP="00AE1525">
      <w:r w:rsidRPr="00D82508">
        <w:rPr>
          <w:noProof/>
        </w:rPr>
        <w:drawing>
          <wp:inline distT="0" distB="0" distL="0" distR="0" wp14:anchorId="5B333BD4" wp14:editId="578B29F4">
            <wp:extent cx="5940425" cy="8401886"/>
            <wp:effectExtent l="0" t="0" r="3175" b="0"/>
            <wp:docPr id="16" name="Picture 16" descr="N:\Vera\BSA DHB Reports\BSA DHB December 2016\ArcGIS December 2016 Coverage Maps\BSA_December_2016\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Vera\BSA DHB Reports\BSA DHB December 2016\ArcGIS December 2016 Coverage Maps\BSA_December_2016\BSA_Māori FINAL  December 2016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327F85B9" w14:textId="77777777" w:rsidR="00AE1525" w:rsidRDefault="009376F1" w:rsidP="009376F1">
      <w:pPr>
        <w:pStyle w:val="Figure"/>
      </w:pPr>
      <w:bookmarkStart w:id="38" w:name="_Toc472664474"/>
      <w:r>
        <w:lastRenderedPageBreak/>
        <w:t xml:space="preserve">Figure </w:t>
      </w:r>
      <w:r w:rsidR="00DA043B">
        <w:fldChar w:fldCharType="begin"/>
      </w:r>
      <w:r w:rsidR="00DA043B">
        <w:instrText xml:space="preserve"> SEQ Figure \* ARABIC </w:instrText>
      </w:r>
      <w:r w:rsidR="00DA043B">
        <w:fldChar w:fldCharType="separate"/>
      </w:r>
      <w:r w:rsidR="003135D4">
        <w:rPr>
          <w:noProof/>
        </w:rPr>
        <w:t>7</w:t>
      </w:r>
      <w:r w:rsidR="00DA043B">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935CE1" w:rsidRPr="00935CE1">
        <w:t>31 December 2016</w:t>
      </w:r>
      <w:bookmarkEnd w:id="38"/>
    </w:p>
    <w:p w14:paraId="6139CF5D" w14:textId="77777777" w:rsidR="00A43F46" w:rsidRPr="00A43F46" w:rsidRDefault="00372639" w:rsidP="00A43F46">
      <w:r w:rsidRPr="00CA006A">
        <w:rPr>
          <w:noProof/>
        </w:rPr>
        <w:drawing>
          <wp:inline distT="0" distB="0" distL="0" distR="0" wp14:anchorId="10D54BBD" wp14:editId="61C739D2">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01D515BB" w14:textId="77777777" w:rsidR="00AE1525" w:rsidRPr="00C9547D" w:rsidRDefault="00AE1525" w:rsidP="00AE1525"/>
    <w:p w14:paraId="66AF4C78" w14:textId="77777777" w:rsidR="009376F1" w:rsidRDefault="009376F1" w:rsidP="009376F1">
      <w:pPr>
        <w:pStyle w:val="Figure"/>
      </w:pPr>
      <w:bookmarkStart w:id="39" w:name="_Toc472664475"/>
      <w:r>
        <w:lastRenderedPageBreak/>
        <w:t xml:space="preserve">Figure </w:t>
      </w:r>
      <w:r w:rsidR="00DA043B">
        <w:fldChar w:fldCharType="begin"/>
      </w:r>
      <w:r w:rsidR="00DA043B">
        <w:instrText xml:space="preserve"> SEQ Figure \* ARABIC </w:instrText>
      </w:r>
      <w:r w:rsidR="00DA043B">
        <w:fldChar w:fldCharType="separate"/>
      </w:r>
      <w:r w:rsidR="003135D4">
        <w:rPr>
          <w:noProof/>
        </w:rPr>
        <w:t>8</w:t>
      </w:r>
      <w:r w:rsidR="00DA043B">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935CE1" w:rsidRPr="00935CE1">
        <w:t>31 December 2016</w:t>
      </w:r>
      <w:r w:rsidRPr="002171C9">
        <w:t xml:space="preserve"> by </w:t>
      </w:r>
      <w:r>
        <w:t>District Health Board</w:t>
      </w:r>
      <w:bookmarkEnd w:id="39"/>
    </w:p>
    <w:p w14:paraId="6E1597DF" w14:textId="77777777" w:rsidR="00137AB6" w:rsidRDefault="00137AB6" w:rsidP="00137AB6">
      <w:pPr>
        <w:rPr>
          <w:caps/>
        </w:rPr>
      </w:pPr>
    </w:p>
    <w:p w14:paraId="4D7035A8" w14:textId="77777777" w:rsidR="00137AB6" w:rsidRPr="00137AB6" w:rsidRDefault="00372639" w:rsidP="00137AB6">
      <w:pPr>
        <w:tabs>
          <w:tab w:val="left" w:pos="810"/>
        </w:tabs>
        <w:sectPr w:rsidR="00137AB6" w:rsidRPr="00137AB6" w:rsidSect="00E52682">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330214EA" wp14:editId="71E936DD">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64C73A62" w14:textId="77777777" w:rsidR="00D52B13" w:rsidRDefault="00115CAE" w:rsidP="00CE24C5">
      <w:pPr>
        <w:pStyle w:val="Table"/>
        <w:spacing w:before="0"/>
        <w:ind w:left="-284"/>
      </w:pPr>
      <w:bookmarkStart w:id="40" w:name="_Toc400365297"/>
      <w:bookmarkStart w:id="41" w:name="_Toc472664466"/>
      <w:r w:rsidRPr="00F17732">
        <w:lastRenderedPageBreak/>
        <w:t xml:space="preserve">Table </w:t>
      </w:r>
      <w:r w:rsidR="00D204AD">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935CE1" w:rsidRPr="00935CE1">
        <w:t>31 December 2016</w:t>
      </w:r>
      <w:r w:rsidRPr="00F17732">
        <w:t xml:space="preserve"> </w:t>
      </w:r>
      <w:r>
        <w:t xml:space="preserve">by </w:t>
      </w:r>
      <w:r w:rsidR="00B718BD">
        <w:t>District Health Board</w:t>
      </w:r>
      <w:bookmarkEnd w:id="40"/>
      <w:bookmarkEnd w:id="41"/>
    </w:p>
    <w:p w14:paraId="4A179EF6" w14:textId="77777777" w:rsidR="00CE24C5" w:rsidRPr="00CE24C5" w:rsidRDefault="0097445B" w:rsidP="00CE24C5">
      <w:bookmarkStart w:id="42" w:name="table_2"/>
      <w:bookmarkEnd w:id="42"/>
      <w:r w:rsidRPr="0097445B">
        <w:rPr>
          <w:noProof/>
        </w:rPr>
        <w:drawing>
          <wp:inline distT="0" distB="0" distL="0" distR="0" wp14:anchorId="1AEA9EAB" wp14:editId="35D5CCA1">
            <wp:extent cx="9253220" cy="4221515"/>
            <wp:effectExtent l="0" t="0" r="508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3220" cy="4221515"/>
                    </a:xfrm>
                    <a:prstGeom prst="rect">
                      <a:avLst/>
                    </a:prstGeom>
                    <a:noFill/>
                    <a:ln>
                      <a:noFill/>
                    </a:ln>
                  </pic:spPr>
                </pic:pic>
              </a:graphicData>
            </a:graphic>
          </wp:inline>
        </w:drawing>
      </w:r>
    </w:p>
    <w:p w14:paraId="073A29A6" w14:textId="77777777" w:rsidR="00115CAE" w:rsidRDefault="00115CAE" w:rsidP="00115CAE"/>
    <w:p w14:paraId="5D5C7675" w14:textId="77777777" w:rsidR="00CE24C5" w:rsidRDefault="00CE24C5">
      <w:pPr>
        <w:spacing w:after="200"/>
        <w:rPr>
          <w:rFonts w:eastAsiaTheme="majorEastAsia" w:cstheme="majorBidi"/>
          <w:b/>
          <w:bCs/>
          <w:sz w:val="28"/>
          <w:szCs w:val="26"/>
        </w:rPr>
      </w:pPr>
      <w:bookmarkStart w:id="43" w:name="_Toc399921857"/>
      <w:r>
        <w:br w:type="page"/>
      </w:r>
    </w:p>
    <w:p w14:paraId="3F394656" w14:textId="77777777" w:rsidR="00115CAE" w:rsidRDefault="00115CAE" w:rsidP="00C75BA8">
      <w:pPr>
        <w:pStyle w:val="Heading2"/>
        <w:spacing w:before="0"/>
        <w:ind w:left="-284"/>
      </w:pPr>
      <w:bookmarkStart w:id="44" w:name="_Toc472664463"/>
      <w:r>
        <w:lastRenderedPageBreak/>
        <w:t>DHB coverage comparison trends by ethnicity</w:t>
      </w:r>
      <w:bookmarkEnd w:id="43"/>
      <w:bookmarkEnd w:id="44"/>
    </w:p>
    <w:p w14:paraId="134C374C" w14:textId="77777777" w:rsidR="00115CAE" w:rsidRDefault="00115CAE" w:rsidP="003669D4">
      <w:pPr>
        <w:pStyle w:val="Table"/>
        <w:ind w:left="-284"/>
      </w:pPr>
      <w:bookmarkStart w:id="45" w:name="_Toc400365298"/>
      <w:bookmarkStart w:id="46" w:name="_Toc472664467"/>
      <w:r w:rsidRPr="00F17732">
        <w:t>Table</w:t>
      </w:r>
      <w:r>
        <w:t xml:space="preserve"> </w:t>
      </w:r>
      <w:r w:rsidR="00D204AD">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935CE1" w:rsidRPr="00935CE1">
        <w:t>31 December, 2014, 2015, 2016</w:t>
      </w:r>
      <w:r>
        <w:t xml:space="preserve">, by ethnicity and </w:t>
      </w:r>
      <w:r w:rsidR="00B718BD">
        <w:t>District Health Board</w:t>
      </w:r>
      <w:bookmarkEnd w:id="45"/>
      <w:bookmarkEnd w:id="46"/>
    </w:p>
    <w:p w14:paraId="6DF22138" w14:textId="77777777" w:rsidR="006B45AA" w:rsidRPr="006B45AA" w:rsidRDefault="0097445B" w:rsidP="006B45AA">
      <w:bookmarkStart w:id="47" w:name="table_3"/>
      <w:bookmarkEnd w:id="47"/>
      <w:r w:rsidRPr="0097445B">
        <w:rPr>
          <w:noProof/>
        </w:rPr>
        <w:drawing>
          <wp:inline distT="0" distB="0" distL="0" distR="0" wp14:anchorId="66181367" wp14:editId="44AD4B3B">
            <wp:extent cx="7677150" cy="4524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7150" cy="4524375"/>
                    </a:xfrm>
                    <a:prstGeom prst="rect">
                      <a:avLst/>
                    </a:prstGeom>
                    <a:noFill/>
                    <a:ln>
                      <a:noFill/>
                    </a:ln>
                  </pic:spPr>
                </pic:pic>
              </a:graphicData>
            </a:graphic>
          </wp:inline>
        </w:drawing>
      </w:r>
    </w:p>
    <w:p w14:paraId="7CF14D89" w14:textId="77777777" w:rsidR="003669D4" w:rsidRPr="003669D4" w:rsidRDefault="003669D4" w:rsidP="003669D4">
      <w:pPr>
        <w:ind w:left="-284"/>
      </w:pPr>
    </w:p>
    <w:p w14:paraId="50388C10"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6396E" w14:textId="77777777" w:rsidR="00DA043B" w:rsidRDefault="00DA043B">
      <w:pPr>
        <w:spacing w:line="240" w:lineRule="auto"/>
      </w:pPr>
      <w:r>
        <w:separator/>
      </w:r>
    </w:p>
  </w:endnote>
  <w:endnote w:type="continuationSeparator" w:id="0">
    <w:p w14:paraId="6FF424D8" w14:textId="77777777" w:rsidR="00DA043B" w:rsidRDefault="00DA04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51F14B33" w14:textId="77777777" w:rsidR="00DD3B25" w:rsidRDefault="00DD3B25">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30DEC96E" w14:textId="77777777" w:rsidR="00DD3B25" w:rsidRPr="00497068" w:rsidRDefault="00DD3B25"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17C60759" w14:textId="77777777" w:rsidR="00DD3B25" w:rsidRDefault="00DD3B25">
        <w:pPr>
          <w:pStyle w:val="Footer"/>
          <w:jc w:val="center"/>
        </w:pPr>
        <w:r>
          <w:fldChar w:fldCharType="begin"/>
        </w:r>
        <w:r>
          <w:instrText xml:space="preserve"> PAGE   \* MERGEFORMAT </w:instrText>
        </w:r>
        <w:r>
          <w:fldChar w:fldCharType="separate"/>
        </w:r>
        <w:r w:rsidR="003135D4">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4739DB07" w14:textId="77777777" w:rsidR="00DD3B25" w:rsidRDefault="00DD3B25">
        <w:pPr>
          <w:pStyle w:val="Footer"/>
          <w:jc w:val="center"/>
        </w:pPr>
        <w:r>
          <w:fldChar w:fldCharType="begin"/>
        </w:r>
        <w:r>
          <w:instrText xml:space="preserve"> PAGE   \* MERGEFORMAT </w:instrText>
        </w:r>
        <w:r>
          <w:fldChar w:fldCharType="separate"/>
        </w:r>
        <w:r w:rsidR="003135D4">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71DE8" w14:textId="77777777" w:rsidR="00DA043B" w:rsidRDefault="00DA043B">
      <w:pPr>
        <w:spacing w:line="240" w:lineRule="auto"/>
      </w:pPr>
      <w:r>
        <w:separator/>
      </w:r>
    </w:p>
  </w:footnote>
  <w:footnote w:type="continuationSeparator" w:id="0">
    <w:p w14:paraId="26A9927E" w14:textId="77777777" w:rsidR="00DA043B" w:rsidRDefault="00DA04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03A14" w14:textId="77777777" w:rsidR="00DD3B25" w:rsidRDefault="00DD3B25">
    <w:pPr>
      <w:pStyle w:val="Header"/>
    </w:pPr>
    <w:r>
      <w:rPr>
        <w:noProof/>
      </w:rPr>
      <w:drawing>
        <wp:inline distT="0" distB="0" distL="0" distR="0" wp14:anchorId="36584786" wp14:editId="73BC9DCB">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5DF0CF3B" w14:textId="77777777" w:rsidR="00DD3B25" w:rsidRDefault="00DD3B25" w:rsidP="00E52682">
    <w:pPr>
      <w:pStyle w:val="Header"/>
      <w:ind w:right="-425"/>
      <w:jc w:val="right"/>
    </w:pPr>
    <w:r w:rsidRPr="00532FD3">
      <w:rPr>
        <w:noProof/>
      </w:rPr>
      <w:drawing>
        <wp:inline distT="0" distB="0" distL="0" distR="0" wp14:anchorId="25FE64D7" wp14:editId="2B6F5BC1">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334C0" w14:textId="77777777" w:rsidR="00DD3B25" w:rsidRDefault="00DD3B25">
    <w:pPr>
      <w:pStyle w:val="Header"/>
    </w:pPr>
    <w:r>
      <w:rPr>
        <w:noProof/>
      </w:rPr>
      <w:drawing>
        <wp:inline distT="0" distB="0" distL="0" distR="0" wp14:anchorId="6A1FD82C" wp14:editId="62B500C0">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C04A0" w14:textId="77777777" w:rsidR="00DD3B25" w:rsidRDefault="00DD3B25">
    <w:pPr>
      <w:pStyle w:val="Header"/>
    </w:pPr>
    <w:r>
      <w:rPr>
        <w:noProof/>
      </w:rPr>
      <w:drawing>
        <wp:inline distT="0" distB="0" distL="0" distR="0" wp14:anchorId="54EAADC0" wp14:editId="4A187D16">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3B9A5B99" w14:textId="77777777" w:rsidR="00DD3B25" w:rsidRDefault="00DD3B25" w:rsidP="00E52682">
    <w:pPr>
      <w:pStyle w:val="Header"/>
      <w:ind w:right="-425"/>
      <w:jc w:val="right"/>
    </w:pPr>
    <w:r w:rsidRPr="001A7BE5">
      <w:rPr>
        <w:noProof/>
        <w:color w:val="000000"/>
        <w:sz w:val="19"/>
        <w:szCs w:val="19"/>
      </w:rPr>
      <w:drawing>
        <wp:inline distT="0" distB="0" distL="0" distR="0" wp14:anchorId="288382C5" wp14:editId="583C87DF">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1C829" w14:textId="77777777" w:rsidR="00DD3B25" w:rsidRDefault="00DD3B25">
    <w:pPr>
      <w:pStyle w:val="Header"/>
    </w:pPr>
    <w:r>
      <w:rPr>
        <w:noProof/>
      </w:rPr>
      <w:drawing>
        <wp:inline distT="0" distB="0" distL="0" distR="0" wp14:anchorId="25355AB8" wp14:editId="0AE5FD1E">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011AB"/>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23993"/>
    <w:rsid w:val="002307B6"/>
    <w:rsid w:val="0023374D"/>
    <w:rsid w:val="00236495"/>
    <w:rsid w:val="0024296D"/>
    <w:rsid w:val="00243292"/>
    <w:rsid w:val="002669FF"/>
    <w:rsid w:val="00284E09"/>
    <w:rsid w:val="002A2801"/>
    <w:rsid w:val="002B0ED8"/>
    <w:rsid w:val="002B1E5A"/>
    <w:rsid w:val="002B6CFE"/>
    <w:rsid w:val="002C5420"/>
    <w:rsid w:val="002D06D3"/>
    <w:rsid w:val="002D25D6"/>
    <w:rsid w:val="002F360A"/>
    <w:rsid w:val="003074B1"/>
    <w:rsid w:val="00312010"/>
    <w:rsid w:val="003135D4"/>
    <w:rsid w:val="00327229"/>
    <w:rsid w:val="003557B2"/>
    <w:rsid w:val="00363C24"/>
    <w:rsid w:val="0036623D"/>
    <w:rsid w:val="003669D4"/>
    <w:rsid w:val="00372639"/>
    <w:rsid w:val="003B681D"/>
    <w:rsid w:val="003D1C1E"/>
    <w:rsid w:val="003E5CF3"/>
    <w:rsid w:val="003F0618"/>
    <w:rsid w:val="003F1A49"/>
    <w:rsid w:val="00401D58"/>
    <w:rsid w:val="00403081"/>
    <w:rsid w:val="00407AD1"/>
    <w:rsid w:val="00423FE9"/>
    <w:rsid w:val="00440C25"/>
    <w:rsid w:val="004435B3"/>
    <w:rsid w:val="00451AE5"/>
    <w:rsid w:val="00454136"/>
    <w:rsid w:val="00460FDC"/>
    <w:rsid w:val="0048478E"/>
    <w:rsid w:val="00491890"/>
    <w:rsid w:val="00492C9D"/>
    <w:rsid w:val="004B1400"/>
    <w:rsid w:val="004B6FD0"/>
    <w:rsid w:val="004C3D85"/>
    <w:rsid w:val="004D0E6D"/>
    <w:rsid w:val="004E531D"/>
    <w:rsid w:val="004F5B05"/>
    <w:rsid w:val="0050463E"/>
    <w:rsid w:val="0050510D"/>
    <w:rsid w:val="00532664"/>
    <w:rsid w:val="0056042A"/>
    <w:rsid w:val="005631A2"/>
    <w:rsid w:val="00565780"/>
    <w:rsid w:val="00576B92"/>
    <w:rsid w:val="005834E2"/>
    <w:rsid w:val="00592D49"/>
    <w:rsid w:val="00597072"/>
    <w:rsid w:val="005A05B2"/>
    <w:rsid w:val="005A3C8B"/>
    <w:rsid w:val="005B004E"/>
    <w:rsid w:val="005B26F1"/>
    <w:rsid w:val="005E691B"/>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675BD"/>
    <w:rsid w:val="007A25D9"/>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5CE1"/>
    <w:rsid w:val="009376F1"/>
    <w:rsid w:val="0097445B"/>
    <w:rsid w:val="009866FE"/>
    <w:rsid w:val="00990ADC"/>
    <w:rsid w:val="009958E1"/>
    <w:rsid w:val="009A6502"/>
    <w:rsid w:val="009C0B6F"/>
    <w:rsid w:val="009C497C"/>
    <w:rsid w:val="009C51AD"/>
    <w:rsid w:val="009C7901"/>
    <w:rsid w:val="009D46BE"/>
    <w:rsid w:val="009E6986"/>
    <w:rsid w:val="009F208B"/>
    <w:rsid w:val="00A01B9B"/>
    <w:rsid w:val="00A02987"/>
    <w:rsid w:val="00A034E9"/>
    <w:rsid w:val="00A17EB9"/>
    <w:rsid w:val="00A23897"/>
    <w:rsid w:val="00A35BB8"/>
    <w:rsid w:val="00A40E41"/>
    <w:rsid w:val="00A418D8"/>
    <w:rsid w:val="00A43F46"/>
    <w:rsid w:val="00A522BF"/>
    <w:rsid w:val="00A5368F"/>
    <w:rsid w:val="00A57A34"/>
    <w:rsid w:val="00A70FA0"/>
    <w:rsid w:val="00A7535C"/>
    <w:rsid w:val="00A857D7"/>
    <w:rsid w:val="00A87392"/>
    <w:rsid w:val="00AA7E28"/>
    <w:rsid w:val="00AB7119"/>
    <w:rsid w:val="00AE1525"/>
    <w:rsid w:val="00AE623F"/>
    <w:rsid w:val="00AF3065"/>
    <w:rsid w:val="00B053F8"/>
    <w:rsid w:val="00B12EFD"/>
    <w:rsid w:val="00B16269"/>
    <w:rsid w:val="00B2412A"/>
    <w:rsid w:val="00B41599"/>
    <w:rsid w:val="00B52C33"/>
    <w:rsid w:val="00B5410F"/>
    <w:rsid w:val="00B718BD"/>
    <w:rsid w:val="00B72A22"/>
    <w:rsid w:val="00BD3841"/>
    <w:rsid w:val="00BE4ED8"/>
    <w:rsid w:val="00BE654A"/>
    <w:rsid w:val="00BE7A83"/>
    <w:rsid w:val="00BF27D3"/>
    <w:rsid w:val="00BF51B0"/>
    <w:rsid w:val="00BF5453"/>
    <w:rsid w:val="00C168F9"/>
    <w:rsid w:val="00C45A14"/>
    <w:rsid w:val="00C64CB1"/>
    <w:rsid w:val="00C75BA8"/>
    <w:rsid w:val="00C77FF1"/>
    <w:rsid w:val="00C84549"/>
    <w:rsid w:val="00C9547D"/>
    <w:rsid w:val="00CB2133"/>
    <w:rsid w:val="00CB5164"/>
    <w:rsid w:val="00CC2717"/>
    <w:rsid w:val="00CE0991"/>
    <w:rsid w:val="00CE24C5"/>
    <w:rsid w:val="00CE549A"/>
    <w:rsid w:val="00D01E18"/>
    <w:rsid w:val="00D07C41"/>
    <w:rsid w:val="00D204AD"/>
    <w:rsid w:val="00D226AB"/>
    <w:rsid w:val="00D31A89"/>
    <w:rsid w:val="00D32D7A"/>
    <w:rsid w:val="00D37D5A"/>
    <w:rsid w:val="00D50C31"/>
    <w:rsid w:val="00D52B13"/>
    <w:rsid w:val="00D56F4D"/>
    <w:rsid w:val="00D67B0E"/>
    <w:rsid w:val="00D80FAE"/>
    <w:rsid w:val="00D82508"/>
    <w:rsid w:val="00D83F91"/>
    <w:rsid w:val="00DA043B"/>
    <w:rsid w:val="00DB0677"/>
    <w:rsid w:val="00DB47A0"/>
    <w:rsid w:val="00DD3B25"/>
    <w:rsid w:val="00DD69A8"/>
    <w:rsid w:val="00E07458"/>
    <w:rsid w:val="00E232C7"/>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D3AEA"/>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605D0"/>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screening@moh.govt.nz" TargetMode="External"/><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5.xml"/><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Vera\BSA%20DHB%20Reports\BSA%20DHB%20December%202016\Dec%202016%20DHB%2020170119\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70.3</c:v>
                </c:pt>
                <c:pt idx="1">
                  <c:v>68.599999999999994</c:v>
                </c:pt>
                <c:pt idx="2">
                  <c:v>73.2</c:v>
                </c:pt>
                <c:pt idx="3">
                  <c:v>72.5</c:v>
                </c:pt>
              </c:numCache>
            </c:numRef>
          </c:val>
          <c:extLst>
            <c:ext xmlns:c16="http://schemas.microsoft.com/office/drawing/2014/chart" uri="{C3380CC4-5D6E-409C-BE32-E72D297353CC}">
              <c16:uniqueId val="{00000000-E4D1-4936-AEED-B49D46CA2B25}"/>
            </c:ext>
          </c:extLst>
        </c:ser>
        <c:dLbls>
          <c:showLegendKey val="0"/>
          <c:showVal val="0"/>
          <c:showCatName val="0"/>
          <c:showSerName val="0"/>
          <c:showPercent val="0"/>
          <c:showBubbleSize val="0"/>
        </c:dLbls>
        <c:gapWidth val="50"/>
        <c:axId val="839991688"/>
        <c:axId val="83998855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E4D1-4936-AEED-B49D46CA2B25}"/>
            </c:ext>
          </c:extLst>
        </c:ser>
        <c:dLbls>
          <c:showLegendKey val="0"/>
          <c:showVal val="0"/>
          <c:showCatName val="0"/>
          <c:showSerName val="0"/>
          <c:showPercent val="0"/>
          <c:showBubbleSize val="0"/>
        </c:dLbls>
        <c:marker val="1"/>
        <c:smooth val="0"/>
        <c:axId val="839991688"/>
        <c:axId val="839988552"/>
      </c:lineChart>
      <c:catAx>
        <c:axId val="83999168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39988552"/>
        <c:crosses val="autoZero"/>
        <c:auto val="1"/>
        <c:lblAlgn val="ctr"/>
        <c:lblOffset val="100"/>
        <c:tickLblSkip val="1"/>
        <c:noMultiLvlLbl val="0"/>
      </c:catAx>
      <c:valAx>
        <c:axId val="8399885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399916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Report!$H$38</c:f>
              <c:strCache>
                <c:ptCount val="1"/>
                <c:pt idx="0">
                  <c:v>Dec 2014</c:v>
                </c:pt>
              </c:strCache>
            </c:strRef>
          </c:tx>
          <c:spPr>
            <a:solidFill>
              <a:schemeClr val="bg1">
                <a:lumMod val="65000"/>
              </a:schemeClr>
            </a:solidFill>
          </c:spPr>
          <c:invertIfNegative val="0"/>
          <c:cat>
            <c:strRef>
              <c:f>Report!$I$37:$L$37</c:f>
              <c:strCache>
                <c:ptCount val="4"/>
                <c:pt idx="0">
                  <c:v>Māori</c:v>
                </c:pt>
                <c:pt idx="1">
                  <c:v>Pacific</c:v>
                </c:pt>
                <c:pt idx="2">
                  <c:v>Other</c:v>
                </c:pt>
                <c:pt idx="3">
                  <c:v>Total</c:v>
                </c:pt>
              </c:strCache>
            </c:strRef>
          </c:cat>
          <c:val>
            <c:numRef>
              <c:f>Report!$I$38:$L$38</c:f>
              <c:numCache>
                <c:formatCode>0.0</c:formatCode>
                <c:ptCount val="4"/>
                <c:pt idx="0">
                  <c:v>69</c:v>
                </c:pt>
                <c:pt idx="1">
                  <c:v>70.400000000000006</c:v>
                </c:pt>
                <c:pt idx="2">
                  <c:v>71</c:v>
                </c:pt>
                <c:pt idx="3">
                  <c:v>70.5</c:v>
                </c:pt>
              </c:numCache>
            </c:numRef>
          </c:val>
          <c:extLst>
            <c:ext xmlns:c16="http://schemas.microsoft.com/office/drawing/2014/chart" uri="{C3380CC4-5D6E-409C-BE32-E72D297353CC}">
              <c16:uniqueId val="{00000000-D2CA-43EA-AF7D-2670A4408620}"/>
            </c:ext>
          </c:extLst>
        </c:ser>
        <c:ser>
          <c:idx val="0"/>
          <c:order val="1"/>
          <c:tx>
            <c:strRef>
              <c:f>Report!$H$39</c:f>
              <c:strCache>
                <c:ptCount val="1"/>
                <c:pt idx="0">
                  <c:v>Dec 2015</c:v>
                </c:pt>
              </c:strCache>
            </c:strRef>
          </c:tx>
          <c:spPr>
            <a:solidFill>
              <a:schemeClr val="bg1">
                <a:lumMod val="75000"/>
              </a:schemeClr>
            </a:solidFill>
            <a:ln>
              <a:noFill/>
            </a:ln>
          </c:spPr>
          <c:invertIfNegative val="0"/>
          <c:cat>
            <c:strRef>
              <c:f>Report!$I$37:$L$37</c:f>
              <c:strCache>
                <c:ptCount val="4"/>
                <c:pt idx="0">
                  <c:v>Māori</c:v>
                </c:pt>
                <c:pt idx="1">
                  <c:v>Pacific</c:v>
                </c:pt>
                <c:pt idx="2">
                  <c:v>Other</c:v>
                </c:pt>
                <c:pt idx="3">
                  <c:v>Total</c:v>
                </c:pt>
              </c:strCache>
            </c:strRef>
          </c:cat>
          <c:val>
            <c:numRef>
              <c:f>Report!$I$39:$L$39</c:f>
              <c:numCache>
                <c:formatCode>0.0</c:formatCode>
                <c:ptCount val="4"/>
                <c:pt idx="0">
                  <c:v>69</c:v>
                </c:pt>
                <c:pt idx="1">
                  <c:v>66.900000000000006</c:v>
                </c:pt>
                <c:pt idx="2">
                  <c:v>71.3</c:v>
                </c:pt>
                <c:pt idx="3">
                  <c:v>70.8</c:v>
                </c:pt>
              </c:numCache>
            </c:numRef>
          </c:val>
          <c:extLst>
            <c:ext xmlns:c16="http://schemas.microsoft.com/office/drawing/2014/chart" uri="{C3380CC4-5D6E-409C-BE32-E72D297353CC}">
              <c16:uniqueId val="{00000001-D2CA-43EA-AF7D-2670A4408620}"/>
            </c:ext>
          </c:extLst>
        </c:ser>
        <c:ser>
          <c:idx val="1"/>
          <c:order val="2"/>
          <c:tx>
            <c:strRef>
              <c:f>Report!$H$40</c:f>
              <c:strCache>
                <c:ptCount val="1"/>
                <c:pt idx="0">
                  <c:v>Dec 2016</c:v>
                </c:pt>
              </c:strCache>
            </c:strRef>
          </c:tx>
          <c:spPr>
            <a:solidFill>
              <a:schemeClr val="tx1">
                <a:lumMod val="65000"/>
                <a:lumOff val="35000"/>
              </a:schemeClr>
            </a:solidFill>
          </c:spPr>
          <c:invertIfNegative val="0"/>
          <c:cat>
            <c:strRef>
              <c:f>Report!$I$37:$L$37</c:f>
              <c:strCache>
                <c:ptCount val="4"/>
                <c:pt idx="0">
                  <c:v>Māori</c:v>
                </c:pt>
                <c:pt idx="1">
                  <c:v>Pacific</c:v>
                </c:pt>
                <c:pt idx="2">
                  <c:v>Other</c:v>
                </c:pt>
                <c:pt idx="3">
                  <c:v>Total</c:v>
                </c:pt>
              </c:strCache>
            </c:strRef>
          </c:cat>
          <c:val>
            <c:numRef>
              <c:f>Report!$I$40:$L$40</c:f>
              <c:numCache>
                <c:formatCode>0.0</c:formatCode>
                <c:ptCount val="4"/>
                <c:pt idx="0">
                  <c:v>70.3</c:v>
                </c:pt>
                <c:pt idx="1">
                  <c:v>68.599999999999994</c:v>
                </c:pt>
                <c:pt idx="2">
                  <c:v>73.2</c:v>
                </c:pt>
                <c:pt idx="3">
                  <c:v>72.5</c:v>
                </c:pt>
              </c:numCache>
            </c:numRef>
          </c:val>
          <c:extLst>
            <c:ext xmlns:c16="http://schemas.microsoft.com/office/drawing/2014/chart" uri="{C3380CC4-5D6E-409C-BE32-E72D297353CC}">
              <c16:uniqueId val="{00000002-D2CA-43EA-AF7D-2670A4408620}"/>
            </c:ext>
          </c:extLst>
        </c:ser>
        <c:dLbls>
          <c:showLegendKey val="0"/>
          <c:showVal val="0"/>
          <c:showCatName val="0"/>
          <c:showSerName val="0"/>
          <c:showPercent val="0"/>
          <c:showBubbleSize val="0"/>
        </c:dLbls>
        <c:gapWidth val="150"/>
        <c:axId val="839991296"/>
        <c:axId val="839989728"/>
      </c:barChart>
      <c:lineChart>
        <c:grouping val="standard"/>
        <c:varyColors val="0"/>
        <c:ser>
          <c:idx val="2"/>
          <c:order val="3"/>
          <c:tx>
            <c:strRef>
              <c:f>Report!$H$41</c:f>
              <c:strCache>
                <c:ptCount val="1"/>
                <c:pt idx="0">
                  <c:v>Target</c:v>
                </c:pt>
              </c:strCache>
            </c:strRef>
          </c:tx>
          <c:spPr>
            <a:ln>
              <a:solidFill>
                <a:schemeClr val="tx1"/>
              </a:solidFill>
            </a:ln>
          </c:spPr>
          <c:marker>
            <c:symbol val="none"/>
          </c:marker>
          <c:cat>
            <c:strRef>
              <c:f>Report!$I$37:$L$37</c:f>
              <c:strCache>
                <c:ptCount val="4"/>
                <c:pt idx="0">
                  <c:v>Māori</c:v>
                </c:pt>
                <c:pt idx="1">
                  <c:v>Pacific</c:v>
                </c:pt>
                <c:pt idx="2">
                  <c:v>Other</c:v>
                </c:pt>
                <c:pt idx="3">
                  <c:v>Total</c:v>
                </c:pt>
              </c:strCache>
            </c:strRef>
          </c:cat>
          <c:val>
            <c:numRef>
              <c:f>Report!$I$41:$L$41</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D2CA-43EA-AF7D-2670A4408620}"/>
            </c:ext>
          </c:extLst>
        </c:ser>
        <c:dLbls>
          <c:showLegendKey val="0"/>
          <c:showVal val="0"/>
          <c:showCatName val="0"/>
          <c:showSerName val="0"/>
          <c:showPercent val="0"/>
          <c:showBubbleSize val="0"/>
        </c:dLbls>
        <c:marker val="1"/>
        <c:smooth val="0"/>
        <c:axId val="839991296"/>
        <c:axId val="839989728"/>
      </c:lineChart>
      <c:catAx>
        <c:axId val="83999129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39989728"/>
        <c:crosses val="autoZero"/>
        <c:auto val="1"/>
        <c:lblAlgn val="ctr"/>
        <c:lblOffset val="100"/>
        <c:noMultiLvlLbl val="0"/>
      </c:catAx>
      <c:valAx>
        <c:axId val="8399897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3999129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Report!$I$60:$I$80</c:f>
              <c:numCache>
                <c:formatCode>0.0</c:formatCode>
                <c:ptCount val="21"/>
                <c:pt idx="0">
                  <c:v>70.3</c:v>
                </c:pt>
                <c:pt idx="1">
                  <c:v>64.599999999999994</c:v>
                </c:pt>
                <c:pt idx="2">
                  <c:v>58.1</c:v>
                </c:pt>
                <c:pt idx="3">
                  <c:v>62.5</c:v>
                </c:pt>
                <c:pt idx="4">
                  <c:v>58.2</c:v>
                </c:pt>
                <c:pt idx="5">
                  <c:v>61.3</c:v>
                </c:pt>
                <c:pt idx="6">
                  <c:v>61.1</c:v>
                </c:pt>
                <c:pt idx="7">
                  <c:v>68.3</c:v>
                </c:pt>
                <c:pt idx="8">
                  <c:v>60.6</c:v>
                </c:pt>
                <c:pt idx="9">
                  <c:v>66.7</c:v>
                </c:pt>
                <c:pt idx="10">
                  <c:v>72.099999999999994</c:v>
                </c:pt>
                <c:pt idx="11">
                  <c:v>65.5</c:v>
                </c:pt>
                <c:pt idx="12">
                  <c:v>67</c:v>
                </c:pt>
                <c:pt idx="13">
                  <c:v>67</c:v>
                </c:pt>
                <c:pt idx="14">
                  <c:v>69.900000000000006</c:v>
                </c:pt>
                <c:pt idx="15">
                  <c:v>76.400000000000006</c:v>
                </c:pt>
                <c:pt idx="16">
                  <c:v>70.7</c:v>
                </c:pt>
                <c:pt idx="17">
                  <c:v>70</c:v>
                </c:pt>
                <c:pt idx="18">
                  <c:v>70.900000000000006</c:v>
                </c:pt>
                <c:pt idx="19">
                  <c:v>65.099999999999994</c:v>
                </c:pt>
                <c:pt idx="20">
                  <c:v>64.7</c:v>
                </c:pt>
              </c:numCache>
            </c:numRef>
          </c:val>
          <c:extLst>
            <c:ext xmlns:c16="http://schemas.microsoft.com/office/drawing/2014/chart" uri="{C3380CC4-5D6E-409C-BE32-E72D297353CC}">
              <c16:uniqueId val="{00000000-C99B-4001-9A69-B4F1C5000773}"/>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Report!$N$60:$N$80</c:f>
              <c:numCache>
                <c:formatCode>0.0</c:formatCode>
                <c:ptCount val="21"/>
                <c:pt idx="0">
                  <c:v>70.3</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C99B-4001-9A69-B4F1C5000773}"/>
            </c:ext>
          </c:extLst>
        </c:ser>
        <c:dLbls>
          <c:showLegendKey val="0"/>
          <c:showVal val="0"/>
          <c:showCatName val="0"/>
          <c:showSerName val="0"/>
          <c:showPercent val="0"/>
          <c:showBubbleSize val="0"/>
        </c:dLbls>
        <c:gapWidth val="50"/>
        <c:overlap val="100"/>
        <c:axId val="839990120"/>
        <c:axId val="752083512"/>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C99B-4001-9A69-B4F1C5000773}"/>
            </c:ext>
          </c:extLst>
        </c:ser>
        <c:dLbls>
          <c:showLegendKey val="0"/>
          <c:showVal val="0"/>
          <c:showCatName val="0"/>
          <c:showSerName val="0"/>
          <c:showPercent val="0"/>
          <c:showBubbleSize val="0"/>
        </c:dLbls>
        <c:marker val="1"/>
        <c:smooth val="0"/>
        <c:axId val="839990120"/>
        <c:axId val="752083512"/>
      </c:lineChart>
      <c:catAx>
        <c:axId val="83999012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52083512"/>
        <c:crosses val="autoZero"/>
        <c:auto val="1"/>
        <c:lblAlgn val="ctr"/>
        <c:lblOffset val="100"/>
        <c:tickLblSkip val="1"/>
        <c:noMultiLvlLbl val="0"/>
      </c:catAx>
      <c:valAx>
        <c:axId val="7520835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3999012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Report!$J$60:$J$80</c:f>
              <c:numCache>
                <c:formatCode>0.0</c:formatCode>
                <c:ptCount val="21"/>
                <c:pt idx="0">
                  <c:v>68.599999999999994</c:v>
                </c:pt>
                <c:pt idx="1">
                  <c:v>74.8</c:v>
                </c:pt>
                <c:pt idx="2">
                  <c:v>73.7</c:v>
                </c:pt>
                <c:pt idx="3">
                  <c:v>73.8</c:v>
                </c:pt>
                <c:pt idx="4">
                  <c:v>57.5</c:v>
                </c:pt>
                <c:pt idx="5">
                  <c:v>61</c:v>
                </c:pt>
                <c:pt idx="6">
                  <c:v>68.099999999999994</c:v>
                </c:pt>
                <c:pt idx="7">
                  <c:v>63.7</c:v>
                </c:pt>
                <c:pt idx="8">
                  <c:v>62</c:v>
                </c:pt>
                <c:pt idx="9">
                  <c:v>65.8</c:v>
                </c:pt>
                <c:pt idx="10">
                  <c:v>73.599999999999994</c:v>
                </c:pt>
                <c:pt idx="11">
                  <c:v>66.8</c:v>
                </c:pt>
                <c:pt idx="12">
                  <c:v>67.2</c:v>
                </c:pt>
                <c:pt idx="13">
                  <c:v>69.099999999999994</c:v>
                </c:pt>
                <c:pt idx="14">
                  <c:v>74.599999999999994</c:v>
                </c:pt>
                <c:pt idx="15">
                  <c:v>69.599999999999994</c:v>
                </c:pt>
                <c:pt idx="16">
                  <c:v>35</c:v>
                </c:pt>
                <c:pt idx="17">
                  <c:v>63.8</c:v>
                </c:pt>
                <c:pt idx="18">
                  <c:v>51.5</c:v>
                </c:pt>
                <c:pt idx="19">
                  <c:v>60.6</c:v>
                </c:pt>
                <c:pt idx="20">
                  <c:v>71.7</c:v>
                </c:pt>
              </c:numCache>
            </c:numRef>
          </c:val>
          <c:extLst>
            <c:ext xmlns:c16="http://schemas.microsoft.com/office/drawing/2014/chart" uri="{C3380CC4-5D6E-409C-BE32-E72D297353CC}">
              <c16:uniqueId val="{00000000-5562-4E02-8319-A030F31A9188}"/>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Report!$O$60:$O$80</c:f>
              <c:numCache>
                <c:formatCode>0.0</c:formatCode>
                <c:ptCount val="21"/>
                <c:pt idx="0">
                  <c:v>68.599999999999994</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5562-4E02-8319-A030F31A9188}"/>
            </c:ext>
          </c:extLst>
        </c:ser>
        <c:dLbls>
          <c:showLegendKey val="0"/>
          <c:showVal val="0"/>
          <c:showCatName val="0"/>
          <c:showSerName val="0"/>
          <c:showPercent val="0"/>
          <c:showBubbleSize val="0"/>
        </c:dLbls>
        <c:gapWidth val="50"/>
        <c:overlap val="100"/>
        <c:axId val="752082728"/>
        <c:axId val="752085472"/>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5562-4E02-8319-A030F31A9188}"/>
            </c:ext>
          </c:extLst>
        </c:ser>
        <c:dLbls>
          <c:showLegendKey val="0"/>
          <c:showVal val="0"/>
          <c:showCatName val="0"/>
          <c:showSerName val="0"/>
          <c:showPercent val="0"/>
          <c:showBubbleSize val="0"/>
        </c:dLbls>
        <c:marker val="1"/>
        <c:smooth val="0"/>
        <c:axId val="752082728"/>
        <c:axId val="752085472"/>
      </c:lineChart>
      <c:catAx>
        <c:axId val="75208272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52085472"/>
        <c:crosses val="autoZero"/>
        <c:auto val="1"/>
        <c:lblAlgn val="ctr"/>
        <c:lblOffset val="100"/>
        <c:tickLblSkip val="1"/>
        <c:noMultiLvlLbl val="0"/>
      </c:catAx>
      <c:valAx>
        <c:axId val="7520854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5208272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Report!$L$60:$L$80</c:f>
              <c:numCache>
                <c:formatCode>0.0</c:formatCode>
                <c:ptCount val="21"/>
                <c:pt idx="0">
                  <c:v>72.5</c:v>
                </c:pt>
                <c:pt idx="1">
                  <c:v>67.3</c:v>
                </c:pt>
                <c:pt idx="2">
                  <c:v>63.8</c:v>
                </c:pt>
                <c:pt idx="3">
                  <c:v>67.599999999999994</c:v>
                </c:pt>
                <c:pt idx="4">
                  <c:v>66.3</c:v>
                </c:pt>
                <c:pt idx="5">
                  <c:v>67</c:v>
                </c:pt>
                <c:pt idx="6">
                  <c:v>70</c:v>
                </c:pt>
                <c:pt idx="7">
                  <c:v>70.2</c:v>
                </c:pt>
                <c:pt idx="8">
                  <c:v>73.900000000000006</c:v>
                </c:pt>
                <c:pt idx="9">
                  <c:v>73.400000000000006</c:v>
                </c:pt>
                <c:pt idx="10">
                  <c:v>77.8</c:v>
                </c:pt>
                <c:pt idx="11">
                  <c:v>76</c:v>
                </c:pt>
                <c:pt idx="12">
                  <c:v>74.599999999999994</c:v>
                </c:pt>
                <c:pt idx="13">
                  <c:v>72.8</c:v>
                </c:pt>
                <c:pt idx="14">
                  <c:v>75.5</c:v>
                </c:pt>
                <c:pt idx="15">
                  <c:v>80.2</c:v>
                </c:pt>
                <c:pt idx="16">
                  <c:v>77.8</c:v>
                </c:pt>
                <c:pt idx="17">
                  <c:v>76.8</c:v>
                </c:pt>
                <c:pt idx="18">
                  <c:v>78</c:v>
                </c:pt>
                <c:pt idx="19">
                  <c:v>74.599999999999994</c:v>
                </c:pt>
                <c:pt idx="20">
                  <c:v>71.400000000000006</c:v>
                </c:pt>
              </c:numCache>
            </c:numRef>
          </c:val>
          <c:extLst>
            <c:ext xmlns:c16="http://schemas.microsoft.com/office/drawing/2014/chart" uri="{C3380CC4-5D6E-409C-BE32-E72D297353CC}">
              <c16:uniqueId val="{00000000-DF54-49E0-A436-4333381889ED}"/>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Report!$Q$60:$Q$80</c:f>
              <c:numCache>
                <c:formatCode>0.0</c:formatCode>
                <c:ptCount val="21"/>
                <c:pt idx="0">
                  <c:v>72.5</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DF54-49E0-A436-4333381889ED}"/>
            </c:ext>
          </c:extLst>
        </c:ser>
        <c:dLbls>
          <c:showLegendKey val="0"/>
          <c:showVal val="0"/>
          <c:showCatName val="0"/>
          <c:showSerName val="0"/>
          <c:showPercent val="0"/>
          <c:showBubbleSize val="0"/>
        </c:dLbls>
        <c:gapWidth val="50"/>
        <c:overlap val="100"/>
        <c:axId val="752083904"/>
        <c:axId val="752084296"/>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DF54-49E0-A436-4333381889ED}"/>
            </c:ext>
          </c:extLst>
        </c:ser>
        <c:dLbls>
          <c:showLegendKey val="0"/>
          <c:showVal val="0"/>
          <c:showCatName val="0"/>
          <c:showSerName val="0"/>
          <c:showPercent val="0"/>
          <c:showBubbleSize val="0"/>
        </c:dLbls>
        <c:marker val="1"/>
        <c:smooth val="0"/>
        <c:axId val="752083904"/>
        <c:axId val="752084296"/>
      </c:lineChart>
      <c:catAx>
        <c:axId val="75208390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52084296"/>
        <c:crosses val="autoZero"/>
        <c:auto val="1"/>
        <c:lblAlgn val="ctr"/>
        <c:lblOffset val="100"/>
        <c:tickLblSkip val="1"/>
        <c:noMultiLvlLbl val="0"/>
      </c:catAx>
      <c:valAx>
        <c:axId val="75208429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5208390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F9E93-DBB9-4B82-80F8-C4693A283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1397</Words>
  <Characters>7969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2017-01-29T21:35:00Z</cp:lastPrinted>
  <dcterms:created xsi:type="dcterms:W3CDTF">2023-07-18T00:31:00Z</dcterms:created>
  <dcterms:modified xsi:type="dcterms:W3CDTF">2023-07-18T00:31:00Z</dcterms:modified>
</cp:coreProperties>
</file>