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77AEF" w:rsidP="00D54D50">
      <w:pPr>
        <w:pStyle w:val="Title"/>
      </w:pPr>
      <w:r w:rsidRPr="00177AEF">
        <w:t>Interim Quality Standards and Good Practice</w:t>
      </w:r>
      <w:r>
        <w:t xml:space="preserve"> for Primary Health Care </w:t>
      </w:r>
    </w:p>
    <w:p w:rsidR="00142954" w:rsidRPr="00142954" w:rsidRDefault="00177AEF"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r w:rsidRPr="00177AEF">
        <w:rPr>
          <w:sz w:val="56"/>
        </w:rPr>
        <w:t>National Bowel Screening Programme</w:t>
      </w:r>
    </w:p>
    <w:p w:rsidR="00A80363" w:rsidRPr="00442C1C" w:rsidRDefault="00A80363">
      <w:pPr>
        <w:pStyle w:val="Imprint"/>
      </w:pPr>
      <w:r>
        <w:lastRenderedPageBreak/>
        <w:t xml:space="preserve">Citation: </w:t>
      </w:r>
      <w:r w:rsidR="007731DD">
        <w:t>National Screening Unit</w:t>
      </w:r>
      <w:r w:rsidR="00442C1C">
        <w:t xml:space="preserve">. </w:t>
      </w:r>
      <w:r w:rsidR="00883F72">
        <w:t>2018</w:t>
      </w:r>
      <w:r w:rsidR="007731DD">
        <w:t>.</w:t>
      </w:r>
      <w:r w:rsidR="00177AEF" w:rsidRPr="00177AEF">
        <w:t xml:space="preserve"> </w:t>
      </w:r>
      <w:r w:rsidR="00177AEF" w:rsidRPr="007731DD">
        <w:rPr>
          <w:i/>
        </w:rPr>
        <w:t>Interim Quality Standards and Good Practice for Primary Health Care: National Bowel Screening Programme</w:t>
      </w:r>
      <w:r w:rsidR="00442C1C">
        <w:t>. Wellington: Ministry of Health.</w:t>
      </w:r>
    </w:p>
    <w:p w:rsidR="00C86248" w:rsidRDefault="00C86248">
      <w:pPr>
        <w:pStyle w:val="Imprint"/>
      </w:pPr>
      <w:r>
        <w:t xml:space="preserve">Published in </w:t>
      </w:r>
      <w:r w:rsidR="00883F72">
        <w:t>January 2018</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7731DD" w:rsidRPr="007731DD">
        <w:t xml:space="preserve">978-1-98-853942-3 </w:t>
      </w:r>
      <w:r>
        <w:t>(</w:t>
      </w:r>
      <w:r w:rsidR="00442C1C">
        <w:t>online</w:t>
      </w:r>
      <w:proofErr w:type="gramStart"/>
      <w:r>
        <w:t>)</w:t>
      </w:r>
      <w:proofErr w:type="gramEnd"/>
      <w:r w:rsidR="00082CD6">
        <w:br/>
      </w:r>
      <w:r w:rsidR="00082CD6" w:rsidRPr="009C0F2D">
        <w:t xml:space="preserve">HP </w:t>
      </w:r>
      <w:r w:rsidR="007731DD">
        <w:t>6768</w:t>
      </w:r>
    </w:p>
    <w:p w:rsidR="00C86248" w:rsidRDefault="008E3A07">
      <w:pPr>
        <w:pStyle w:val="Imprint"/>
        <w:rPr>
          <w:rStyle w:val="Hyperlink"/>
          <w:rFonts w:eastAsia="MS Gothic"/>
          <w:lang w:val="en-GB"/>
        </w:rPr>
      </w:pPr>
      <w:r>
        <w:t xml:space="preserve">This document is available at </w:t>
      </w:r>
      <w:r w:rsidR="007731DD">
        <w:t>nsu</w:t>
      </w:r>
      <w:r>
        <w:t>.govt.nz</w:t>
      </w:r>
    </w:p>
    <w:p w:rsidR="00C86248" w:rsidRDefault="008C64C4">
      <w:pPr>
        <w:jc w:val="center"/>
      </w:pPr>
      <w:r>
        <w:rPr>
          <w:noProof/>
          <w:lang w:eastAsia="en-NZ"/>
        </w:rPr>
        <w:drawing>
          <wp:inline distT="0" distB="0" distL="0" distR="0" wp14:anchorId="3C57583F" wp14:editId="7DE13D2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44F4F4D0" wp14:editId="0460A70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rsidR="00C86248" w:rsidRDefault="00C86248" w:rsidP="00025A6F">
      <w:pPr>
        <w:pStyle w:val="IntroHead"/>
      </w:pPr>
      <w:bookmarkStart w:id="1" w:name="_Toc405792991"/>
      <w:bookmarkStart w:id="2" w:name="_Toc405793224"/>
      <w:r>
        <w:t>Contents</w:t>
      </w:r>
      <w:bookmarkEnd w:id="1"/>
      <w:bookmarkEnd w:id="2"/>
    </w:p>
    <w:p w:rsidR="00216922" w:rsidRDefault="00C86248">
      <w:pPr>
        <w:pStyle w:val="TOC1"/>
        <w:tabs>
          <w:tab w:val="left" w:pos="1276"/>
        </w:tabs>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16922">
        <w:rPr>
          <w:noProof/>
        </w:rPr>
        <w:t>1</w:t>
      </w:r>
      <w:r w:rsidR="00216922">
        <w:rPr>
          <w:rFonts w:asciiTheme="minorHAnsi" w:eastAsiaTheme="minorEastAsia" w:hAnsiTheme="minorHAnsi" w:cstheme="minorBidi"/>
          <w:b w:val="0"/>
          <w:noProof/>
          <w:szCs w:val="22"/>
          <w:lang w:eastAsia="en-NZ"/>
        </w:rPr>
        <w:tab/>
      </w:r>
      <w:r w:rsidR="00216922">
        <w:rPr>
          <w:noProof/>
        </w:rPr>
        <w:t>Management of faecal immunochemical test for haemoglobin screening results in the National Bowel Screening Programme</w:t>
      </w:r>
      <w:r w:rsidR="00216922">
        <w:rPr>
          <w:noProof/>
        </w:rPr>
        <w:tab/>
      </w:r>
      <w:r w:rsidR="00216922">
        <w:rPr>
          <w:noProof/>
        </w:rPr>
        <w:fldChar w:fldCharType="begin"/>
      </w:r>
      <w:r w:rsidR="00216922">
        <w:rPr>
          <w:noProof/>
        </w:rPr>
        <w:instrText xml:space="preserve"> PAGEREF _Toc504027773 \h </w:instrText>
      </w:r>
      <w:r w:rsidR="00216922">
        <w:rPr>
          <w:noProof/>
        </w:rPr>
      </w:r>
      <w:r w:rsidR="00216922">
        <w:rPr>
          <w:noProof/>
        </w:rPr>
        <w:fldChar w:fldCharType="separate"/>
      </w:r>
      <w:r w:rsidR="00177AEF">
        <w:rPr>
          <w:noProof/>
        </w:rPr>
        <w:t>1</w:t>
      </w:r>
      <w:r w:rsidR="00216922">
        <w:rPr>
          <w:noProof/>
        </w:rPr>
        <w:fldChar w:fldCharType="end"/>
      </w:r>
    </w:p>
    <w:p w:rsidR="00216922" w:rsidRDefault="00216922">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Guidance for good practice – providing the National Bowel Screening Programme</w:t>
      </w:r>
      <w:r>
        <w:rPr>
          <w:noProof/>
        </w:rPr>
        <w:tab/>
      </w:r>
      <w:r>
        <w:rPr>
          <w:noProof/>
        </w:rPr>
        <w:fldChar w:fldCharType="begin"/>
      </w:r>
      <w:r>
        <w:rPr>
          <w:noProof/>
        </w:rPr>
        <w:instrText xml:space="preserve"> PAGEREF _Toc504027774 \h </w:instrText>
      </w:r>
      <w:r>
        <w:rPr>
          <w:noProof/>
        </w:rPr>
      </w:r>
      <w:r>
        <w:rPr>
          <w:noProof/>
        </w:rPr>
        <w:fldChar w:fldCharType="separate"/>
      </w:r>
      <w:r w:rsidR="00177AEF">
        <w:rPr>
          <w:noProof/>
        </w:rPr>
        <w:t>4</w:t>
      </w:r>
      <w:r>
        <w:rPr>
          <w:noProof/>
        </w:rPr>
        <w:fldChar w:fldCharType="end"/>
      </w:r>
    </w:p>
    <w:p w:rsidR="00216922" w:rsidRDefault="00216922">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Eligibility to participate in the NBSP</w:t>
      </w:r>
      <w:r>
        <w:rPr>
          <w:noProof/>
        </w:rPr>
        <w:tab/>
      </w:r>
      <w:r>
        <w:rPr>
          <w:noProof/>
        </w:rPr>
        <w:fldChar w:fldCharType="begin"/>
      </w:r>
      <w:r>
        <w:rPr>
          <w:noProof/>
        </w:rPr>
        <w:instrText xml:space="preserve"> PAGEREF _Toc504027775 \h </w:instrText>
      </w:r>
      <w:r>
        <w:rPr>
          <w:noProof/>
        </w:rPr>
      </w:r>
      <w:r>
        <w:rPr>
          <w:noProof/>
        </w:rPr>
        <w:fldChar w:fldCharType="separate"/>
      </w:r>
      <w:r w:rsidR="00177AEF">
        <w:rPr>
          <w:noProof/>
        </w:rPr>
        <w:t>4</w:t>
      </w:r>
      <w:r>
        <w:rPr>
          <w:noProof/>
        </w:rPr>
        <w:fldChar w:fldCharType="end"/>
      </w:r>
    </w:p>
    <w:p w:rsidR="00216922" w:rsidRDefault="00216922">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Informing the eligible population about the NBSP and screening</w:t>
      </w:r>
      <w:r>
        <w:rPr>
          <w:noProof/>
        </w:rPr>
        <w:tab/>
      </w:r>
      <w:r>
        <w:rPr>
          <w:noProof/>
        </w:rPr>
        <w:fldChar w:fldCharType="begin"/>
      </w:r>
      <w:r>
        <w:rPr>
          <w:noProof/>
        </w:rPr>
        <w:instrText xml:space="preserve"> PAGEREF _Toc504027776 \h </w:instrText>
      </w:r>
      <w:r>
        <w:rPr>
          <w:noProof/>
        </w:rPr>
      </w:r>
      <w:r>
        <w:rPr>
          <w:noProof/>
        </w:rPr>
        <w:fldChar w:fldCharType="separate"/>
      </w:r>
      <w:r w:rsidR="00177AEF">
        <w:rPr>
          <w:noProof/>
        </w:rPr>
        <w:t>5</w:t>
      </w:r>
      <w:r>
        <w:rPr>
          <w:noProof/>
        </w:rPr>
        <w:fldChar w:fldCharType="end"/>
      </w:r>
    </w:p>
    <w:p w:rsidR="00216922" w:rsidRDefault="00216922">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Advising eligible participants about the significance of the screening test, and managing the pathway for a positive screening test</w:t>
      </w:r>
      <w:r>
        <w:rPr>
          <w:noProof/>
        </w:rPr>
        <w:tab/>
      </w:r>
      <w:r>
        <w:rPr>
          <w:noProof/>
        </w:rPr>
        <w:fldChar w:fldCharType="begin"/>
      </w:r>
      <w:r>
        <w:rPr>
          <w:noProof/>
        </w:rPr>
        <w:instrText xml:space="preserve"> PAGEREF _Toc504027777 \h </w:instrText>
      </w:r>
      <w:r>
        <w:rPr>
          <w:noProof/>
        </w:rPr>
      </w:r>
      <w:r>
        <w:rPr>
          <w:noProof/>
        </w:rPr>
        <w:fldChar w:fldCharType="separate"/>
      </w:r>
      <w:r w:rsidR="00177AEF">
        <w:rPr>
          <w:noProof/>
        </w:rPr>
        <w:t>5</w:t>
      </w:r>
      <w:r>
        <w:rPr>
          <w:noProof/>
        </w:rPr>
        <w:fldChar w:fldCharType="end"/>
      </w:r>
    </w:p>
    <w:p w:rsidR="00216922" w:rsidRDefault="00216922">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Guidance for good practice – maximising equitable participation in the National Bowel Screening Programme</w:t>
      </w:r>
      <w:r>
        <w:rPr>
          <w:noProof/>
        </w:rPr>
        <w:tab/>
      </w:r>
      <w:r>
        <w:rPr>
          <w:noProof/>
        </w:rPr>
        <w:fldChar w:fldCharType="begin"/>
      </w:r>
      <w:r>
        <w:rPr>
          <w:noProof/>
        </w:rPr>
        <w:instrText xml:space="preserve"> PAGEREF _Toc504027778 \h </w:instrText>
      </w:r>
      <w:r>
        <w:rPr>
          <w:noProof/>
        </w:rPr>
      </w:r>
      <w:r>
        <w:rPr>
          <w:noProof/>
        </w:rPr>
        <w:fldChar w:fldCharType="separate"/>
      </w:r>
      <w:r w:rsidR="00177AEF">
        <w:rPr>
          <w:noProof/>
        </w:rPr>
        <w:t>6</w:t>
      </w:r>
      <w:r>
        <w:rPr>
          <w:noProof/>
        </w:rPr>
        <w:fldChar w:fldCharType="end"/>
      </w:r>
    </w:p>
    <w:p w:rsidR="00216922" w:rsidRDefault="00216922">
      <w:pPr>
        <w:pStyle w:val="TOC2"/>
        <w:tabs>
          <w:tab w:val="left" w:pos="1276"/>
        </w:tabs>
        <w:rPr>
          <w:rFonts w:asciiTheme="minorHAnsi" w:eastAsiaTheme="minorEastAsia" w:hAnsiTheme="minorHAnsi" w:cstheme="minorBidi"/>
          <w:noProof/>
          <w:szCs w:val="22"/>
          <w:lang w:eastAsia="en-NZ"/>
        </w:rPr>
      </w:pPr>
      <w:r w:rsidRPr="004608ED">
        <w:rPr>
          <w:noProof/>
          <w:u w:color="365F91"/>
        </w:rPr>
        <w:t>3.1</w:t>
      </w:r>
      <w:r>
        <w:rPr>
          <w:rFonts w:asciiTheme="minorHAnsi" w:eastAsiaTheme="minorEastAsia" w:hAnsiTheme="minorHAnsi" w:cstheme="minorBidi"/>
          <w:noProof/>
          <w:szCs w:val="22"/>
          <w:lang w:eastAsia="en-NZ"/>
        </w:rPr>
        <w:tab/>
      </w:r>
      <w:r w:rsidRPr="004608ED">
        <w:rPr>
          <w:noProof/>
          <w:u w:color="365F91"/>
        </w:rPr>
        <w:t>Offering all eligible participants the opportunity to participate in the NBSP</w:t>
      </w:r>
      <w:r>
        <w:rPr>
          <w:noProof/>
        </w:rPr>
        <w:tab/>
      </w:r>
      <w:r>
        <w:rPr>
          <w:noProof/>
        </w:rPr>
        <w:fldChar w:fldCharType="begin"/>
      </w:r>
      <w:r>
        <w:rPr>
          <w:noProof/>
        </w:rPr>
        <w:instrText xml:space="preserve"> PAGEREF _Toc504027779 \h </w:instrText>
      </w:r>
      <w:r>
        <w:rPr>
          <w:noProof/>
        </w:rPr>
      </w:r>
      <w:r>
        <w:rPr>
          <w:noProof/>
        </w:rPr>
        <w:fldChar w:fldCharType="separate"/>
      </w:r>
      <w:r w:rsidR="00177AEF">
        <w:rPr>
          <w:noProof/>
        </w:rPr>
        <w:t>6</w:t>
      </w:r>
      <w:r>
        <w:rPr>
          <w:noProof/>
        </w:rPr>
        <w:fldChar w:fldCharType="end"/>
      </w:r>
    </w:p>
    <w:p w:rsidR="00216922" w:rsidRDefault="00216922">
      <w:pPr>
        <w:pStyle w:val="TOC2"/>
        <w:tabs>
          <w:tab w:val="left" w:pos="1276"/>
        </w:tabs>
        <w:rPr>
          <w:rFonts w:asciiTheme="minorHAnsi" w:eastAsiaTheme="minorEastAsia" w:hAnsiTheme="minorHAnsi" w:cstheme="minorBidi"/>
          <w:noProof/>
          <w:szCs w:val="22"/>
          <w:lang w:eastAsia="en-NZ"/>
        </w:rPr>
      </w:pPr>
      <w:r w:rsidRPr="004608ED">
        <w:rPr>
          <w:noProof/>
          <w:u w:color="365F91"/>
        </w:rPr>
        <w:t>3.2</w:t>
      </w:r>
      <w:r>
        <w:rPr>
          <w:rFonts w:asciiTheme="minorHAnsi" w:eastAsiaTheme="minorEastAsia" w:hAnsiTheme="minorHAnsi" w:cstheme="minorBidi"/>
          <w:noProof/>
          <w:szCs w:val="22"/>
          <w:lang w:eastAsia="en-NZ"/>
        </w:rPr>
        <w:tab/>
      </w:r>
      <w:r w:rsidRPr="004608ED">
        <w:rPr>
          <w:noProof/>
          <w:u w:color="365F91"/>
        </w:rPr>
        <w:t>Achieving equitable participation for all population groups</w:t>
      </w:r>
      <w:r>
        <w:rPr>
          <w:noProof/>
        </w:rPr>
        <w:tab/>
      </w:r>
      <w:r>
        <w:rPr>
          <w:noProof/>
        </w:rPr>
        <w:fldChar w:fldCharType="begin"/>
      </w:r>
      <w:r>
        <w:rPr>
          <w:noProof/>
        </w:rPr>
        <w:instrText xml:space="preserve"> PAGEREF _Toc504027780 \h </w:instrText>
      </w:r>
      <w:r>
        <w:rPr>
          <w:noProof/>
        </w:rPr>
      </w:r>
      <w:r>
        <w:rPr>
          <w:noProof/>
        </w:rPr>
        <w:fldChar w:fldCharType="separate"/>
      </w:r>
      <w:r w:rsidR="00177AEF">
        <w:rPr>
          <w:noProof/>
        </w:rPr>
        <w:t>6</w:t>
      </w:r>
      <w:r>
        <w:rPr>
          <w:noProof/>
        </w:rPr>
        <w:fldChar w:fldCharType="end"/>
      </w:r>
    </w:p>
    <w:p w:rsidR="00621FDA" w:rsidRDefault="00C86248" w:rsidP="00621FDA">
      <w:r>
        <w:rPr>
          <w:b/>
        </w:rPr>
        <w:fldChar w:fldCharType="end"/>
      </w:r>
      <w:r w:rsidR="00621FDA">
        <w:tab/>
      </w:r>
    </w:p>
    <w:p w:rsidR="00621FDA" w:rsidRDefault="00621FDA" w:rsidP="00621FDA"/>
    <w:p w:rsidR="00C86248" w:rsidRPr="00621FDA" w:rsidRDefault="00C86248" w:rsidP="00621FDA">
      <w:pPr>
        <w:sectPr w:rsidR="00C86248" w:rsidRPr="00621FDA"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883F72" w:rsidP="00C21A64">
      <w:pPr>
        <w:pStyle w:val="Heading1"/>
      </w:pPr>
      <w:bookmarkStart w:id="3" w:name="_Toc504027773"/>
      <w:r>
        <w:t>1</w:t>
      </w:r>
      <w:r>
        <w:tab/>
        <w:t>Management of faecal immunochemical test for haemoglobin screening results in the National Bowel Screening Programme</w:t>
      </w:r>
      <w:bookmarkEnd w:id="3"/>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C21A64" w:rsidRPr="006D69B0" w:rsidTr="005367EE">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C21A64" w:rsidRPr="006D69B0" w:rsidRDefault="00C21A64" w:rsidP="00C21A64">
            <w:pPr>
              <w:pStyle w:val="TableText"/>
            </w:pPr>
            <w:bookmarkStart w:id="4" w:name="_Toc470252786"/>
            <w:r w:rsidRPr="00C21A64">
              <w:rPr>
                <w:b/>
              </w:rPr>
              <w:t>Standard 1.1:</w:t>
            </w:r>
            <w:r w:rsidRPr="006D69B0">
              <w:t xml:space="preserve"> </w:t>
            </w:r>
            <w:bookmarkEnd w:id="4"/>
            <w:r w:rsidRPr="00C21A64">
              <w:rPr>
                <w:rStyle w:val="TableTextChar"/>
                <w:rFonts w:eastAsia="Helvetica"/>
              </w:rPr>
              <w:t>The primary health care team ensures that each participant in the National Bowel Screening Programme (NBSP) returning a positive faecal immunochemical test for haemoglobin (FIT) screening test is notified of their positive result and referred appropriately in a timely manner.</w:t>
            </w:r>
          </w:p>
        </w:tc>
      </w:tr>
      <w:tr w:rsidR="00C21A64" w:rsidRPr="006D69B0" w:rsidTr="005367EE">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C21A64" w:rsidRPr="006D69B0" w:rsidRDefault="00C21A64" w:rsidP="00C21A64">
            <w:pPr>
              <w:pStyle w:val="TableText"/>
            </w:pPr>
            <w:r>
              <w:t>Policy</w:t>
            </w:r>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8C0A7E" w:rsidRPr="00D87208" w:rsidRDefault="008C0A7E" w:rsidP="008C0A7E">
            <w:pPr>
              <w:pStyle w:val="TableText"/>
            </w:pPr>
            <w:r w:rsidRPr="00D87208">
              <w:t xml:space="preserve">Every participant is advised of the outcome of their screening test in a timely manner and is appropriately referred within the screening </w:t>
            </w:r>
            <w:r>
              <w:t>pathway</w:t>
            </w:r>
            <w:r w:rsidRPr="00D87208">
              <w:t xml:space="preserve"> to either timely access to colonoscopy (or other diagnostic</w:t>
            </w:r>
            <w:r>
              <w:t xml:space="preserve"> investigation) or rescreening.</w:t>
            </w:r>
          </w:p>
          <w:p w:rsidR="008C0A7E" w:rsidRPr="00D87208" w:rsidRDefault="008C0A7E" w:rsidP="008C0A7E">
            <w:pPr>
              <w:pStyle w:val="TableText"/>
            </w:pPr>
            <w:r w:rsidRPr="00D87208">
              <w:t xml:space="preserve">Positive and negative FIT results are sent electronically to the </w:t>
            </w:r>
            <w:r>
              <w:t>primary healthcare team</w:t>
            </w:r>
            <w:r w:rsidRPr="00D87208">
              <w:t xml:space="preserve"> by the FIT laboratory on the day the final result is reported. Screening test results </w:t>
            </w:r>
            <w:r>
              <w:t>are</w:t>
            </w:r>
            <w:r w:rsidRPr="00D87208">
              <w:t xml:space="preserve"> reported as ‘screen </w:t>
            </w:r>
            <w:r>
              <w:t>positive’ or ‘screen negative’.</w:t>
            </w:r>
          </w:p>
          <w:p w:rsidR="008C0A7E" w:rsidRDefault="008C0A7E" w:rsidP="008C0A7E">
            <w:pPr>
              <w:pStyle w:val="TableText"/>
            </w:pPr>
            <w:r>
              <w:t xml:space="preserve">Participants with a positive FIT result are notified (where possible) by their primary health care team. </w:t>
            </w:r>
            <w:r w:rsidRPr="00D87208">
              <w:t xml:space="preserve">All participants with a negative FIT result are notified by </w:t>
            </w:r>
            <w:r>
              <w:t>a ‘</w:t>
            </w:r>
            <w:r w:rsidRPr="001D0C2E">
              <w:t>normal bowel screening test resul</w:t>
            </w:r>
            <w:r>
              <w:t xml:space="preserve">t’ </w:t>
            </w:r>
            <w:r w:rsidRPr="00D87208">
              <w:t xml:space="preserve">letter sent by the </w:t>
            </w:r>
            <w:r>
              <w:t xml:space="preserve">NBSP </w:t>
            </w:r>
            <w:r w:rsidRPr="00D87208">
              <w:t>National Coordination Centre</w:t>
            </w:r>
            <w:r>
              <w:t xml:space="preserve"> (NCC)</w:t>
            </w:r>
            <w:r w:rsidRPr="00D87208">
              <w:t>.</w:t>
            </w:r>
          </w:p>
          <w:p w:rsidR="00C21A64" w:rsidRPr="006D69B0" w:rsidRDefault="008C0A7E" w:rsidP="008C0A7E">
            <w:pPr>
              <w:pStyle w:val="TableText"/>
            </w:pPr>
            <w:r w:rsidRPr="00D87208">
              <w:t>Spoilt tests indicate a failure to obtain a result and are not of themselves resu</w:t>
            </w:r>
            <w:r>
              <w:t xml:space="preserve">lts. </w:t>
            </w:r>
            <w:r w:rsidRPr="00D87208">
              <w:t xml:space="preserve">Spoilt tests are FIT kits returned that could not be adequately tested or technical fails. Participants are advised of this and </w:t>
            </w:r>
            <w:r>
              <w:t xml:space="preserve">sent </w:t>
            </w:r>
            <w:r w:rsidRPr="00D87208">
              <w:t xml:space="preserve">a replacement FIT kit by the </w:t>
            </w:r>
            <w:r>
              <w:t>NCC</w:t>
            </w:r>
            <w:r w:rsidRPr="00D87208">
              <w:t>.</w:t>
            </w:r>
          </w:p>
        </w:tc>
      </w:tr>
      <w:tr w:rsidR="00C21A64" w:rsidRPr="006D69B0" w:rsidTr="005367E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21A64" w:rsidRPr="006D69B0" w:rsidRDefault="00C21A64" w:rsidP="005367EE">
            <w:pPr>
              <w:pStyle w:val="TableText"/>
            </w:pPr>
            <w:bookmarkStart w:id="5" w:name="_Toc470252791"/>
            <w:r w:rsidRPr="006D69B0">
              <w:t xml:space="preserve">Quality </w:t>
            </w:r>
            <w:bookmarkEnd w:id="5"/>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8C0A7E" w:rsidRPr="00D87208" w:rsidRDefault="008C0A7E" w:rsidP="008C0A7E">
            <w:pPr>
              <w:pStyle w:val="TableText"/>
            </w:pPr>
            <w:r w:rsidRPr="00D87208">
              <w:t xml:space="preserve">All </w:t>
            </w:r>
            <w:r>
              <w:t>participants</w:t>
            </w:r>
            <w:r w:rsidRPr="00D87208">
              <w:t xml:space="preserve"> returning a positive screening test are notified of the result by their </w:t>
            </w:r>
            <w:r>
              <w:t>primary healthcare team</w:t>
            </w:r>
            <w:r w:rsidRPr="00D87208">
              <w:t xml:space="preserve"> within </w:t>
            </w:r>
            <w:r>
              <w:t xml:space="preserve">10 </w:t>
            </w:r>
            <w:r w:rsidRPr="00D87208">
              <w:t>working days of the receipt of the result by the Practice.</w:t>
            </w:r>
          </w:p>
          <w:p w:rsidR="00C21A64" w:rsidRPr="005520E9" w:rsidRDefault="008C0A7E" w:rsidP="008C0A7E">
            <w:pPr>
              <w:pStyle w:val="TableText"/>
            </w:pPr>
            <w:r w:rsidRPr="00D87208">
              <w:t xml:space="preserve">All </w:t>
            </w:r>
            <w:r>
              <w:t>participants</w:t>
            </w:r>
            <w:r w:rsidRPr="00D87208">
              <w:t xml:space="preserve"> notified of their positive screening test </w:t>
            </w:r>
            <w:r>
              <w:t>are referred appropriately.</w:t>
            </w:r>
          </w:p>
        </w:tc>
      </w:tr>
      <w:tr w:rsidR="00C21A64" w:rsidRPr="006D69B0" w:rsidTr="005367E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21A64" w:rsidRPr="006D69B0" w:rsidRDefault="00C21A64" w:rsidP="005367EE">
            <w:pPr>
              <w:pStyle w:val="TableText"/>
            </w:pPr>
            <w:bookmarkStart w:id="6" w:name="_Toc470252793"/>
            <w:r w:rsidRPr="006D69B0">
              <w:t xml:space="preserve">Essential </w:t>
            </w:r>
            <w:bookmarkEnd w:id="6"/>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21A64" w:rsidRPr="005520E9" w:rsidRDefault="00C21A64" w:rsidP="005367EE">
            <w:pPr>
              <w:pStyle w:val="TableText"/>
            </w:pPr>
            <w:bookmarkStart w:id="7" w:name="_Toc470252794"/>
            <w:r w:rsidRPr="005520E9">
              <w:t xml:space="preserve">The </w:t>
            </w:r>
            <w:r>
              <w:t>primary health care team ensures</w:t>
            </w:r>
            <w:r w:rsidRPr="005520E9">
              <w:t>:</w:t>
            </w:r>
            <w:bookmarkEnd w:id="7"/>
          </w:p>
          <w:p w:rsidR="00C21A64" w:rsidRPr="005520E9" w:rsidRDefault="00C21A64" w:rsidP="005367EE">
            <w:pPr>
              <w:pStyle w:val="TableText"/>
              <w:ind w:left="709" w:hanging="709"/>
            </w:pPr>
            <w:bookmarkStart w:id="8" w:name="_Toc470252795"/>
            <w:r>
              <w:t>1</w:t>
            </w:r>
            <w:r w:rsidRPr="005520E9">
              <w:t>.</w:t>
            </w:r>
            <w:r>
              <w:t>1</w:t>
            </w:r>
            <w:r w:rsidRPr="005520E9">
              <w:t>.</w:t>
            </w:r>
            <w:r w:rsidR="008C0A7E">
              <w:t>a.</w:t>
            </w:r>
            <w:r w:rsidRPr="005520E9">
              <w:tab/>
            </w:r>
            <w:bookmarkEnd w:id="8"/>
            <w:r w:rsidR="008C0A7E" w:rsidRPr="00D87208">
              <w:t xml:space="preserve">they have systems to identify their </w:t>
            </w:r>
            <w:r w:rsidR="008C0A7E">
              <w:t>population</w:t>
            </w:r>
            <w:r w:rsidR="008C0A7E" w:rsidRPr="00D87208">
              <w:t xml:space="preserve"> that </w:t>
            </w:r>
            <w:r w:rsidR="008C0A7E">
              <w:t>is</w:t>
            </w:r>
            <w:r w:rsidR="008C0A7E" w:rsidRPr="00D87208">
              <w:t xml:space="preserve"> eligible for NBSP sc</w:t>
            </w:r>
            <w:r w:rsidR="008C0A7E">
              <w:t>reening</w:t>
            </w:r>
          </w:p>
          <w:p w:rsidR="00C21A64" w:rsidRDefault="00C21A64" w:rsidP="005367EE">
            <w:pPr>
              <w:pStyle w:val="TableText"/>
              <w:ind w:left="709" w:hanging="709"/>
            </w:pPr>
            <w:bookmarkStart w:id="9" w:name="_Toc470252796"/>
            <w:r>
              <w:t>1</w:t>
            </w:r>
            <w:r w:rsidRPr="005520E9">
              <w:t>.</w:t>
            </w:r>
            <w:r w:rsidR="008C0A7E">
              <w:t>1</w:t>
            </w:r>
            <w:proofErr w:type="gramStart"/>
            <w:r w:rsidR="008C0A7E">
              <w:t>.b</w:t>
            </w:r>
            <w:proofErr w:type="gramEnd"/>
            <w:r w:rsidR="008C0A7E">
              <w:t>.</w:t>
            </w:r>
            <w:r w:rsidRPr="005520E9">
              <w:tab/>
            </w:r>
            <w:bookmarkEnd w:id="9"/>
            <w:r w:rsidR="008C0A7E" w:rsidRPr="00D87208">
              <w:t>their practitioners understand the cultural aspects in relation to the NBSP and practi</w:t>
            </w:r>
            <w:r w:rsidR="008C0A7E">
              <w:t>s</w:t>
            </w:r>
            <w:r w:rsidR="008C0A7E" w:rsidRPr="00D87208">
              <w:t>e in accordance with their relevant</w:t>
            </w:r>
            <w:r w:rsidR="008C0A7E">
              <w:t xml:space="preserve"> cultural competency standards </w:t>
            </w:r>
            <w:r w:rsidR="008C0A7E" w:rsidRPr="00F16D0E">
              <w:t>(</w:t>
            </w:r>
            <w:proofErr w:type="spellStart"/>
            <w:r w:rsidR="008C0A7E" w:rsidRPr="00F16D0E">
              <w:t>eg</w:t>
            </w:r>
            <w:proofErr w:type="spellEnd"/>
            <w:r w:rsidR="008C0A7E" w:rsidRPr="00F16D0E">
              <w:t>, Nursing Council of New Zealand 2011; Medical Council of New Zealand 2006).</w:t>
            </w:r>
          </w:p>
          <w:p w:rsidR="008C0A7E" w:rsidRPr="005520E9" w:rsidRDefault="008C0A7E" w:rsidP="008C0A7E">
            <w:pPr>
              <w:pStyle w:val="TableText"/>
            </w:pPr>
            <w:r w:rsidRPr="00D87208">
              <w:t xml:space="preserve">For </w:t>
            </w:r>
            <w:r>
              <w:t>those participants</w:t>
            </w:r>
            <w:r w:rsidRPr="00D87208">
              <w:t xml:space="preserve"> with negative FIT results</w:t>
            </w:r>
            <w:r>
              <w:t>,</w:t>
            </w:r>
            <w:r w:rsidRPr="00D87208">
              <w:t xml:space="preserve"> the </w:t>
            </w:r>
            <w:r>
              <w:t>primary health care team</w:t>
            </w:r>
            <w:r w:rsidRPr="00D87208">
              <w:t>:</w:t>
            </w:r>
          </w:p>
          <w:p w:rsidR="00C21A64" w:rsidRDefault="00C21A64" w:rsidP="005367EE">
            <w:pPr>
              <w:pStyle w:val="TableText"/>
              <w:ind w:left="709" w:hanging="709"/>
            </w:pPr>
            <w:bookmarkStart w:id="10" w:name="_Toc470252797"/>
            <w:r>
              <w:t>1.</w:t>
            </w:r>
            <w:r w:rsidR="008C0A7E">
              <w:t>1</w:t>
            </w:r>
            <w:proofErr w:type="gramStart"/>
            <w:r w:rsidR="008C0A7E">
              <w:t>.c</w:t>
            </w:r>
            <w:proofErr w:type="gramEnd"/>
            <w:r w:rsidR="008C0A7E">
              <w:t>.</w:t>
            </w:r>
            <w:r w:rsidRPr="005520E9">
              <w:tab/>
            </w:r>
            <w:bookmarkEnd w:id="10"/>
            <w:r w:rsidR="008C0A7E">
              <w:t xml:space="preserve">must be </w:t>
            </w:r>
            <w:r w:rsidR="008C0A7E" w:rsidRPr="00D87208">
              <w:t xml:space="preserve">able to advise </w:t>
            </w:r>
            <w:r w:rsidR="008C0A7E">
              <w:t>participants</w:t>
            </w:r>
            <w:r w:rsidR="008C0A7E" w:rsidRPr="00D87208">
              <w:t xml:space="preserve"> of the limitations of the screening test and to be observant of relevant symptoms</w:t>
            </w:r>
            <w:r w:rsidR="008C0A7E">
              <w:t>.</w:t>
            </w:r>
          </w:p>
          <w:p w:rsidR="008C0A7E" w:rsidRPr="005520E9" w:rsidRDefault="008C0A7E" w:rsidP="008C0A7E">
            <w:pPr>
              <w:pStyle w:val="TableText"/>
            </w:pPr>
            <w:r w:rsidRPr="00D87208">
              <w:t xml:space="preserve">For </w:t>
            </w:r>
            <w:r>
              <w:t>each participant</w:t>
            </w:r>
            <w:r w:rsidRPr="00D87208">
              <w:t xml:space="preserve"> with a positive FIT result, </w:t>
            </w:r>
            <w:r>
              <w:t>the primary health care team</w:t>
            </w:r>
            <w:r w:rsidRPr="00D87208">
              <w:t xml:space="preserve"> must</w:t>
            </w:r>
            <w:r>
              <w:t>, within 10 working days:</w:t>
            </w:r>
          </w:p>
          <w:p w:rsidR="00C21A64" w:rsidRDefault="00C21A64" w:rsidP="008C0A7E">
            <w:pPr>
              <w:pStyle w:val="TableText"/>
              <w:ind w:left="709" w:hanging="709"/>
            </w:pPr>
            <w:r>
              <w:t>1.</w:t>
            </w:r>
            <w:r w:rsidR="008C0A7E">
              <w:t>1.d.</w:t>
            </w:r>
            <w:r>
              <w:tab/>
            </w:r>
            <w:r w:rsidR="008C0A7E">
              <w:t>contact the participant</w:t>
            </w:r>
            <w:r w:rsidR="008C0A7E" w:rsidRPr="00D87208">
              <w:t xml:space="preserve"> to notify them of their </w:t>
            </w:r>
            <w:r w:rsidR="008C0A7E">
              <w:t>positive FIT result</w:t>
            </w:r>
          </w:p>
          <w:p w:rsidR="008C0A7E" w:rsidRDefault="008C0A7E" w:rsidP="008C0A7E">
            <w:pPr>
              <w:pStyle w:val="TableText"/>
              <w:ind w:left="709" w:hanging="709"/>
            </w:pPr>
            <w:r>
              <w:t>1.1.e.</w:t>
            </w:r>
            <w:r>
              <w:tab/>
            </w:r>
            <w:r w:rsidRPr="00D87208">
              <w:t xml:space="preserve">send a referral to the domiciled DHB NBSP endoscopy service for diagnostic services for </w:t>
            </w:r>
            <w:r>
              <w:t>participants</w:t>
            </w:r>
            <w:r w:rsidRPr="00D87208">
              <w:t xml:space="preserve"> able to/wishing to proceed to colonoscopy </w:t>
            </w:r>
            <w:r>
              <w:t xml:space="preserve">(or </w:t>
            </w:r>
            <w:r>
              <w:rPr>
                <w:lang w:val="en"/>
              </w:rPr>
              <w:t xml:space="preserve">Computed Tomography </w:t>
            </w:r>
            <w:proofErr w:type="spellStart"/>
            <w:r>
              <w:rPr>
                <w:lang w:val="en"/>
              </w:rPr>
              <w:t>Colonography</w:t>
            </w:r>
            <w:proofErr w:type="spellEnd"/>
            <w:r w:rsidRPr="004F23A1">
              <w:t>)</w:t>
            </w:r>
          </w:p>
          <w:p w:rsidR="008C0A7E" w:rsidRDefault="008C0A7E" w:rsidP="008C0A7E">
            <w:pPr>
              <w:pStyle w:val="TableText"/>
              <w:ind w:left="709" w:hanging="709"/>
            </w:pPr>
            <w:r>
              <w:t>1.1.f.</w:t>
            </w:r>
            <w:r>
              <w:tab/>
            </w:r>
            <w:r w:rsidRPr="00006565">
              <w:t xml:space="preserve">send an </w:t>
            </w:r>
            <w:r w:rsidR="0084174B">
              <w:t>‘</w:t>
            </w:r>
            <w:r w:rsidRPr="00006565">
              <w:t>information referral</w:t>
            </w:r>
            <w:r w:rsidR="0084174B">
              <w:t>’</w:t>
            </w:r>
            <w:r w:rsidRPr="00006565">
              <w:t xml:space="preserve"> to the DHB NBSP endoscopy service for all other outcomes of participant contact such as electing to access private endoscopy services, unable/unwilling to proceed to diagnostic services, wishing to withdraw from NBSP</w:t>
            </w:r>
          </w:p>
          <w:p w:rsidR="008C0A7E" w:rsidRPr="005520E9" w:rsidRDefault="008C0A7E" w:rsidP="008C0A7E">
            <w:pPr>
              <w:pStyle w:val="TableText"/>
              <w:ind w:left="709" w:hanging="709"/>
            </w:pPr>
            <w:r>
              <w:t>1.1</w:t>
            </w:r>
            <w:proofErr w:type="gramStart"/>
            <w:r>
              <w:t>.g</w:t>
            </w:r>
            <w:proofErr w:type="gramEnd"/>
            <w:r>
              <w:t>.</w:t>
            </w:r>
            <w:r>
              <w:tab/>
            </w:r>
            <w:r w:rsidRPr="00D87208">
              <w:t xml:space="preserve">inform </w:t>
            </w:r>
            <w:r>
              <w:t>participants</w:t>
            </w:r>
            <w:r w:rsidRPr="00D87208">
              <w:t xml:space="preserve"> proceeding to diagnostic services of the process and </w:t>
            </w:r>
            <w:r>
              <w:t>discuss the next steps.</w:t>
            </w:r>
          </w:p>
        </w:tc>
      </w:tr>
      <w:tr w:rsidR="00C21A64" w:rsidRPr="006D69B0" w:rsidTr="005367E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21A64" w:rsidRPr="006D69B0" w:rsidRDefault="00C21A64" w:rsidP="005367EE">
            <w:pPr>
              <w:pStyle w:val="TableText"/>
            </w:pPr>
            <w:bookmarkStart w:id="11" w:name="_Toc470252801"/>
            <w:r w:rsidRPr="006D69B0">
              <w:t xml:space="preserve">Evaluation </w:t>
            </w:r>
            <w:bookmarkEnd w:id="11"/>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8C0A7E" w:rsidRDefault="008C0A7E" w:rsidP="008C0A7E">
            <w:pPr>
              <w:pStyle w:val="TableText"/>
            </w:pPr>
            <w:r w:rsidRPr="00D87208">
              <w:t>The internal audit process ensures that the criteria are complied with, and identified issues are addressed through a CQI process.</w:t>
            </w:r>
          </w:p>
          <w:p w:rsidR="00C21A64" w:rsidRPr="005520E9" w:rsidRDefault="008C0A7E" w:rsidP="008C0A7E">
            <w:pPr>
              <w:pStyle w:val="TableText"/>
            </w:pPr>
            <w:r>
              <w:t>Primary health care team</w:t>
            </w:r>
            <w:r w:rsidRPr="00D87208">
              <w:t xml:space="preserve">s meet the Foundation </w:t>
            </w:r>
            <w:r>
              <w:t>S</w:t>
            </w:r>
            <w:r w:rsidRPr="00D87208">
              <w:t>tandard</w:t>
            </w:r>
            <w:r>
              <w:t xml:space="preserve"> for General Practice (the most recent version published by The Royal College of General Practitioners)</w:t>
            </w:r>
            <w:r w:rsidRPr="00D87208">
              <w:t xml:space="preserve"> and </w:t>
            </w:r>
            <w:r>
              <w:t xml:space="preserve">are </w:t>
            </w:r>
            <w:r w:rsidRPr="00D87208">
              <w:t>encouraged to participate in a recognised accreditation programme</w:t>
            </w:r>
            <w:r>
              <w:t>.</w:t>
            </w:r>
          </w:p>
        </w:tc>
      </w:tr>
      <w:tr w:rsidR="00C21A64" w:rsidRPr="002F1417" w:rsidTr="005367EE">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C21A64" w:rsidRPr="006D69B0" w:rsidRDefault="00C21A64" w:rsidP="005367EE">
            <w:pPr>
              <w:pStyle w:val="TableText"/>
            </w:pPr>
            <w:bookmarkStart w:id="12" w:name="_Toc470252804"/>
            <w:r w:rsidRPr="006D69B0">
              <w:t xml:space="preserve">Evaluation </w:t>
            </w:r>
            <w:bookmarkEnd w:id="12"/>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8C0A7E" w:rsidRPr="00D87208" w:rsidRDefault="008C0A7E" w:rsidP="008C0A7E">
            <w:pPr>
              <w:pStyle w:val="TableText"/>
            </w:pPr>
            <w:r w:rsidRPr="00D87208">
              <w:t xml:space="preserve">100% of </w:t>
            </w:r>
            <w:r>
              <w:t>participants</w:t>
            </w:r>
            <w:r w:rsidRPr="00D87208">
              <w:t xml:space="preserve"> with a positive FIT result</w:t>
            </w:r>
            <w:r>
              <w:t>,</w:t>
            </w:r>
            <w:r w:rsidRPr="00D87208">
              <w:t xml:space="preserve"> and able to be contacted by their </w:t>
            </w:r>
            <w:r>
              <w:t>primary healthcare team</w:t>
            </w:r>
            <w:r w:rsidRPr="00D87208">
              <w:t xml:space="preserve"> within </w:t>
            </w:r>
            <w:r>
              <w:t xml:space="preserve">10 </w:t>
            </w:r>
            <w:r w:rsidRPr="00D87208">
              <w:t>working days, have their outcome (</w:t>
            </w:r>
            <w:r>
              <w:t>‘</w:t>
            </w:r>
            <w:r w:rsidRPr="00D87208">
              <w:t>referral</w:t>
            </w:r>
            <w:r>
              <w:t>’</w:t>
            </w:r>
            <w:r w:rsidRPr="00D87208">
              <w:t xml:space="preserve"> or </w:t>
            </w:r>
            <w:r>
              <w:t>‘</w:t>
            </w:r>
            <w:r w:rsidRPr="00D87208">
              <w:t>information referral</w:t>
            </w:r>
            <w:r>
              <w:t>’</w:t>
            </w:r>
            <w:r w:rsidRPr="00D87208">
              <w:t>) notified to the NBSP DHB endoscopy unit.</w:t>
            </w:r>
          </w:p>
          <w:p w:rsidR="00C21A64" w:rsidRPr="005520E9" w:rsidRDefault="008C0A7E" w:rsidP="008C0A7E">
            <w:pPr>
              <w:pStyle w:val="TableText"/>
            </w:pPr>
            <w:r w:rsidRPr="00D87208">
              <w:t>All criteria are met.</w:t>
            </w:r>
          </w:p>
        </w:tc>
      </w:tr>
    </w:tbl>
    <w:p w:rsidR="00883F72" w:rsidRDefault="00883F72" w:rsidP="008C0A7E"/>
    <w:p w:rsidR="00745AE3" w:rsidRDefault="00745AE3" w:rsidP="00745AE3">
      <w:pPr>
        <w:pStyle w:val="Heading2"/>
        <w:keepLines/>
        <w:ind w:left="0" w:firstLine="0"/>
      </w:pPr>
      <w:r w:rsidRPr="00C21A64">
        <w:t>Standard 1.1</w:t>
      </w:r>
    </w:p>
    <w:p w:rsidR="00745AE3" w:rsidRDefault="00745AE3" w:rsidP="00745AE3">
      <w:pPr>
        <w:rPr>
          <w:rFonts w:eastAsia="Helvetica"/>
        </w:rPr>
      </w:pPr>
      <w:r w:rsidRPr="00745AE3">
        <w:rPr>
          <w:rFonts w:eastAsia="Helvetica"/>
        </w:rPr>
        <w:t>The primary health care team ensures that each participant in the National Bowel Screening Programme (NBSP) returning a positive faecal immunochemical test for haemoglobin (FIT) screening test is notified of their positive result and referred appropriately in a timely manner.</w:t>
      </w:r>
    </w:p>
    <w:p w:rsidR="00745AE3" w:rsidRDefault="00745AE3" w:rsidP="00745AE3">
      <w:pPr>
        <w:rPr>
          <w:rFonts w:eastAsia="Helvetica"/>
        </w:rPr>
      </w:pPr>
    </w:p>
    <w:p w:rsidR="00745AE3" w:rsidRDefault="00745AE3" w:rsidP="00745AE3">
      <w:pPr>
        <w:pStyle w:val="Heading3"/>
      </w:pPr>
      <w:r>
        <w:t>Policy</w:t>
      </w:r>
    </w:p>
    <w:p w:rsidR="00745AE3" w:rsidRDefault="00745AE3" w:rsidP="00745AE3">
      <w:r>
        <w:t>Every participant is advised of the outcome of their screening test in a timely manner and is appropriately referred within the screening pathway to either timely access to colonoscopy (or other diagnostic investigation) or rescreening.</w:t>
      </w:r>
    </w:p>
    <w:p w:rsidR="00745AE3" w:rsidRDefault="00745AE3" w:rsidP="00745AE3"/>
    <w:p w:rsidR="00745AE3" w:rsidRDefault="00745AE3" w:rsidP="00745AE3">
      <w:r>
        <w:t>Positive and negative FIT results are sent electronically to the primary healthcare team by the FIT laboratory on the day the final result is reported. Screening test results are reported as ‘screen positive’ or ‘screen negative’.</w:t>
      </w:r>
    </w:p>
    <w:p w:rsidR="00745AE3" w:rsidRDefault="00745AE3" w:rsidP="00745AE3"/>
    <w:p w:rsidR="00745AE3" w:rsidRDefault="00745AE3" w:rsidP="00745AE3">
      <w:r>
        <w:t>Participants with a positive FIT result are notified (where possible) by their primary health care team. All participants with a negative FIT result are notified by a ‘normal bowel screening test result’ letter sent by the NBSP National Coordination Centre (NCC).</w:t>
      </w:r>
    </w:p>
    <w:p w:rsidR="00745AE3" w:rsidRDefault="00745AE3" w:rsidP="00745AE3"/>
    <w:p w:rsidR="00745AE3" w:rsidRDefault="00745AE3" w:rsidP="00745AE3">
      <w:r>
        <w:t>Spoilt tests indicate a failure to obtain a result and are not of themselves results. Spoilt tests are FIT kits returned that could not be adequately tested or technical fails. Participants are advised of this and sent a replacement FIT kit by the NCC.</w:t>
      </w:r>
    </w:p>
    <w:p w:rsidR="00745AE3" w:rsidRDefault="00745AE3" w:rsidP="00745AE3"/>
    <w:p w:rsidR="00745AE3" w:rsidRDefault="00745AE3" w:rsidP="00745AE3">
      <w:pPr>
        <w:pStyle w:val="Heading3"/>
      </w:pPr>
      <w:r>
        <w:t>Quality indicator</w:t>
      </w:r>
    </w:p>
    <w:p w:rsidR="00745AE3" w:rsidRDefault="00745AE3" w:rsidP="00745AE3">
      <w:r>
        <w:t>All participants returning a positive screening test are notified of the result by their primary healthcare team within 10 working days of the receipt of the result by the Practice.</w:t>
      </w:r>
    </w:p>
    <w:p w:rsidR="00745AE3" w:rsidRDefault="00745AE3" w:rsidP="00745AE3"/>
    <w:p w:rsidR="00745AE3" w:rsidRDefault="00745AE3" w:rsidP="00745AE3">
      <w:r>
        <w:t>All participants notified of their positive screening test are referred appropriately.</w:t>
      </w:r>
    </w:p>
    <w:p w:rsidR="00745AE3" w:rsidRDefault="00745AE3" w:rsidP="00745AE3"/>
    <w:p w:rsidR="00745AE3" w:rsidRDefault="00745AE3" w:rsidP="00745AE3">
      <w:pPr>
        <w:pStyle w:val="Heading3"/>
      </w:pPr>
      <w:r>
        <w:t>Essential criteria</w:t>
      </w:r>
    </w:p>
    <w:p w:rsidR="00745AE3" w:rsidRDefault="00745AE3" w:rsidP="00745AE3">
      <w:r>
        <w:t>The primary health care team ensures:</w:t>
      </w:r>
    </w:p>
    <w:p w:rsidR="00745AE3" w:rsidRDefault="00745AE3" w:rsidP="00745AE3">
      <w:pPr>
        <w:spacing w:before="120"/>
        <w:ind w:left="709" w:hanging="709"/>
      </w:pPr>
      <w:r>
        <w:t>1.1</w:t>
      </w:r>
      <w:proofErr w:type="gramStart"/>
      <w:r>
        <w:t>.a</w:t>
      </w:r>
      <w:proofErr w:type="gramEnd"/>
      <w:r>
        <w:t>.</w:t>
      </w:r>
      <w:r>
        <w:tab/>
        <w:t>they have systems to identify their population that is eligible for NBSP screening</w:t>
      </w:r>
    </w:p>
    <w:p w:rsidR="00745AE3" w:rsidRDefault="00745AE3" w:rsidP="00745AE3">
      <w:pPr>
        <w:spacing w:before="120"/>
        <w:ind w:left="709" w:hanging="709"/>
      </w:pPr>
      <w:r>
        <w:t>1.1.b.</w:t>
      </w:r>
      <w:r>
        <w:tab/>
        <w:t>their practitioners understand the cultural aspects in relation to the NBSP and practise in accordance with their relevant cultural competency standards (</w:t>
      </w:r>
      <w:proofErr w:type="spellStart"/>
      <w:r>
        <w:t>eg</w:t>
      </w:r>
      <w:proofErr w:type="spellEnd"/>
      <w:r>
        <w:t>, Nursing Council of New Zealand 2011; Medical Council of New Zealand 2006).</w:t>
      </w:r>
    </w:p>
    <w:p w:rsidR="00745AE3" w:rsidRDefault="00745AE3" w:rsidP="00745AE3"/>
    <w:p w:rsidR="00745AE3" w:rsidRDefault="00745AE3" w:rsidP="00745AE3">
      <w:r>
        <w:t>For those participants with negative FIT results, the primary health care team:</w:t>
      </w:r>
    </w:p>
    <w:p w:rsidR="00745AE3" w:rsidRDefault="00745AE3" w:rsidP="00745AE3">
      <w:pPr>
        <w:spacing w:before="120"/>
        <w:ind w:left="709" w:hanging="709"/>
      </w:pPr>
      <w:r>
        <w:t>1.1</w:t>
      </w:r>
      <w:proofErr w:type="gramStart"/>
      <w:r>
        <w:t>.c</w:t>
      </w:r>
      <w:proofErr w:type="gramEnd"/>
      <w:r>
        <w:t>.</w:t>
      </w:r>
      <w:r>
        <w:tab/>
        <w:t>must be able to advise participants of the limitations of the screening test and to be observant of relevant symptoms.</w:t>
      </w:r>
    </w:p>
    <w:p w:rsidR="00745AE3" w:rsidRDefault="00745AE3" w:rsidP="00745AE3"/>
    <w:p w:rsidR="00745AE3" w:rsidRDefault="00745AE3" w:rsidP="00CF2296">
      <w:pPr>
        <w:keepNext/>
      </w:pPr>
      <w:r>
        <w:t>For each participant with a positive FIT result, the primary health care team must, within 10 working days:</w:t>
      </w:r>
    </w:p>
    <w:p w:rsidR="00745AE3" w:rsidRDefault="00745AE3" w:rsidP="00CF2296">
      <w:pPr>
        <w:keepNext/>
        <w:spacing w:before="120"/>
        <w:ind w:left="709" w:hanging="709"/>
      </w:pPr>
      <w:r>
        <w:t>1.1</w:t>
      </w:r>
      <w:proofErr w:type="gramStart"/>
      <w:r>
        <w:t>.d</w:t>
      </w:r>
      <w:proofErr w:type="gramEnd"/>
      <w:r>
        <w:t>.</w:t>
      </w:r>
      <w:r>
        <w:tab/>
        <w:t>contact the participant to notify them of their positive FIT result</w:t>
      </w:r>
    </w:p>
    <w:p w:rsidR="00745AE3" w:rsidRDefault="00745AE3" w:rsidP="00745AE3">
      <w:pPr>
        <w:spacing w:before="120"/>
        <w:ind w:left="709" w:hanging="709"/>
      </w:pPr>
      <w:r>
        <w:t>1.1</w:t>
      </w:r>
      <w:proofErr w:type="gramStart"/>
      <w:r>
        <w:t>.e</w:t>
      </w:r>
      <w:proofErr w:type="gramEnd"/>
      <w:r>
        <w:t>.</w:t>
      </w:r>
      <w:r>
        <w:tab/>
        <w:t xml:space="preserve">send a referral to the domiciled DHB NBSP endoscopy service for diagnostic services for participants able to/wishing to proceed to colonoscopy (or Computed Tomography </w:t>
      </w:r>
      <w:proofErr w:type="spellStart"/>
      <w:r>
        <w:t>Colonography</w:t>
      </w:r>
      <w:proofErr w:type="spellEnd"/>
      <w:r>
        <w:t>)</w:t>
      </w:r>
    </w:p>
    <w:p w:rsidR="00745AE3" w:rsidRDefault="00745AE3" w:rsidP="00745AE3">
      <w:pPr>
        <w:spacing w:before="120"/>
        <w:ind w:left="709" w:hanging="709"/>
      </w:pPr>
      <w:r>
        <w:t>1.1.f.</w:t>
      </w:r>
      <w:r>
        <w:tab/>
        <w:t>send an ‘information referral’ to the DHB NBSP endoscopy service for all other outcomes of participant contact such as electing to access private endoscopy services, unable/unwilling to proceed to diagnostic services, wishing to withdraw from NBSP</w:t>
      </w:r>
    </w:p>
    <w:p w:rsidR="00745AE3" w:rsidRDefault="00745AE3" w:rsidP="00745AE3">
      <w:pPr>
        <w:spacing w:before="120"/>
        <w:ind w:left="709" w:hanging="709"/>
      </w:pPr>
      <w:r>
        <w:t>1.1</w:t>
      </w:r>
      <w:proofErr w:type="gramStart"/>
      <w:r>
        <w:t>.g</w:t>
      </w:r>
      <w:proofErr w:type="gramEnd"/>
      <w:r>
        <w:t>.</w:t>
      </w:r>
      <w:r>
        <w:tab/>
        <w:t xml:space="preserve">inform participants proceeding to diagnostic </w:t>
      </w:r>
      <w:r w:rsidR="00CF2296" w:rsidRPr="00D87208">
        <w:t xml:space="preserve">services of the process and </w:t>
      </w:r>
      <w:r w:rsidR="00CF2296">
        <w:t>discuss the next steps.</w:t>
      </w:r>
    </w:p>
    <w:p w:rsidR="00CF2296" w:rsidRDefault="00CF2296" w:rsidP="00CF2296"/>
    <w:p w:rsidR="00CF2296" w:rsidRDefault="00CF2296" w:rsidP="00CF2296">
      <w:pPr>
        <w:pStyle w:val="Heading3"/>
      </w:pPr>
      <w:r>
        <w:t>Evaluation process</w:t>
      </w:r>
    </w:p>
    <w:p w:rsidR="00CF2296" w:rsidRDefault="00CF2296" w:rsidP="00CF2296">
      <w:r>
        <w:t>The internal audit process ensures that the criteria are complied with, and identified issues are addressed through a CQI process.</w:t>
      </w:r>
    </w:p>
    <w:p w:rsidR="00CF2296" w:rsidRDefault="00CF2296" w:rsidP="00CF2296"/>
    <w:p w:rsidR="00CF2296" w:rsidRDefault="00CF2296" w:rsidP="00CF2296">
      <w:r>
        <w:t>Primary health care teams meet the Foundation Standard for General Practice (the most recent version published by The Royal College of General Practitioners) and are encouraged to participate in a recognised accreditation programme.</w:t>
      </w:r>
    </w:p>
    <w:p w:rsidR="00CF2296" w:rsidRDefault="00CF2296" w:rsidP="00CF2296"/>
    <w:p w:rsidR="00CF2296" w:rsidRDefault="00CF2296" w:rsidP="00CF2296">
      <w:pPr>
        <w:pStyle w:val="Heading3"/>
      </w:pPr>
      <w:r>
        <w:t>Evaluation targets</w:t>
      </w:r>
    </w:p>
    <w:p w:rsidR="00CF2296" w:rsidRDefault="00CF2296" w:rsidP="00CF2296">
      <w:r>
        <w:t>100% of participants with a positive FIT result, and able to be contacted by their primary healthcare team within 10 working days, have their outcome (‘referral’ or ‘information referral’) notified to the NBSP DHB endoscopy unit.</w:t>
      </w:r>
    </w:p>
    <w:p w:rsidR="00CF2296" w:rsidRDefault="00CF2296" w:rsidP="00CF2296"/>
    <w:p w:rsidR="00CF2296" w:rsidRDefault="00CF2296" w:rsidP="00CF2296">
      <w:r>
        <w:t>All criteria are met.</w:t>
      </w:r>
    </w:p>
    <w:p w:rsidR="00745AE3" w:rsidRPr="00C30B9D" w:rsidRDefault="00745AE3" w:rsidP="008C0A7E"/>
    <w:p w:rsidR="00883F72" w:rsidRDefault="00883F72" w:rsidP="008C0A7E">
      <w:pPr>
        <w:pStyle w:val="Heading1"/>
      </w:pPr>
      <w:bookmarkStart w:id="13" w:name="_Toc504027774"/>
      <w:r w:rsidRPr="002B5157">
        <w:t>2</w:t>
      </w:r>
      <w:r w:rsidRPr="002B5157">
        <w:tab/>
      </w:r>
      <w:r>
        <w:t xml:space="preserve">Guidance for good practice – </w:t>
      </w:r>
      <w:r w:rsidR="008C0A7E">
        <w:t>p</w:t>
      </w:r>
      <w:r>
        <w:t>roviding the National Bowel Screening Programme</w:t>
      </w:r>
      <w:bookmarkEnd w:id="13"/>
    </w:p>
    <w:p w:rsidR="00AB069A" w:rsidRPr="00AB069A" w:rsidRDefault="00AB069A" w:rsidP="00AB069A">
      <w:pPr>
        <w:pStyle w:val="Heading2"/>
      </w:pPr>
      <w:bookmarkStart w:id="14" w:name="_Toc504027775"/>
      <w:r>
        <w:t>2.1</w:t>
      </w:r>
      <w:r>
        <w:tab/>
      </w:r>
      <w:r w:rsidRPr="00AB069A">
        <w:t>Eligibility to participate in the NBSP</w:t>
      </w:r>
      <w:bookmarkEnd w:id="14"/>
    </w:p>
    <w:p w:rsidR="00AB069A" w:rsidRPr="00333834" w:rsidRDefault="00AB069A" w:rsidP="00AB069A">
      <w:pPr>
        <w:pStyle w:val="Heading3"/>
      </w:pPr>
      <w:r w:rsidRPr="00333834">
        <w:t>Consensus</w:t>
      </w:r>
      <w:r>
        <w:t>-</w:t>
      </w:r>
      <w:r w:rsidRPr="00333834">
        <w:t>based evidence</w:t>
      </w:r>
    </w:p>
    <w:p w:rsidR="00AB069A" w:rsidRDefault="00AB069A" w:rsidP="0084174B">
      <w:pPr>
        <w:ind w:left="709" w:hanging="709"/>
      </w:pPr>
      <w:r w:rsidRPr="00D87208">
        <w:t>2.</w:t>
      </w:r>
      <w:r>
        <w:t>1</w:t>
      </w:r>
      <w:proofErr w:type="gramStart"/>
      <w:r w:rsidRPr="00D87208">
        <w:t>.a</w:t>
      </w:r>
      <w:proofErr w:type="gramEnd"/>
      <w:r w:rsidRPr="00D87208">
        <w:t>.</w:t>
      </w:r>
      <w:r w:rsidRPr="00D87208">
        <w:tab/>
      </w:r>
      <w:r>
        <w:t xml:space="preserve">Eligible </w:t>
      </w:r>
      <w:r w:rsidRPr="00556065">
        <w:t>participants are men and women eligible for N</w:t>
      </w:r>
      <w:r>
        <w:t xml:space="preserve">ew </w:t>
      </w:r>
      <w:r w:rsidRPr="00556065">
        <w:t>Z</w:t>
      </w:r>
      <w:r>
        <w:t>ealand</w:t>
      </w:r>
      <w:r w:rsidRPr="00556065">
        <w:t xml:space="preserve"> health </w:t>
      </w:r>
      <w:r>
        <w:t>services and aged 60–74 years.</w:t>
      </w:r>
    </w:p>
    <w:p w:rsidR="00AB069A" w:rsidRDefault="00AB069A" w:rsidP="0084174B">
      <w:pPr>
        <w:spacing w:before="180"/>
        <w:ind w:left="709" w:hanging="709"/>
      </w:pPr>
      <w:r w:rsidRPr="00D87208">
        <w:t>2.</w:t>
      </w:r>
      <w:r>
        <w:t>1</w:t>
      </w:r>
      <w:proofErr w:type="gramStart"/>
      <w:r w:rsidRPr="00D87208">
        <w:t>.</w:t>
      </w:r>
      <w:r>
        <w:t>b</w:t>
      </w:r>
      <w:proofErr w:type="gramEnd"/>
      <w:r w:rsidRPr="00D87208">
        <w:t>.</w:t>
      </w:r>
      <w:r w:rsidRPr="00D87208">
        <w:tab/>
      </w:r>
      <w:r>
        <w:t>FIT screening is not recommended for people outside the eligible age range.</w:t>
      </w:r>
    </w:p>
    <w:p w:rsidR="00AB069A" w:rsidRPr="006A1DAF" w:rsidRDefault="00AB069A" w:rsidP="0084174B">
      <w:pPr>
        <w:spacing w:before="180"/>
        <w:ind w:left="709" w:hanging="709"/>
      </w:pPr>
      <w:r w:rsidRPr="00D87208">
        <w:t>2.</w:t>
      </w:r>
      <w:r>
        <w:t>1</w:t>
      </w:r>
      <w:proofErr w:type="gramStart"/>
      <w:r w:rsidRPr="00D87208">
        <w:t>.</w:t>
      </w:r>
      <w:r>
        <w:t>b</w:t>
      </w:r>
      <w:proofErr w:type="gramEnd"/>
      <w:r w:rsidRPr="00D87208">
        <w:t>.</w:t>
      </w:r>
      <w:r w:rsidRPr="00D87208">
        <w:tab/>
      </w:r>
      <w:r>
        <w:t>FIT screening is not recommended for people with symptoms requiring clinical investigation.</w:t>
      </w:r>
      <w:r w:rsidRPr="0084174B">
        <w:rPr>
          <w:rStyle w:val="FootnoteReference"/>
        </w:rPr>
        <w:footnoteReference w:id="1"/>
      </w:r>
    </w:p>
    <w:p w:rsidR="00AB069A" w:rsidRDefault="00AB069A" w:rsidP="0084174B">
      <w:pPr>
        <w:spacing w:before="180"/>
        <w:ind w:left="709" w:hanging="709"/>
      </w:pPr>
      <w:r w:rsidRPr="00D87208">
        <w:t>2.</w:t>
      </w:r>
      <w:r>
        <w:t>1</w:t>
      </w:r>
      <w:proofErr w:type="gramStart"/>
      <w:r w:rsidRPr="00D87208">
        <w:t>.</w:t>
      </w:r>
      <w:r>
        <w:t>c</w:t>
      </w:r>
      <w:proofErr w:type="gramEnd"/>
      <w:r w:rsidRPr="00D87208">
        <w:t>.</w:t>
      </w:r>
      <w:r w:rsidRPr="00D87208">
        <w:tab/>
      </w:r>
      <w:r>
        <w:t>The rescreening interval for e</w:t>
      </w:r>
      <w:r w:rsidRPr="00556065">
        <w:t>li</w:t>
      </w:r>
      <w:r>
        <w:t>gible participants is 24 months.</w:t>
      </w:r>
    </w:p>
    <w:p w:rsidR="00AB069A" w:rsidRPr="00556065" w:rsidRDefault="00AB069A" w:rsidP="0084174B"/>
    <w:p w:rsidR="00AB069A" w:rsidRPr="00333834" w:rsidRDefault="00AB069A" w:rsidP="00AB069A">
      <w:pPr>
        <w:pStyle w:val="Heading3"/>
      </w:pPr>
      <w:r w:rsidRPr="00333834">
        <w:t>Practice points</w:t>
      </w:r>
    </w:p>
    <w:p w:rsidR="00AB069A" w:rsidRPr="00556065" w:rsidRDefault="00AB069A" w:rsidP="0084174B">
      <w:pPr>
        <w:ind w:left="709" w:hanging="709"/>
      </w:pPr>
      <w:r w:rsidRPr="00D87208">
        <w:t>2.</w:t>
      </w:r>
      <w:r>
        <w:t>1</w:t>
      </w:r>
      <w:proofErr w:type="gramStart"/>
      <w:r>
        <w:t>.d</w:t>
      </w:r>
      <w:proofErr w:type="gramEnd"/>
      <w:r w:rsidRPr="00D87208">
        <w:t>.</w:t>
      </w:r>
      <w:r w:rsidRPr="00D87208">
        <w:tab/>
      </w:r>
      <w:r>
        <w:t>E</w:t>
      </w:r>
      <w:r w:rsidRPr="00556065">
        <w:t>xclusion</w:t>
      </w:r>
      <w:r>
        <w:t>s</w:t>
      </w:r>
      <w:r w:rsidRPr="00556065">
        <w:t xml:space="preserve"> to </w:t>
      </w:r>
      <w:r>
        <w:t xml:space="preserve">eligibility for </w:t>
      </w:r>
      <w:r w:rsidRPr="00556065">
        <w:t>screening include but are not limited to people who:</w:t>
      </w:r>
    </w:p>
    <w:p w:rsidR="00AB069A" w:rsidRPr="00DD3F8A" w:rsidRDefault="00AB069A" w:rsidP="0084174B">
      <w:pPr>
        <w:pStyle w:val="Bullet"/>
        <w:tabs>
          <w:tab w:val="clear" w:pos="284"/>
          <w:tab w:val="num" w:pos="993"/>
        </w:tabs>
        <w:ind w:left="993"/>
      </w:pPr>
      <w:r w:rsidRPr="00DD3F8A">
        <w:t>have had a colonoscopy within the last five years</w:t>
      </w:r>
    </w:p>
    <w:p w:rsidR="00AB069A" w:rsidRPr="00DD3F8A" w:rsidRDefault="00AB069A" w:rsidP="0084174B">
      <w:pPr>
        <w:pStyle w:val="Bullet"/>
        <w:ind w:left="993"/>
      </w:pPr>
      <w:r w:rsidRPr="00DD3F8A">
        <w:t>have undergone total removal of the large bowel</w:t>
      </w:r>
    </w:p>
    <w:p w:rsidR="00AB069A" w:rsidRPr="00DD3F8A" w:rsidRDefault="00AB069A" w:rsidP="0084174B">
      <w:pPr>
        <w:pStyle w:val="Bullet"/>
        <w:ind w:left="993"/>
      </w:pPr>
      <w:r w:rsidRPr="00DD3F8A">
        <w:t>have had, or are currently receiving, treatment for bowel cancer</w:t>
      </w:r>
    </w:p>
    <w:p w:rsidR="00AB069A" w:rsidRPr="00DD3F8A" w:rsidRDefault="00AB069A" w:rsidP="0084174B">
      <w:pPr>
        <w:pStyle w:val="Bullet"/>
        <w:ind w:left="993"/>
      </w:pPr>
      <w:r w:rsidRPr="00DD3F8A">
        <w:t>are in a bowel polyp or bowel cancer surveillance programme</w:t>
      </w:r>
    </w:p>
    <w:p w:rsidR="00AB069A" w:rsidRPr="00DD3F8A" w:rsidRDefault="00AB069A" w:rsidP="0084174B">
      <w:pPr>
        <w:pStyle w:val="Bullet"/>
        <w:ind w:left="993"/>
      </w:pPr>
      <w:r w:rsidRPr="00DD3F8A">
        <w:t xml:space="preserve">are currently receiving treatment for ulcerative colitis or </w:t>
      </w:r>
      <w:proofErr w:type="spellStart"/>
      <w:r w:rsidRPr="00DD3F8A">
        <w:t>Crohns</w:t>
      </w:r>
      <w:proofErr w:type="spellEnd"/>
      <w:r w:rsidRPr="00DD3F8A">
        <w:t xml:space="preserve"> disease, or are under specialist surveillance</w:t>
      </w:r>
    </w:p>
    <w:p w:rsidR="00AB069A" w:rsidRPr="00DD3F8A" w:rsidRDefault="00AB069A" w:rsidP="0084174B">
      <w:pPr>
        <w:pStyle w:val="Bullet"/>
        <w:ind w:left="993"/>
      </w:pPr>
      <w:proofErr w:type="gramStart"/>
      <w:r w:rsidRPr="00DD3F8A">
        <w:t>are</w:t>
      </w:r>
      <w:proofErr w:type="gramEnd"/>
      <w:r w:rsidRPr="00DD3F8A">
        <w:t xml:space="preserve"> currently seeing a doctor for bowel cancer symptoms.</w:t>
      </w:r>
    </w:p>
    <w:p w:rsidR="00C21A64" w:rsidRDefault="00AB069A" w:rsidP="0084174B">
      <w:pPr>
        <w:spacing w:before="180"/>
        <w:ind w:left="709" w:hanging="709"/>
      </w:pPr>
      <w:r>
        <w:t>2.1</w:t>
      </w:r>
      <w:proofErr w:type="gramStart"/>
      <w:r>
        <w:t>.e</w:t>
      </w:r>
      <w:proofErr w:type="gramEnd"/>
      <w:r w:rsidRPr="00D87208">
        <w:t>.</w:t>
      </w:r>
      <w:r w:rsidRPr="00D87208">
        <w:tab/>
      </w:r>
      <w:r>
        <w:t>Eligible participants</w:t>
      </w:r>
      <w:r w:rsidRPr="00556065">
        <w:t xml:space="preserve"> with exclusion criteria </w:t>
      </w:r>
      <w:r>
        <w:t xml:space="preserve">are managed </w:t>
      </w:r>
      <w:r w:rsidRPr="00556065">
        <w:t>appropriately</w:t>
      </w:r>
      <w:r>
        <w:t>;</w:t>
      </w:r>
      <w:r w:rsidRPr="00556065">
        <w:t xml:space="preserve"> </w:t>
      </w:r>
      <w:r>
        <w:t>participants that are temporaril</w:t>
      </w:r>
      <w:r w:rsidRPr="00556065">
        <w:t>y ineligible</w:t>
      </w:r>
      <w:r>
        <w:t xml:space="preserve"> are advised </w:t>
      </w:r>
      <w:r w:rsidRPr="00556065">
        <w:t>when they will become re-eligible</w:t>
      </w:r>
      <w:r>
        <w:t>.</w:t>
      </w:r>
    </w:p>
    <w:p w:rsidR="00C21A64" w:rsidRDefault="00C21A64" w:rsidP="0084174B"/>
    <w:p w:rsidR="00AB069A" w:rsidRDefault="00AB069A" w:rsidP="00AB069A">
      <w:pPr>
        <w:pStyle w:val="Heading2"/>
      </w:pPr>
      <w:bookmarkStart w:id="15" w:name="_Toc504027776"/>
      <w:r>
        <w:t>2.2</w:t>
      </w:r>
      <w:r>
        <w:tab/>
      </w:r>
      <w:r w:rsidRPr="00AB069A">
        <w:t>Informing the eligible population about the NBSP and screening</w:t>
      </w:r>
      <w:bookmarkEnd w:id="15"/>
    </w:p>
    <w:p w:rsidR="00AB069A" w:rsidRPr="00D87208" w:rsidRDefault="00AB069A" w:rsidP="00AB069A">
      <w:pPr>
        <w:pStyle w:val="Heading3"/>
        <w:rPr>
          <w:iCs/>
        </w:rPr>
      </w:pPr>
      <w:r>
        <w:t>Practice points</w:t>
      </w:r>
    </w:p>
    <w:p w:rsidR="00AB069A" w:rsidRPr="00D87208" w:rsidRDefault="00AB069A" w:rsidP="0084174B">
      <w:pPr>
        <w:keepNext/>
        <w:ind w:left="709" w:hanging="709"/>
      </w:pPr>
      <w:r w:rsidRPr="00D87208">
        <w:t>2.2</w:t>
      </w:r>
      <w:proofErr w:type="gramStart"/>
      <w:r w:rsidRPr="00D87208">
        <w:t>.a</w:t>
      </w:r>
      <w:proofErr w:type="gramEnd"/>
      <w:r w:rsidRPr="00D87208">
        <w:t>.</w:t>
      </w:r>
      <w:r w:rsidRPr="00D87208">
        <w:tab/>
      </w:r>
      <w:r>
        <w:t>General practices, public health organisations</w:t>
      </w:r>
      <w:r w:rsidRPr="00D87208">
        <w:t xml:space="preserve"> and DHBs </w:t>
      </w:r>
      <w:r>
        <w:t xml:space="preserve">collaborate </w:t>
      </w:r>
      <w:r w:rsidRPr="00D87208">
        <w:t xml:space="preserve">in communications and community engagement activities promoting </w:t>
      </w:r>
      <w:r>
        <w:t xml:space="preserve">the </w:t>
      </w:r>
      <w:r w:rsidRPr="00D87208">
        <w:t>NBSP</w:t>
      </w:r>
      <w:r>
        <w:t>.</w:t>
      </w:r>
    </w:p>
    <w:p w:rsidR="00AB069A" w:rsidRPr="00D87208" w:rsidRDefault="00AB069A" w:rsidP="0084174B">
      <w:pPr>
        <w:keepNext/>
        <w:spacing w:before="180"/>
        <w:ind w:left="709" w:hanging="709"/>
      </w:pPr>
      <w:r w:rsidRPr="00D87208">
        <w:t>2.2</w:t>
      </w:r>
      <w:proofErr w:type="gramStart"/>
      <w:r w:rsidRPr="00D87208">
        <w:t>.b</w:t>
      </w:r>
      <w:proofErr w:type="gramEnd"/>
      <w:r w:rsidRPr="00D87208">
        <w:t>.</w:t>
      </w:r>
      <w:r w:rsidRPr="00D87208">
        <w:tab/>
      </w:r>
      <w:r>
        <w:t>Practices provide</w:t>
      </w:r>
      <w:r w:rsidRPr="00D87208">
        <w:t xml:space="preserve"> eligible participants with information and resources </w:t>
      </w:r>
      <w:r>
        <w:t xml:space="preserve">about the NBSP </w:t>
      </w:r>
      <w:r w:rsidRPr="00D87208">
        <w:t>that are evidence based and consistent</w:t>
      </w:r>
      <w:r>
        <w:t>,</w:t>
      </w:r>
      <w:r w:rsidRPr="00D87208">
        <w:t xml:space="preserve"> </w:t>
      </w:r>
      <w:r>
        <w:t>and cover:</w:t>
      </w:r>
    </w:p>
    <w:p w:rsidR="00AB069A" w:rsidRPr="00DD3F8A" w:rsidRDefault="00AB069A" w:rsidP="0084174B">
      <w:pPr>
        <w:pStyle w:val="Bullet"/>
        <w:keepNext/>
        <w:tabs>
          <w:tab w:val="clear" w:pos="284"/>
          <w:tab w:val="num" w:pos="993"/>
        </w:tabs>
        <w:ind w:left="993"/>
      </w:pPr>
      <w:r w:rsidRPr="00DD3F8A">
        <w:t>the potential benefits and risks of screening</w:t>
      </w:r>
    </w:p>
    <w:p w:rsidR="00AB069A" w:rsidRPr="00DD3F8A" w:rsidRDefault="00AB069A" w:rsidP="0084174B">
      <w:pPr>
        <w:pStyle w:val="Bullet"/>
        <w:keepNext/>
        <w:ind w:left="993"/>
      </w:pPr>
      <w:r w:rsidRPr="00DD3F8A">
        <w:t>the significance of positive and negative FIT results</w:t>
      </w:r>
    </w:p>
    <w:p w:rsidR="00AB069A" w:rsidRPr="00DD3F8A" w:rsidRDefault="00AB069A" w:rsidP="0084174B">
      <w:pPr>
        <w:pStyle w:val="Bullet"/>
        <w:ind w:left="993"/>
      </w:pPr>
      <w:proofErr w:type="gramStart"/>
      <w:r w:rsidRPr="00DD3F8A">
        <w:t>that</w:t>
      </w:r>
      <w:proofErr w:type="gramEnd"/>
      <w:r w:rsidRPr="00DD3F8A">
        <w:t xml:space="preserve"> a colonoscopy or other diagnostic test will be offered if the screening test result is positive.</w:t>
      </w:r>
    </w:p>
    <w:p w:rsidR="00AB069A" w:rsidRPr="00D87208" w:rsidRDefault="00AB069A" w:rsidP="0084174B">
      <w:pPr>
        <w:spacing w:before="180"/>
        <w:ind w:left="709" w:hanging="709"/>
      </w:pPr>
      <w:r w:rsidRPr="00D87208">
        <w:t>2.2</w:t>
      </w:r>
      <w:proofErr w:type="gramStart"/>
      <w:r w:rsidRPr="00D87208">
        <w:t>.c</w:t>
      </w:r>
      <w:proofErr w:type="gramEnd"/>
      <w:r w:rsidRPr="00D87208">
        <w:t>.</w:t>
      </w:r>
      <w:r w:rsidRPr="00D87208">
        <w:tab/>
      </w:r>
      <w:r>
        <w:t>Communicates</w:t>
      </w:r>
      <w:r w:rsidRPr="00D87208">
        <w:t xml:space="preserve"> the NBSP key messages to eligible participants</w:t>
      </w:r>
      <w:r>
        <w:t>.</w:t>
      </w:r>
    </w:p>
    <w:p w:rsidR="00AB069A" w:rsidRDefault="00AB069A" w:rsidP="0084174B">
      <w:pPr>
        <w:spacing w:before="180"/>
        <w:ind w:left="709" w:hanging="709"/>
      </w:pPr>
      <w:r w:rsidRPr="00D87208">
        <w:t>2.2</w:t>
      </w:r>
      <w:proofErr w:type="gramStart"/>
      <w:r w:rsidRPr="00D87208">
        <w:t>.d</w:t>
      </w:r>
      <w:proofErr w:type="gramEnd"/>
      <w:r w:rsidRPr="00D87208">
        <w:t>.</w:t>
      </w:r>
      <w:r w:rsidRPr="00D87208">
        <w:tab/>
      </w:r>
      <w:r>
        <w:t>Written and verbal communication</w:t>
      </w:r>
      <w:r w:rsidRPr="00D87208">
        <w:t xml:space="preserve"> about the NBSP is clear, consistent and appropriate</w:t>
      </w:r>
      <w:r>
        <w:t>.</w:t>
      </w:r>
    </w:p>
    <w:p w:rsidR="00AB069A" w:rsidRPr="0084174B" w:rsidRDefault="00AB069A" w:rsidP="0084174B">
      <w:pPr>
        <w:spacing w:before="180"/>
        <w:ind w:left="709" w:hanging="709"/>
      </w:pPr>
      <w:r w:rsidRPr="00D87208">
        <w:t>2</w:t>
      </w:r>
      <w:r>
        <w:t>.2</w:t>
      </w:r>
      <w:proofErr w:type="gramStart"/>
      <w:r>
        <w:t>.e</w:t>
      </w:r>
      <w:proofErr w:type="gramEnd"/>
      <w:r w:rsidRPr="00D87208">
        <w:t>.</w:t>
      </w:r>
      <w:r w:rsidRPr="00D87208">
        <w:tab/>
      </w:r>
      <w:r>
        <w:t>Advises</w:t>
      </w:r>
      <w:r w:rsidRPr="00D87208">
        <w:t xml:space="preserve"> eligible </w:t>
      </w:r>
      <w:r>
        <w:t xml:space="preserve">participants </w:t>
      </w:r>
      <w:r w:rsidRPr="00D87208">
        <w:t>about family history for high risk and surveillance for those at moderate risk</w:t>
      </w:r>
      <w:r>
        <w:t>,</w:t>
      </w:r>
      <w:r w:rsidRPr="00D87208">
        <w:t xml:space="preserve"> </w:t>
      </w:r>
      <w:r>
        <w:t>according to</w:t>
      </w:r>
      <w:r w:rsidRPr="00D87208">
        <w:t xml:space="preserve"> the </w:t>
      </w:r>
      <w:r w:rsidRPr="00DC42E5">
        <w:rPr>
          <w:i/>
        </w:rPr>
        <w:t>Guidance on Surveillance for People at Increased Colorectal Cancer</w:t>
      </w:r>
      <w:r>
        <w:t>.</w:t>
      </w:r>
      <w:r w:rsidRPr="0084174B">
        <w:rPr>
          <w:rStyle w:val="FootnoteReference"/>
        </w:rPr>
        <w:footnoteReference w:id="2"/>
      </w:r>
    </w:p>
    <w:p w:rsidR="00AB069A" w:rsidRDefault="00AB069A" w:rsidP="0084174B"/>
    <w:p w:rsidR="00AB069A" w:rsidRPr="00AB069A" w:rsidRDefault="00AB069A" w:rsidP="0084174B">
      <w:pPr>
        <w:pStyle w:val="Heading2"/>
      </w:pPr>
      <w:bookmarkStart w:id="16" w:name="_Toc504027777"/>
      <w:r w:rsidRPr="00AB069A">
        <w:t>2.3</w:t>
      </w:r>
      <w:r w:rsidRPr="00AB069A">
        <w:tab/>
        <w:t>Advising eligible participants about the significance of the screening test, and managing the pathway for a positive screening test</w:t>
      </w:r>
      <w:bookmarkEnd w:id="16"/>
    </w:p>
    <w:p w:rsidR="00AB069A" w:rsidRPr="00D87208" w:rsidRDefault="00AB069A" w:rsidP="00AB069A">
      <w:pPr>
        <w:pStyle w:val="Heading3"/>
      </w:pPr>
      <w:r w:rsidRPr="00D87208">
        <w:t xml:space="preserve">Practice </w:t>
      </w:r>
      <w:r>
        <w:t>p</w:t>
      </w:r>
      <w:r w:rsidR="0084174B">
        <w:t>oints</w:t>
      </w:r>
    </w:p>
    <w:p w:rsidR="00AB069A" w:rsidRDefault="00AB069A" w:rsidP="0084174B">
      <w:pPr>
        <w:ind w:left="709" w:hanging="709"/>
      </w:pPr>
      <w:r w:rsidRPr="00D87208">
        <w:t>2</w:t>
      </w:r>
      <w:r>
        <w:t>.3</w:t>
      </w:r>
      <w:proofErr w:type="gramStart"/>
      <w:r>
        <w:t>.a</w:t>
      </w:r>
      <w:proofErr w:type="gramEnd"/>
      <w:r w:rsidRPr="00D87208">
        <w:t>.</w:t>
      </w:r>
      <w:r w:rsidRPr="00D87208">
        <w:tab/>
      </w:r>
      <w:r>
        <w:t>Manages</w:t>
      </w:r>
      <w:r w:rsidRPr="00D87208">
        <w:t xml:space="preserve"> </w:t>
      </w:r>
      <w:r>
        <w:t>participants</w:t>
      </w:r>
      <w:r w:rsidRPr="00D87208">
        <w:t xml:space="preserve"> who are unsuitable for diagnostic services or decline diagnostic services</w:t>
      </w:r>
      <w:r w:rsidR="0084174B">
        <w:t>.</w:t>
      </w:r>
    </w:p>
    <w:p w:rsidR="00AB069A" w:rsidRDefault="00AB069A" w:rsidP="0084174B">
      <w:pPr>
        <w:spacing w:before="180"/>
        <w:ind w:left="709" w:hanging="709"/>
      </w:pPr>
      <w:r w:rsidRPr="00D87208">
        <w:t>2</w:t>
      </w:r>
      <w:r>
        <w:t>.3</w:t>
      </w:r>
      <w:proofErr w:type="gramStart"/>
      <w:r>
        <w:t>.b</w:t>
      </w:r>
      <w:proofErr w:type="gramEnd"/>
      <w:r w:rsidRPr="00D87208">
        <w:t>.</w:t>
      </w:r>
      <w:r w:rsidRPr="00D87208">
        <w:tab/>
      </w:r>
      <w:r>
        <w:t>Manages</w:t>
      </w:r>
      <w:r w:rsidRPr="00D87208">
        <w:t xml:space="preserve"> </w:t>
      </w:r>
      <w:r>
        <w:t>participants</w:t>
      </w:r>
      <w:r w:rsidRPr="00D87208">
        <w:t xml:space="preserve"> </w:t>
      </w:r>
      <w:r>
        <w:t xml:space="preserve">who </w:t>
      </w:r>
      <w:r w:rsidRPr="00D87208">
        <w:t>return a positive FIT test and are subsequently foun</w:t>
      </w:r>
      <w:r>
        <w:t>d to be ineligible for the NBSP</w:t>
      </w:r>
      <w:r w:rsidR="0084174B">
        <w:t>.</w:t>
      </w:r>
    </w:p>
    <w:p w:rsidR="00AB069A" w:rsidRDefault="00AB069A" w:rsidP="0084174B">
      <w:pPr>
        <w:spacing w:before="180"/>
        <w:ind w:left="709" w:hanging="709"/>
      </w:pPr>
      <w:r w:rsidRPr="00D87208">
        <w:t>2.3.</w:t>
      </w:r>
      <w:r>
        <w:t>c</w:t>
      </w:r>
      <w:r w:rsidRPr="00D87208">
        <w:t>.</w:t>
      </w:r>
      <w:r w:rsidRPr="00D87208">
        <w:tab/>
      </w:r>
      <w:r>
        <w:t>General practices work with</w:t>
      </w:r>
      <w:r w:rsidRPr="00D87208">
        <w:t xml:space="preserve"> NBSP DHB endoscopy unit</w:t>
      </w:r>
      <w:r>
        <w:t>s</w:t>
      </w:r>
      <w:r w:rsidRPr="00D87208">
        <w:t xml:space="preserve"> to follow</w:t>
      </w:r>
      <w:r>
        <w:t xml:space="preserve"> </w:t>
      </w:r>
      <w:r w:rsidRPr="00D87208">
        <w:t xml:space="preserve">up </w:t>
      </w:r>
      <w:r>
        <w:t>participants</w:t>
      </w:r>
      <w:r w:rsidRPr="00D87208">
        <w:t xml:space="preserve"> </w:t>
      </w:r>
      <w:r>
        <w:t>who</w:t>
      </w:r>
      <w:r w:rsidRPr="00D87208">
        <w:t xml:space="preserve"> cannot be notified of their positive result, cannot be contacted for a pre-assessment or do not attend their scheduled diagnostic procedure </w:t>
      </w:r>
      <w:r>
        <w:t xml:space="preserve">appointment </w:t>
      </w:r>
      <w:r w:rsidRPr="00D87208">
        <w:t xml:space="preserve">(colonoscopy or </w:t>
      </w:r>
      <w:r w:rsidRPr="00852DA1">
        <w:t xml:space="preserve">Computed Tomography </w:t>
      </w:r>
      <w:proofErr w:type="spellStart"/>
      <w:r w:rsidRPr="00852DA1">
        <w:t>Colonography</w:t>
      </w:r>
      <w:proofErr w:type="spellEnd"/>
      <w:r w:rsidRPr="00D87208">
        <w:t>)</w:t>
      </w:r>
      <w:r>
        <w:t>.</w:t>
      </w:r>
    </w:p>
    <w:p w:rsidR="00883F72" w:rsidRPr="002B5157" w:rsidRDefault="00883F72" w:rsidP="00AB069A">
      <w:pPr>
        <w:rPr>
          <w:u w:color="365F91"/>
        </w:rPr>
      </w:pPr>
    </w:p>
    <w:p w:rsidR="00883F72" w:rsidRPr="00C30B9D" w:rsidRDefault="00883F72" w:rsidP="00AB069A">
      <w:pPr>
        <w:pStyle w:val="Heading1"/>
      </w:pPr>
      <w:bookmarkStart w:id="17" w:name="_Toc504027778"/>
      <w:r w:rsidRPr="00C30B9D">
        <w:t>3</w:t>
      </w:r>
      <w:r w:rsidRPr="00C30B9D">
        <w:tab/>
        <w:t xml:space="preserve">Guidance for </w:t>
      </w:r>
      <w:r>
        <w:t>g</w:t>
      </w:r>
      <w:r w:rsidRPr="00C30B9D">
        <w:t xml:space="preserve">ood </w:t>
      </w:r>
      <w:r>
        <w:t>p</w:t>
      </w:r>
      <w:r w:rsidRPr="00C30B9D">
        <w:t xml:space="preserve">ractice – </w:t>
      </w:r>
      <w:r w:rsidR="00AB069A">
        <w:t>m</w:t>
      </w:r>
      <w:r>
        <w:t>aximising</w:t>
      </w:r>
      <w:r w:rsidRPr="00C30B9D">
        <w:t xml:space="preserve"> </w:t>
      </w:r>
      <w:r>
        <w:t>e</w:t>
      </w:r>
      <w:r w:rsidRPr="00C30B9D">
        <w:t xml:space="preserve">quitable </w:t>
      </w:r>
      <w:r>
        <w:t>p</w:t>
      </w:r>
      <w:r w:rsidRPr="00C30B9D">
        <w:t xml:space="preserve">articipation in the </w:t>
      </w:r>
      <w:r>
        <w:t>National Bowel Screening Programme</w:t>
      </w:r>
      <w:bookmarkEnd w:id="17"/>
    </w:p>
    <w:p w:rsidR="00883F72" w:rsidRDefault="00AB069A" w:rsidP="00AB069A">
      <w:pPr>
        <w:pStyle w:val="Heading2"/>
        <w:rPr>
          <w:u w:color="365F91"/>
        </w:rPr>
      </w:pPr>
      <w:bookmarkStart w:id="18" w:name="_Toc504027779"/>
      <w:r w:rsidRPr="00AB069A">
        <w:rPr>
          <w:u w:color="365F91"/>
        </w:rPr>
        <w:t>3.1</w:t>
      </w:r>
      <w:r>
        <w:rPr>
          <w:u w:color="365F91"/>
        </w:rPr>
        <w:tab/>
      </w:r>
      <w:r w:rsidRPr="00AB069A">
        <w:rPr>
          <w:u w:color="365F91"/>
        </w:rPr>
        <w:t>Offering all eligible participants the opportunity to participate in the NBSP</w:t>
      </w:r>
      <w:bookmarkEnd w:id="18"/>
    </w:p>
    <w:p w:rsidR="00AB069A" w:rsidRPr="00D87208" w:rsidRDefault="00AB069A" w:rsidP="00AB069A">
      <w:pPr>
        <w:pStyle w:val="Heading3"/>
        <w:rPr>
          <w:iCs/>
        </w:rPr>
      </w:pPr>
      <w:r>
        <w:t>Practice points</w:t>
      </w:r>
    </w:p>
    <w:p w:rsidR="00AB069A" w:rsidRPr="00D87208" w:rsidRDefault="00AB069A" w:rsidP="0084174B">
      <w:pPr>
        <w:ind w:left="709" w:hanging="709"/>
      </w:pPr>
      <w:r w:rsidRPr="00D87208">
        <w:t>3.1</w:t>
      </w:r>
      <w:proofErr w:type="gramStart"/>
      <w:r w:rsidRPr="00D87208">
        <w:t>.a</w:t>
      </w:r>
      <w:proofErr w:type="gramEnd"/>
      <w:r w:rsidRPr="00D87208">
        <w:t>.</w:t>
      </w:r>
      <w:r w:rsidRPr="00D87208">
        <w:tab/>
      </w:r>
      <w:r>
        <w:t>Initiates discussions</w:t>
      </w:r>
      <w:r w:rsidRPr="00D87208">
        <w:t xml:space="preserve"> with eligible </w:t>
      </w:r>
      <w:r>
        <w:t>participants who have not yet participated in the NBSP.</w:t>
      </w:r>
    </w:p>
    <w:p w:rsidR="00AB069A" w:rsidRPr="00D87208" w:rsidRDefault="00AB069A" w:rsidP="0084174B">
      <w:pPr>
        <w:spacing w:before="180"/>
        <w:ind w:left="709" w:hanging="709"/>
      </w:pPr>
      <w:r w:rsidRPr="00D87208">
        <w:t>3.1</w:t>
      </w:r>
      <w:proofErr w:type="gramStart"/>
      <w:r w:rsidRPr="00D87208">
        <w:t>.b</w:t>
      </w:r>
      <w:proofErr w:type="gramEnd"/>
      <w:r w:rsidRPr="00D87208">
        <w:t>.</w:t>
      </w:r>
      <w:r w:rsidRPr="00D87208">
        <w:tab/>
      </w:r>
      <w:r>
        <w:t>Informs</w:t>
      </w:r>
      <w:r w:rsidRPr="00D87208">
        <w:t xml:space="preserve"> eligible </w:t>
      </w:r>
      <w:r>
        <w:t>participants</w:t>
      </w:r>
      <w:r w:rsidRPr="00D87208">
        <w:t xml:space="preserve"> </w:t>
      </w:r>
      <w:r>
        <w:t xml:space="preserve">who </w:t>
      </w:r>
      <w:r w:rsidRPr="00D87208">
        <w:t xml:space="preserve">have not </w:t>
      </w:r>
      <w:r>
        <w:t xml:space="preserve">yet </w:t>
      </w:r>
      <w:r w:rsidRPr="00D87208">
        <w:t xml:space="preserve">received an invitation that they </w:t>
      </w:r>
      <w:r>
        <w:t xml:space="preserve">can </w:t>
      </w:r>
      <w:r w:rsidRPr="00D87208">
        <w:t xml:space="preserve">self-enrol </w:t>
      </w:r>
      <w:r>
        <w:t xml:space="preserve">in the NBSP </w:t>
      </w:r>
      <w:r w:rsidRPr="00D87208">
        <w:t xml:space="preserve">(or the </w:t>
      </w:r>
      <w:r>
        <w:t>p</w:t>
      </w:r>
      <w:r w:rsidRPr="00D87208">
        <w:t>ractice can enrol on their behalf); priority participants</w:t>
      </w:r>
      <w:r>
        <w:t xml:space="preserve"> (see section 3.2)</w:t>
      </w:r>
      <w:r w:rsidRPr="00D87208">
        <w:t xml:space="preserve"> will be sent an invitation immediately</w:t>
      </w:r>
      <w:r>
        <w:t xml:space="preserve"> where appropriate.</w:t>
      </w:r>
    </w:p>
    <w:p w:rsidR="00AB069A" w:rsidRDefault="00AB069A" w:rsidP="0084174B">
      <w:pPr>
        <w:spacing w:before="180"/>
        <w:ind w:left="709" w:hanging="709"/>
      </w:pPr>
      <w:r w:rsidRPr="00D87208">
        <w:t>3.1</w:t>
      </w:r>
      <w:proofErr w:type="gramStart"/>
      <w:r w:rsidRPr="00D87208">
        <w:t>.c</w:t>
      </w:r>
      <w:proofErr w:type="gramEnd"/>
      <w:r w:rsidRPr="00D87208">
        <w:t>.</w:t>
      </w:r>
      <w:r w:rsidRPr="00D87208">
        <w:tab/>
      </w:r>
      <w:r>
        <w:t>Informs</w:t>
      </w:r>
      <w:r w:rsidRPr="00D87208">
        <w:t xml:space="preserve"> </w:t>
      </w:r>
      <w:r>
        <w:t>participants, where appropriate,</w:t>
      </w:r>
      <w:r w:rsidRPr="00D87208">
        <w:t xml:space="preserve"> that they may withdraw or be temporarily suspended from the NBSP at their request</w:t>
      </w:r>
      <w:r>
        <w:t>.</w:t>
      </w:r>
    </w:p>
    <w:p w:rsidR="00AB069A" w:rsidRDefault="00AB069A" w:rsidP="00AB069A">
      <w:pPr>
        <w:rPr>
          <w:u w:color="365F91"/>
        </w:rPr>
      </w:pPr>
    </w:p>
    <w:p w:rsidR="00AB069A" w:rsidRDefault="00AB069A" w:rsidP="00AB069A">
      <w:pPr>
        <w:pStyle w:val="Heading2"/>
        <w:rPr>
          <w:u w:color="365F91"/>
        </w:rPr>
      </w:pPr>
      <w:bookmarkStart w:id="19" w:name="_Toc504027780"/>
      <w:r w:rsidRPr="00AB069A">
        <w:rPr>
          <w:u w:color="365F91"/>
        </w:rPr>
        <w:t>3.2</w:t>
      </w:r>
      <w:r w:rsidRPr="00AB069A">
        <w:rPr>
          <w:u w:color="365F91"/>
        </w:rPr>
        <w:tab/>
        <w:t>Achieving equitable participation for all population groups</w:t>
      </w:r>
      <w:bookmarkEnd w:id="19"/>
    </w:p>
    <w:p w:rsidR="00AB069A" w:rsidRPr="00D87208" w:rsidRDefault="00AB069A" w:rsidP="00AB069A">
      <w:pPr>
        <w:pStyle w:val="Heading3"/>
      </w:pPr>
      <w:r w:rsidRPr="00D87208">
        <w:t xml:space="preserve">Practice </w:t>
      </w:r>
      <w:r>
        <w:t>points</w:t>
      </w:r>
    </w:p>
    <w:p w:rsidR="00AB069A" w:rsidRPr="00D87208" w:rsidRDefault="00AB069A" w:rsidP="0084174B">
      <w:pPr>
        <w:ind w:left="709" w:hanging="709"/>
      </w:pPr>
      <w:r w:rsidRPr="00D87208">
        <w:t>3.2</w:t>
      </w:r>
      <w:proofErr w:type="gramStart"/>
      <w:r w:rsidRPr="00D87208">
        <w:t>.a</w:t>
      </w:r>
      <w:proofErr w:type="gramEnd"/>
      <w:r w:rsidRPr="00D87208">
        <w:t>.</w:t>
      </w:r>
      <w:r w:rsidR="0084174B">
        <w:tab/>
        <w:t>P</w:t>
      </w:r>
      <w:r w:rsidRPr="00D87208">
        <w:t>r</w:t>
      </w:r>
      <w:r>
        <w:t>omotes</w:t>
      </w:r>
      <w:r w:rsidRPr="00D87208">
        <w:t xml:space="preserve"> a high level of equitable participation for all population groups</w:t>
      </w:r>
      <w:r>
        <w:t>,</w:t>
      </w:r>
      <w:r w:rsidRPr="00D87208">
        <w:t xml:space="preserve"> with a focus on the NBSP priority groups:</w:t>
      </w:r>
    </w:p>
    <w:p w:rsidR="00AB069A" w:rsidRPr="00D87208" w:rsidRDefault="00AB069A" w:rsidP="0084174B">
      <w:pPr>
        <w:pStyle w:val="Bullet"/>
        <w:tabs>
          <w:tab w:val="clear" w:pos="284"/>
          <w:tab w:val="num" w:pos="993"/>
        </w:tabs>
        <w:ind w:left="993"/>
      </w:pPr>
      <w:r w:rsidRPr="00D87208">
        <w:t>M</w:t>
      </w:r>
      <w:r w:rsidRPr="0084603B">
        <w:t>ā</w:t>
      </w:r>
      <w:r w:rsidRPr="00D87208">
        <w:t>ori</w:t>
      </w:r>
    </w:p>
    <w:p w:rsidR="00AB069A" w:rsidRPr="00D87208" w:rsidRDefault="00AB069A" w:rsidP="0084174B">
      <w:pPr>
        <w:pStyle w:val="Bullet"/>
        <w:ind w:left="993"/>
      </w:pPr>
      <w:r w:rsidRPr="00D87208">
        <w:t>Pacific people</w:t>
      </w:r>
    </w:p>
    <w:p w:rsidR="00AB069A" w:rsidRPr="00D87208" w:rsidRDefault="00AB069A" w:rsidP="0084174B">
      <w:pPr>
        <w:pStyle w:val="Bullet"/>
        <w:ind w:left="993"/>
      </w:pPr>
      <w:proofErr w:type="gramStart"/>
      <w:r>
        <w:t>people</w:t>
      </w:r>
      <w:proofErr w:type="gramEnd"/>
      <w:r>
        <w:t xml:space="preserve"> </w:t>
      </w:r>
      <w:r w:rsidRPr="00D87208">
        <w:t xml:space="preserve">living in deprived areas (NZ Deprivation Index </w:t>
      </w:r>
      <w:proofErr w:type="spellStart"/>
      <w:r>
        <w:t>deciles</w:t>
      </w:r>
      <w:proofErr w:type="spellEnd"/>
      <w:r>
        <w:t xml:space="preserve"> </w:t>
      </w:r>
      <w:r w:rsidRPr="00D87208">
        <w:t>9 and 10)</w:t>
      </w:r>
      <w:r>
        <w:t>.</w:t>
      </w:r>
    </w:p>
    <w:p w:rsidR="00AB069A" w:rsidRPr="00D87208" w:rsidRDefault="00AB069A" w:rsidP="0084174B">
      <w:pPr>
        <w:spacing w:before="180"/>
        <w:ind w:left="709" w:hanging="709"/>
      </w:pPr>
      <w:r w:rsidRPr="00D87208">
        <w:t>3.2</w:t>
      </w:r>
      <w:proofErr w:type="gramStart"/>
      <w:r w:rsidRPr="00D87208">
        <w:t>.</w:t>
      </w:r>
      <w:r>
        <w:t>b</w:t>
      </w:r>
      <w:proofErr w:type="gramEnd"/>
      <w:r w:rsidRPr="00D87208">
        <w:t>.</w:t>
      </w:r>
      <w:r w:rsidRPr="00D87208">
        <w:tab/>
      </w:r>
      <w:r>
        <w:t xml:space="preserve">Uses </w:t>
      </w:r>
      <w:r w:rsidRPr="00D87208">
        <w:t>quality improvement processes</w:t>
      </w:r>
      <w:r>
        <w:t xml:space="preserve"> for</w:t>
      </w:r>
      <w:r w:rsidRPr="00D87208">
        <w:t xml:space="preserve"> maximising par</w:t>
      </w:r>
      <w:r>
        <w:t xml:space="preserve">ticipation with an equity focus </w:t>
      </w:r>
      <w:r w:rsidRPr="00D87208">
        <w:t xml:space="preserve">and </w:t>
      </w:r>
      <w:r>
        <w:t xml:space="preserve">considers </w:t>
      </w:r>
      <w:r w:rsidRPr="00D87208">
        <w:t>equity impacts for any changes to processes</w:t>
      </w:r>
      <w:r>
        <w:t>.</w:t>
      </w:r>
    </w:p>
    <w:p w:rsidR="00AB069A" w:rsidRDefault="00AB069A" w:rsidP="0084174B">
      <w:pPr>
        <w:spacing w:before="180"/>
        <w:ind w:left="709" w:hanging="709"/>
      </w:pPr>
      <w:r w:rsidRPr="00D87208">
        <w:t>3.2</w:t>
      </w:r>
      <w:proofErr w:type="gramStart"/>
      <w:r w:rsidRPr="00D87208">
        <w:t>.</w:t>
      </w:r>
      <w:r>
        <w:t>c</w:t>
      </w:r>
      <w:proofErr w:type="gramEnd"/>
      <w:r w:rsidRPr="00D87208">
        <w:t>.</w:t>
      </w:r>
      <w:r w:rsidRPr="00D87208">
        <w:tab/>
      </w:r>
      <w:r>
        <w:t>W</w:t>
      </w:r>
      <w:r w:rsidRPr="00D87208">
        <w:t>ork</w:t>
      </w:r>
      <w:r>
        <w:t>s</w:t>
      </w:r>
      <w:r w:rsidRPr="00D87208">
        <w:t xml:space="preserve"> collaboratively with the </w:t>
      </w:r>
      <w:r>
        <w:t xml:space="preserve">NBSP NCC </w:t>
      </w:r>
      <w:r w:rsidRPr="00D87208">
        <w:t>to actively follow</w:t>
      </w:r>
      <w:r>
        <w:t xml:space="preserve"> up all:</w:t>
      </w:r>
    </w:p>
    <w:p w:rsidR="00AB069A" w:rsidRPr="0037450C" w:rsidRDefault="00AB069A" w:rsidP="0084174B">
      <w:pPr>
        <w:pStyle w:val="Bullet"/>
        <w:tabs>
          <w:tab w:val="clear" w:pos="284"/>
          <w:tab w:val="num" w:pos="993"/>
        </w:tabs>
        <w:ind w:left="993"/>
      </w:pPr>
      <w:r w:rsidRPr="0037450C">
        <w:t>priority participants who have not returned their FIT test kit in four weeks</w:t>
      </w:r>
    </w:p>
    <w:p w:rsidR="00AB069A" w:rsidRPr="0037450C" w:rsidRDefault="00AB069A" w:rsidP="0084174B">
      <w:pPr>
        <w:pStyle w:val="Bullet"/>
        <w:ind w:left="993"/>
      </w:pPr>
      <w:r w:rsidRPr="0037450C">
        <w:t>priority participants who have returned a spoilt kit</w:t>
      </w:r>
    </w:p>
    <w:p w:rsidR="00AB069A" w:rsidRPr="0037450C" w:rsidRDefault="00AB069A" w:rsidP="0084174B">
      <w:pPr>
        <w:pStyle w:val="Bullet"/>
        <w:ind w:left="993"/>
      </w:pPr>
      <w:proofErr w:type="gramStart"/>
      <w:r w:rsidRPr="0037450C">
        <w:t>participants</w:t>
      </w:r>
      <w:proofErr w:type="gramEnd"/>
      <w:r w:rsidRPr="0037450C">
        <w:t xml:space="preserve"> who have returned three consecutive spoilt tests.</w:t>
      </w:r>
    </w:p>
    <w:p w:rsidR="00883F72" w:rsidRPr="00883F72" w:rsidRDefault="00883F72" w:rsidP="0084174B">
      <w:bookmarkStart w:id="20" w:name="_Toc470253168"/>
      <w:bookmarkStart w:id="21" w:name="_Toc470253169"/>
      <w:bookmarkStart w:id="22" w:name="_Toc470253171"/>
      <w:bookmarkEnd w:id="20"/>
      <w:bookmarkEnd w:id="21"/>
      <w:bookmarkEnd w:id="22"/>
    </w:p>
    <w:sectPr w:rsidR="00883F72" w:rsidRPr="00883F72" w:rsidSect="0084174B">
      <w:headerReference w:type="default" r:id="rId22"/>
      <w:footerReference w:type="even" r:id="rId23"/>
      <w:footerReference w:type="default" r:id="rId24"/>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E9" w:rsidRDefault="00887CE9">
      <w:pPr>
        <w:spacing w:line="240" w:lineRule="auto"/>
      </w:pPr>
      <w:r>
        <w:separator/>
      </w:r>
    </w:p>
    <w:p w:rsidR="00887CE9" w:rsidRDefault="00887CE9"/>
  </w:endnote>
  <w:endnote w:type="continuationSeparator" w:id="0">
    <w:p w:rsidR="00887CE9" w:rsidRDefault="00887CE9">
      <w:pPr>
        <w:spacing w:line="240" w:lineRule="auto"/>
      </w:pPr>
      <w:r>
        <w:continuationSeparator/>
      </w:r>
    </w:p>
    <w:p w:rsidR="00887CE9" w:rsidRDefault="00887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DA" w:rsidRDefault="00621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Pr="00581136" w:rsidRDefault="003D137D" w:rsidP="00F9366A">
    <w:pPr>
      <w:pStyle w:val="Footer"/>
      <w:pBdr>
        <w:bottom w:val="single" w:sz="4" w:space="1" w:color="auto"/>
      </w:pBdr>
      <w:tabs>
        <w:tab w:val="right" w:pos="8504"/>
      </w:tabs>
      <w:ind w:left="-1559"/>
      <w:rPr>
        <w:b/>
      </w:rPr>
    </w:pPr>
    <w:r w:rsidRPr="00581136">
      <w:rPr>
        <w:b/>
      </w:rPr>
      <w:t>Released 201</w:t>
    </w:r>
    <w:r w:rsidR="00177AEF">
      <w:rPr>
        <w:b/>
      </w:rPr>
      <w:t>8</w:t>
    </w:r>
    <w:r w:rsidRPr="00581136">
      <w:rPr>
        <w:b/>
      </w:rPr>
      <w:tab/>
      <w:t>health.govt.nz</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DA" w:rsidRDefault="00621F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Pr="00275D08" w:rsidRDefault="003D137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43485">
      <w:rPr>
        <w:rStyle w:val="PageNumber"/>
        <w:noProof/>
      </w:rPr>
      <w:t>2</w:t>
    </w:r>
    <w:r w:rsidRPr="00FC46E7">
      <w:rPr>
        <w:rStyle w:val="PageNumber"/>
      </w:rPr>
      <w:fldChar w:fldCharType="end"/>
    </w:r>
    <w:r>
      <w:tab/>
    </w:r>
    <w:r w:rsidR="00F43485">
      <w:t>National Bowel Screening Programme</w:t>
    </w:r>
    <w:proofErr w:type="gramStart"/>
    <w:r w:rsidR="00F43485">
      <w:t>:</w:t>
    </w:r>
    <w:proofErr w:type="gramEnd"/>
    <w:r w:rsidR="00F43485">
      <w:br/>
      <w:t>Interim Quality Standards and Guidelines for Good Practice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533B90">
    <w:pPr>
      <w:pStyle w:val="RectoFooter"/>
    </w:pPr>
    <w:r>
      <w:tab/>
    </w:r>
    <w:r w:rsidR="00621FDA" w:rsidRPr="00621FDA">
      <w:t>Interim Quality Standards and Good Pr</w:t>
    </w:r>
    <w:r w:rsidR="00621FDA">
      <w:t>actice for Primary Health Care: NBSP</w:t>
    </w:r>
    <w:r w:rsidR="00883F72">
      <w:tab/>
    </w:r>
    <w:r w:rsidR="00883F72">
      <w:rPr>
        <w:rStyle w:val="PageNumber"/>
      </w:rPr>
      <w:fldChar w:fldCharType="begin"/>
    </w:r>
    <w:r w:rsidR="00883F72">
      <w:rPr>
        <w:rStyle w:val="PageNumber"/>
      </w:rPr>
      <w:instrText xml:space="preserve"> PAGE </w:instrText>
    </w:r>
    <w:r w:rsidR="00883F72">
      <w:rPr>
        <w:rStyle w:val="PageNumber"/>
      </w:rPr>
      <w:fldChar w:fldCharType="separate"/>
    </w:r>
    <w:r w:rsidR="00621FDA">
      <w:rPr>
        <w:rStyle w:val="PageNumber"/>
        <w:noProof/>
      </w:rPr>
      <w:t>iii</w:t>
    </w:r>
    <w:r w:rsidR="00883F72">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85" w:rsidRPr="00275D08" w:rsidRDefault="00F4348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1FDA">
      <w:rPr>
        <w:rStyle w:val="PageNumber"/>
        <w:noProof/>
      </w:rPr>
      <w:t>6</w:t>
    </w:r>
    <w:r w:rsidRPr="00FC46E7">
      <w:rPr>
        <w:rStyle w:val="PageNumber"/>
      </w:rPr>
      <w:fldChar w:fldCharType="end"/>
    </w:r>
    <w:r>
      <w:tab/>
    </w:r>
    <w:r w:rsidR="00621FDA" w:rsidRPr="00621FDA">
      <w:t>Interim Quality Standards and Good Pr</w:t>
    </w:r>
    <w:r w:rsidR="00621FDA">
      <w:t>actice for Primary Health Care: NBSP</w:t>
    </w:r>
    <w:r w:rsidR="00621FDA">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72" w:rsidRDefault="00883F72" w:rsidP="00533B90">
    <w:pPr>
      <w:pStyle w:val="RectoFooter"/>
    </w:pPr>
    <w:r>
      <w:tab/>
    </w:r>
    <w:r w:rsidR="00621FDA" w:rsidRPr="00621FDA">
      <w:t>Interim Quality Standards and Good Pr</w:t>
    </w:r>
    <w:r w:rsidR="00621FDA">
      <w:t>actice for Primary Health Care: NBSP</w:t>
    </w:r>
    <w:r>
      <w:tab/>
    </w:r>
    <w:r>
      <w:rPr>
        <w:rStyle w:val="PageNumber"/>
      </w:rPr>
      <w:fldChar w:fldCharType="begin"/>
    </w:r>
    <w:r>
      <w:rPr>
        <w:rStyle w:val="PageNumber"/>
      </w:rPr>
      <w:instrText xml:space="preserve"> PAGE </w:instrText>
    </w:r>
    <w:r>
      <w:rPr>
        <w:rStyle w:val="PageNumber"/>
      </w:rPr>
      <w:fldChar w:fldCharType="separate"/>
    </w:r>
    <w:r w:rsidR="00621FD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E9" w:rsidRPr="00A26E6B" w:rsidRDefault="00887CE9" w:rsidP="00A26E6B"/>
  </w:footnote>
  <w:footnote w:type="continuationSeparator" w:id="0">
    <w:p w:rsidR="00887CE9" w:rsidRDefault="00887CE9">
      <w:pPr>
        <w:spacing w:line="240" w:lineRule="auto"/>
      </w:pPr>
      <w:r>
        <w:continuationSeparator/>
      </w:r>
    </w:p>
    <w:p w:rsidR="00887CE9" w:rsidRDefault="00887CE9"/>
  </w:footnote>
  <w:footnote w:id="1">
    <w:p w:rsidR="00AB069A" w:rsidRPr="008B5790" w:rsidRDefault="00AB069A" w:rsidP="0084174B">
      <w:pPr>
        <w:pStyle w:val="FootnoteText"/>
      </w:pPr>
      <w:r w:rsidRPr="0084174B">
        <w:rPr>
          <w:rStyle w:val="FootnoteReference"/>
        </w:rPr>
        <w:footnoteRef/>
      </w:r>
      <w:r w:rsidR="0084174B">
        <w:tab/>
      </w:r>
      <w:r>
        <w:t xml:space="preserve">Ministry of Health. 2015. </w:t>
      </w:r>
      <w:r w:rsidRPr="0084174B">
        <w:rPr>
          <w:i/>
        </w:rPr>
        <w:t xml:space="preserve">Referral Criteria for Direct Access Outpatient Colonoscopy or CT </w:t>
      </w:r>
      <w:proofErr w:type="spellStart"/>
      <w:r w:rsidRPr="0084174B">
        <w:rPr>
          <w:i/>
        </w:rPr>
        <w:t>Colonography</w:t>
      </w:r>
      <w:proofErr w:type="spellEnd"/>
      <w:r w:rsidRPr="0084174B">
        <w:t xml:space="preserve">. Wellington: Ministry of </w:t>
      </w:r>
      <w:proofErr w:type="spellStart"/>
      <w:r w:rsidRPr="0084174B">
        <w:t>Heath</w:t>
      </w:r>
      <w:proofErr w:type="spellEnd"/>
      <w:r w:rsidRPr="0084174B">
        <w:t xml:space="preserve">. URL: </w:t>
      </w:r>
      <w:hyperlink r:id="rId1" w:history="1">
        <w:r w:rsidRPr="0084174B">
          <w:t>https://www.health.govt.nz/system/files/documents/pages/referral-criteria-direct-access-outpatient-colonoscopy-ct-colonography-nov15.doc</w:t>
        </w:r>
      </w:hyperlink>
    </w:p>
  </w:footnote>
  <w:footnote w:id="2">
    <w:p w:rsidR="00AB069A" w:rsidRPr="008B5790" w:rsidRDefault="00AB069A" w:rsidP="0084174B">
      <w:pPr>
        <w:pStyle w:val="FootnoteText"/>
      </w:pPr>
      <w:r w:rsidRPr="0084174B">
        <w:rPr>
          <w:rStyle w:val="FootnoteReference"/>
        </w:rPr>
        <w:footnoteRef/>
      </w:r>
      <w:r w:rsidR="0084174B">
        <w:tab/>
      </w:r>
      <w:r w:rsidRPr="008B5790">
        <w:t>New Zealand Guidelines Group. 201</w:t>
      </w:r>
      <w:r>
        <w:t>2</w:t>
      </w:r>
      <w:r w:rsidRPr="008B5790">
        <w:t xml:space="preserve">. </w:t>
      </w:r>
      <w:r>
        <w:rPr>
          <w:i/>
        </w:rPr>
        <w:t xml:space="preserve">Guidance on </w:t>
      </w:r>
      <w:r w:rsidRPr="00A24473">
        <w:rPr>
          <w:i/>
        </w:rPr>
        <w:t xml:space="preserve">Surveillance for People at </w:t>
      </w:r>
      <w:r>
        <w:rPr>
          <w:i/>
        </w:rPr>
        <w:t xml:space="preserve">Increased </w:t>
      </w:r>
      <w:r w:rsidRPr="00A24473">
        <w:rPr>
          <w:i/>
        </w:rPr>
        <w:t>Risk of Colorectal Cancer</w:t>
      </w:r>
      <w:r w:rsidRPr="008B5790">
        <w:t xml:space="preserve">. Wellington: Ministry of Health. URL: </w:t>
      </w:r>
      <w:hyperlink r:id="rId2" w:history="1">
        <w:r w:rsidRPr="008B5790">
          <w:t>www.health.govt.nz/publication/guidance-surveillance-people-increased-risk-colorectal-cancer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DA" w:rsidRDefault="00621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216CC">
    <w:pPr>
      <w:pStyle w:val="Header"/>
      <w:ind w:left="-1559"/>
    </w:pPr>
    <w:r>
      <w:rPr>
        <w:noProof/>
        <w:lang w:eastAsia="en-NZ"/>
      </w:rPr>
      <w:drawing>
        <wp:inline distT="0" distB="0" distL="0" distR="0" wp14:anchorId="0F196F97" wp14:editId="5DDAB9FD">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DA" w:rsidRDefault="00621F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4650046"/>
    <w:multiLevelType w:val="hybridMultilevel"/>
    <w:tmpl w:val="3F16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6">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2"/>
  </w:num>
  <w:num w:numId="3">
    <w:abstractNumId w:val="9"/>
  </w:num>
  <w:num w:numId="4">
    <w:abstractNumId w:val="10"/>
  </w:num>
  <w:num w:numId="5">
    <w:abstractNumId w:val="0"/>
  </w:num>
  <w:num w:numId="6">
    <w:abstractNumId w:val="16"/>
  </w:num>
  <w:num w:numId="7">
    <w:abstractNumId w:val="8"/>
  </w:num>
  <w:num w:numId="8">
    <w:abstractNumId w:val="2"/>
  </w:num>
  <w:num w:numId="9">
    <w:abstractNumId w:val="14"/>
  </w:num>
  <w:num w:numId="10">
    <w:abstractNumId w:val="1"/>
  </w:num>
  <w:num w:numId="11">
    <w:abstractNumId w:val="13"/>
  </w:num>
  <w:num w:numId="12">
    <w:abstractNumId w:val="3"/>
  </w:num>
  <w:num w:numId="13">
    <w:abstractNumId w:val="5"/>
  </w:num>
  <w:num w:numId="14">
    <w:abstractNumId w:val="4"/>
  </w:num>
  <w:num w:numId="15">
    <w:abstractNumId w:val="6"/>
  </w:num>
  <w:num w:numId="16">
    <w:abstractNumId w:val="11"/>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414C7"/>
    <w:rsid w:val="0006228D"/>
    <w:rsid w:val="00072BD6"/>
    <w:rsid w:val="00075B78"/>
    <w:rsid w:val="00082CD6"/>
    <w:rsid w:val="00085AFE"/>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77AEF"/>
    <w:rsid w:val="001A21B4"/>
    <w:rsid w:val="001A5CF5"/>
    <w:rsid w:val="001B39D2"/>
    <w:rsid w:val="001B4BF8"/>
    <w:rsid w:val="001C4326"/>
    <w:rsid w:val="001D3541"/>
    <w:rsid w:val="001F45A7"/>
    <w:rsid w:val="00201A01"/>
    <w:rsid w:val="002104D3"/>
    <w:rsid w:val="00213A33"/>
    <w:rsid w:val="00216922"/>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4A65"/>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1FDA"/>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45AE3"/>
    <w:rsid w:val="00771B1E"/>
    <w:rsid w:val="007731DD"/>
    <w:rsid w:val="00773C95"/>
    <w:rsid w:val="0078171E"/>
    <w:rsid w:val="00795B34"/>
    <w:rsid w:val="007B1770"/>
    <w:rsid w:val="007B4D3E"/>
    <w:rsid w:val="007B7C70"/>
    <w:rsid w:val="007D2151"/>
    <w:rsid w:val="007D3B90"/>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4174B"/>
    <w:rsid w:val="00860826"/>
    <w:rsid w:val="00860E21"/>
    <w:rsid w:val="00863117"/>
    <w:rsid w:val="0086388B"/>
    <w:rsid w:val="008642E5"/>
    <w:rsid w:val="00872D93"/>
    <w:rsid w:val="00880470"/>
    <w:rsid w:val="00880D94"/>
    <w:rsid w:val="00883F72"/>
    <w:rsid w:val="00887CE9"/>
    <w:rsid w:val="008924DE"/>
    <w:rsid w:val="008A3755"/>
    <w:rsid w:val="008B19DC"/>
    <w:rsid w:val="008B264F"/>
    <w:rsid w:val="008B6E1F"/>
    <w:rsid w:val="008B6F83"/>
    <w:rsid w:val="008B7FD8"/>
    <w:rsid w:val="008C0A7E"/>
    <w:rsid w:val="008C2973"/>
    <w:rsid w:val="008C6324"/>
    <w:rsid w:val="008C64C4"/>
    <w:rsid w:val="008D74D5"/>
    <w:rsid w:val="008E3A07"/>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6F9A"/>
    <w:rsid w:val="00977B8A"/>
    <w:rsid w:val="00982971"/>
    <w:rsid w:val="009845AD"/>
    <w:rsid w:val="00995BA0"/>
    <w:rsid w:val="009A418B"/>
    <w:rsid w:val="009A426F"/>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40C"/>
    <w:rsid w:val="00AB069A"/>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1A64"/>
    <w:rsid w:val="00C23728"/>
    <w:rsid w:val="00C45AA2"/>
    <w:rsid w:val="00C55BEF"/>
    <w:rsid w:val="00C66296"/>
    <w:rsid w:val="00C77282"/>
    <w:rsid w:val="00C84DE5"/>
    <w:rsid w:val="00C86248"/>
    <w:rsid w:val="00CA4C33"/>
    <w:rsid w:val="00CA6F4A"/>
    <w:rsid w:val="00CD2119"/>
    <w:rsid w:val="00CD237A"/>
    <w:rsid w:val="00CD36AC"/>
    <w:rsid w:val="00CE13A3"/>
    <w:rsid w:val="00CF1747"/>
    <w:rsid w:val="00CF2296"/>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5970"/>
    <w:rsid w:val="00F43485"/>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DF0AD2-6FCE-4E06-B6D1-A07CACC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C21A64"/>
    <w:pPr>
      <w:pageBreakBefore/>
      <w:pBdr>
        <w:top w:val="single" w:sz="36" w:space="12" w:color="auto"/>
      </w:pBdr>
      <w:spacing w:after="360"/>
      <w:ind w:left="709" w:hanging="709"/>
      <w:outlineLvl w:val="0"/>
    </w:pPr>
    <w:rPr>
      <w:b/>
      <w:sz w:val="40"/>
    </w:rPr>
  </w:style>
  <w:style w:type="paragraph" w:styleId="Heading2">
    <w:name w:val="heading 2"/>
    <w:basedOn w:val="Normal"/>
    <w:next w:val="Normal"/>
    <w:link w:val="Heading2Char"/>
    <w:qFormat/>
    <w:rsid w:val="00AB069A"/>
    <w:pPr>
      <w:keepNext/>
      <w:spacing w:before="120" w:after="120"/>
      <w:ind w:left="709" w:hanging="709"/>
      <w:outlineLvl w:val="1"/>
    </w:pPr>
    <w:rPr>
      <w:b/>
      <w:sz w:val="32"/>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8B6E1F"/>
    <w:pPr>
      <w:tabs>
        <w:tab w:val="right" w:pos="9356"/>
      </w:tabs>
      <w:spacing w:before="300"/>
      <w:ind w:left="567" w:right="567" w:hanging="567"/>
    </w:pPr>
    <w:rPr>
      <w:b/>
    </w:rPr>
  </w:style>
  <w:style w:type="paragraph" w:styleId="TOC2">
    <w:name w:val="toc 2"/>
    <w:basedOn w:val="Normal"/>
    <w:next w:val="Normal"/>
    <w:uiPriority w:val="39"/>
    <w:qFormat/>
    <w:rsid w:val="008B6E1F"/>
    <w:pPr>
      <w:tabs>
        <w:tab w:val="left" w:pos="284"/>
        <w:tab w:val="right" w:pos="9356"/>
      </w:tabs>
      <w:spacing w:before="60"/>
      <w:ind w:left="1134" w:right="567" w:hanging="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C21A64"/>
    <w:rPr>
      <w:rFonts w:ascii="Georgia" w:hAnsi="Georgia"/>
      <w:b/>
      <w:sz w:val="4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AB069A"/>
    <w:rPr>
      <w:rFonts w:ascii="Georgia" w:hAnsi="Georgia"/>
      <w:b/>
      <w:sz w:val="32"/>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customStyle="1" w:styleId="Number">
    <w:name w:val="Number"/>
    <w:basedOn w:val="Normal"/>
    <w:rsid w:val="00F140B2"/>
    <w:pPr>
      <w:numPr>
        <w:ilvl w:val="3"/>
        <w:numId w:val="16"/>
      </w:numPr>
      <w:spacing w:before="180"/>
    </w:pPr>
    <w:rPr>
      <w:szCs w:val="24"/>
    </w:rPr>
  </w:style>
  <w:style w:type="paragraph" w:customStyle="1" w:styleId="Letter">
    <w:name w:val="Letter"/>
    <w:basedOn w:val="Normal"/>
    <w:qFormat/>
    <w:rsid w:val="00F140B2"/>
    <w:pPr>
      <w:numPr>
        <w:ilvl w:val="4"/>
        <w:numId w:val="16"/>
      </w:numPr>
      <w:spacing w:before="120"/>
    </w:pPr>
  </w:style>
  <w:style w:type="paragraph" w:customStyle="1" w:styleId="Body">
    <w:name w:val="Body"/>
    <w:rsid w:val="00883F72"/>
    <w:pPr>
      <w:pBdr>
        <w:top w:val="nil"/>
        <w:left w:val="nil"/>
        <w:bottom w:val="nil"/>
        <w:right w:val="nil"/>
        <w:between w:val="nil"/>
        <w:bar w:val="nil"/>
      </w:pBdr>
      <w:spacing w:before="120" w:after="120" w:line="276" w:lineRule="auto"/>
    </w:pPr>
    <w:rPr>
      <w:rFonts w:ascii="Arial" w:eastAsia="Arial" w:hAnsi="Arial" w:cs="Arial"/>
      <w:color w:val="000000"/>
      <w:sz w:val="22"/>
      <w:szCs w:val="22"/>
      <w:u w:color="000000"/>
      <w:bdr w:val="nil"/>
    </w:rPr>
  </w:style>
  <w:style w:type="character" w:customStyle="1" w:styleId="TableTextChar">
    <w:name w:val="TableText Char"/>
    <w:link w:val="TableText"/>
    <w:rsid w:val="00883F72"/>
    <w:rPr>
      <w:rFonts w:ascii="Arial" w:hAnsi="Arial"/>
      <w:sz w:val="18"/>
      <w:lang w:eastAsia="en-GB"/>
    </w:rPr>
  </w:style>
  <w:style w:type="paragraph" w:styleId="BalloonText">
    <w:name w:val="Balloon Text"/>
    <w:basedOn w:val="Normal"/>
    <w:link w:val="BalloonTextChar"/>
    <w:uiPriority w:val="99"/>
    <w:semiHidden/>
    <w:unhideWhenUsed/>
    <w:rsid w:val="00177A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E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publication/guidance-surveillance-people-increased-risk-colorectal-cancer" TargetMode="External"/><Relationship Id="rId1" Type="http://schemas.openxmlformats.org/officeDocument/2006/relationships/hyperlink" Target="https://www.health.govt.nz/system/files/documents/pages/referral-criteria-direct-access-outpatient-colonoscopy-ct-colonography-nov15.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2FAA-C573-475C-8931-AF8EDBFA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10</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2018-01-18T22:26:00Z</cp:lastPrinted>
  <dcterms:created xsi:type="dcterms:W3CDTF">2018-01-18T22:58:00Z</dcterms:created>
  <dcterms:modified xsi:type="dcterms:W3CDTF">2018-01-18T22:58:00Z</dcterms:modified>
</cp:coreProperties>
</file>